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28"/>
          <w:szCs w:val="28"/>
          <w:highlight w:val="none"/>
          <w:lang w:eastAsia="zh-CN"/>
          <w14:textFill>
            <w14:solidFill>
              <w14:schemeClr w14:val="tx1"/>
            </w14:solidFill>
          </w14:textFill>
        </w:rPr>
      </w:pPr>
    </w:p>
    <w:p>
      <w:pPr>
        <w:jc w:val="center"/>
        <w:rPr>
          <w:rFonts w:hint="eastAsia"/>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阳西县新圩初级中学中考学科教师备考能力提升培训项目</w:t>
      </w: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r>
        <w:rPr>
          <w:rFonts w:hint="eastAsia"/>
          <w:b/>
          <w:bCs/>
          <w:color w:val="000000" w:themeColor="text1"/>
          <w:sz w:val="40"/>
          <w:szCs w:val="40"/>
          <w:highlight w:val="none"/>
          <w:lang w:val="en-US" w:eastAsia="zh-CN"/>
          <w14:textFill>
            <w14:solidFill>
              <w14:schemeClr w14:val="tx1"/>
            </w14:solidFill>
          </w14:textFill>
        </w:rPr>
        <w:t>需求书（市场询价）</w:t>
      </w:r>
    </w:p>
    <w:p>
      <w:pPr>
        <w:jc w:val="center"/>
        <w:rPr>
          <w:rFonts w:hint="default"/>
          <w:b/>
          <w:bCs/>
          <w:color w:val="000000" w:themeColor="text1"/>
          <w:sz w:val="28"/>
          <w:szCs w:val="28"/>
          <w:highlight w:val="none"/>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阳西县新圩初级中学</w:t>
      </w:r>
    </w:p>
    <w:p>
      <w:pPr>
        <w:jc w:val="center"/>
        <w:rPr>
          <w:rFonts w:hint="eastAsia"/>
          <w:b/>
          <w:bCs/>
          <w:color w:val="000000" w:themeColor="text1"/>
          <w:sz w:val="28"/>
          <w:szCs w:val="28"/>
          <w:highlight w:val="none"/>
          <w:lang w:val="en-US" w:eastAsia="zh-CN"/>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pStyle w:val="8"/>
        <w:spacing w:before="0" w:after="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用户需求</w:t>
      </w:r>
    </w:p>
    <w:p>
      <w:pPr>
        <w:spacing w:line="360" w:lineRule="auto"/>
        <w:ind w:firstLine="424" w:firstLineChars="201"/>
        <w:jc w:val="left"/>
        <w:rPr>
          <w:rFonts w:asciiTheme="minorEastAsia" w:hAnsiTheme="minorEastAsia"/>
          <w:b/>
          <w:color w:val="000000" w:themeColor="text1"/>
          <w:highlight w:val="none"/>
          <w14:textFill>
            <w14:solidFill>
              <w14:schemeClr w14:val="tx1"/>
            </w14:solidFill>
          </w14:textFill>
        </w:rPr>
      </w:pPr>
      <w:r>
        <w:rPr>
          <w:rFonts w:hint="eastAsia" w:asciiTheme="minorEastAsia" w:hAnsiTheme="minorEastAsia"/>
          <w:b/>
          <w:color w:val="000000" w:themeColor="text1"/>
          <w:highlight w:val="none"/>
          <w14:textFill>
            <w14:solidFill>
              <w14:schemeClr w14:val="tx1"/>
            </w14:solidFill>
          </w14:textFill>
        </w:rPr>
        <w:t>一、项目一览表：</w:t>
      </w:r>
    </w:p>
    <w:tbl>
      <w:tblPr>
        <w:tblStyle w:val="9"/>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服务期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000000" w:themeColor="text1"/>
                <w:kern w:val="0"/>
                <w:szCs w:val="21"/>
                <w:highlight w:val="none"/>
                <w:lang w:val="en-US"/>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阳西县新圩初级中学中考学科教师备考能力提升培训项目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合同签订后1个月内完成。</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100000.00</w:t>
            </w:r>
            <w:r>
              <w:rPr>
                <w:rFonts w:hint="eastAsia" w:cs="宋体" w:asciiTheme="minorEastAsia" w:hAnsiTheme="minorEastAsia"/>
                <w:color w:val="000000" w:themeColor="text1"/>
                <w:kern w:val="0"/>
                <w:szCs w:val="21"/>
                <w:highlight w:val="none"/>
                <w:lang w:val="zh-CN"/>
                <w14:textFill>
                  <w14:solidFill>
                    <w14:schemeClr w14:val="tx1"/>
                  </w14:solidFill>
                </w14:textFill>
              </w:rPr>
              <w:t>元</w:t>
            </w:r>
          </w:p>
        </w:tc>
      </w:tr>
    </w:tbl>
    <w:p>
      <w:pPr>
        <w:spacing w:line="360" w:lineRule="auto"/>
        <w:ind w:firstLine="424" w:firstLineChars="201"/>
        <w:jc w:val="left"/>
        <w:rPr>
          <w:rFonts w:asciiTheme="minorEastAsia" w:hAnsiTheme="minor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二、商务要求</w:t>
      </w:r>
    </w:p>
    <w:p>
      <w:pPr>
        <w:pStyle w:val="15"/>
        <w:numPr>
          <w:ilvl w:val="0"/>
          <w:numId w:val="0"/>
        </w:numPr>
        <w:tabs>
          <w:tab w:val="left" w:pos="709"/>
          <w:tab w:val="left" w:pos="993"/>
        </w:tabs>
        <w:spacing w:line="360" w:lineRule="auto"/>
        <w:ind w:left="0" w:leftChars="0" w:firstLine="420" w:firstLineChars="0"/>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(一)</w:t>
      </w:r>
      <w:r>
        <w:rPr>
          <w:rStyle w:val="12"/>
          <w:rFonts w:hint="eastAsia"/>
          <w:color w:val="000000" w:themeColor="text1"/>
          <w:highlight w:val="none"/>
          <w14:textFill>
            <w14:solidFill>
              <w14:schemeClr w14:val="tx1"/>
            </w14:solidFill>
          </w14:textFill>
        </w:rPr>
        <w:t>资格条件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1、</w:t>
      </w:r>
      <w:r>
        <w:rPr>
          <w:rStyle w:val="12"/>
          <w:rFonts w:hint="eastAsia" w:ascii="宋体" w:hAnsi="宋体" w:eastAsia="宋体" w:cs="宋体"/>
          <w:b w:val="0"/>
          <w:bCs w:val="0"/>
          <w:color w:val="000000" w:themeColor="text1"/>
          <w:highlight w:val="none"/>
          <w14:textFill>
            <w14:solidFill>
              <w14:schemeClr w14:val="tx1"/>
            </w14:solidFill>
          </w14:textFill>
        </w:rPr>
        <w:t>具有独立承担民事责任的在中华人民共和国境内注册的法人或其他组织（提供法人或其他组织的营业执照等证明材料）；</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w:t>
      </w:r>
      <w:r>
        <w:rPr>
          <w:rStyle w:val="12"/>
          <w:rFonts w:hint="eastAsia" w:ascii="宋体" w:hAnsi="宋体" w:eastAsia="宋体" w:cs="宋体"/>
          <w:b w:val="0"/>
          <w:bCs w:val="0"/>
          <w:color w:val="000000" w:themeColor="text1"/>
          <w:highlight w:val="none"/>
          <w:lang w:eastAsia="zh-Hans"/>
          <w14:textFill>
            <w14:solidFill>
              <w14:schemeClr w14:val="tx1"/>
            </w14:solidFill>
          </w14:textFill>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w:t>
      </w:r>
      <w:r>
        <w:rPr>
          <w:rStyle w:val="12"/>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2"/>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年内，没有被行政主管部门公开通报记录。（提供《承诺书》格式自拟）</w:t>
      </w:r>
    </w:p>
    <w:p>
      <w:pPr>
        <w:pStyle w:val="15"/>
        <w:numPr>
          <w:ilvl w:val="0"/>
          <w:numId w:val="0"/>
        </w:numPr>
        <w:tabs>
          <w:tab w:val="left" w:pos="709"/>
          <w:tab w:val="left" w:pos="993"/>
        </w:tabs>
        <w:spacing w:line="360" w:lineRule="auto"/>
        <w:ind w:left="0" w:leftChars="0" w:firstLine="420" w:firstLineChars="0"/>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(二)服务</w:t>
      </w:r>
      <w:r>
        <w:rPr>
          <w:rStyle w:val="12"/>
          <w:rFonts w:hint="eastAsia"/>
          <w:color w:val="000000" w:themeColor="text1"/>
          <w:highlight w:val="none"/>
          <w14:textFill>
            <w14:solidFill>
              <w14:schemeClr w14:val="tx1"/>
            </w14:solidFill>
          </w14:textFill>
        </w:rPr>
        <w:t>地点</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地点：采购人指定地点。</w:t>
      </w:r>
    </w:p>
    <w:p>
      <w:pPr>
        <w:pStyle w:val="15"/>
        <w:numPr>
          <w:numId w:val="0"/>
        </w:numPr>
        <w:tabs>
          <w:tab w:val="left" w:pos="709"/>
          <w:tab w:val="left" w:pos="993"/>
        </w:tabs>
        <w:spacing w:line="360" w:lineRule="auto"/>
        <w:ind w:left="420" w:leftChars="0"/>
        <w:rPr>
          <w:rStyle w:val="12"/>
          <w:b/>
          <w:bCs/>
          <w:color w:val="auto"/>
        </w:rPr>
      </w:pPr>
      <w:r>
        <w:rPr>
          <w:rStyle w:val="12"/>
          <w:rFonts w:hint="eastAsia"/>
          <w:b/>
          <w:bCs/>
          <w:color w:val="auto"/>
          <w:lang w:eastAsia="zh-CN"/>
        </w:rPr>
        <w:t>（</w:t>
      </w:r>
      <w:r>
        <w:rPr>
          <w:rStyle w:val="12"/>
          <w:rFonts w:hint="eastAsia"/>
          <w:b/>
          <w:bCs/>
          <w:color w:val="auto"/>
          <w:lang w:val="en-US" w:eastAsia="zh-CN"/>
        </w:rPr>
        <w:t>三</w:t>
      </w:r>
      <w:r>
        <w:rPr>
          <w:rStyle w:val="12"/>
          <w:rFonts w:hint="eastAsia"/>
          <w:b/>
          <w:bCs/>
          <w:color w:val="auto"/>
          <w:lang w:eastAsia="zh-CN"/>
        </w:rPr>
        <w:t>）</w:t>
      </w:r>
      <w:r>
        <w:rPr>
          <w:rStyle w:val="12"/>
          <w:rFonts w:hint="eastAsia"/>
          <w:b/>
          <w:bCs/>
          <w:color w:val="auto"/>
        </w:rPr>
        <w:t>验收要求</w:t>
      </w:r>
    </w:p>
    <w:p>
      <w:pPr>
        <w:spacing w:line="360" w:lineRule="auto"/>
        <w:ind w:left="420" w:leftChars="200"/>
        <w:jc w:val="left"/>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auto"/>
          <w:spacing w:val="10"/>
          <w:szCs w:val="21"/>
        </w:rPr>
        <w:t>采购人按照项目指标量进行要求验收。</w:t>
      </w:r>
    </w:p>
    <w:p>
      <w:pPr>
        <w:spacing w:line="360" w:lineRule="auto"/>
        <w:ind w:left="420" w:leftChars="200"/>
        <w:jc w:val="left"/>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(四）</w:t>
      </w:r>
      <w:r>
        <w:rPr>
          <w:rStyle w:val="12"/>
          <w:rFonts w:hint="eastAsia"/>
          <w:color w:val="000000" w:themeColor="text1"/>
          <w:highlight w:val="none"/>
          <w14:textFill>
            <w14:solidFill>
              <w14:schemeClr w14:val="tx1"/>
            </w14:solidFill>
          </w14:textFill>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ascii="宋体" w:hAnsi="宋体" w:cs="宋体"/>
          <w:bCs/>
          <w:color w:val="auto"/>
          <w:szCs w:val="21"/>
          <w:lang w:eastAsia="zh-CN"/>
        </w:rPr>
        <w:t>具体以签订合同为准</w:t>
      </w:r>
      <w:r>
        <w:rPr>
          <w:rFonts w:hint="eastAsia" w:ascii="宋体" w:hAnsi="宋体" w:cs="宋体"/>
          <w:bCs/>
          <w:color w:val="auto"/>
          <w:szCs w:val="21"/>
        </w:rPr>
        <w:t>。</w:t>
      </w:r>
    </w:p>
    <w:p>
      <w:pPr>
        <w:numPr>
          <w:ilvl w:val="0"/>
          <w:numId w:val="0"/>
        </w:numPr>
        <w:spacing w:line="360" w:lineRule="auto"/>
        <w:ind w:firstLine="424" w:firstLineChars="201"/>
        <w:jc w:val="left"/>
        <w:rPr>
          <w:rFonts w:hint="default" w:asciiTheme="minorEastAsia" w:hAnsiTheme="minorEastAsia" w:eastAsiaTheme="minorEastAsia" w:cstheme="minorBidi"/>
          <w:b/>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cstheme="minorBidi"/>
          <w:b/>
          <w:color w:val="000000" w:themeColor="text1"/>
          <w:kern w:val="2"/>
          <w:sz w:val="21"/>
          <w:szCs w:val="24"/>
          <w:highlight w:val="none"/>
          <w:lang w:val="en-US" w:eastAsia="zh-CN" w:bidi="ar-SA"/>
          <w14:textFill>
            <w14:solidFill>
              <w14:schemeClr w14:val="tx1"/>
            </w14:solidFill>
          </w14:textFill>
        </w:rPr>
        <w:t>三、服务地点：</w:t>
      </w:r>
      <w:r>
        <w:rPr>
          <w:rFonts w:hint="eastAsia" w:asciiTheme="minorEastAsia" w:hAnsiTheme="minorEastAsia" w:cstheme="minorBidi"/>
          <w:b w:val="0"/>
          <w:bCs/>
          <w:color w:val="000000" w:themeColor="text1"/>
          <w:kern w:val="2"/>
          <w:sz w:val="21"/>
          <w:szCs w:val="24"/>
          <w:highlight w:val="none"/>
          <w:lang w:val="en-US" w:eastAsia="zh-CN" w:bidi="ar-SA"/>
          <w14:textFill>
            <w14:solidFill>
              <w14:schemeClr w14:val="tx1"/>
            </w14:solidFill>
          </w14:textFill>
        </w:rPr>
        <w:t>采购人指定地点。</w:t>
      </w:r>
    </w:p>
    <w:p>
      <w:pPr>
        <w:numPr>
          <w:ilvl w:val="0"/>
          <w:numId w:val="0"/>
        </w:numPr>
        <w:spacing w:line="360" w:lineRule="auto"/>
        <w:ind w:firstLine="424" w:firstLineChars="201"/>
        <w:jc w:val="left"/>
        <w:rPr>
          <w:b/>
          <w:bCs/>
          <w:lang w:val="zh-CN"/>
        </w:rPr>
      </w:pPr>
      <w:r>
        <w:rPr>
          <w:rFonts w:hint="eastAsia" w:cstheme="minorBidi"/>
          <w:b/>
          <w:bCs/>
          <w:kern w:val="2"/>
          <w:sz w:val="21"/>
          <w:szCs w:val="24"/>
          <w:lang w:val="en-US" w:eastAsia="zh-CN" w:bidi="ar-SA"/>
        </w:rPr>
        <w:t>四</w:t>
      </w:r>
      <w:r>
        <w:rPr>
          <w:rFonts w:hint="eastAsia" w:asciiTheme="minorHAnsi" w:hAnsiTheme="minorHAnsi" w:eastAsiaTheme="minorEastAsia" w:cstheme="minorBidi"/>
          <w:b/>
          <w:bCs/>
          <w:kern w:val="2"/>
          <w:sz w:val="21"/>
          <w:szCs w:val="24"/>
          <w:lang w:val="zh-CN" w:eastAsia="zh-CN" w:bidi="ar-SA"/>
        </w:rPr>
        <w:t>、</w:t>
      </w:r>
      <w:r>
        <w:rPr>
          <w:rFonts w:hint="eastAsia"/>
          <w:b/>
          <w:bCs/>
          <w:color w:val="auto"/>
          <w:lang w:val="zh-CN"/>
        </w:rPr>
        <w:t>项目概况</w:t>
      </w:r>
    </w:p>
    <w:p>
      <w:pPr>
        <w:spacing w:line="360" w:lineRule="auto"/>
        <w:ind w:firstLine="460" w:firstLineChars="200"/>
        <w:jc w:val="left"/>
        <w:rPr>
          <w:rFonts w:hint="eastAsia" w:ascii="宋体" w:hAnsi="宋体"/>
          <w:bCs/>
          <w:color w:val="auto"/>
          <w:spacing w:val="10"/>
          <w:szCs w:val="21"/>
          <w:lang w:val="en-US" w:eastAsia="zh-CN"/>
        </w:rPr>
      </w:pPr>
      <w:r>
        <w:rPr>
          <w:rFonts w:hint="eastAsia" w:ascii="宋体" w:hAnsi="宋体"/>
          <w:bCs/>
          <w:color w:val="auto"/>
          <w:spacing w:val="10"/>
          <w:szCs w:val="21"/>
          <w:lang w:val="en-US" w:eastAsia="zh-CN"/>
        </w:rPr>
        <w:t>为学习贯彻新中考方案精神，推进学校对新课标、新中考的深入研究，提高广大教师适应新时代的能力，保持全校教育可持续发展</w:t>
      </w:r>
      <w:r>
        <w:rPr>
          <w:rFonts w:hint="eastAsia" w:ascii="宋体" w:hAnsi="宋体"/>
          <w:bCs/>
          <w:color w:val="auto"/>
          <w:spacing w:val="10"/>
          <w:szCs w:val="21"/>
          <w:lang w:val="en-US" w:eastAsia="zh-CN"/>
        </w:rPr>
        <w:t>，</w:t>
      </w:r>
      <w:r>
        <w:rPr>
          <w:rFonts w:hint="eastAsia" w:ascii="宋体" w:hAnsi="宋体"/>
          <w:bCs/>
          <w:color w:val="auto"/>
          <w:spacing w:val="10"/>
          <w:szCs w:val="21"/>
          <w:lang w:val="en-US" w:eastAsia="zh-CN"/>
        </w:rPr>
        <w:t>阳西县新圩初级中学将联合</w:t>
      </w:r>
      <w:r>
        <w:rPr>
          <w:rFonts w:hint="eastAsia" w:ascii="宋体" w:hAnsi="宋体"/>
          <w:bCs/>
          <w:color w:val="auto"/>
          <w:spacing w:val="10"/>
          <w:szCs w:val="21"/>
          <w:lang w:val="en-US" w:eastAsia="zh-CN"/>
        </w:rPr>
        <w:t>成交供应商开展</w:t>
      </w:r>
      <w:r>
        <w:rPr>
          <w:rFonts w:hint="eastAsia" w:ascii="宋体" w:hAnsi="宋体"/>
          <w:bCs/>
          <w:color w:val="auto"/>
          <w:spacing w:val="10"/>
          <w:szCs w:val="21"/>
          <w:lang w:val="en-US" w:eastAsia="zh-CN"/>
        </w:rPr>
        <w:t>阳西县新圩初级中学中考学科教师备考能力提升培训。</w:t>
      </w:r>
    </w:p>
    <w:p>
      <w:pPr>
        <w:numPr>
          <w:ilvl w:val="0"/>
          <w:numId w:val="0"/>
        </w:numPr>
        <w:spacing w:line="360" w:lineRule="auto"/>
        <w:ind w:firstLine="464" w:firstLineChars="201"/>
        <w:jc w:val="left"/>
        <w:rPr>
          <w:rFonts w:hint="eastAsia" w:ascii="宋体" w:hAnsi="宋体"/>
          <w:b/>
          <w:bCs w:val="0"/>
          <w:color w:val="auto"/>
          <w:spacing w:val="10"/>
          <w:szCs w:val="21"/>
          <w:lang w:val="en-US" w:eastAsia="zh-CN"/>
        </w:rPr>
      </w:pPr>
      <w:r>
        <w:rPr>
          <w:rFonts w:hint="eastAsia" w:ascii="宋体" w:hAnsi="宋体" w:cstheme="minorBidi"/>
          <w:b/>
          <w:bCs w:val="0"/>
          <w:color w:val="auto"/>
          <w:spacing w:val="10"/>
          <w:kern w:val="2"/>
          <w:sz w:val="21"/>
          <w:szCs w:val="21"/>
          <w:lang w:val="en-US" w:eastAsia="zh-CN" w:bidi="ar-SA"/>
        </w:rPr>
        <w:t>五</w:t>
      </w:r>
      <w:r>
        <w:rPr>
          <w:rFonts w:hint="eastAsia" w:ascii="宋体" w:hAnsi="宋体" w:eastAsiaTheme="minorEastAsia" w:cstheme="minorBidi"/>
          <w:b/>
          <w:bCs w:val="0"/>
          <w:color w:val="auto"/>
          <w:spacing w:val="10"/>
          <w:kern w:val="2"/>
          <w:sz w:val="21"/>
          <w:szCs w:val="21"/>
          <w:lang w:val="en-US" w:eastAsia="zh-CN" w:bidi="ar-SA"/>
        </w:rPr>
        <w:t>、</w:t>
      </w:r>
      <w:r>
        <w:rPr>
          <w:rFonts w:hint="eastAsia" w:ascii="宋体" w:hAnsi="宋体"/>
          <w:b/>
          <w:bCs w:val="0"/>
          <w:color w:val="auto"/>
          <w:spacing w:val="10"/>
          <w:szCs w:val="21"/>
          <w:lang w:val="en-US" w:eastAsia="zh-CN"/>
        </w:rPr>
        <w:t>项目要求</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auto"/>
          <w:spacing w:val="10"/>
          <w:szCs w:val="21"/>
          <w:lang w:val="en-US" w:eastAsia="zh-CN"/>
        </w:rPr>
      </w:pPr>
      <w:r>
        <w:rPr>
          <w:rFonts w:hint="eastAsia" w:asciiTheme="majorEastAsia" w:hAnsiTheme="majorEastAsia" w:eastAsiaTheme="majorEastAsia" w:cstheme="minorBidi"/>
          <w:b/>
          <w:bCs w:val="0"/>
          <w:color w:val="auto"/>
          <w:spacing w:val="10"/>
          <w:kern w:val="2"/>
          <w:sz w:val="21"/>
          <w:szCs w:val="21"/>
          <w:lang w:val="en-US" w:eastAsia="zh-CN" w:bidi="ar-SA"/>
        </w:rPr>
        <w:t>(一)</w:t>
      </w:r>
      <w:r>
        <w:rPr>
          <w:rFonts w:hint="eastAsia" w:ascii="宋体" w:hAnsi="宋体"/>
          <w:b/>
          <w:bCs w:val="0"/>
          <w:color w:val="auto"/>
          <w:spacing w:val="10"/>
          <w:szCs w:val="21"/>
          <w:lang w:val="en-US" w:eastAsia="zh-CN"/>
        </w:rPr>
        <w:t>工作要求</w:t>
      </w:r>
    </w:p>
    <w:p>
      <w:pPr>
        <w:pStyle w:val="15"/>
        <w:numPr>
          <w:ilvl w:val="0"/>
          <w:numId w:val="0"/>
        </w:numPr>
        <w:tabs>
          <w:tab w:val="left" w:pos="709"/>
          <w:tab w:val="left" w:pos="993"/>
        </w:tabs>
        <w:spacing w:line="360" w:lineRule="auto"/>
        <w:ind w:left="0" w:leftChars="0" w:firstLine="420" w:firstLineChars="0"/>
        <w:rPr>
          <w:rFonts w:hint="eastAsia" w:ascii="宋体" w:hAnsi="宋体"/>
          <w:b w:val="0"/>
          <w:bCs/>
          <w:color w:val="auto"/>
          <w:spacing w:val="10"/>
          <w:szCs w:val="21"/>
          <w:lang w:val="en-US" w:eastAsia="zh-CN"/>
        </w:rPr>
      </w:pPr>
      <w:r>
        <w:rPr>
          <w:rFonts w:hint="eastAsia" w:asciiTheme="majorEastAsia" w:hAnsiTheme="majorEastAsia" w:eastAsiaTheme="majorEastAsia" w:cstheme="minorBidi"/>
          <w:b w:val="0"/>
          <w:bCs/>
          <w:color w:val="auto"/>
          <w:spacing w:val="10"/>
          <w:kern w:val="2"/>
          <w:sz w:val="21"/>
          <w:szCs w:val="21"/>
          <w:lang w:val="en-US" w:eastAsia="zh-CN" w:bidi="ar-SA"/>
        </w:rPr>
        <w:t>1.</w:t>
      </w:r>
      <w:r>
        <w:rPr>
          <w:rFonts w:hint="eastAsia" w:ascii="宋体" w:hAnsi="宋体"/>
          <w:b w:val="0"/>
          <w:bCs/>
          <w:color w:val="auto"/>
          <w:spacing w:val="10"/>
          <w:szCs w:val="21"/>
          <w:lang w:val="en-US" w:eastAsia="zh-CN"/>
        </w:rPr>
        <w:t>主体性：发挥教师的主体性，激发的教师主体意识，鼓励主体性的成长， 变培训为教师主动学习、敢于创新的自觉行为。</w:t>
      </w:r>
    </w:p>
    <w:p>
      <w:pPr>
        <w:pStyle w:val="15"/>
        <w:numPr>
          <w:ilvl w:val="0"/>
          <w:numId w:val="0"/>
        </w:numPr>
        <w:tabs>
          <w:tab w:val="left" w:pos="709"/>
          <w:tab w:val="left" w:pos="993"/>
        </w:tabs>
        <w:spacing w:line="360" w:lineRule="auto"/>
        <w:ind w:left="0" w:leftChars="0" w:firstLine="420" w:firstLineChars="0"/>
        <w:rPr>
          <w:rFonts w:hint="eastAsia" w:ascii="宋体" w:hAnsi="宋体"/>
          <w:b w:val="0"/>
          <w:bCs/>
          <w:color w:val="auto"/>
          <w:spacing w:val="10"/>
          <w:szCs w:val="21"/>
          <w:lang w:val="en-US" w:eastAsia="zh-CN"/>
        </w:rPr>
      </w:pPr>
      <w:r>
        <w:rPr>
          <w:rFonts w:hint="eastAsia" w:asciiTheme="majorEastAsia" w:hAnsiTheme="majorEastAsia" w:eastAsiaTheme="majorEastAsia" w:cstheme="minorBidi"/>
          <w:b w:val="0"/>
          <w:bCs/>
          <w:color w:val="auto"/>
          <w:spacing w:val="10"/>
          <w:kern w:val="2"/>
          <w:sz w:val="21"/>
          <w:szCs w:val="21"/>
          <w:lang w:val="en-US" w:eastAsia="zh-CN" w:bidi="ar-SA"/>
        </w:rPr>
        <w:t>2.</w:t>
      </w:r>
      <w:r>
        <w:rPr>
          <w:rFonts w:hint="eastAsia" w:ascii="宋体" w:hAnsi="宋体"/>
          <w:b w:val="0"/>
          <w:bCs/>
          <w:color w:val="auto"/>
          <w:spacing w:val="10"/>
          <w:szCs w:val="21"/>
          <w:lang w:val="en-US" w:eastAsia="zh-CN"/>
        </w:rPr>
        <w:t>实用性：培训后能立即在课堂上和日常工作中运用。</w:t>
      </w:r>
    </w:p>
    <w:p>
      <w:pPr>
        <w:pStyle w:val="15"/>
        <w:numPr>
          <w:ilvl w:val="0"/>
          <w:numId w:val="0"/>
        </w:numPr>
        <w:tabs>
          <w:tab w:val="left" w:pos="709"/>
          <w:tab w:val="left" w:pos="993"/>
        </w:tabs>
        <w:spacing w:line="360" w:lineRule="auto"/>
        <w:ind w:left="0" w:leftChars="0" w:firstLine="420" w:firstLineChars="0"/>
        <w:rPr>
          <w:rFonts w:hint="eastAsia" w:ascii="宋体" w:hAnsi="宋体"/>
          <w:b w:val="0"/>
          <w:bCs/>
          <w:color w:val="auto"/>
          <w:spacing w:val="10"/>
          <w:szCs w:val="21"/>
          <w:lang w:val="en-US" w:eastAsia="zh-CN"/>
        </w:rPr>
      </w:pPr>
      <w:r>
        <w:rPr>
          <w:rFonts w:hint="eastAsia" w:asciiTheme="majorEastAsia" w:hAnsiTheme="majorEastAsia" w:eastAsiaTheme="majorEastAsia" w:cstheme="minorBidi"/>
          <w:b w:val="0"/>
          <w:bCs/>
          <w:color w:val="auto"/>
          <w:spacing w:val="10"/>
          <w:kern w:val="2"/>
          <w:sz w:val="21"/>
          <w:szCs w:val="21"/>
          <w:lang w:val="en-US" w:eastAsia="zh-CN" w:bidi="ar-SA"/>
        </w:rPr>
        <w:t>3.</w:t>
      </w:r>
      <w:r>
        <w:rPr>
          <w:rFonts w:hint="eastAsia" w:ascii="宋体" w:hAnsi="宋体"/>
          <w:b w:val="0"/>
          <w:bCs/>
          <w:color w:val="auto"/>
          <w:spacing w:val="10"/>
          <w:szCs w:val="21"/>
          <w:lang w:val="en-US" w:eastAsia="zh-CN"/>
        </w:rPr>
        <w:t>实效性：专家指导，引领高度，互动参与。</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auto"/>
          <w:spacing w:val="10"/>
          <w:szCs w:val="21"/>
          <w:lang w:val="en-US" w:eastAsia="zh-CN"/>
        </w:rPr>
      </w:pPr>
      <w:r>
        <w:rPr>
          <w:rFonts w:hint="eastAsia" w:asciiTheme="majorEastAsia" w:hAnsiTheme="majorEastAsia" w:eastAsiaTheme="majorEastAsia" w:cstheme="minorBidi"/>
          <w:b/>
          <w:bCs w:val="0"/>
          <w:color w:val="auto"/>
          <w:spacing w:val="10"/>
          <w:kern w:val="2"/>
          <w:sz w:val="21"/>
          <w:szCs w:val="21"/>
          <w:lang w:val="en-US" w:eastAsia="zh-CN" w:bidi="ar-SA"/>
        </w:rPr>
        <w:t>(二)</w:t>
      </w:r>
      <w:r>
        <w:rPr>
          <w:rFonts w:hint="eastAsia" w:ascii="宋体" w:hAnsi="宋体"/>
          <w:b/>
          <w:bCs w:val="0"/>
          <w:color w:val="auto"/>
          <w:spacing w:val="10"/>
          <w:szCs w:val="21"/>
          <w:lang w:val="en-US" w:eastAsia="zh-CN"/>
        </w:rPr>
        <w:t>工作目标</w:t>
      </w:r>
    </w:p>
    <w:p>
      <w:pPr>
        <w:spacing w:line="360" w:lineRule="auto"/>
        <w:ind w:firstLine="460" w:firstLineChars="200"/>
        <w:jc w:val="left"/>
        <w:rPr>
          <w:rFonts w:hint="eastAsia" w:ascii="宋体" w:hAnsi="宋体"/>
          <w:bCs/>
          <w:color w:val="auto"/>
          <w:spacing w:val="10"/>
          <w:szCs w:val="21"/>
          <w:lang w:val="zh-CN" w:eastAsia="zh-CN"/>
        </w:rPr>
      </w:pPr>
      <w:r>
        <w:rPr>
          <w:rFonts w:hint="eastAsia" w:ascii="宋体" w:hAnsi="宋体"/>
          <w:bCs/>
          <w:color w:val="auto"/>
          <w:spacing w:val="10"/>
          <w:szCs w:val="21"/>
          <w:lang w:val="zh-CN" w:eastAsia="zh-CN"/>
        </w:rPr>
        <w:t>形成一套符合本校学情的复习备考模式，师生的复习备考能力提升，中考成绩不断攀升，教学质量在广东省的排名不断上升。</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auto"/>
          <w:spacing w:val="10"/>
          <w:szCs w:val="21"/>
          <w:lang w:val="zh-CN" w:eastAsia="zh-CN"/>
        </w:rPr>
      </w:pPr>
      <w:r>
        <w:rPr>
          <w:rFonts w:hint="eastAsia" w:asciiTheme="majorEastAsia" w:hAnsiTheme="majorEastAsia" w:eastAsiaTheme="majorEastAsia" w:cstheme="minorBidi"/>
          <w:b/>
          <w:bCs w:val="0"/>
          <w:color w:val="auto"/>
          <w:spacing w:val="10"/>
          <w:kern w:val="2"/>
          <w:sz w:val="21"/>
          <w:szCs w:val="21"/>
          <w:lang w:val="zh-CN" w:eastAsia="zh-CN" w:bidi="ar-SA"/>
        </w:rPr>
        <w:t>(</w:t>
      </w:r>
      <w:r>
        <w:rPr>
          <w:rFonts w:hint="eastAsia" w:asciiTheme="majorEastAsia" w:hAnsiTheme="majorEastAsia" w:eastAsiaTheme="majorEastAsia" w:cstheme="minorBidi"/>
          <w:b/>
          <w:bCs w:val="0"/>
          <w:color w:val="auto"/>
          <w:spacing w:val="10"/>
          <w:kern w:val="2"/>
          <w:sz w:val="21"/>
          <w:szCs w:val="21"/>
          <w:lang w:val="en-US" w:eastAsia="zh-CN" w:bidi="ar-SA"/>
        </w:rPr>
        <w:t>三</w:t>
      </w:r>
      <w:r>
        <w:rPr>
          <w:rFonts w:hint="eastAsia" w:asciiTheme="majorEastAsia" w:hAnsiTheme="majorEastAsia" w:eastAsiaTheme="majorEastAsia" w:cstheme="minorBidi"/>
          <w:b/>
          <w:bCs w:val="0"/>
          <w:color w:val="auto"/>
          <w:spacing w:val="10"/>
          <w:kern w:val="2"/>
          <w:sz w:val="21"/>
          <w:szCs w:val="21"/>
          <w:lang w:val="zh-CN" w:eastAsia="zh-CN" w:bidi="ar-SA"/>
        </w:rPr>
        <w:t>)</w:t>
      </w:r>
      <w:r>
        <w:rPr>
          <w:rFonts w:hint="eastAsia" w:ascii="宋体" w:hAnsi="宋体"/>
          <w:b/>
          <w:bCs w:val="0"/>
          <w:color w:val="auto"/>
          <w:spacing w:val="10"/>
          <w:szCs w:val="21"/>
          <w:lang w:val="zh-CN" w:eastAsia="zh-CN"/>
        </w:rPr>
        <w:t>工作形式</w:t>
      </w:r>
    </w:p>
    <w:p>
      <w:pPr>
        <w:spacing w:line="360" w:lineRule="auto"/>
        <w:ind w:firstLine="460" w:firstLineChars="200"/>
        <w:jc w:val="left"/>
        <w:rPr>
          <w:rFonts w:hint="eastAsia" w:ascii="宋体" w:hAnsi="宋体"/>
          <w:bCs/>
          <w:color w:val="auto"/>
          <w:spacing w:val="10"/>
          <w:szCs w:val="21"/>
          <w:lang w:val="en-US" w:eastAsia="zh-CN"/>
        </w:rPr>
      </w:pPr>
      <w:r>
        <w:rPr>
          <w:rFonts w:hint="eastAsia" w:ascii="宋体" w:hAnsi="宋体"/>
          <w:bCs/>
          <w:color w:val="auto"/>
          <w:spacing w:val="10"/>
          <w:szCs w:val="21"/>
          <w:lang w:val="en-US" w:eastAsia="zh-CN"/>
        </w:rPr>
        <w:t>在培训过程中采取理念引领、案例分析、互动研讨、方法指导等多种方式进行推进，尤其注重学员的课堂参与度，以确保培训内容的落实，保证培训质量：</w:t>
      </w:r>
    </w:p>
    <w:p>
      <w:pPr>
        <w:numPr>
          <w:ilvl w:val="0"/>
          <w:numId w:val="1"/>
        </w:numPr>
        <w:tabs>
          <w:tab w:val="left" w:pos="142"/>
          <w:tab w:val="left" w:pos="425"/>
        </w:tabs>
        <w:spacing w:line="360" w:lineRule="auto"/>
        <w:ind w:left="0" w:firstLine="420"/>
        <w:rPr>
          <w:rFonts w:hint="eastAsia" w:ascii="宋体" w:hAnsi="宋体"/>
          <w:bCs/>
          <w:color w:val="auto"/>
          <w:szCs w:val="21"/>
          <w:lang w:val="en-US" w:eastAsia="zh-CN"/>
        </w:rPr>
      </w:pPr>
      <w:r>
        <w:rPr>
          <w:rFonts w:hint="eastAsia" w:ascii="宋体" w:hAnsi="宋体"/>
          <w:bCs/>
          <w:color w:val="auto"/>
          <w:szCs w:val="21"/>
          <w:lang w:val="en-US" w:eastAsia="zh-CN"/>
        </w:rPr>
        <w:t>理念引领</w:t>
      </w:r>
    </w:p>
    <w:p>
      <w:pPr>
        <w:numPr>
          <w:ilvl w:val="0"/>
          <w:numId w:val="0"/>
        </w:numPr>
        <w:tabs>
          <w:tab w:val="left" w:pos="142"/>
          <w:tab w:val="left" w:pos="425"/>
        </w:tabs>
        <w:spacing w:line="360" w:lineRule="auto"/>
        <w:ind w:left="420" w:leftChars="0"/>
        <w:rPr>
          <w:rFonts w:hint="eastAsia" w:ascii="宋体" w:hAnsi="宋体"/>
          <w:bCs/>
          <w:color w:val="auto"/>
          <w:szCs w:val="21"/>
          <w:lang w:val="en-US" w:eastAsia="zh-CN"/>
        </w:rPr>
      </w:pPr>
      <w:r>
        <w:rPr>
          <w:rFonts w:hint="eastAsia" w:ascii="宋体" w:hAnsi="宋体"/>
          <w:bCs/>
          <w:color w:val="auto"/>
          <w:szCs w:val="21"/>
          <w:lang w:val="en-US" w:eastAsia="zh-CN"/>
        </w:rPr>
        <w:t>由专家讲解试题研究命制规律，增强命题分析意识。</w:t>
      </w:r>
    </w:p>
    <w:p>
      <w:pPr>
        <w:numPr>
          <w:ilvl w:val="0"/>
          <w:numId w:val="1"/>
        </w:numPr>
        <w:tabs>
          <w:tab w:val="left" w:pos="142"/>
          <w:tab w:val="left" w:pos="425"/>
        </w:tabs>
        <w:spacing w:line="360" w:lineRule="auto"/>
        <w:ind w:left="0" w:firstLine="420"/>
        <w:rPr>
          <w:rFonts w:hint="eastAsia" w:ascii="宋体" w:hAnsi="宋体"/>
          <w:bCs/>
          <w:color w:val="auto"/>
          <w:szCs w:val="21"/>
          <w:lang w:val="en-US" w:eastAsia="zh-CN"/>
        </w:rPr>
      </w:pPr>
      <w:r>
        <w:rPr>
          <w:rFonts w:hint="eastAsia" w:ascii="宋体" w:hAnsi="宋体"/>
          <w:bCs/>
          <w:color w:val="auto"/>
          <w:szCs w:val="21"/>
          <w:lang w:val="en-US" w:eastAsia="zh-CN"/>
        </w:rPr>
        <w:t>案例分析</w:t>
      </w:r>
    </w:p>
    <w:p>
      <w:pPr>
        <w:numPr>
          <w:ilvl w:val="0"/>
          <w:numId w:val="0"/>
        </w:numPr>
        <w:tabs>
          <w:tab w:val="left" w:pos="142"/>
          <w:tab w:val="left" w:pos="425"/>
        </w:tabs>
        <w:spacing w:line="360" w:lineRule="auto"/>
        <w:ind w:left="420" w:leftChars="0"/>
        <w:rPr>
          <w:rFonts w:hint="eastAsia" w:ascii="宋体" w:hAnsi="宋体"/>
          <w:bCs/>
          <w:color w:val="auto"/>
          <w:szCs w:val="21"/>
          <w:lang w:val="en-US" w:eastAsia="zh-CN"/>
        </w:rPr>
      </w:pPr>
      <w:r>
        <w:rPr>
          <w:rFonts w:hint="eastAsia" w:ascii="宋体" w:hAnsi="宋体"/>
          <w:bCs/>
          <w:color w:val="auto"/>
          <w:szCs w:val="21"/>
          <w:lang w:val="en-US" w:eastAsia="zh-CN"/>
        </w:rPr>
        <w:t>挑选经典案例，设置问题，供学员剖析。</w:t>
      </w:r>
    </w:p>
    <w:p>
      <w:pPr>
        <w:numPr>
          <w:ilvl w:val="0"/>
          <w:numId w:val="1"/>
        </w:numPr>
        <w:tabs>
          <w:tab w:val="left" w:pos="142"/>
          <w:tab w:val="left" w:pos="425"/>
        </w:tabs>
        <w:spacing w:line="360" w:lineRule="auto"/>
        <w:ind w:left="0" w:firstLine="420"/>
        <w:rPr>
          <w:rFonts w:hint="eastAsia" w:ascii="宋体" w:hAnsi="宋体"/>
          <w:bCs/>
          <w:color w:val="auto"/>
          <w:szCs w:val="21"/>
          <w:lang w:val="en-US" w:eastAsia="zh-CN"/>
        </w:rPr>
      </w:pPr>
      <w:r>
        <w:rPr>
          <w:rFonts w:hint="eastAsia" w:ascii="宋体" w:hAnsi="宋体"/>
          <w:bCs/>
          <w:color w:val="auto"/>
          <w:szCs w:val="21"/>
          <w:lang w:val="en-US" w:eastAsia="zh-CN"/>
        </w:rPr>
        <w:t>互动研讨</w:t>
      </w:r>
    </w:p>
    <w:p>
      <w:pPr>
        <w:numPr>
          <w:ilvl w:val="0"/>
          <w:numId w:val="0"/>
        </w:numPr>
        <w:tabs>
          <w:tab w:val="left" w:pos="142"/>
          <w:tab w:val="left" w:pos="425"/>
        </w:tabs>
        <w:spacing w:line="360" w:lineRule="auto"/>
        <w:ind w:left="420" w:leftChars="0"/>
        <w:rPr>
          <w:rFonts w:hint="eastAsia" w:ascii="宋体" w:hAnsi="宋体"/>
          <w:bCs/>
          <w:color w:val="auto"/>
          <w:szCs w:val="21"/>
          <w:lang w:val="en-US" w:eastAsia="zh-CN"/>
        </w:rPr>
      </w:pPr>
      <w:r>
        <w:rPr>
          <w:rFonts w:hint="eastAsia" w:ascii="宋体" w:hAnsi="宋体"/>
          <w:bCs/>
          <w:color w:val="auto"/>
          <w:szCs w:val="21"/>
          <w:lang w:val="en-US" w:eastAsia="zh-CN"/>
        </w:rPr>
        <w:t>依据主题，专家学员深度研讨问题、剖析案例，提炼备考主张。</w:t>
      </w:r>
    </w:p>
    <w:p>
      <w:pPr>
        <w:numPr>
          <w:ilvl w:val="0"/>
          <w:numId w:val="1"/>
        </w:numPr>
        <w:tabs>
          <w:tab w:val="left" w:pos="142"/>
          <w:tab w:val="left" w:pos="425"/>
        </w:tabs>
        <w:spacing w:line="360" w:lineRule="auto"/>
        <w:ind w:left="0" w:firstLine="420"/>
        <w:rPr>
          <w:rFonts w:hint="eastAsia" w:ascii="宋体" w:hAnsi="宋体"/>
          <w:bCs/>
          <w:color w:val="auto"/>
          <w:szCs w:val="21"/>
          <w:lang w:val="en-US" w:eastAsia="zh-CN"/>
        </w:rPr>
      </w:pPr>
      <w:r>
        <w:rPr>
          <w:rFonts w:hint="eastAsia" w:ascii="宋体" w:hAnsi="宋体"/>
          <w:bCs/>
          <w:color w:val="auto"/>
          <w:szCs w:val="21"/>
          <w:lang w:val="en-US" w:eastAsia="zh-CN"/>
        </w:rPr>
        <w:t>方法指导</w:t>
      </w:r>
    </w:p>
    <w:p>
      <w:pPr>
        <w:numPr>
          <w:ilvl w:val="0"/>
          <w:numId w:val="0"/>
        </w:numPr>
        <w:tabs>
          <w:tab w:val="left" w:pos="142"/>
          <w:tab w:val="left" w:pos="425"/>
        </w:tabs>
        <w:spacing w:line="360" w:lineRule="auto"/>
        <w:ind w:left="420" w:leftChars="0"/>
        <w:rPr>
          <w:rFonts w:hint="eastAsia" w:ascii="宋体" w:hAnsi="宋体"/>
          <w:bCs/>
          <w:color w:val="auto"/>
          <w:szCs w:val="21"/>
          <w:lang w:val="en-US" w:eastAsia="zh-CN"/>
        </w:rPr>
      </w:pPr>
      <w:r>
        <w:rPr>
          <w:rFonts w:hint="eastAsia" w:ascii="宋体" w:hAnsi="宋体"/>
          <w:bCs/>
          <w:color w:val="auto"/>
          <w:szCs w:val="21"/>
          <w:lang w:val="en-US" w:eastAsia="zh-CN"/>
        </w:rPr>
        <w:t>将备考技能进行步骤分解，扎实指导学员完成技能学习。</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auto"/>
          <w:spacing w:val="10"/>
          <w:szCs w:val="21"/>
          <w:lang w:val="en-US" w:eastAsia="zh-CN"/>
        </w:rPr>
      </w:pPr>
      <w:r>
        <w:rPr>
          <w:rFonts w:hint="eastAsia" w:asciiTheme="majorEastAsia" w:hAnsiTheme="majorEastAsia" w:eastAsiaTheme="majorEastAsia" w:cstheme="minorBidi"/>
          <w:b/>
          <w:bCs w:val="0"/>
          <w:color w:val="auto"/>
          <w:spacing w:val="10"/>
          <w:kern w:val="2"/>
          <w:sz w:val="21"/>
          <w:szCs w:val="21"/>
          <w:lang w:val="en-US" w:eastAsia="zh-CN" w:bidi="ar-SA"/>
        </w:rPr>
        <w:t>(四)</w:t>
      </w:r>
      <w:r>
        <w:rPr>
          <w:rFonts w:hint="eastAsia" w:ascii="宋体" w:hAnsi="宋体"/>
          <w:b/>
          <w:bCs w:val="0"/>
          <w:color w:val="auto"/>
          <w:spacing w:val="10"/>
          <w:szCs w:val="21"/>
          <w:lang w:val="en-US" w:eastAsia="zh-CN"/>
        </w:rPr>
        <w:t>其它要求</w:t>
      </w:r>
    </w:p>
    <w:p>
      <w:pPr>
        <w:spacing w:line="360" w:lineRule="auto"/>
        <w:ind w:firstLine="420" w:firstLineChars="200"/>
        <w:jc w:val="left"/>
        <w:rPr>
          <w:rFonts w:hint="eastAsia" w:ascii="宋体" w:hAnsi="宋体"/>
          <w:bCs/>
          <w:color w:val="auto"/>
          <w:szCs w:val="21"/>
          <w:lang w:val="en-US" w:eastAsia="zh-CN"/>
        </w:rPr>
      </w:pPr>
      <w:r>
        <w:rPr>
          <w:rFonts w:hint="eastAsia" w:ascii="宋体" w:hAnsi="宋体"/>
          <w:bCs/>
          <w:color w:val="auto"/>
          <w:szCs w:val="21"/>
          <w:lang w:val="en-US" w:eastAsia="zh-CN"/>
        </w:rPr>
        <w:t>本次项目主要采取集中培训、专家进校指导方式进行推进，以确保培训内容的落实，保证培训质量，成交供应商在合同签订前须提供具体的培训方案给采购人，内容包括但不限于：培训时间及地点安排、培训的组织与实施、培训的管理、培训人员安排、专家简介等。</w:t>
      </w:r>
      <w:bookmarkStart w:id="41" w:name="_GoBack"/>
      <w:bookmarkEnd w:id="41"/>
    </w:p>
    <w:p>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pPr>
        <w:pStyle w:val="8"/>
        <w:spacing w:before="0" w:after="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报名、报价附件</w:t>
      </w:r>
    </w:p>
    <w:p>
      <w:pPr>
        <w:pStyle w:val="15"/>
        <w:numPr>
          <w:ilvl w:val="0"/>
          <w:numId w:val="0"/>
        </w:numPr>
        <w:ind w:left="420" w:leftChars="0" w:hanging="420" w:firstLineChars="0"/>
        <w:rPr>
          <w:color w:val="000000" w:themeColor="text1"/>
          <w:highlight w:val="none"/>
          <w:lang w:val="zh-CN"/>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附件1.</w:t>
      </w:r>
    </w:p>
    <w:p>
      <w:pPr>
        <w:pStyle w:val="2"/>
        <w:spacing w:before="0" w:after="0"/>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报 价 表</w:t>
      </w:r>
    </w:p>
    <w:tbl>
      <w:tblPr>
        <w:tblStyle w:val="9"/>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2483" w:type="dxa"/>
            <w:vAlign w:val="center"/>
          </w:tcPr>
          <w:p>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采购内容</w:t>
            </w:r>
          </w:p>
        </w:tc>
        <w:tc>
          <w:tcPr>
            <w:tcW w:w="1167" w:type="dxa"/>
            <w:vAlign w:val="center"/>
          </w:tcPr>
          <w:p>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3183" w:type="dxa"/>
            <w:vAlign w:val="center"/>
          </w:tcPr>
          <w:p>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报 价</w:t>
            </w:r>
          </w:p>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（人民币</w:t>
            </w:r>
            <w:r>
              <w:rPr>
                <w:rFonts w:hint="eastAsia" w:asciiTheme="minorEastAsia" w:hAnsiTheme="minorEastAsia"/>
                <w:b/>
                <w:color w:val="000000" w:themeColor="text1"/>
                <w:szCs w:val="21"/>
                <w:highlight w:val="none"/>
                <w:lang w:val="en-US" w:eastAsia="zh-CN"/>
                <w14:textFill>
                  <w14:solidFill>
                    <w14:schemeClr w14:val="tx1"/>
                  </w14:solidFill>
                </w14:textFill>
              </w:rPr>
              <w:t>/</w:t>
            </w:r>
            <w:r>
              <w:rPr>
                <w:rFonts w:hint="eastAsia" w:asciiTheme="minorEastAsia" w:hAnsiTheme="minorEastAsia"/>
                <w:b/>
                <w:color w:val="000000" w:themeColor="text1"/>
                <w:szCs w:val="21"/>
                <w:highlight w:val="none"/>
                <w14:textFill>
                  <w14:solidFill>
                    <w14:schemeClr w14:val="tx1"/>
                  </w14:solidFill>
                </w14:textFill>
              </w:rPr>
              <w:t>元）</w:t>
            </w:r>
          </w:p>
        </w:tc>
        <w:tc>
          <w:tcPr>
            <w:tcW w:w="1696" w:type="dxa"/>
            <w:vAlign w:val="center"/>
          </w:tcPr>
          <w:p>
            <w:pPr>
              <w:spacing w:line="360" w:lineRule="auto"/>
              <w:jc w:val="center"/>
              <w:rPr>
                <w:rFonts w:hint="eastAsia" w:asciiTheme="minorEastAsia" w:hAnsiTheme="minorEastAsia" w:eastAsiaTheme="minorEastAsia"/>
                <w:b/>
                <w:color w:val="000000" w:themeColor="text1"/>
                <w:szCs w:val="21"/>
                <w:highlight w:val="none"/>
                <w:lang w:eastAsia="zh-CN"/>
                <w14:textFill>
                  <w14:solidFill>
                    <w14:schemeClr w14:val="tx1"/>
                  </w14:solidFill>
                </w14:textFill>
              </w:rPr>
            </w:pPr>
            <w:r>
              <w:rPr>
                <w:rFonts w:hint="eastAsia" w:asciiTheme="minorEastAsia" w:hAnsiTheme="minorEastAsia"/>
                <w:b/>
                <w:color w:val="000000" w:themeColor="text1"/>
                <w:highlight w:val="none"/>
                <w:lang w:eastAsia="zh-CN"/>
                <w14:textFill>
                  <w14:solidFill>
                    <w14:schemeClr w14:val="tx1"/>
                  </w14:solidFill>
                </w14:textFill>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2483" w:type="dxa"/>
            <w:vAlign w:val="center"/>
          </w:tcPr>
          <w:p>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阳西县新圩初级中学中考学科教师备考能力提升培训项目</w:t>
            </w:r>
          </w:p>
        </w:tc>
        <w:tc>
          <w:tcPr>
            <w:tcW w:w="1167" w:type="dxa"/>
            <w:vAlign w:val="center"/>
          </w:tcPr>
          <w:p>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3183" w:type="dxa"/>
            <w:vAlign w:val="center"/>
          </w:tcPr>
          <w:p>
            <w:pPr>
              <w:spacing w:line="360" w:lineRule="auto"/>
              <w:jc w:val="lef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小写：</w:t>
            </w:r>
            <w:r>
              <w:rPr>
                <w:rFonts w:hint="eastAsia" w:asciiTheme="minorEastAsia" w:hAnsiTheme="minorEastAsia"/>
                <w:color w:val="000000" w:themeColor="text1"/>
                <w:szCs w:val="21"/>
                <w:highlight w:val="none"/>
                <w:u w:val="single"/>
                <w14:textFill>
                  <w14:solidFill>
                    <w14:schemeClr w14:val="tx1"/>
                  </w14:solidFill>
                </w14:textFill>
              </w:rPr>
              <w:t xml:space="preserve">                    </w:t>
            </w:r>
          </w:p>
          <w:p>
            <w:pPr>
              <w:spacing w:line="360" w:lineRule="auto"/>
              <w:jc w:val="left"/>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大写：</w:t>
            </w:r>
            <w:r>
              <w:rPr>
                <w:rFonts w:hint="eastAsia" w:asciiTheme="minorEastAsia" w:hAnsiTheme="minorEastAsia"/>
                <w:color w:val="000000" w:themeColor="text1"/>
                <w:szCs w:val="21"/>
                <w:highlight w:val="none"/>
                <w:u w:val="single"/>
                <w14:textFill>
                  <w14:solidFill>
                    <w14:schemeClr w14:val="tx1"/>
                  </w14:solidFill>
                </w14:textFill>
              </w:rPr>
              <w:t xml:space="preserve">                    </w:t>
            </w:r>
          </w:p>
        </w:tc>
        <w:tc>
          <w:tcPr>
            <w:tcW w:w="1696" w:type="dxa"/>
            <w:vAlign w:val="center"/>
          </w:tcPr>
          <w:p>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合同签订后1个月内完成。</w:t>
            </w:r>
          </w:p>
        </w:tc>
      </w:tr>
    </w:tbl>
    <w:p>
      <w:pPr>
        <w:spacing w:line="500" w:lineRule="exact"/>
        <w:rPr>
          <w:rFonts w:asciiTheme="minorEastAsia" w:hAnsiTheme="minorEastAsia"/>
          <w:b/>
          <w:color w:val="000000" w:themeColor="text1"/>
          <w:spacing w:val="4"/>
          <w:szCs w:val="21"/>
          <w:highlight w:val="none"/>
          <w14:textFill>
            <w14:solidFill>
              <w14:schemeClr w14:val="tx1"/>
            </w14:solidFill>
          </w14:textFill>
        </w:rPr>
      </w:pPr>
    </w:p>
    <w:p>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pPr>
        <w:pStyle w:val="7"/>
        <w:numPr>
          <w:ilvl w:val="0"/>
          <w:numId w:val="2"/>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singl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single"/>
          <w14:textFill>
            <w14:solidFill>
              <w14:schemeClr w14:val="tx1"/>
            </w14:solidFill>
          </w14:textFill>
        </w:rPr>
        <w:t>；</w:t>
      </w:r>
    </w:p>
    <w:p>
      <w:pPr>
        <w:pStyle w:val="7"/>
        <w:numPr>
          <w:ilvl w:val="0"/>
          <w:numId w:val="2"/>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14:textFill>
            <w14:solidFill>
              <w14:schemeClr w14:val="tx1"/>
            </w14:solidFill>
          </w14:textFill>
        </w:rPr>
        <w:t>；</w:t>
      </w:r>
    </w:p>
    <w:p>
      <w:pPr>
        <w:pStyle w:val="7"/>
        <w:numPr>
          <w:ilvl w:val="0"/>
          <w:numId w:val="2"/>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pPr>
        <w:spacing w:line="500" w:lineRule="exac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14:textFill>
            <w14:solidFill>
              <w14:schemeClr w14:val="tx1"/>
            </w14:solidFill>
          </w14:textFill>
        </w:rPr>
        <w:t>供应商名称（</w:t>
      </w:r>
      <w:r>
        <w:rPr>
          <w:rFonts w:hint="eastAsia" w:asciiTheme="minorEastAsia" w:hAnsiTheme="minorEastAsia"/>
          <w:color w:val="000000" w:themeColor="text1"/>
          <w:szCs w:val="21"/>
          <w:highlight w:val="none"/>
          <w14:textFill>
            <w14:solidFill>
              <w14:schemeClr w14:val="tx1"/>
            </w14:solidFill>
          </w14:textFill>
        </w:rPr>
        <w:t>单位盖</w:t>
      </w:r>
      <w:r>
        <w:rPr>
          <w:rFonts w:hint="eastAsia" w:asciiTheme="minorEastAsia" w:hAnsiTheme="minorEastAsia"/>
          <w:color w:val="000000" w:themeColor="text1"/>
          <w:spacing w:val="4"/>
          <w:szCs w:val="21"/>
          <w:highlight w:val="none"/>
          <w14:textFill>
            <w14:solidFill>
              <w14:schemeClr w14:val="tx1"/>
            </w14:solidFill>
          </w14:textFill>
        </w:rPr>
        <w:t>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pPr>
        <w:pStyle w:val="15"/>
        <w:numPr>
          <w:ilvl w:val="0"/>
          <w:numId w:val="0"/>
        </w:numPr>
        <w:ind w:left="420" w:leftChars="0" w:hanging="420" w:firstLineChars="0"/>
        <w:rPr>
          <w:color w:val="000000" w:themeColor="text1"/>
          <w:highlight w:val="none"/>
          <w:lang w:val="zh-CN"/>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w:t>
      </w:r>
      <w:r>
        <w:rPr>
          <w:rFonts w:hint="eastAsia" w:cstheme="minorBidi"/>
          <w:b/>
          <w:color w:val="000000" w:themeColor="text1"/>
          <w:kern w:val="2"/>
          <w:sz w:val="32"/>
          <w:szCs w:val="24"/>
          <w:lang w:val="en-US" w:eastAsia="zh-CN" w:bidi="ar-SA"/>
          <w14:textFill>
            <w14:solidFill>
              <w14:schemeClr w14:val="tx1"/>
            </w14:solidFill>
          </w14:textFill>
        </w:rPr>
        <w:t>2</w:t>
      </w: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w:t>
      </w:r>
    </w:p>
    <w:p>
      <w:pPr>
        <w:pStyle w:val="15"/>
        <w:numPr>
          <w:ilvl w:val="0"/>
          <w:numId w:val="0"/>
        </w:numPr>
        <w:ind w:leftChars="0"/>
        <w:rPr>
          <w:rFonts w:ascii="宋体" w:hAnsi="宋体" w:eastAsia="宋体"/>
          <w:color w:val="000000" w:themeColor="text1"/>
          <w:highlight w:val="none"/>
          <w14:textFill>
            <w14:solidFill>
              <w14:schemeClr w14:val="tx1"/>
            </w14:solidFill>
          </w14:textFill>
        </w:rPr>
      </w:pPr>
    </w:p>
    <w:p>
      <w:pPr>
        <w:pStyle w:val="2"/>
        <w:numPr>
          <w:ilvl w:val="0"/>
          <w:numId w:val="0"/>
        </w:numPr>
        <w:jc w:val="center"/>
        <w:rPr>
          <w:color w:val="000000" w:themeColor="text1"/>
          <w:highlight w:val="none"/>
          <w14:textFill>
            <w14:solidFill>
              <w14:schemeClr w14:val="tx1"/>
            </w14:solidFill>
          </w14:textFill>
        </w:rPr>
      </w:pPr>
      <w:bookmarkStart w:id="0" w:name="_Toc382404103"/>
      <w:bookmarkStart w:id="1" w:name="_Toc22374"/>
      <w:r>
        <w:rPr>
          <w:rFonts w:hint="eastAsia"/>
          <w:color w:val="000000" w:themeColor="text1"/>
          <w:highlight w:val="none"/>
          <w14:textFill>
            <w14:solidFill>
              <w14:schemeClr w14:val="tx1"/>
            </w14:solidFill>
          </w14:textFill>
        </w:rPr>
        <w:t>（一）法定代表人（负责人）证明书</w:t>
      </w:r>
      <w:bookmarkEnd w:id="0"/>
      <w:bookmarkEnd w:id="1"/>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2" w:name="_Toc342296775"/>
      <w:bookmarkStart w:id="3" w:name="_Toc331512915"/>
      <w:bookmarkStart w:id="4" w:name="_Toc340672883"/>
      <w:bookmarkStart w:id="5" w:name="_Toc29726"/>
      <w:bookmarkStart w:id="6" w:name="_Toc340507456"/>
      <w:bookmarkStart w:id="7" w:name="_Toc337632372"/>
      <w:bookmarkStart w:id="8" w:name="_Toc336681949"/>
      <w:bookmarkStart w:id="9" w:name="_Toc350756464"/>
      <w:bookmarkStart w:id="10" w:name="_Toc339362314"/>
      <w:bookmarkStart w:id="11" w:name="_Toc342312457"/>
      <w:bookmarkStart w:id="12" w:name="_Toc382404104"/>
      <w:bookmarkStart w:id="13" w:name="_Toc366072543"/>
      <w:bookmarkStart w:id="14" w:name="_Toc365985192"/>
      <w:bookmarkStart w:id="15" w:name="_Toc330460000"/>
      <w:bookmarkStart w:id="16" w:name="_Toc339019903"/>
      <w:bookmarkStart w:id="17" w:name="_Toc343248432"/>
      <w:bookmarkStart w:id="18" w:name="_Toc333935360"/>
      <w:bookmarkStart w:id="19" w:name="_Toc350438763"/>
      <w:bookmarkStart w:id="20" w:name="_Toc333935701"/>
      <w:bookmarkStart w:id="21" w:name="_Toc343247114"/>
      <w:bookmarkStart w:id="22" w:name="_Toc333238648"/>
      <w:bookmarkStart w:id="23" w:name="_Toc332206723"/>
      <w:bookmarkStart w:id="24" w:name="_Toc365967086"/>
      <w:bookmarkStart w:id="25" w:name="_Toc336681594"/>
      <w:bookmarkStart w:id="26" w:name="_Toc340677084"/>
      <w:bookmarkStart w:id="27" w:name="_Toc342060389"/>
      <w:bookmarkStart w:id="28" w:name="_Toc333237692"/>
      <w:bookmarkStart w:id="29" w:name="_Toc339441101"/>
      <w:bookmarkStart w:id="30" w:name="_Toc339020029"/>
      <w:bookmarkStart w:id="31" w:name="_Toc341348354"/>
      <w:bookmarkStart w:id="32" w:name="_Toc345312611"/>
      <w:bookmarkStart w:id="33" w:name="_Toc339020247"/>
      <w:bookmarkStart w:id="34" w:name="_Toc331684056"/>
      <w:bookmarkStart w:id="35" w:name="_Toc332270361"/>
      <w:bookmarkStart w:id="36" w:name="_Toc342398144"/>
      <w:bookmarkStart w:id="37" w:name="_Toc343612934"/>
      <w:bookmarkStart w:id="38" w:name="_Toc339020109"/>
      <w:bookmarkStart w:id="39" w:name="_Toc333237803"/>
      <w:r>
        <w:rPr>
          <w:rFonts w:hint="eastAsia"/>
          <w:color w:val="000000" w:themeColor="text1"/>
          <w:highlight w:val="none"/>
          <w14:textFill>
            <w14:solidFill>
              <w14:schemeClr w14:val="tx1"/>
            </w14:solidFill>
          </w14:textFill>
        </w:rPr>
        <w:t>（二）法定代表人（负责人）授权书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pStyle w:val="15"/>
        <w:numPr>
          <w:ilvl w:val="0"/>
          <w:numId w:val="0"/>
        </w:numPr>
        <w:ind w:left="420" w:leftChars="0" w:hanging="420" w:firstLineChars="0"/>
        <w:rPr>
          <w:color w:val="000000" w:themeColor="text1"/>
          <w:highlight w:val="none"/>
          <w:lang w:val="zh-CN"/>
          <w14:textFill>
            <w14:solidFill>
              <w14:schemeClr w14:val="tx1"/>
            </w14:solidFill>
          </w14:textFill>
        </w:rPr>
      </w:pPr>
      <w:bookmarkStart w:id="40" w:name="_Toc15411"/>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w:t>
      </w:r>
      <w:r>
        <w:rPr>
          <w:rFonts w:hint="eastAsia" w:cstheme="minorBidi"/>
          <w:b/>
          <w:color w:val="000000" w:themeColor="text1"/>
          <w:kern w:val="2"/>
          <w:sz w:val="32"/>
          <w:szCs w:val="24"/>
          <w:lang w:val="en-US" w:eastAsia="zh-CN" w:bidi="ar-SA"/>
          <w14:textFill>
            <w14:solidFill>
              <w14:schemeClr w14:val="tx1"/>
            </w14:solidFill>
          </w14:textFill>
        </w:rPr>
        <w:t>3</w:t>
      </w:r>
      <w:r>
        <w:rPr>
          <w:rFonts w:hint="eastAsia" w:cstheme="minorBidi"/>
          <w:b/>
          <w:color w:val="000000" w:themeColor="text1"/>
          <w:kern w:val="2"/>
          <w:sz w:val="32"/>
          <w:szCs w:val="24"/>
          <w:lang w:val="zh-CN" w:eastAsia="zh-CN" w:bidi="ar-SA"/>
          <w14:textFill>
            <w14:solidFill>
              <w14:schemeClr w14:val="tx1"/>
            </w14:solidFill>
          </w14:textFill>
        </w:rPr>
        <w:t>：</w:t>
      </w:r>
    </w:p>
    <w:p>
      <w:pPr>
        <w:pStyle w:val="2"/>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0"/>
    </w:p>
    <w:p>
      <w:pPr>
        <w:pStyle w:val="3"/>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2"/>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2"/>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16"/>
        <w:rPr>
          <w:rFonts w:hint="default"/>
          <w:color w:val="000000" w:themeColor="text1"/>
          <w:highlight w:val="none"/>
          <w:lang w:val="en-US" w:eastAsia="zh-CN"/>
          <w14:textFill>
            <w14:solidFill>
              <w14:schemeClr w14:val="tx1"/>
            </w14:solidFill>
          </w14:textFill>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751F6"/>
    <w:multiLevelType w:val="multilevel"/>
    <w:tmpl w:val="C32751F6"/>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s>
  <w:rsids>
    <w:rsidRoot w:val="139973A9"/>
    <w:rsid w:val="034B07D3"/>
    <w:rsid w:val="07035F04"/>
    <w:rsid w:val="12E544AC"/>
    <w:rsid w:val="139973A9"/>
    <w:rsid w:val="1B5C12FB"/>
    <w:rsid w:val="333C1B72"/>
    <w:rsid w:val="34346E4D"/>
    <w:rsid w:val="365C731F"/>
    <w:rsid w:val="401A5441"/>
    <w:rsid w:val="40E04EE3"/>
    <w:rsid w:val="441669FA"/>
    <w:rsid w:val="45F56032"/>
    <w:rsid w:val="469D4D26"/>
    <w:rsid w:val="49DF57F7"/>
    <w:rsid w:val="4E734068"/>
    <w:rsid w:val="5F524C37"/>
    <w:rsid w:val="68223F9C"/>
    <w:rsid w:val="6A5A2DAE"/>
    <w:rsid w:val="6DFA7D9D"/>
    <w:rsid w:val="6E433FCD"/>
    <w:rsid w:val="6F760FF5"/>
    <w:rsid w:val="774D3A7A"/>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next w:val="1"/>
    <w:autoRedefine/>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szCs w:val="20"/>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paragraph" w:customStyle="1" w:styleId="13">
    <w:name w:val="Default"/>
    <w:next w:val="14"/>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5">
    <w:name w:val="List Paragraph"/>
    <w:basedOn w:val="1"/>
    <w:autoRedefine/>
    <w:qFormat/>
    <w:uiPriority w:val="34"/>
    <w:pPr>
      <w:ind w:firstLine="420" w:firstLineChars="200"/>
    </w:pPr>
  </w:style>
  <w:style w:type="paragraph" w:customStyle="1" w:styleId="16">
    <w:name w:val="表格文字"/>
    <w:basedOn w:val="1"/>
    <w:next w:val="4"/>
    <w:autoRedefine/>
    <w:qFormat/>
    <w:uiPriority w:val="0"/>
    <w:pPr>
      <w:spacing w:before="25" w:after="25"/>
      <w:jc w:val="left"/>
    </w:pPr>
    <w:rPr>
      <w:bCs/>
      <w:spacing w:val="10"/>
      <w:kern w:val="0"/>
      <w:sz w:val="24"/>
    </w:rPr>
  </w:style>
  <w:style w:type="paragraph" w:customStyle="1" w:styleId="17">
    <w:name w:val="列出段落1"/>
    <w:basedOn w:val="1"/>
    <w:autoRedefine/>
    <w:qFormat/>
    <w:uiPriority w:val="34"/>
    <w:pPr>
      <w:ind w:firstLine="420" w:firstLineChars="200"/>
    </w:pPr>
    <w:rPr>
      <w:rFonts w:ascii="Times New Roman" w:hAnsi="Times New Roman" w:eastAsia="宋体" w:cs="Times New Roman"/>
      <w:szCs w:val="21"/>
    </w:rPr>
  </w:style>
  <w:style w:type="paragraph" w:customStyle="1" w:styleId="18">
    <w:name w:val="Table Paragraph"/>
    <w:basedOn w:val="1"/>
    <w:autoRedefine/>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1836</Words>
  <Characters>1989</Characters>
  <Lines>0</Lines>
  <Paragraphs>0</Paragraphs>
  <TotalTime>1</TotalTime>
  <ScaleCrop>false</ScaleCrop>
  <LinksUpToDate>false</LinksUpToDate>
  <CharactersWithSpaces>2467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H</cp:lastModifiedBy>
  <cp:lastPrinted>2023-10-25T08:16:00Z</cp:lastPrinted>
  <dcterms:modified xsi:type="dcterms:W3CDTF">2024-04-26T07:16:51Z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1228F01B08F8444DBD0FC51F1D1451C2_11</vt:lpwstr>
  </property>
</Properties>
</file>