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rPr>
          <w:rFonts w:ascii="黑体" w:eastAsia="黑体"/>
          <w:bCs/>
          <w:color w:val="000000" w:themeColor="text1"/>
          <w:sz w:val="32"/>
          <w14:textFill>
            <w14:solidFill>
              <w14:schemeClr w14:val="tx1"/>
            </w14:solidFill>
          </w14:textFill>
        </w:rPr>
      </w:pPr>
      <w:bookmarkStart w:id="0" w:name="_Toc491658631"/>
    </w:p>
    <w:p>
      <w:pPr>
        <w:pStyle w:val="23"/>
        <w:widowControl/>
        <w:adjustRightInd w:val="0"/>
        <w:snapToGrid w:val="0"/>
        <w:spacing w:line="360" w:lineRule="auto"/>
        <w:jc w:val="left"/>
        <w:rPr>
          <w:rFonts w:ascii="黑体" w:eastAsia="黑体"/>
          <w:bCs/>
          <w:color w:val="000000" w:themeColor="text1"/>
          <w:sz w:val="32"/>
          <w14:textFill>
            <w14:solidFill>
              <w14:schemeClr w14:val="tx1"/>
            </w14:solidFill>
          </w14:textFill>
        </w:rPr>
      </w:pPr>
      <w:r>
        <w:rPr>
          <w:rFonts w:hint="eastAsia" w:ascii="黑体" w:eastAsia="黑体"/>
          <w:bCs/>
          <w:color w:val="000000" w:themeColor="text1"/>
          <w:sz w:val="32"/>
          <w14:textFill>
            <w14:solidFill>
              <w14:schemeClr w14:val="tx1"/>
            </w14:solidFill>
          </w14:textFill>
        </w:rPr>
        <w:drawing>
          <wp:inline distT="0" distB="0" distL="0" distR="0">
            <wp:extent cx="2320290" cy="37084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20290" cy="370840"/>
                    </a:xfrm>
                    <a:prstGeom prst="rect">
                      <a:avLst/>
                    </a:prstGeom>
                    <a:noFill/>
                    <a:ln>
                      <a:noFill/>
                    </a:ln>
                  </pic:spPr>
                </pic:pic>
              </a:graphicData>
            </a:graphic>
          </wp:inline>
        </w:drawing>
      </w:r>
    </w:p>
    <w:p>
      <w:pPr>
        <w:pStyle w:val="23"/>
        <w:widowControl/>
        <w:adjustRightInd w:val="0"/>
        <w:snapToGrid w:val="0"/>
        <w:spacing w:line="360" w:lineRule="auto"/>
        <w:jc w:val="center"/>
        <w:rPr>
          <w:rFonts w:ascii="黑体" w:eastAsia="黑体"/>
          <w:bCs/>
          <w:color w:val="000000" w:themeColor="text1"/>
          <w:sz w:val="52"/>
          <w:szCs w:val="52"/>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公开招标</w:t>
      </w:r>
    </w:p>
    <w:p>
      <w:pPr>
        <w:pStyle w:val="23"/>
        <w:widowControl/>
        <w:adjustRightInd w:val="0"/>
        <w:snapToGrid w:val="0"/>
        <w:spacing w:line="360" w:lineRule="auto"/>
        <w:jc w:val="center"/>
        <w:rPr>
          <w:rFonts w:ascii="黑体" w:eastAsia="黑体"/>
          <w:bCs/>
          <w:color w:val="000000" w:themeColor="text1"/>
          <w:sz w:val="72"/>
          <w:szCs w:val="72"/>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36"/>
          <w14:textFill>
            <w14:solidFill>
              <w14:schemeClr w14:val="tx1"/>
            </w14:solidFill>
          </w14:textFill>
        </w:rPr>
      </w:pPr>
      <w:r>
        <w:rPr>
          <w:rFonts w:hint="eastAsia" w:ascii="黑体" w:eastAsia="黑体"/>
          <w:bCs/>
          <w:color w:val="000000" w:themeColor="text1"/>
          <w:sz w:val="72"/>
          <w14:textFill>
            <w14:solidFill>
              <w14:schemeClr w14:val="tx1"/>
            </w14:solidFill>
          </w14:textFill>
        </w:rPr>
        <w:t>招  标  文  件</w:t>
      </w:r>
    </w:p>
    <w:p>
      <w:pPr>
        <w:pStyle w:val="23"/>
        <w:widowControl/>
        <w:adjustRightInd w:val="0"/>
        <w:snapToGrid w:val="0"/>
        <w:spacing w:line="360" w:lineRule="auto"/>
        <w:jc w:val="center"/>
        <w:rPr>
          <w:rFonts w:ascii="黑体" w:hAnsi="黑体" w:eastAsia="黑体"/>
          <w:bCs/>
          <w:color w:val="000000" w:themeColor="text1"/>
          <w:sz w:val="24"/>
          <w:szCs w:val="24"/>
          <w:bdr w:val="single" w:color="auto" w:sz="4" w:space="0"/>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52"/>
          <w:szCs w:val="52"/>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52"/>
          <w:szCs w:val="52"/>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18"/>
          <w:szCs w:val="18"/>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18"/>
          <w:szCs w:val="18"/>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18"/>
          <w:szCs w:val="18"/>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18"/>
          <w:szCs w:val="18"/>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18"/>
          <w:szCs w:val="18"/>
          <w14:textFill>
            <w14:solidFill>
              <w14:schemeClr w14:val="tx1"/>
            </w14:solidFill>
          </w14:textFill>
        </w:rPr>
      </w:pPr>
    </w:p>
    <w:tbl>
      <w:tblPr>
        <w:tblStyle w:val="48"/>
        <w:tblW w:w="8834" w:type="dxa"/>
        <w:jc w:val="center"/>
        <w:tblLayout w:type="fixed"/>
        <w:tblCellMar>
          <w:top w:w="0" w:type="dxa"/>
          <w:left w:w="108" w:type="dxa"/>
          <w:bottom w:w="0" w:type="dxa"/>
          <w:right w:w="108" w:type="dxa"/>
        </w:tblCellMar>
      </w:tblPr>
      <w:tblGrid>
        <w:gridCol w:w="1951"/>
        <w:gridCol w:w="284"/>
        <w:gridCol w:w="6599"/>
      </w:tblGrid>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项目编号</w:t>
            </w:r>
          </w:p>
        </w:tc>
        <w:tc>
          <w:tcPr>
            <w:tcW w:w="284" w:type="dxa"/>
          </w:tcPr>
          <w:p>
            <w:pPr>
              <w:pStyle w:val="23"/>
              <w:widowControl/>
              <w:adjustRightInd w:val="0"/>
              <w:snapToGrid w:val="0"/>
              <w:spacing w:line="360" w:lineRule="auto"/>
              <w:jc w:val="left"/>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w:t>
            </w:r>
          </w:p>
        </w:tc>
        <w:tc>
          <w:tcPr>
            <w:tcW w:w="6599" w:type="dxa"/>
            <w:vAlign w:val="center"/>
          </w:tcPr>
          <w:p>
            <w:pPr>
              <w:pStyle w:val="23"/>
              <w:widowControl/>
              <w:adjustRightInd w:val="0"/>
              <w:snapToGrid w:val="0"/>
              <w:spacing w:line="360" w:lineRule="auto"/>
              <w:jc w:val="left"/>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YXCG-20240329</w:t>
            </w:r>
          </w:p>
        </w:tc>
      </w:tr>
      <w:tr>
        <w:tblPrEx>
          <w:tblCellMar>
            <w:top w:w="0" w:type="dxa"/>
            <w:left w:w="108" w:type="dxa"/>
            <w:bottom w:w="0" w:type="dxa"/>
            <w:right w:w="108" w:type="dxa"/>
          </w:tblCellMar>
        </w:tblPrEx>
        <w:trPr>
          <w:trHeight w:val="77" w:hRule="atLeast"/>
          <w:jc w:val="center"/>
        </w:trPr>
        <w:tc>
          <w:tcPr>
            <w:tcW w:w="1951" w:type="dxa"/>
          </w:tcPr>
          <w:p>
            <w:pPr>
              <w:pStyle w:val="23"/>
              <w:widowControl/>
              <w:adjustRightInd w:val="0"/>
              <w:snapToGrid w:val="0"/>
              <w:spacing w:line="360" w:lineRule="auto"/>
              <w:jc w:val="distribute"/>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项目名称</w:t>
            </w:r>
          </w:p>
        </w:tc>
        <w:tc>
          <w:tcPr>
            <w:tcW w:w="284" w:type="dxa"/>
          </w:tcPr>
          <w:p>
            <w:pPr>
              <w:pStyle w:val="23"/>
              <w:widowControl/>
              <w:adjustRightInd w:val="0"/>
              <w:snapToGrid w:val="0"/>
              <w:spacing w:line="360" w:lineRule="auto"/>
              <w:jc w:val="left"/>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w:t>
            </w:r>
          </w:p>
        </w:tc>
        <w:tc>
          <w:tcPr>
            <w:tcW w:w="6599" w:type="dxa"/>
            <w:vAlign w:val="center"/>
          </w:tcPr>
          <w:p>
            <w:pPr>
              <w:pStyle w:val="23"/>
              <w:widowControl/>
              <w:adjustRightInd w:val="0"/>
              <w:snapToGrid w:val="0"/>
              <w:spacing w:line="360" w:lineRule="auto"/>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阳江农村商业银行股份有限公司装修工程造价咨询公司准入项目</w:t>
            </w:r>
          </w:p>
        </w:tc>
      </w:tr>
      <w:tr>
        <w:tblPrEx>
          <w:tblCellMar>
            <w:top w:w="0" w:type="dxa"/>
            <w:left w:w="108" w:type="dxa"/>
            <w:bottom w:w="0" w:type="dxa"/>
            <w:right w:w="108" w:type="dxa"/>
          </w:tblCellMar>
        </w:tblPrEx>
        <w:trPr>
          <w:trHeight w:val="510"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招标人</w:t>
            </w:r>
          </w:p>
        </w:tc>
        <w:tc>
          <w:tcPr>
            <w:tcW w:w="284" w:type="dxa"/>
          </w:tcPr>
          <w:p>
            <w:pPr>
              <w:pStyle w:val="23"/>
              <w:widowControl/>
              <w:adjustRightInd w:val="0"/>
              <w:snapToGrid w:val="0"/>
              <w:spacing w:line="360" w:lineRule="auto"/>
              <w:jc w:val="left"/>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w:t>
            </w:r>
          </w:p>
        </w:tc>
        <w:tc>
          <w:tcPr>
            <w:tcW w:w="6599" w:type="dxa"/>
            <w:vAlign w:val="center"/>
          </w:tcPr>
          <w:p>
            <w:pPr>
              <w:pStyle w:val="23"/>
              <w:widowControl/>
              <w:adjustRightInd w:val="0"/>
              <w:snapToGrid w:val="0"/>
              <w:spacing w:line="360" w:lineRule="auto"/>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阳江农村商业银行股份有限公司</w:t>
            </w:r>
          </w:p>
        </w:tc>
      </w:tr>
      <w:tr>
        <w:tblPrEx>
          <w:tblCellMar>
            <w:top w:w="0" w:type="dxa"/>
            <w:left w:w="108" w:type="dxa"/>
            <w:bottom w:w="0" w:type="dxa"/>
            <w:right w:w="108" w:type="dxa"/>
          </w:tblCellMar>
        </w:tblPrEx>
        <w:trPr>
          <w:trHeight w:val="682"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招标代理机构</w:t>
            </w:r>
          </w:p>
        </w:tc>
        <w:tc>
          <w:tcPr>
            <w:tcW w:w="284" w:type="dxa"/>
          </w:tcPr>
          <w:p>
            <w:pPr>
              <w:pStyle w:val="23"/>
              <w:widowControl/>
              <w:adjustRightInd w:val="0"/>
              <w:snapToGrid w:val="0"/>
              <w:spacing w:line="360" w:lineRule="auto"/>
              <w:jc w:val="left"/>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w:t>
            </w:r>
          </w:p>
        </w:tc>
        <w:tc>
          <w:tcPr>
            <w:tcW w:w="6599" w:type="dxa"/>
            <w:vAlign w:val="center"/>
          </w:tcPr>
          <w:p>
            <w:pPr>
              <w:pStyle w:val="23"/>
              <w:widowControl/>
              <w:adjustRightInd w:val="0"/>
              <w:snapToGrid w:val="0"/>
              <w:spacing w:line="360" w:lineRule="auto"/>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广东业信采购招标有限公司</w:t>
            </w:r>
          </w:p>
        </w:tc>
      </w:tr>
    </w:tbl>
    <w:p>
      <w:pPr>
        <w:pStyle w:val="23"/>
        <w:widowControl/>
        <w:adjustRightInd w:val="0"/>
        <w:snapToGrid w:val="0"/>
        <w:spacing w:line="360" w:lineRule="auto"/>
        <w:jc w:val="center"/>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二○二四年三月</w:t>
      </w:r>
    </w:p>
    <w:p>
      <w:pPr>
        <w:spacing w:before="120" w:beforeLines="50" w:after="120" w:afterLines="50" w:line="360" w:lineRule="atLeast"/>
        <w:jc w:val="center"/>
        <w:rPr>
          <w:rFonts w:ascii="宋体" w:hAnsi="宋体"/>
          <w:b/>
          <w:color w:val="000000" w:themeColor="text1"/>
          <w:sz w:val="36"/>
          <w14:textFill>
            <w14:solidFill>
              <w14:schemeClr w14:val="tx1"/>
            </w14:solidFill>
          </w14:textFill>
        </w:rPr>
      </w:pPr>
    </w:p>
    <w:p>
      <w:pPr>
        <w:spacing w:before="120" w:beforeLines="50" w:after="120" w:afterLines="50" w:line="360" w:lineRule="atLeast"/>
        <w:jc w:val="center"/>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温馨提示：特别注意事项</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请供应商特别留意招标文件上注明的投标截止和开标时间，逾期送达或邮寄送达的投标文件</w:t>
      </w:r>
      <w:r>
        <w:rPr>
          <w:rFonts w:hint="eastAsia" w:ascii="宋体" w:hAnsi="宋体"/>
          <w:color w:val="000000" w:themeColor="text1"/>
          <w:szCs w:val="21"/>
          <w14:textFill>
            <w14:solidFill>
              <w14:schemeClr w14:val="tx1"/>
            </w14:solidFill>
          </w14:textFill>
        </w:rPr>
        <w:t>，招标代理机构</w:t>
      </w:r>
      <w:r>
        <w:rPr>
          <w:rFonts w:ascii="宋体" w:hAnsi="宋体"/>
          <w:color w:val="000000" w:themeColor="text1"/>
          <w:szCs w:val="21"/>
          <w14:textFill>
            <w14:solidFill>
              <w14:schemeClr w14:val="tx1"/>
            </w14:solidFill>
          </w14:textFill>
        </w:rPr>
        <w:t>恕不接收。因此，请供应商适当提前到达</w:t>
      </w:r>
      <w:r>
        <w:rPr>
          <w:rFonts w:hint="eastAsia" w:ascii="宋体" w:hAnsi="宋体"/>
          <w:color w:val="000000" w:themeColor="text1"/>
          <w:szCs w:val="21"/>
          <w14:textFill>
            <w14:solidFill>
              <w14:schemeClr w14:val="tx1"/>
            </w14:solidFill>
          </w14:textFill>
        </w:rPr>
        <w:t>开标</w:t>
      </w:r>
      <w:r>
        <w:rPr>
          <w:rFonts w:ascii="宋体" w:hAnsi="宋体"/>
          <w:color w:val="000000" w:themeColor="text1"/>
          <w:szCs w:val="21"/>
          <w14:textFill>
            <w14:solidFill>
              <w14:schemeClr w14:val="tx1"/>
            </w14:solidFill>
          </w14:textFill>
        </w:rPr>
        <w:t>会议室。</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b/>
          <w:color w:val="000000" w:themeColor="text1"/>
          <w:szCs w:val="21"/>
          <w:u w:val="single"/>
          <w14:textFill>
            <w14:solidFill>
              <w14:schemeClr w14:val="tx1"/>
            </w14:solidFill>
          </w14:textFill>
        </w:rPr>
        <w:t>招标文件中标有“★”的</w:t>
      </w:r>
      <w:r>
        <w:rPr>
          <w:rFonts w:hint="eastAsia" w:ascii="宋体" w:hAnsi="宋体"/>
          <w:b/>
          <w:color w:val="000000" w:themeColor="text1"/>
          <w:szCs w:val="21"/>
          <w:u w:val="single"/>
          <w14:textFill>
            <w14:solidFill>
              <w14:schemeClr w14:val="tx1"/>
            </w14:solidFill>
          </w14:textFill>
        </w:rPr>
        <w:t>条款</w:t>
      </w:r>
      <w:r>
        <w:rPr>
          <w:rFonts w:ascii="宋体" w:hAnsi="宋体"/>
          <w:b/>
          <w:color w:val="000000" w:themeColor="text1"/>
          <w:szCs w:val="21"/>
          <w:u w:val="single"/>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供应商</w:t>
      </w:r>
      <w:r>
        <w:rPr>
          <w:rFonts w:ascii="宋体" w:hAnsi="宋体"/>
          <w:b/>
          <w:color w:val="000000" w:themeColor="text1"/>
          <w:szCs w:val="21"/>
          <w:u w:val="single"/>
          <w14:textFill>
            <w14:solidFill>
              <w14:schemeClr w14:val="tx1"/>
            </w14:solidFill>
          </w14:textFill>
        </w:rPr>
        <w:t>必须一一响应</w:t>
      </w:r>
      <w:r>
        <w:rPr>
          <w:rFonts w:ascii="宋体" w:hAnsi="宋体"/>
          <w:color w:val="000000" w:themeColor="text1"/>
          <w:szCs w:val="21"/>
          <w14:textFill>
            <w14:solidFill>
              <w14:schemeClr w14:val="tx1"/>
            </w14:solidFill>
          </w14:textFill>
        </w:rPr>
        <w:t>。</w:t>
      </w:r>
      <w:r>
        <w:rPr>
          <w:rFonts w:ascii="宋体" w:hAnsi="宋体"/>
          <w:b/>
          <w:color w:val="000000" w:themeColor="text1"/>
          <w:szCs w:val="21"/>
          <w:u w:val="single"/>
          <w14:textFill>
            <w14:solidFill>
              <w14:schemeClr w14:val="tx1"/>
            </w14:solidFill>
          </w14:textFill>
        </w:rPr>
        <w:t>若有一项带“★”的指标要求未响应或不满足，</w:t>
      </w:r>
      <w:r>
        <w:rPr>
          <w:rFonts w:hint="eastAsia" w:ascii="宋体" w:hAnsi="宋体"/>
          <w:b/>
          <w:color w:val="000000" w:themeColor="text1"/>
          <w:szCs w:val="21"/>
          <w:u w:val="single"/>
          <w14:textFill>
            <w14:solidFill>
              <w14:schemeClr w14:val="tx1"/>
            </w14:solidFill>
          </w14:textFill>
        </w:rPr>
        <w:t>其投标</w:t>
      </w:r>
      <w:r>
        <w:rPr>
          <w:rFonts w:ascii="宋体" w:hAnsi="宋体"/>
          <w:b/>
          <w:color w:val="000000" w:themeColor="text1"/>
          <w:szCs w:val="21"/>
          <w:u w:val="single"/>
          <w14:textFill>
            <w14:solidFill>
              <w14:schemeClr w14:val="tx1"/>
            </w14:solidFill>
          </w14:textFill>
        </w:rPr>
        <w:t>将按无效投标处理。</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请正确填写《开标一览表》，</w:t>
      </w:r>
      <w:r>
        <w:rPr>
          <w:rFonts w:hint="eastAsia" w:ascii="宋体" w:hAnsi="宋体"/>
          <w:color w:val="000000" w:themeColor="text1"/>
          <w:szCs w:val="21"/>
          <w14:textFill>
            <w14:solidFill>
              <w14:schemeClr w14:val="tx1"/>
            </w14:solidFill>
          </w14:textFill>
        </w:rPr>
        <w:t>如</w:t>
      </w:r>
      <w:r>
        <w:rPr>
          <w:rFonts w:ascii="宋体" w:hAnsi="宋体"/>
          <w:color w:val="000000" w:themeColor="text1"/>
          <w:szCs w:val="21"/>
          <w14:textFill>
            <w14:solidFill>
              <w14:schemeClr w14:val="tx1"/>
            </w14:solidFill>
          </w14:textFill>
        </w:rPr>
        <w:t>含有</w:t>
      </w:r>
      <w:r>
        <w:rPr>
          <w:rFonts w:hint="eastAsia" w:ascii="宋体" w:hAnsi="宋体"/>
          <w:color w:val="000000" w:themeColor="text1"/>
          <w:szCs w:val="21"/>
          <w14:textFill>
            <w14:solidFill>
              <w14:schemeClr w14:val="tx1"/>
            </w14:solidFill>
          </w14:textFill>
        </w:rPr>
        <w:t>包组</w:t>
      </w:r>
      <w:r>
        <w:rPr>
          <w:rFonts w:ascii="宋体" w:hAnsi="宋体"/>
          <w:color w:val="000000" w:themeColor="text1"/>
          <w:szCs w:val="21"/>
          <w14:textFill>
            <w14:solidFill>
              <w14:schemeClr w14:val="tx1"/>
            </w14:solidFill>
          </w14:textFill>
        </w:rPr>
        <w:t>的投标项目</w:t>
      </w:r>
      <w:r>
        <w:rPr>
          <w:rFonts w:hint="eastAsia" w:ascii="宋体" w:hAnsi="宋体"/>
          <w:color w:val="000000" w:themeColor="text1"/>
          <w:szCs w:val="21"/>
          <w14:textFill>
            <w14:solidFill>
              <w14:schemeClr w14:val="tx1"/>
            </w14:solidFill>
          </w14:textFill>
        </w:rPr>
        <w:t>建议</w:t>
      </w:r>
      <w:r>
        <w:rPr>
          <w:rFonts w:ascii="宋体" w:hAnsi="宋体"/>
          <w:color w:val="000000" w:themeColor="text1"/>
          <w:szCs w:val="21"/>
          <w14:textFill>
            <w14:solidFill>
              <w14:schemeClr w14:val="tx1"/>
            </w14:solidFill>
          </w14:textFill>
        </w:rPr>
        <w:t>分开报价，</w:t>
      </w:r>
      <w:r>
        <w:rPr>
          <w:rFonts w:hint="eastAsia" w:ascii="宋体" w:hAnsi="宋体"/>
          <w:color w:val="000000" w:themeColor="text1"/>
          <w:szCs w:val="21"/>
          <w14:textFill>
            <w14:solidFill>
              <w14:schemeClr w14:val="tx1"/>
            </w14:solidFill>
          </w14:textFill>
        </w:rPr>
        <w:t>报价要求详见招标文件《开标一览表》</w:t>
      </w:r>
      <w:r>
        <w:rPr>
          <w:rFonts w:ascii="宋体" w:hAnsi="宋体"/>
          <w:color w:val="000000" w:themeColor="text1"/>
          <w:szCs w:val="21"/>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请仔细检查《投标函》、《开标一览表》、</w:t>
      </w:r>
      <w:r>
        <w:rPr>
          <w:rFonts w:hint="eastAsia" w:ascii="宋体" w:hAnsi="宋体"/>
          <w:color w:val="000000" w:themeColor="text1"/>
          <w:szCs w:val="21"/>
          <w14:textFill>
            <w14:solidFill>
              <w14:schemeClr w14:val="tx1"/>
            </w14:solidFill>
          </w14:textFill>
        </w:rPr>
        <w:t>《法定代表人（负责人）证明书》、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法定代表人（负责人）</w:t>
      </w:r>
      <w:r>
        <w:rPr>
          <w:rFonts w:ascii="宋体" w:hAnsi="宋体"/>
          <w:color w:val="000000" w:themeColor="text1"/>
          <w:szCs w:val="21"/>
          <w14:textFill>
            <w14:solidFill>
              <w14:schemeClr w14:val="tx1"/>
            </w14:solidFill>
          </w14:textFill>
        </w:rPr>
        <w:t>授权书》等重要格式文件是否有按要求盖公章或签名</w:t>
      </w:r>
      <w:r>
        <w:rPr>
          <w:rFonts w:hint="eastAsia" w:ascii="宋体" w:hAnsi="宋体" w:cs="Tahoma"/>
          <w:b/>
          <w:bCs/>
          <w:color w:val="000000" w:themeColor="text1"/>
          <w:szCs w:val="21"/>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建议将投标文件按</w:t>
      </w:r>
      <w:r>
        <w:rPr>
          <w:rFonts w:hint="eastAsia" w:ascii="宋体" w:hAnsi="宋体"/>
          <w:color w:val="000000" w:themeColor="text1"/>
          <w:szCs w:val="21"/>
          <w14:textFill>
            <w14:solidFill>
              <w14:schemeClr w14:val="tx1"/>
            </w14:solidFill>
          </w14:textFill>
        </w:rPr>
        <w:t>目录格式</w:t>
      </w:r>
      <w:r>
        <w:rPr>
          <w:rFonts w:ascii="宋体" w:hAnsi="宋体"/>
          <w:color w:val="000000" w:themeColor="text1"/>
          <w:szCs w:val="21"/>
          <w14:textFill>
            <w14:solidFill>
              <w14:schemeClr w14:val="tx1"/>
            </w14:solidFill>
          </w14:textFill>
        </w:rPr>
        <w:t>顺序编制页码。</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投标人请注意区分投标保证金及招标代理服务费收款</w:t>
      </w:r>
      <w:r>
        <w:rPr>
          <w:rFonts w:hint="eastAsia" w:ascii="宋体" w:hAnsi="宋体"/>
          <w:b/>
          <w:color w:val="000000" w:themeColor="text1"/>
          <w14:textFill>
            <w14:solidFill>
              <w14:schemeClr w14:val="tx1"/>
            </w14:solidFill>
          </w14:textFill>
        </w:rPr>
        <w:t>账号</w:t>
      </w:r>
      <w:r>
        <w:rPr>
          <w:rFonts w:hint="eastAsia" w:ascii="宋体" w:hAnsi="宋体"/>
          <w:b/>
          <w:color w:val="000000" w:themeColor="text1"/>
          <w:szCs w:val="21"/>
          <w14:textFill>
            <w14:solidFill>
              <w14:schemeClr w14:val="tx1"/>
            </w14:solidFill>
          </w14:textFill>
        </w:rPr>
        <w:t>的区别</w:t>
      </w:r>
      <w:r>
        <w:rPr>
          <w:rFonts w:hint="eastAsia" w:ascii="宋体" w:hAnsi="宋体"/>
          <w:color w:val="000000" w:themeColor="text1"/>
          <w:szCs w:val="21"/>
          <w14:textFill>
            <w14:solidFill>
              <w14:schemeClr w14:val="tx1"/>
            </w14:solidFill>
          </w14:textFill>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我司</w:t>
      </w:r>
      <w:r>
        <w:rPr>
          <w:rFonts w:ascii="宋体" w:hAnsi="宋体"/>
          <w:color w:val="000000" w:themeColor="text1"/>
          <w:szCs w:val="21"/>
          <w14:textFill>
            <w14:solidFill>
              <w14:schemeClr w14:val="tx1"/>
            </w14:solidFill>
          </w14:textFill>
        </w:rPr>
        <w:t>为</w:t>
      </w:r>
      <w:r>
        <w:rPr>
          <w:rFonts w:hint="eastAsia" w:ascii="宋体" w:hAnsi="宋体"/>
          <w:color w:val="000000" w:themeColor="text1"/>
          <w:szCs w:val="21"/>
          <w14:textFill>
            <w14:solidFill>
              <w14:schemeClr w14:val="tx1"/>
            </w14:solidFill>
          </w14:textFill>
        </w:rPr>
        <w:t>招标代理机构</w:t>
      </w:r>
      <w:r>
        <w:rPr>
          <w:rFonts w:ascii="宋体" w:hAnsi="宋体"/>
          <w:color w:val="000000" w:themeColor="text1"/>
          <w:szCs w:val="21"/>
          <w14:textFill>
            <w14:solidFill>
              <w14:schemeClr w14:val="tx1"/>
            </w14:solidFill>
          </w14:textFill>
        </w:rPr>
        <w:t>，不对供应商购买招标文件时提交的相关资料的真伪做出判断，如供应商发现相关资料被盗用或复制，建议遵循法律途径解决，追究侵权者责任。对一家供应商递交两份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14:textFill>
            <w14:solidFill>
              <w14:schemeClr w14:val="tx1"/>
            </w14:solidFill>
          </w14:textFill>
        </w:rPr>
        <w:t>不同</w:t>
      </w:r>
      <w:r>
        <w:rPr>
          <w:rFonts w:ascii="宋体" w:hAnsi="宋体"/>
          <w:color w:val="000000" w:themeColor="text1"/>
          <w:szCs w:val="21"/>
          <w14:textFill>
            <w14:solidFill>
              <w14:schemeClr w14:val="tx1"/>
            </w14:solidFill>
          </w14:textFill>
        </w:rPr>
        <w:t>投标</w:t>
      </w:r>
      <w:r>
        <w:rPr>
          <w:rFonts w:hint="eastAsia" w:ascii="宋体" w:hAnsi="宋体"/>
          <w:color w:val="000000" w:themeColor="text1"/>
          <w:szCs w:val="21"/>
          <w14:textFill>
            <w14:solidFill>
              <w14:schemeClr w14:val="tx1"/>
            </w14:solidFill>
          </w14:textFill>
        </w:rPr>
        <w:t>方案</w:t>
      </w:r>
      <w:r>
        <w:rPr>
          <w:rFonts w:ascii="宋体" w:hAnsi="宋体"/>
          <w:color w:val="000000" w:themeColor="text1"/>
          <w:szCs w:val="21"/>
          <w14:textFill>
            <w14:solidFill>
              <w14:schemeClr w14:val="tx1"/>
            </w14:solidFill>
          </w14:textFill>
        </w:rPr>
        <w:t>的，</w:t>
      </w:r>
      <w:r>
        <w:rPr>
          <w:rFonts w:hint="eastAsia" w:ascii="宋体" w:hAnsi="宋体"/>
          <w:color w:val="000000" w:themeColor="text1"/>
          <w:szCs w:val="21"/>
          <w14:textFill>
            <w14:solidFill>
              <w14:schemeClr w14:val="tx1"/>
            </w14:solidFill>
          </w14:textFill>
        </w:rPr>
        <w:t>评标委员会</w:t>
      </w:r>
      <w:r>
        <w:rPr>
          <w:rFonts w:ascii="宋体" w:hAnsi="宋体"/>
          <w:color w:val="000000" w:themeColor="text1"/>
          <w:szCs w:val="21"/>
          <w14:textFill>
            <w14:solidFill>
              <w14:schemeClr w14:val="tx1"/>
            </w14:solidFill>
          </w14:textFill>
        </w:rPr>
        <w:t>将</w:t>
      </w:r>
      <w:r>
        <w:rPr>
          <w:rFonts w:hint="eastAsia" w:ascii="宋体" w:hAnsi="宋体"/>
          <w:color w:val="000000" w:themeColor="text1"/>
          <w:szCs w:val="21"/>
          <w14:textFill>
            <w14:solidFill>
              <w14:schemeClr w14:val="tx1"/>
            </w14:solidFill>
          </w14:textFill>
        </w:rPr>
        <w:t>对其投标</w:t>
      </w:r>
      <w:r>
        <w:rPr>
          <w:rFonts w:ascii="宋体" w:hAnsi="宋体"/>
          <w:color w:val="000000" w:themeColor="text1"/>
          <w:szCs w:val="21"/>
          <w14:textFill>
            <w14:solidFill>
              <w14:schemeClr w14:val="tx1"/>
            </w14:solidFill>
          </w14:textFill>
        </w:rPr>
        <w:t>按无效投标处理</w:t>
      </w:r>
      <w:r>
        <w:rPr>
          <w:rFonts w:hint="eastAsia" w:ascii="宋体" w:hAnsi="宋体"/>
          <w:color w:val="000000" w:themeColor="text1"/>
          <w:szCs w:val="21"/>
          <w14:textFill>
            <w14:solidFill>
              <w14:schemeClr w14:val="tx1"/>
            </w14:solidFill>
          </w14:textFill>
        </w:rPr>
        <w:t>（如有特殊要求的除外）。</w:t>
      </w:r>
    </w:p>
    <w:p>
      <w:pPr>
        <w:pStyle w:val="23"/>
        <w:widowControl/>
        <w:adjustRightInd w:val="0"/>
        <w:snapToGrid w:val="0"/>
        <w:spacing w:line="440" w:lineRule="exact"/>
        <w:ind w:firstLine="413" w:firstLineChars="196"/>
        <w:rPr>
          <w:rFonts w:ascii="黑体" w:eastAsia="黑体"/>
          <w:bCs/>
          <w:color w:val="000000" w:themeColor="text1"/>
          <w:sz w:val="30"/>
          <w:szCs w:val="30"/>
          <w14:textFill>
            <w14:solidFill>
              <w14:schemeClr w14:val="tx1"/>
            </w14:solidFill>
          </w14:textFill>
        </w:rPr>
      </w:pPr>
      <w:r>
        <w:rPr>
          <w:rFonts w:hint="eastAsia" w:hAnsi="宋体" w:cs="仿宋_GB2312"/>
          <w:b/>
          <w:bCs/>
          <w:color w:val="000000" w:themeColor="text1"/>
          <w:lang w:val="zh-CN"/>
          <w14:textFill>
            <w14:solidFill>
              <w14:schemeClr w14:val="tx1"/>
            </w14:solidFill>
          </w14:textFill>
        </w:rPr>
        <w:t>（本提示内容非招标文件的组成部分，仅为善意提醒。如有不一致，以招标文件为准）</w:t>
      </w:r>
    </w:p>
    <w:p>
      <w:pPr>
        <w:pStyle w:val="23"/>
        <w:widowControl/>
        <w:adjustRightInd w:val="0"/>
        <w:snapToGrid w:val="0"/>
        <w:spacing w:line="360" w:lineRule="auto"/>
        <w:jc w:val="center"/>
        <w:rPr>
          <w:rFonts w:ascii="黑体" w:eastAsia="黑体"/>
          <w:bCs/>
          <w:color w:val="000000" w:themeColor="text1"/>
          <w:sz w:val="30"/>
          <w:szCs w:val="30"/>
          <w14:textFill>
            <w14:solidFill>
              <w14:schemeClr w14:val="tx1"/>
            </w14:solidFill>
          </w14:textFill>
        </w:rPr>
        <w:sectPr>
          <w:headerReference r:id="rId3" w:type="default"/>
          <w:footerReference r:id="rId4" w:type="default"/>
          <w:footerReference r:id="rId5"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ab/>
      </w:r>
      <w:r>
        <w:rPr>
          <w:rFonts w:ascii="宋体" w:hAnsi="宋体"/>
          <w:bCs/>
          <w:color w:val="000000" w:themeColor="text1"/>
          <w:szCs w:val="21"/>
          <w14:textFill>
            <w14:solidFill>
              <w14:schemeClr w14:val="tx1"/>
            </w14:solidFill>
          </w14:textFill>
        </w:rPr>
        <w:tab/>
      </w: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目   录</w:t>
      </w:r>
    </w:p>
    <w:p>
      <w:pPr>
        <w:pStyle w:val="3"/>
        <w:numPr>
          <w:ilvl w:val="0"/>
          <w:numId w:val="0"/>
        </w:numPr>
        <w:spacing w:beforeLines="0" w:line="240" w:lineRule="auto"/>
        <w:rPr>
          <w:color w:val="000000" w:themeColor="text1"/>
          <w14:textFill>
            <w14:solidFill>
              <w14:schemeClr w14:val="tx1"/>
            </w14:solidFill>
          </w14:textFill>
        </w:rPr>
      </w:pPr>
    </w:p>
    <w:p>
      <w:pPr>
        <w:pStyle w:val="31"/>
        <w:tabs>
          <w:tab w:val="right" w:leader="dot" w:pos="8959"/>
          <w:tab w:val="clear" w:pos="8949"/>
        </w:tabs>
        <w:rPr>
          <w:color w:val="000000" w:themeColor="text1"/>
          <w14:textFill>
            <w14:solidFill>
              <w14:schemeClr w14:val="tx1"/>
            </w14:solidFill>
          </w14:textFill>
        </w:rPr>
      </w:pPr>
      <w:r>
        <w:rPr>
          <w:b w:val="0"/>
          <w:bCs w:val="0"/>
          <w:caps w:val="0"/>
          <w:color w:val="000000" w:themeColor="text1"/>
          <w14:textFill>
            <w14:solidFill>
              <w14:schemeClr w14:val="tx1"/>
            </w14:solidFill>
          </w14:textFill>
        </w:rPr>
        <w:fldChar w:fldCharType="begin"/>
      </w:r>
      <w:r>
        <w:rPr>
          <w:b w:val="0"/>
          <w:bCs w:val="0"/>
          <w:caps w:val="0"/>
          <w:color w:val="000000" w:themeColor="text1"/>
          <w14:textFill>
            <w14:solidFill>
              <w14:schemeClr w14:val="tx1"/>
            </w14:solidFill>
          </w14:textFill>
        </w:rPr>
        <w:instrText xml:space="preserve"> TOC \o "1-3" \h \z \u </w:instrText>
      </w:r>
      <w:r>
        <w:rPr>
          <w:b w:val="0"/>
          <w:bCs w:val="0"/>
          <w:caps w:val="0"/>
          <w:color w:val="000000" w:themeColor="text1"/>
          <w14:textFill>
            <w14:solidFill>
              <w14:schemeClr w14:val="tx1"/>
            </w14:solidFill>
          </w14:textFill>
        </w:rPr>
        <w:fldChar w:fldCharType="separate"/>
      </w:r>
      <w:r>
        <w:fldChar w:fldCharType="begin"/>
      </w:r>
      <w:r>
        <w:instrText xml:space="preserve"> HYPERLINK \l "_Toc30738" </w:instrText>
      </w:r>
      <w:r>
        <w:fldChar w:fldCharType="separate"/>
      </w:r>
      <w:r>
        <w:rPr>
          <w:rFonts w:hint="eastAsia"/>
          <w:color w:val="000000" w:themeColor="text1"/>
          <w14:textFill>
            <w14:solidFill>
              <w14:schemeClr w14:val="tx1"/>
            </w14:solidFill>
          </w14:textFill>
        </w:rPr>
        <w:t>第一部分 投标邀请函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959"/>
          <w:tab w:val="clear" w:pos="8949"/>
        </w:tabs>
        <w:rPr>
          <w:color w:val="000000" w:themeColor="text1"/>
          <w14:textFill>
            <w14:solidFill>
              <w14:schemeClr w14:val="tx1"/>
            </w14:solidFill>
          </w14:textFill>
        </w:rPr>
      </w:pPr>
      <w:r>
        <w:fldChar w:fldCharType="begin"/>
      </w:r>
      <w:r>
        <w:instrText xml:space="preserve"> HYPERLINK \l "_Toc16773" </w:instrText>
      </w:r>
      <w:r>
        <w:fldChar w:fldCharType="separate"/>
      </w:r>
      <w:r>
        <w:rPr>
          <w:rFonts w:hint="eastAsia"/>
          <w:color w:val="000000" w:themeColor="text1"/>
          <w14:textFill>
            <w14:solidFill>
              <w14:schemeClr w14:val="tx1"/>
            </w14:solidFill>
          </w14:textFill>
        </w:rPr>
        <w:t>第二部分 采购项目内容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_Toc16773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"_Toc30348" </w:instrText>
      </w:r>
      <w:r>
        <w:fldChar w:fldCharType="separate"/>
      </w:r>
      <w:r>
        <w:rPr>
          <w:color w:val="000000" w:themeColor="text1"/>
          <w:kern w:val="0"/>
          <w14:textFill>
            <w14:solidFill>
              <w14:schemeClr w14:val="tx1"/>
            </w14:solidFill>
          </w14:textFill>
        </w:rPr>
        <w:t xml:space="preserve">A  </w:t>
      </w:r>
      <w:r>
        <w:rPr>
          <w:rFonts w:hint="eastAsia"/>
          <w:color w:val="000000" w:themeColor="text1"/>
          <w:kern w:val="0"/>
          <w14:textFill>
            <w14:solidFill>
              <w14:schemeClr w14:val="tx1"/>
            </w14:solidFill>
          </w14:textFill>
        </w:rPr>
        <w:t>商务要求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_Toc30348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"_Toc10376" </w:instrText>
      </w:r>
      <w:r>
        <w:fldChar w:fldCharType="separate"/>
      </w:r>
      <w:r>
        <w:rPr>
          <w:rFonts w:hint="eastAsia"/>
          <w:color w:val="000000" w:themeColor="text1"/>
          <w:kern w:val="0"/>
          <w14:textFill>
            <w14:solidFill>
              <w14:schemeClr w14:val="tx1"/>
            </w14:solidFill>
          </w14:textFill>
        </w:rPr>
        <w:t>B  技术要求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_Toc10376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959"/>
          <w:tab w:val="clear" w:pos="8949"/>
        </w:tabs>
        <w:rPr>
          <w:color w:val="000000" w:themeColor="text1"/>
          <w14:textFill>
            <w14:solidFill>
              <w14:schemeClr w14:val="tx1"/>
            </w14:solidFill>
          </w14:textFill>
        </w:rPr>
      </w:pPr>
      <w:r>
        <w:fldChar w:fldCharType="begin"/>
      </w:r>
      <w:r>
        <w:instrText xml:space="preserve"> HYPERLINK \l "_Toc20431" </w:instrText>
      </w:r>
      <w:r>
        <w:fldChar w:fldCharType="separate"/>
      </w:r>
      <w:r>
        <w:rPr>
          <w:rFonts w:hint="eastAsia"/>
          <w:color w:val="000000" w:themeColor="text1"/>
          <w14:textFill>
            <w14:solidFill>
              <w14:schemeClr w14:val="tx1"/>
            </w14:solidFill>
          </w14:textFill>
        </w:rPr>
        <w:t>第三部分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_Toc20431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"_Toc20727" </w:instrText>
      </w:r>
      <w:r>
        <w:fldChar w:fldCharType="separate"/>
      </w:r>
      <w:r>
        <w:rPr>
          <w:rFonts w:hint="eastAsia"/>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_Toc20727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"_Toc7290" </w:instrText>
      </w:r>
      <w:r>
        <w:fldChar w:fldCharType="separate"/>
      </w:r>
      <w:r>
        <w:rPr>
          <w:rFonts w:hint="eastAsia"/>
          <w:color w:val="000000" w:themeColor="text1"/>
          <w14:textFill>
            <w14:solidFill>
              <w14:schemeClr w14:val="tx1"/>
            </w14:solidFill>
          </w14:textFill>
        </w:rPr>
        <w:t>Ａ说明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_Toc7290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"_Toc28975" </w:instrText>
      </w:r>
      <w:r>
        <w:fldChar w:fldCharType="separate"/>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适用范围和资金来源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"_Toc8390" </w:instrText>
      </w:r>
      <w:r>
        <w:fldChar w:fldCharType="separate"/>
      </w: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_Toc8390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"_Toc20111" </w:instrText>
      </w:r>
      <w:r>
        <w:fldChar w:fldCharType="separate"/>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合格的投标人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"_Toc32376" </w:instrText>
      </w:r>
      <w:r>
        <w:fldChar w:fldCharType="separate"/>
      </w:r>
      <w:r>
        <w:rPr>
          <w:color w:val="000000" w:themeColor="text1"/>
          <w14:textFill>
            <w14:solidFill>
              <w14:schemeClr w14:val="tx1"/>
            </w14:solidFill>
          </w14:textFill>
        </w:rPr>
        <w:t xml:space="preserve">4 </w:t>
      </w:r>
      <w:r>
        <w:rPr>
          <w:rFonts w:hint="eastAsia"/>
          <w:color w:val="000000" w:themeColor="text1"/>
          <w14:textFill>
            <w14:solidFill>
              <w14:schemeClr w14:val="tx1"/>
            </w14:solidFill>
          </w14:textFill>
        </w:rPr>
        <w:t>投标费用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_Toc32376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"_Toc13858" </w:instrText>
      </w:r>
      <w:r>
        <w:fldChar w:fldCharType="separate"/>
      </w:r>
      <w:r>
        <w:rPr>
          <w:rFonts w:hint="eastAsia"/>
          <w:color w:val="000000" w:themeColor="text1"/>
          <w14:textFill>
            <w14:solidFill>
              <w14:schemeClr w14:val="tx1"/>
            </w14:solidFill>
          </w14:textFill>
        </w:rPr>
        <w:t>Ｂ招标文件说明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_Toc13858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"_Toc8031" </w:instrText>
      </w:r>
      <w:r>
        <w:fldChar w:fldCharType="separate"/>
      </w: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招标文件的构成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_Toc8031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"_Toc16294" </w:instrText>
      </w:r>
      <w:r>
        <w:fldChar w:fldCharType="separate"/>
      </w:r>
      <w:r>
        <w:rPr>
          <w:color w:val="000000" w:themeColor="text1"/>
          <w14:textFill>
            <w14:solidFill>
              <w14:schemeClr w14:val="tx1"/>
            </w14:solidFill>
          </w14:textFill>
        </w:rPr>
        <w:t xml:space="preserve">6 </w:t>
      </w:r>
      <w:r>
        <w:rPr>
          <w:rFonts w:hint="eastAsia"/>
          <w:color w:val="000000" w:themeColor="text1"/>
          <w14:textFill>
            <w14:solidFill>
              <w14:schemeClr w14:val="tx1"/>
            </w14:solidFill>
          </w14:textFill>
        </w:rPr>
        <w:t>招标文件的澄清、修改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_Toc16294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"_Toc25801" </w:instrText>
      </w:r>
      <w:r>
        <w:fldChar w:fldCharType="separate"/>
      </w:r>
      <w:r>
        <w:rPr>
          <w:rFonts w:hint="eastAsia"/>
          <w:color w:val="000000" w:themeColor="text1"/>
          <w14:textFill>
            <w14:solidFill>
              <w14:schemeClr w14:val="tx1"/>
            </w14:solidFill>
          </w14:textFill>
        </w:rPr>
        <w:t>Ｃ投标文件的编制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_Toc25801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"_Toc21932" </w:instrText>
      </w:r>
      <w:r>
        <w:fldChar w:fldCharType="separate"/>
      </w:r>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_Toc21932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"_Toc19345" </w:instrText>
      </w:r>
      <w:r>
        <w:fldChar w:fldCharType="separate"/>
      </w:r>
      <w:r>
        <w:rPr>
          <w:color w:val="000000" w:themeColor="text1"/>
          <w14:textFill>
            <w14:solidFill>
              <w14:schemeClr w14:val="tx1"/>
            </w14:solidFill>
          </w14:textFill>
        </w:rPr>
        <w:t xml:space="preserve">8 </w:t>
      </w:r>
      <w:r>
        <w:rPr>
          <w:rFonts w:hint="eastAsia"/>
          <w:color w:val="000000" w:themeColor="text1"/>
          <w14:textFill>
            <w14:solidFill>
              <w14:schemeClr w14:val="tx1"/>
            </w14:solidFill>
          </w14:textFill>
        </w:rPr>
        <w:t>投标语言及计量单位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_Toc19345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"_Toc5097" </w:instrText>
      </w:r>
      <w:r>
        <w:fldChar w:fldCharType="separate"/>
      </w:r>
      <w:r>
        <w:rPr>
          <w:color w:val="000000" w:themeColor="text1"/>
          <w14:textFill>
            <w14:solidFill>
              <w14:schemeClr w14:val="tx1"/>
            </w14:solidFill>
          </w14:textFill>
        </w:rPr>
        <w:t xml:space="preserve">9 </w:t>
      </w:r>
      <w:r>
        <w:rPr>
          <w:rFonts w:hint="eastAsia"/>
          <w:color w:val="000000" w:themeColor="text1"/>
          <w14:textFill>
            <w14:solidFill>
              <w14:schemeClr w14:val="tx1"/>
            </w14:solidFill>
          </w14:textFill>
        </w:rPr>
        <w:t>投标文件的构成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"_Toc29112" </w:instrText>
      </w:r>
      <w:r>
        <w:fldChar w:fldCharType="separate"/>
      </w:r>
      <w:r>
        <w:rPr>
          <w:color w:val="000000" w:themeColor="text1"/>
          <w14:textFill>
            <w14:solidFill>
              <w14:schemeClr w14:val="tx1"/>
            </w14:solidFill>
          </w14:textFill>
        </w:rPr>
        <w:t xml:space="preserve">10 </w:t>
      </w:r>
      <w:r>
        <w:rPr>
          <w:rFonts w:hint="eastAsia"/>
          <w:color w:val="000000" w:themeColor="text1"/>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_Toc29112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"_Toc21751" </w:instrText>
      </w:r>
      <w:r>
        <w:fldChar w:fldCharType="separate"/>
      </w:r>
      <w:r>
        <w:rPr>
          <w:color w:val="000000" w:themeColor="text1"/>
          <w14:textFill>
            <w14:solidFill>
              <w14:schemeClr w14:val="tx1"/>
            </w14:solidFill>
          </w14:textFill>
        </w:rPr>
        <w:t xml:space="preserve">11 </w:t>
      </w:r>
      <w:r>
        <w:rPr>
          <w:rFonts w:hint="eastAsia"/>
          <w:color w:val="000000" w:themeColor="text1"/>
          <w14:textFill>
            <w14:solidFill>
              <w14:schemeClr w14:val="tx1"/>
            </w14:solidFill>
          </w14:textFill>
        </w:rPr>
        <w:t>资格证明文件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"_Toc4517" </w:instrText>
      </w:r>
      <w:r>
        <w:fldChar w:fldCharType="separate"/>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货物和服务的证明文件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"_Toc21258" </w:instrText>
      </w:r>
      <w:r>
        <w:fldChar w:fldCharType="separate"/>
      </w:r>
      <w:r>
        <w:rPr>
          <w:color w:val="000000" w:themeColor="text1"/>
          <w14:textFill>
            <w14:solidFill>
              <w14:schemeClr w14:val="tx1"/>
            </w14:solidFill>
          </w14:textFill>
        </w:rPr>
        <w:t xml:space="preserve">13 </w:t>
      </w:r>
      <w:r>
        <w:rPr>
          <w:rFonts w:hint="eastAsia"/>
          <w:color w:val="000000" w:themeColor="text1"/>
          <w14:textFill>
            <w14:solidFill>
              <w14:schemeClr w14:val="tx1"/>
            </w14:solidFill>
          </w14:textFill>
        </w:rPr>
        <w:t>投标报价与投标货币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_Toc21258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"_Toc26750" </w:instrText>
      </w:r>
      <w:r>
        <w:fldChar w:fldCharType="separate"/>
      </w:r>
      <w:r>
        <w:rPr>
          <w:color w:val="000000" w:themeColor="text1"/>
          <w14:textFill>
            <w14:solidFill>
              <w14:schemeClr w14:val="tx1"/>
            </w14:solidFill>
          </w14:textFill>
        </w:rPr>
        <w:t xml:space="preserve">14 </w:t>
      </w:r>
      <w:r>
        <w:rPr>
          <w:rFonts w:hint="eastAsia"/>
          <w:color w:val="000000" w:themeColor="text1"/>
          <w14:textFill>
            <w14:solidFill>
              <w14:schemeClr w14:val="tx1"/>
            </w14:solidFill>
          </w14:textFill>
        </w:rPr>
        <w:t>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_Toc26750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"_Toc7018" </w:instrText>
      </w:r>
      <w:r>
        <w:fldChar w:fldCharType="separate"/>
      </w:r>
      <w:r>
        <w:rPr>
          <w:color w:val="000000" w:themeColor="text1"/>
          <w14:textFill>
            <w14:solidFill>
              <w14:schemeClr w14:val="tx1"/>
            </w14:solidFill>
          </w14:textFill>
        </w:rPr>
        <w:t xml:space="preserve">15 </w:t>
      </w:r>
      <w:r>
        <w:rPr>
          <w:rFonts w:hint="eastAsia"/>
          <w:color w:val="000000" w:themeColor="text1"/>
          <w14:textFill>
            <w14:solidFill>
              <w14:schemeClr w14:val="tx1"/>
            </w14:solidFill>
          </w14:textFill>
        </w:rPr>
        <w:t>投标有效期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_Toc7018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"_Toc26685" </w:instrText>
      </w:r>
      <w:r>
        <w:fldChar w:fldCharType="separate"/>
      </w:r>
      <w:r>
        <w:rPr>
          <w:color w:val="000000" w:themeColor="text1"/>
          <w14:textFill>
            <w14:solidFill>
              <w14:schemeClr w14:val="tx1"/>
            </w14:solidFill>
          </w14:textFill>
        </w:rPr>
        <w:t xml:space="preserve">16 </w:t>
      </w:r>
      <w:r>
        <w:rPr>
          <w:rFonts w:hint="eastAsia"/>
          <w:color w:val="000000" w:themeColor="text1"/>
          <w14:textFill>
            <w14:solidFill>
              <w14:schemeClr w14:val="tx1"/>
            </w14:solidFill>
          </w14:textFill>
        </w:rPr>
        <w:t>投标文件的签署及规定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_Toc26685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"_Toc21173" </w:instrText>
      </w:r>
      <w:r>
        <w:fldChar w:fldCharType="separate"/>
      </w:r>
      <w:r>
        <w:rPr>
          <w:rFonts w:hint="eastAsia"/>
          <w:color w:val="000000" w:themeColor="text1"/>
          <w14:textFill>
            <w14:solidFill>
              <w14:schemeClr w14:val="tx1"/>
            </w14:solidFill>
          </w14:textFill>
        </w:rPr>
        <w:t>Ｄ投标文件的递交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_Toc21173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"_Toc23398" </w:instrText>
      </w:r>
      <w:r>
        <w:fldChar w:fldCharType="separate"/>
      </w:r>
      <w:r>
        <w:rPr>
          <w:color w:val="000000" w:themeColor="text1"/>
          <w14:textFill>
            <w14:solidFill>
              <w14:schemeClr w14:val="tx1"/>
            </w14:solidFill>
          </w14:textFill>
        </w:rPr>
        <w:t xml:space="preserve">17 </w:t>
      </w:r>
      <w:r>
        <w:rPr>
          <w:rFonts w:hint="eastAsia"/>
          <w:color w:val="000000" w:themeColor="text1"/>
          <w14:textFill>
            <w14:solidFill>
              <w14:schemeClr w14:val="tx1"/>
            </w14:solidFill>
          </w14:textFill>
        </w:rPr>
        <w:t>投标文件的密封和标记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_Toc23398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"_Toc30772" </w:instrText>
      </w:r>
      <w:r>
        <w:fldChar w:fldCharType="separate"/>
      </w:r>
      <w:r>
        <w:rPr>
          <w:color w:val="000000" w:themeColor="text1"/>
          <w14:textFill>
            <w14:solidFill>
              <w14:schemeClr w14:val="tx1"/>
            </w14:solidFill>
          </w14:textFill>
        </w:rPr>
        <w:t xml:space="preserve">18 </w:t>
      </w:r>
      <w:r>
        <w:rPr>
          <w:rFonts w:hint="eastAsia"/>
          <w:color w:val="000000" w:themeColor="text1"/>
          <w14:textFill>
            <w14:solidFill>
              <w14:schemeClr w14:val="tx1"/>
            </w14:solidFill>
          </w14:textFill>
        </w:rPr>
        <w:t>递交投标文件的时间、地点及截止时间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"_Toc3988" </w:instrText>
      </w:r>
      <w:r>
        <w:fldChar w:fldCharType="separate"/>
      </w:r>
      <w:r>
        <w:rPr>
          <w:color w:val="000000" w:themeColor="text1"/>
          <w14:textFill>
            <w14:solidFill>
              <w14:schemeClr w14:val="tx1"/>
            </w14:solidFill>
          </w14:textFill>
        </w:rPr>
        <w:t xml:space="preserve">19 </w:t>
      </w:r>
      <w:r>
        <w:rPr>
          <w:rFonts w:hint="eastAsia"/>
          <w:color w:val="000000" w:themeColor="text1"/>
          <w14:textFill>
            <w14:solidFill>
              <w14:schemeClr w14:val="tx1"/>
            </w14:solidFill>
          </w14:textFill>
        </w:rPr>
        <w:t>迟交的投标文件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_Toc3988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"_Toc2246" </w:instrText>
      </w:r>
      <w:r>
        <w:fldChar w:fldCharType="separate"/>
      </w:r>
      <w:r>
        <w:rPr>
          <w:color w:val="000000" w:themeColor="text1"/>
          <w14:textFill>
            <w14:solidFill>
              <w14:schemeClr w14:val="tx1"/>
            </w14:solidFill>
          </w14:textFill>
        </w:rPr>
        <w:t xml:space="preserve">20 </w:t>
      </w:r>
      <w:r>
        <w:rPr>
          <w:rFonts w:hint="eastAsia"/>
          <w:color w:val="000000" w:themeColor="text1"/>
          <w14:textFill>
            <w14:solidFill>
              <w14:schemeClr w14:val="tx1"/>
            </w14:solidFill>
          </w14:textFill>
        </w:rPr>
        <w:t>投标文件的修改和撤回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"_Toc1327" </w:instrText>
      </w:r>
      <w:r>
        <w:fldChar w:fldCharType="separate"/>
      </w:r>
      <w:r>
        <w:rPr>
          <w:rFonts w:hint="eastAsia"/>
          <w:color w:val="000000" w:themeColor="text1"/>
          <w14:textFill>
            <w14:solidFill>
              <w14:schemeClr w14:val="tx1"/>
            </w14:solidFill>
          </w14:textFill>
        </w:rPr>
        <w:t>Ｅ开标和评标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"_Toc9769" </w:instrText>
      </w:r>
      <w:r>
        <w:fldChar w:fldCharType="separate"/>
      </w:r>
      <w:r>
        <w:rPr>
          <w:color w:val="000000" w:themeColor="text1"/>
          <w14:textFill>
            <w14:solidFill>
              <w14:schemeClr w14:val="tx1"/>
            </w14:solidFill>
          </w14:textFill>
        </w:rPr>
        <w:t xml:space="preserve">21 </w:t>
      </w:r>
      <w:r>
        <w:rPr>
          <w:rFonts w:hint="eastAsia"/>
          <w:color w:val="000000" w:themeColor="text1"/>
          <w14:textFill>
            <w14:solidFill>
              <w14:schemeClr w14:val="tx1"/>
            </w14:solidFill>
          </w14:textFill>
        </w:rPr>
        <w:t>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_Toc9769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"_Toc22023" </w:instrText>
      </w:r>
      <w:r>
        <w:fldChar w:fldCharType="separate"/>
      </w:r>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评标委员会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_Toc22023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"_Toc19897" </w:instrText>
      </w:r>
      <w:r>
        <w:fldChar w:fldCharType="separate"/>
      </w:r>
      <w:r>
        <w:rPr>
          <w:color w:val="000000" w:themeColor="text1"/>
          <w14:textFill>
            <w14:solidFill>
              <w14:schemeClr w14:val="tx1"/>
            </w14:solidFill>
          </w14:textFill>
        </w:rPr>
        <w:t xml:space="preserve">23 </w:t>
      </w:r>
      <w:r>
        <w:rPr>
          <w:rFonts w:hint="eastAsia"/>
          <w:color w:val="000000" w:themeColor="text1"/>
          <w14:textFill>
            <w14:solidFill>
              <w14:schemeClr w14:val="tx1"/>
            </w14:solidFill>
          </w14:textFill>
        </w:rPr>
        <w:t>对投标文件的初审和响应性的确定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_Toc19897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"_Toc20914" </w:instrText>
      </w:r>
      <w:r>
        <w:fldChar w:fldCharType="separate"/>
      </w:r>
      <w:r>
        <w:rPr>
          <w:color w:val="000000" w:themeColor="text1"/>
          <w14:textFill>
            <w14:solidFill>
              <w14:schemeClr w14:val="tx1"/>
            </w14:solidFill>
          </w14:textFill>
        </w:rPr>
        <w:t xml:space="preserve">24 </w:t>
      </w:r>
      <w:r>
        <w:rPr>
          <w:rFonts w:hint="eastAsia"/>
          <w:color w:val="000000" w:themeColor="text1"/>
          <w14:textFill>
            <w14:solidFill>
              <w14:schemeClr w14:val="tx1"/>
            </w14:solidFill>
          </w14:textFill>
        </w:rPr>
        <w:t>投标报价的审核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_Toc20914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"_Toc16846" </w:instrText>
      </w:r>
      <w:r>
        <w:fldChar w:fldCharType="separate"/>
      </w:r>
      <w:r>
        <w:rPr>
          <w:color w:val="000000" w:themeColor="text1"/>
          <w14:textFill>
            <w14:solidFill>
              <w14:schemeClr w14:val="tx1"/>
            </w14:solidFill>
          </w14:textFill>
        </w:rPr>
        <w:t xml:space="preserve">25 </w:t>
      </w:r>
      <w:r>
        <w:rPr>
          <w:rFonts w:hint="eastAsia"/>
          <w:color w:val="000000" w:themeColor="text1"/>
          <w14:textFill>
            <w14:solidFill>
              <w14:schemeClr w14:val="tx1"/>
            </w14:solidFill>
          </w14:textFill>
        </w:rPr>
        <w:t>询标及投标文件的澄清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_Toc16846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"_Toc1493" </w:instrText>
      </w:r>
      <w:r>
        <w:fldChar w:fldCharType="separate"/>
      </w:r>
      <w:r>
        <w:rPr>
          <w:color w:val="000000" w:themeColor="text1"/>
          <w14:textFill>
            <w14:solidFill>
              <w14:schemeClr w14:val="tx1"/>
            </w14:solidFill>
          </w14:textFill>
        </w:rPr>
        <w:t xml:space="preserve">26 </w:t>
      </w:r>
      <w:r>
        <w:rPr>
          <w:rFonts w:hint="eastAsia"/>
          <w:color w:val="000000" w:themeColor="text1"/>
          <w14:textFill>
            <w14:solidFill>
              <w14:schemeClr w14:val="tx1"/>
            </w14:solidFill>
          </w14:textFill>
        </w:rPr>
        <w:t>评标原则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"_Toc9057" </w:instrText>
      </w:r>
      <w:r>
        <w:fldChar w:fldCharType="separate"/>
      </w:r>
      <w:r>
        <w:rPr>
          <w:color w:val="000000" w:themeColor="text1"/>
          <w14:textFill>
            <w14:solidFill>
              <w14:schemeClr w14:val="tx1"/>
            </w14:solidFill>
          </w14:textFill>
        </w:rPr>
        <w:t xml:space="preserve">27 </w:t>
      </w:r>
      <w:r>
        <w:rPr>
          <w:rFonts w:hint="eastAsia"/>
          <w:color w:val="000000" w:themeColor="text1"/>
          <w14:textFill>
            <w14:solidFill>
              <w14:schemeClr w14:val="tx1"/>
            </w14:solidFill>
          </w14:textFill>
        </w:rPr>
        <w:t>评标标准和办法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"_Toc22981" </w:instrText>
      </w:r>
      <w:r>
        <w:fldChar w:fldCharType="separate"/>
      </w:r>
      <w:r>
        <w:rPr>
          <w:color w:val="000000" w:themeColor="text1"/>
          <w14:textFill>
            <w14:solidFill>
              <w14:schemeClr w14:val="tx1"/>
            </w14:solidFill>
          </w14:textFill>
        </w:rPr>
        <w:t xml:space="preserve">28 </w:t>
      </w:r>
      <w:r>
        <w:rPr>
          <w:rFonts w:hint="eastAsia"/>
          <w:color w:val="000000" w:themeColor="text1"/>
          <w14:textFill>
            <w14:solidFill>
              <w14:schemeClr w14:val="tx1"/>
            </w14:solidFill>
          </w14:textFill>
        </w:rPr>
        <w:t>评标注意事项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_Toc22981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"_Toc26031" </w:instrText>
      </w:r>
      <w:r>
        <w:fldChar w:fldCharType="separate"/>
      </w:r>
      <w:r>
        <w:rPr>
          <w:color w:val="000000" w:themeColor="text1"/>
          <w14:textFill>
            <w14:solidFill>
              <w14:schemeClr w14:val="tx1"/>
            </w14:solidFill>
          </w14:textFill>
        </w:rPr>
        <w:t xml:space="preserve">29 </w:t>
      </w:r>
      <w:r>
        <w:rPr>
          <w:rFonts w:hint="eastAsia"/>
          <w:color w:val="000000" w:themeColor="text1"/>
          <w14:textFill>
            <w14:solidFill>
              <w14:schemeClr w14:val="tx1"/>
            </w14:solidFill>
          </w14:textFill>
        </w:rPr>
        <w:t>接受和拒绝投标的权利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_Toc26031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"_Toc24611" </w:instrText>
      </w:r>
      <w:r>
        <w:fldChar w:fldCharType="separate"/>
      </w:r>
      <w:r>
        <w:rPr>
          <w:color w:val="000000" w:themeColor="text1"/>
          <w14:textFill>
            <w14:solidFill>
              <w14:schemeClr w14:val="tx1"/>
            </w14:solidFill>
          </w14:textFill>
        </w:rPr>
        <w:t xml:space="preserve">30 </w:t>
      </w:r>
      <w:r>
        <w:rPr>
          <w:rFonts w:hint="eastAsia"/>
          <w:color w:val="000000" w:themeColor="text1"/>
          <w14:textFill>
            <w14:solidFill>
              <w14:schemeClr w14:val="tx1"/>
            </w14:solidFill>
          </w14:textFill>
        </w:rPr>
        <w:t>发布中标结果公告和发放中标通知书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_Toc24611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"_Toc21469" </w:instrText>
      </w:r>
      <w:r>
        <w:fldChar w:fldCharType="separate"/>
      </w:r>
      <w:r>
        <w:rPr>
          <w:color w:val="000000" w:themeColor="text1"/>
          <w14:textFill>
            <w14:solidFill>
              <w14:schemeClr w14:val="tx1"/>
            </w14:solidFill>
          </w14:textFill>
        </w:rPr>
        <w:t xml:space="preserve">31 </w:t>
      </w:r>
      <w:r>
        <w:rPr>
          <w:rFonts w:hint="eastAsia"/>
          <w:color w:val="000000" w:themeColor="text1"/>
          <w14:textFill>
            <w14:solidFill>
              <w14:schemeClr w14:val="tx1"/>
            </w14:solidFill>
          </w14:textFill>
        </w:rPr>
        <w:t>投标人对中标结果的质疑、投诉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_Toc21469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"_Toc22110" </w:instrText>
      </w:r>
      <w:r>
        <w:fldChar w:fldCharType="separate"/>
      </w:r>
      <w:r>
        <w:rPr>
          <w:rFonts w:hint="eastAsia"/>
          <w:color w:val="000000" w:themeColor="text1"/>
          <w14:textFill>
            <w14:solidFill>
              <w14:schemeClr w14:val="tx1"/>
            </w14:solidFill>
          </w14:textFill>
        </w:rPr>
        <w:t>Ｆ  授予合同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_Toc22110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"_Toc24825" </w:instrText>
      </w:r>
      <w:r>
        <w:fldChar w:fldCharType="separate"/>
      </w:r>
      <w:r>
        <w:rPr>
          <w:color w:val="000000" w:themeColor="text1"/>
          <w14:textFill>
            <w14:solidFill>
              <w14:schemeClr w14:val="tx1"/>
            </w14:solidFill>
          </w14:textFill>
        </w:rPr>
        <w:t xml:space="preserve">32 </w:t>
      </w:r>
      <w:r>
        <w:rPr>
          <w:rFonts w:hint="eastAsia"/>
          <w:color w:val="000000" w:themeColor="text1"/>
          <w14:textFill>
            <w14:solidFill>
              <w14:schemeClr w14:val="tx1"/>
            </w14:solidFill>
          </w14:textFill>
        </w:rPr>
        <w:t>合同授予标准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_Toc24825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fldChar w:fldCharType="begin"/>
      </w:r>
      <w:r>
        <w:instrText xml:space="preserve"> HYPERLINK \l "_Toc18755" </w:instrText>
      </w:r>
      <w:r>
        <w:fldChar w:fldCharType="separate"/>
      </w:r>
      <w:r>
        <w:rPr>
          <w:color w:val="000000" w:themeColor="text1"/>
          <w14:textFill>
            <w14:solidFill>
              <w14:schemeClr w14:val="tx1"/>
            </w14:solidFill>
          </w14:textFill>
        </w:rPr>
        <w:t xml:space="preserve">33 </w:t>
      </w:r>
      <w:r>
        <w:rPr>
          <w:rFonts w:hint="eastAsia"/>
          <w:color w:val="000000" w:themeColor="text1"/>
          <w14:textFill>
            <w14:solidFill>
              <w14:schemeClr w14:val="tx1"/>
            </w14:solidFill>
          </w14:textFill>
        </w:rPr>
        <w:t>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_Toc18755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"_Toc31945" </w:instrText>
      </w:r>
      <w:r>
        <w:fldChar w:fldCharType="separate"/>
      </w:r>
      <w:r>
        <w:rPr>
          <w:rFonts w:hint="eastAsia"/>
          <w:color w:val="000000" w:themeColor="text1"/>
          <w14:textFill>
            <w14:solidFill>
              <w14:schemeClr w14:val="tx1"/>
            </w14:solidFill>
          </w14:textFill>
        </w:rPr>
        <w:t>G、评标细则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_Toc31945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959"/>
          <w:tab w:val="clear" w:pos="8949"/>
        </w:tabs>
        <w:rPr>
          <w:color w:val="000000" w:themeColor="text1"/>
          <w14:textFill>
            <w14:solidFill>
              <w14:schemeClr w14:val="tx1"/>
            </w14:solidFill>
          </w14:textFill>
        </w:rPr>
      </w:pPr>
      <w:r>
        <w:fldChar w:fldCharType="begin"/>
      </w:r>
      <w:r>
        <w:instrText xml:space="preserve"> HYPERLINK \l "_Toc20220" </w:instrText>
      </w:r>
      <w:r>
        <w:fldChar w:fldCharType="separate"/>
      </w:r>
      <w:r>
        <w:rPr>
          <w:rFonts w:hint="eastAsia"/>
          <w:color w:val="000000" w:themeColor="text1"/>
          <w14:textFill>
            <w14:solidFill>
              <w14:schemeClr w14:val="tx1"/>
            </w14:solidFill>
          </w14:textFill>
        </w:rPr>
        <w:t>第四部分  采购项目合同（参考范本）</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_Toc20220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959"/>
          <w:tab w:val="clear" w:pos="8949"/>
        </w:tabs>
        <w:rPr>
          <w:color w:val="000000" w:themeColor="text1"/>
          <w14:textFill>
            <w14:solidFill>
              <w14:schemeClr w14:val="tx1"/>
            </w14:solidFill>
          </w14:textFill>
        </w:rPr>
      </w:pPr>
      <w:r>
        <w:fldChar w:fldCharType="begin"/>
      </w:r>
      <w:r>
        <w:instrText xml:space="preserve"> HYPERLINK \l "_Toc15428" </w:instrText>
      </w:r>
      <w:r>
        <w:fldChar w:fldCharType="separate"/>
      </w:r>
      <w:r>
        <w:rPr>
          <w:rFonts w:hint="eastAsia"/>
          <w:color w:val="000000" w:themeColor="text1"/>
          <w14:textFill>
            <w14:solidFill>
              <w14:schemeClr w14:val="tx1"/>
            </w14:solidFill>
          </w14:textFill>
        </w:rPr>
        <w:t>第五部分投标文件格式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_Toc15428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"_Toc2613" </w:instrText>
      </w:r>
      <w:r>
        <w:fldChar w:fldCharType="separate"/>
      </w:r>
      <w:r>
        <w:rPr>
          <w:rFonts w:hint="eastAsia"/>
          <w:color w:val="000000" w:themeColor="text1"/>
          <w14:textFill>
            <w14:solidFill>
              <w14:schemeClr w14:val="tx1"/>
            </w14:solidFill>
          </w14:textFill>
        </w:rPr>
        <w:t>资格审查封面格式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"_Toc23217" </w:instrText>
      </w:r>
      <w:r>
        <w:fldChar w:fldCharType="separate"/>
      </w:r>
      <w:r>
        <w:rPr>
          <w:color w:val="000000" w:themeColor="text1"/>
          <w14:textFill>
            <w14:solidFill>
              <w14:schemeClr w14:val="tx1"/>
            </w14:solidFill>
          </w14:textFill>
        </w:rPr>
        <w:t xml:space="preserve">第一章 </w:t>
      </w:r>
      <w:r>
        <w:rPr>
          <w:rFonts w:hint="eastAsia"/>
          <w:color w:val="000000" w:themeColor="text1"/>
          <w14:textFill>
            <w14:solidFill>
              <w14:schemeClr w14:val="tx1"/>
            </w14:solidFill>
          </w14:textFill>
        </w:rPr>
        <w:t>自查表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_Toc23217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"_Toc1858" </w:instrText>
      </w:r>
      <w:r>
        <w:fldChar w:fldCharType="separate"/>
      </w:r>
      <w:r>
        <w:rPr>
          <w:rFonts w:hint="eastAsia"/>
          <w:color w:val="000000" w:themeColor="text1"/>
          <w14:textFill>
            <w14:solidFill>
              <w14:schemeClr w14:val="tx1"/>
            </w14:solidFill>
          </w14:textFill>
        </w:rPr>
        <w:t>资格性自查表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"_Toc177" </w:instrText>
      </w:r>
      <w:r>
        <w:fldChar w:fldCharType="separate"/>
      </w:r>
      <w:r>
        <w:rPr>
          <w:rFonts w:hint="eastAsia"/>
          <w:color w:val="000000" w:themeColor="text1"/>
          <w14:textFill>
            <w14:solidFill>
              <w14:schemeClr w14:val="tx1"/>
            </w14:solidFill>
          </w14:textFill>
        </w:rPr>
        <w:t>（一）资格审查文件要求提交的有效证明文件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"_Toc19310" </w:instrText>
      </w:r>
      <w:r>
        <w:fldChar w:fldCharType="separate"/>
      </w:r>
      <w:r>
        <w:rPr>
          <w:rFonts w:hint="eastAsia" w:hAnsi="黑体"/>
          <w:color w:val="000000" w:themeColor="text1"/>
          <w14:textFill>
            <w14:solidFill>
              <w14:schemeClr w14:val="tx1"/>
            </w14:solidFill>
          </w14:textFill>
        </w:rPr>
        <w:t>（二）无重大违法记录声明函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_Toc19310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"_Toc26827" </w:instrText>
      </w:r>
      <w:r>
        <w:fldChar w:fldCharType="separate"/>
      </w:r>
      <w:r>
        <w:rPr>
          <w:color w:val="000000" w:themeColor="text1"/>
          <w14:textFill>
            <w14:solidFill>
              <w14:schemeClr w14:val="tx1"/>
            </w14:solidFill>
          </w14:textFill>
        </w:rPr>
        <w:t xml:space="preserve">第二章 </w:t>
      </w:r>
      <w:r>
        <w:rPr>
          <w:rFonts w:hint="eastAsia"/>
          <w:color w:val="000000" w:themeColor="text1"/>
          <w14:textFill>
            <w14:solidFill>
              <w14:schemeClr w14:val="tx1"/>
            </w14:solidFill>
          </w14:textFill>
        </w:rPr>
        <w:t>投标文件商务及技术部分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_Toc26827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"_Toc28645" </w:instrText>
      </w:r>
      <w:r>
        <w:fldChar w:fldCharType="separate"/>
      </w:r>
      <w:r>
        <w:rPr>
          <w:rFonts w:hint="eastAsia"/>
          <w:color w:val="000000" w:themeColor="text1"/>
          <w14:textFill>
            <w14:solidFill>
              <w14:schemeClr w14:val="tx1"/>
            </w14:solidFill>
          </w14:textFill>
        </w:rPr>
        <w:t>商务及技术封面格式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_Toc28645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"_Toc30005" </w:instrText>
      </w:r>
      <w:r>
        <w:fldChar w:fldCharType="separate"/>
      </w:r>
      <w:r>
        <w:rPr>
          <w:rFonts w:hint="eastAsia"/>
          <w:color w:val="000000" w:themeColor="text1"/>
          <w14:textFill>
            <w14:solidFill>
              <w14:schemeClr w14:val="tx1"/>
            </w14:solidFill>
          </w14:textFill>
        </w:rPr>
        <w:t>符合性自查表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_Toc30005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"_Toc11481" </w:instrText>
      </w:r>
      <w:r>
        <w:fldChar w:fldCharType="separate"/>
      </w:r>
      <w:r>
        <w:rPr>
          <w:rFonts w:hint="eastAsia"/>
          <w:color w:val="000000" w:themeColor="text1"/>
          <w14:textFill>
            <w14:solidFill>
              <w14:schemeClr w14:val="tx1"/>
            </w14:solidFill>
          </w14:textFill>
        </w:rPr>
        <w:t>评审项目投标资料表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_Toc11481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"_Toc10469" </w:instrText>
      </w:r>
      <w:r>
        <w:fldChar w:fldCharType="separate"/>
      </w:r>
      <w:r>
        <w:rPr>
          <w:rFonts w:hint="eastAsia"/>
          <w:color w:val="000000" w:themeColor="text1"/>
          <w14:textFill>
            <w14:solidFill>
              <w14:schemeClr w14:val="tx1"/>
            </w14:solidFill>
          </w14:textFill>
        </w:rPr>
        <w:t>（一）法定代表人（负责人）证明书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_Toc10469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"_Toc7881" </w:instrText>
      </w:r>
      <w:r>
        <w:fldChar w:fldCharType="separate"/>
      </w:r>
      <w:r>
        <w:rPr>
          <w:rFonts w:hint="eastAsia"/>
          <w:color w:val="000000" w:themeColor="text1"/>
          <w14:textFill>
            <w14:solidFill>
              <w14:schemeClr w14:val="tx1"/>
            </w14:solidFill>
          </w14:textFill>
        </w:rPr>
        <w:t>（二）法定代表人（负责人）授权书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_Toc7881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"_Toc17972" </w:instrText>
      </w:r>
      <w:r>
        <w:fldChar w:fldCharType="separate"/>
      </w:r>
      <w:r>
        <w:rPr>
          <w:rFonts w:hint="eastAsia"/>
          <w:color w:val="000000" w:themeColor="text1"/>
          <w14:textFill>
            <w14:solidFill>
              <w14:schemeClr w14:val="tx1"/>
            </w14:solidFill>
          </w14:textFill>
        </w:rPr>
        <w:t>附件一：投标函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_Toc17972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"_Toc7964" </w:instrText>
      </w:r>
      <w:r>
        <w:fldChar w:fldCharType="separate"/>
      </w:r>
      <w:r>
        <w:rPr>
          <w:rFonts w:hint="eastAsia"/>
          <w:color w:val="000000" w:themeColor="text1"/>
          <w14:textFill>
            <w14:solidFill>
              <w14:schemeClr w14:val="tx1"/>
            </w14:solidFill>
          </w14:textFill>
        </w:rPr>
        <w:t>附件二：开标一览表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_Toc7964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"_Toc10140" </w:instrText>
      </w:r>
      <w:r>
        <w:fldChar w:fldCharType="separate"/>
      </w:r>
      <w:r>
        <w:rPr>
          <w:rFonts w:hint="eastAsia"/>
          <w:color w:val="000000" w:themeColor="text1"/>
          <w14:textFill>
            <w14:solidFill>
              <w14:schemeClr w14:val="tx1"/>
            </w14:solidFill>
          </w14:textFill>
        </w:rPr>
        <w:t>附件三：商务条款偏离一览表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_Toc10140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"_Toc4711" </w:instrText>
      </w:r>
      <w:r>
        <w:fldChar w:fldCharType="separate"/>
      </w:r>
      <w:r>
        <w:rPr>
          <w:rFonts w:hint="eastAsia"/>
          <w:color w:val="000000" w:themeColor="text1"/>
          <w14:textFill>
            <w14:solidFill>
              <w14:schemeClr w14:val="tx1"/>
            </w14:solidFill>
          </w14:textFill>
        </w:rPr>
        <w:t>附件四：技术条款偏离一览表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"_Toc19282" </w:instrText>
      </w:r>
      <w:r>
        <w:fldChar w:fldCharType="separate"/>
      </w:r>
      <w:r>
        <w:rPr>
          <w:rFonts w:hint="eastAsia"/>
          <w:color w:val="000000" w:themeColor="text1"/>
          <w14:textFill>
            <w14:solidFill>
              <w14:schemeClr w14:val="tx1"/>
            </w14:solidFill>
          </w14:textFill>
        </w:rPr>
        <w:t>附件五：同类业绩一览表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_Toc19282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"_Toc25116" </w:instrText>
      </w:r>
      <w:r>
        <w:fldChar w:fldCharType="separate"/>
      </w:r>
      <w:r>
        <w:rPr>
          <w:rFonts w:hint="eastAsia"/>
          <w:color w:val="000000" w:themeColor="text1"/>
          <w14:textFill>
            <w14:solidFill>
              <w14:schemeClr w14:val="tx1"/>
            </w14:solidFill>
          </w14:textFill>
        </w:rPr>
        <w:t>附件六：中标服务费承诺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"_Toc4303" </w:instrText>
      </w:r>
      <w:r>
        <w:fldChar w:fldCharType="separate"/>
      </w:r>
      <w:r>
        <w:rPr>
          <w:rFonts w:hint="eastAsia"/>
          <w:color w:val="000000" w:themeColor="text1"/>
          <w14:textFill>
            <w14:solidFill>
              <w14:schemeClr w14:val="tx1"/>
            </w14:solidFill>
          </w14:textFill>
        </w:rPr>
        <w:t>附件七：投标人提交的其它商务和技术资料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_Toc4303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fldChar w:fldCharType="begin"/>
      </w:r>
      <w:r>
        <w:instrText xml:space="preserve"> HYPERLINK \l "_Toc17522" </w:instrText>
      </w:r>
      <w:r>
        <w:fldChar w:fldCharType="separate"/>
      </w:r>
      <w:r>
        <w:rPr>
          <w:rFonts w:hint="eastAsia"/>
          <w:color w:val="000000" w:themeColor="text1"/>
          <w14:textFill>
            <w14:solidFill>
              <w14:schemeClr w14:val="tx1"/>
            </w14:solidFill>
          </w14:textFill>
        </w:rPr>
        <w:t>其 他 格 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_Toc17522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sectPr>
          <w:headerReference r:id="rId7" w:type="first"/>
          <w:footerReference r:id="rId8" w:type="first"/>
          <w:headerReference r:id="rId6" w:type="default"/>
          <w:type w:val="continuous"/>
          <w:pgSz w:w="11907" w:h="16840"/>
          <w:pgMar w:top="1418" w:right="1474" w:bottom="1418" w:left="1474" w:header="851" w:footer="851" w:gutter="0"/>
          <w:cols w:space="720" w:num="1"/>
          <w:docGrid w:linePitch="462" w:charSpace="0"/>
        </w:sectPr>
      </w:pPr>
      <w:r>
        <w:rPr>
          <w:bCs/>
          <w:caps/>
          <w:color w:val="000000" w:themeColor="text1"/>
          <w:szCs w:val="21"/>
          <w14:textFill>
            <w14:solidFill>
              <w14:schemeClr w14:val="tx1"/>
            </w14:solidFill>
          </w14:textFill>
        </w:rPr>
        <w:fldChar w:fldCharType="end"/>
      </w:r>
    </w:p>
    <w:bookmarkEnd w:id="0"/>
    <w:p>
      <w:pPr>
        <w:pStyle w:val="3"/>
        <w:numPr>
          <w:ilvl w:val="0"/>
          <w:numId w:val="0"/>
        </w:numPr>
        <w:spacing w:beforeLines="0"/>
        <w:rPr>
          <w:color w:val="000000" w:themeColor="text1"/>
          <w14:textFill>
            <w14:solidFill>
              <w14:schemeClr w14:val="tx1"/>
            </w14:solidFill>
          </w14:textFill>
        </w:rPr>
      </w:pPr>
      <w:bookmarkStart w:id="1" w:name="_Toc339020048"/>
      <w:bookmarkStart w:id="2" w:name="_Toc339019954"/>
      <w:bookmarkStart w:id="3" w:name="_Toc21734"/>
      <w:bookmarkStart w:id="4" w:name="_Toc349127583"/>
      <w:bookmarkStart w:id="5" w:name="_Toc332206657"/>
      <w:bookmarkStart w:id="6" w:name="_Toc330459945"/>
      <w:bookmarkStart w:id="7" w:name="_Toc365985108"/>
      <w:bookmarkStart w:id="8" w:name="_Toc350438702"/>
      <w:bookmarkStart w:id="9" w:name="_Toc340677031"/>
      <w:bookmarkStart w:id="10" w:name="_Toc336681537"/>
      <w:bookmarkStart w:id="11" w:name="_Toc341348291"/>
      <w:bookmarkStart w:id="12" w:name="_Toc365967002"/>
      <w:bookmarkStart w:id="13" w:name="_Toc340672830"/>
      <w:bookmarkStart w:id="14" w:name="_Toc345513762"/>
      <w:bookmarkStart w:id="15" w:name="_Toc336681892"/>
      <w:bookmarkStart w:id="16" w:name="_Toc339362257"/>
      <w:bookmarkStart w:id="17" w:name="_Toc366072457"/>
      <w:bookmarkStart w:id="18" w:name="_Toc350756403"/>
      <w:bookmarkStart w:id="19" w:name="_Toc342296708"/>
      <w:bookmarkStart w:id="20" w:name="_Toc30738"/>
      <w:bookmarkStart w:id="21" w:name="_Toc339020186"/>
      <w:bookmarkStart w:id="22" w:name="_Toc342060322"/>
      <w:bookmarkStart w:id="23" w:name="_Toc349143546"/>
      <w:bookmarkStart w:id="24" w:name="_Toc331683994"/>
      <w:bookmarkStart w:id="25" w:name="_Toc332270305"/>
      <w:bookmarkStart w:id="26" w:name="_Toc331512856"/>
      <w:bookmarkStart w:id="27" w:name="_Toc333237723"/>
      <w:bookmarkStart w:id="28" w:name="_Toc333238571"/>
      <w:bookmarkStart w:id="29" w:name="_Toc333935619"/>
      <w:bookmarkStart w:id="30" w:name="_Toc333237612"/>
      <w:bookmarkStart w:id="31" w:name="_Toc340507403"/>
      <w:bookmarkStart w:id="32" w:name="_Toc339019828"/>
      <w:bookmarkStart w:id="33" w:name="_Toc333935278"/>
      <w:bookmarkStart w:id="34" w:name="_Toc337632315"/>
      <w:bookmarkStart w:id="35" w:name="_Toc339441044"/>
      <w:bookmarkStart w:id="36" w:name="_Toc500860978"/>
      <w:r>
        <w:rPr>
          <w:rFonts w:hint="eastAsia"/>
          <w:color w:val="000000" w:themeColor="text1"/>
          <w14:textFill>
            <w14:solidFill>
              <w14:schemeClr w14:val="tx1"/>
            </w14:solidFill>
          </w14:textFill>
        </w:rPr>
        <w:t>第一</w:t>
      </w:r>
      <w:bookmarkStart w:id="37" w:name="_Hlt23321731"/>
      <w:bookmarkEnd w:id="37"/>
      <w:r>
        <w:rPr>
          <w:rFonts w:hint="eastAsia"/>
          <w:color w:val="000000" w:themeColor="text1"/>
          <w14:textFill>
            <w14:solidFill>
              <w14:schemeClr w14:val="tx1"/>
            </w14:solidFill>
          </w14:textFill>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widowControl/>
        <w:tabs>
          <w:tab w:val="left" w:pos="502"/>
          <w:tab w:val="left" w:pos="5145"/>
        </w:tabs>
        <w:adjustRightInd w:val="0"/>
        <w:snapToGrid w:val="0"/>
        <w:spacing w:line="400" w:lineRule="exact"/>
        <w:ind w:left="105" w:leftChars="50" w:firstLine="420" w:firstLineChars="200"/>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广东业信采购招标有限公司（以下简称“招标代理机构”）受阳江农村商业银行股份有限公司（以下简称</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招标人</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）的委托，就阳江农村商业银行股份有限公司装修工程造价咨询公司准入项目进行公开招标(项目编号:YXCG-20240329)，欢迎符合条件的投标人参加。有关事项如下：</w:t>
      </w:r>
    </w:p>
    <w:p>
      <w:pPr>
        <w:widowControl/>
        <w:tabs>
          <w:tab w:val="left" w:pos="502"/>
        </w:tabs>
        <w:adjustRightInd w:val="0"/>
        <w:snapToGrid w:val="0"/>
        <w:spacing w:line="400" w:lineRule="exact"/>
        <w:rPr>
          <w:rFonts w:ascii="Tahoma" w:hAnsi="Tahoma" w:cs="Tahoma"/>
          <w:b/>
          <w:bCs/>
          <w:color w:val="000000" w:themeColor="text1"/>
          <w:szCs w:val="21"/>
          <w14:textFill>
            <w14:solidFill>
              <w14:schemeClr w14:val="tx1"/>
            </w14:solidFill>
          </w14:textFill>
        </w:rPr>
      </w:pPr>
      <w:r>
        <w:rPr>
          <w:rFonts w:hint="eastAsia" w:ascii="宋体" w:hAnsi="宋体" w:cs="Tahoma"/>
          <w:b/>
          <w:bCs/>
          <w:color w:val="000000" w:themeColor="text1"/>
          <w14:textFill>
            <w14:solidFill>
              <w14:schemeClr w14:val="tx1"/>
            </w14:solidFill>
          </w14:textFill>
        </w:rPr>
        <w:t>一、</w:t>
      </w:r>
      <w:r>
        <w:rPr>
          <w:rFonts w:hint="eastAsia" w:ascii="Tahoma" w:hAnsi="Tahoma" w:cs="Tahoma"/>
          <w:b/>
          <w:bCs/>
          <w:color w:val="000000" w:themeColor="text1"/>
          <w:szCs w:val="21"/>
          <w14:textFill>
            <w14:solidFill>
              <w14:schemeClr w14:val="tx1"/>
            </w14:solidFill>
          </w14:textFill>
        </w:rPr>
        <w:t>招标项目的名称、用途、数量、采购方式</w:t>
      </w:r>
    </w:p>
    <w:p>
      <w:pPr>
        <w:widowControl/>
        <w:numPr>
          <w:ilvl w:val="0"/>
          <w:numId w:val="20"/>
        </w:numPr>
        <w:tabs>
          <w:tab w:val="left" w:pos="735"/>
          <w:tab w:val="clear" w:pos="528"/>
        </w:tabs>
        <w:adjustRightInd w:val="0"/>
        <w:snapToGrid w:val="0"/>
        <w:spacing w:line="400" w:lineRule="exact"/>
        <w:ind w:left="1785" w:leftChars="200" w:hanging="1365" w:hangingChars="65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项目名称：阳江农村商业银行股份有限公司装修工程造价咨询公司准入项目</w:t>
      </w:r>
    </w:p>
    <w:p>
      <w:pPr>
        <w:widowControl/>
        <w:numPr>
          <w:ilvl w:val="0"/>
          <w:numId w:val="20"/>
        </w:numPr>
        <w:tabs>
          <w:tab w:val="left" w:pos="735"/>
          <w:tab w:val="clear" w:pos="528"/>
        </w:tabs>
        <w:adjustRightInd w:val="0"/>
        <w:snapToGrid w:val="0"/>
        <w:spacing w:line="400" w:lineRule="exact"/>
        <w:ind w:left="420" w:leftChars="200" w:firstLine="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项目编号：YXCG-20240329</w:t>
      </w:r>
    </w:p>
    <w:p>
      <w:pPr>
        <w:widowControl/>
        <w:numPr>
          <w:ilvl w:val="0"/>
          <w:numId w:val="20"/>
        </w:numPr>
        <w:tabs>
          <w:tab w:val="left" w:pos="735"/>
          <w:tab w:val="clear" w:pos="528"/>
        </w:tabs>
        <w:adjustRightInd w:val="0"/>
        <w:snapToGrid w:val="0"/>
        <w:spacing w:line="400" w:lineRule="exact"/>
        <w:ind w:left="735" w:leftChars="200" w:hanging="315" w:hangingChars="15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数  量：一项</w:t>
      </w:r>
    </w:p>
    <w:p>
      <w:pPr>
        <w:widowControl/>
        <w:numPr>
          <w:ilvl w:val="0"/>
          <w:numId w:val="20"/>
        </w:numPr>
        <w:tabs>
          <w:tab w:val="left" w:pos="735"/>
          <w:tab w:val="clear" w:pos="528"/>
        </w:tabs>
        <w:adjustRightInd w:val="0"/>
        <w:snapToGrid w:val="0"/>
        <w:spacing w:line="400" w:lineRule="exact"/>
        <w:ind w:left="736" w:leftChars="200" w:hanging="316" w:hangingChars="15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服务期：</w:t>
      </w:r>
      <w:r>
        <w:rPr>
          <w:rFonts w:hint="eastAsia" w:ascii="宋体" w:hAnsi="宋体" w:cs="宋体"/>
          <w:color w:val="000000" w:themeColor="text1"/>
          <w14:textFill>
            <w14:solidFill>
              <w14:schemeClr w14:val="tx1"/>
            </w14:solidFill>
          </w14:textFill>
        </w:rPr>
        <w:t>3年，具体以合同签订为准。在服务期间，合同采用一年一签方式，招标人每年对入库单位服务质量进行评估，如考核合格将续签次年合同。（少于该服务期将作为无效投标处理）</w:t>
      </w:r>
    </w:p>
    <w:p>
      <w:pPr>
        <w:widowControl/>
        <w:numPr>
          <w:ilvl w:val="0"/>
          <w:numId w:val="20"/>
        </w:numPr>
        <w:tabs>
          <w:tab w:val="left" w:pos="315"/>
          <w:tab w:val="left" w:pos="735"/>
          <w:tab w:val="clear" w:pos="528"/>
        </w:tabs>
        <w:adjustRightInd w:val="0"/>
        <w:snapToGrid w:val="0"/>
        <w:spacing w:line="400" w:lineRule="exact"/>
        <w:ind w:left="420" w:leftChars="200" w:firstLine="0"/>
        <w:rPr>
          <w:rFonts w:ascii="宋体" w:hAnsi="宋体"/>
          <w:bCs/>
          <w:color w:val="000000" w:themeColor="text1"/>
          <w14:textFill>
            <w14:solidFill>
              <w14:schemeClr w14:val="tx1"/>
            </w14:solidFill>
          </w14:textFill>
        </w:rPr>
      </w:pPr>
      <w:r>
        <w:rPr>
          <w:rFonts w:hint="eastAsia" w:ascii="宋体" w:hAnsi="宋体"/>
          <w:bCs/>
          <w:color w:val="000000" w:themeColor="text1"/>
          <w:lang w:val="zh-CN"/>
          <w14:textFill>
            <w14:solidFill>
              <w14:schemeClr w14:val="tx1"/>
            </w14:solidFill>
          </w14:textFill>
        </w:rPr>
        <w:t>中标供应商数量：</w:t>
      </w:r>
      <w:r>
        <w:rPr>
          <w:rFonts w:hint="eastAsia" w:ascii="宋体" w:hAnsi="宋体" w:cs="宋体"/>
          <w:color w:val="000000" w:themeColor="text1"/>
          <w14:textFill>
            <w14:solidFill>
              <w14:schemeClr w14:val="tx1"/>
            </w14:solidFill>
          </w14:textFill>
        </w:rPr>
        <w:t>本次拟准入造价公司3家、后备单位2家（后备单位不足不影响招标结果）。</w:t>
      </w:r>
    </w:p>
    <w:p>
      <w:pPr>
        <w:widowControl/>
        <w:numPr>
          <w:ilvl w:val="0"/>
          <w:numId w:val="20"/>
        </w:numPr>
        <w:tabs>
          <w:tab w:val="left" w:pos="315"/>
          <w:tab w:val="left" w:pos="735"/>
          <w:tab w:val="clear" w:pos="528"/>
        </w:tabs>
        <w:adjustRightInd w:val="0"/>
        <w:snapToGrid w:val="0"/>
        <w:spacing w:line="400" w:lineRule="exact"/>
        <w:ind w:left="420" w:leftChars="200" w:firstLine="0"/>
        <w:rPr>
          <w:rFonts w:ascii="宋体" w:hAnsi="宋体"/>
          <w:bCs/>
          <w:color w:val="000000" w:themeColor="text1"/>
          <w14:textFill>
            <w14:solidFill>
              <w14:schemeClr w14:val="tx1"/>
            </w14:solidFill>
          </w14:textFill>
        </w:rPr>
      </w:pPr>
      <w:r>
        <w:rPr>
          <w:rFonts w:hint="eastAsia" w:ascii="宋体" w:hAnsi="宋体" w:cs="Tahoma"/>
          <w:color w:val="000000" w:themeColor="text1"/>
          <w:kern w:val="28"/>
          <w:szCs w:val="21"/>
          <w14:textFill>
            <w14:solidFill>
              <w14:schemeClr w14:val="tx1"/>
            </w14:solidFill>
          </w14:textFill>
        </w:rPr>
        <w:t>项目招标方式：公开招标</w:t>
      </w:r>
    </w:p>
    <w:p>
      <w:pPr>
        <w:widowControl/>
        <w:tabs>
          <w:tab w:val="left" w:pos="502"/>
        </w:tabs>
        <w:adjustRightInd w:val="0"/>
        <w:snapToGrid w:val="0"/>
        <w:spacing w:line="400" w:lineRule="exact"/>
        <w:rPr>
          <w:rFonts w:ascii="宋体" w:hAnsi="宋体" w:cs="Tahoma"/>
          <w:b/>
          <w:bCs/>
          <w:color w:val="000000" w:themeColor="text1"/>
          <w14:textFill>
            <w14:solidFill>
              <w14:schemeClr w14:val="tx1"/>
            </w14:solidFill>
          </w14:textFill>
        </w:rPr>
      </w:pPr>
      <w:r>
        <w:rPr>
          <w:rFonts w:hint="eastAsia" w:ascii="宋体" w:hAnsi="宋体" w:cs="Tahoma"/>
          <w:b/>
          <w:bCs/>
          <w:color w:val="000000" w:themeColor="text1"/>
          <w14:textFill>
            <w14:solidFill>
              <w14:schemeClr w14:val="tx1"/>
            </w14:solidFill>
          </w14:textFill>
        </w:rPr>
        <w:t>二、投标人资格要求为：</w:t>
      </w:r>
    </w:p>
    <w:p>
      <w:pPr>
        <w:widowControl/>
        <w:tabs>
          <w:tab w:val="left" w:pos="420"/>
        </w:tabs>
        <w:adjustRightInd w:val="0"/>
        <w:snapToGrid w:val="0"/>
        <w:spacing w:line="400" w:lineRule="exact"/>
        <w:ind w:left="434" w:leftChars="200" w:hanging="14" w:hangingChars="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1.投标人须是中华人民共和国境内合法注册的独立法人机构或其他组织，并具有相应的经营范围、能力及人员。</w:t>
      </w:r>
    </w:p>
    <w:p>
      <w:pPr>
        <w:widowControl/>
        <w:tabs>
          <w:tab w:val="left" w:pos="420"/>
        </w:tabs>
        <w:adjustRightInd w:val="0"/>
        <w:snapToGrid w:val="0"/>
        <w:spacing w:line="400" w:lineRule="exact"/>
        <w:ind w:left="434" w:leftChars="200" w:hanging="14" w:hangingChars="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2.投标人拟派的项目负责人具有一级注册造价工程师证书（提供证书复印件及近6个月任意1个月在投标单位购买的社保证明）；</w:t>
      </w:r>
    </w:p>
    <w:p>
      <w:pPr>
        <w:widowControl/>
        <w:tabs>
          <w:tab w:val="left" w:pos="420"/>
        </w:tabs>
        <w:adjustRightInd w:val="0"/>
        <w:snapToGrid w:val="0"/>
        <w:spacing w:line="400" w:lineRule="exact"/>
        <w:ind w:left="434" w:leftChars="200" w:hanging="14" w:hangingChars="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3.在近三年内【自投标之日（申请准入之日）起往前顺推】无重大违法记录；（提供《承诺函》</w:t>
      </w:r>
    </w:p>
    <w:p>
      <w:pPr>
        <w:widowControl/>
        <w:tabs>
          <w:tab w:val="left" w:pos="420"/>
        </w:tabs>
        <w:adjustRightInd w:val="0"/>
        <w:snapToGrid w:val="0"/>
        <w:spacing w:line="400" w:lineRule="exact"/>
        <w:ind w:left="434" w:leftChars="200" w:hanging="14" w:hangingChars="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承诺）</w:t>
      </w:r>
    </w:p>
    <w:p>
      <w:pPr>
        <w:widowControl/>
        <w:tabs>
          <w:tab w:val="left" w:pos="420"/>
        </w:tabs>
        <w:adjustRightInd w:val="0"/>
        <w:snapToGrid w:val="0"/>
        <w:spacing w:line="400" w:lineRule="exact"/>
        <w:ind w:left="434" w:leftChars="200" w:hanging="14" w:hangingChars="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4.单位负责人为同一人、彼此存在投资与被投资、控股、管理关系的、或彼此的经营者、董事会（或同类管理机构）成员属于直系亲属或配偶关系的，不被接受作为同时参与本项目的投标人。 （提供《承诺函》承诺）</w:t>
      </w:r>
    </w:p>
    <w:p>
      <w:pPr>
        <w:widowControl/>
        <w:tabs>
          <w:tab w:val="left" w:pos="420"/>
        </w:tabs>
        <w:adjustRightInd w:val="0"/>
        <w:snapToGrid w:val="0"/>
        <w:spacing w:line="400" w:lineRule="exact"/>
        <w:ind w:left="434" w:leftChars="200" w:hanging="14" w:hangingChars="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5.本项目不接受联合体投标；</w:t>
      </w:r>
    </w:p>
    <w:p>
      <w:pPr>
        <w:widowControl/>
        <w:tabs>
          <w:tab w:val="left" w:pos="420"/>
        </w:tabs>
        <w:adjustRightInd w:val="0"/>
        <w:snapToGrid w:val="0"/>
        <w:spacing w:line="400" w:lineRule="exact"/>
        <w:ind w:left="434" w:leftChars="200" w:hanging="14" w:hangingChars="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6.投标人须在招标代理机构登记并购买招标文件。</w:t>
      </w:r>
    </w:p>
    <w:p>
      <w:pPr>
        <w:widowControl/>
        <w:tabs>
          <w:tab w:val="left" w:pos="502"/>
        </w:tabs>
        <w:adjustRightInd w:val="0"/>
        <w:snapToGrid w:val="0"/>
        <w:spacing w:line="400" w:lineRule="exact"/>
        <w:rPr>
          <w:rFonts w:ascii="Tahoma" w:hAnsi="Tahoma" w:cs="Tahoma"/>
          <w:b/>
          <w:bCs/>
          <w:color w:val="000000" w:themeColor="text1"/>
          <w:szCs w:val="21"/>
          <w14:textFill>
            <w14:solidFill>
              <w14:schemeClr w14:val="tx1"/>
            </w14:solidFill>
          </w14:textFill>
        </w:rPr>
      </w:pPr>
      <w:r>
        <w:rPr>
          <w:rFonts w:hint="eastAsia" w:ascii="Tahoma" w:hAnsi="Tahoma" w:cs="Tahoma"/>
          <w:b/>
          <w:bCs/>
          <w:color w:val="000000" w:themeColor="text1"/>
          <w:szCs w:val="21"/>
          <w14:textFill>
            <w14:solidFill>
              <w14:schemeClr w14:val="tx1"/>
            </w14:solidFill>
          </w14:textFill>
        </w:rPr>
        <w:t>三、</w:t>
      </w:r>
      <w:r>
        <w:rPr>
          <w:rFonts w:ascii="Tahoma" w:hAnsi="Tahoma" w:cs="Tahoma"/>
          <w:b/>
          <w:bCs/>
          <w:color w:val="000000" w:themeColor="text1"/>
          <w:szCs w:val="21"/>
          <w14:textFill>
            <w14:solidFill>
              <w14:schemeClr w14:val="tx1"/>
            </w14:solidFill>
          </w14:textFill>
        </w:rPr>
        <w:t>招标文件的公示</w:t>
      </w:r>
    </w:p>
    <w:p>
      <w:pPr>
        <w:spacing w:line="400" w:lineRule="exact"/>
        <w:ind w:firstLine="420" w:firstLineChars="200"/>
        <w:rPr>
          <w:rFonts w:ascii="宋体" w:hAnsi="宋体" w:cs="宋体"/>
          <w:bCs/>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Arial"/>
          <w:color w:val="000000" w:themeColor="text1"/>
          <w14:textFill>
            <w14:solidFill>
              <w14:schemeClr w14:val="tx1"/>
            </w14:solidFill>
          </w14:textFill>
        </w:rPr>
        <w:t>招标文件公示时</w:t>
      </w:r>
      <w:r>
        <w:rPr>
          <w:rFonts w:hint="eastAsia" w:ascii="宋体" w:hAnsi="宋体" w:cs="宋体"/>
          <w:bCs/>
          <w:color w:val="000000" w:themeColor="text1"/>
          <w14:textFill>
            <w14:solidFill>
              <w14:schemeClr w14:val="tx1"/>
            </w14:solidFill>
          </w14:textFill>
        </w:rPr>
        <w:t>间及下载： 2024年4月10日至2024年4月17日。</w:t>
      </w:r>
    </w:p>
    <w:p>
      <w:pPr>
        <w:spacing w:line="400" w:lineRule="exact"/>
        <w:ind w:left="420" w:left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w:t>
      </w:r>
      <w:r>
        <w:rPr>
          <w:rFonts w:ascii="宋体" w:hAnsi="宋体"/>
          <w:bCs/>
          <w:color w:val="000000" w:themeColor="text1"/>
          <w14:textFill>
            <w14:solidFill>
              <w14:schemeClr w14:val="tx1"/>
            </w14:solidFill>
          </w14:textFill>
        </w:rPr>
        <w:t>根据《广东省实施〈中华人民共和国政府采购法〉办法》第三十五条的规定，投标人认为采购</w:t>
      </w:r>
    </w:p>
    <w:p>
      <w:pPr>
        <w:spacing w:line="400" w:lineRule="exact"/>
        <w:rPr>
          <w:rFonts w:ascii="宋体" w:hAnsi="宋体" w:cs="宋体"/>
          <w:color w:val="000000" w:themeColor="text1"/>
          <w:kern w:val="0"/>
          <w:szCs w:val="21"/>
          <w14:textFill>
            <w14:solidFill>
              <w14:schemeClr w14:val="tx1"/>
            </w14:solidFill>
          </w14:textFill>
        </w:rPr>
      </w:pPr>
      <w:r>
        <w:rPr>
          <w:rFonts w:ascii="宋体" w:hAnsi="宋体"/>
          <w:bCs/>
          <w:color w:val="000000" w:themeColor="text1"/>
          <w14:textFill>
            <w14:solidFill>
              <w14:schemeClr w14:val="tx1"/>
            </w14:solidFill>
          </w14:textFill>
        </w:rPr>
        <w:t>文件的内容损害其权益</w:t>
      </w:r>
      <w:r>
        <w:rPr>
          <w:rFonts w:ascii="宋体" w:hAnsi="宋体" w:cs="宋体"/>
          <w:color w:val="000000" w:themeColor="text1"/>
          <w:kern w:val="0"/>
          <w:szCs w:val="21"/>
          <w14:textFill>
            <w14:solidFill>
              <w14:schemeClr w14:val="tx1"/>
            </w14:solidFill>
          </w14:textFill>
        </w:rPr>
        <w:t>的，可以在公示期间或者自期满之日起七个工作日内以书面形式向</w:t>
      </w:r>
      <w:r>
        <w:rPr>
          <w:rFonts w:hint="eastAsia" w:ascii="宋体" w:hAnsi="宋体" w:cs="宋体"/>
          <w:color w:val="000000" w:themeColor="text1"/>
          <w:kern w:val="0"/>
          <w:szCs w:val="21"/>
          <w14:textFill>
            <w14:solidFill>
              <w14:schemeClr w14:val="tx1"/>
            </w14:solidFill>
          </w14:textFill>
        </w:rPr>
        <w:t>招标人</w:t>
      </w:r>
      <w:r>
        <w:rPr>
          <w:rFonts w:ascii="宋体" w:hAnsi="宋体" w:cs="宋体"/>
          <w:color w:val="000000" w:themeColor="text1"/>
          <w:kern w:val="0"/>
          <w:szCs w:val="21"/>
          <w14:textFill>
            <w14:solidFill>
              <w14:schemeClr w14:val="tx1"/>
            </w14:solidFill>
          </w14:textFill>
        </w:rPr>
        <w:t>或</w:t>
      </w:r>
      <w:r>
        <w:rPr>
          <w:rFonts w:hint="eastAsia" w:ascii="宋体" w:hAnsi="宋体" w:cs="宋体"/>
          <w:color w:val="000000" w:themeColor="text1"/>
          <w:kern w:val="0"/>
          <w:szCs w:val="21"/>
          <w14:textFill>
            <w14:solidFill>
              <w14:schemeClr w14:val="tx1"/>
            </w14:solidFill>
          </w14:textFill>
        </w:rPr>
        <w:t>招标代理机构</w:t>
      </w:r>
      <w:r>
        <w:rPr>
          <w:rFonts w:ascii="宋体" w:hAnsi="宋体" w:cs="宋体"/>
          <w:color w:val="000000" w:themeColor="text1"/>
          <w:kern w:val="0"/>
          <w:szCs w:val="21"/>
          <w14:textFill>
            <w14:solidFill>
              <w14:schemeClr w14:val="tx1"/>
            </w14:solidFill>
          </w14:textFill>
        </w:rPr>
        <w:t>提出质疑。质疑函应当</w:t>
      </w:r>
      <w:r>
        <w:rPr>
          <w:rFonts w:hint="eastAsia" w:ascii="宋体" w:hAnsi="宋体" w:cs="宋体"/>
          <w:color w:val="000000" w:themeColor="text1"/>
          <w:kern w:val="0"/>
          <w:szCs w:val="21"/>
          <w14:textFill>
            <w14:solidFill>
              <w14:schemeClr w14:val="tx1"/>
            </w14:solidFill>
          </w14:textFill>
        </w:rPr>
        <w:t>由</w:t>
      </w:r>
      <w:r>
        <w:rPr>
          <w:rFonts w:ascii="宋体" w:hAnsi="宋体" w:cs="宋体"/>
          <w:color w:val="000000" w:themeColor="text1"/>
          <w:kern w:val="0"/>
          <w:szCs w:val="21"/>
          <w14:textFill>
            <w14:solidFill>
              <w14:schemeClr w14:val="tx1"/>
            </w14:solidFill>
          </w14:textFill>
        </w:rPr>
        <w:t>质疑</w:t>
      </w:r>
      <w:r>
        <w:rPr>
          <w:rFonts w:hint="eastAsia" w:ascii="宋体" w:hAnsi="宋体" w:cs="宋体"/>
          <w:color w:val="000000" w:themeColor="text1"/>
          <w:kern w:val="0"/>
          <w:szCs w:val="21"/>
          <w14:textFill>
            <w14:solidFill>
              <w14:schemeClr w14:val="tx1"/>
            </w14:solidFill>
          </w14:textFill>
        </w:rPr>
        <w:t>投标人的法定代表人（负责人）</w:t>
      </w:r>
      <w:r>
        <w:rPr>
          <w:rFonts w:ascii="宋体" w:hAnsi="宋体" w:cs="宋体"/>
          <w:color w:val="000000" w:themeColor="text1"/>
          <w:kern w:val="0"/>
          <w:szCs w:val="21"/>
          <w14:textFill>
            <w14:solidFill>
              <w14:schemeClr w14:val="tx1"/>
            </w14:solidFill>
          </w14:textFill>
        </w:rPr>
        <w:t>或</w:t>
      </w:r>
      <w:r>
        <w:rPr>
          <w:rFonts w:hint="eastAsia" w:ascii="宋体" w:hAnsi="宋体" w:cs="宋体"/>
          <w:color w:val="000000" w:themeColor="text1"/>
          <w:kern w:val="0"/>
          <w:szCs w:val="21"/>
          <w14:textFill>
            <w14:solidFill>
              <w14:schemeClr w14:val="tx1"/>
            </w14:solidFill>
          </w14:textFill>
        </w:rPr>
        <w:t>授权代理人</w:t>
      </w:r>
      <w:r>
        <w:rPr>
          <w:rFonts w:ascii="宋体" w:hAnsi="宋体" w:cs="宋体"/>
          <w:color w:val="000000" w:themeColor="text1"/>
          <w:kern w:val="0"/>
          <w:szCs w:val="21"/>
          <w14:textFill>
            <w14:solidFill>
              <w14:schemeClr w14:val="tx1"/>
            </w14:solidFill>
          </w14:textFill>
        </w:rPr>
        <w:t>签字并加盖</w:t>
      </w:r>
      <w:r>
        <w:rPr>
          <w:rFonts w:hint="eastAsia" w:ascii="宋体" w:hAnsi="宋体" w:cs="宋体"/>
          <w:color w:val="000000" w:themeColor="text1"/>
          <w:kern w:val="0"/>
          <w:szCs w:val="21"/>
          <w14:textFill>
            <w14:solidFill>
              <w14:schemeClr w14:val="tx1"/>
            </w14:solidFill>
          </w14:textFill>
        </w:rPr>
        <w:t>单位</w:t>
      </w:r>
      <w:r>
        <w:rPr>
          <w:rFonts w:ascii="宋体" w:hAnsi="宋体" w:cs="宋体"/>
          <w:color w:val="000000" w:themeColor="text1"/>
          <w:kern w:val="0"/>
          <w:szCs w:val="21"/>
          <w14:textFill>
            <w14:solidFill>
              <w14:schemeClr w14:val="tx1"/>
            </w14:solidFill>
          </w14:textFill>
        </w:rPr>
        <w:t>公章</w:t>
      </w:r>
      <w:r>
        <w:rPr>
          <w:rFonts w:hint="eastAsia" w:ascii="宋体" w:hAnsi="宋体" w:cs="宋体"/>
          <w:color w:val="000000" w:themeColor="text1"/>
          <w:kern w:val="0"/>
          <w:szCs w:val="21"/>
          <w14:textFill>
            <w14:solidFill>
              <w14:schemeClr w14:val="tx1"/>
            </w14:solidFill>
          </w14:textFill>
        </w:rPr>
        <w:t>，留有联系人及联系电话并提供营业执照复印件、法定代表人（负责人）证明书、授权委托书、</w:t>
      </w:r>
      <w:r>
        <w:rPr>
          <w:rFonts w:hint="eastAsia" w:ascii="宋体" w:hAnsi="宋体" w:cs="宋体"/>
          <w:bCs/>
          <w:color w:val="000000" w:themeColor="text1"/>
          <w:szCs w:val="21"/>
          <w14:textFill>
            <w14:solidFill>
              <w14:schemeClr w14:val="tx1"/>
            </w14:solidFill>
          </w14:textFill>
        </w:rPr>
        <w:t>法定代表人（负责人）身份证复印件、</w:t>
      </w:r>
      <w:r>
        <w:rPr>
          <w:rFonts w:hint="eastAsia" w:ascii="宋体" w:hAnsi="宋体" w:cs="宋体"/>
          <w:color w:val="000000" w:themeColor="text1"/>
          <w:kern w:val="0"/>
          <w:szCs w:val="21"/>
          <w14:textFill>
            <w14:solidFill>
              <w14:schemeClr w14:val="tx1"/>
            </w14:solidFill>
          </w14:textFill>
        </w:rPr>
        <w:t>授权代理人身份证复印件，并与招标代理机构工作人员做好确认工作，未被确认的质疑将作为无效质疑，招标人</w:t>
      </w:r>
      <w:r>
        <w:rPr>
          <w:rFonts w:ascii="宋体" w:hAnsi="宋体" w:cs="宋体"/>
          <w:color w:val="000000" w:themeColor="text1"/>
          <w:kern w:val="0"/>
          <w:szCs w:val="21"/>
          <w14:textFill>
            <w14:solidFill>
              <w14:schemeClr w14:val="tx1"/>
            </w14:solidFill>
          </w14:textFill>
        </w:rPr>
        <w:t>或</w:t>
      </w:r>
      <w:r>
        <w:rPr>
          <w:rFonts w:hint="eastAsia" w:ascii="宋体" w:hAnsi="宋体" w:cs="宋体"/>
          <w:color w:val="000000" w:themeColor="text1"/>
          <w:kern w:val="0"/>
          <w:szCs w:val="21"/>
          <w14:textFill>
            <w14:solidFill>
              <w14:schemeClr w14:val="tx1"/>
            </w14:solidFill>
          </w14:textFill>
        </w:rPr>
        <w:t>招标代理机构可不予作答。</w:t>
      </w:r>
    </w:p>
    <w:p>
      <w:pPr>
        <w:widowControl/>
        <w:numPr>
          <w:ilvl w:val="0"/>
          <w:numId w:val="22"/>
        </w:numPr>
        <w:tabs>
          <w:tab w:val="left" w:pos="502"/>
        </w:tabs>
        <w:adjustRightInd w:val="0"/>
        <w:snapToGrid w:val="0"/>
        <w:spacing w:line="400" w:lineRule="exact"/>
        <w:rPr>
          <w:rFonts w:ascii="Tahoma" w:hAnsi="Tahoma" w:cs="Tahoma"/>
          <w:b/>
          <w:bCs/>
          <w:color w:val="000000" w:themeColor="text1"/>
          <w:szCs w:val="21"/>
          <w14:textFill>
            <w14:solidFill>
              <w14:schemeClr w14:val="tx1"/>
            </w14:solidFill>
          </w14:textFill>
        </w:rPr>
      </w:pPr>
      <w:r>
        <w:rPr>
          <w:rFonts w:hint="eastAsia" w:ascii="Tahoma" w:hAnsi="Tahoma" w:cs="Tahoma"/>
          <w:b/>
          <w:bCs/>
          <w:color w:val="000000" w:themeColor="text1"/>
          <w:szCs w:val="21"/>
          <w14:textFill>
            <w14:solidFill>
              <w14:schemeClr w14:val="tx1"/>
            </w14:solidFill>
          </w14:textFill>
        </w:rPr>
        <w:t>购买招标文件的时间、地点、方式及招标文件售价</w:t>
      </w:r>
    </w:p>
    <w:p>
      <w:pPr>
        <w:widowControl/>
        <w:tabs>
          <w:tab w:val="left" w:pos="735"/>
        </w:tabs>
        <w:adjustRightInd w:val="0"/>
        <w:snapToGrid w:val="0"/>
        <w:spacing w:line="400" w:lineRule="exact"/>
        <w:ind w:left="210" w:leftChars="100"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1.购买招标文件</w:t>
      </w:r>
      <w:r>
        <w:rPr>
          <w:rFonts w:hint="eastAsia" w:ascii="宋体" w:hAnsi="宋体" w:cs="宋体"/>
          <w:bCs/>
          <w:color w:val="000000" w:themeColor="text1"/>
          <w14:textFill>
            <w14:solidFill>
              <w14:schemeClr w14:val="tx1"/>
            </w14:solidFill>
          </w14:textFill>
        </w:rPr>
        <w:t>时间： 2024年4月10日至2024年4月17日，上午9:00～12:00，下午2:30～5:30（节假日除外）（北</w:t>
      </w:r>
      <w:r>
        <w:rPr>
          <w:rFonts w:hint="eastAsia" w:ascii="宋体" w:hAnsi="宋体" w:cs="宋体"/>
          <w:color w:val="000000" w:themeColor="text1"/>
          <w14:textFill>
            <w14:solidFill>
              <w14:schemeClr w14:val="tx1"/>
            </w14:solidFill>
          </w14:textFill>
        </w:rPr>
        <w:t>京时间）。</w:t>
      </w:r>
    </w:p>
    <w:p>
      <w:pPr>
        <w:widowControl/>
        <w:tabs>
          <w:tab w:val="left" w:pos="735"/>
        </w:tabs>
        <w:adjustRightInd w:val="0"/>
        <w:snapToGrid w:val="0"/>
        <w:spacing w:line="400" w:lineRule="exact"/>
        <w:ind w:left="210" w:leftChars="100"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2.购买招标文件地点：阳江市江城区猫山四街33号A座2楼</w:t>
      </w:r>
      <w:r>
        <w:rPr>
          <w:rFonts w:hint="eastAsia" w:ascii="宋体" w:hAnsi="宋体" w:cs="宋体"/>
          <w:color w:val="000000" w:themeColor="text1"/>
          <w:szCs w:val="21"/>
          <w14:textFill>
            <w14:solidFill>
              <w14:schemeClr w14:val="tx1"/>
            </w14:solidFill>
          </w14:textFill>
        </w:rPr>
        <w:t>205室。</w:t>
      </w:r>
    </w:p>
    <w:p>
      <w:pPr>
        <w:widowControl/>
        <w:tabs>
          <w:tab w:val="left" w:pos="735"/>
        </w:tabs>
        <w:adjustRightInd w:val="0"/>
        <w:snapToGrid w:val="0"/>
        <w:spacing w:line="400" w:lineRule="exact"/>
        <w:ind w:left="210" w:leftChars="100" w:firstLine="210" w:firstLineChars="100"/>
        <w:rPr>
          <w:rFonts w:ascii="宋体" w:hAnsi="宋体" w:cs="宋体"/>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3.招标文件售价：</w:t>
      </w:r>
      <w:r>
        <w:rPr>
          <w:rFonts w:hint="eastAsia" w:ascii="宋体" w:hAnsi="宋体" w:cs="宋体"/>
          <w:bCs/>
          <w:color w:val="000000" w:themeColor="text1"/>
          <w:szCs w:val="21"/>
          <w14:textFill>
            <w14:solidFill>
              <w14:schemeClr w14:val="tx1"/>
            </w14:solidFill>
          </w14:textFill>
        </w:rPr>
        <w:t>招标文件每套人民币300元，售后不退</w:t>
      </w:r>
      <w:r>
        <w:rPr>
          <w:rFonts w:hint="eastAsia" w:ascii="宋体" w:hAnsi="宋体" w:cs="宋体"/>
          <w:bCs/>
          <w:color w:val="000000" w:themeColor="text1"/>
          <w14:textFill>
            <w14:solidFill>
              <w14:schemeClr w14:val="tx1"/>
            </w14:solidFill>
          </w14:textFill>
        </w:rPr>
        <w:t>。</w:t>
      </w:r>
    </w:p>
    <w:p>
      <w:pPr>
        <w:widowControl/>
        <w:tabs>
          <w:tab w:val="left" w:pos="735"/>
        </w:tabs>
        <w:adjustRightInd w:val="0"/>
        <w:snapToGrid w:val="0"/>
        <w:spacing w:line="400" w:lineRule="exact"/>
        <w:ind w:left="420" w:leftChars="2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4.招标文件获取方式：现场发售。</w:t>
      </w:r>
    </w:p>
    <w:p>
      <w:pPr>
        <w:widowControl/>
        <w:tabs>
          <w:tab w:val="left" w:pos="735"/>
        </w:tabs>
        <w:adjustRightInd w:val="0"/>
        <w:snapToGrid w:val="0"/>
        <w:spacing w:line="400" w:lineRule="exact"/>
        <w:ind w:left="420" w:left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购买招标文件必须携带:</w:t>
      </w:r>
    </w:p>
    <w:p>
      <w:pPr>
        <w:widowControl/>
        <w:tabs>
          <w:tab w:val="left" w:pos="735"/>
        </w:tabs>
        <w:adjustRightInd w:val="0"/>
        <w:snapToGrid w:val="0"/>
        <w:spacing w:line="400" w:lineRule="exact"/>
        <w:ind w:left="657" w:leftChars="263" w:hanging="105" w:hangingChars="5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1）法定代表人（负责人）证明书原件、法定代表人（负责人）授权委托书原件、法定代表人（负责人）身份证复印件、</w:t>
      </w:r>
      <w:r>
        <w:rPr>
          <w:rFonts w:hint="eastAsia" w:ascii="宋体" w:hAnsi="宋体" w:cs="宋体"/>
          <w:color w:val="000000" w:themeColor="text1"/>
          <w:kern w:val="0"/>
          <w:szCs w:val="21"/>
          <w14:textFill>
            <w14:solidFill>
              <w14:schemeClr w14:val="tx1"/>
            </w14:solidFill>
          </w14:textFill>
        </w:rPr>
        <w:t>授权代理人</w:t>
      </w:r>
      <w:r>
        <w:rPr>
          <w:rFonts w:hint="eastAsia" w:ascii="宋体" w:hAnsi="宋体" w:cs="宋体"/>
          <w:bCs/>
          <w:color w:val="000000" w:themeColor="text1"/>
          <w:szCs w:val="21"/>
          <w14:textFill>
            <w14:solidFill>
              <w14:schemeClr w14:val="tx1"/>
            </w14:solidFill>
          </w14:textFill>
        </w:rPr>
        <w:t>身份证复印件、营业执照副本复印件和相关资质证书复印件及《购买标书登记表》（</w:t>
      </w:r>
      <w:r>
        <w:fldChar w:fldCharType="begin"/>
      </w:r>
      <w:r>
        <w:instrText xml:space="preserve"> HYPERLINK "http://www.yjgpc.gov.cn/" </w:instrText>
      </w:r>
      <w:r>
        <w:fldChar w:fldCharType="separate"/>
      </w:r>
      <w:r>
        <w:rPr>
          <w:rStyle w:val="54"/>
          <w:rFonts w:hint="eastAsia" w:ascii="宋体" w:hAnsi="宋体" w:cs="宋体"/>
          <w:color w:val="000000" w:themeColor="text1"/>
          <w14:textFill>
            <w14:solidFill>
              <w14:schemeClr w14:val="tx1"/>
            </w14:solidFill>
          </w14:textFill>
        </w:rPr>
        <w:t>http://www.yjcg.cc</w:t>
      </w:r>
      <w:r>
        <w:rPr>
          <w:rStyle w:val="54"/>
          <w:rFonts w:hint="eastAsia" w:ascii="宋体" w:hAnsi="宋体" w:cs="宋体"/>
          <w:color w:val="000000" w:themeColor="text1"/>
          <w14:textFill>
            <w14:solidFill>
              <w14:schemeClr w14:val="tx1"/>
            </w14:solidFill>
          </w14:textFill>
        </w:rPr>
        <w:fldChar w:fldCharType="end"/>
      </w:r>
      <w:r>
        <w:fldChar w:fldCharType="begin"/>
      </w:r>
      <w:r>
        <w:instrText xml:space="preserve"> HYPERLINK "http://www.yjcg.cc/index.php?c=content&amp;a=list&amp;catid=14" \o "政府采购资料下载" </w:instrText>
      </w:r>
      <w:r>
        <w:fldChar w:fldCharType="separate"/>
      </w:r>
      <w:r>
        <w:rPr>
          <w:rStyle w:val="54"/>
          <w:rFonts w:hint="eastAsia" w:ascii="宋体" w:hAnsi="宋体" w:cs="宋体"/>
          <w:bCs/>
          <w:color w:val="000000" w:themeColor="text1"/>
          <w14:textFill>
            <w14:solidFill>
              <w14:schemeClr w14:val="tx1"/>
            </w14:solidFill>
          </w14:textFill>
        </w:rPr>
        <w:t>政府采购资料</w:t>
      </w:r>
      <w:r>
        <w:rPr>
          <w:rStyle w:val="54"/>
          <w:rFonts w:hint="eastAsia" w:ascii="宋体" w:hAnsi="宋体" w:cs="宋体"/>
          <w:bCs/>
          <w:color w:val="000000" w:themeColor="text1"/>
          <w14:textFill>
            <w14:solidFill>
              <w14:schemeClr w14:val="tx1"/>
            </w14:solidFill>
          </w14:textFill>
        </w:rPr>
        <w:fldChar w:fldCharType="end"/>
      </w:r>
      <w:r>
        <w:rPr>
          <w:rFonts w:hint="eastAsia" w:ascii="宋体" w:hAnsi="宋体" w:cs="宋体"/>
          <w:bCs/>
          <w:color w:val="000000" w:themeColor="text1"/>
          <w:szCs w:val="21"/>
          <w14:textFill>
            <w14:solidFill>
              <w14:schemeClr w14:val="tx1"/>
            </w14:solidFill>
          </w14:textFill>
        </w:rPr>
        <w:t>下载专区）加盖公章到指定地址购买。</w:t>
      </w:r>
      <w:r>
        <w:rPr>
          <w:rFonts w:hint="eastAsia" w:ascii="宋体" w:hAnsi="宋体" w:cs="宋体"/>
          <w:b/>
          <w:bCs/>
          <w:color w:val="000000" w:themeColor="text1"/>
          <w14:textFill>
            <w14:solidFill>
              <w14:schemeClr w14:val="tx1"/>
            </w14:solidFill>
          </w14:textFill>
        </w:rPr>
        <w:t>报名时投标单位的资料与以上报名条件不符合、不齐全、复印件不清晰或未盖红色公章的将不予受理</w:t>
      </w:r>
      <w:r>
        <w:rPr>
          <w:rFonts w:hint="eastAsia" w:ascii="宋体" w:hAnsi="宋体" w:cs="宋体"/>
          <w:bCs/>
          <w:color w:val="000000" w:themeColor="text1"/>
          <w14:textFill>
            <w14:solidFill>
              <w14:schemeClr w14:val="tx1"/>
            </w14:solidFill>
          </w14:textFill>
        </w:rPr>
        <w:t>。</w:t>
      </w:r>
    </w:p>
    <w:p>
      <w:pPr>
        <w:widowControl/>
        <w:tabs>
          <w:tab w:val="left" w:pos="735"/>
        </w:tabs>
        <w:adjustRightInd w:val="0"/>
        <w:snapToGrid w:val="0"/>
        <w:spacing w:line="400" w:lineRule="exact"/>
        <w:ind w:left="657" w:leftChars="263" w:hanging="105" w:hangingChars="50"/>
        <w:rPr>
          <w:rFonts w:ascii="宋体" w:hAnsi="宋体" w:cs="宋体"/>
          <w:b/>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供应商须提供未被列入“信用中国”网站(www.creditchina.gov.cn)“记录失信被执行人或重大税收违法案件当事人名单或政府采购严重违法失信行为”记录名单，以及不处于中国政府采购网(www.ccgp.gov.cn)“政府采购严重违法失信行为信息记录”中的禁止参加政府采购活动期间的截图。（证明文件须加盖投标人公章）（以招标代理机构或招标人查询结果为准，如相关失信记录已失效，供应商需提供相关证明资料）。</w:t>
      </w:r>
    </w:p>
    <w:p>
      <w:pPr>
        <w:widowControl/>
        <w:numPr>
          <w:ilvl w:val="0"/>
          <w:numId w:val="22"/>
        </w:numPr>
        <w:tabs>
          <w:tab w:val="left" w:pos="502"/>
        </w:tabs>
        <w:adjustRightInd w:val="0"/>
        <w:snapToGrid w:val="0"/>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投标截止时间、开标时间及地点</w:t>
      </w:r>
    </w:p>
    <w:p>
      <w:pPr>
        <w:widowControl/>
        <w:tabs>
          <w:tab w:val="left" w:pos="735"/>
        </w:tabs>
        <w:adjustRightInd w:val="0"/>
        <w:snapToGrid w:val="0"/>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1.递交投标文件时间：2024年5月6日</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0</w:t>
      </w:r>
      <w:r>
        <w:rPr>
          <w:rFonts w:hint="eastAsia" w:ascii="宋体" w:hAnsi="宋体" w:cs="宋体"/>
          <w:color w:val="000000" w:themeColor="text1"/>
          <w14:textFill>
            <w14:solidFill>
              <w14:schemeClr w14:val="tx1"/>
            </w14:solidFill>
          </w14:textFill>
        </w:rPr>
        <w:t>0-</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0 (北京时间)。</w:t>
      </w:r>
    </w:p>
    <w:p>
      <w:pPr>
        <w:widowControl/>
        <w:tabs>
          <w:tab w:val="left" w:pos="735"/>
        </w:tabs>
        <w:adjustRightInd w:val="0"/>
        <w:snapToGrid w:val="0"/>
        <w:spacing w:line="400" w:lineRule="exact"/>
        <w:ind w:firstLine="420" w:firstLineChars="200"/>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2.投标截止时间、开标时间：2024年5月6日</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0(北京时间)。</w:t>
      </w:r>
    </w:p>
    <w:p>
      <w:pPr>
        <w:widowControl/>
        <w:tabs>
          <w:tab w:val="left" w:pos="735"/>
        </w:tabs>
        <w:adjustRightInd w:val="0"/>
        <w:snapToGrid w:val="0"/>
        <w:spacing w:line="400" w:lineRule="exact"/>
        <w:ind w:firstLine="420" w:firstLineChars="200"/>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3.递交投标文件地点、开标地点：阳江市江城区猫山四街33号A座2楼开标室。</w:t>
      </w:r>
    </w:p>
    <w:p>
      <w:pPr>
        <w:widowControl/>
        <w:tabs>
          <w:tab w:val="left" w:pos="735"/>
        </w:tabs>
        <w:adjustRightInd w:val="0"/>
        <w:snapToGrid w:val="0"/>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六、招标人、招标代理机构的名称、地址和联系方式</w:t>
      </w:r>
    </w:p>
    <w:p>
      <w:pPr>
        <w:widowControl/>
        <w:tabs>
          <w:tab w:val="left" w:pos="630"/>
        </w:tabs>
        <w:adjustRightInd w:val="0"/>
        <w:snapToGrid w:val="0"/>
        <w:spacing w:line="400" w:lineRule="exact"/>
        <w:ind w:firstLine="525" w:firstLineChars="250"/>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1．招标人联系方式：</w:t>
      </w:r>
    </w:p>
    <w:p>
      <w:pPr>
        <w:tabs>
          <w:tab w:val="left" w:pos="735"/>
          <w:tab w:val="left" w:pos="4680"/>
        </w:tabs>
        <w:adjustRightInd w:val="0"/>
        <w:snapToGrid w:val="0"/>
        <w:spacing w:line="400" w:lineRule="exact"/>
        <w:ind w:firstLine="630" w:firstLineChars="30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名称：阳江农村商业银行股份有限公司</w:t>
      </w:r>
    </w:p>
    <w:p>
      <w:pPr>
        <w:tabs>
          <w:tab w:val="left" w:pos="735"/>
          <w:tab w:val="left" w:pos="4680"/>
        </w:tabs>
        <w:adjustRightInd w:val="0"/>
        <w:snapToGrid w:val="0"/>
        <w:spacing w:line="400" w:lineRule="exact"/>
        <w:ind w:firstLine="630" w:firstLineChars="30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地址：阳江市江城区金山路3号美仑广场2幢、3幢1-2层、5幢1-3号铺、5-9号铺、201号铺</w:t>
      </w:r>
    </w:p>
    <w:p>
      <w:pPr>
        <w:tabs>
          <w:tab w:val="left" w:pos="735"/>
          <w:tab w:val="left" w:pos="4680"/>
        </w:tabs>
        <w:adjustRightInd w:val="0"/>
        <w:snapToGrid w:val="0"/>
        <w:spacing w:line="400" w:lineRule="exact"/>
        <w:ind w:firstLine="630" w:firstLineChars="30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联系人：李经理</w:t>
      </w:r>
    </w:p>
    <w:p>
      <w:pPr>
        <w:tabs>
          <w:tab w:val="left" w:pos="735"/>
          <w:tab w:val="left" w:pos="4680"/>
        </w:tabs>
        <w:adjustRightInd w:val="0"/>
        <w:snapToGrid w:val="0"/>
        <w:spacing w:line="400" w:lineRule="exact"/>
        <w:ind w:firstLine="630" w:firstLineChars="30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联系电话：0662-3100088</w:t>
      </w:r>
    </w:p>
    <w:p>
      <w:pPr>
        <w:tabs>
          <w:tab w:val="left" w:pos="735"/>
          <w:tab w:val="left" w:pos="4680"/>
        </w:tabs>
        <w:adjustRightInd w:val="0"/>
        <w:snapToGrid w:val="0"/>
        <w:spacing w:line="400" w:lineRule="exact"/>
        <w:ind w:firstLine="525" w:firstLineChars="25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2．</w:t>
      </w:r>
      <w:r>
        <w:rPr>
          <w:rFonts w:hint="eastAsia" w:ascii="宋体" w:hAnsi="宋体" w:cs="宋体"/>
          <w:color w:val="000000" w:themeColor="text1"/>
          <w14:textFill>
            <w14:solidFill>
              <w14:schemeClr w14:val="tx1"/>
            </w14:solidFill>
          </w14:textFill>
        </w:rPr>
        <w:t>招标代理机构联系方式：</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名    称：广东业信采购招标有限公司</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地    址：阳江市江城区猫山四街33号A座2楼</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 系 人：冯先生</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联系电话：0662-3167266</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    真：0662-2669666</w:t>
      </w:r>
    </w:p>
    <w:p>
      <w:pPr>
        <w:tabs>
          <w:tab w:val="left" w:pos="4680"/>
        </w:tabs>
        <w:adjustRightInd w:val="0"/>
        <w:snapToGrid w:val="0"/>
        <w:spacing w:line="400" w:lineRule="exact"/>
        <w:ind w:firstLine="630" w:firstLineChars="300"/>
        <w:rPr>
          <w:rFonts w:ascii="宋体" w:hAnsi="宋体" w:cs="宋体"/>
          <w:b/>
          <w:color w:val="000000" w:themeColor="text1"/>
          <w:spacing w:val="20"/>
          <w:szCs w:val="21"/>
          <w14:textFill>
            <w14:solidFill>
              <w14:schemeClr w14:val="tx1"/>
            </w14:solidFill>
          </w14:textFill>
        </w:rPr>
      </w:pPr>
      <w:r>
        <w:rPr>
          <w:rFonts w:hint="eastAsia" w:ascii="宋体" w:hAnsi="宋体" w:cs="宋体"/>
          <w:color w:val="000000" w:themeColor="text1"/>
          <w14:textFill>
            <w14:solidFill>
              <w14:schemeClr w14:val="tx1"/>
            </w14:solidFill>
          </w14:textFill>
        </w:rPr>
        <w:t>网    址：</w:t>
      </w:r>
      <w:r>
        <w:rPr>
          <w:rFonts w:hint="eastAsia" w:ascii="宋体" w:hAnsi="宋体" w:cs="宋体"/>
          <w:bCs/>
          <w:color w:val="000000" w:themeColor="text1"/>
          <w14:textFill>
            <w14:solidFill>
              <w14:schemeClr w14:val="tx1"/>
            </w14:solidFill>
          </w14:textFill>
        </w:rPr>
        <w:t>http://www.yjcg.cc</w:t>
      </w:r>
    </w:p>
    <w:p>
      <w:pPr>
        <w:widowControl/>
        <w:tabs>
          <w:tab w:val="left" w:pos="4769"/>
        </w:tabs>
        <w:adjustRightInd w:val="0"/>
        <w:snapToGrid w:val="0"/>
        <w:spacing w:line="400" w:lineRule="exact"/>
        <w:ind w:left="105" w:leftChars="50" w:firstLine="420" w:firstLineChars="200"/>
        <w:jc w:val="righ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广东业信采购招标有限公司</w:t>
      </w:r>
    </w:p>
    <w:p>
      <w:pPr>
        <w:widowControl/>
        <w:tabs>
          <w:tab w:val="left" w:pos="4769"/>
        </w:tabs>
        <w:adjustRightInd w:val="0"/>
        <w:snapToGrid w:val="0"/>
        <w:spacing w:line="400" w:lineRule="exact"/>
        <w:ind w:left="105" w:leftChars="50" w:firstLine="420" w:firstLineChars="200"/>
        <w:jc w:val="right"/>
        <w:rPr>
          <w:rFonts w:ascii="宋体" w:hAnsi="宋体" w:cs="宋体"/>
          <w:color w:val="000000" w:themeColor="text1"/>
          <w14:textFill>
            <w14:solidFill>
              <w14:schemeClr w14:val="tx1"/>
            </w14:solidFill>
          </w14:textFill>
        </w:rPr>
      </w:pPr>
      <w:bookmarkStart w:id="38" w:name="_Toc365967003"/>
      <w:bookmarkStart w:id="39" w:name="_Toc340672831"/>
      <w:bookmarkStart w:id="40" w:name="_Toc339020049"/>
      <w:bookmarkStart w:id="41" w:name="_Toc330459946"/>
      <w:bookmarkStart w:id="42" w:name="_Toc340507404"/>
      <w:bookmarkStart w:id="43" w:name="_Toc342296709"/>
      <w:bookmarkStart w:id="44" w:name="_Toc365985109"/>
      <w:bookmarkStart w:id="45" w:name="_Toc332206658"/>
      <w:bookmarkStart w:id="46" w:name="_Toc341348292"/>
      <w:bookmarkStart w:id="47" w:name="_Toc339019955"/>
      <w:bookmarkStart w:id="48" w:name="_Toc333935279"/>
      <w:bookmarkStart w:id="49" w:name="_Toc339019829"/>
      <w:bookmarkStart w:id="50" w:name="_Toc331683995"/>
      <w:bookmarkStart w:id="51" w:name="_Toc345513763"/>
      <w:bookmarkStart w:id="52" w:name="_Toc333237613"/>
      <w:bookmarkStart w:id="53" w:name="_Toc339441045"/>
      <w:bookmarkStart w:id="54" w:name="_Toc332270306"/>
      <w:bookmarkStart w:id="55" w:name="_Toc342060323"/>
      <w:bookmarkStart w:id="56" w:name="_Toc339362258"/>
      <w:bookmarkStart w:id="57" w:name="_Toc333237724"/>
      <w:bookmarkStart w:id="58" w:name="_Toc336681893"/>
      <w:bookmarkStart w:id="59" w:name="_Toc350756404"/>
      <w:bookmarkStart w:id="60" w:name="_Toc339020187"/>
      <w:bookmarkStart w:id="61" w:name="_Toc333238572"/>
      <w:bookmarkStart w:id="62" w:name="_Toc337632316"/>
      <w:bookmarkStart w:id="63" w:name="_Toc349127584"/>
      <w:bookmarkStart w:id="64" w:name="_Toc340677032"/>
      <w:bookmarkStart w:id="65" w:name="_Toc331512857"/>
      <w:bookmarkStart w:id="66" w:name="_Toc333935620"/>
      <w:bookmarkStart w:id="67" w:name="_Toc366072458"/>
      <w:bookmarkStart w:id="68" w:name="_Toc350438703"/>
      <w:bookmarkStart w:id="69" w:name="_Toc336681538"/>
      <w:bookmarkStart w:id="70" w:name="_Toc349143547"/>
      <w:r>
        <w:rPr>
          <w:rFonts w:hint="eastAsia" w:ascii="宋体" w:hAnsi="宋体" w:cs="宋体"/>
          <w:color w:val="000000" w:themeColor="text1"/>
          <w14:textFill>
            <w14:solidFill>
              <w14:schemeClr w14:val="tx1"/>
            </w14:solidFill>
          </w14:textFill>
        </w:rPr>
        <w:t xml:space="preserve"> 2024年4月10日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numPr>
          <w:ilvl w:val="0"/>
          <w:numId w:val="0"/>
        </w:numPr>
        <w:spacing w:beforeLines="0" w:after="120" w:afterLines="50" w:line="390" w:lineRule="exact"/>
        <w:ind w:hanging="3"/>
        <w:rPr>
          <w:color w:val="000000" w:themeColor="text1"/>
          <w14:textFill>
            <w14:solidFill>
              <w14:schemeClr w14:val="tx1"/>
            </w14:solidFill>
          </w14:textFill>
        </w:rPr>
      </w:pPr>
      <w:bookmarkStart w:id="71" w:name="_Toc2881"/>
      <w:bookmarkStart w:id="72" w:name="_Toc16773"/>
      <w:r>
        <w:rPr>
          <w:rFonts w:hint="eastAsia"/>
          <w:color w:val="000000" w:themeColor="text1"/>
          <w14:textFill>
            <w14:solidFill>
              <w14:schemeClr w14:val="tx1"/>
            </w14:solidFill>
          </w14:textFill>
        </w:rPr>
        <w:t xml:space="preserve">第二部分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Start w:id="73" w:name="_Hlt23321722"/>
      <w:bookmarkEnd w:id="73"/>
      <w:bookmarkStart w:id="74" w:name="_Toc333237614"/>
      <w:bookmarkStart w:id="75" w:name="_Toc75570886"/>
      <w:bookmarkStart w:id="76" w:name="_Toc333238573"/>
      <w:bookmarkStart w:id="77" w:name="_Toc333237725"/>
      <w:bookmarkStart w:id="78" w:name="_Toc333935280"/>
      <w:bookmarkStart w:id="79" w:name="_Toc333935621"/>
      <w:bookmarkStart w:id="80" w:name="_Toc330459949"/>
      <w:r>
        <w:rPr>
          <w:rFonts w:hint="eastAsia"/>
          <w:color w:val="000000" w:themeColor="text1"/>
          <w14:textFill>
            <w14:solidFill>
              <w14:schemeClr w14:val="tx1"/>
            </w14:solidFill>
          </w14:textFill>
        </w:rPr>
        <w:t>采购项目内容</w:t>
      </w:r>
      <w:bookmarkEnd w:id="71"/>
      <w:bookmarkEnd w:id="72"/>
    </w:p>
    <w:bookmarkEnd w:id="74"/>
    <w:bookmarkEnd w:id="75"/>
    <w:bookmarkEnd w:id="76"/>
    <w:bookmarkEnd w:id="77"/>
    <w:bookmarkEnd w:id="78"/>
    <w:bookmarkEnd w:id="79"/>
    <w:bookmarkEnd w:id="80"/>
    <w:p>
      <w:pPr>
        <w:pStyle w:val="4"/>
        <w:numPr>
          <w:ilvl w:val="0"/>
          <w:numId w:val="0"/>
        </w:numPr>
        <w:spacing w:before="360" w:beforeLines="150" w:after="0" w:line="360" w:lineRule="auto"/>
        <w:rPr>
          <w:color w:val="000000" w:themeColor="text1"/>
          <w:kern w:val="0"/>
          <w:sz w:val="24"/>
          <w14:textFill>
            <w14:solidFill>
              <w14:schemeClr w14:val="tx1"/>
            </w14:solidFill>
          </w14:textFill>
        </w:rPr>
      </w:pPr>
      <w:bookmarkStart w:id="81" w:name="_Toc30348"/>
      <w:bookmarkStart w:id="82" w:name="_Toc16056"/>
      <w:bookmarkStart w:id="83" w:name="_Toc350756417"/>
      <w:bookmarkStart w:id="84" w:name="_Toc349143556"/>
      <w:bookmarkStart w:id="85" w:name="_Toc333238600"/>
      <w:bookmarkStart w:id="86" w:name="_Toc365985146"/>
      <w:bookmarkStart w:id="87" w:name="_Toc333935654"/>
      <w:bookmarkStart w:id="88" w:name="_Toc342296727"/>
      <w:bookmarkStart w:id="89" w:name="_Toc331684005"/>
      <w:bookmarkStart w:id="90" w:name="_Toc336681902"/>
      <w:bookmarkStart w:id="91" w:name="_Toc340677037"/>
      <w:bookmarkStart w:id="92" w:name="_Toc345513834"/>
      <w:bookmarkStart w:id="93" w:name="_Toc341348305"/>
      <w:bookmarkStart w:id="94" w:name="_Toc339362267"/>
      <w:bookmarkStart w:id="95" w:name="_Toc333935313"/>
      <w:bookmarkStart w:id="96" w:name="_Toc339441054"/>
      <w:bookmarkStart w:id="97" w:name="_Toc342060341"/>
      <w:bookmarkStart w:id="98" w:name="_Toc350438716"/>
      <w:bookmarkStart w:id="99" w:name="_Toc331512865"/>
      <w:bookmarkStart w:id="100" w:name="_Toc332270313"/>
      <w:bookmarkStart w:id="101" w:name="_Toc340672836"/>
      <w:bookmarkStart w:id="102" w:name="_Toc366072495"/>
      <w:bookmarkStart w:id="103" w:name="_Toc340507409"/>
      <w:bookmarkStart w:id="104" w:name="_Toc336681547"/>
      <w:bookmarkStart w:id="105" w:name="_Toc339019856"/>
      <w:bookmarkStart w:id="106" w:name="_Toc337632325"/>
      <w:bookmarkStart w:id="107" w:name="_Toc339020062"/>
      <w:bookmarkStart w:id="108" w:name="_Toc332206675"/>
      <w:bookmarkStart w:id="109" w:name="_Toc365967040"/>
      <w:bookmarkStart w:id="110" w:name="_Toc339020200"/>
      <w:bookmarkStart w:id="111" w:name="_Toc349127593"/>
      <w:bookmarkStart w:id="112" w:name="_Toc333237755"/>
      <w:bookmarkStart w:id="113" w:name="_Toc330459952"/>
      <w:bookmarkStart w:id="114" w:name="_Toc333237644"/>
      <w:bookmarkStart w:id="115" w:name="_Toc339019982"/>
      <w:r>
        <w:rPr>
          <w:color w:val="000000" w:themeColor="text1"/>
          <w:kern w:val="0"/>
          <w:sz w:val="24"/>
          <w14:textFill>
            <w14:solidFill>
              <w14:schemeClr w14:val="tx1"/>
            </w14:solidFill>
          </w14:textFill>
        </w:rPr>
        <w:t xml:space="preserve">A  </w:t>
      </w:r>
      <w:r>
        <w:rPr>
          <w:rFonts w:hint="eastAsia"/>
          <w:color w:val="000000" w:themeColor="text1"/>
          <w:kern w:val="0"/>
          <w:sz w:val="24"/>
          <w14:textFill>
            <w14:solidFill>
              <w14:schemeClr w14:val="tx1"/>
            </w14:solidFill>
          </w14:textFill>
        </w:rPr>
        <w:t>商务要求</w:t>
      </w:r>
      <w:bookmarkEnd w:id="81"/>
      <w:bookmarkEnd w:id="82"/>
    </w:p>
    <w:tbl>
      <w:tblPr>
        <w:tblStyle w:val="48"/>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20"/>
        <w:gridCol w:w="2203"/>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2220"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6607"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投标人投标资格要求</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详见第一部分《投标邀请函》。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服务期</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详见第一部分《投标邀请函》。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220"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合同签订要求</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35"/>
              </w:tabs>
              <w:adjustRightInd w:val="0"/>
              <w:snapToGri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采购合同由中标人凭《中标通知书》与招标人双方签订，签订时间为《中标通知书》发出之日起30日内。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服务地点</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35"/>
              </w:tabs>
              <w:adjustRightInd w:val="0"/>
              <w:snapToGri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220"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付款方式</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1.委托项目按单个项目委托协议或合同约定由招标人支付给中标人。</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2.中标人凭以下有效文件与招标人结算：</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项目合同或委托书；</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中标人开具的正式发票（发票类型根据招标人要求提供）；</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ab/>
            </w:r>
            <w:r>
              <w:rPr>
                <w:rFonts w:hint="eastAsia" w:ascii="宋体" w:hAnsi="宋体" w:cs="宋体"/>
                <w:color w:val="000000" w:themeColor="text1"/>
                <w:szCs w:val="21"/>
                <w14:textFill>
                  <w14:solidFill>
                    <w14:schemeClr w14:val="tx1"/>
                  </w14:solidFill>
                </w14:textFill>
              </w:rPr>
              <w:t>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220" w:type="dxa"/>
            <w:tcBorders>
              <w:top w:val="single" w:color="auto" w:sz="4" w:space="0"/>
              <w:left w:val="single" w:color="auto" w:sz="4" w:space="0"/>
              <w:right w:val="single" w:color="auto" w:sz="4" w:space="0"/>
            </w:tcBorders>
            <w:vAlign w:val="center"/>
          </w:tcPr>
          <w:p>
            <w:pPr>
              <w:spacing w:line="320" w:lineRule="exact"/>
              <w:jc w:val="center"/>
              <w:rPr>
                <w:b/>
                <w:bCs/>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履约保证金</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1.准入合同签订之日起10个工作日内，中标人将履约保证金5000元存入招标人指定账户；</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2.服务期（含具体项目造价咨询服务期）满后，如中标人没有出现任何违约情形，招标人在收到中标人的请款申请后15个工作日内退还履约保证金。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2220" w:type="dxa"/>
            <w:tcBorders>
              <w:top w:val="single" w:color="auto" w:sz="4" w:space="0"/>
              <w:left w:val="single" w:color="auto" w:sz="4" w:space="0"/>
              <w:right w:val="single" w:color="auto" w:sz="4" w:space="0"/>
            </w:tcBorders>
            <w:vAlign w:val="center"/>
          </w:tcPr>
          <w:p>
            <w:pPr>
              <w:spacing w:line="320" w:lineRule="exact"/>
              <w:jc w:val="center"/>
              <w:rPr>
                <w:b/>
                <w:bCs/>
                <w:color w:val="000000" w:themeColor="text1"/>
                <w14:textFill>
                  <w14:solidFill>
                    <w14:schemeClr w14:val="tx1"/>
                  </w14:solidFill>
                </w14:textFill>
              </w:rPr>
            </w:pPr>
            <w:r>
              <w:rPr>
                <w:rFonts w:hint="eastAsia" w:ascii="宋体" w:hAnsi="宋体"/>
                <w:b/>
                <w:bCs/>
                <w:color w:val="000000" w:themeColor="text1"/>
                <w:szCs w:val="21"/>
                <w14:textFill>
                  <w14:solidFill>
                    <w14:schemeClr w14:val="tx1"/>
                  </w14:solidFill>
                </w14:textFill>
              </w:rPr>
              <w:t>准入及退出机制</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入库期间，招标人将根据自身相关制度规定，对中标人进行评分考核，考核内容包括服务效率、服务态度、技术水平、服务质量等，考核不通过的将解除合作协议，作退库处理。解除合作协议的中标人3年内不再列入准入名单。同时，中标人存在下列情况之一的，作退出处理：</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1）对招标人招标（服务）需求，一年内出现连续2次不响应的；</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2）一年内出现2次（含）以上造价与图纸偏差明显的；</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3）发现与施工（投标）单位串通、勾结，欺骗招标人的；</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4）未能通过有关部门相关资质年检的；</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5）招标人认为需要退出的。</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2.如库内造价单位数量少于3家时，招标人可邀请</w:t>
            </w:r>
            <w:r>
              <w:rPr>
                <w:rFonts w:hint="eastAsia" w:ascii="宋体" w:hAnsi="宋体" w:cs="宋体"/>
                <w:color w:val="000000" w:themeColor="text1"/>
                <w14:textFill>
                  <w14:solidFill>
                    <w14:schemeClr w14:val="tx1"/>
                  </w14:solidFill>
                </w14:textFill>
              </w:rPr>
              <w:t>后备单位</w:t>
            </w:r>
            <w:r>
              <w:rPr>
                <w:rFonts w:hint="eastAsia" w:ascii="宋体" w:hAnsi="宋体" w:cs="宋体"/>
                <w:color w:val="000000" w:themeColor="text1"/>
                <w:szCs w:val="21"/>
                <w14:textFill>
                  <w14:solidFill>
                    <w14:schemeClr w14:val="tx1"/>
                  </w14:solidFill>
                </w14:textFill>
              </w:rPr>
              <w:t>依次补入，或通过重新招标的方式补入。</w:t>
            </w:r>
            <w:r>
              <w:rPr>
                <w:rFonts w:hint="eastAsia" w:ascii="宋体" w:hAnsi="宋体" w:cs="宋体"/>
                <w:color w:val="000000" w:themeColor="text1"/>
                <w14:textFill>
                  <w14:solidFill>
                    <w14:schemeClr w14:val="tx1"/>
                  </w14:solidFill>
                </w14:textFill>
              </w:rPr>
              <w:t>后备单位</w:t>
            </w:r>
            <w:r>
              <w:rPr>
                <w:rFonts w:hint="eastAsia" w:ascii="宋体" w:hAnsi="宋体" w:cs="宋体"/>
                <w:color w:val="000000" w:themeColor="text1"/>
                <w:szCs w:val="21"/>
                <w14:textFill>
                  <w14:solidFill>
                    <w14:schemeClr w14:val="tx1"/>
                  </w14:solidFill>
                </w14:textFill>
              </w:rPr>
              <w:t>同意补入库的，须按原招标文件、投标承诺与招标人签订准入合同，合同期限为补入库合同生效之日起至本次准入项目服务期满之日止。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2220"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投标保证金</w:t>
            </w:r>
          </w:p>
        </w:tc>
        <w:tc>
          <w:tcPr>
            <w:tcW w:w="6607" w:type="dxa"/>
            <w:gridSpan w:val="2"/>
            <w:tcBorders>
              <w:top w:val="single" w:color="auto" w:sz="4" w:space="0"/>
              <w:left w:val="single" w:color="auto" w:sz="4" w:space="0"/>
              <w:right w:val="single" w:color="auto" w:sz="4" w:space="0"/>
            </w:tcBorders>
            <w:vAlign w:val="center"/>
          </w:tcPr>
          <w:p>
            <w:pPr>
              <w:snapToGrid w:val="0"/>
              <w:spacing w:line="32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2220"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中标服务费</w:t>
            </w:r>
          </w:p>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（以银行转账、电汇方式提交）</w:t>
            </w:r>
          </w:p>
        </w:tc>
        <w:tc>
          <w:tcPr>
            <w:tcW w:w="22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收费标准：</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根据发改价格[2015]299号文的规定</w:t>
            </w:r>
            <w:r>
              <w:rPr>
                <w:rFonts w:hint="eastAsia" w:ascii="宋体" w:hAnsi="宋体" w:cs="宋体"/>
                <w:color w:val="000000" w:themeColor="text1"/>
                <w:szCs w:val="21"/>
                <w14:textFill>
                  <w14:solidFill>
                    <w14:schemeClr w14:val="tx1"/>
                  </w14:solidFill>
                </w14:textFill>
              </w:rPr>
              <w:t>，招标代理服务费实行市场调节价。中标供应商分别在领取《中标通知书》前应一次性交纳招标代理服务费叁仟元整（¥3000.00元）。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开户名称</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账    号</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开户银行</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中国农业银行股份有限公司阳江江城支行</w:t>
            </w:r>
          </w:p>
        </w:tc>
      </w:tr>
    </w:tbl>
    <w:p>
      <w:pPr>
        <w:adjustRightInd w:val="0"/>
        <w:snapToGrid w:val="0"/>
        <w:spacing w:line="360" w:lineRule="auto"/>
        <w:rPr>
          <w:b/>
          <w:color w:val="000000" w:themeColor="text1"/>
          <w:szCs w:val="2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p>
    <w:p>
      <w:pP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br w:type="page"/>
      </w:r>
    </w:p>
    <w:p>
      <w:pPr>
        <w:pStyle w:val="4"/>
        <w:numPr>
          <w:ilvl w:val="0"/>
          <w:numId w:val="0"/>
        </w:numPr>
        <w:spacing w:before="360" w:beforeLines="150" w:after="0" w:line="360" w:lineRule="auto"/>
        <w:rPr>
          <w:color w:val="000000" w:themeColor="text1"/>
          <w:kern w:val="0"/>
          <w:sz w:val="24"/>
          <w14:textFill>
            <w14:solidFill>
              <w14:schemeClr w14:val="tx1"/>
            </w14:solidFill>
          </w14:textFill>
        </w:rPr>
      </w:pPr>
      <w:bookmarkStart w:id="116" w:name="_Toc10376"/>
      <w:bookmarkStart w:id="117" w:name="_Toc19888"/>
      <w:r>
        <w:rPr>
          <w:rFonts w:hint="eastAsia"/>
          <w:color w:val="000000" w:themeColor="text1"/>
          <w:kern w:val="0"/>
          <w:sz w:val="24"/>
          <w14:textFill>
            <w14:solidFill>
              <w14:schemeClr w14:val="tx1"/>
            </w14:solidFill>
          </w14:textFill>
        </w:rPr>
        <w:t>B  技术要求</w:t>
      </w:r>
      <w:bookmarkEnd w:id="116"/>
      <w:bookmarkEnd w:id="117"/>
    </w:p>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一、采购项目内容</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中标人将进入招标人造价咨询服务单位供应商库，根据招标人委托，为招标人装修工程项目提供相关造价咨询服务。</w:t>
      </w:r>
    </w:p>
    <w:p>
      <w:pPr>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二、服务费用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50万（含）以上的工程造价咨询服务费用，按广东省物价局《关于调整我省建设工程造价咨询服务收费的复函》（粤价函〔2011〕742号）规定的造价咨询服务收费标准计算，具体以招标人和中标人协商签署的具体造价咨询服务合同约定为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2、50万以下的工程估（概）算、预算、结算等审核（编制）服务费用，中标人按表1、表</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所列标准收取：</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表1</w:t>
      </w:r>
    </w:p>
    <w:tbl>
      <w:tblPr>
        <w:tblStyle w:val="48"/>
        <w:tblW w:w="4658" w:type="pct"/>
        <w:jc w:val="center"/>
        <w:tblLayout w:type="autofit"/>
        <w:tblCellMar>
          <w:top w:w="0" w:type="dxa"/>
          <w:left w:w="108" w:type="dxa"/>
          <w:bottom w:w="0" w:type="dxa"/>
          <w:right w:w="108" w:type="dxa"/>
        </w:tblCellMar>
      </w:tblPr>
      <w:tblGrid>
        <w:gridCol w:w="933"/>
        <w:gridCol w:w="4913"/>
        <w:gridCol w:w="3155"/>
      </w:tblGrid>
      <w:tr>
        <w:tblPrEx>
          <w:tblCellMar>
            <w:top w:w="0" w:type="dxa"/>
            <w:left w:w="108" w:type="dxa"/>
            <w:bottom w:w="0" w:type="dxa"/>
            <w:right w:w="108" w:type="dxa"/>
          </w:tblCellMar>
        </w:tblPrEx>
        <w:trPr>
          <w:trHeight w:val="342" w:hRule="atLeast"/>
          <w:jc w:val="center"/>
        </w:trPr>
        <w:tc>
          <w:tcPr>
            <w:tcW w:w="51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序号</w:t>
            </w:r>
          </w:p>
        </w:tc>
        <w:tc>
          <w:tcPr>
            <w:tcW w:w="272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工程拟投入估（概）</w:t>
            </w:r>
            <w:r>
              <w:rPr>
                <w:rStyle w:val="98"/>
                <w:rFonts w:hint="eastAsia" w:ascii="宋体" w:hAnsi="宋体" w:cs="宋体"/>
                <w:color w:val="000000" w:themeColor="text1"/>
                <w:sz w:val="21"/>
                <w:szCs w:val="21"/>
                <w:lang w:bidi="ar"/>
                <w14:textFill>
                  <w14:solidFill>
                    <w14:schemeClr w14:val="tx1"/>
                  </w14:solidFill>
                </w14:textFill>
              </w:rPr>
              <w:t>算X（元/项）</w:t>
            </w:r>
          </w:p>
        </w:tc>
        <w:tc>
          <w:tcPr>
            <w:tcW w:w="1752"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服务费用（元/项）</w:t>
            </w:r>
          </w:p>
        </w:tc>
      </w:tr>
      <w:tr>
        <w:tblPrEx>
          <w:tblCellMar>
            <w:top w:w="0" w:type="dxa"/>
            <w:left w:w="108" w:type="dxa"/>
            <w:bottom w:w="0" w:type="dxa"/>
            <w:right w:w="108" w:type="dxa"/>
          </w:tblCellMar>
        </w:tblPrEx>
        <w:trPr>
          <w:trHeight w:val="342" w:hRule="atLeast"/>
          <w:jc w:val="center"/>
        </w:trPr>
        <w:tc>
          <w:tcPr>
            <w:tcW w:w="51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72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0&lt;X</w:t>
            </w:r>
            <w:r>
              <w:rPr>
                <w:rStyle w:val="316"/>
                <w:rFonts w:hint="eastAsia" w:ascii="宋体" w:hAnsi="宋体" w:cs="宋体"/>
                <w:color w:val="000000" w:themeColor="text1"/>
                <w:sz w:val="21"/>
                <w:szCs w:val="21"/>
                <w:lang w:bidi="ar"/>
                <w14:textFill>
                  <w14:solidFill>
                    <w14:schemeClr w14:val="tx1"/>
                  </w14:solidFill>
                </w14:textFill>
              </w:rPr>
              <w:t>≤</w:t>
            </w:r>
            <w:r>
              <w:rPr>
                <w:rStyle w:val="98"/>
                <w:rFonts w:hint="eastAsia" w:ascii="宋体" w:hAnsi="宋体" w:cs="宋体"/>
                <w:color w:val="000000" w:themeColor="text1"/>
                <w:sz w:val="21"/>
                <w:szCs w:val="21"/>
                <w:lang w:bidi="ar"/>
                <w14:textFill>
                  <w14:solidFill>
                    <w14:schemeClr w14:val="tx1"/>
                  </w14:solidFill>
                </w14:textFill>
              </w:rPr>
              <w:t>20000</w:t>
            </w:r>
          </w:p>
        </w:tc>
        <w:tc>
          <w:tcPr>
            <w:tcW w:w="1752"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200元</w:t>
            </w:r>
          </w:p>
        </w:tc>
      </w:tr>
      <w:tr>
        <w:tblPrEx>
          <w:tblCellMar>
            <w:top w:w="0" w:type="dxa"/>
            <w:left w:w="108" w:type="dxa"/>
            <w:bottom w:w="0" w:type="dxa"/>
            <w:right w:w="108" w:type="dxa"/>
          </w:tblCellMar>
        </w:tblPrEx>
        <w:trPr>
          <w:trHeight w:val="342" w:hRule="atLeast"/>
          <w:jc w:val="center"/>
        </w:trPr>
        <w:tc>
          <w:tcPr>
            <w:tcW w:w="51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72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20000&lt;X</w:t>
            </w:r>
            <w:r>
              <w:rPr>
                <w:rStyle w:val="98"/>
                <w:rFonts w:hint="eastAsia" w:ascii="宋体" w:hAnsi="宋体" w:cs="宋体"/>
                <w:color w:val="000000" w:themeColor="text1"/>
                <w:sz w:val="21"/>
                <w:szCs w:val="21"/>
                <w:lang w:bidi="ar"/>
                <w14:textFill>
                  <w14:solidFill>
                    <w14:schemeClr w14:val="tx1"/>
                  </w14:solidFill>
                </w14:textFill>
              </w:rPr>
              <w:t>≤50000</w:t>
            </w:r>
          </w:p>
        </w:tc>
        <w:tc>
          <w:tcPr>
            <w:tcW w:w="1752"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300元</w:t>
            </w:r>
          </w:p>
        </w:tc>
      </w:tr>
      <w:tr>
        <w:tblPrEx>
          <w:tblCellMar>
            <w:top w:w="0" w:type="dxa"/>
            <w:left w:w="108" w:type="dxa"/>
            <w:bottom w:w="0" w:type="dxa"/>
            <w:right w:w="108" w:type="dxa"/>
          </w:tblCellMar>
        </w:tblPrEx>
        <w:trPr>
          <w:trHeight w:val="342" w:hRule="atLeast"/>
          <w:jc w:val="center"/>
        </w:trPr>
        <w:tc>
          <w:tcPr>
            <w:tcW w:w="51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72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50000&lt;X</w:t>
            </w:r>
            <w:r>
              <w:rPr>
                <w:rStyle w:val="98"/>
                <w:rFonts w:hint="eastAsia" w:ascii="宋体" w:hAnsi="宋体" w:cs="宋体"/>
                <w:color w:val="000000" w:themeColor="text1"/>
                <w:sz w:val="21"/>
                <w:szCs w:val="21"/>
                <w:lang w:bidi="ar"/>
                <w14:textFill>
                  <w14:solidFill>
                    <w14:schemeClr w14:val="tx1"/>
                  </w14:solidFill>
                </w14:textFill>
              </w:rPr>
              <w:t>≤100000</w:t>
            </w:r>
          </w:p>
        </w:tc>
        <w:tc>
          <w:tcPr>
            <w:tcW w:w="1752"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400元</w:t>
            </w:r>
          </w:p>
        </w:tc>
      </w:tr>
      <w:tr>
        <w:tblPrEx>
          <w:tblCellMar>
            <w:top w:w="0" w:type="dxa"/>
            <w:left w:w="108" w:type="dxa"/>
            <w:bottom w:w="0" w:type="dxa"/>
            <w:right w:w="108" w:type="dxa"/>
          </w:tblCellMar>
        </w:tblPrEx>
        <w:trPr>
          <w:trHeight w:val="342" w:hRule="atLeast"/>
          <w:jc w:val="center"/>
        </w:trPr>
        <w:tc>
          <w:tcPr>
            <w:tcW w:w="51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272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100000&lt;X</w:t>
            </w:r>
            <w:r>
              <w:rPr>
                <w:rStyle w:val="98"/>
                <w:rFonts w:hint="eastAsia" w:ascii="宋体" w:hAnsi="宋体" w:cs="宋体"/>
                <w:color w:val="000000" w:themeColor="text1"/>
                <w:sz w:val="21"/>
                <w:szCs w:val="21"/>
                <w:lang w:bidi="ar"/>
                <w14:textFill>
                  <w14:solidFill>
                    <w14:schemeClr w14:val="tx1"/>
                  </w14:solidFill>
                </w14:textFill>
              </w:rPr>
              <w:t>≤200000</w:t>
            </w:r>
          </w:p>
        </w:tc>
        <w:tc>
          <w:tcPr>
            <w:tcW w:w="1752"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600元</w:t>
            </w:r>
          </w:p>
        </w:tc>
      </w:tr>
      <w:tr>
        <w:tblPrEx>
          <w:tblCellMar>
            <w:top w:w="0" w:type="dxa"/>
            <w:left w:w="108" w:type="dxa"/>
            <w:bottom w:w="0" w:type="dxa"/>
            <w:right w:w="108" w:type="dxa"/>
          </w:tblCellMar>
        </w:tblPrEx>
        <w:trPr>
          <w:trHeight w:val="342" w:hRule="atLeast"/>
          <w:jc w:val="center"/>
        </w:trPr>
        <w:tc>
          <w:tcPr>
            <w:tcW w:w="51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272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200000&lt;X</w:t>
            </w:r>
            <w:r>
              <w:rPr>
                <w:rStyle w:val="98"/>
                <w:rFonts w:hint="eastAsia" w:ascii="宋体" w:hAnsi="宋体" w:cs="宋体"/>
                <w:color w:val="000000" w:themeColor="text1"/>
                <w:sz w:val="21"/>
                <w:szCs w:val="21"/>
                <w:lang w:bidi="ar"/>
                <w14:textFill>
                  <w14:solidFill>
                    <w14:schemeClr w14:val="tx1"/>
                  </w14:solidFill>
                </w14:textFill>
              </w:rPr>
              <w:t>≤300000</w:t>
            </w:r>
          </w:p>
        </w:tc>
        <w:tc>
          <w:tcPr>
            <w:tcW w:w="1752"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1000元</w:t>
            </w:r>
          </w:p>
        </w:tc>
      </w:tr>
      <w:tr>
        <w:tblPrEx>
          <w:tblCellMar>
            <w:top w:w="0" w:type="dxa"/>
            <w:left w:w="108" w:type="dxa"/>
            <w:bottom w:w="0" w:type="dxa"/>
            <w:right w:w="108" w:type="dxa"/>
          </w:tblCellMar>
        </w:tblPrEx>
        <w:trPr>
          <w:trHeight w:val="342" w:hRule="atLeast"/>
          <w:jc w:val="center"/>
        </w:trPr>
        <w:tc>
          <w:tcPr>
            <w:tcW w:w="51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2728"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300000&lt;X</w:t>
            </w:r>
            <w:r>
              <w:rPr>
                <w:rStyle w:val="98"/>
                <w:rFonts w:hint="eastAsia" w:ascii="宋体" w:hAnsi="宋体" w:cs="宋体"/>
                <w:color w:val="000000" w:themeColor="text1"/>
                <w:sz w:val="21"/>
                <w:szCs w:val="21"/>
                <w:lang w:bidi="ar"/>
                <w14:textFill>
                  <w14:solidFill>
                    <w14:schemeClr w14:val="tx1"/>
                  </w14:solidFill>
                </w14:textFill>
              </w:rPr>
              <w:t>≤500000</w:t>
            </w:r>
          </w:p>
        </w:tc>
        <w:tc>
          <w:tcPr>
            <w:tcW w:w="1752"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2000元</w:t>
            </w:r>
          </w:p>
        </w:tc>
      </w:tr>
    </w:tbl>
    <w:p>
      <w:pPr>
        <w:tabs>
          <w:tab w:val="left" w:pos="426"/>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表2</w:t>
      </w:r>
    </w:p>
    <w:tbl>
      <w:tblPr>
        <w:tblStyle w:val="48"/>
        <w:tblW w:w="9036" w:type="dxa"/>
        <w:jc w:val="center"/>
        <w:tblLayout w:type="autofit"/>
        <w:tblCellMar>
          <w:top w:w="0" w:type="dxa"/>
          <w:left w:w="108" w:type="dxa"/>
          <w:bottom w:w="0" w:type="dxa"/>
          <w:right w:w="108" w:type="dxa"/>
        </w:tblCellMar>
      </w:tblPr>
      <w:tblGrid>
        <w:gridCol w:w="947"/>
        <w:gridCol w:w="4923"/>
        <w:gridCol w:w="3166"/>
      </w:tblGrid>
      <w:tr>
        <w:trPr>
          <w:trHeight w:val="34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序号</w:t>
            </w:r>
          </w:p>
        </w:tc>
        <w:tc>
          <w:tcPr>
            <w:tcW w:w="492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工程送审预（结）算X（元/项）</w:t>
            </w:r>
          </w:p>
        </w:tc>
        <w:tc>
          <w:tcPr>
            <w:tcW w:w="316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服务费用（元/项）</w:t>
            </w:r>
          </w:p>
        </w:tc>
      </w:tr>
      <w:tr>
        <w:tblPrEx>
          <w:tblCellMar>
            <w:top w:w="0" w:type="dxa"/>
            <w:left w:w="108" w:type="dxa"/>
            <w:bottom w:w="0" w:type="dxa"/>
            <w:right w:w="108" w:type="dxa"/>
          </w:tblCellMar>
        </w:tblPrEx>
        <w:trPr>
          <w:trHeight w:val="34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492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0&lt;X≤20000</w:t>
            </w:r>
          </w:p>
        </w:tc>
        <w:tc>
          <w:tcPr>
            <w:tcW w:w="316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200元</w:t>
            </w:r>
          </w:p>
        </w:tc>
      </w:tr>
      <w:tr>
        <w:tblPrEx>
          <w:tblCellMar>
            <w:top w:w="0" w:type="dxa"/>
            <w:left w:w="108" w:type="dxa"/>
            <w:bottom w:w="0" w:type="dxa"/>
            <w:right w:w="108" w:type="dxa"/>
          </w:tblCellMar>
        </w:tblPrEx>
        <w:trPr>
          <w:trHeight w:val="34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492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20000&lt;X≤50000</w:t>
            </w:r>
          </w:p>
        </w:tc>
        <w:tc>
          <w:tcPr>
            <w:tcW w:w="316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300元</w:t>
            </w:r>
          </w:p>
        </w:tc>
      </w:tr>
      <w:tr>
        <w:tblPrEx>
          <w:tblCellMar>
            <w:top w:w="0" w:type="dxa"/>
            <w:left w:w="108" w:type="dxa"/>
            <w:bottom w:w="0" w:type="dxa"/>
            <w:right w:w="108" w:type="dxa"/>
          </w:tblCellMar>
        </w:tblPrEx>
        <w:trPr>
          <w:trHeight w:val="34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492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50000&lt;X≤100000</w:t>
            </w:r>
          </w:p>
        </w:tc>
        <w:tc>
          <w:tcPr>
            <w:tcW w:w="316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400元</w:t>
            </w:r>
          </w:p>
        </w:tc>
      </w:tr>
      <w:tr>
        <w:tblPrEx>
          <w:tblCellMar>
            <w:top w:w="0" w:type="dxa"/>
            <w:left w:w="108" w:type="dxa"/>
            <w:bottom w:w="0" w:type="dxa"/>
            <w:right w:w="108" w:type="dxa"/>
          </w:tblCellMar>
        </w:tblPrEx>
        <w:trPr>
          <w:trHeight w:val="34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492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100000&lt;X≤200000</w:t>
            </w:r>
          </w:p>
        </w:tc>
        <w:tc>
          <w:tcPr>
            <w:tcW w:w="316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600元</w:t>
            </w:r>
          </w:p>
        </w:tc>
      </w:tr>
      <w:tr>
        <w:tblPrEx>
          <w:tblCellMar>
            <w:top w:w="0" w:type="dxa"/>
            <w:left w:w="108" w:type="dxa"/>
            <w:bottom w:w="0" w:type="dxa"/>
            <w:right w:w="108" w:type="dxa"/>
          </w:tblCellMar>
        </w:tblPrEx>
        <w:trPr>
          <w:trHeight w:val="34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492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200000&lt;X≤300000</w:t>
            </w:r>
          </w:p>
        </w:tc>
        <w:tc>
          <w:tcPr>
            <w:tcW w:w="316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1000元</w:t>
            </w:r>
          </w:p>
        </w:tc>
      </w:tr>
      <w:tr>
        <w:tblPrEx>
          <w:tblCellMar>
            <w:top w:w="0" w:type="dxa"/>
            <w:left w:w="108" w:type="dxa"/>
            <w:bottom w:w="0" w:type="dxa"/>
            <w:right w:w="108" w:type="dxa"/>
          </w:tblCellMar>
        </w:tblPrEx>
        <w:trPr>
          <w:trHeight w:val="34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4923"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300000&lt;X≤500000</w:t>
            </w:r>
          </w:p>
        </w:tc>
        <w:tc>
          <w:tcPr>
            <w:tcW w:w="316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2000元</w:t>
            </w:r>
          </w:p>
        </w:tc>
      </w:tr>
    </w:tbl>
    <w:p>
      <w:pPr>
        <w:spacing w:line="360" w:lineRule="auto"/>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服务费为完成受委托项目所收取的全部费用，已包含但不限于以下费用：完成本项目所有工作内容的成本费、劳务费、交通费、场地费、税金（全额含税发票）、雇员费用以及项目实施过程中其它应预见和不可预见费用等完成本采购项目、达到招标人目的的一切费用及企业利润。</w:t>
      </w:r>
    </w:p>
    <w:p>
      <w:pPr>
        <w:spacing w:line="360" w:lineRule="auto"/>
        <w:ind w:left="450" w:hanging="450"/>
        <w:rPr>
          <w:rFonts w:ascii="宋体" w:hAnsi="宋体" w:cs="宋体"/>
          <w:color w:val="000000" w:themeColor="text1"/>
          <w:szCs w:val="21"/>
          <w:lang w:val="zh-CN"/>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w:t>
      </w:r>
      <w:r>
        <w:rPr>
          <w:rFonts w:ascii="宋体" w:hAnsi="宋体" w:cs="宋体"/>
          <w:b/>
          <w:color w:val="000000" w:themeColor="text1"/>
          <w:szCs w:val="21"/>
          <w:lang w:val="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造价服务范围：</w:t>
      </w:r>
    </w:p>
    <w:p>
      <w:pPr>
        <w:spacing w:line="360" w:lineRule="auto"/>
        <w:ind w:firstLine="420" w:firstLineChars="200"/>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zh-CN"/>
          <w14:textFill>
            <w14:solidFill>
              <w14:schemeClr w14:val="tx1"/>
            </w14:solidFill>
          </w14:textFill>
        </w:rPr>
        <w:t>工程</w:t>
      </w:r>
      <w:r>
        <w:rPr>
          <w:rFonts w:hint="eastAsia" w:ascii="宋体" w:hAnsi="宋体" w:cs="宋体"/>
          <w:color w:val="000000" w:themeColor="text1"/>
          <w:szCs w:val="21"/>
          <w14:textFill>
            <w14:solidFill>
              <w14:schemeClr w14:val="tx1"/>
            </w14:solidFill>
          </w14:textFill>
        </w:rPr>
        <w:t>估算、概算、工程量清单、</w:t>
      </w:r>
      <w:r>
        <w:rPr>
          <w:rFonts w:hint="eastAsia" w:ascii="宋体" w:hAnsi="宋体" w:cs="宋体"/>
          <w:color w:val="000000" w:themeColor="text1"/>
          <w:szCs w:val="21"/>
          <w:lang w:val="zh-CN"/>
          <w14:textFill>
            <w14:solidFill>
              <w14:schemeClr w14:val="tx1"/>
            </w14:solidFill>
          </w14:textFill>
        </w:rPr>
        <w:t>工程预算、</w:t>
      </w:r>
      <w:r>
        <w:rPr>
          <w:rFonts w:hint="eastAsia" w:ascii="宋体" w:hAnsi="宋体" w:cs="宋体"/>
          <w:color w:val="000000" w:themeColor="text1"/>
          <w:szCs w:val="21"/>
          <w14:textFill>
            <w14:solidFill>
              <w14:schemeClr w14:val="tx1"/>
            </w14:solidFill>
          </w14:textFill>
        </w:rPr>
        <w:t>工程结算审核或</w:t>
      </w:r>
      <w:r>
        <w:rPr>
          <w:rFonts w:hint="eastAsia" w:ascii="宋体" w:hAnsi="宋体" w:cs="宋体"/>
          <w:color w:val="000000" w:themeColor="text1"/>
          <w:szCs w:val="21"/>
          <w:lang w:val="zh-CN"/>
          <w14:textFill>
            <w14:solidFill>
              <w14:schemeClr w14:val="tx1"/>
            </w14:solidFill>
          </w14:textFill>
        </w:rPr>
        <w:t>编制；</w:t>
      </w:r>
    </w:p>
    <w:p>
      <w:pPr>
        <w:pStyle w:val="17"/>
        <w:spacing w:after="24" w:afterLines="10"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2、在上述各阶段服务过程中，按招标人要求提供造价咨询相关服务成果的纸质文件及电子文件，及造价咨询全过程的资料整理和归档等；</w:t>
      </w:r>
    </w:p>
    <w:p>
      <w:pPr>
        <w:pStyle w:val="17"/>
        <w:spacing w:after="24" w:afterLines="10"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3、其他招标人要求的与工程造价相关的咨询服务工作。</w:t>
      </w:r>
    </w:p>
    <w:p>
      <w:pPr>
        <w:spacing w:line="360" w:lineRule="auto"/>
        <w:ind w:left="450" w:hanging="45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w:t>
      </w:r>
      <w:r>
        <w:rPr>
          <w:rFonts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服务要求</w:t>
      </w:r>
    </w:p>
    <w:p>
      <w:pPr>
        <w:pStyle w:val="194"/>
        <w:tabs>
          <w:tab w:val="left" w:pos="1076"/>
        </w:tabs>
        <w:spacing w:before="1"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中标人必须严格按照国家、省或行业现行的相关标准、规范提供真实、准确、可靠的全过程造价控制咨询服务，符合国家标准（GB50500-2013）《建设工程工程量清单计价规范》、《广东省建设工程计价依据（2018）》以及广东省、阳江市现行的工程造价相关管理规定。</w:t>
      </w:r>
    </w:p>
    <w:p>
      <w:pPr>
        <w:pStyle w:val="194"/>
        <w:tabs>
          <w:tab w:val="left" w:pos="1076"/>
        </w:tabs>
        <w:spacing w:before="1"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中标人应熟悉并严格执行国家、省、市有关部门关于建设工程项目造价管理方面的法律、法规及相关政策，本着为建设工程节约投资的原则，科学、客观、公正地开展审核工作，要合理体现招标人控制项目投资的要求。健全内部控制制度，按时按质提供评审报告，对报告的真实性、准确性、有效性负责，并负有保密责任。</w:t>
      </w:r>
    </w:p>
    <w:p>
      <w:pPr>
        <w:pStyle w:val="194"/>
        <w:tabs>
          <w:tab w:val="left" w:pos="1076"/>
        </w:tabs>
        <w:spacing w:before="1"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3、中标人应保证提供合格的建设工程造价咨询服务，无正当理由不得拒绝接受委托项目。未经招标人书面同意，不得擅自将受托项目转委托给第三方承担。</w:t>
      </w:r>
    </w:p>
    <w:p>
      <w:pPr>
        <w:pStyle w:val="194"/>
        <w:tabs>
          <w:tab w:val="left" w:pos="1076"/>
        </w:tabs>
        <w:spacing w:before="1"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为保证按时按质按量完成受托的造价咨询业务，中标人须提供充裕的人力、物力及相应的软件、硬件支持，不能以上述原因为理由延误工程的委托任务。若招标人对所完成的委托服务项目的质量及时间不满意（未能达到工程造价咨询委托协议或合同要求），则有权发出警告信（整改通知书）给受委托的中标人。</w:t>
      </w:r>
    </w:p>
    <w:p>
      <w:pPr>
        <w:pStyle w:val="194"/>
        <w:tabs>
          <w:tab w:val="left" w:pos="1076"/>
        </w:tabs>
        <w:spacing w:before="3"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5、中标人须指定专人负责联系委托事宜。</w:t>
      </w:r>
    </w:p>
    <w:p>
      <w:pPr>
        <w:pStyle w:val="194"/>
        <w:tabs>
          <w:tab w:val="left" w:pos="1076"/>
        </w:tabs>
        <w:spacing w:before="3"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6、中标人派出的审核人员，应完整、准确、真实反映并记录审核过程中的工作情况，做好审核资料、工作底稿整理、归集，并按规定格式和质量要求提供审核结论。评审报告所涉及的</w:t>
      </w:r>
      <w:r>
        <w:rPr>
          <w:rFonts w:hint="eastAsia" w:ascii="宋体" w:hAnsi="宋体" w:cs="宋体"/>
          <w:color w:val="000000" w:themeColor="text1"/>
          <w:spacing w:val="-3"/>
          <w:szCs w:val="21"/>
          <w14:textFill>
            <w14:solidFill>
              <w14:schemeClr w14:val="tx1"/>
            </w14:solidFill>
          </w14:textFill>
        </w:rPr>
        <w:t xml:space="preserve">资料，应按评审项目建立档案，妥善保管至报告出具之日起 </w:t>
      </w:r>
      <w:r>
        <w:rPr>
          <w:rFonts w:hint="eastAsia" w:ascii="宋体" w:hAnsi="宋体" w:cs="宋体"/>
          <w:color w:val="000000" w:themeColor="text1"/>
          <w:szCs w:val="21"/>
          <w14:textFill>
            <w14:solidFill>
              <w14:schemeClr w14:val="tx1"/>
            </w14:solidFill>
          </w14:textFill>
        </w:rPr>
        <w:t>10 年后。</w:t>
      </w:r>
    </w:p>
    <w:p>
      <w:pPr>
        <w:spacing w:line="360" w:lineRule="auto"/>
        <w:ind w:left="450" w:hanging="45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五</w:t>
      </w:r>
      <w:r>
        <w:rPr>
          <w:rFonts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人员要求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拟投入本工程项目实行工程造价咨询的人员必须具有造价工程师执业资格，具有从事造价审核工作经验，能熟练运用计算机进行工作，具有良好的思想品德和专业业务素质，较好的语言表达能力和沟通协调能力。</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2、在合同终止前，招标人有权在限定时间内要求中标人更换不称职的工程造价咨询人员。</w:t>
      </w:r>
    </w:p>
    <w:p>
      <w:pPr>
        <w:spacing w:line="360" w:lineRule="auto"/>
        <w:ind w:left="450" w:hanging="45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六</w:t>
      </w:r>
      <w:r>
        <w:rPr>
          <w:rFonts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服务响应要求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人接到招标人委托通知后，应在2小时内派人员与委托人联系，并在招标人规定的时限内就委托项目签订委托合同。收到招标人关于承接委托业务的通知后，中标人应积极响应，响应时间不得超过一天。否则，招标人有权对中标人采取停止一次参加轮换次序的处理措施。</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七、服务具体程序</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1、选定工程造价单位</w:t>
      </w:r>
    </w:p>
    <w:p>
      <w:pPr>
        <w:numPr>
          <w:ilvl w:val="255"/>
          <w:numId w:val="0"/>
        </w:numPr>
        <w:spacing w:line="360" w:lineRule="auto"/>
        <w:ind w:firstLine="21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（1）结合招标人内控制度以及相关法律法规，入库成员单位项目委托方式主要分为随机抽取、低价优先、综合评价等方式，具体由委托人根据项目特征及需求确定:</w:t>
      </w:r>
    </w:p>
    <w:p>
      <w:pPr>
        <w:numPr>
          <w:ilvl w:val="0"/>
          <w:numId w:val="23"/>
        </w:numPr>
        <w:autoSpaceDE w:val="0"/>
        <w:autoSpaceDN w:val="0"/>
        <w:adjustRightInd w:val="0"/>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采用随机抽取的，通过摇珠设备从所有入库成员单位中随机抽取一家作为中选单位，如随机抽取的中选单位无法协商接受业务委托，可再随机抽取直到双方协商一致。</w:t>
      </w:r>
    </w:p>
    <w:p>
      <w:pPr>
        <w:numPr>
          <w:ilvl w:val="0"/>
          <w:numId w:val="23"/>
        </w:numPr>
        <w:autoSpaceDE w:val="0"/>
        <w:autoSpaceDN w:val="0"/>
        <w:adjustRightInd w:val="0"/>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低价优先的，招标人根据实际情况向入库成员单位发出询价函或口头询价，各单位参与报价的，招标人在各报价单位中按照低价优先原则确定中选单位。若出现两个或两个以上相同报价的，则从相同报价的单位中随机抽取一家作为中选单位。</w:t>
      </w:r>
    </w:p>
    <w:p>
      <w:pPr>
        <w:tabs>
          <w:tab w:val="left" w:pos="420"/>
        </w:tabs>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采用综合评价的，招标人根据项目实际需要，拟定详细的资格要求和评审条件，邀请全部入库成员单位或不少于三家入库成员单位进行比选，按照招标人内控制度进行择优评选并确定中选单位，若出现同等评价的，则从同等评价的单位中随机抽取一家作为中选单位。</w:t>
      </w:r>
    </w:p>
    <w:p>
      <w:pPr>
        <w:numPr>
          <w:ilvl w:val="255"/>
          <w:numId w:val="0"/>
        </w:numPr>
        <w:spacing w:line="360" w:lineRule="auto"/>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特别说明：本项目招标人对入库协议生效期限内的项目数量及金额不作任何承诺或保证。即招标人不保证有足够的拟派任务以满足服务单位库的所有入库单位获得均等的项目承包机会。投标人在投标前对此应有足够的风险认识，一经投标，即视为投标人愿意无条件承担有关风险并放弃一切与此相关的抗辩或求偿权利。</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（2）对于时间要求紧急、内容特殊、专业性强、或大型重点项目等项目，不论项目金额，招标人有权根据项目要求和各签约单位的综合实力、专业侧重、工作表现择优选择。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2、接受委托</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中标人接到招标人委托通知后，应在2小时内派人员与招标人联系，并在招标人规定的时限内就委托项目签订委托协议或合同。</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3、按要求完成服务</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接受委托后，委托人提供必需的资料后，中标人按照项目完成时间要求及招标人要求完成造价服务。</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4、结算</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完成造价服务后，中标人可与招标人进行造价费用结算。</w:t>
      </w:r>
    </w:p>
    <w:p>
      <w:pPr>
        <w:spacing w:line="360" w:lineRule="auto"/>
        <w:rPr>
          <w:rFonts w:ascii="宋体" w:hAnsi="宋体" w:cs="宋体"/>
          <w:b/>
          <w:color w:val="000000" w:themeColor="text1"/>
          <w:szCs w:val="21"/>
          <w14:textFill>
            <w14:solidFill>
              <w14:schemeClr w14:val="tx1"/>
            </w14:solidFill>
          </w14:textFill>
        </w:rPr>
      </w:pPr>
      <w:bookmarkStart w:id="118" w:name="_Toc31975"/>
      <w:bookmarkStart w:id="119" w:name="_Toc26569"/>
      <w:bookmarkStart w:id="120" w:name="_Toc21568"/>
      <w:r>
        <w:rPr>
          <w:rFonts w:hint="eastAsia" w:ascii="宋体" w:hAnsi="宋体" w:cs="宋体"/>
          <w:b/>
          <w:color w:val="000000" w:themeColor="text1"/>
          <w:szCs w:val="21"/>
          <w14:textFill>
            <w14:solidFill>
              <w14:schemeClr w14:val="tx1"/>
            </w14:solidFill>
          </w14:textFill>
        </w:rPr>
        <w:t>八、中标人必须遵守招标人的管理制度：</w:t>
      </w:r>
      <w:bookmarkEnd w:id="118"/>
      <w:bookmarkEnd w:id="119"/>
      <w:bookmarkEnd w:id="120"/>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1、考核制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招标人每年对中标人服务作出综合评价并填写服务评价表（具体评价细则将由招标人根据合同和实际情况制定），考核不通过的将解除合作协议，被解除合作协议的</w:t>
      </w:r>
      <w:r>
        <w:rPr>
          <w:rFonts w:ascii="宋体" w:hAnsi="宋体" w:cs="宋体"/>
          <w:color w:val="000000" w:themeColor="text1"/>
          <w:szCs w:val="21"/>
          <w14:textFill>
            <w14:solidFill>
              <w14:schemeClr w14:val="tx1"/>
            </w14:solidFill>
          </w14:textFill>
        </w:rPr>
        <w:t>3年内不再列入准入名单。如入库公司数量减少，招标人可邀请</w:t>
      </w:r>
      <w:r>
        <w:rPr>
          <w:rFonts w:hint="eastAsia" w:ascii="宋体" w:hAnsi="宋体" w:cs="宋体"/>
          <w:color w:val="000000" w:themeColor="text1"/>
          <w14:textFill>
            <w14:solidFill>
              <w14:schemeClr w14:val="tx1"/>
            </w14:solidFill>
          </w14:textFill>
        </w:rPr>
        <w:t>后备单位</w:t>
      </w:r>
      <w:r>
        <w:rPr>
          <w:rFonts w:hint="eastAsia" w:ascii="宋体" w:hAnsi="宋体" w:cs="宋体"/>
          <w:color w:val="000000" w:themeColor="text1"/>
          <w:szCs w:val="21"/>
          <w14:textFill>
            <w14:solidFill>
              <w14:schemeClr w14:val="tx1"/>
            </w14:solidFill>
          </w14:textFill>
        </w:rPr>
        <w:t>入库或通过招标方式重新选取其他较优者作为替换机构。同意替补入库的，须按原招标文件、投标承诺与招标人签订合同。</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2、清出制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中标人在有效合同期内，经查证发生以下行为的，招标人有权终止其合同，且在合同期满后重新招标时不接受其参与投标：</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①在合同期内，三次服务评价获差评的；</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②在服务过程中，玩忽职守、徇私舞弊的；</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③泄露应当保密的与项目有关的情况和资料的；</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④在合同期内，企业资质发生变化，不再符合要求的；</w:t>
      </w:r>
    </w:p>
    <w:p>
      <w:pPr>
        <w:pStyle w:val="2"/>
        <w:spacing w:line="360" w:lineRule="auto"/>
        <w:ind w:firstLineChars="200"/>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3、违约行为及有关处理规定</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①除中标人与委托项目有利害关系需回避外，对在协议期间拒绝接受分配任务达2次以上（含2次）的中标人，招标人有权终止其合作资格。</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弄虚作假，与建设、施工、设计、监理、招标代理和编制等单位串通，违反诚实信用和投标承诺等，以谋取非法利益或损害招标人利益的，一经招标人查实，招标人有权对违约中标人采取警告、履约保证金不予退还、扣减服务费、解除委托、</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年内不得参与招标人相同的项目投标等处理措施，并对其所造成的经济损失和法律纠纷依法追究经济和法律责任。</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③对拒绝接受招标人监督检查和管理的签约单位，招标人有权终止其合作资格。</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实行廉政建设一票否决制。委托服务期间，招标人若发现中标人或中标人审核人员有玩忽职守、徇私舞弊和私自与施工单位等利益单位联系等违规违纪现象的，招标人责令违规违纪单位限期整改，情节严重的终止委托服务协议，并将相关情况报相关部门依法处理。</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⑤签约的中标人必须独立完成招标人委托的编审任务，不得将编审任务转让第三方完成，并能按要求按时完成编审任务并定期做好已完成项目相关资料的移交和归档工作。否则，招标人有权对违约中标人采取警告、扣减服务费、解除委托等处理措施，并对其所造成的经济损失和法律纠纷依法追究经济和法律责任。</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⑥因中标人自身原因导致项目编审结论不实，引起诉讼和纠纷的，该单位除承担相关责任外，招标人还将根据情节严重程度对其作出通报批评、履约保证金不予退还、扣减编审费、停止委托新任务和解除委托协议等处理。</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⑦招标人若发现中标人的资质被降级或吊销，招标人有权解除委托协议，并对其所引起的经济损失和法律纠纷依法追究经济和法律责任。</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⑧对中标人不按协议完成委托任务、审核中出现严重错误或发生与委托业务相抵触行为的，招标人有权终止该签约单位的审核活动，追究其相关的经济和法律责任，所造成的一切损失由其负责。</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⑨在工程评审和复核过程中，招标人若发现中标人工作人员存在职业道德、工作态度和能力等问题不能胜任工作要求的，招标人保留责成中标人更换相关人员、减少委托任务或更换具体项目中选单位等权利。</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⑩若中标人出现信用危机、财务危机、生产经营危机，甚至破产无法继续履行合约的，自动取消该单位的中标资格或解除委托协议。</w:t>
      </w:r>
    </w:p>
    <w:p>
      <w:pPr>
        <w:spacing w:line="360" w:lineRule="auto"/>
        <w:rPr>
          <w:b/>
          <w:bCs/>
          <w:color w:val="000000" w:themeColor="text1"/>
          <w14:textFill>
            <w14:solidFill>
              <w14:schemeClr w14:val="tx1"/>
            </w14:solidFill>
          </w14:textFill>
        </w:rPr>
      </w:pPr>
      <w:bookmarkStart w:id="121" w:name="_Toc28700"/>
      <w:bookmarkStart w:id="122" w:name="_Toc11417"/>
      <w:bookmarkStart w:id="123" w:name="_Toc153"/>
      <w:r>
        <w:rPr>
          <w:rFonts w:hint="eastAsia"/>
          <w:b/>
          <w:bCs/>
          <w:color w:val="000000" w:themeColor="text1"/>
          <w14:textFill>
            <w14:solidFill>
              <w14:schemeClr w14:val="tx1"/>
            </w14:solidFill>
          </w14:textFill>
        </w:rPr>
        <w:t>工程造价咨询考核评分表</w:t>
      </w:r>
      <w:bookmarkEnd w:id="121"/>
      <w:bookmarkEnd w:id="122"/>
      <w:r>
        <w:rPr>
          <w:rFonts w:hint="eastAsia"/>
          <w:b/>
          <w:bCs/>
          <w:color w:val="000000" w:themeColor="text1"/>
          <w14:textFill>
            <w14:solidFill>
              <w14:schemeClr w14:val="tx1"/>
            </w14:solidFill>
          </w14:textFill>
        </w:rPr>
        <w:t xml:space="preserve">（招标人可根据服务需求修订） </w:t>
      </w:r>
      <w:bookmarkEnd w:id="123"/>
    </w:p>
    <w:tbl>
      <w:tblPr>
        <w:tblStyle w:val="49"/>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50"/>
        <w:gridCol w:w="5738"/>
        <w:gridCol w:w="73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229" w:type="dxa"/>
            <w:gridSpan w:val="5"/>
            <w:vAlign w:val="center"/>
          </w:tcPr>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项目名称：                                        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1"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序号 </w:t>
            </w:r>
          </w:p>
        </w:tc>
        <w:tc>
          <w:tcPr>
            <w:tcW w:w="1250"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检查内容</w:t>
            </w:r>
          </w:p>
        </w:tc>
        <w:tc>
          <w:tcPr>
            <w:tcW w:w="5738"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评分标准 </w:t>
            </w:r>
          </w:p>
        </w:tc>
        <w:tc>
          <w:tcPr>
            <w:tcW w:w="735"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分值 </w:t>
            </w:r>
          </w:p>
        </w:tc>
        <w:tc>
          <w:tcPr>
            <w:tcW w:w="665"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41"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w:t>
            </w:r>
          </w:p>
        </w:tc>
        <w:tc>
          <w:tcPr>
            <w:tcW w:w="1250"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工程造价咨询业务质量</w:t>
            </w:r>
          </w:p>
        </w:tc>
        <w:tc>
          <w:tcPr>
            <w:tcW w:w="5738" w:type="dxa"/>
          </w:tcPr>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1、咨询成果编制依据不正确扣 20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2、咨询成果文件的格式不符合要求的扣 5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3、咨询成果文件中，计算的工程量、套用的定额、基价、计价程序、取费标准（包括规费）不准确，每发现一处扣 5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4、咨询成果文件中，编制说明表述不清楚，内容不规范，有错项、重项、缺项、漏项的，每发现一处扣 5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5、咨询成果文件存在重大质量缺陷，差错率超过有关标准（参照《建设工程造价咨询成果文件质量标准》）扣 30 分。</w:t>
            </w:r>
          </w:p>
        </w:tc>
        <w:tc>
          <w:tcPr>
            <w:tcW w:w="735"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65</w:t>
            </w:r>
          </w:p>
        </w:tc>
        <w:tc>
          <w:tcPr>
            <w:tcW w:w="665"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1"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2</w:t>
            </w:r>
          </w:p>
        </w:tc>
        <w:tc>
          <w:tcPr>
            <w:tcW w:w="1250"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工程造价咨询业务操作程序</w:t>
            </w:r>
          </w:p>
        </w:tc>
        <w:tc>
          <w:tcPr>
            <w:tcW w:w="5738" w:type="dxa"/>
          </w:tcPr>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1、咨询成果文件上未加盖工程造价咨询企业执业章的扣 10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2、咨询成果文件上专业人员未签字和加盖执（从）业印章的扣5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3、未实行三级复核制扣 5 分。</w:t>
            </w:r>
          </w:p>
        </w:tc>
        <w:tc>
          <w:tcPr>
            <w:tcW w:w="735"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15</w:t>
            </w:r>
          </w:p>
        </w:tc>
        <w:tc>
          <w:tcPr>
            <w:tcW w:w="665"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41"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w:t>
            </w:r>
          </w:p>
        </w:tc>
        <w:tc>
          <w:tcPr>
            <w:tcW w:w="1250"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编制及审核时间</w:t>
            </w:r>
          </w:p>
        </w:tc>
        <w:tc>
          <w:tcPr>
            <w:tcW w:w="5738" w:type="dxa"/>
            <w:vAlign w:val="center"/>
          </w:tcPr>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编制和审核时间优于合同要求，得 10分 </w:t>
            </w:r>
          </w:p>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编制和审核时间与合同要求一致，得7 分 </w:t>
            </w:r>
          </w:p>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编制和审核时间不符合合同要求，得 5 分</w:t>
            </w:r>
          </w:p>
        </w:tc>
        <w:tc>
          <w:tcPr>
            <w:tcW w:w="735"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10</w:t>
            </w:r>
          </w:p>
        </w:tc>
        <w:tc>
          <w:tcPr>
            <w:tcW w:w="665"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841"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4</w:t>
            </w:r>
          </w:p>
        </w:tc>
        <w:tc>
          <w:tcPr>
            <w:tcW w:w="1250"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沟通协调能力</w:t>
            </w:r>
          </w:p>
        </w:tc>
        <w:tc>
          <w:tcPr>
            <w:tcW w:w="5738" w:type="dxa"/>
            <w:vAlign w:val="center"/>
          </w:tcPr>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1、沟通协调能力好，积极主动，得 10分； </w:t>
            </w:r>
          </w:p>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2、沟通协调能力好，不够积极主动，得 7分； </w:t>
            </w:r>
          </w:p>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3、沟通协调能力差，不够积极主动，得 3 分</w:t>
            </w:r>
          </w:p>
        </w:tc>
        <w:tc>
          <w:tcPr>
            <w:tcW w:w="735"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10</w:t>
            </w:r>
          </w:p>
        </w:tc>
        <w:tc>
          <w:tcPr>
            <w:tcW w:w="665"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p>
        </w:tc>
      </w:tr>
    </w:tbl>
    <w:p>
      <w:pPr>
        <w:widowControl/>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招标人对中标人已完成的每个项目进行考核评价，对评审工程的质量、效率、服务和职业道德等情况进行评分，并将评定结果通知相应中标人。评分结果将作为以此作为对中标人奖惩的依据。 </w:t>
      </w:r>
    </w:p>
    <w:p>
      <w:pPr>
        <w:widowControl/>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（1）评分结果达 80 分或以上的项目，为优秀。 </w:t>
      </w:r>
    </w:p>
    <w:p>
      <w:pPr>
        <w:widowControl/>
        <w:spacing w:line="360" w:lineRule="auto"/>
        <w:ind w:left="420" w:leftChars="200"/>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（2）评分结果在 70 分至 80 分之间的项目（含70 分，不含 80 分），为良好。 </w:t>
      </w:r>
    </w:p>
    <w:p>
      <w:pPr>
        <w:widowControl/>
        <w:spacing w:line="360" w:lineRule="auto"/>
        <w:ind w:left="420" w:leftChars="200"/>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（3）评分结果在 70 分以下的项目，为差。 </w:t>
      </w:r>
    </w:p>
    <w:p>
      <w:pPr>
        <w:widowControl/>
        <w:spacing w:line="360" w:lineRule="auto"/>
        <w:ind w:left="420" w:left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（4）评定结果为优秀和良好等级的项目，服务费按委托协议书的约定收足。</w:t>
      </w:r>
    </w:p>
    <w:p>
      <w:pPr>
        <w:pStyle w:val="2"/>
        <w:rPr>
          <w:rFonts w:hAnsi="宋体"/>
          <w:b/>
          <w:bCs/>
          <w:color w:val="000000" w:themeColor="text1"/>
          <w:spacing w:val="120"/>
          <w:sz w:val="24"/>
          <w14:textFill>
            <w14:solidFill>
              <w14:schemeClr w14:val="tx1"/>
            </w14:solidFill>
          </w14:textFill>
        </w:rPr>
      </w:pPr>
    </w:p>
    <w:p>
      <w:pPr>
        <w:pStyle w:val="2"/>
        <w:rPr>
          <w:rFonts w:hAnsi="宋体"/>
          <w:b/>
          <w:bCs/>
          <w:color w:val="000000" w:themeColor="text1"/>
          <w:spacing w:val="120"/>
          <w:sz w:val="24"/>
          <w14:textFill>
            <w14:solidFill>
              <w14:schemeClr w14:val="tx1"/>
            </w14:solidFill>
          </w14:textFill>
        </w:rPr>
      </w:pPr>
    </w:p>
    <w:p>
      <w:pPr>
        <w:pStyle w:val="2"/>
        <w:rPr>
          <w:rFonts w:hAnsi="宋体"/>
          <w:b/>
          <w:bCs/>
          <w:color w:val="000000" w:themeColor="text1"/>
          <w:spacing w:val="120"/>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numPr>
          <w:ilvl w:val="0"/>
          <w:numId w:val="0"/>
        </w:numPr>
        <w:spacing w:beforeLines="0" w:line="240" w:lineRule="auto"/>
        <w:rPr>
          <w:color w:val="000000" w:themeColor="text1"/>
          <w14:textFill>
            <w14:solidFill>
              <w14:schemeClr w14:val="tx1"/>
            </w14:solidFill>
          </w14:textFill>
        </w:rPr>
      </w:pPr>
      <w:bookmarkStart w:id="124" w:name="_Toc24033"/>
      <w:bookmarkStart w:id="125" w:name="_Toc20431"/>
      <w:r>
        <w:rPr>
          <w:rFonts w:hint="eastAsia"/>
          <w:color w:val="000000" w:themeColor="text1"/>
          <w14:textFill>
            <w14:solidFill>
              <w14:schemeClr w14:val="tx1"/>
            </w14:solidFill>
          </w14:textFill>
        </w:rPr>
        <w:t>第三部分 投标人须知</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24"/>
      <w:bookmarkEnd w:id="125"/>
    </w:p>
    <w:p>
      <w:pPr>
        <w:pStyle w:val="4"/>
        <w:numPr>
          <w:ilvl w:val="0"/>
          <w:numId w:val="0"/>
        </w:numPr>
        <w:rPr>
          <w:color w:val="000000" w:themeColor="text1"/>
          <w:szCs w:val="21"/>
          <w14:textFill>
            <w14:solidFill>
              <w14:schemeClr w14:val="tx1"/>
            </w14:solidFill>
          </w14:textFill>
        </w:rPr>
      </w:pPr>
      <w:bookmarkStart w:id="126" w:name="_Toc434832495"/>
      <w:bookmarkStart w:id="127" w:name="_Toc2671"/>
      <w:bookmarkStart w:id="128" w:name="_Toc456648358"/>
      <w:bookmarkStart w:id="129" w:name="_Toc456272919"/>
      <w:bookmarkStart w:id="130" w:name="_Toc20727"/>
      <w:r>
        <w:rPr>
          <w:rFonts w:hint="eastAsia"/>
          <w:color w:val="000000" w:themeColor="text1"/>
          <w:szCs w:val="21"/>
          <w14:textFill>
            <w14:solidFill>
              <w14:schemeClr w14:val="tx1"/>
            </w14:solidFill>
          </w14:textFill>
        </w:rPr>
        <w:t>投标人须知前附表</w:t>
      </w:r>
      <w:bookmarkEnd w:id="126"/>
      <w:bookmarkEnd w:id="127"/>
      <w:bookmarkEnd w:id="128"/>
      <w:bookmarkEnd w:id="129"/>
      <w:bookmarkEnd w:id="130"/>
    </w:p>
    <w:tbl>
      <w:tblPr>
        <w:tblStyle w:val="48"/>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560"/>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  目</w:t>
            </w:r>
          </w:p>
        </w:tc>
        <w:tc>
          <w:tcPr>
            <w:tcW w:w="6904"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1</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Cs w:val="21"/>
                <w:lang w:val="en-GB"/>
                <w14:textFill>
                  <w14:solidFill>
                    <w14:schemeClr w14:val="tx1"/>
                  </w14:solidFill>
                </w14:textFill>
              </w:rPr>
            </w:pPr>
            <w:r>
              <w:rPr>
                <w:rFonts w:hint="eastAsia"/>
                <w:color w:val="000000" w:themeColor="text1"/>
                <w14:textFill>
                  <w14:solidFill>
                    <w14:schemeClr w14:val="tx1"/>
                  </w14:solidFill>
                </w14:textFill>
              </w:rPr>
              <w:t>评标委员会</w:t>
            </w:r>
          </w:p>
        </w:tc>
        <w:tc>
          <w:tcPr>
            <w:tcW w:w="69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bCs/>
                <w:color w:val="000000" w:themeColor="text1"/>
                <w14:textFill>
                  <w14:solidFill>
                    <w14:schemeClr w14:val="tx1"/>
                  </w14:solidFill>
                </w14:textFill>
              </w:rPr>
              <w:t>评标委员会根据政府采购相关法律法规组成，评审专家根据相关法律法规及法律程序，依据本次采购活动的特点和需要在政府指定的专家库中随机抽取产生,</w:t>
            </w:r>
            <w:r>
              <w:rPr>
                <w:rFonts w:hint="eastAsia" w:ascii="宋体"/>
                <w:b/>
                <w:bCs/>
                <w:color w:val="000000" w:themeColor="text1"/>
                <w14:textFill>
                  <w14:solidFill>
                    <w14:schemeClr w14:val="tx1"/>
                  </w14:solidFill>
                </w14:textFill>
              </w:rPr>
              <w:t>专家数量共</w:t>
            </w:r>
            <w:r>
              <w:rPr>
                <w:rFonts w:hint="eastAsia" w:ascii="宋体"/>
                <w:b/>
                <w:bCs/>
                <w:color w:val="000000" w:themeColor="text1"/>
                <w:u w:val="single"/>
                <w14:textFill>
                  <w14:solidFill>
                    <w14:schemeClr w14:val="tx1"/>
                  </w14:solidFill>
                </w14:textFill>
              </w:rPr>
              <w:t xml:space="preserve"> 5</w:t>
            </w:r>
            <w:r>
              <w:rPr>
                <w:rFonts w:ascii="宋体"/>
                <w:b/>
                <w:bCs/>
                <w:color w:val="000000" w:themeColor="text1"/>
                <w:u w:val="single"/>
                <w14:textFill>
                  <w14:solidFill>
                    <w14:schemeClr w14:val="tx1"/>
                  </w14:solidFill>
                </w14:textFill>
              </w:rPr>
              <w:t xml:space="preserve"> </w:t>
            </w:r>
            <w:r>
              <w:rPr>
                <w:rFonts w:hint="eastAsia" w:ascii="宋体"/>
                <w:b/>
                <w:bCs/>
                <w:color w:val="000000" w:themeColor="text1"/>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投标资料数量和封装要求</w:t>
            </w:r>
          </w:p>
        </w:tc>
        <w:tc>
          <w:tcPr>
            <w:tcW w:w="1587" w:type="dxa"/>
            <w:vMerge w:val="restart"/>
            <w:tcBorders>
              <w:top w:val="single" w:color="auto" w:sz="4" w:space="0"/>
              <w:left w:val="single" w:color="auto" w:sz="4" w:space="0"/>
              <w:right w:val="single" w:color="auto" w:sz="4" w:space="0"/>
            </w:tcBorders>
            <w:vAlign w:val="center"/>
          </w:tcPr>
          <w:p>
            <w:pPr>
              <w:tabs>
                <w:tab w:val="left" w:pos="528"/>
                <w:tab w:val="left" w:pos="783"/>
              </w:tabs>
              <w:spacing w:line="400" w:lineRule="exact"/>
              <w:rPr>
                <w:color w:val="000000" w:themeColor="text1"/>
                <w14:textFill>
                  <w14:solidFill>
                    <w14:schemeClr w14:val="tx1"/>
                  </w14:solidFill>
                </w14:textFill>
              </w:rPr>
            </w:pPr>
            <w:r>
              <w:rPr>
                <w:rFonts w:hint="eastAsia" w:ascii="宋体" w:hAnsi="宋体"/>
                <w:b/>
                <w:bCs/>
                <w:color w:val="000000" w:themeColor="text1"/>
                <w:szCs w:val="21"/>
                <w14:textFill>
                  <w14:solidFill>
                    <w14:schemeClr w14:val="tx1"/>
                  </w14:solidFill>
                </w14:textFill>
              </w:rPr>
              <w:t>共提供4份投标资料，分别封装：</w:t>
            </w:r>
            <w:r>
              <w:rPr>
                <w:rFonts w:hint="eastAsia" w:ascii="宋体" w:hAnsi="宋体"/>
                <w:b/>
                <w:bCs/>
                <w:color w:val="000000" w:themeColor="text1"/>
                <w:szCs w:val="21"/>
                <w14:textFill>
                  <w14:solidFill>
                    <w14:schemeClr w14:val="tx1"/>
                  </w14:solidFill>
                </w14:textFill>
              </w:rPr>
              <w:br w:type="textWrapping"/>
            </w:r>
          </w:p>
          <w:p>
            <w:pPr>
              <w:tabs>
                <w:tab w:val="left" w:pos="528"/>
                <w:tab w:val="left" w:pos="783"/>
              </w:tabs>
              <w:spacing w:line="400" w:lineRule="exact"/>
              <w:jc w:val="center"/>
              <w:rPr>
                <w:rFonts w:ascii="宋体" w:hAnsi="宋体"/>
                <w:b/>
                <w:color w:val="000000" w:themeColor="text1"/>
                <w:szCs w:val="21"/>
                <w:shd w:val="pct10" w:color="auto" w:fill="FFFFFF"/>
                <w14:textFill>
                  <w14:solidFill>
                    <w14:schemeClr w14:val="tx1"/>
                  </w14:solidFill>
                </w14:textFill>
              </w:rPr>
            </w:pPr>
          </w:p>
        </w:tc>
        <w:tc>
          <w:tcPr>
            <w:tcW w:w="5317" w:type="dxa"/>
            <w:gridSpan w:val="2"/>
            <w:tcBorders>
              <w:top w:val="single" w:color="auto" w:sz="4" w:space="0"/>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1、资格审查文件。</w:t>
            </w:r>
            <w:r>
              <w:rPr>
                <w:rFonts w:hint="eastAsia"/>
                <w:color w:val="000000" w:themeColor="text1"/>
                <w14:textFill>
                  <w14:solidFill>
                    <w14:schemeClr w14:val="tx1"/>
                  </w14:solidFill>
                </w14:textFill>
              </w:rPr>
              <w:t>（内含</w:t>
            </w:r>
            <w:r>
              <w:rPr>
                <w:rFonts w:hint="eastAsia"/>
                <w:color w:val="000000" w:themeColor="text1"/>
                <w:u w:val="single"/>
                <w14:textFill>
                  <w14:solidFill>
                    <w14:schemeClr w14:val="tx1"/>
                  </w14:solidFill>
                </w14:textFill>
              </w:rPr>
              <w:t xml:space="preserve"> 1 </w:t>
            </w:r>
            <w:r>
              <w:rPr>
                <w:rFonts w:hint="eastAsia"/>
                <w:color w:val="000000" w:themeColor="text1"/>
                <w14:textFill>
                  <w14:solidFill>
                    <w14:schemeClr w14:val="tx1"/>
                  </w14:solidFill>
                </w14:textFill>
              </w:rPr>
              <w:t>正</w:t>
            </w:r>
            <w:r>
              <w:rPr>
                <w:rFonts w:hint="eastAsia"/>
                <w:color w:val="000000" w:themeColor="text1"/>
                <w:u w:val="single"/>
                <w14:textFill>
                  <w14:solidFill>
                    <w14:schemeClr w14:val="tx1"/>
                  </w14:solidFill>
                </w14:textFill>
              </w:rPr>
              <w:t xml:space="preserve"> 4 </w:t>
            </w:r>
            <w:r>
              <w:rPr>
                <w:rFonts w:hint="eastAsia"/>
                <w:color w:val="000000" w:themeColor="text1"/>
                <w14:textFill>
                  <w14:solidFill>
                    <w14:schemeClr w14:val="tx1"/>
                  </w14:solidFill>
                </w14:textFill>
              </w:rPr>
              <w:t>副，</w:t>
            </w:r>
            <w:r>
              <w:rPr>
                <w:rFonts w:hint="eastAsia" w:ascii="宋体" w:hAnsi="宋体"/>
                <w:bCs/>
                <w:color w:val="000000" w:themeColor="text1"/>
                <w:szCs w:val="21"/>
                <w14:textFill>
                  <w14:solidFill>
                    <w14:schemeClr w14:val="tx1"/>
                  </w14:solidFill>
                </w14:textFill>
              </w:rPr>
              <w:t>独立装订成册</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continue"/>
            <w:tcBorders>
              <w:left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p>
        </w:tc>
        <w:tc>
          <w:tcPr>
            <w:tcW w:w="5317" w:type="dxa"/>
            <w:gridSpan w:val="2"/>
            <w:tcBorders>
              <w:top w:val="single" w:color="auto" w:sz="4" w:space="0"/>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2、商务及技术文件。</w:t>
            </w:r>
            <w:r>
              <w:rPr>
                <w:rFonts w:hint="eastAsia"/>
                <w:color w:val="000000" w:themeColor="text1"/>
                <w14:textFill>
                  <w14:solidFill>
                    <w14:schemeClr w14:val="tx1"/>
                  </w14:solidFill>
                </w14:textFill>
              </w:rPr>
              <w:t>（内含</w:t>
            </w:r>
            <w:r>
              <w:rPr>
                <w:rFonts w:hint="eastAsia"/>
                <w:color w:val="000000" w:themeColor="text1"/>
                <w:u w:val="single"/>
                <w14:textFill>
                  <w14:solidFill>
                    <w14:schemeClr w14:val="tx1"/>
                  </w14:solidFill>
                </w14:textFill>
              </w:rPr>
              <w:t xml:space="preserve"> 1 </w:t>
            </w:r>
            <w:r>
              <w:rPr>
                <w:rFonts w:hint="eastAsia"/>
                <w:color w:val="000000" w:themeColor="text1"/>
                <w14:textFill>
                  <w14:solidFill>
                    <w14:schemeClr w14:val="tx1"/>
                  </w14:solidFill>
                </w14:textFill>
              </w:rPr>
              <w:t>正</w:t>
            </w:r>
            <w:r>
              <w:rPr>
                <w:rFonts w:hint="eastAsia"/>
                <w:color w:val="000000" w:themeColor="text1"/>
                <w:u w:val="single"/>
                <w14:textFill>
                  <w14:solidFill>
                    <w14:schemeClr w14:val="tx1"/>
                  </w14:solidFill>
                </w14:textFill>
              </w:rPr>
              <w:t xml:space="preserve"> 4 </w:t>
            </w:r>
            <w:r>
              <w:rPr>
                <w:rFonts w:hint="eastAsia"/>
                <w:color w:val="000000" w:themeColor="text1"/>
                <w14:textFill>
                  <w14:solidFill>
                    <w14:schemeClr w14:val="tx1"/>
                  </w14:solidFill>
                </w14:textFill>
              </w:rPr>
              <w:t>副，</w:t>
            </w:r>
            <w:r>
              <w:rPr>
                <w:rFonts w:hint="eastAsia" w:ascii="宋体" w:hAnsi="宋体"/>
                <w:bCs/>
                <w:color w:val="000000" w:themeColor="text1"/>
                <w:szCs w:val="21"/>
                <w14:textFill>
                  <w14:solidFill>
                    <w14:schemeClr w14:val="tx1"/>
                  </w14:solidFill>
                </w14:textFill>
              </w:rPr>
              <w:t>独立装订成册</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p>
        </w:tc>
        <w:tc>
          <w:tcPr>
            <w:tcW w:w="5317" w:type="dxa"/>
            <w:gridSpan w:val="2"/>
            <w:tcBorders>
              <w:top w:val="single" w:color="auto" w:sz="4" w:space="0"/>
              <w:left w:val="single" w:color="auto" w:sz="4" w:space="0"/>
              <w:bottom w:val="single" w:color="auto" w:sz="4" w:space="0"/>
              <w:right w:val="single" w:color="auto" w:sz="4" w:space="0"/>
            </w:tcBorders>
            <w:vAlign w:val="center"/>
          </w:tcPr>
          <w:p>
            <w:pPr>
              <w:numPr>
                <w:ilvl w:val="0"/>
                <w:numId w:val="24"/>
              </w:numPr>
              <w:tabs>
                <w:tab w:val="left" w:pos="528"/>
                <w:tab w:val="left" w:pos="783"/>
              </w:tabs>
              <w:spacing w:line="400" w:lineRule="exact"/>
              <w:jc w:val="lef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开标信封。</w:t>
            </w:r>
            <w:r>
              <w:rPr>
                <w:rFonts w:hint="eastAsia"/>
                <w:color w:val="000000" w:themeColor="text1"/>
                <w14:textFill>
                  <w14:solidFill>
                    <w14:schemeClr w14:val="tx1"/>
                  </w14:solidFill>
                </w14:textFill>
              </w:rPr>
              <w:t>（内含“开标一览表”、“法定代表人（负责人）证明书”和“法定代表人（负责人）授权书”。）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p>
        </w:tc>
        <w:tc>
          <w:tcPr>
            <w:tcW w:w="5317" w:type="dxa"/>
            <w:gridSpan w:val="2"/>
            <w:tcBorders>
              <w:top w:val="single" w:color="auto" w:sz="4" w:space="0"/>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4、</w:t>
            </w:r>
            <w:r>
              <w:rPr>
                <w:rFonts w:hint="eastAsia"/>
                <w:b/>
                <w:bCs/>
                <w:color w:val="000000" w:themeColor="text1"/>
                <w14:textFill>
                  <w14:solidFill>
                    <w14:schemeClr w14:val="tx1"/>
                  </w14:solidFill>
                </w14:textFill>
              </w:rPr>
              <w:t>投标文件电子版。</w:t>
            </w:r>
            <w:r>
              <w:rPr>
                <w:rFonts w:hint="eastAsia"/>
                <w:color w:val="000000" w:themeColor="text1"/>
                <w14:textFill>
                  <w14:solidFill>
                    <w14:schemeClr w14:val="tx1"/>
                  </w14:solidFill>
                </w14:textFill>
              </w:rPr>
              <w:t>（以光盘或U盘提供，内含PDF及可编辑的投标文件电子版1份，</w:t>
            </w:r>
            <w:r>
              <w:rPr>
                <w:rFonts w:hint="eastAsia"/>
                <w:color w:val="000000" w:themeColor="text1"/>
                <w:szCs w:val="21"/>
                <w14:textFill>
                  <w14:solidFill>
                    <w14:schemeClr w14:val="tx1"/>
                  </w14:solidFill>
                </w14:textFill>
              </w:rPr>
              <w:t>在封面上注明“公司名称-</w:t>
            </w:r>
            <w:r>
              <w:rPr>
                <w:rFonts w:hint="eastAsia"/>
                <w:color w:val="000000" w:themeColor="text1"/>
                <w14:textFill>
                  <w14:solidFill>
                    <w14:schemeClr w14:val="tx1"/>
                  </w14:solidFill>
                </w14:textFill>
              </w:rPr>
              <w:t>投标文件电子版</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5" w:type="dxa"/>
            <w:vMerge w:val="continue"/>
            <w:tcBorders>
              <w:left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c>
          <w:tcPr>
            <w:tcW w:w="69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所有投标资料</w:t>
            </w:r>
            <w:r>
              <w:rPr>
                <w:rFonts w:hint="eastAsia" w:ascii="宋体"/>
                <w:bCs/>
                <w:color w:val="000000" w:themeColor="text1"/>
                <w:szCs w:val="21"/>
                <w14:textFill>
                  <w14:solidFill>
                    <w14:schemeClr w14:val="tx1"/>
                  </w14:solidFill>
                </w14:textFill>
              </w:rPr>
              <w:t>分别</w:t>
            </w:r>
            <w:r>
              <w:rPr>
                <w:rFonts w:hint="eastAsia" w:ascii="宋体" w:hAnsi="宋体"/>
                <w:bCs/>
                <w:color w:val="000000" w:themeColor="text1"/>
                <w:szCs w:val="21"/>
                <w14:textFill>
                  <w14:solidFill>
                    <w14:schemeClr w14:val="tx1"/>
                  </w14:solidFill>
                </w14:textFill>
              </w:rPr>
              <w:t>密封在不透明的外层封装中，</w:t>
            </w:r>
            <w:r>
              <w:rPr>
                <w:rFonts w:hint="eastAsia"/>
                <w:color w:val="000000" w:themeColor="text1"/>
                <w:szCs w:val="21"/>
                <w14:textFill>
                  <w14:solidFill>
                    <w14:schemeClr w14:val="tx1"/>
                  </w14:solidFill>
                </w14:textFill>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szCs w:val="21"/>
                <w14:textFill>
                  <w14:solidFill>
                    <w14:schemeClr w14:val="tx1"/>
                  </w14:solidFill>
                </w14:textFill>
              </w:rPr>
            </w:pPr>
          </w:p>
        </w:tc>
        <w:tc>
          <w:tcPr>
            <w:tcW w:w="69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每一密封封装上均注明“于</w:t>
            </w:r>
            <w:r>
              <w:rPr>
                <w:rFonts w:hint="eastAsia" w:ascii="宋体"/>
                <w:bCs/>
                <w:color w:val="000000" w:themeColor="text1"/>
                <w:u w:val="single"/>
                <w14:textFill>
                  <w14:solidFill>
                    <w14:schemeClr w14:val="tx1"/>
                  </w14:solidFill>
                </w14:textFill>
              </w:rPr>
              <w:t xml:space="preserve">     （投标截止时间）   </w:t>
            </w:r>
            <w:r>
              <w:rPr>
                <w:rFonts w:hint="eastAsia" w:ascii="宋体"/>
                <w:bCs/>
                <w:color w:val="000000" w:themeColor="text1"/>
                <w14:textFill>
                  <w14:solidFill>
                    <w14:schemeClr w14:val="tx1"/>
                  </w14:solidFill>
                </w14:textFill>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szCs w:val="21"/>
                <w14:textFill>
                  <w14:solidFill>
                    <w14:schemeClr w14:val="tx1"/>
                  </w14:solidFill>
                </w14:textFill>
              </w:rPr>
            </w:pPr>
          </w:p>
        </w:tc>
        <w:tc>
          <w:tcPr>
            <w:tcW w:w="69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投标人未按上述规定对投标文件进行密封和加写标记，</w:t>
            </w:r>
            <w:r>
              <w:rPr>
                <w:rFonts w:hint="eastAsia" w:ascii="宋体" w:hAnsi="宋体"/>
                <w:color w:val="000000" w:themeColor="text1"/>
                <w14:textFill>
                  <w14:solidFill>
                    <w14:schemeClr w14:val="tx1"/>
                  </w14:solidFill>
                </w14:textFill>
              </w:rPr>
              <w:t>招标代理机构有权予以拒收，并退回给投标人。电报、电话、传真</w:t>
            </w:r>
            <w:r>
              <w:rPr>
                <w:rFonts w:hint="eastAsia" w:ascii="宋体"/>
                <w:bCs/>
                <w:color w:val="000000" w:themeColor="text1"/>
                <w14:textFill>
                  <w14:solidFill>
                    <w14:schemeClr w14:val="tx1"/>
                  </w14:solidFill>
                </w14:textFill>
              </w:rPr>
              <w:t>等非纸质形式</w:t>
            </w:r>
            <w:r>
              <w:rPr>
                <w:rFonts w:hint="eastAsia" w:ascii="宋体" w:hAnsi="宋体"/>
                <w:color w:val="000000" w:themeColor="text1"/>
                <w14:textFill>
                  <w14:solidFill>
                    <w14:schemeClr w14:val="tx1"/>
                  </w14:solidFill>
                </w14:textFill>
              </w:rPr>
              <w:t>的投标概不接受</w:t>
            </w:r>
            <w:r>
              <w:rPr>
                <w:rFonts w:hint="eastAsia" w:ascii="宋体"/>
                <w:bCs/>
                <w:color w:val="000000" w:themeColor="text1"/>
                <w14:textFill>
                  <w14:solidFill>
                    <w14:schemeClr w14:val="tx1"/>
                  </w14:solidFill>
                </w14:textFill>
              </w:rPr>
              <w:t>。</w:t>
            </w:r>
            <w:r>
              <w:rPr>
                <w:b/>
                <w:bCs/>
                <w:color w:val="000000" w:themeColor="text1"/>
                <w:szCs w:val="21"/>
                <w14:textFill>
                  <w14:solidFill>
                    <w14:schemeClr w14:val="tx1"/>
                  </w14:solidFill>
                </w14:textFill>
              </w:rPr>
              <w:t>所有投标文件密封袋的封口处应加盖投标人</w:t>
            </w:r>
            <w:r>
              <w:rPr>
                <w:rFonts w:hint="eastAsia"/>
                <w:b/>
                <w:bCs/>
                <w:color w:val="000000" w:themeColor="text1"/>
                <w:szCs w:val="21"/>
                <w14:textFill>
                  <w14:solidFill>
                    <w14:schemeClr w14:val="tx1"/>
                  </w14:solidFill>
                </w14:textFill>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其他说明</w:t>
            </w:r>
          </w:p>
        </w:tc>
        <w:tc>
          <w:tcPr>
            <w:tcW w:w="6904" w:type="dxa"/>
            <w:gridSpan w:val="3"/>
            <w:tcBorders>
              <w:top w:val="single" w:color="auto" w:sz="4" w:space="0"/>
              <w:left w:val="single" w:color="auto" w:sz="4" w:space="0"/>
              <w:bottom w:val="single" w:color="auto" w:sz="4" w:space="0"/>
              <w:right w:val="single" w:color="auto" w:sz="4" w:space="0"/>
            </w:tcBorders>
            <w:vAlign w:val="center"/>
          </w:tcPr>
          <w:p>
            <w:pPr>
              <w:pStyle w:val="2"/>
              <w:tabs>
                <w:tab w:val="left" w:pos="26"/>
              </w:tabs>
              <w:spacing w:line="400" w:lineRule="exact"/>
              <w:ind w:left="26" w:firstLine="0"/>
              <w:jc w:val="both"/>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1.招标文件中打“★”号条款必须实质性响应，负偏离（不满足要求）将导致投标无效。</w:t>
            </w:r>
          </w:p>
          <w:p>
            <w:pPr>
              <w:pStyle w:val="2"/>
              <w:tabs>
                <w:tab w:val="left" w:pos="26"/>
              </w:tabs>
              <w:spacing w:line="400" w:lineRule="exact"/>
              <w:ind w:left="26" w:firstLine="0"/>
              <w:jc w:val="both"/>
              <w:rPr>
                <w:bCs/>
                <w:color w:val="000000" w:themeColor="text1"/>
                <w14:textFill>
                  <w14:solidFill>
                    <w14:schemeClr w14:val="tx1"/>
                  </w14:solidFill>
                </w14:textFill>
              </w:rPr>
            </w:pPr>
            <w:r>
              <w:rPr>
                <w:rFonts w:hint="eastAsia"/>
                <w:b/>
                <w:color w:val="000000" w:themeColor="text1"/>
                <w:sz w:val="21"/>
                <w:szCs w:val="21"/>
                <w14:textFill>
                  <w14:solidFill>
                    <w14:schemeClr w14:val="tx1"/>
                  </w14:solidFill>
                </w14:textFill>
              </w:rPr>
              <w:t>2.招标文件中带“▲”为实质性参数要求响应,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5"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p>
        </w:tc>
        <w:tc>
          <w:tcPr>
            <w:tcW w:w="1856"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信息公告媒体</w:t>
            </w:r>
          </w:p>
        </w:tc>
        <w:tc>
          <w:tcPr>
            <w:tcW w:w="3147" w:type="dxa"/>
            <w:gridSpan w:val="2"/>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中国采购与招标网</w:t>
            </w:r>
          </w:p>
        </w:tc>
        <w:tc>
          <w:tcPr>
            <w:tcW w:w="37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http://www.chinabidding.com.cn/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75" w:type="dxa"/>
            <w:vMerge w:val="continue"/>
            <w:tcBorders>
              <w:left w:val="single" w:color="auto" w:sz="4" w:space="0"/>
              <w:right w:val="single" w:color="auto" w:sz="4" w:space="0"/>
            </w:tcBorders>
            <w:vAlign w:val="center"/>
          </w:tcPr>
          <w:p>
            <w:pPr>
              <w:widowControl/>
              <w:spacing w:line="400" w:lineRule="exact"/>
              <w:jc w:val="left"/>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widowControl/>
              <w:spacing w:line="400" w:lineRule="exact"/>
              <w:jc w:val="left"/>
              <w:rPr>
                <w:rFonts w:ascii="宋体" w:hAnsi="宋体"/>
                <w:color w:val="000000" w:themeColor="text1"/>
                <w:szCs w:val="21"/>
                <w14:textFill>
                  <w14:solidFill>
                    <w14:schemeClr w14:val="tx1"/>
                  </w14:solidFill>
                </w14:textFill>
              </w:rPr>
            </w:pPr>
          </w:p>
        </w:tc>
        <w:tc>
          <w:tcPr>
            <w:tcW w:w="3147"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广东业信采购招标有限公司网</w:t>
            </w:r>
          </w:p>
        </w:tc>
        <w:tc>
          <w:tcPr>
            <w:tcW w:w="37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fldChar w:fldCharType="begin"/>
            </w:r>
            <w:r>
              <w:instrText xml:space="preserve"> HYPERLINK "http://www.gdgpo.gov.cn" </w:instrText>
            </w:r>
            <w:r>
              <w:fldChar w:fldCharType="separate"/>
            </w:r>
            <w:r>
              <w:rPr>
                <w:rFonts w:ascii="宋体" w:hAnsi="宋体"/>
                <w:color w:val="000000" w:themeColor="text1"/>
                <w:szCs w:val="21"/>
                <w14:textFill>
                  <w14:solidFill>
                    <w14:schemeClr w14:val="tx1"/>
                  </w14:solidFill>
                </w14:textFill>
              </w:rPr>
              <w:t>http://www.gdgpo.</w:t>
            </w:r>
            <w:r>
              <w:rPr>
                <w:rFonts w:hint="eastAsia" w:ascii="宋体" w:hAnsi="宋体"/>
                <w:color w:val="000000" w:themeColor="text1"/>
                <w:szCs w:val="21"/>
                <w14:textFill>
                  <w14:solidFill>
                    <w14:schemeClr w14:val="tx1"/>
                  </w14:solidFill>
                </w14:textFill>
              </w:rPr>
              <w:t>com.</w:t>
            </w:r>
            <w:r>
              <w:rPr>
                <w:rFonts w:ascii="宋体" w:hAnsi="宋体"/>
                <w:color w:val="000000" w:themeColor="text1"/>
                <w:szCs w:val="21"/>
                <w14:textFill>
                  <w14:solidFill>
                    <w14:schemeClr w14:val="tx1"/>
                  </w14:solidFill>
                </w14:textFill>
              </w:rPr>
              <w:t>cn</w:t>
            </w:r>
            <w:r>
              <w:rPr>
                <w:rFonts w:ascii="宋体" w:hAnsi="宋体"/>
                <w:color w:val="000000" w:themeColor="text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5" w:type="dxa"/>
            <w:vMerge w:val="continue"/>
            <w:tcBorders>
              <w:left w:val="single" w:color="auto" w:sz="4" w:space="0"/>
              <w:right w:val="single" w:color="auto" w:sz="4" w:space="0"/>
            </w:tcBorders>
            <w:vAlign w:val="center"/>
          </w:tcPr>
          <w:p>
            <w:pPr>
              <w:widowControl/>
              <w:spacing w:line="400" w:lineRule="exact"/>
              <w:jc w:val="left"/>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widowControl/>
              <w:spacing w:line="400" w:lineRule="exact"/>
              <w:jc w:val="left"/>
              <w:rPr>
                <w:rFonts w:ascii="宋体" w:hAnsi="宋体"/>
                <w:color w:val="000000" w:themeColor="text1"/>
                <w:szCs w:val="21"/>
                <w14:textFill>
                  <w14:solidFill>
                    <w14:schemeClr w14:val="tx1"/>
                  </w14:solidFill>
                </w14:textFill>
              </w:rPr>
            </w:pPr>
          </w:p>
        </w:tc>
        <w:tc>
          <w:tcPr>
            <w:tcW w:w="3147" w:type="dxa"/>
            <w:gridSpan w:val="2"/>
            <w:vMerge w:val="continue"/>
            <w:tcBorders>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37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http://www.yjcg.cc</w:t>
            </w:r>
          </w:p>
        </w:tc>
      </w:tr>
    </w:tbl>
    <w:p>
      <w:pPr>
        <w:pStyle w:val="2"/>
        <w:ind w:firstLine="0"/>
        <w:rPr>
          <w:color w:val="000000" w:themeColor="text1"/>
          <w:szCs w:val="21"/>
          <w14:textFill>
            <w14:solidFill>
              <w14:schemeClr w14:val="tx1"/>
            </w14:solidFill>
          </w14:textFill>
        </w:rPr>
      </w:pPr>
    </w:p>
    <w:p>
      <w:pPr>
        <w:pStyle w:val="2"/>
        <w:ind w:firstLine="0"/>
        <w:rPr>
          <w:color w:val="000000" w:themeColor="text1"/>
          <w:szCs w:val="21"/>
          <w14:textFill>
            <w14:solidFill>
              <w14:schemeClr w14:val="tx1"/>
            </w14:solidFill>
          </w14:textFill>
        </w:rPr>
      </w:pPr>
      <w:bookmarkStart w:id="2011" w:name="_GoBack"/>
      <w:bookmarkEnd w:id="2011"/>
    </w:p>
    <w:p>
      <w:pPr>
        <w:pStyle w:val="4"/>
        <w:numPr>
          <w:ilvl w:val="0"/>
          <w:numId w:val="0"/>
        </w:numPr>
        <w:rPr>
          <w:color w:val="000000" w:themeColor="text1"/>
          <w:sz w:val="24"/>
          <w14:textFill>
            <w14:solidFill>
              <w14:schemeClr w14:val="tx1"/>
            </w14:solidFill>
          </w14:textFill>
        </w:rPr>
      </w:pPr>
      <w:bookmarkStart w:id="131" w:name="_Hlt21938668"/>
      <w:bookmarkEnd w:id="131"/>
      <w:bookmarkStart w:id="132" w:name="_Hlt21938665"/>
      <w:bookmarkEnd w:id="132"/>
      <w:bookmarkStart w:id="133" w:name="_Toc365967041"/>
      <w:bookmarkStart w:id="134" w:name="_Toc336681548"/>
      <w:bookmarkStart w:id="135" w:name="_Toc333237645"/>
      <w:bookmarkStart w:id="136" w:name="_Toc333935655"/>
      <w:bookmarkStart w:id="137" w:name="_Toc349143557"/>
      <w:bookmarkStart w:id="138" w:name="_Toc333237756"/>
      <w:bookmarkStart w:id="139" w:name="_Toc340677038"/>
      <w:bookmarkStart w:id="140" w:name="_Toc497224194"/>
      <w:bookmarkStart w:id="141" w:name="_Toc7290"/>
      <w:bookmarkStart w:id="142" w:name="_Toc340507410"/>
      <w:bookmarkStart w:id="143" w:name="_Toc366072496"/>
      <w:bookmarkStart w:id="144" w:name="_Toc340672837"/>
      <w:bookmarkStart w:id="145" w:name="_Toc336681903"/>
      <w:bookmarkStart w:id="146" w:name="_Toc365985147"/>
      <w:bookmarkStart w:id="147" w:name="_Toc339362268"/>
      <w:bookmarkStart w:id="148" w:name="_Toc331512866"/>
      <w:bookmarkStart w:id="149" w:name="_Toc332206676"/>
      <w:bookmarkStart w:id="150" w:name="_Toc339441055"/>
      <w:bookmarkStart w:id="151" w:name="_Toc345513835"/>
      <w:bookmarkStart w:id="152" w:name="_Toc342296728"/>
      <w:bookmarkStart w:id="153" w:name="_Toc503785396"/>
      <w:bookmarkStart w:id="154" w:name="_Toc331684006"/>
      <w:bookmarkStart w:id="155" w:name="_Toc350756418"/>
      <w:bookmarkStart w:id="156" w:name="_Toc330459953"/>
      <w:bookmarkStart w:id="157" w:name="_Toc349127594"/>
      <w:bookmarkStart w:id="158" w:name="_Toc339019983"/>
      <w:bookmarkStart w:id="159" w:name="_Toc339020063"/>
      <w:bookmarkStart w:id="160" w:name="_Toc333238601"/>
      <w:bookmarkStart w:id="161" w:name="_Toc332270314"/>
      <w:bookmarkStart w:id="162" w:name="_Toc28691"/>
      <w:bookmarkStart w:id="163" w:name="_Toc339020201"/>
      <w:bookmarkStart w:id="164" w:name="_Toc339019857"/>
      <w:bookmarkStart w:id="165" w:name="_Toc341348306"/>
      <w:bookmarkStart w:id="166" w:name="_Toc333935314"/>
      <w:bookmarkStart w:id="167" w:name="_Toc337632326"/>
      <w:bookmarkStart w:id="168" w:name="_Toc350438717"/>
      <w:bookmarkStart w:id="169" w:name="_Toc342060342"/>
      <w:r>
        <w:rPr>
          <w:rFonts w:hint="eastAsia"/>
          <w:color w:val="000000" w:themeColor="text1"/>
          <w:sz w:val="24"/>
          <w14:textFill>
            <w14:solidFill>
              <w14:schemeClr w14:val="tx1"/>
            </w14:solidFill>
          </w14:textFill>
        </w:rPr>
        <w:t>Ａ说明</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70" w:name="_Toc497224195"/>
      <w:bookmarkStart w:id="171" w:name="_Toc503785397"/>
      <w:bookmarkStart w:id="172" w:name="_Toc339362269"/>
      <w:bookmarkStart w:id="173" w:name="_Toc333237646"/>
      <w:bookmarkStart w:id="174" w:name="_Toc333237757"/>
      <w:bookmarkStart w:id="175" w:name="_Toc350438718"/>
      <w:bookmarkStart w:id="176" w:name="_Toc337632327"/>
      <w:bookmarkStart w:id="177" w:name="_Toc365985148"/>
      <w:bookmarkStart w:id="178" w:name="_Toc339019984"/>
      <w:bookmarkStart w:id="179" w:name="_Toc336681549"/>
      <w:bookmarkStart w:id="180" w:name="_Toc339020202"/>
      <w:bookmarkStart w:id="181" w:name="_Toc330459954"/>
      <w:bookmarkStart w:id="182" w:name="_Toc333935315"/>
      <w:bookmarkStart w:id="183" w:name="_Toc349127595"/>
      <w:bookmarkStart w:id="184" w:name="_Toc345513836"/>
      <w:bookmarkStart w:id="185" w:name="_Toc339020064"/>
      <w:bookmarkStart w:id="186" w:name="_Toc333238602"/>
      <w:bookmarkStart w:id="187" w:name="_Toc13614"/>
      <w:bookmarkStart w:id="188" w:name="_Toc341348307"/>
      <w:bookmarkStart w:id="189" w:name="_Toc331512867"/>
      <w:bookmarkStart w:id="190" w:name="_Toc336681904"/>
      <w:bookmarkStart w:id="191" w:name="_Toc342296729"/>
      <w:bookmarkStart w:id="192" w:name="_Toc349143558"/>
      <w:bookmarkStart w:id="193" w:name="_Toc366072497"/>
      <w:bookmarkStart w:id="194" w:name="_Toc350756419"/>
      <w:bookmarkStart w:id="195" w:name="_Toc342060343"/>
      <w:bookmarkStart w:id="196" w:name="_Toc333935656"/>
      <w:bookmarkStart w:id="197" w:name="_Toc340672838"/>
      <w:bookmarkStart w:id="198" w:name="_Toc340677039"/>
      <w:bookmarkStart w:id="199" w:name="_Toc332270315"/>
      <w:bookmarkStart w:id="200" w:name="_Toc332206677"/>
      <w:bookmarkStart w:id="201" w:name="_Toc365967042"/>
      <w:bookmarkStart w:id="202" w:name="_Toc339441056"/>
      <w:bookmarkStart w:id="203" w:name="_Toc331684007"/>
      <w:bookmarkStart w:id="204" w:name="_Toc340507411"/>
      <w:bookmarkStart w:id="205" w:name="_Toc339019858"/>
      <w:bookmarkStart w:id="206" w:name="_Toc28975"/>
      <w:r>
        <w:rPr>
          <w:rFonts w:hint="eastAsia"/>
          <w:color w:val="000000" w:themeColor="text1"/>
          <w14:textFill>
            <w14:solidFill>
              <w14:schemeClr w14:val="tx1"/>
            </w14:solidFill>
          </w14:textFill>
        </w:rPr>
        <w:t>适用范围</w:t>
      </w:r>
      <w:bookmarkEnd w:id="170"/>
      <w:bookmarkEnd w:id="171"/>
      <w:r>
        <w:rPr>
          <w:rFonts w:hint="eastAsia"/>
          <w:color w:val="000000" w:themeColor="text1"/>
          <w14:textFill>
            <w14:solidFill>
              <w14:schemeClr w14:val="tx1"/>
            </w14:solidFill>
          </w14:textFill>
        </w:rPr>
        <w:t>和资金来源</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14:textFill>
            <w14:solidFill>
              <w14:schemeClr w14:val="tx1"/>
            </w14:solidFill>
          </w14:textFill>
        </w:rPr>
      </w:pPr>
      <w:bookmarkStart w:id="207" w:name="_Toc332270316"/>
      <w:bookmarkStart w:id="208" w:name="_Toc350438719"/>
      <w:bookmarkStart w:id="209" w:name="_Toc342060344"/>
      <w:bookmarkStart w:id="210" w:name="_Toc365967043"/>
      <w:bookmarkStart w:id="211" w:name="_Toc349143559"/>
      <w:bookmarkStart w:id="212" w:name="_Toc331684008"/>
      <w:bookmarkStart w:id="213" w:name="_Toc333237647"/>
      <w:bookmarkStart w:id="214" w:name="_Toc339019985"/>
      <w:bookmarkStart w:id="215" w:name="_Toc339441057"/>
      <w:bookmarkStart w:id="216" w:name="_Toc339362270"/>
      <w:bookmarkStart w:id="217" w:name="_Toc333238603"/>
      <w:bookmarkStart w:id="218" w:name="_Toc350756420"/>
      <w:bookmarkStart w:id="219" w:name="_Toc345513837"/>
      <w:bookmarkStart w:id="220" w:name="_Toc340507412"/>
      <w:bookmarkStart w:id="221" w:name="_Toc331512868"/>
      <w:bookmarkStart w:id="222" w:name="_Toc333935316"/>
      <w:bookmarkStart w:id="223" w:name="_Toc340677040"/>
      <w:bookmarkStart w:id="224" w:name="_Toc333935657"/>
      <w:bookmarkStart w:id="225" w:name="_Toc336681905"/>
      <w:bookmarkStart w:id="226" w:name="_Toc342296730"/>
      <w:bookmarkStart w:id="227" w:name="_Toc330459955"/>
      <w:bookmarkStart w:id="228" w:name="_Toc366072498"/>
      <w:bookmarkStart w:id="229" w:name="_Toc336681550"/>
      <w:bookmarkStart w:id="230" w:name="_Toc333237758"/>
      <w:bookmarkStart w:id="231" w:name="_Toc341348308"/>
      <w:bookmarkStart w:id="232" w:name="_Toc340672839"/>
      <w:bookmarkStart w:id="233" w:name="_Toc339019859"/>
      <w:bookmarkStart w:id="234" w:name="_Toc332206678"/>
      <w:bookmarkStart w:id="235" w:name="_Toc339020065"/>
      <w:bookmarkStart w:id="236" w:name="_Toc349127596"/>
      <w:bookmarkStart w:id="237" w:name="_Toc497224196"/>
      <w:bookmarkStart w:id="238" w:name="_Toc503785398"/>
      <w:bookmarkStart w:id="239" w:name="_Toc339020203"/>
      <w:bookmarkStart w:id="240" w:name="_Toc337632328"/>
      <w:bookmarkStart w:id="241" w:name="_Toc374454571"/>
      <w:bookmarkStart w:id="242" w:name="_Toc365985149"/>
      <w:r>
        <w:rPr>
          <w:rFonts w:hint="eastAsia"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2    本项目的招标人已分别获得一笔资金用于支付本次招标项下的所有合同款项。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3    本招标文件由招标代理机构负责解释。</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243" w:name="_Toc8390"/>
      <w:bookmarkStart w:id="244" w:name="_Toc7156"/>
      <w:r>
        <w:rPr>
          <w:rFonts w:hint="eastAsia"/>
          <w:color w:val="000000" w:themeColor="text1"/>
          <w14:textFill>
            <w14:solidFill>
              <w14:schemeClr w14:val="tx1"/>
            </w14:solidFill>
          </w14:textFill>
        </w:rPr>
        <w:t>定义</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“招标代理机构”系指组织本次招标的广东业信采购招标有限公司。</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“投标人”系指</w:t>
      </w:r>
      <w:r>
        <w:rPr>
          <w:rFonts w:hint="eastAsia" w:ascii="宋体" w:hAnsi="宋体"/>
          <w:bCs/>
          <w:color w:val="000000" w:themeColor="text1"/>
          <w14:textFill>
            <w14:solidFill>
              <w14:schemeClr w14:val="tx1"/>
            </w14:solidFill>
          </w14:textFill>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“招标人”系指阳江农村商业银行股份有限公司，即项目采购用户方。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2.4</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货物</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系指投标人根据招标文件规定，须向招标人提供的设备、材料、备品备件、工具、使用手册、软件及有关技术资料等。</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“日”系指日历天。</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“工作日”系指国家规定除法定节假日以外的以日</w:t>
      </w:r>
      <w:r>
        <w:rPr>
          <w:rFonts w:ascii="宋体" w:hAnsi="宋体"/>
          <w:bCs/>
          <w:color w:val="000000" w:themeColor="text1"/>
          <w14:textFill>
            <w14:solidFill>
              <w14:schemeClr w14:val="tx1"/>
            </w14:solidFill>
          </w14:textFill>
        </w:rPr>
        <w:t>为计算单位的工作时间</w:t>
      </w:r>
      <w:r>
        <w:rPr>
          <w:rFonts w:hint="eastAsia" w:ascii="宋体" w:hAnsi="宋体"/>
          <w:bCs/>
          <w:color w:val="000000" w:themeColor="text1"/>
          <w14:textFill>
            <w14:solidFill>
              <w14:schemeClr w14:val="tx1"/>
            </w14:solidFill>
          </w14:textFill>
        </w:rPr>
        <w:t>。</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245" w:name="_Toc503785399"/>
      <w:bookmarkStart w:id="246" w:name="_Toc497224197"/>
      <w:bookmarkStart w:id="247" w:name="_Toc374454572"/>
      <w:bookmarkStart w:id="248" w:name="_Toc349143560"/>
      <w:bookmarkStart w:id="249" w:name="_Toc333238604"/>
      <w:bookmarkStart w:id="250" w:name="_Toc365967044"/>
      <w:bookmarkStart w:id="251" w:name="_Toc366072499"/>
      <w:bookmarkStart w:id="252" w:name="_Toc336681906"/>
      <w:bookmarkStart w:id="253" w:name="_Toc350756421"/>
      <w:bookmarkStart w:id="254" w:name="_Toc339020204"/>
      <w:bookmarkStart w:id="255" w:name="_Toc339019860"/>
      <w:bookmarkStart w:id="256" w:name="_Toc350438720"/>
      <w:bookmarkStart w:id="257" w:name="_Toc336681551"/>
      <w:bookmarkStart w:id="258" w:name="_Toc15565"/>
      <w:bookmarkStart w:id="259" w:name="_Toc332270317"/>
      <w:bookmarkStart w:id="260" w:name="_Toc339362271"/>
      <w:bookmarkStart w:id="261" w:name="_Toc330459956"/>
      <w:bookmarkStart w:id="262" w:name="_Toc333237648"/>
      <w:bookmarkStart w:id="263" w:name="_Toc331684009"/>
      <w:bookmarkStart w:id="264" w:name="_Toc340672840"/>
      <w:bookmarkStart w:id="265" w:name="_Toc340507413"/>
      <w:bookmarkStart w:id="266" w:name="_Toc20111"/>
      <w:bookmarkStart w:id="267" w:name="_Toc339020066"/>
      <w:bookmarkStart w:id="268" w:name="_Toc337632329"/>
      <w:bookmarkStart w:id="269" w:name="_Toc342060345"/>
      <w:bookmarkStart w:id="270" w:name="_Toc365985150"/>
      <w:bookmarkStart w:id="271" w:name="_Toc339019986"/>
      <w:bookmarkStart w:id="272" w:name="_Toc341348309"/>
      <w:bookmarkStart w:id="273" w:name="_Toc331512869"/>
      <w:bookmarkStart w:id="274" w:name="_Toc340677041"/>
      <w:bookmarkStart w:id="275" w:name="_Toc333935658"/>
      <w:bookmarkStart w:id="276" w:name="_Toc342296731"/>
      <w:bookmarkStart w:id="277" w:name="_Toc345513838"/>
      <w:bookmarkStart w:id="278" w:name="_Toc349127597"/>
      <w:bookmarkStart w:id="279" w:name="_Toc333237759"/>
      <w:bookmarkStart w:id="280" w:name="_Toc333935317"/>
      <w:bookmarkStart w:id="281" w:name="_Toc332206679"/>
      <w:bookmarkStart w:id="282" w:name="_Toc339441058"/>
      <w:r>
        <w:rPr>
          <w:rFonts w:hint="eastAsia"/>
          <w:color w:val="000000" w:themeColor="text1"/>
          <w14:textFill>
            <w14:solidFill>
              <w14:schemeClr w14:val="tx1"/>
            </w14:solidFill>
          </w14:textFill>
        </w:rPr>
        <w:t>合格的</w:t>
      </w:r>
      <w:bookmarkEnd w:id="245"/>
      <w:bookmarkEnd w:id="246"/>
      <w:r>
        <w:rPr>
          <w:rFonts w:hint="eastAsia"/>
          <w:color w:val="000000" w:themeColor="text1"/>
          <w14:textFill>
            <w14:solidFill>
              <w14:schemeClr w14:val="tx1"/>
            </w14:solidFill>
          </w14:textFill>
        </w:rPr>
        <w:t>投标人</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widowControl/>
        <w:tabs>
          <w:tab w:val="left" w:pos="502"/>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3.1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国内有能力提供采购项目相关的工程、货物和服务且符合本项目合格投标人资格条件的投标人</w:t>
      </w:r>
      <w:r>
        <w:rPr>
          <w:rFonts w:hint="eastAsia" w:ascii="宋体"/>
          <w:bCs/>
          <w:color w:val="000000" w:themeColor="text1"/>
          <w14:textFill>
            <w14:solidFill>
              <w14:schemeClr w14:val="tx1"/>
            </w14:solidFill>
          </w14:textFill>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3.2</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3.3    </w:t>
      </w:r>
      <w:r>
        <w:rPr>
          <w:rFonts w:ascii="宋体" w:hAnsi="宋体"/>
          <w:bCs/>
          <w:color w:val="000000" w:themeColor="text1"/>
          <w:szCs w:val="21"/>
          <w14:textFill>
            <w14:solidFill>
              <w14:schemeClr w14:val="tx1"/>
            </w14:solidFill>
          </w14:textFill>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3.4     </w:t>
      </w:r>
      <w:r>
        <w:rPr>
          <w:rFonts w:ascii="宋体" w:hAnsi="宋体"/>
          <w:bCs/>
          <w:color w:val="000000" w:themeColor="text1"/>
          <w:szCs w:val="21"/>
          <w14:textFill>
            <w14:solidFill>
              <w14:schemeClr w14:val="tx1"/>
            </w14:solidFill>
          </w14:textFill>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3.5    </w:t>
      </w:r>
      <w:r>
        <w:rPr>
          <w:rFonts w:ascii="宋体" w:hAnsi="宋体"/>
          <w:bCs/>
          <w:color w:val="000000" w:themeColor="text1"/>
          <w:szCs w:val="21"/>
          <w14:textFill>
            <w14:solidFill>
              <w14:schemeClr w14:val="tx1"/>
            </w14:solidFill>
          </w14:textFill>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3.6    </w:t>
      </w:r>
      <w:r>
        <w:rPr>
          <w:bCs/>
          <w:color w:val="000000" w:themeColor="text1"/>
          <w:szCs w:val="21"/>
          <w14:textFill>
            <w14:solidFill>
              <w14:schemeClr w14:val="tx1"/>
            </w14:solidFill>
          </w14:textFill>
        </w:rPr>
        <w:t>专门面向中小微企业采购的项目，只能由中小企业或微型企业参加。</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283" w:name="_Toc339020067"/>
      <w:bookmarkStart w:id="284" w:name="_Toc330459957"/>
      <w:bookmarkStart w:id="285" w:name="_Toc32376"/>
      <w:bookmarkStart w:id="286" w:name="_Toc340507414"/>
      <w:bookmarkStart w:id="287" w:name="_Toc345513839"/>
      <w:bookmarkStart w:id="288" w:name="_Toc497224198"/>
      <w:bookmarkStart w:id="289" w:name="_Toc339019861"/>
      <w:bookmarkStart w:id="290" w:name="_Toc350438721"/>
      <w:bookmarkStart w:id="291" w:name="_Toc342060346"/>
      <w:bookmarkStart w:id="292" w:name="_Toc339019987"/>
      <w:bookmarkStart w:id="293" w:name="_Toc333935318"/>
      <w:bookmarkStart w:id="294" w:name="_Toc332270318"/>
      <w:bookmarkStart w:id="295" w:name="_Toc339362272"/>
      <w:bookmarkStart w:id="296" w:name="_Toc13427"/>
      <w:bookmarkStart w:id="297" w:name="_Toc365985151"/>
      <w:bookmarkStart w:id="298" w:name="_Toc341348310"/>
      <w:bookmarkStart w:id="299" w:name="_Toc365967045"/>
      <w:bookmarkStart w:id="300" w:name="_Toc331512870"/>
      <w:bookmarkStart w:id="301" w:name="_Toc366072500"/>
      <w:bookmarkStart w:id="302" w:name="_Toc332206680"/>
      <w:bookmarkStart w:id="303" w:name="_Toc340677042"/>
      <w:bookmarkStart w:id="304" w:name="_Toc331684010"/>
      <w:bookmarkStart w:id="305" w:name="_Toc333237760"/>
      <w:bookmarkStart w:id="306" w:name="_Toc333237649"/>
      <w:bookmarkStart w:id="307" w:name="_Toc350756422"/>
      <w:bookmarkStart w:id="308" w:name="_Toc339020205"/>
      <w:bookmarkStart w:id="309" w:name="_Toc340672841"/>
      <w:bookmarkStart w:id="310" w:name="_Toc339441059"/>
      <w:bookmarkStart w:id="311" w:name="_Toc349143561"/>
      <w:bookmarkStart w:id="312" w:name="_Toc349127598"/>
      <w:bookmarkStart w:id="313" w:name="_Toc333238605"/>
      <w:bookmarkStart w:id="314" w:name="_Toc503785400"/>
      <w:bookmarkStart w:id="315" w:name="_Toc337632330"/>
      <w:bookmarkStart w:id="316" w:name="_Toc333935659"/>
      <w:bookmarkStart w:id="317" w:name="_Toc336681907"/>
      <w:bookmarkStart w:id="318" w:name="_Toc342296732"/>
      <w:bookmarkStart w:id="319" w:name="_Toc336681552"/>
      <w:bookmarkStart w:id="320" w:name="_Toc374454573"/>
      <w:r>
        <w:rPr>
          <w:rFonts w:hint="eastAsia"/>
          <w:color w:val="000000" w:themeColor="text1"/>
          <w14:textFill>
            <w14:solidFill>
              <w14:schemeClr w14:val="tx1"/>
            </w14:solidFill>
          </w14:textFill>
        </w:rPr>
        <w:t>投标费用</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4.1</w:t>
      </w:r>
      <w:r>
        <w:rPr>
          <w:rFonts w:hint="eastAsia" w:ascii="宋体"/>
          <w:bCs/>
          <w:color w:val="000000" w:themeColor="text1"/>
          <w14:textFill>
            <w14:solidFill>
              <w14:schemeClr w14:val="tx1"/>
            </w14:solidFill>
          </w14:textFill>
        </w:rPr>
        <w:tab/>
      </w:r>
      <w:r>
        <w:rPr>
          <w:rFonts w:hint="eastAsia" w:hAnsi="宋体"/>
          <w:color w:val="000000" w:themeColor="text1"/>
          <w14:textFill>
            <w14:solidFill>
              <w14:schemeClr w14:val="tx1"/>
            </w14:solidFill>
          </w14:textFill>
        </w:rPr>
        <w:t>投标人应承担所有与准备和参加投标有关的费用。不论投标的结果如何，招标代理机构和招标人均无义务和责任承担这些费用</w:t>
      </w:r>
      <w:r>
        <w:rPr>
          <w:rFonts w:hint="eastAsia" w:ascii="宋体"/>
          <w:bCs/>
          <w:color w:val="000000" w:themeColor="text1"/>
          <w14:textFill>
            <w14:solidFill>
              <w14:schemeClr w14:val="tx1"/>
            </w14:solidFill>
          </w14:textFill>
        </w:rPr>
        <w:t>。</w:t>
      </w:r>
      <w:bookmarkStart w:id="321" w:name="_Toc332270319"/>
      <w:bookmarkStart w:id="322" w:name="_Toc333237650"/>
      <w:bookmarkStart w:id="323" w:name="_Toc339020206"/>
      <w:bookmarkStart w:id="324" w:name="_Toc349143562"/>
      <w:bookmarkStart w:id="325" w:name="_Toc366072501"/>
      <w:bookmarkStart w:id="326" w:name="_Toc340677043"/>
      <w:bookmarkStart w:id="327" w:name="_Toc336681553"/>
      <w:bookmarkStart w:id="328" w:name="_Toc342060347"/>
      <w:bookmarkStart w:id="329" w:name="_Toc342296733"/>
      <w:bookmarkStart w:id="330" w:name="_Toc333237761"/>
      <w:bookmarkStart w:id="331" w:name="_Toc374454574"/>
      <w:bookmarkStart w:id="332" w:name="_Toc333935319"/>
      <w:bookmarkStart w:id="333" w:name="_Toc365967046"/>
      <w:bookmarkStart w:id="334" w:name="_Toc336681908"/>
      <w:bookmarkStart w:id="335" w:name="_Toc331684011"/>
      <w:bookmarkStart w:id="336" w:name="_Toc339020068"/>
      <w:bookmarkStart w:id="337" w:name="_Toc350438722"/>
      <w:bookmarkStart w:id="338" w:name="_Toc333935660"/>
      <w:bookmarkStart w:id="339" w:name="_Toc339441060"/>
      <w:bookmarkStart w:id="340" w:name="_Toc345513840"/>
      <w:bookmarkStart w:id="341" w:name="_Toc349127599"/>
      <w:bookmarkStart w:id="342" w:name="_Toc339362273"/>
      <w:bookmarkStart w:id="343" w:name="_Toc340672842"/>
      <w:bookmarkStart w:id="344" w:name="_Toc365985152"/>
      <w:bookmarkStart w:id="345" w:name="_Toc337632331"/>
      <w:bookmarkStart w:id="346" w:name="_Toc340507415"/>
      <w:bookmarkStart w:id="347" w:name="_Toc330459958"/>
      <w:bookmarkStart w:id="348" w:name="_Toc350756423"/>
      <w:bookmarkStart w:id="349" w:name="_Toc339019988"/>
      <w:bookmarkStart w:id="350" w:name="_Toc341348311"/>
      <w:bookmarkStart w:id="351" w:name="_Toc331512871"/>
      <w:bookmarkStart w:id="352" w:name="_Toc332206681"/>
      <w:bookmarkStart w:id="353" w:name="_Toc333238606"/>
      <w:bookmarkStart w:id="354" w:name="_Toc497224199"/>
      <w:bookmarkStart w:id="355" w:name="_Toc503785401"/>
      <w:bookmarkStart w:id="356" w:name="_Toc339019862"/>
    </w:p>
    <w:p>
      <w:pPr>
        <w:pStyle w:val="4"/>
        <w:numPr>
          <w:ilvl w:val="0"/>
          <w:numId w:val="0"/>
        </w:numPr>
        <w:rPr>
          <w:color w:val="000000" w:themeColor="text1"/>
          <w:sz w:val="24"/>
          <w14:textFill>
            <w14:solidFill>
              <w14:schemeClr w14:val="tx1"/>
            </w14:solidFill>
          </w14:textFill>
        </w:rPr>
      </w:pPr>
      <w:bookmarkStart w:id="357" w:name="_Toc29152"/>
      <w:bookmarkStart w:id="358" w:name="_Toc13858"/>
      <w:r>
        <w:rPr>
          <w:rFonts w:hint="eastAsia"/>
          <w:color w:val="000000" w:themeColor="text1"/>
          <w:sz w:val="24"/>
          <w14:textFill>
            <w14:solidFill>
              <w14:schemeClr w14:val="tx1"/>
            </w14:solidFill>
          </w14:textFill>
        </w:rPr>
        <w:t>Ｂ招标文件说明</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359" w:name="_Toc333237651"/>
      <w:bookmarkStart w:id="360" w:name="_Toc333238607"/>
      <w:bookmarkStart w:id="361" w:name="_Toc339441061"/>
      <w:bookmarkStart w:id="362" w:name="_Toc365967047"/>
      <w:bookmarkStart w:id="363" w:name="_Toc340677044"/>
      <w:bookmarkStart w:id="364" w:name="_Toc333935661"/>
      <w:bookmarkStart w:id="365" w:name="_Toc365985153"/>
      <w:bookmarkStart w:id="366" w:name="_Toc366072502"/>
      <w:bookmarkStart w:id="367" w:name="_Toc340507416"/>
      <w:bookmarkStart w:id="368" w:name="_Toc340672843"/>
      <w:bookmarkStart w:id="369" w:name="_Toc350438723"/>
      <w:bookmarkStart w:id="370" w:name="_Toc336681554"/>
      <w:bookmarkStart w:id="371" w:name="_Toc332206682"/>
      <w:bookmarkStart w:id="372" w:name="_Toc29611"/>
      <w:bookmarkStart w:id="373" w:name="_Toc331684012"/>
      <w:bookmarkStart w:id="374" w:name="_Toc374454575"/>
      <w:bookmarkStart w:id="375" w:name="_Toc339362274"/>
      <w:bookmarkStart w:id="376" w:name="_Toc350756424"/>
      <w:bookmarkStart w:id="377" w:name="_Toc345513841"/>
      <w:bookmarkStart w:id="378" w:name="_Toc339019989"/>
      <w:bookmarkStart w:id="379" w:name="_Toc497224200"/>
      <w:bookmarkStart w:id="380" w:name="_Toc8031"/>
      <w:bookmarkStart w:id="381" w:name="_Toc333935320"/>
      <w:bookmarkStart w:id="382" w:name="_Toc330459959"/>
      <w:bookmarkStart w:id="383" w:name="_Toc349143563"/>
      <w:bookmarkStart w:id="384" w:name="_Toc331512872"/>
      <w:bookmarkStart w:id="385" w:name="_Toc336681909"/>
      <w:bookmarkStart w:id="386" w:name="_Toc341348312"/>
      <w:bookmarkStart w:id="387" w:name="_Toc337632332"/>
      <w:bookmarkStart w:id="388" w:name="_Toc349127600"/>
      <w:bookmarkStart w:id="389" w:name="_Toc342060348"/>
      <w:bookmarkStart w:id="390" w:name="_Toc339020207"/>
      <w:bookmarkStart w:id="391" w:name="_Toc332270320"/>
      <w:bookmarkStart w:id="392" w:name="_Toc342296734"/>
      <w:bookmarkStart w:id="393" w:name="_Toc339020069"/>
      <w:bookmarkStart w:id="394" w:name="_Toc339019863"/>
      <w:bookmarkStart w:id="395" w:name="_Toc503785402"/>
      <w:bookmarkStart w:id="396" w:name="_Toc333237762"/>
      <w:r>
        <w:rPr>
          <w:rFonts w:hint="eastAsia"/>
          <w:color w:val="000000" w:themeColor="text1"/>
          <w14:textFill>
            <w14:solidFill>
              <w14:schemeClr w14:val="tx1"/>
            </w14:solidFill>
          </w14:textFill>
        </w:rPr>
        <w:t>招标文件的构成</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5.1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第四部分  参考合同</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5.2</w:t>
      </w:r>
      <w:r>
        <w:rPr>
          <w:rFonts w:hint="eastAsia" w:ascii="宋体"/>
          <w:bCs/>
          <w:color w:val="000000" w:themeColor="text1"/>
          <w14:textFill>
            <w14:solidFill>
              <w14:schemeClr w14:val="tx1"/>
            </w14:solidFill>
          </w14:textFill>
        </w:rPr>
        <w:t xml:space="preserve"> </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招标文件以中文编印。</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397" w:name="_Toc333935662"/>
      <w:bookmarkStart w:id="398" w:name="_Toc340507417"/>
      <w:bookmarkStart w:id="399" w:name="_Toc503785403"/>
      <w:bookmarkStart w:id="400" w:name="_Toc340677045"/>
      <w:bookmarkStart w:id="401" w:name="_Toc333238608"/>
      <w:bookmarkStart w:id="402" w:name="_Toc332206683"/>
      <w:bookmarkStart w:id="403" w:name="_Toc370388389"/>
      <w:bookmarkStart w:id="404" w:name="_Toc333935321"/>
      <w:bookmarkStart w:id="405" w:name="_Toc330459960"/>
      <w:bookmarkStart w:id="406" w:name="_Toc336681910"/>
      <w:bookmarkStart w:id="407" w:name="_Toc350756425"/>
      <w:bookmarkStart w:id="408" w:name="_Toc350438724"/>
      <w:bookmarkStart w:id="409" w:name="_Toc331512873"/>
      <w:bookmarkStart w:id="410" w:name="_Toc341348313"/>
      <w:bookmarkStart w:id="411" w:name="_Toc339020208"/>
      <w:bookmarkStart w:id="412" w:name="_Toc497224201"/>
      <w:bookmarkStart w:id="413" w:name="_Toc342060349"/>
      <w:bookmarkStart w:id="414" w:name="_Toc349143564"/>
      <w:bookmarkStart w:id="415" w:name="_Toc349127601"/>
      <w:bookmarkStart w:id="416" w:name="_Toc336681555"/>
      <w:bookmarkStart w:id="417" w:name="_Toc365985154"/>
      <w:bookmarkStart w:id="418" w:name="_Toc339362275"/>
      <w:bookmarkStart w:id="419" w:name="_Toc339019864"/>
      <w:bookmarkStart w:id="420" w:name="_Toc365967048"/>
      <w:bookmarkStart w:id="421" w:name="_Toc333237652"/>
      <w:bookmarkStart w:id="422" w:name="_Toc342296735"/>
      <w:bookmarkStart w:id="423" w:name="_Toc339441062"/>
      <w:bookmarkStart w:id="424" w:name="_Toc333237763"/>
      <w:bookmarkStart w:id="425" w:name="_Toc339020070"/>
      <w:bookmarkStart w:id="426" w:name="_Toc345513842"/>
      <w:bookmarkStart w:id="427" w:name="_Toc340672844"/>
      <w:bookmarkStart w:id="428" w:name="_Toc337632333"/>
      <w:bookmarkStart w:id="429" w:name="_Toc339019990"/>
      <w:bookmarkStart w:id="430" w:name="_Toc332270321"/>
      <w:bookmarkStart w:id="431" w:name="_Toc331684013"/>
      <w:bookmarkStart w:id="432" w:name="_Toc16294"/>
      <w:bookmarkStart w:id="433" w:name="_Toc2697"/>
      <w:bookmarkStart w:id="434" w:name="_Toc374454576"/>
      <w:bookmarkStart w:id="435" w:name="_Toc503785405"/>
      <w:bookmarkStart w:id="436" w:name="_Toc497224203"/>
      <w:bookmarkStart w:id="437" w:name="_Toc341348315"/>
      <w:bookmarkStart w:id="438" w:name="_Toc333238610"/>
      <w:bookmarkStart w:id="439" w:name="_Toc340507419"/>
      <w:bookmarkStart w:id="440" w:name="_Toc340677047"/>
      <w:bookmarkStart w:id="441" w:name="_Toc332206685"/>
      <w:bookmarkStart w:id="442" w:name="_Toc350756427"/>
      <w:bookmarkStart w:id="443" w:name="_Toc339441064"/>
      <w:bookmarkStart w:id="444" w:name="_Toc366072505"/>
      <w:bookmarkStart w:id="445" w:name="_Toc336681912"/>
      <w:bookmarkStart w:id="446" w:name="_Toc336681557"/>
      <w:bookmarkStart w:id="447" w:name="_Toc342296737"/>
      <w:bookmarkStart w:id="448" w:name="_Toc330459962"/>
      <w:bookmarkStart w:id="449" w:name="_Toc333237654"/>
      <w:bookmarkStart w:id="450" w:name="_Toc365967050"/>
      <w:bookmarkStart w:id="451" w:name="_Toc333237765"/>
      <w:bookmarkStart w:id="452" w:name="_Toc339019992"/>
      <w:bookmarkStart w:id="453" w:name="_Toc339020210"/>
      <w:bookmarkStart w:id="454" w:name="_Toc349127603"/>
      <w:bookmarkStart w:id="455" w:name="_Toc331684015"/>
      <w:bookmarkStart w:id="456" w:name="_Toc365985156"/>
      <w:bookmarkStart w:id="457" w:name="_Toc333935664"/>
      <w:bookmarkStart w:id="458" w:name="_Toc345513844"/>
      <w:bookmarkStart w:id="459" w:name="_Toc342060351"/>
      <w:bookmarkStart w:id="460" w:name="_Toc350438726"/>
      <w:bookmarkStart w:id="461" w:name="_Toc333935323"/>
      <w:bookmarkStart w:id="462" w:name="_Toc337632335"/>
      <w:bookmarkStart w:id="463" w:name="_Toc331512875"/>
      <w:bookmarkStart w:id="464" w:name="_Toc339019866"/>
      <w:bookmarkStart w:id="465" w:name="_Toc339362277"/>
      <w:bookmarkStart w:id="466" w:name="_Toc340672846"/>
      <w:bookmarkStart w:id="467" w:name="_Toc332270323"/>
      <w:bookmarkStart w:id="468" w:name="_Toc339020072"/>
      <w:bookmarkStart w:id="469" w:name="_Toc349143566"/>
      <w:r>
        <w:rPr>
          <w:rFonts w:hint="eastAsia"/>
          <w:color w:val="000000" w:themeColor="text1"/>
          <w14:textFill>
            <w14:solidFill>
              <w14:schemeClr w14:val="tx1"/>
            </w14:solidFill>
          </w14:textFill>
        </w:rPr>
        <w:t>招标文件的澄清</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Fonts w:hint="eastAsia"/>
          <w:color w:val="000000" w:themeColor="text1"/>
          <w14:textFill>
            <w14:solidFill>
              <w14:schemeClr w14:val="tx1"/>
            </w14:solidFill>
          </w14:textFill>
        </w:rPr>
        <w:t>、修改</w:t>
      </w:r>
      <w:bookmarkEnd w:id="432"/>
      <w:bookmarkEnd w:id="433"/>
      <w:bookmarkEnd w:id="434"/>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澄清或修改时间距投标截止时间不足15日的，招标人或招标代理机构在征得已获取招标文件的投标人同意并书面确认后，可不改变投标截止时间。</w:t>
      </w:r>
    </w:p>
    <w:p>
      <w:pPr>
        <w:pStyle w:val="4"/>
        <w:numPr>
          <w:ilvl w:val="0"/>
          <w:numId w:val="0"/>
        </w:numPr>
        <w:rPr>
          <w:color w:val="000000" w:themeColor="text1"/>
          <w:sz w:val="24"/>
          <w14:textFill>
            <w14:solidFill>
              <w14:schemeClr w14:val="tx1"/>
            </w14:solidFill>
          </w14:textFill>
        </w:rPr>
      </w:pPr>
      <w:bookmarkStart w:id="470" w:name="_Toc374454577"/>
      <w:r>
        <w:rPr>
          <w:color w:val="000000" w:themeColor="text1"/>
          <w:sz w:val="24"/>
          <w14:textFill>
            <w14:solidFill>
              <w14:schemeClr w14:val="tx1"/>
            </w14:solidFill>
          </w14:textFill>
        </w:rPr>
        <w:br w:type="page"/>
      </w:r>
      <w:bookmarkStart w:id="471" w:name="_Toc25801"/>
      <w:bookmarkStart w:id="472" w:name="_Toc20957"/>
      <w:r>
        <w:rPr>
          <w:rFonts w:hint="eastAsia"/>
          <w:color w:val="000000" w:themeColor="text1"/>
          <w:sz w:val="24"/>
          <w14:textFill>
            <w14:solidFill>
              <w14:schemeClr w14:val="tx1"/>
            </w14:solidFill>
          </w14:textFill>
        </w:rPr>
        <w:t>Ｃ投标文件的编</w:t>
      </w:r>
      <w:bookmarkEnd w:id="435"/>
      <w:bookmarkEnd w:id="436"/>
      <w:r>
        <w:rPr>
          <w:rFonts w:hint="eastAsia"/>
          <w:color w:val="000000" w:themeColor="text1"/>
          <w:sz w:val="24"/>
          <w14:textFill>
            <w14:solidFill>
              <w14:schemeClr w14:val="tx1"/>
            </w14:solidFill>
          </w14:textFill>
        </w:rPr>
        <w:t>制</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473" w:name="_Toc340507420"/>
      <w:bookmarkStart w:id="474" w:name="_Toc339020211"/>
      <w:bookmarkStart w:id="475" w:name="_Toc339019867"/>
      <w:bookmarkStart w:id="476" w:name="_Toc374454578"/>
      <w:bookmarkStart w:id="477" w:name="_Toc332206686"/>
      <w:bookmarkStart w:id="478" w:name="_Toc339019993"/>
      <w:bookmarkStart w:id="479" w:name="_Toc337632336"/>
      <w:bookmarkStart w:id="480" w:name="_Toc342296738"/>
      <w:bookmarkStart w:id="481" w:name="_Toc331684016"/>
      <w:bookmarkStart w:id="482" w:name="_Toc350756428"/>
      <w:bookmarkStart w:id="483" w:name="_Toc332270324"/>
      <w:bookmarkStart w:id="484" w:name="_Toc336681558"/>
      <w:bookmarkStart w:id="485" w:name="_Toc333935665"/>
      <w:bookmarkStart w:id="486" w:name="_Toc503785406"/>
      <w:bookmarkStart w:id="487" w:name="_Toc333935324"/>
      <w:bookmarkStart w:id="488" w:name="_Toc349143567"/>
      <w:bookmarkStart w:id="489" w:name="_Toc340672847"/>
      <w:bookmarkStart w:id="490" w:name="_Toc349127604"/>
      <w:bookmarkStart w:id="491" w:name="_Toc345513845"/>
      <w:bookmarkStart w:id="492" w:name="_Toc341348316"/>
      <w:bookmarkStart w:id="493" w:name="_Toc30214"/>
      <w:bookmarkStart w:id="494" w:name="_Toc21932"/>
      <w:bookmarkStart w:id="495" w:name="_Toc342060352"/>
      <w:bookmarkStart w:id="496" w:name="_Toc339362278"/>
      <w:bookmarkStart w:id="497" w:name="_Toc336681913"/>
      <w:bookmarkStart w:id="498" w:name="_Toc497224204"/>
      <w:bookmarkStart w:id="499" w:name="_Toc333238611"/>
      <w:bookmarkStart w:id="500" w:name="_Toc339441065"/>
      <w:bookmarkStart w:id="501" w:name="_Toc350438727"/>
      <w:bookmarkStart w:id="502" w:name="_Toc333237655"/>
      <w:bookmarkStart w:id="503" w:name="_Toc365967051"/>
      <w:bookmarkStart w:id="504" w:name="_Toc366072506"/>
      <w:bookmarkStart w:id="505" w:name="_Toc331512876"/>
      <w:bookmarkStart w:id="506" w:name="_Toc339020073"/>
      <w:bookmarkStart w:id="507" w:name="_Toc330459963"/>
      <w:bookmarkStart w:id="508" w:name="_Toc333237766"/>
      <w:bookmarkStart w:id="509" w:name="_Toc365985157"/>
      <w:bookmarkStart w:id="510" w:name="_Toc340677048"/>
      <w:r>
        <w:rPr>
          <w:rFonts w:hint="eastAsia"/>
          <w:color w:val="000000" w:themeColor="text1"/>
          <w14:textFill>
            <w14:solidFill>
              <w14:schemeClr w14:val="tx1"/>
            </w14:solidFill>
          </w14:textFill>
        </w:rPr>
        <w:t>要求</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7</w:t>
      </w:r>
      <w:r>
        <w:rPr>
          <w:rFonts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511" w:name="_Toc365985158"/>
      <w:bookmarkStart w:id="512" w:name="_Toc340677049"/>
      <w:bookmarkStart w:id="513" w:name="_Toc374454579"/>
      <w:bookmarkStart w:id="514" w:name="_Toc350438728"/>
      <w:bookmarkStart w:id="515" w:name="_Toc349127605"/>
      <w:bookmarkStart w:id="516" w:name="_Toc336681914"/>
      <w:bookmarkStart w:id="517" w:name="_Toc503785407"/>
      <w:bookmarkStart w:id="518" w:name="_Toc350756429"/>
      <w:bookmarkStart w:id="519" w:name="_Toc340507421"/>
      <w:bookmarkStart w:id="520" w:name="_Toc339019994"/>
      <w:bookmarkStart w:id="521" w:name="_Toc336681559"/>
      <w:bookmarkStart w:id="522" w:name="_Toc341348317"/>
      <w:bookmarkStart w:id="523" w:name="_Toc365967052"/>
      <w:bookmarkStart w:id="524" w:name="_Toc339362279"/>
      <w:bookmarkStart w:id="525" w:name="_Toc333935666"/>
      <w:bookmarkStart w:id="526" w:name="_Toc333935325"/>
      <w:bookmarkStart w:id="527" w:name="_Toc342060353"/>
      <w:bookmarkStart w:id="528" w:name="_Toc337632337"/>
      <w:bookmarkStart w:id="529" w:name="_Toc331512877"/>
      <w:bookmarkStart w:id="530" w:name="_Toc331684017"/>
      <w:bookmarkStart w:id="531" w:name="_Toc339441066"/>
      <w:bookmarkStart w:id="532" w:name="_Toc366072507"/>
      <w:bookmarkStart w:id="533" w:name="_Toc337"/>
      <w:bookmarkStart w:id="534" w:name="_Toc332270325"/>
      <w:bookmarkStart w:id="535" w:name="_Toc330459964"/>
      <w:bookmarkStart w:id="536" w:name="_Toc339019868"/>
      <w:bookmarkStart w:id="537" w:name="_Toc333237656"/>
      <w:bookmarkStart w:id="538" w:name="_Toc345513846"/>
      <w:bookmarkStart w:id="539" w:name="_Toc333237767"/>
      <w:bookmarkStart w:id="540" w:name="_Toc342296739"/>
      <w:bookmarkStart w:id="541" w:name="_Toc19345"/>
      <w:bookmarkStart w:id="542" w:name="_Toc339020074"/>
      <w:bookmarkStart w:id="543" w:name="_Toc333238612"/>
      <w:bookmarkStart w:id="544" w:name="_Toc349143568"/>
      <w:bookmarkStart w:id="545" w:name="_Toc339020212"/>
      <w:bookmarkStart w:id="546" w:name="_Toc497224205"/>
      <w:bookmarkStart w:id="547" w:name="_Toc332206687"/>
      <w:bookmarkStart w:id="548" w:name="_Toc340672848"/>
      <w:r>
        <w:rPr>
          <w:rFonts w:hint="eastAsia"/>
          <w:color w:val="000000" w:themeColor="text1"/>
          <w14:textFill>
            <w14:solidFill>
              <w14:schemeClr w14:val="tx1"/>
            </w14:solidFill>
          </w14:textFill>
        </w:rPr>
        <w:t>投标语言及计量单位</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8</w:t>
      </w:r>
      <w:r>
        <w:rPr>
          <w:rFonts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投标人提交的投标文件（包括资格证明文件）以及投标人与招标代理机构就有关投标的所有往来函电均应使用中文。投标人可以提交用其它语言打印的资料，但有关段落必须译成中文。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8</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 xml:space="preserve"> </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除在招标文件的技术规格中另有规定外，计量单位应使用中华人民共和国法定计量单位</w:t>
      </w:r>
      <w:r>
        <w:rPr>
          <w:rFonts w:hint="eastAsia"/>
          <w:bCs/>
          <w:color w:val="000000" w:themeColor="text1"/>
          <w14:textFill>
            <w14:solidFill>
              <w14:schemeClr w14:val="tx1"/>
            </w14:solidFill>
          </w14:textFill>
        </w:rPr>
        <w:t>（国际单位制和国家选定的其他计量单位）</w:t>
      </w:r>
      <w:r>
        <w:rPr>
          <w:rFonts w:hint="eastAsia" w:ascii="宋体"/>
          <w:bCs/>
          <w:color w:val="000000" w:themeColor="text1"/>
          <w14:textFill>
            <w14:solidFill>
              <w14:schemeClr w14:val="tx1"/>
            </w14:solidFill>
          </w14:textFill>
        </w:rPr>
        <w:t>。</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549" w:name="_Toc336681560"/>
      <w:bookmarkStart w:id="550" w:name="_Toc341348318"/>
      <w:bookmarkStart w:id="551" w:name="_Toc349127606"/>
      <w:bookmarkStart w:id="552" w:name="_Toc333935667"/>
      <w:bookmarkStart w:id="553" w:name="_Toc339441067"/>
      <w:bookmarkStart w:id="554" w:name="_Toc336681915"/>
      <w:bookmarkStart w:id="555" w:name="_Toc332270326"/>
      <w:bookmarkStart w:id="556" w:name="_Toc340672849"/>
      <w:bookmarkStart w:id="557" w:name="_Toc339362280"/>
      <w:bookmarkStart w:id="558" w:name="_Toc333935326"/>
      <w:bookmarkStart w:id="559" w:name="_Toc333237768"/>
      <w:bookmarkStart w:id="560" w:name="_Toc374454580"/>
      <w:bookmarkStart w:id="561" w:name="_Toc330459965"/>
      <w:bookmarkStart w:id="562" w:name="_Toc365967053"/>
      <w:bookmarkStart w:id="563" w:name="_Toc503785408"/>
      <w:bookmarkStart w:id="564" w:name="_Toc333237657"/>
      <w:bookmarkStart w:id="565" w:name="_Toc1426"/>
      <w:bookmarkStart w:id="566" w:name="_Toc340507422"/>
      <w:bookmarkStart w:id="567" w:name="_Toc497224206"/>
      <w:bookmarkStart w:id="568" w:name="_Toc339019869"/>
      <w:bookmarkStart w:id="569" w:name="_Toc331684018"/>
      <w:bookmarkStart w:id="570" w:name="_Toc350756430"/>
      <w:bookmarkStart w:id="571" w:name="_Toc349143569"/>
      <w:bookmarkStart w:id="572" w:name="_Toc340677050"/>
      <w:bookmarkStart w:id="573" w:name="_Toc345513847"/>
      <w:bookmarkStart w:id="574" w:name="_Toc366072508"/>
      <w:bookmarkStart w:id="575" w:name="_Toc332206688"/>
      <w:bookmarkStart w:id="576" w:name="_Toc337632338"/>
      <w:bookmarkStart w:id="577" w:name="_Toc339019995"/>
      <w:bookmarkStart w:id="578" w:name="_Toc342296740"/>
      <w:bookmarkStart w:id="579" w:name="_Toc5097"/>
      <w:bookmarkStart w:id="580" w:name="_Toc365985159"/>
      <w:bookmarkStart w:id="581" w:name="_Toc342060354"/>
      <w:bookmarkStart w:id="582" w:name="_Toc333238613"/>
      <w:bookmarkStart w:id="583" w:name="_Toc350438729"/>
      <w:bookmarkStart w:id="584" w:name="_Toc339020075"/>
      <w:bookmarkStart w:id="585" w:name="_Toc339020213"/>
      <w:bookmarkStart w:id="586" w:name="_Toc331512878"/>
      <w:r>
        <w:rPr>
          <w:rFonts w:hint="eastAsia"/>
          <w:color w:val="000000" w:themeColor="text1"/>
          <w14:textFill>
            <w14:solidFill>
              <w14:schemeClr w14:val="tx1"/>
            </w14:solidFill>
          </w14:textFill>
        </w:rPr>
        <w:t>投标文件的构成</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widowControl/>
        <w:tabs>
          <w:tab w:val="left" w:pos="753"/>
        </w:tabs>
        <w:adjustRightInd w:val="0"/>
        <w:snapToGrid w:val="0"/>
        <w:spacing w:line="360" w:lineRule="auto"/>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9</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投标文件包括：</w:t>
      </w:r>
    </w:p>
    <w:p>
      <w:pPr>
        <w:widowControl/>
        <w:adjustRightInd w:val="0"/>
        <w:snapToGrid w:val="0"/>
        <w:spacing w:line="360" w:lineRule="auto"/>
        <w:ind w:left="734"/>
        <w:rPr>
          <w:rFonts w:ascii="宋体" w:hAnsi="宋体"/>
          <w:bCs/>
          <w:color w:val="000000" w:themeColor="text1"/>
          <w14:textFill>
            <w14:solidFill>
              <w14:schemeClr w14:val="tx1"/>
            </w14:solidFill>
          </w14:textFill>
        </w:rPr>
      </w:pPr>
      <w:bookmarkStart w:id="587" w:name="_Toc497224207"/>
      <w:bookmarkStart w:id="588" w:name="_Toc503785409"/>
      <w:r>
        <w:rPr>
          <w:rFonts w:hint="eastAsia" w:ascii="宋体" w:hAnsi="宋体"/>
          <w:bCs/>
          <w:color w:val="000000" w:themeColor="text1"/>
          <w14:textFill>
            <w14:solidFill>
              <w14:schemeClr w14:val="tx1"/>
            </w14:solidFill>
          </w14:textFill>
        </w:rPr>
        <w:t>第一章 资格审查文件（含附件）</w:t>
      </w:r>
    </w:p>
    <w:p>
      <w:pPr>
        <w:widowControl/>
        <w:adjustRightInd w:val="0"/>
        <w:snapToGrid w:val="0"/>
        <w:spacing w:line="360" w:lineRule="auto"/>
        <w:ind w:left="734"/>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第二章 商务和技术部分</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589" w:name="_Toc349143570"/>
      <w:bookmarkStart w:id="590" w:name="_Toc345513848"/>
      <w:bookmarkStart w:id="591" w:name="_Toc340677051"/>
      <w:bookmarkStart w:id="592" w:name="_Toc333935327"/>
      <w:bookmarkStart w:id="593" w:name="_Toc339019996"/>
      <w:bookmarkStart w:id="594" w:name="_Toc366072509"/>
      <w:bookmarkStart w:id="595" w:name="_Toc342060355"/>
      <w:bookmarkStart w:id="596" w:name="_Toc339362281"/>
      <w:bookmarkStart w:id="597" w:name="_Toc339441068"/>
      <w:bookmarkStart w:id="598" w:name="_Toc331512879"/>
      <w:bookmarkStart w:id="599" w:name="_Toc333935668"/>
      <w:bookmarkStart w:id="600" w:name="_Toc374454581"/>
      <w:bookmarkStart w:id="601" w:name="_Toc336681916"/>
      <w:bookmarkStart w:id="602" w:name="_Toc341348319"/>
      <w:bookmarkStart w:id="603" w:name="_Toc336681561"/>
      <w:bookmarkStart w:id="604" w:name="_Toc339020214"/>
      <w:bookmarkStart w:id="605" w:name="_Toc29112"/>
      <w:bookmarkStart w:id="606" w:name="_Toc349127607"/>
      <w:bookmarkStart w:id="607" w:name="_Toc330459966"/>
      <w:bookmarkStart w:id="608" w:name="_Toc331684019"/>
      <w:bookmarkStart w:id="609" w:name="_Toc7703"/>
      <w:bookmarkStart w:id="610" w:name="_Toc365985160"/>
      <w:bookmarkStart w:id="611" w:name="_Toc337632339"/>
      <w:bookmarkStart w:id="612" w:name="_Toc350756431"/>
      <w:bookmarkStart w:id="613" w:name="_Toc332206689"/>
      <w:bookmarkStart w:id="614" w:name="_Toc333237769"/>
      <w:bookmarkStart w:id="615" w:name="_Toc332270327"/>
      <w:bookmarkStart w:id="616" w:name="_Toc365967054"/>
      <w:bookmarkStart w:id="617" w:name="_Toc339020076"/>
      <w:bookmarkStart w:id="618" w:name="_Toc333238614"/>
      <w:bookmarkStart w:id="619" w:name="_Toc339019870"/>
      <w:bookmarkStart w:id="620" w:name="_Toc333237658"/>
      <w:bookmarkStart w:id="621" w:name="_Toc350438730"/>
      <w:bookmarkStart w:id="622" w:name="_Toc342296741"/>
      <w:bookmarkStart w:id="623" w:name="_Toc340672850"/>
      <w:bookmarkStart w:id="624" w:name="_Toc340507423"/>
      <w:r>
        <w:rPr>
          <w:rFonts w:hint="eastAsia"/>
          <w:color w:val="000000" w:themeColor="text1"/>
          <w14:textFill>
            <w14:solidFill>
              <w14:schemeClr w14:val="tx1"/>
            </w14:solidFill>
          </w14:textFill>
        </w:rPr>
        <w:t>投标文件格式</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widowControl/>
        <w:tabs>
          <w:tab w:val="left" w:pos="753"/>
        </w:tabs>
        <w:adjustRightInd w:val="0"/>
        <w:snapToGrid w:val="0"/>
        <w:spacing w:before="240"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投标人应</w:t>
      </w:r>
      <w:r>
        <w:rPr>
          <w:rFonts w:hint="eastAsia" w:ascii="宋体" w:hAnsi="宋体"/>
          <w:bCs/>
          <w:color w:val="000000" w:themeColor="text1"/>
          <w14:textFill>
            <w14:solidFill>
              <w14:schemeClr w14:val="tx1"/>
            </w14:solidFill>
          </w14:textFill>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10.2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625" w:name="_Toc331684020"/>
      <w:bookmarkStart w:id="626" w:name="_Toc332270328"/>
      <w:bookmarkStart w:id="627" w:name="_Toc349127608"/>
      <w:bookmarkStart w:id="628" w:name="_Toc349143571"/>
      <w:bookmarkStart w:id="629" w:name="_Toc342296742"/>
      <w:bookmarkStart w:id="630" w:name="_Toc365985161"/>
      <w:bookmarkStart w:id="631" w:name="_Toc333237659"/>
      <w:bookmarkStart w:id="632" w:name="_Toc340507424"/>
      <w:bookmarkStart w:id="633" w:name="_Toc350756432"/>
      <w:bookmarkStart w:id="634" w:name="_Toc365967055"/>
      <w:bookmarkStart w:id="635" w:name="_Toc333237770"/>
      <w:bookmarkStart w:id="636" w:name="_Toc339019997"/>
      <w:bookmarkStart w:id="637" w:name="_Toc331512880"/>
      <w:bookmarkStart w:id="638" w:name="_Toc339362282"/>
      <w:bookmarkStart w:id="639" w:name="_Toc337632340"/>
      <w:bookmarkStart w:id="640" w:name="_Toc341348320"/>
      <w:bookmarkStart w:id="641" w:name="_Toc374454582"/>
      <w:bookmarkStart w:id="642" w:name="_Toc5003680"/>
      <w:bookmarkStart w:id="643" w:name="_Toc342060356"/>
      <w:bookmarkStart w:id="644" w:name="_Toc336681917"/>
      <w:bookmarkStart w:id="645" w:name="_Toc350438731"/>
      <w:bookmarkStart w:id="646" w:name="_Toc21751"/>
      <w:bookmarkStart w:id="647" w:name="_Toc330459967"/>
      <w:bookmarkStart w:id="648" w:name="_Toc333935328"/>
      <w:bookmarkStart w:id="649" w:name="_Toc340677052"/>
      <w:bookmarkStart w:id="650" w:name="_Toc339019871"/>
      <w:bookmarkStart w:id="651" w:name="_Toc23963"/>
      <w:bookmarkStart w:id="652" w:name="_Toc366072510"/>
      <w:bookmarkStart w:id="653" w:name="_Toc336681562"/>
      <w:bookmarkStart w:id="654" w:name="_Toc345513849"/>
      <w:bookmarkStart w:id="655" w:name="_Toc340672851"/>
      <w:bookmarkStart w:id="656" w:name="_Toc339020077"/>
      <w:bookmarkStart w:id="657" w:name="_Toc333238615"/>
      <w:bookmarkStart w:id="658" w:name="_Toc339441069"/>
      <w:bookmarkStart w:id="659" w:name="_Toc333935669"/>
      <w:bookmarkStart w:id="660" w:name="_Toc332206690"/>
      <w:bookmarkStart w:id="661" w:name="_Toc339020215"/>
      <w:r>
        <w:rPr>
          <w:rFonts w:hint="eastAsia"/>
          <w:color w:val="000000" w:themeColor="text1"/>
          <w14:textFill>
            <w14:solidFill>
              <w14:schemeClr w14:val="tx1"/>
            </w14:solidFill>
          </w14:textFill>
        </w:rPr>
        <w:t>资格证明文件</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11.1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投标人应按招标文件的要求，提交其有资格参加投标和中标后有履行合同能力的文件，并作为其投标文件的组成部分，包括但不限于下列文件：</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投标人满足招标文件中列出的资格标准；</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招标人签订合同，就中标项目向招标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662" w:name="_Toc336681563"/>
      <w:bookmarkStart w:id="663" w:name="_Toc331512881"/>
      <w:bookmarkStart w:id="664" w:name="_Toc332206691"/>
      <w:bookmarkStart w:id="665" w:name="_Toc342060357"/>
      <w:bookmarkStart w:id="666" w:name="_Toc365985162"/>
      <w:bookmarkStart w:id="667" w:name="_Toc339362283"/>
      <w:bookmarkStart w:id="668" w:name="_Toc331684021"/>
      <w:bookmarkStart w:id="669" w:name="_Toc22789"/>
      <w:bookmarkStart w:id="670" w:name="_Toc341348321"/>
      <w:bookmarkStart w:id="671" w:name="_Toc349127609"/>
      <w:bookmarkStart w:id="672" w:name="_Toc374454583"/>
      <w:bookmarkStart w:id="673" w:name="_Toc333935670"/>
      <w:bookmarkStart w:id="674" w:name="_Toc339020078"/>
      <w:bookmarkStart w:id="675" w:name="_Toc340507425"/>
      <w:bookmarkStart w:id="676" w:name="_Toc5003681"/>
      <w:bookmarkStart w:id="677" w:name="_Toc333237660"/>
      <w:bookmarkStart w:id="678" w:name="_Toc350438732"/>
      <w:bookmarkStart w:id="679" w:name="_Toc342296743"/>
      <w:bookmarkStart w:id="680" w:name="_Toc350756433"/>
      <w:bookmarkStart w:id="681" w:name="_Toc333237771"/>
      <w:bookmarkStart w:id="682" w:name="_Toc339441070"/>
      <w:bookmarkStart w:id="683" w:name="_Toc333935329"/>
      <w:bookmarkStart w:id="684" w:name="_Toc345513850"/>
      <w:bookmarkStart w:id="685" w:name="_Toc339019998"/>
      <w:bookmarkStart w:id="686" w:name="_Toc366072511"/>
      <w:bookmarkStart w:id="687" w:name="_Toc339019872"/>
      <w:bookmarkStart w:id="688" w:name="_Toc349143572"/>
      <w:bookmarkStart w:id="689" w:name="_Toc365967056"/>
      <w:bookmarkStart w:id="690" w:name="_Toc330459968"/>
      <w:bookmarkStart w:id="691" w:name="_Toc336681918"/>
      <w:bookmarkStart w:id="692" w:name="_Toc333238616"/>
      <w:bookmarkStart w:id="693" w:name="_Toc337632341"/>
      <w:bookmarkStart w:id="694" w:name="_Toc332270329"/>
      <w:bookmarkStart w:id="695" w:name="_Toc340677053"/>
      <w:bookmarkStart w:id="696" w:name="_Toc4517"/>
      <w:bookmarkStart w:id="697" w:name="_Toc339020216"/>
      <w:bookmarkStart w:id="698" w:name="_Toc340672852"/>
      <w:r>
        <w:rPr>
          <w:rFonts w:hint="eastAsia"/>
          <w:color w:val="000000" w:themeColor="text1"/>
          <w14:textFill>
            <w14:solidFill>
              <w14:schemeClr w14:val="tx1"/>
            </w14:solidFill>
          </w14:textFill>
        </w:rPr>
        <w:t>货物和服务的证明文件</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12.1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12.2</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证明货物和服务与招标文件的要求相一致的文件，它可以是文字资料、图纸、手册和数据，包括：</w:t>
      </w:r>
    </w:p>
    <w:p>
      <w:pPr>
        <w:numPr>
          <w:ilvl w:val="5"/>
          <w:numId w:val="25"/>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货物主要技术指标和性能的详细说明。</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货物从招标人开始使用至招标要求中规定的周期内正常、连续地使用所必须的备件和专用工具清单，包括备件和专用工具的货源及现行价格。</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对照招标文件技术规格，逐条说明所提供货物和服务已对招标人的技术规格做出了实质性的响应，或申明与技术规格条文的偏差和例外。特别对于有具体参数要求的指标，投标人必须提供所投设备的具体参数值。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12.3</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投标人在阐述上述第</w:t>
      </w:r>
      <w:r>
        <w:rPr>
          <w:rFonts w:hint="eastAsia" w:ascii="宋体" w:hAnsi="宋体"/>
          <w:color w:val="000000" w:themeColor="text1"/>
          <w14:textFill>
            <w14:solidFill>
              <w14:schemeClr w14:val="tx1"/>
            </w14:solidFill>
          </w14:textFill>
        </w:rPr>
        <w:t>12.2（3）</w:t>
      </w:r>
      <w:r>
        <w:rPr>
          <w:rFonts w:hint="eastAsia"/>
          <w:color w:val="000000" w:themeColor="text1"/>
          <w14:textFill>
            <w14:solidFill>
              <w14:schemeClr w14:val="tx1"/>
            </w14:solidFill>
          </w14:textFill>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12.4   评标委员会对投标人所提供的证明货物和服务的合格性的文件进行审查，审查不合格的投标将作为无效投标处理。</w:t>
      </w:r>
    </w:p>
    <w:p>
      <w:pPr>
        <w:pStyle w:val="5"/>
        <w:numPr>
          <w:ilvl w:val="4"/>
          <w:numId w:val="25"/>
        </w:numPr>
        <w:tabs>
          <w:tab w:val="left" w:pos="720"/>
        </w:tabs>
        <w:spacing w:before="240" w:after="120"/>
        <w:ind w:left="2432" w:hanging="2432"/>
        <w:rPr>
          <w:rFonts w:ascii="宋体" w:hAnsi="宋体"/>
          <w:color w:val="000000" w:themeColor="text1"/>
          <w14:textFill>
            <w14:solidFill>
              <w14:schemeClr w14:val="tx1"/>
            </w14:solidFill>
          </w14:textFill>
        </w:rPr>
      </w:pPr>
      <w:bookmarkStart w:id="699" w:name="_Toc340507426"/>
      <w:bookmarkStart w:id="700" w:name="_Toc31064"/>
      <w:bookmarkStart w:id="701" w:name="_Toc342296744"/>
      <w:bookmarkStart w:id="702" w:name="_Toc339019999"/>
      <w:bookmarkStart w:id="703" w:name="_Toc349143573"/>
      <w:bookmarkStart w:id="704" w:name="_Toc21258"/>
      <w:bookmarkStart w:id="705" w:name="_Toc339020079"/>
      <w:bookmarkStart w:id="706" w:name="_Toc340672853"/>
      <w:bookmarkStart w:id="707" w:name="_Toc333237772"/>
      <w:bookmarkStart w:id="708" w:name="_Toc332270330"/>
      <w:bookmarkStart w:id="709" w:name="_Toc365967057"/>
      <w:bookmarkStart w:id="710" w:name="_Toc350438733"/>
      <w:bookmarkStart w:id="711" w:name="_Toc331684022"/>
      <w:bookmarkStart w:id="712" w:name="_Toc337632342"/>
      <w:bookmarkStart w:id="713" w:name="_Toc349127610"/>
      <w:bookmarkStart w:id="714" w:name="_Toc366072512"/>
      <w:bookmarkStart w:id="715" w:name="_Toc339441071"/>
      <w:bookmarkStart w:id="716" w:name="_Toc333935671"/>
      <w:bookmarkStart w:id="717" w:name="_Toc333237661"/>
      <w:bookmarkStart w:id="718" w:name="_Toc365985163"/>
      <w:bookmarkStart w:id="719" w:name="_Toc341348322"/>
      <w:bookmarkStart w:id="720" w:name="_Toc340677054"/>
      <w:bookmarkStart w:id="721" w:name="_Toc345513851"/>
      <w:bookmarkStart w:id="722" w:name="_Toc330459969"/>
      <w:bookmarkStart w:id="723" w:name="_Toc336681564"/>
      <w:bookmarkStart w:id="724" w:name="_Toc350756434"/>
      <w:bookmarkStart w:id="725" w:name="_Toc497224209"/>
      <w:bookmarkStart w:id="726" w:name="_Toc333238617"/>
      <w:bookmarkStart w:id="727" w:name="_Toc339020217"/>
      <w:bookmarkStart w:id="728" w:name="_Toc374454584"/>
      <w:bookmarkStart w:id="729" w:name="_Toc339019873"/>
      <w:bookmarkStart w:id="730" w:name="_Toc342060358"/>
      <w:bookmarkStart w:id="731" w:name="_Toc503785411"/>
      <w:bookmarkStart w:id="732" w:name="_Toc336681919"/>
      <w:bookmarkStart w:id="733" w:name="_Toc339362284"/>
      <w:bookmarkStart w:id="734" w:name="_Toc332206692"/>
      <w:bookmarkStart w:id="735" w:name="_Toc331512882"/>
      <w:bookmarkStart w:id="736" w:name="_Toc333935330"/>
      <w:r>
        <w:rPr>
          <w:rFonts w:hint="eastAsia"/>
          <w:color w:val="000000" w:themeColor="text1"/>
          <w14:textFill>
            <w14:solidFill>
              <w14:schemeClr w14:val="tx1"/>
            </w14:solidFill>
          </w14:textFill>
        </w:rPr>
        <w:t>投标报价与投标货币</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13.1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13.2</w:t>
      </w:r>
      <w:r>
        <w:rPr>
          <w:rFonts w:hint="eastAsia" w:ascii="宋体" w:hAnsi="宋体"/>
          <w:color w:val="000000" w:themeColor="text1"/>
          <w14:textFill>
            <w14:solidFill>
              <w14:schemeClr w14:val="tx1"/>
            </w14:solidFill>
          </w14:textFill>
        </w:rPr>
        <w:tab/>
      </w:r>
      <w:r>
        <w:rPr>
          <w:rFonts w:hint="eastAsia" w:ascii="宋体" w:hAnsi="宋体"/>
          <w:color w:val="000000" w:themeColor="text1"/>
          <w14:textFill>
            <w14:solidFill>
              <w14:schemeClr w14:val="tx1"/>
            </w14:solidFill>
          </w14:textFill>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13.3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13.4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13.5   投标人在投标文件中如有任何遗漏，影响到招标文件中规定的范围、质量、性能和项目的实施或限制了招标人的权利和投标人的义务，由此产生的费用由投标人负责。</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737" w:name="_Toc330459970"/>
      <w:bookmarkStart w:id="738" w:name="_Toc331684023"/>
      <w:bookmarkStart w:id="739" w:name="_Toc339020000"/>
      <w:bookmarkStart w:id="740" w:name="_Toc336681565"/>
      <w:bookmarkStart w:id="741" w:name="_Toc333238618"/>
      <w:bookmarkStart w:id="742" w:name="_Toc333237662"/>
      <w:bookmarkStart w:id="743" w:name="_Toc339020218"/>
      <w:bookmarkStart w:id="744" w:name="_Toc26750"/>
      <w:bookmarkStart w:id="745" w:name="_Toc331512883"/>
      <w:bookmarkStart w:id="746" w:name="_Toc350438734"/>
      <w:bookmarkStart w:id="747" w:name="_Toc366072513"/>
      <w:bookmarkStart w:id="748" w:name="_Toc339441072"/>
      <w:bookmarkStart w:id="749" w:name="_Toc342060359"/>
      <w:bookmarkStart w:id="750" w:name="_Toc374454585"/>
      <w:bookmarkStart w:id="751" w:name="_Toc339019874"/>
      <w:bookmarkStart w:id="752" w:name="_Toc24415"/>
      <w:bookmarkStart w:id="753" w:name="_Toc365985164"/>
      <w:bookmarkStart w:id="754" w:name="_Toc349143574"/>
      <w:bookmarkStart w:id="755" w:name="_Toc339020080"/>
      <w:bookmarkStart w:id="756" w:name="_Toc503785414"/>
      <w:bookmarkStart w:id="757" w:name="_Toc340677055"/>
      <w:bookmarkStart w:id="758" w:name="_Toc339362285"/>
      <w:bookmarkStart w:id="759" w:name="_Toc349127611"/>
      <w:bookmarkStart w:id="760" w:name="_Toc332206693"/>
      <w:bookmarkStart w:id="761" w:name="_Toc342296745"/>
      <w:bookmarkStart w:id="762" w:name="_Toc333935331"/>
      <w:bookmarkStart w:id="763" w:name="_Toc341348323"/>
      <w:bookmarkStart w:id="764" w:name="_Toc336681920"/>
      <w:bookmarkStart w:id="765" w:name="_Toc350756435"/>
      <w:bookmarkStart w:id="766" w:name="_Toc340507427"/>
      <w:bookmarkStart w:id="767" w:name="_Toc365967058"/>
      <w:bookmarkStart w:id="768" w:name="_Toc497224212"/>
      <w:bookmarkStart w:id="769" w:name="_Toc333237773"/>
      <w:bookmarkStart w:id="770" w:name="_Toc332270331"/>
      <w:bookmarkStart w:id="771" w:name="_Toc345513852"/>
      <w:bookmarkStart w:id="772" w:name="_Toc340672854"/>
      <w:bookmarkStart w:id="773" w:name="_Toc337632343"/>
      <w:bookmarkStart w:id="774" w:name="_Toc333935672"/>
      <w:r>
        <w:rPr>
          <w:rFonts w:hint="eastAsia"/>
          <w:color w:val="000000" w:themeColor="text1"/>
          <w14:textFill>
            <w14:solidFill>
              <w14:schemeClr w14:val="tx1"/>
            </w14:solidFill>
          </w14:textFill>
        </w:rPr>
        <w:t>投标保证金</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color w:val="000000" w:themeColor="text1"/>
          <w14:textFill>
            <w14:solidFill>
              <w14:schemeClr w14:val="tx1"/>
            </w14:solidFill>
          </w14:textFill>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14.3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投标保证金用于保护本次招标免遭因投标人的行为而蒙受的损失。</w:t>
      </w:r>
      <w:r>
        <w:rPr>
          <w:rFonts w:hint="eastAsia" w:ascii="宋体" w:hAnsi="宋体"/>
          <w:color w:val="000000" w:themeColor="text1"/>
          <w14:textFill>
            <w14:solidFill>
              <w14:schemeClr w14:val="tx1"/>
            </w14:solidFill>
          </w14:textFill>
        </w:rPr>
        <w:t>招标代理机构在因投标人的行为受到损害时，可根据第14.7条的规定，投标人的投标保证金不予退还。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4</w:t>
      </w:r>
      <w:r>
        <w:rPr>
          <w:rFonts w:hint="eastAsia"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凡未按本须知第14.2条规定随附有效投标保证金的投标</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5</w:t>
      </w:r>
      <w:r>
        <w:rPr>
          <w:rFonts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未中标的投标人的投标保证金，招标代理机构应当自中标通知书发出之日起5个工作日内无息退还。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中标投标人的投标保证金</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在中标投标人付清中标服务费、签订合同之日起5个工作日内无息退</w:t>
      </w:r>
      <w:r>
        <w:rPr>
          <w:rFonts w:hint="eastAsia" w:ascii="宋体"/>
          <w:bCs/>
          <w:color w:val="000000" w:themeColor="text1"/>
          <w14:textFill>
            <w14:solidFill>
              <w14:schemeClr w14:val="tx1"/>
            </w14:solidFill>
          </w14:textFill>
        </w:rPr>
        <w:t>还。</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7</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（4）投标人提供虚假投标文件或虚假补充文件的。</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775" w:name="_Toc340677056"/>
      <w:bookmarkStart w:id="776" w:name="_Toc331684024"/>
      <w:bookmarkStart w:id="777" w:name="_Toc340672855"/>
      <w:bookmarkStart w:id="778" w:name="_Toc350756436"/>
      <w:bookmarkStart w:id="779" w:name="_Toc333935673"/>
      <w:bookmarkStart w:id="780" w:name="_Toc349143575"/>
      <w:bookmarkStart w:id="781" w:name="_Toc341348324"/>
      <w:bookmarkStart w:id="782" w:name="_Toc339019875"/>
      <w:bookmarkStart w:id="783" w:name="_Toc366072514"/>
      <w:bookmarkStart w:id="784" w:name="_Toc336681921"/>
      <w:bookmarkStart w:id="785" w:name="_Toc365985165"/>
      <w:bookmarkStart w:id="786" w:name="_Toc333238619"/>
      <w:bookmarkStart w:id="787" w:name="_Toc330459971"/>
      <w:bookmarkStart w:id="788" w:name="_Toc7018"/>
      <w:bookmarkStart w:id="789" w:name="_Toc333237663"/>
      <w:bookmarkStart w:id="790" w:name="_Toc339441073"/>
      <w:bookmarkStart w:id="791" w:name="_Toc339020081"/>
      <w:bookmarkStart w:id="792" w:name="_Toc365967059"/>
      <w:bookmarkStart w:id="793" w:name="_Toc345513853"/>
      <w:bookmarkStart w:id="794" w:name="_Toc332270332"/>
      <w:bookmarkStart w:id="795" w:name="_Toc349127612"/>
      <w:bookmarkStart w:id="796" w:name="_Toc339020219"/>
      <w:bookmarkStart w:id="797" w:name="_Toc503785415"/>
      <w:bookmarkStart w:id="798" w:name="_Toc336681566"/>
      <w:bookmarkStart w:id="799" w:name="_Toc337632344"/>
      <w:bookmarkStart w:id="800" w:name="_Toc374454586"/>
      <w:bookmarkStart w:id="801" w:name="_Toc339362286"/>
      <w:bookmarkStart w:id="802" w:name="_Toc497224213"/>
      <w:bookmarkStart w:id="803" w:name="_Toc342060360"/>
      <w:bookmarkStart w:id="804" w:name="_Toc331512884"/>
      <w:bookmarkStart w:id="805" w:name="_Toc340507428"/>
      <w:bookmarkStart w:id="806" w:name="_Toc7224"/>
      <w:bookmarkStart w:id="807" w:name="_Toc333237774"/>
      <w:bookmarkStart w:id="808" w:name="_Toc339020001"/>
      <w:bookmarkStart w:id="809" w:name="_Toc333935332"/>
      <w:bookmarkStart w:id="810" w:name="_Toc350438735"/>
      <w:bookmarkStart w:id="811" w:name="_Toc332206694"/>
      <w:bookmarkStart w:id="812" w:name="_Toc342296746"/>
      <w:r>
        <w:rPr>
          <w:rFonts w:hint="eastAsia"/>
          <w:color w:val="000000" w:themeColor="text1"/>
          <w14:textFill>
            <w14:solidFill>
              <w14:schemeClr w14:val="tx1"/>
            </w14:solidFill>
          </w14:textFill>
        </w:rPr>
        <w:t>投标有效期</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5</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5</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在特殊情况下，招标代理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813" w:name="_Toc339019876"/>
      <w:bookmarkStart w:id="814" w:name="_Toc349143576"/>
      <w:bookmarkStart w:id="815" w:name="_Toc339441074"/>
      <w:bookmarkStart w:id="816" w:name="_Toc345513854"/>
      <w:bookmarkStart w:id="817" w:name="_Toc332206695"/>
      <w:bookmarkStart w:id="818" w:name="_Toc26685"/>
      <w:bookmarkStart w:id="819" w:name="_Toc340507429"/>
      <w:bookmarkStart w:id="820" w:name="_Toc333238620"/>
      <w:bookmarkStart w:id="821" w:name="_Toc497224214"/>
      <w:bookmarkStart w:id="822" w:name="_Toc331684025"/>
      <w:bookmarkStart w:id="823" w:name="_Toc365985166"/>
      <w:bookmarkStart w:id="824" w:name="_Toc340672856"/>
      <w:bookmarkStart w:id="825" w:name="_Toc339020220"/>
      <w:bookmarkStart w:id="826" w:name="_Toc339362287"/>
      <w:bookmarkStart w:id="827" w:name="_Toc336681567"/>
      <w:bookmarkStart w:id="828" w:name="_Toc365967060"/>
      <w:bookmarkStart w:id="829" w:name="_Toc342060361"/>
      <w:bookmarkStart w:id="830" w:name="_Toc366072515"/>
      <w:bookmarkStart w:id="831" w:name="_Toc350438736"/>
      <w:bookmarkStart w:id="832" w:name="_Toc339020082"/>
      <w:bookmarkStart w:id="833" w:name="_Toc350756437"/>
      <w:bookmarkStart w:id="834" w:name="_Toc333935674"/>
      <w:bookmarkStart w:id="835" w:name="_Toc330459972"/>
      <w:bookmarkStart w:id="836" w:name="_Toc503785416"/>
      <w:bookmarkStart w:id="837" w:name="_Toc333935333"/>
      <w:bookmarkStart w:id="838" w:name="_Toc337632345"/>
      <w:bookmarkStart w:id="839" w:name="_Toc333237775"/>
      <w:bookmarkStart w:id="840" w:name="_Toc342296747"/>
      <w:bookmarkStart w:id="841" w:name="_Toc374454587"/>
      <w:bookmarkStart w:id="842" w:name="_Toc341348325"/>
      <w:bookmarkStart w:id="843" w:name="_Toc332270333"/>
      <w:bookmarkStart w:id="844" w:name="_Toc3344"/>
      <w:bookmarkStart w:id="845" w:name="_Toc336681922"/>
      <w:bookmarkStart w:id="846" w:name="_Toc331512885"/>
      <w:bookmarkStart w:id="847" w:name="_Toc339020002"/>
      <w:bookmarkStart w:id="848" w:name="_Toc349127613"/>
      <w:bookmarkStart w:id="849" w:name="_Toc333237664"/>
      <w:bookmarkStart w:id="850" w:name="_Toc340677057"/>
      <w:bookmarkStart w:id="851" w:name="_Toc111534389"/>
      <w:r>
        <w:rPr>
          <w:rFonts w:hint="eastAsia"/>
          <w:color w:val="000000" w:themeColor="text1"/>
          <w14:textFill>
            <w14:solidFill>
              <w14:schemeClr w14:val="tx1"/>
            </w14:solidFill>
          </w14:textFill>
        </w:rPr>
        <w:t>投标文件的签署及规定</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14:textFill>
            <w14:solidFill>
              <w14:schemeClr w14:val="tx1"/>
            </w14:solidFill>
          </w14:textFill>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除投标人对差错处做必要修改外，投标文件中不允许有行间插字、涂改或增删，如有修改错漏处，必须由投标文件的签署人签字并在修改错漏处加盖公章，以示确认。</w:t>
      </w:r>
    </w:p>
    <w:p>
      <w:pPr>
        <w:pStyle w:val="4"/>
        <w:numPr>
          <w:ilvl w:val="0"/>
          <w:numId w:val="0"/>
        </w:numPr>
        <w:rPr>
          <w:color w:val="000000" w:themeColor="text1"/>
          <w:sz w:val="24"/>
          <w14:textFill>
            <w14:solidFill>
              <w14:schemeClr w14:val="tx1"/>
            </w14:solidFill>
          </w14:textFill>
        </w:rPr>
      </w:pPr>
      <w:bookmarkStart w:id="852" w:name="_Toc331684026"/>
      <w:bookmarkStart w:id="853" w:name="_Toc350438737"/>
      <w:bookmarkStart w:id="854" w:name="_Toc345513855"/>
      <w:bookmarkStart w:id="855" w:name="_Toc365967061"/>
      <w:bookmarkStart w:id="856" w:name="_Toc333935334"/>
      <w:bookmarkStart w:id="857" w:name="_Toc337632346"/>
      <w:bookmarkStart w:id="858" w:name="_Toc339020221"/>
      <w:bookmarkStart w:id="859" w:name="_Toc342060362"/>
      <w:bookmarkStart w:id="860" w:name="_Toc365985167"/>
      <w:bookmarkStart w:id="861" w:name="_Toc111534390"/>
      <w:bookmarkStart w:id="862" w:name="_Toc342296748"/>
      <w:bookmarkStart w:id="863" w:name="_Toc333238621"/>
      <w:bookmarkStart w:id="864" w:name="_Toc350756438"/>
      <w:bookmarkStart w:id="865" w:name="_Toc339020083"/>
      <w:bookmarkStart w:id="866" w:name="_Toc332206696"/>
      <w:bookmarkStart w:id="867" w:name="_Toc330459973"/>
      <w:bookmarkStart w:id="868" w:name="_Toc339441075"/>
      <w:bookmarkStart w:id="869" w:name="_Toc374454588"/>
      <w:bookmarkStart w:id="870" w:name="_Toc341348326"/>
      <w:bookmarkStart w:id="871" w:name="_Toc331512886"/>
      <w:bookmarkStart w:id="872" w:name="_Toc336681568"/>
      <w:bookmarkStart w:id="873" w:name="_Toc333237776"/>
      <w:bookmarkStart w:id="874" w:name="_Toc333935675"/>
      <w:bookmarkStart w:id="875" w:name="_Toc339362288"/>
      <w:bookmarkStart w:id="876" w:name="_Toc336681923"/>
      <w:bookmarkStart w:id="877" w:name="_Toc340672857"/>
      <w:bookmarkStart w:id="878" w:name="_Toc503785417"/>
      <w:bookmarkStart w:id="879" w:name="_Toc333237665"/>
      <w:bookmarkStart w:id="880" w:name="_Toc349143577"/>
      <w:bookmarkStart w:id="881" w:name="_Toc349127614"/>
      <w:bookmarkStart w:id="882" w:name="_Toc332270334"/>
      <w:bookmarkStart w:id="883" w:name="_Toc339019877"/>
      <w:bookmarkStart w:id="884" w:name="_Toc366072516"/>
      <w:bookmarkStart w:id="885" w:name="_Toc340677058"/>
      <w:bookmarkStart w:id="886" w:name="_Toc497224215"/>
      <w:bookmarkStart w:id="887" w:name="_Toc340507430"/>
      <w:bookmarkStart w:id="888" w:name="_Toc339020003"/>
      <w:r>
        <w:rPr>
          <w:color w:val="000000" w:themeColor="text1"/>
          <w:sz w:val="24"/>
          <w14:textFill>
            <w14:solidFill>
              <w14:schemeClr w14:val="tx1"/>
            </w14:solidFill>
          </w14:textFill>
        </w:rPr>
        <w:br w:type="page"/>
      </w:r>
      <w:bookmarkStart w:id="889" w:name="_Toc21173"/>
      <w:bookmarkStart w:id="890" w:name="_Toc10195"/>
      <w:r>
        <w:rPr>
          <w:rFonts w:hint="eastAsia"/>
          <w:color w:val="000000" w:themeColor="text1"/>
          <w:sz w:val="24"/>
          <w14:textFill>
            <w14:solidFill>
              <w14:schemeClr w14:val="tx1"/>
            </w14:solidFill>
          </w14:textFill>
        </w:rPr>
        <w:t>Ｄ投标文件的递交</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5"/>
        <w:numPr>
          <w:ilvl w:val="4"/>
          <w:numId w:val="25"/>
        </w:numPr>
        <w:tabs>
          <w:tab w:val="left" w:pos="251"/>
          <w:tab w:val="left" w:pos="720"/>
        </w:tabs>
        <w:spacing w:before="240" w:after="120"/>
        <w:ind w:left="751" w:leftChars="1" w:hangingChars="357"/>
        <w:rPr>
          <w:rFonts w:ascii="宋体" w:hAnsi="宋体"/>
          <w:color w:val="000000" w:themeColor="text1"/>
          <w14:textFill>
            <w14:solidFill>
              <w14:schemeClr w14:val="tx1"/>
            </w14:solidFill>
          </w14:textFill>
        </w:rPr>
      </w:pPr>
      <w:bookmarkStart w:id="891" w:name="_Toc340507431"/>
      <w:bookmarkStart w:id="892" w:name="_Toc374454589"/>
      <w:bookmarkStart w:id="893" w:name="_Toc497224216"/>
      <w:bookmarkStart w:id="894" w:name="_Toc333237777"/>
      <w:bookmarkStart w:id="895" w:name="_Toc336681924"/>
      <w:bookmarkStart w:id="896" w:name="_Toc366072517"/>
      <w:bookmarkStart w:id="897" w:name="_Toc339362289"/>
      <w:bookmarkStart w:id="898" w:name="_Toc337632347"/>
      <w:bookmarkStart w:id="899" w:name="_Toc503785418"/>
      <w:bookmarkStart w:id="900" w:name="_Toc340672858"/>
      <w:bookmarkStart w:id="901" w:name="_Toc350438738"/>
      <w:bookmarkStart w:id="902" w:name="_Toc342296749"/>
      <w:bookmarkStart w:id="903" w:name="_Toc341348327"/>
      <w:bookmarkStart w:id="904" w:name="_Toc339020222"/>
      <w:bookmarkStart w:id="905" w:name="_Toc365985168"/>
      <w:bookmarkStart w:id="906" w:name="_Toc339019878"/>
      <w:bookmarkStart w:id="907" w:name="_Toc342060363"/>
      <w:bookmarkStart w:id="908" w:name="_Toc333935676"/>
      <w:bookmarkStart w:id="909" w:name="_Toc333237666"/>
      <w:bookmarkStart w:id="910" w:name="_Toc336681569"/>
      <w:bookmarkStart w:id="911" w:name="_Toc331512887"/>
      <w:bookmarkStart w:id="912" w:name="_Toc365967062"/>
      <w:bookmarkStart w:id="913" w:name="_Toc339020084"/>
      <w:bookmarkStart w:id="914" w:name="_Toc339020004"/>
      <w:bookmarkStart w:id="915" w:name="_Toc332206697"/>
      <w:bookmarkStart w:id="916" w:name="_Toc349143578"/>
      <w:bookmarkStart w:id="917" w:name="_Toc333935335"/>
      <w:bookmarkStart w:id="918" w:name="_Toc330459974"/>
      <w:bookmarkStart w:id="919" w:name="_Toc331684027"/>
      <w:bookmarkStart w:id="920" w:name="_Toc332270335"/>
      <w:bookmarkStart w:id="921" w:name="_Toc349127615"/>
      <w:bookmarkStart w:id="922" w:name="_Toc111534391"/>
      <w:bookmarkStart w:id="923" w:name="_Toc350756439"/>
      <w:bookmarkStart w:id="924" w:name="_Toc333238622"/>
      <w:bookmarkStart w:id="925" w:name="_Toc339441076"/>
      <w:bookmarkStart w:id="926" w:name="_Toc340677059"/>
      <w:bookmarkStart w:id="927" w:name="_Toc345513856"/>
      <w:r>
        <w:rPr>
          <w:rFonts w:hint="eastAsia"/>
          <w:color w:val="000000" w:themeColor="text1"/>
          <w14:textFill>
            <w14:solidFill>
              <w14:schemeClr w14:val="tx1"/>
            </w14:solidFill>
          </w14:textFill>
        </w:rPr>
        <w:t xml:space="preserve">     </w:t>
      </w:r>
      <w:bookmarkStart w:id="928" w:name="_Toc9564"/>
      <w:bookmarkStart w:id="929" w:name="_Toc23398"/>
      <w:r>
        <w:rPr>
          <w:rFonts w:hint="eastAsia"/>
          <w:color w:val="000000" w:themeColor="text1"/>
          <w14:textFill>
            <w14:solidFill>
              <w14:schemeClr w14:val="tx1"/>
            </w14:solidFill>
          </w14:textFill>
        </w:rPr>
        <w:t>投标文件的密封和标记</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  </w:t>
      </w:r>
      <w:r>
        <w:rPr>
          <w:rFonts w:hint="eastAsia" w:ascii="黑体" w:eastAsia="黑体"/>
          <w:bCs/>
          <w:color w:val="000000" w:themeColor="text1"/>
          <w:kern w:val="2"/>
          <w:sz w:val="21"/>
          <w:szCs w:val="24"/>
          <w14:textFill>
            <w14:solidFill>
              <w14:schemeClr w14:val="tx1"/>
            </w14:solidFill>
          </w14:textFill>
        </w:rPr>
        <w:t>详见第三部分《投标人须知〈投标人须知前附表〉》。</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930" w:name="_Toc349143579"/>
      <w:bookmarkStart w:id="931" w:name="_Toc374454590"/>
      <w:bookmarkStart w:id="932" w:name="_Toc333238623"/>
      <w:bookmarkStart w:id="933" w:name="_Toc339020005"/>
      <w:bookmarkStart w:id="934" w:name="_Toc331684028"/>
      <w:bookmarkStart w:id="935" w:name="_Toc339020085"/>
      <w:bookmarkStart w:id="936" w:name="_Toc349127616"/>
      <w:bookmarkStart w:id="937" w:name="_Toc503785419"/>
      <w:bookmarkStart w:id="938" w:name="_Toc333935336"/>
      <w:bookmarkStart w:id="939" w:name="_Toc345513857"/>
      <w:bookmarkStart w:id="940" w:name="_Toc341348328"/>
      <w:bookmarkStart w:id="941" w:name="_Toc330459975"/>
      <w:bookmarkStart w:id="942" w:name="_Toc342060364"/>
      <w:bookmarkStart w:id="943" w:name="_Toc339362290"/>
      <w:bookmarkStart w:id="944" w:name="_Toc336681925"/>
      <w:bookmarkStart w:id="945" w:name="_Toc340507432"/>
      <w:bookmarkStart w:id="946" w:name="_Toc339019879"/>
      <w:bookmarkStart w:id="947" w:name="_Toc365967063"/>
      <w:bookmarkStart w:id="948" w:name="_Toc333237778"/>
      <w:bookmarkStart w:id="949" w:name="_Toc350756440"/>
      <w:bookmarkStart w:id="950" w:name="_Toc16950"/>
      <w:bookmarkStart w:id="951" w:name="_Toc497224217"/>
      <w:bookmarkStart w:id="952" w:name="_Toc336681570"/>
      <w:bookmarkStart w:id="953" w:name="_Toc339020223"/>
      <w:bookmarkStart w:id="954" w:name="_Toc340672859"/>
      <w:bookmarkStart w:id="955" w:name="_Toc350438739"/>
      <w:bookmarkStart w:id="956" w:name="_Toc366072518"/>
      <w:bookmarkStart w:id="957" w:name="_Toc332270336"/>
      <w:bookmarkStart w:id="958" w:name="_Toc331512888"/>
      <w:bookmarkStart w:id="959" w:name="_Toc30772"/>
      <w:bookmarkStart w:id="960" w:name="_Toc333935677"/>
      <w:bookmarkStart w:id="961" w:name="_Toc365985169"/>
      <w:bookmarkStart w:id="962" w:name="_Toc337632348"/>
      <w:bookmarkStart w:id="963" w:name="_Toc339441077"/>
      <w:bookmarkStart w:id="964" w:name="_Toc333237667"/>
      <w:bookmarkStart w:id="965" w:name="_Toc332206698"/>
      <w:bookmarkStart w:id="966" w:name="_Toc111534392"/>
      <w:bookmarkStart w:id="967" w:name="_Toc340677060"/>
      <w:bookmarkStart w:id="968" w:name="_Toc342296750"/>
      <w:r>
        <w:rPr>
          <w:rFonts w:hint="eastAsia"/>
          <w:color w:val="000000" w:themeColor="text1"/>
          <w14:textFill>
            <w14:solidFill>
              <w14:schemeClr w14:val="tx1"/>
            </w14:solidFill>
          </w14:textFill>
        </w:rPr>
        <w:t>递交投标文件的时间、地点及截止时间</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widowControl/>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18.1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18.2</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投标文件需由专人送交。投标人须将密封和标记后的投标文件，按照招标文件中注明的开标地址于投标截止时间之前送交招标代理机构。</w:t>
      </w:r>
    </w:p>
    <w:p>
      <w:pPr>
        <w:widowControl/>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bookmarkStart w:id="969" w:name="_Toc333237779"/>
      <w:bookmarkStart w:id="970" w:name="_Toc337632349"/>
      <w:bookmarkStart w:id="971" w:name="_Toc331684029"/>
      <w:bookmarkStart w:id="972" w:name="_Toc345513858"/>
      <w:bookmarkStart w:id="973" w:name="_Toc333935337"/>
      <w:bookmarkStart w:id="974" w:name="_Toc336681926"/>
      <w:bookmarkStart w:id="975" w:name="_Toc333238624"/>
      <w:bookmarkStart w:id="976" w:name="_Toc331512889"/>
      <w:bookmarkStart w:id="977" w:name="_Toc330459976"/>
      <w:bookmarkStart w:id="978" w:name="_Toc365967064"/>
      <w:bookmarkStart w:id="979" w:name="_Toc350438740"/>
      <w:bookmarkStart w:id="980" w:name="_Toc339019880"/>
      <w:bookmarkStart w:id="981" w:name="_Toc341348329"/>
      <w:bookmarkStart w:id="982" w:name="_Toc332270337"/>
      <w:bookmarkStart w:id="983" w:name="_Toc342296751"/>
      <w:bookmarkStart w:id="984" w:name="_Toc333237668"/>
      <w:bookmarkStart w:id="985" w:name="_Toc339020086"/>
      <w:bookmarkStart w:id="986" w:name="_Toc365985170"/>
      <w:bookmarkStart w:id="987" w:name="_Toc349127617"/>
      <w:bookmarkStart w:id="988" w:name="_Toc340672860"/>
      <w:bookmarkStart w:id="989" w:name="_Toc333935678"/>
      <w:bookmarkStart w:id="990" w:name="_Toc332206699"/>
      <w:bookmarkStart w:id="991" w:name="_Toc350756441"/>
      <w:bookmarkStart w:id="992" w:name="_Toc339441078"/>
      <w:bookmarkStart w:id="993" w:name="_Toc339020006"/>
      <w:bookmarkStart w:id="994" w:name="_Toc339020224"/>
      <w:bookmarkStart w:id="995" w:name="_Toc497224218"/>
      <w:bookmarkStart w:id="996" w:name="_Toc339362291"/>
      <w:bookmarkStart w:id="997" w:name="_Toc374454591"/>
      <w:bookmarkStart w:id="998" w:name="_Toc503785420"/>
      <w:bookmarkStart w:id="999" w:name="_Toc340677061"/>
      <w:bookmarkStart w:id="1000" w:name="_Toc342060365"/>
      <w:bookmarkStart w:id="1001" w:name="_Toc340507433"/>
      <w:bookmarkStart w:id="1002" w:name="_Toc349143580"/>
      <w:bookmarkStart w:id="1003" w:name="_Toc336681571"/>
      <w:bookmarkStart w:id="1004" w:name="_Toc366072519"/>
      <w:r>
        <w:rPr>
          <w:rFonts w:hint="eastAsia" w:ascii="宋体" w:hAnsi="宋体"/>
          <w:bCs/>
          <w:color w:val="000000" w:themeColor="text1"/>
          <w14:textFill>
            <w14:solidFill>
              <w14:schemeClr w14:val="tx1"/>
            </w14:solidFill>
          </w14:textFill>
        </w:rPr>
        <w:t>18.3</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招标代理机构于投标截止时间前30分钟开始接收投标文件，并于招标文件“第一部分投标邀请函”规定的开标时间、开标地点公开开标。</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005" w:name="_Toc3988"/>
      <w:bookmarkStart w:id="1006" w:name="_Toc28277"/>
      <w:r>
        <w:rPr>
          <w:rFonts w:hint="eastAsia"/>
          <w:color w:val="000000" w:themeColor="text1"/>
          <w14:textFill>
            <w14:solidFill>
              <w14:schemeClr w14:val="tx1"/>
            </w14:solidFill>
          </w14:textFill>
        </w:rPr>
        <w:t>迟交的投标文件</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19</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招标代理机构将拒绝在投标截止时间后递交的任何投标文件。</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007" w:name="_Toc503785421"/>
      <w:bookmarkStart w:id="1008" w:name="_Toc497224219"/>
      <w:bookmarkStart w:id="1009" w:name="_Toc339020225"/>
      <w:bookmarkStart w:id="1010" w:name="_Toc333237669"/>
      <w:bookmarkStart w:id="1011" w:name="_Toc349143581"/>
      <w:bookmarkStart w:id="1012" w:name="_Toc333935338"/>
      <w:bookmarkStart w:id="1013" w:name="_Toc345513859"/>
      <w:bookmarkStart w:id="1014" w:name="_Toc330459977"/>
      <w:bookmarkStart w:id="1015" w:name="_Toc337632350"/>
      <w:bookmarkStart w:id="1016" w:name="_Toc339020007"/>
      <w:bookmarkStart w:id="1017" w:name="_Toc341348330"/>
      <w:bookmarkStart w:id="1018" w:name="_Toc340672861"/>
      <w:bookmarkStart w:id="1019" w:name="_Toc339019881"/>
      <w:bookmarkStart w:id="1020" w:name="_Toc342296752"/>
      <w:bookmarkStart w:id="1021" w:name="_Toc2246"/>
      <w:bookmarkStart w:id="1022" w:name="_Toc339020087"/>
      <w:bookmarkStart w:id="1023" w:name="_Toc339441079"/>
      <w:bookmarkStart w:id="1024" w:name="_Toc332270338"/>
      <w:bookmarkStart w:id="1025" w:name="_Toc336681927"/>
      <w:bookmarkStart w:id="1026" w:name="_Toc331512890"/>
      <w:bookmarkStart w:id="1027" w:name="_Toc333935679"/>
      <w:bookmarkStart w:id="1028" w:name="_Toc340677062"/>
      <w:bookmarkStart w:id="1029" w:name="_Toc374454592"/>
      <w:bookmarkStart w:id="1030" w:name="_Toc340507434"/>
      <w:bookmarkStart w:id="1031" w:name="_Toc349127618"/>
      <w:bookmarkStart w:id="1032" w:name="_Toc365967065"/>
      <w:bookmarkStart w:id="1033" w:name="_Toc333237780"/>
      <w:bookmarkStart w:id="1034" w:name="_Toc339362292"/>
      <w:bookmarkStart w:id="1035" w:name="_Toc350438741"/>
      <w:bookmarkStart w:id="1036" w:name="_Toc22470"/>
      <w:bookmarkStart w:id="1037" w:name="_Toc336681572"/>
      <w:bookmarkStart w:id="1038" w:name="_Toc332206700"/>
      <w:bookmarkStart w:id="1039" w:name="_Toc333238625"/>
      <w:bookmarkStart w:id="1040" w:name="_Toc342060366"/>
      <w:bookmarkStart w:id="1041" w:name="_Toc365985171"/>
      <w:bookmarkStart w:id="1042" w:name="_Toc350756442"/>
      <w:bookmarkStart w:id="1043" w:name="_Toc331684030"/>
      <w:bookmarkStart w:id="1044" w:name="_Toc366072520"/>
      <w:r>
        <w:rPr>
          <w:rFonts w:hint="eastAsia"/>
          <w:color w:val="000000" w:themeColor="text1"/>
          <w14:textFill>
            <w14:solidFill>
              <w14:schemeClr w14:val="tx1"/>
            </w14:solidFill>
          </w14:textFill>
        </w:rPr>
        <w:t>投标文件的修改和撤</w:t>
      </w:r>
      <w:bookmarkEnd w:id="1007"/>
      <w:bookmarkEnd w:id="1008"/>
      <w:r>
        <w:rPr>
          <w:rFonts w:hint="eastAsia"/>
          <w:color w:val="000000" w:themeColor="text1"/>
          <w14:textFill>
            <w14:solidFill>
              <w14:schemeClr w14:val="tx1"/>
            </w14:solidFill>
          </w14:textFill>
        </w:rPr>
        <w:t>回</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投标人在投标截止时间前，可以修改或撤回其投标文件。但必须在规定的投标截止时间之前以书面通知到招标代理机构，该通知须有投标人法定代表人（负责人）或其授权代理人签字。</w:t>
      </w:r>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.4</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从投标截止时间至投标文件有效期期满之前，投标人不得撤回其投标文件，否则招标代理机构将按规定不予退还投标保证金。</w:t>
      </w:r>
    </w:p>
    <w:p>
      <w:pPr>
        <w:pStyle w:val="4"/>
        <w:numPr>
          <w:ilvl w:val="0"/>
          <w:numId w:val="0"/>
        </w:numPr>
        <w:rPr>
          <w:color w:val="000000" w:themeColor="text1"/>
          <w:sz w:val="24"/>
          <w14:textFill>
            <w14:solidFill>
              <w14:schemeClr w14:val="tx1"/>
            </w14:solidFill>
          </w14:textFill>
        </w:rPr>
      </w:pPr>
      <w:bookmarkStart w:id="1045" w:name="_Toc339362293"/>
      <w:bookmarkStart w:id="1046" w:name="_Toc365967066"/>
      <w:bookmarkStart w:id="1047" w:name="_Toc339020088"/>
      <w:bookmarkStart w:id="1048" w:name="_Toc333935680"/>
      <w:bookmarkStart w:id="1049" w:name="_Toc342296753"/>
      <w:bookmarkStart w:id="1050" w:name="_Toc333238626"/>
      <w:bookmarkStart w:id="1051" w:name="_Toc333237670"/>
      <w:bookmarkStart w:id="1052" w:name="_Toc340672862"/>
      <w:bookmarkStart w:id="1053" w:name="_Toc336681928"/>
      <w:bookmarkStart w:id="1054" w:name="_Toc333237781"/>
      <w:bookmarkStart w:id="1055" w:name="_Toc497224220"/>
      <w:bookmarkStart w:id="1056" w:name="_Toc350756443"/>
      <w:bookmarkStart w:id="1057" w:name="_Toc365985172"/>
      <w:bookmarkStart w:id="1058" w:name="_Toc330459978"/>
      <w:bookmarkStart w:id="1059" w:name="_Toc339020226"/>
      <w:bookmarkStart w:id="1060" w:name="_Toc340677063"/>
      <w:bookmarkStart w:id="1061" w:name="_Toc337632351"/>
      <w:bookmarkStart w:id="1062" w:name="_Toc366072521"/>
      <w:bookmarkStart w:id="1063" w:name="_Toc350438742"/>
      <w:bookmarkStart w:id="1064" w:name="_Toc345513860"/>
      <w:bookmarkStart w:id="1065" w:name="_Toc349143582"/>
      <w:bookmarkStart w:id="1066" w:name="_Toc331512891"/>
      <w:bookmarkStart w:id="1067" w:name="_Toc339020008"/>
      <w:bookmarkStart w:id="1068" w:name="_Toc332270339"/>
      <w:bookmarkStart w:id="1069" w:name="_Toc341348331"/>
      <w:bookmarkStart w:id="1070" w:name="_Toc331684031"/>
      <w:bookmarkStart w:id="1071" w:name="_Toc349127619"/>
      <w:bookmarkStart w:id="1072" w:name="_Toc342060367"/>
      <w:bookmarkStart w:id="1073" w:name="_Toc340507435"/>
      <w:bookmarkStart w:id="1074" w:name="_Toc503785422"/>
      <w:bookmarkStart w:id="1075" w:name="_Toc332206701"/>
      <w:bookmarkStart w:id="1076" w:name="_Toc374454593"/>
      <w:bookmarkStart w:id="1077" w:name="_Toc339019882"/>
      <w:bookmarkStart w:id="1078" w:name="_Toc339441080"/>
      <w:bookmarkStart w:id="1079" w:name="_Toc336681573"/>
      <w:bookmarkStart w:id="1080" w:name="_Toc333935339"/>
      <w:r>
        <w:rPr>
          <w:color w:val="000000" w:themeColor="text1"/>
          <w:sz w:val="24"/>
          <w14:textFill>
            <w14:solidFill>
              <w14:schemeClr w14:val="tx1"/>
            </w14:solidFill>
          </w14:textFill>
        </w:rPr>
        <w:br w:type="page"/>
      </w:r>
      <w:bookmarkStart w:id="1081" w:name="_Toc1327"/>
      <w:bookmarkStart w:id="1082" w:name="_Toc11861"/>
      <w:r>
        <w:rPr>
          <w:rFonts w:hint="eastAsia"/>
          <w:color w:val="000000" w:themeColor="text1"/>
          <w:sz w:val="24"/>
          <w14:textFill>
            <w14:solidFill>
              <w14:schemeClr w14:val="tx1"/>
            </w14:solidFill>
          </w14:textFill>
        </w:rPr>
        <w:t>Ｅ开标和评标</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083" w:name="_Toc366072522"/>
      <w:bookmarkStart w:id="1084" w:name="_Toc336681574"/>
      <w:bookmarkStart w:id="1085" w:name="_Toc333935340"/>
      <w:bookmarkStart w:id="1086" w:name="_Toc350756444"/>
      <w:bookmarkStart w:id="1087" w:name="_Toc337632352"/>
      <w:bookmarkStart w:id="1088" w:name="_Toc9769"/>
      <w:bookmarkStart w:id="1089" w:name="_Toc339020227"/>
      <w:bookmarkStart w:id="1090" w:name="_Toc339441081"/>
      <w:bookmarkStart w:id="1091" w:name="_Toc333935681"/>
      <w:bookmarkStart w:id="1092" w:name="_Toc330459979"/>
      <w:bookmarkStart w:id="1093" w:name="_Toc342060368"/>
      <w:bookmarkStart w:id="1094" w:name="_Toc340677064"/>
      <w:bookmarkStart w:id="1095" w:name="_Toc497224221"/>
      <w:bookmarkStart w:id="1096" w:name="_Toc336681929"/>
      <w:bookmarkStart w:id="1097" w:name="_Toc339020009"/>
      <w:bookmarkStart w:id="1098" w:name="_Toc342296754"/>
      <w:bookmarkStart w:id="1099" w:name="_Toc340672863"/>
      <w:bookmarkStart w:id="1100" w:name="_Toc341348332"/>
      <w:bookmarkStart w:id="1101" w:name="_Toc349143583"/>
      <w:bookmarkStart w:id="1102" w:name="_Toc333237782"/>
      <w:bookmarkStart w:id="1103" w:name="_Toc339020089"/>
      <w:bookmarkStart w:id="1104" w:name="_Toc350438743"/>
      <w:bookmarkStart w:id="1105" w:name="_Toc340507436"/>
      <w:bookmarkStart w:id="1106" w:name="_Toc331684032"/>
      <w:bookmarkStart w:id="1107" w:name="_Toc332270340"/>
      <w:bookmarkStart w:id="1108" w:name="_Toc374454594"/>
      <w:bookmarkStart w:id="1109" w:name="_Toc503785423"/>
      <w:bookmarkStart w:id="1110" w:name="_Toc333238627"/>
      <w:bookmarkStart w:id="1111" w:name="_Toc339362294"/>
      <w:bookmarkStart w:id="1112" w:name="_Toc345513861"/>
      <w:bookmarkStart w:id="1113" w:name="_Toc339019883"/>
      <w:bookmarkStart w:id="1114" w:name="_Toc349127620"/>
      <w:bookmarkStart w:id="1115" w:name="_Toc7443"/>
      <w:bookmarkStart w:id="1116" w:name="_Toc365985173"/>
      <w:bookmarkStart w:id="1117" w:name="_Toc365967067"/>
      <w:bookmarkStart w:id="1118" w:name="_Toc332206702"/>
      <w:bookmarkStart w:id="1119" w:name="_Toc331512892"/>
      <w:bookmarkStart w:id="1120" w:name="_Toc333237671"/>
      <w:r>
        <w:rPr>
          <w:rFonts w:hint="eastAsia"/>
          <w:color w:val="000000" w:themeColor="text1"/>
          <w14:textFill>
            <w14:solidFill>
              <w14:schemeClr w14:val="tx1"/>
            </w14:solidFill>
          </w14:textFill>
        </w:rPr>
        <w:t>开标</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1</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招标代理机构在招标文件中规定的时间和地点公开开标。开标会由招标代理机构主持。投标人代表均需按时参加开标会。参加开标的投标人代表应签名报到以证明其出席。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1</w:t>
      </w: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开标时，由政府采购监督员或投标人代表检查投标文件的密封情况，并宣布检查结果，经确认无误后，由工作人员当众拆封唱标。唱标主要内容为投标文件正本中的“开标一览表”的内容以及招标代理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21.4</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唱标结束后，招标代理机构将做唱标记录，并按规定在唱标记录上签字。</w:t>
      </w:r>
    </w:p>
    <w:p>
      <w:pPr>
        <w:pStyle w:val="5"/>
        <w:numPr>
          <w:ilvl w:val="4"/>
          <w:numId w:val="25"/>
        </w:numPr>
        <w:tabs>
          <w:tab w:val="left" w:pos="720"/>
        </w:tabs>
        <w:spacing w:before="240" w:after="120"/>
        <w:ind w:left="752" w:hanging="751" w:hangingChars="358"/>
        <w:rPr>
          <w:rFonts w:ascii="宋体" w:hAnsi="宋体"/>
          <w:color w:val="000000" w:themeColor="text1"/>
          <w14:textFill>
            <w14:solidFill>
              <w14:schemeClr w14:val="tx1"/>
            </w14:solidFill>
          </w14:textFill>
        </w:rPr>
      </w:pPr>
      <w:bookmarkStart w:id="1121" w:name="_Toc350438744"/>
      <w:bookmarkStart w:id="1122" w:name="_Toc331684033"/>
      <w:bookmarkStart w:id="1123" w:name="_Toc15306"/>
      <w:bookmarkStart w:id="1124" w:name="_Toc374454595"/>
      <w:bookmarkStart w:id="1125" w:name="_Toc366072523"/>
      <w:bookmarkStart w:id="1126" w:name="_Toc22023"/>
      <w:bookmarkStart w:id="1127" w:name="_Toc332270341"/>
      <w:bookmarkStart w:id="1128" w:name="_Toc340672864"/>
      <w:bookmarkStart w:id="1129" w:name="_Toc331512893"/>
      <w:bookmarkStart w:id="1130" w:name="_Toc336681575"/>
      <w:bookmarkStart w:id="1131" w:name="_Toc345513862"/>
      <w:bookmarkStart w:id="1132" w:name="_Toc333238628"/>
      <w:bookmarkStart w:id="1133" w:name="_Toc332206703"/>
      <w:bookmarkStart w:id="1134" w:name="_Toc340507437"/>
      <w:bookmarkStart w:id="1135" w:name="_Toc365985174"/>
      <w:bookmarkStart w:id="1136" w:name="_Toc342296755"/>
      <w:bookmarkStart w:id="1137" w:name="_Toc337632353"/>
      <w:bookmarkStart w:id="1138" w:name="_Toc341348333"/>
      <w:bookmarkStart w:id="1139" w:name="_Toc339020090"/>
      <w:bookmarkStart w:id="1140" w:name="_Toc333935682"/>
      <w:bookmarkStart w:id="1141" w:name="_Toc333237672"/>
      <w:bookmarkStart w:id="1142" w:name="_Toc339441082"/>
      <w:bookmarkStart w:id="1143" w:name="_Toc336681930"/>
      <w:bookmarkStart w:id="1144" w:name="_Toc339020228"/>
      <w:bookmarkStart w:id="1145" w:name="_Toc339019884"/>
      <w:bookmarkStart w:id="1146" w:name="_Toc497224222"/>
      <w:bookmarkStart w:id="1147" w:name="_Toc503785424"/>
      <w:bookmarkStart w:id="1148" w:name="_Toc339020010"/>
      <w:bookmarkStart w:id="1149" w:name="_Toc349143584"/>
      <w:bookmarkStart w:id="1150" w:name="_Toc349127621"/>
      <w:bookmarkStart w:id="1151" w:name="_Toc340677065"/>
      <w:bookmarkStart w:id="1152" w:name="_Toc333237783"/>
      <w:bookmarkStart w:id="1153" w:name="_Toc350756445"/>
      <w:bookmarkStart w:id="1154" w:name="_Toc333935341"/>
      <w:bookmarkStart w:id="1155" w:name="_Toc365967068"/>
      <w:bookmarkStart w:id="1156" w:name="_Toc342060369"/>
      <w:bookmarkStart w:id="1157" w:name="_Toc339362295"/>
      <w:bookmarkStart w:id="1158" w:name="_Toc330459980"/>
      <w:r>
        <w:rPr>
          <w:rFonts w:hint="eastAsia"/>
          <w:color w:val="000000" w:themeColor="text1"/>
          <w14:textFill>
            <w14:solidFill>
              <w14:schemeClr w14:val="tx1"/>
            </w14:solidFill>
          </w14:textFill>
        </w:rPr>
        <w:t>评标委员会</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2"/>
        <w:rPr>
          <w:color w:val="000000" w:themeColor="text1"/>
          <w14:textFill>
            <w14:solidFill>
              <w14:schemeClr w14:val="tx1"/>
            </w14:solidFill>
          </w14:textFill>
        </w:rPr>
      </w:pPr>
      <w:r>
        <w:rPr>
          <w:rFonts w:hint="eastAsia" w:ascii="黑体" w:eastAsia="黑体"/>
          <w:bCs/>
          <w:color w:val="000000" w:themeColor="text1"/>
          <w:kern w:val="2"/>
          <w:sz w:val="21"/>
          <w:szCs w:val="24"/>
          <w14:textFill>
            <w14:solidFill>
              <w14:schemeClr w14:val="tx1"/>
            </w14:solidFill>
          </w14:textFill>
        </w:rPr>
        <w:t>详见第三部分《投标人须知〈投标人须知前附表〉》。</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159" w:name="_Toc339441083"/>
      <w:bookmarkStart w:id="1160" w:name="_Toc336681931"/>
      <w:bookmarkStart w:id="1161" w:name="_Toc339020091"/>
      <w:bookmarkStart w:id="1162" w:name="_Toc349143585"/>
      <w:bookmarkStart w:id="1163" w:name="_Toc342060370"/>
      <w:bookmarkStart w:id="1164" w:name="_Toc350438745"/>
      <w:bookmarkStart w:id="1165" w:name="_Toc333237784"/>
      <w:bookmarkStart w:id="1166" w:name="_Toc339019885"/>
      <w:bookmarkStart w:id="1167" w:name="_Toc340677066"/>
      <w:bookmarkStart w:id="1168" w:name="_Toc331684034"/>
      <w:bookmarkStart w:id="1169" w:name="_Toc341348334"/>
      <w:bookmarkStart w:id="1170" w:name="_Toc333237673"/>
      <w:bookmarkStart w:id="1171" w:name="_Toc342296756"/>
      <w:bookmarkStart w:id="1172" w:name="_Toc19897"/>
      <w:bookmarkStart w:id="1173" w:name="_Toc332206704"/>
      <w:bookmarkStart w:id="1174" w:name="_Toc339020229"/>
      <w:bookmarkStart w:id="1175" w:name="_Toc337632354"/>
      <w:bookmarkStart w:id="1176" w:name="_Toc503785425"/>
      <w:bookmarkStart w:id="1177" w:name="_Toc339362296"/>
      <w:bookmarkStart w:id="1178" w:name="_Toc366072524"/>
      <w:bookmarkStart w:id="1179" w:name="_Toc365985175"/>
      <w:bookmarkStart w:id="1180" w:name="_Toc333935342"/>
      <w:bookmarkStart w:id="1181" w:name="_Toc339020011"/>
      <w:bookmarkStart w:id="1182" w:name="_Toc350756446"/>
      <w:bookmarkStart w:id="1183" w:name="_Toc333238629"/>
      <w:bookmarkStart w:id="1184" w:name="_Toc349127622"/>
      <w:bookmarkStart w:id="1185" w:name="_Toc332270342"/>
      <w:bookmarkStart w:id="1186" w:name="_Toc340507438"/>
      <w:bookmarkStart w:id="1187" w:name="_Toc497224223"/>
      <w:bookmarkStart w:id="1188" w:name="_Toc336681576"/>
      <w:bookmarkStart w:id="1189" w:name="_Toc330459981"/>
      <w:bookmarkStart w:id="1190" w:name="_Toc374454596"/>
      <w:bookmarkStart w:id="1191" w:name="_Toc340672865"/>
      <w:bookmarkStart w:id="1192" w:name="_Toc6213"/>
      <w:bookmarkStart w:id="1193" w:name="_Toc333935683"/>
      <w:bookmarkStart w:id="1194" w:name="_Toc345513863"/>
      <w:bookmarkStart w:id="1195" w:name="_Toc331512894"/>
      <w:bookmarkStart w:id="1196" w:name="_Toc365967069"/>
      <w:r>
        <w:rPr>
          <w:rFonts w:hint="eastAsia"/>
          <w:color w:val="000000" w:themeColor="text1"/>
          <w14:textFill>
            <w14:solidFill>
              <w14:schemeClr w14:val="tx1"/>
            </w14:solidFill>
          </w14:textFill>
        </w:rPr>
        <w:t>对投标文件的初审和响应性的确定</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3</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开标后，评标委员会将组织审查投标文件是否完整，文件签署是否合格，证明文件是否齐全等。</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3</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评标委员会将确定每一投标是否对招标文件的要求做出了实质性的响应，而没有重大偏离。实质性响应的投标是指投标符合招标文件的所有条款、条件和规定且没有重大偏离或保留。重大偏离或保留是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3</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3</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 xml:space="preserve">4 </w:t>
      </w:r>
      <w:r>
        <w:rPr>
          <w:rFonts w:hint="eastAsia"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如果发现下列情况之一的，其投标将被拒绝而作无效投标处理：</w:t>
      </w:r>
    </w:p>
    <w:p>
      <w:pPr>
        <w:numPr>
          <w:ilvl w:val="0"/>
          <w:numId w:val="29"/>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资格审查结果为不合格的；</w:t>
      </w:r>
    </w:p>
    <w:p>
      <w:pPr>
        <w:numPr>
          <w:ilvl w:val="0"/>
          <w:numId w:val="29"/>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投标人未提交投标保证金或投标保证金金额不足或无效的；</w:t>
      </w:r>
    </w:p>
    <w:p>
      <w:pPr>
        <w:numPr>
          <w:ilvl w:val="0"/>
          <w:numId w:val="29"/>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投标函</w:t>
      </w:r>
      <w:r>
        <w:rPr>
          <w:rFonts w:ascii="宋体" w:hAnsi="宋体"/>
          <w:bCs/>
          <w:color w:val="000000" w:themeColor="text1"/>
          <w14:textFill>
            <w14:solidFill>
              <w14:schemeClr w14:val="tx1"/>
            </w14:solidFill>
          </w14:textFill>
        </w:rPr>
        <w:t>未加盖</w:t>
      </w:r>
      <w:r>
        <w:rPr>
          <w:rFonts w:hint="eastAsia" w:ascii="宋体" w:hAnsi="宋体"/>
          <w:bCs/>
          <w:color w:val="000000" w:themeColor="text1"/>
          <w14:textFill>
            <w14:solidFill>
              <w14:schemeClr w14:val="tx1"/>
            </w14:solidFill>
          </w14:textFill>
        </w:rPr>
        <w:t>投标人</w:t>
      </w:r>
      <w:r>
        <w:rPr>
          <w:rFonts w:ascii="宋体" w:hAnsi="宋体"/>
          <w:bCs/>
          <w:color w:val="000000" w:themeColor="text1"/>
          <w14:textFill>
            <w14:solidFill>
              <w14:schemeClr w14:val="tx1"/>
            </w14:solidFill>
          </w14:textFill>
        </w:rPr>
        <w:t>公章</w:t>
      </w:r>
      <w:r>
        <w:rPr>
          <w:rFonts w:hint="eastAsia" w:ascii="宋体" w:hAnsi="宋体"/>
          <w:bCs/>
          <w:color w:val="000000" w:themeColor="text1"/>
          <w14:textFill>
            <w14:solidFill>
              <w14:schemeClr w14:val="tx1"/>
            </w14:solidFill>
          </w14:textFill>
        </w:rPr>
        <w:t>或</w:t>
      </w:r>
      <w:r>
        <w:rPr>
          <w:rFonts w:ascii="宋体" w:hAnsi="宋体"/>
          <w:bCs/>
          <w:color w:val="000000" w:themeColor="text1"/>
          <w14:textFill>
            <w14:solidFill>
              <w14:schemeClr w14:val="tx1"/>
            </w14:solidFill>
          </w14:textFill>
        </w:rPr>
        <w:t>未有</w:t>
      </w:r>
      <w:r>
        <w:rPr>
          <w:rFonts w:hint="eastAsia" w:ascii="宋体" w:hAnsi="宋体"/>
          <w:bCs/>
          <w:color w:val="000000" w:themeColor="text1"/>
          <w14:textFill>
            <w14:solidFill>
              <w14:schemeClr w14:val="tx1"/>
            </w14:solidFill>
          </w14:textFill>
        </w:rPr>
        <w:t>法定代表人（负责人）</w:t>
      </w:r>
      <w:r>
        <w:rPr>
          <w:rFonts w:ascii="宋体" w:hAnsi="宋体"/>
          <w:bCs/>
          <w:color w:val="000000" w:themeColor="text1"/>
          <w14:textFill>
            <w14:solidFill>
              <w14:schemeClr w14:val="tx1"/>
            </w14:solidFill>
          </w14:textFill>
        </w:rPr>
        <w:t>或者被授权人签名的；</w:t>
      </w:r>
    </w:p>
    <w:p>
      <w:pPr>
        <w:numPr>
          <w:ilvl w:val="0"/>
          <w:numId w:val="29"/>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未按招标文件规定格式填写或者字迹模糊不清的；</w:t>
      </w:r>
    </w:p>
    <w:p>
      <w:pPr>
        <w:numPr>
          <w:ilvl w:val="0"/>
          <w:numId w:val="29"/>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投标报价超出最高投标报价（预算价）上限的；</w:t>
      </w:r>
    </w:p>
    <w:p>
      <w:pPr>
        <w:numPr>
          <w:ilvl w:val="0"/>
          <w:numId w:val="29"/>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投标文件载明的招标项目完工期（服务期）超过招标文件规定的期限，或服务期不满足招标文件规定要求的； </w:t>
      </w:r>
    </w:p>
    <w:p>
      <w:pPr>
        <w:numPr>
          <w:ilvl w:val="0"/>
          <w:numId w:val="29"/>
        </w:numPr>
        <w:adjustRightInd w:val="0"/>
        <w:snapToGrid w:val="0"/>
        <w:spacing w:line="360" w:lineRule="auto"/>
        <w:ind w:left="1077" w:hanging="3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投标有效期不足的；</w:t>
      </w:r>
    </w:p>
    <w:p>
      <w:pPr>
        <w:numPr>
          <w:ilvl w:val="0"/>
          <w:numId w:val="29"/>
        </w:numPr>
        <w:adjustRightInd w:val="0"/>
        <w:snapToGrid w:val="0"/>
        <w:spacing w:line="360" w:lineRule="auto"/>
        <w:ind w:left="1077" w:hanging="3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投标文件附有招标人或招标代理机构不能接受的条件的；</w:t>
      </w:r>
    </w:p>
    <w:p>
      <w:pPr>
        <w:numPr>
          <w:ilvl w:val="0"/>
          <w:numId w:val="29"/>
        </w:numPr>
        <w:adjustRightInd w:val="0"/>
        <w:snapToGrid w:val="0"/>
        <w:spacing w:line="360" w:lineRule="auto"/>
        <w:ind w:left="1077" w:hanging="3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招标文件规定的其他实质性要求的；</w:t>
      </w:r>
    </w:p>
    <w:p>
      <w:pPr>
        <w:numPr>
          <w:ilvl w:val="0"/>
          <w:numId w:val="29"/>
        </w:numPr>
        <w:adjustRightInd w:val="0"/>
        <w:snapToGrid w:val="0"/>
        <w:spacing w:line="360" w:lineRule="auto"/>
        <w:ind w:left="1077" w:hanging="3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法律、法规规定的其他废标条款。</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197" w:name="_Toc366072525"/>
      <w:bookmarkStart w:id="1198" w:name="_Toc339362297"/>
      <w:bookmarkStart w:id="1199" w:name="_Toc342060371"/>
      <w:bookmarkStart w:id="1200" w:name="_Toc345513864"/>
      <w:bookmarkStart w:id="1201" w:name="_Toc333935343"/>
      <w:bookmarkStart w:id="1202" w:name="_Toc331512895"/>
      <w:bookmarkStart w:id="1203" w:name="_Toc341348335"/>
      <w:bookmarkStart w:id="1204" w:name="_Toc337632355"/>
      <w:bookmarkStart w:id="1205" w:name="_Toc332270343"/>
      <w:bookmarkStart w:id="1206" w:name="_Toc333237674"/>
      <w:bookmarkStart w:id="1207" w:name="_Toc339020092"/>
      <w:bookmarkStart w:id="1208" w:name="_Toc333935684"/>
      <w:bookmarkStart w:id="1209" w:name="_Toc340677067"/>
      <w:bookmarkStart w:id="1210" w:name="_Toc339441084"/>
      <w:bookmarkStart w:id="1211" w:name="_Toc339020230"/>
      <w:bookmarkStart w:id="1212" w:name="_Toc336681932"/>
      <w:bookmarkStart w:id="1213" w:name="_Toc20914"/>
      <w:bookmarkStart w:id="1214" w:name="_Toc365985176"/>
      <w:bookmarkStart w:id="1215" w:name="_Toc339020012"/>
      <w:bookmarkStart w:id="1216" w:name="_Toc350438746"/>
      <w:bookmarkStart w:id="1217" w:name="_Toc365967070"/>
      <w:bookmarkStart w:id="1218" w:name="_Toc331684035"/>
      <w:bookmarkStart w:id="1219" w:name="_Toc350756447"/>
      <w:bookmarkStart w:id="1220" w:name="_Toc333237785"/>
      <w:bookmarkStart w:id="1221" w:name="_Toc336681577"/>
      <w:bookmarkStart w:id="1222" w:name="_Toc349127623"/>
      <w:bookmarkStart w:id="1223" w:name="_Toc11425"/>
      <w:bookmarkStart w:id="1224" w:name="_Toc332206705"/>
      <w:bookmarkStart w:id="1225" w:name="_Toc374454597"/>
      <w:bookmarkStart w:id="1226" w:name="_Toc340507439"/>
      <w:bookmarkStart w:id="1227" w:name="_Toc330459982"/>
      <w:bookmarkStart w:id="1228" w:name="_Toc342296757"/>
      <w:bookmarkStart w:id="1229" w:name="_Toc339019886"/>
      <w:bookmarkStart w:id="1230" w:name="_Toc333238630"/>
      <w:bookmarkStart w:id="1231" w:name="_Toc349143586"/>
      <w:bookmarkStart w:id="1232" w:name="_Toc340672866"/>
      <w:r>
        <w:rPr>
          <w:rFonts w:hint="eastAsia"/>
          <w:color w:val="000000" w:themeColor="text1"/>
          <w14:textFill>
            <w14:solidFill>
              <w14:schemeClr w14:val="tx1"/>
            </w14:solidFill>
          </w14:textFill>
        </w:rPr>
        <w:t>投标报价的审核</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24.1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人的报价应是真实、合理和全面的报价。投标人应该公平竞争，合理报价。评标委员会有权对投标人的任何报价进行单项分析与澄清。任何虚假不实的报价，一经确认，将导致投标人的投标保证金不予退还及投标人作无效投标处理。</w:t>
      </w:r>
    </w:p>
    <w:p>
      <w:pPr>
        <w:spacing w:line="360" w:lineRule="auto"/>
        <w:ind w:left="1233" w:hanging="1232" w:hangingChars="587"/>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24.2  </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大写金额和小写金额不一致的，以大写金额为准;</w:t>
      </w:r>
    </w:p>
    <w:p>
      <w:pPr>
        <w:spacing w:line="360" w:lineRule="auto"/>
        <w:ind w:firstLine="735" w:firstLineChars="350"/>
        <w:jc w:val="left"/>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（4）</w:t>
      </w:r>
      <w:r>
        <w:rPr>
          <w:rFonts w:hint="eastAsia" w:ascii="宋体" w:hAnsi="宋体"/>
          <w:bCs/>
          <w:color w:val="000000" w:themeColor="text1"/>
          <w14:textFill>
            <w14:solidFill>
              <w14:schemeClr w14:val="tx1"/>
            </w14:solidFill>
          </w14:textFill>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（5）</w:t>
      </w:r>
      <w:r>
        <w:rPr>
          <w:rFonts w:hint="eastAsia" w:ascii="宋体" w:hAnsi="宋体"/>
          <w:bCs/>
          <w:color w:val="000000" w:themeColor="text1"/>
          <w14:textFill>
            <w14:solidFill>
              <w14:schemeClr w14:val="tx1"/>
            </w14:solidFill>
          </w14:textFill>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233" w:name="_Toc331512896"/>
      <w:bookmarkStart w:id="1234" w:name="_Toc341348336"/>
      <w:bookmarkStart w:id="1235" w:name="_Toc339020093"/>
      <w:bookmarkStart w:id="1236" w:name="_Toc350756448"/>
      <w:bookmarkStart w:id="1237" w:name="_Toc339020013"/>
      <w:bookmarkStart w:id="1238" w:name="_Toc342296758"/>
      <w:bookmarkStart w:id="1239" w:name="_Toc337632356"/>
      <w:bookmarkStart w:id="1240" w:name="_Toc339441085"/>
      <w:bookmarkStart w:id="1241" w:name="_Toc336681933"/>
      <w:bookmarkStart w:id="1242" w:name="_Toc339362298"/>
      <w:bookmarkStart w:id="1243" w:name="_Toc340672867"/>
      <w:bookmarkStart w:id="1244" w:name="_Toc333935685"/>
      <w:bookmarkStart w:id="1245" w:name="_Toc339019887"/>
      <w:bookmarkStart w:id="1246" w:name="_Toc333935344"/>
      <w:bookmarkStart w:id="1247" w:name="_Toc332270344"/>
      <w:bookmarkStart w:id="1248" w:name="_Toc374454598"/>
      <w:bookmarkStart w:id="1249" w:name="_Toc16846"/>
      <w:bookmarkStart w:id="1250" w:name="_Toc497224224"/>
      <w:bookmarkStart w:id="1251" w:name="_Toc366072526"/>
      <w:bookmarkStart w:id="1252" w:name="_Toc349127624"/>
      <w:bookmarkStart w:id="1253" w:name="_Toc333238631"/>
      <w:bookmarkStart w:id="1254" w:name="_Toc365967071"/>
      <w:bookmarkStart w:id="1255" w:name="_Toc350438747"/>
      <w:bookmarkStart w:id="1256" w:name="_Toc333237675"/>
      <w:bookmarkStart w:id="1257" w:name="_Toc339020231"/>
      <w:bookmarkStart w:id="1258" w:name="_Toc345513865"/>
      <w:bookmarkStart w:id="1259" w:name="_Toc503785426"/>
      <w:bookmarkStart w:id="1260" w:name="_Toc336681578"/>
      <w:bookmarkStart w:id="1261" w:name="_Toc333237786"/>
      <w:bookmarkStart w:id="1262" w:name="_Toc340507440"/>
      <w:bookmarkStart w:id="1263" w:name="_Toc331684036"/>
      <w:bookmarkStart w:id="1264" w:name="_Toc332206706"/>
      <w:bookmarkStart w:id="1265" w:name="_Toc342060372"/>
      <w:bookmarkStart w:id="1266" w:name="_Toc340677068"/>
      <w:bookmarkStart w:id="1267" w:name="_Toc330459983"/>
      <w:bookmarkStart w:id="1268" w:name="_Toc14102"/>
      <w:bookmarkStart w:id="1269" w:name="_Toc365985177"/>
      <w:bookmarkStart w:id="1270" w:name="_Toc349143587"/>
      <w:r>
        <w:rPr>
          <w:rFonts w:hint="eastAsia"/>
          <w:color w:val="000000" w:themeColor="text1"/>
          <w14:textFill>
            <w14:solidFill>
              <w14:schemeClr w14:val="tx1"/>
            </w14:solidFill>
          </w14:textFill>
        </w:rPr>
        <w:t>询标及投标文件的澄清</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5.</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为了有助于对投标文件进行审查、评估和比较，评标委员会有权向投标人质疑，请投标人澄清其投标内容。投标人有责任按照招标代理机构通知的时间、地点指派专人进行答疑和澄清。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2</w:t>
      </w:r>
      <w:r>
        <w:rPr>
          <w:rFonts w:hint="eastAsia" w:ascii="宋体"/>
          <w:color w:val="000000" w:themeColor="text1"/>
          <w14:textFill>
            <w14:solidFill>
              <w14:schemeClr w14:val="tx1"/>
            </w14:solidFill>
          </w14:textFill>
        </w:rPr>
        <w:t>5</w:t>
      </w:r>
      <w:r>
        <w:rPr>
          <w:rFonts w:ascii="宋体"/>
          <w:color w:val="000000" w:themeColor="text1"/>
          <w14:textFill>
            <w14:solidFill>
              <w14:schemeClr w14:val="tx1"/>
            </w14:solidFill>
          </w14:textFill>
        </w:rPr>
        <w:t>.2</w:t>
      </w:r>
      <w:r>
        <w:rPr>
          <w:rFonts w:hint="eastAsia"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ab/>
      </w:r>
      <w:r>
        <w:rPr>
          <w:rFonts w:hint="eastAsia" w:ascii="宋体"/>
          <w:color w:val="000000" w:themeColor="text1"/>
          <w14:textFill>
            <w14:solidFill>
              <w14:schemeClr w14:val="tx1"/>
            </w14:solidFill>
          </w14:textFill>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25.3</w:t>
      </w:r>
      <w:r>
        <w:rPr>
          <w:rFonts w:hint="eastAsia"/>
          <w:color w:val="000000" w:themeColor="text1"/>
          <w14:textFill>
            <w14:solidFill>
              <w14:schemeClr w14:val="tx1"/>
            </w14:solidFill>
          </w14:textFill>
        </w:rPr>
        <w:tab/>
      </w:r>
      <w:r>
        <w:rPr>
          <w:rFonts w:hint="eastAsia" w:cs="Arial Unicode MS"/>
          <w:color w:val="000000" w:themeColor="text1"/>
          <w14:textFill>
            <w14:solidFill>
              <w14:schemeClr w14:val="tx1"/>
            </w14:solidFill>
          </w14:textFill>
        </w:rPr>
        <w:t>除评标委员会主动要求询标外，从开标后至授予合同期间，任何投标人均不得就与其投标有关的任何问题与评标委员会联系。如果投标人希望递交其他资料给招标代理机构和评标委员会以提醒招标代理机构和评标委员会注意，则应以书面形式提交。</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271" w:name="_Toc336681579"/>
      <w:bookmarkStart w:id="1272" w:name="_Toc342060373"/>
      <w:bookmarkStart w:id="1273" w:name="_Toc365967072"/>
      <w:bookmarkStart w:id="1274" w:name="_Toc333238632"/>
      <w:bookmarkStart w:id="1275" w:name="_Toc333237787"/>
      <w:bookmarkStart w:id="1276" w:name="_Toc365985178"/>
      <w:bookmarkStart w:id="1277" w:name="_Toc332270345"/>
      <w:bookmarkStart w:id="1278" w:name="_Toc342296759"/>
      <w:bookmarkStart w:id="1279" w:name="_Toc333935686"/>
      <w:bookmarkStart w:id="1280" w:name="_Toc339020094"/>
      <w:bookmarkStart w:id="1281" w:name="_Toc331684037"/>
      <w:bookmarkStart w:id="1282" w:name="_Toc349127625"/>
      <w:bookmarkStart w:id="1283" w:name="_Toc331512897"/>
      <w:bookmarkStart w:id="1284" w:name="_Toc340507441"/>
      <w:bookmarkStart w:id="1285" w:name="_Toc333935345"/>
      <w:bookmarkStart w:id="1286" w:name="_Toc339362299"/>
      <w:bookmarkStart w:id="1287" w:name="_Toc374454599"/>
      <w:bookmarkStart w:id="1288" w:name="_Toc366072527"/>
      <w:bookmarkStart w:id="1289" w:name="_Toc336681934"/>
      <w:bookmarkStart w:id="1290" w:name="_Toc340672868"/>
      <w:bookmarkStart w:id="1291" w:name="_Toc337632357"/>
      <w:bookmarkStart w:id="1292" w:name="_Toc339441086"/>
      <w:bookmarkStart w:id="1293" w:name="_Toc339019888"/>
      <w:bookmarkStart w:id="1294" w:name="_Toc349143588"/>
      <w:bookmarkStart w:id="1295" w:name="_Toc341348337"/>
      <w:bookmarkStart w:id="1296" w:name="_Toc345513866"/>
      <w:bookmarkStart w:id="1297" w:name="_Toc333237676"/>
      <w:bookmarkStart w:id="1298" w:name="_Toc340677069"/>
      <w:bookmarkStart w:id="1299" w:name="_Toc339020232"/>
      <w:bookmarkStart w:id="1300" w:name="_Toc339020014"/>
      <w:bookmarkStart w:id="1301" w:name="_Toc332206707"/>
      <w:bookmarkStart w:id="1302" w:name="_Toc1493"/>
      <w:bookmarkStart w:id="1303" w:name="_Toc330459984"/>
      <w:bookmarkStart w:id="1304" w:name="_Toc12871"/>
      <w:bookmarkStart w:id="1305" w:name="_Toc350756449"/>
      <w:bookmarkStart w:id="1306" w:name="_Toc350438748"/>
      <w:r>
        <w:rPr>
          <w:rFonts w:hint="eastAsia"/>
          <w:color w:val="000000" w:themeColor="text1"/>
          <w14:textFill>
            <w14:solidFill>
              <w14:schemeClr w14:val="tx1"/>
            </w14:solidFill>
          </w14:textFill>
        </w:rPr>
        <w:t>评标原则</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26.2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26.3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实行科学评估、集体决策。</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307" w:name="_Toc342296760"/>
      <w:bookmarkStart w:id="1308" w:name="_Toc341348338"/>
      <w:bookmarkStart w:id="1309" w:name="_Toc333935346"/>
      <w:bookmarkStart w:id="1310" w:name="_Toc339362300"/>
      <w:bookmarkStart w:id="1311" w:name="_Toc336681935"/>
      <w:bookmarkStart w:id="1312" w:name="_Toc339441087"/>
      <w:bookmarkStart w:id="1313" w:name="_Toc336681580"/>
      <w:bookmarkStart w:id="1314" w:name="_Toc340677070"/>
      <w:bookmarkStart w:id="1315" w:name="_Toc350438749"/>
      <w:bookmarkStart w:id="1316" w:name="_Toc339020095"/>
      <w:bookmarkStart w:id="1317" w:name="_Toc333238633"/>
      <w:bookmarkStart w:id="1318" w:name="_Toc333237677"/>
      <w:bookmarkStart w:id="1319" w:name="_Toc350756450"/>
      <w:bookmarkStart w:id="1320" w:name="_Toc339019889"/>
      <w:bookmarkStart w:id="1321" w:name="_Toc337632358"/>
      <w:bookmarkStart w:id="1322" w:name="_Toc374454600"/>
      <w:bookmarkStart w:id="1323" w:name="_Toc339020233"/>
      <w:bookmarkStart w:id="1324" w:name="_Toc9057"/>
      <w:bookmarkStart w:id="1325" w:name="_Toc366072528"/>
      <w:bookmarkStart w:id="1326" w:name="_Toc332270346"/>
      <w:bookmarkStart w:id="1327" w:name="_Toc333237788"/>
      <w:bookmarkStart w:id="1328" w:name="_Toc340507442"/>
      <w:bookmarkStart w:id="1329" w:name="_Toc365967073"/>
      <w:bookmarkStart w:id="1330" w:name="_Toc365985179"/>
      <w:bookmarkStart w:id="1331" w:name="_Toc340672869"/>
      <w:bookmarkStart w:id="1332" w:name="_Toc349143589"/>
      <w:bookmarkStart w:id="1333" w:name="_Toc330459985"/>
      <w:bookmarkStart w:id="1334" w:name="_Toc331512898"/>
      <w:bookmarkStart w:id="1335" w:name="_Toc339020015"/>
      <w:bookmarkStart w:id="1336" w:name="_Toc331684038"/>
      <w:bookmarkStart w:id="1337" w:name="_Toc332206708"/>
      <w:bookmarkStart w:id="1338" w:name="_Toc23925"/>
      <w:bookmarkStart w:id="1339" w:name="_Toc342060374"/>
      <w:bookmarkStart w:id="1340" w:name="_Toc349127626"/>
      <w:bookmarkStart w:id="1341" w:name="_Toc333935687"/>
      <w:bookmarkStart w:id="1342" w:name="_Toc345513867"/>
      <w:r>
        <w:rPr>
          <w:rFonts w:hint="eastAsia"/>
          <w:color w:val="000000" w:themeColor="text1"/>
          <w14:textFill>
            <w14:solidFill>
              <w14:schemeClr w14:val="tx1"/>
            </w14:solidFill>
          </w14:textFill>
        </w:rPr>
        <w:t>评标标准和办法</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23"/>
        <w:tabs>
          <w:tab w:val="left" w:pos="753"/>
        </w:tabs>
        <w:adjustRightInd w:val="0"/>
        <w:snapToGrid w:val="0"/>
        <w:spacing w:line="360" w:lineRule="auto"/>
        <w:ind w:left="751" w:leftChars="1" w:hanging="749" w:hangingChars="357"/>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27.1</w:t>
      </w:r>
      <w:r>
        <w:rPr>
          <w:rFonts w:hint="eastAsia" w:hAnsi="宋体"/>
          <w:bCs/>
          <w:color w:val="000000" w:themeColor="text1"/>
          <w14:textFill>
            <w14:solidFill>
              <w14:schemeClr w14:val="tx1"/>
            </w14:solidFill>
          </w14:textFill>
        </w:rPr>
        <w:tab/>
      </w:r>
      <w:r>
        <w:rPr>
          <w:rFonts w:hint="eastAsia" w:hAnsi="宋体"/>
          <w:bCs/>
          <w:color w:val="000000" w:themeColor="text1"/>
          <w14:textFill>
            <w14:solidFill>
              <w14:schemeClr w14:val="tx1"/>
            </w14:solidFill>
          </w14:textFill>
        </w:rPr>
        <w:t xml:space="preserve">评标委员会将综合分析投标人的各项指标，而不以单项指标的优劣评选出中标供应商。对所有投标人的投标评估，都采用相同的程序和标准，评标严格按照招标文件的要求和条件进行。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27</w:t>
      </w:r>
      <w:r>
        <w:rPr>
          <w:rFonts w:hAnsi="宋体"/>
          <w:bCs/>
          <w:color w:val="000000" w:themeColor="text1"/>
          <w14:textFill>
            <w14:solidFill>
              <w14:schemeClr w14:val="tx1"/>
            </w14:solidFill>
          </w14:textFill>
        </w:rPr>
        <w:t>.2</w:t>
      </w:r>
      <w:r>
        <w:rPr>
          <w:rFonts w:hint="eastAsia" w:hAnsi="宋体"/>
          <w:bCs/>
          <w:color w:val="000000" w:themeColor="text1"/>
          <w14:textFill>
            <w14:solidFill>
              <w14:schemeClr w14:val="tx1"/>
            </w14:solidFill>
          </w14:textFill>
        </w:rPr>
        <w:tab/>
      </w:r>
      <w:bookmarkStart w:id="1343" w:name="_Toc500861023"/>
      <w:bookmarkStart w:id="1344" w:name="_Toc500953375"/>
      <w:bookmarkStart w:id="1345" w:name="_Toc497707712"/>
      <w:r>
        <w:rPr>
          <w:rFonts w:hint="eastAsia" w:hAnsi="宋体"/>
          <w:bCs/>
          <w:color w:val="000000" w:themeColor="text1"/>
          <w14:textFill>
            <w14:solidFill>
              <w14:schemeClr w14:val="tx1"/>
            </w14:solidFill>
          </w14:textFill>
        </w:rPr>
        <w:t>采用计分法（综合评价法）来确定各投标人的排名。其操作程序为：</w:t>
      </w:r>
      <w:r>
        <w:rPr>
          <w:rFonts w:hint="eastAsia" w:hAnsi="宋体"/>
          <w:b/>
          <w:color w:val="000000" w:themeColor="text1"/>
          <w14:textFill>
            <w14:solidFill>
              <w14:schemeClr w14:val="tx1"/>
            </w14:solidFill>
          </w14:textFill>
        </w:rPr>
        <w:t>详见H评标细则。</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346" w:name="_Toc366072529"/>
      <w:bookmarkStart w:id="1347" w:name="_Toc95"/>
      <w:bookmarkStart w:id="1348" w:name="_Toc327368025"/>
      <w:bookmarkStart w:id="1349" w:name="_Toc327367761"/>
      <w:bookmarkStart w:id="1350" w:name="_Toc22981"/>
      <w:bookmarkStart w:id="1351" w:name="_Toc339441088"/>
      <w:bookmarkStart w:id="1352" w:name="_Toc332206709"/>
      <w:bookmarkStart w:id="1353" w:name="_Toc332270347"/>
      <w:bookmarkStart w:id="1354" w:name="_Toc336681936"/>
      <w:bookmarkStart w:id="1355" w:name="_Toc331512899"/>
      <w:bookmarkStart w:id="1356" w:name="_Toc339020096"/>
      <w:bookmarkStart w:id="1357" w:name="_Toc337632359"/>
      <w:bookmarkStart w:id="1358" w:name="_Toc333237789"/>
      <w:bookmarkStart w:id="1359" w:name="_Toc339362301"/>
      <w:bookmarkStart w:id="1360" w:name="_Toc333237678"/>
      <w:bookmarkStart w:id="1361" w:name="_Toc339020234"/>
      <w:bookmarkStart w:id="1362" w:name="_Toc336681581"/>
      <w:bookmarkStart w:id="1363" w:name="_Toc340672870"/>
      <w:bookmarkStart w:id="1364" w:name="_Toc342296761"/>
      <w:bookmarkStart w:id="1365" w:name="_Toc340677071"/>
      <w:bookmarkStart w:id="1366" w:name="_Toc342060375"/>
      <w:bookmarkStart w:id="1367" w:name="_Toc341348339"/>
      <w:bookmarkStart w:id="1368" w:name="_Toc331684039"/>
      <w:bookmarkStart w:id="1369" w:name="_Toc345513902"/>
      <w:bookmarkStart w:id="1370" w:name="_Toc339019890"/>
      <w:bookmarkStart w:id="1371" w:name="_Toc333935688"/>
      <w:bookmarkStart w:id="1372" w:name="_Toc333935347"/>
      <w:bookmarkStart w:id="1373" w:name="_Toc333238634"/>
      <w:bookmarkStart w:id="1374" w:name="_Toc330459986"/>
      <w:bookmarkStart w:id="1375" w:name="_Toc339020016"/>
      <w:bookmarkStart w:id="1376" w:name="_Toc340507443"/>
      <w:r>
        <w:rPr>
          <w:rFonts w:hint="eastAsia"/>
          <w:color w:val="000000" w:themeColor="text1"/>
          <w14:textFill>
            <w14:solidFill>
              <w14:schemeClr w14:val="tx1"/>
            </w14:solidFill>
          </w14:textFill>
        </w:rPr>
        <w:t>评标注意事项</w:t>
      </w:r>
      <w:bookmarkEnd w:id="1346"/>
      <w:bookmarkEnd w:id="1347"/>
      <w:bookmarkEnd w:id="1348"/>
      <w:bookmarkEnd w:id="1349"/>
      <w:bookmarkEnd w:id="1350"/>
    </w:p>
    <w:bookmarkEnd w:id="36"/>
    <w:bookmarkEnd w:id="1343"/>
    <w:bookmarkEnd w:id="1344"/>
    <w:bookmarkEnd w:id="1345"/>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bookmarkStart w:id="1377" w:name="_Toc26066260"/>
      <w:bookmarkStart w:id="1378" w:name="_Toc491658680"/>
      <w:bookmarkStart w:id="1379" w:name="_Toc6397151"/>
      <w:bookmarkStart w:id="1380" w:name="_Toc500861027"/>
      <w:bookmarkStart w:id="1381" w:name="_Toc6727972"/>
      <w:r>
        <w:rPr>
          <w:rFonts w:hint="eastAsia" w:ascii="宋体" w:hAnsi="宋体"/>
          <w:bCs/>
          <w:color w:val="000000" w:themeColor="text1"/>
          <w14:textFill>
            <w14:solidFill>
              <w14:schemeClr w14:val="tx1"/>
            </w14:solidFill>
          </w14:textFill>
        </w:rPr>
        <w:t>28.1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28.2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28.3</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在招标工作结束后，评标委员会成员和参与评标的有关工作人员不得透露与评标有关的情况。</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382" w:name="_Toc336681582"/>
      <w:bookmarkStart w:id="1383" w:name="_Toc350756452"/>
      <w:bookmarkStart w:id="1384" w:name="_Toc349127628"/>
      <w:bookmarkStart w:id="1385" w:name="_Toc336681937"/>
      <w:bookmarkStart w:id="1386" w:name="_Toc365967074"/>
      <w:bookmarkStart w:id="1387" w:name="_Toc337632360"/>
      <w:bookmarkStart w:id="1388" w:name="_Toc341348340"/>
      <w:bookmarkStart w:id="1389" w:name="_Toc339020017"/>
      <w:bookmarkStart w:id="1390" w:name="_Toc333935348"/>
      <w:bookmarkStart w:id="1391" w:name="_Toc331512900"/>
      <w:bookmarkStart w:id="1392" w:name="_Toc330459987"/>
      <w:bookmarkStart w:id="1393" w:name="_Toc333935689"/>
      <w:bookmarkStart w:id="1394" w:name="_Toc349143591"/>
      <w:bookmarkStart w:id="1395" w:name="_Toc350438751"/>
      <w:bookmarkStart w:id="1396" w:name="_Toc342060376"/>
      <w:bookmarkStart w:id="1397" w:name="_Toc339020097"/>
      <w:bookmarkStart w:id="1398" w:name="_Toc339020235"/>
      <w:bookmarkStart w:id="1399" w:name="_Toc366072530"/>
      <w:bookmarkStart w:id="1400" w:name="_Toc374454602"/>
      <w:bookmarkStart w:id="1401" w:name="_Toc339019891"/>
      <w:bookmarkStart w:id="1402" w:name="_Toc333237679"/>
      <w:bookmarkStart w:id="1403" w:name="_Toc339362302"/>
      <w:bookmarkStart w:id="1404" w:name="_Toc340507444"/>
      <w:bookmarkStart w:id="1405" w:name="_Toc332270348"/>
      <w:bookmarkStart w:id="1406" w:name="_Toc365985180"/>
      <w:bookmarkStart w:id="1407" w:name="_Toc339441089"/>
      <w:bookmarkStart w:id="1408" w:name="_Toc333238635"/>
      <w:bookmarkStart w:id="1409" w:name="_Toc342296762"/>
      <w:bookmarkStart w:id="1410" w:name="_Toc332206710"/>
      <w:bookmarkStart w:id="1411" w:name="_Toc340677072"/>
      <w:bookmarkStart w:id="1412" w:name="_Toc333237790"/>
      <w:bookmarkStart w:id="1413" w:name="_Toc340672871"/>
      <w:bookmarkStart w:id="1414" w:name="_Toc331684040"/>
      <w:bookmarkStart w:id="1415" w:name="_Toc31286"/>
      <w:bookmarkStart w:id="1416" w:name="_Toc345513903"/>
      <w:bookmarkStart w:id="1417" w:name="_Toc26031"/>
      <w:r>
        <w:rPr>
          <w:rFonts w:hint="eastAsia"/>
          <w:color w:val="000000" w:themeColor="text1"/>
          <w14:textFill>
            <w14:solidFill>
              <w14:schemeClr w14:val="tx1"/>
            </w14:solidFill>
          </w14:textFill>
        </w:rPr>
        <w:t>接受和拒绝投标的权利</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29</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评标委员会经评审认为所有投标都不符合招标文件要求的，或所有投标报价均超过预算价且招标人无法支付的，有权否决所有投标。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29.2</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招标代理机构将重新组织招标。</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418" w:name="_Toc374454603"/>
      <w:bookmarkStart w:id="1419" w:name="_Toc24611"/>
      <w:bookmarkStart w:id="1420" w:name="_Toc366072531"/>
      <w:bookmarkStart w:id="1421" w:name="_Toc13597"/>
      <w:r>
        <w:rPr>
          <w:rFonts w:hint="eastAsia"/>
          <w:color w:val="000000" w:themeColor="text1"/>
          <w14:textFill>
            <w14:solidFill>
              <w14:schemeClr w14:val="tx1"/>
            </w14:solidFill>
          </w14:textFill>
        </w:rPr>
        <w:t>发布中标结果公告和发放中标通知书</w:t>
      </w:r>
      <w:bookmarkEnd w:id="1418"/>
      <w:bookmarkEnd w:id="1419"/>
      <w:bookmarkEnd w:id="1420"/>
      <w:bookmarkEnd w:id="1421"/>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bookmarkStart w:id="1422" w:name="_Toc366072532"/>
      <w:r>
        <w:rPr>
          <w:rFonts w:hint="eastAsia" w:ascii="宋体" w:hAnsi="宋体"/>
          <w:color w:val="000000" w:themeColor="text1"/>
          <w:szCs w:val="21"/>
          <w14:textFill>
            <w14:solidFill>
              <w14:schemeClr w14:val="tx1"/>
            </w14:solidFill>
          </w14:textFill>
        </w:rPr>
        <w:t>30.1   招标人或其授权的评标委员会应按照评标报告中推荐的中标候选投标人排名顺序确定中标投标人。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30.2   中标投标人确认后，中标结果将于指定媒体上公告(</w:t>
      </w:r>
      <w:r>
        <w:rPr>
          <w:rFonts w:hint="eastAsia" w:ascii="黑体" w:eastAsia="黑体"/>
          <w:bCs/>
          <w:color w:val="000000" w:themeColor="text1"/>
          <w14:textFill>
            <w14:solidFill>
              <w14:schemeClr w14:val="tx1"/>
            </w14:solidFill>
          </w14:textFill>
        </w:rPr>
        <w:t>详见第三部分《投标人须知〈投标人须知前附表〉》</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。发布中标结果公告的同时，招标代理机构向中标投标人发出中标通知书。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30.3   未中标投标人，招标代理机构不再以其它方式另行通知。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30.4   中标通知书发出后，招标人改变中标结果，或者中标投标人放弃中标，应当承担相应的法律责任。</w:t>
      </w:r>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423" w:name="_Toc23187"/>
      <w:bookmarkStart w:id="1424" w:name="_Toc374454604"/>
      <w:bookmarkStart w:id="1425" w:name="_Toc21469"/>
      <w:r>
        <w:rPr>
          <w:rFonts w:hint="eastAsia"/>
          <w:color w:val="000000" w:themeColor="text1"/>
          <w14:textFill>
            <w14:solidFill>
              <w14:schemeClr w14:val="tx1"/>
            </w14:solidFill>
          </w14:textFill>
        </w:rPr>
        <w:t>投标人对中标结果的质疑、投诉</w:t>
      </w:r>
      <w:bookmarkEnd w:id="1422"/>
      <w:bookmarkEnd w:id="1423"/>
      <w:bookmarkEnd w:id="1424"/>
      <w:bookmarkEnd w:id="1425"/>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bookmarkStart w:id="1426" w:name="_Toc330459990"/>
      <w:bookmarkStart w:id="1427" w:name="_Toc339020020"/>
      <w:bookmarkStart w:id="1428" w:name="_Toc342296765"/>
      <w:bookmarkStart w:id="1429" w:name="_Toc333237793"/>
      <w:bookmarkStart w:id="1430" w:name="_Toc333238638"/>
      <w:bookmarkStart w:id="1431" w:name="_Toc333237682"/>
      <w:bookmarkStart w:id="1432" w:name="_Toc350438754"/>
      <w:bookmarkStart w:id="1433" w:name="_Toc331512903"/>
      <w:bookmarkStart w:id="1434" w:name="_Toc349127631"/>
      <w:bookmarkStart w:id="1435" w:name="_Toc339020100"/>
      <w:bookmarkStart w:id="1436" w:name="_Toc339019894"/>
      <w:bookmarkStart w:id="1437" w:name="_Toc340672874"/>
      <w:bookmarkStart w:id="1438" w:name="_Toc333935351"/>
      <w:bookmarkStart w:id="1439" w:name="_Toc332270351"/>
      <w:bookmarkStart w:id="1440" w:name="_Toc336681585"/>
      <w:bookmarkStart w:id="1441" w:name="_Toc340677075"/>
      <w:bookmarkStart w:id="1442" w:name="_Toc340507447"/>
      <w:bookmarkStart w:id="1443" w:name="_Toc365985183"/>
      <w:bookmarkStart w:id="1444" w:name="_Toc336681940"/>
      <w:bookmarkStart w:id="1445" w:name="_Toc339441092"/>
      <w:bookmarkStart w:id="1446" w:name="_Toc337632363"/>
      <w:bookmarkStart w:id="1447" w:name="_Toc331684043"/>
      <w:bookmarkStart w:id="1448" w:name="_Toc349143594"/>
      <w:bookmarkStart w:id="1449" w:name="_Toc339020238"/>
      <w:bookmarkStart w:id="1450" w:name="_Toc333935692"/>
      <w:bookmarkStart w:id="1451" w:name="_Toc365967077"/>
      <w:bookmarkStart w:id="1452" w:name="_Toc332206713"/>
      <w:bookmarkStart w:id="1453" w:name="_Toc342060379"/>
      <w:bookmarkStart w:id="1454" w:name="_Toc345513906"/>
      <w:bookmarkStart w:id="1455" w:name="_Toc341348343"/>
      <w:bookmarkStart w:id="1456" w:name="_Toc339362305"/>
      <w:bookmarkStart w:id="1457" w:name="_Toc350756455"/>
      <w:r>
        <w:rPr>
          <w:rFonts w:hint="eastAsia" w:ascii="宋体" w:hAnsi="宋体"/>
          <w:color w:val="000000" w:themeColor="text1"/>
          <w:szCs w:val="21"/>
          <w14:textFill>
            <w14:solidFill>
              <w14:schemeClr w14:val="tx1"/>
            </w14:solidFill>
          </w14:textFill>
        </w:rPr>
        <w:t>31.1</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投标人对中标公告有异议的，应当在中标结果公告发布之日起七个工作日内，以书面形式向招标人或招标代理机构提出质疑。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31.2   招标人或招标代理机构应当在收到投标投标人书面质疑后七个工作日内，对质疑内容作出答复。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31.3   投标人对招标人或招标代理机构的答复不满意或者招标人、招标代理机构未在规定时间内答复的，可以在答复期满后十五个工作日内按有关规定，向同级人民政府财政部门投诉。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31.6   质疑函应当署名。质疑投标人为自然人的，应当由本人签字；质疑投标人为法人或其他组织的，应由法定代表人（负责人）或者其授权代理人签字并盖公章。</w:t>
      </w:r>
    </w:p>
    <w:p>
      <w:pPr>
        <w:pStyle w:val="4"/>
        <w:numPr>
          <w:ilvl w:val="0"/>
          <w:numId w:val="0"/>
        </w:numPr>
        <w:rPr>
          <w:color w:val="000000" w:themeColor="text1"/>
          <w:sz w:val="24"/>
          <w14:textFill>
            <w14:solidFill>
              <w14:schemeClr w14:val="tx1"/>
            </w14:solidFill>
          </w14:textFill>
        </w:rPr>
      </w:pPr>
      <w:bookmarkStart w:id="1458" w:name="_Toc366072533"/>
      <w:bookmarkStart w:id="1459" w:name="_Toc374454605"/>
      <w:r>
        <w:rPr>
          <w:color w:val="000000" w:themeColor="text1"/>
          <w:sz w:val="24"/>
          <w14:textFill>
            <w14:solidFill>
              <w14:schemeClr w14:val="tx1"/>
            </w14:solidFill>
          </w14:textFill>
        </w:rPr>
        <w:br w:type="page"/>
      </w:r>
      <w:bookmarkStart w:id="1460" w:name="_Toc14695"/>
      <w:bookmarkStart w:id="1461" w:name="_Toc22110"/>
      <w:r>
        <w:rPr>
          <w:rFonts w:hint="eastAsia"/>
          <w:color w:val="000000" w:themeColor="text1"/>
          <w:sz w:val="24"/>
          <w14:textFill>
            <w14:solidFill>
              <w14:schemeClr w14:val="tx1"/>
            </w14:solidFill>
          </w14:textFill>
        </w:rPr>
        <w:t>Ｆ  授予合同</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462" w:name="_Toc339020239"/>
      <w:bookmarkStart w:id="1463" w:name="_Toc340672875"/>
      <w:bookmarkStart w:id="1464" w:name="_Toc339020021"/>
      <w:bookmarkStart w:id="1465" w:name="_Toc330459991"/>
      <w:bookmarkStart w:id="1466" w:name="_Toc480020276"/>
      <w:bookmarkStart w:id="1467" w:name="_Toc479991601"/>
      <w:bookmarkStart w:id="1468" w:name="_Toc366072534"/>
      <w:bookmarkStart w:id="1469" w:name="_Toc350438755"/>
      <w:bookmarkStart w:id="1470" w:name="_Toc339019895"/>
      <w:bookmarkStart w:id="1471" w:name="_Toc365985184"/>
      <w:bookmarkStart w:id="1472" w:name="_Toc342296766"/>
      <w:bookmarkStart w:id="1473" w:name="_Toc333237794"/>
      <w:bookmarkStart w:id="1474" w:name="_Toc350756456"/>
      <w:bookmarkStart w:id="1475" w:name="_Toc500861016"/>
      <w:bookmarkStart w:id="1476" w:name="_Toc331512904"/>
      <w:bookmarkStart w:id="1477" w:name="_Toc340677076"/>
      <w:bookmarkStart w:id="1478" w:name="_Toc342060380"/>
      <w:bookmarkStart w:id="1479" w:name="_Toc374454606"/>
      <w:bookmarkStart w:id="1480" w:name="_Toc341348344"/>
      <w:bookmarkStart w:id="1481" w:name="_Toc365967078"/>
      <w:bookmarkStart w:id="1482" w:name="_Toc333935693"/>
      <w:bookmarkStart w:id="1483" w:name="_Toc468606048"/>
      <w:bookmarkStart w:id="1484" w:name="_Toc349127632"/>
      <w:bookmarkStart w:id="1485" w:name="_Toc345513907"/>
      <w:bookmarkStart w:id="1486" w:name="_Toc336681586"/>
      <w:bookmarkStart w:id="1487" w:name="_Toc468157555"/>
      <w:bookmarkStart w:id="1488" w:name="_Toc333237683"/>
      <w:bookmarkStart w:id="1489" w:name="_Toc332206714"/>
      <w:bookmarkStart w:id="1490" w:name="_Toc336681941"/>
      <w:bookmarkStart w:id="1491" w:name="_Toc331684044"/>
      <w:bookmarkStart w:id="1492" w:name="_Toc467236759"/>
      <w:bookmarkStart w:id="1493" w:name="_Toc349143595"/>
      <w:bookmarkStart w:id="1494" w:name="_Toc339020101"/>
      <w:bookmarkStart w:id="1495" w:name="_Toc24825"/>
      <w:bookmarkStart w:id="1496" w:name="_Toc332270352"/>
      <w:bookmarkStart w:id="1497" w:name="_Toc467987842"/>
      <w:bookmarkStart w:id="1498" w:name="_Toc480010727"/>
      <w:bookmarkStart w:id="1499" w:name="_Toc337632364"/>
      <w:bookmarkStart w:id="1500" w:name="_Toc31289"/>
      <w:bookmarkStart w:id="1501" w:name="_Toc339362306"/>
      <w:bookmarkStart w:id="1502" w:name="_Toc333935352"/>
      <w:bookmarkStart w:id="1503" w:name="_Toc340507448"/>
      <w:bookmarkStart w:id="1504" w:name="_Toc339441093"/>
      <w:bookmarkStart w:id="1505" w:name="_Toc333238639"/>
      <w:bookmarkStart w:id="1506" w:name="_Toc491658670"/>
      <w:bookmarkStart w:id="1507" w:name="_Toc480021072"/>
      <w:bookmarkStart w:id="1508" w:name="_Toc454701400"/>
      <w:bookmarkStart w:id="1509" w:name="_Toc458262633"/>
      <w:r>
        <w:rPr>
          <w:rFonts w:hint="eastAsia"/>
          <w:color w:val="000000" w:themeColor="text1"/>
          <w14:textFill>
            <w14:solidFill>
              <w14:schemeClr w14:val="tx1"/>
            </w14:solidFill>
          </w14:textFill>
        </w:rPr>
        <w:t>合同授予标准</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2</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按第30条规定，招标人将把合同授予此次招标的中标投标人。</w:t>
      </w:r>
    </w:p>
    <w:bookmarkEnd w:id="1508"/>
    <w:bookmarkEnd w:id="1509"/>
    <w:p>
      <w:pPr>
        <w:pStyle w:val="5"/>
        <w:numPr>
          <w:ilvl w:val="4"/>
          <w:numId w:val="25"/>
        </w:numPr>
        <w:tabs>
          <w:tab w:val="left" w:pos="720"/>
        </w:tabs>
        <w:spacing w:before="240" w:after="120"/>
        <w:ind w:left="2432" w:hanging="2432"/>
        <w:rPr>
          <w:color w:val="000000" w:themeColor="text1"/>
          <w14:textFill>
            <w14:solidFill>
              <w14:schemeClr w14:val="tx1"/>
            </w14:solidFill>
          </w14:textFill>
        </w:rPr>
      </w:pPr>
      <w:bookmarkStart w:id="1510" w:name="_Toc339020102"/>
      <w:bookmarkStart w:id="1511" w:name="_Toc345513908"/>
      <w:bookmarkStart w:id="1512" w:name="_Toc333935694"/>
      <w:bookmarkStart w:id="1513" w:name="_Toc458262635"/>
      <w:bookmarkStart w:id="1514" w:name="_Toc480020280"/>
      <w:bookmarkStart w:id="1515" w:name="_Toc365967079"/>
      <w:bookmarkStart w:id="1516" w:name="_Toc340677077"/>
      <w:bookmarkStart w:id="1517" w:name="_Toc331512905"/>
      <w:bookmarkStart w:id="1518" w:name="_Toc336681942"/>
      <w:bookmarkStart w:id="1519" w:name="_Toc467987846"/>
      <w:bookmarkStart w:id="1520" w:name="_Toc333238640"/>
      <w:bookmarkStart w:id="1521" w:name="_Toc333935353"/>
      <w:bookmarkStart w:id="1522" w:name="_Toc500861020"/>
      <w:bookmarkStart w:id="1523" w:name="_Toc454701402"/>
      <w:bookmarkStart w:id="1524" w:name="_Toc480021076"/>
      <w:bookmarkStart w:id="1525" w:name="_Toc468606052"/>
      <w:bookmarkStart w:id="1526" w:name="_Toc467236763"/>
      <w:bookmarkStart w:id="1527" w:name="_Toc350756457"/>
      <w:bookmarkStart w:id="1528" w:name="_Toc341348345"/>
      <w:bookmarkStart w:id="1529" w:name="_Toc350438756"/>
      <w:bookmarkStart w:id="1530" w:name="_Toc330459992"/>
      <w:bookmarkStart w:id="1531" w:name="_Toc339020240"/>
      <w:bookmarkStart w:id="1532" w:name="_Toc339020022"/>
      <w:bookmarkStart w:id="1533" w:name="_Toc333237795"/>
      <w:bookmarkStart w:id="1534" w:name="_Toc374454607"/>
      <w:bookmarkStart w:id="1535" w:name="_Toc365985185"/>
      <w:bookmarkStart w:id="1536" w:name="_Toc18755"/>
      <w:bookmarkStart w:id="1537" w:name="_Toc340672876"/>
      <w:bookmarkStart w:id="1538" w:name="_Toc339019896"/>
      <w:bookmarkStart w:id="1539" w:name="_Toc349143596"/>
      <w:bookmarkStart w:id="1540" w:name="_Toc342060381"/>
      <w:bookmarkStart w:id="1541" w:name="_Toc339441094"/>
      <w:bookmarkStart w:id="1542" w:name="_Toc332270353"/>
      <w:bookmarkStart w:id="1543" w:name="_Toc331684045"/>
      <w:bookmarkStart w:id="1544" w:name="_Toc342296767"/>
      <w:bookmarkStart w:id="1545" w:name="_Toc339362307"/>
      <w:bookmarkStart w:id="1546" w:name="_Toc333237684"/>
      <w:bookmarkStart w:id="1547" w:name="_Toc479991605"/>
      <w:bookmarkStart w:id="1548" w:name="_Toc349127633"/>
      <w:bookmarkStart w:id="1549" w:name="_Toc468157559"/>
      <w:bookmarkStart w:id="1550" w:name="_Toc366072535"/>
      <w:bookmarkStart w:id="1551" w:name="_Toc337632365"/>
      <w:bookmarkStart w:id="1552" w:name="_Toc332206715"/>
      <w:bookmarkStart w:id="1553" w:name="_Toc480010731"/>
      <w:bookmarkStart w:id="1554" w:name="_Toc340507449"/>
      <w:bookmarkStart w:id="1555" w:name="_Toc336681587"/>
      <w:bookmarkStart w:id="1556" w:name="_Toc32520"/>
      <w:bookmarkStart w:id="1557" w:name="_Toc491658674"/>
      <w:r>
        <w:rPr>
          <w:rFonts w:hint="eastAsia"/>
          <w:color w:val="000000" w:themeColor="text1"/>
          <w14:textFill>
            <w14:solidFill>
              <w14:schemeClr w14:val="tx1"/>
            </w14:solidFill>
          </w14:textFill>
        </w:rPr>
        <w:t>签订合同</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bookmarkStart w:id="1558" w:name="_Toc370309169"/>
      <w:bookmarkStart w:id="1559" w:name="_Toc374093632"/>
      <w:bookmarkStart w:id="1560" w:name="_Toc366072536"/>
      <w:bookmarkStart w:id="1561" w:name="_Toc379896705"/>
      <w:bookmarkStart w:id="1562" w:name="_Toc372209289"/>
      <w:bookmarkStart w:id="1563" w:name="_Toc367095382"/>
      <w:bookmarkStart w:id="1564" w:name="_Toc377129068"/>
      <w:bookmarkStart w:id="1565" w:name="_Toc373401413"/>
      <w:bookmarkStart w:id="1566" w:name="_Toc383069738"/>
      <w:bookmarkStart w:id="1567" w:name="_Toc366681897"/>
      <w:bookmarkStart w:id="1568" w:name="_Toc378261823"/>
      <w:bookmarkStart w:id="1569" w:name="_Toc370983962"/>
      <w:bookmarkStart w:id="1570" w:name="_Toc369700990"/>
      <w:bookmarkStart w:id="1571" w:name="_Toc374454608"/>
      <w:bookmarkStart w:id="1572" w:name="_Toc339020103"/>
      <w:bookmarkStart w:id="1573" w:name="_Toc339019897"/>
      <w:bookmarkStart w:id="1574" w:name="_Toc332270354"/>
      <w:bookmarkStart w:id="1575" w:name="_Toc341348346"/>
      <w:bookmarkStart w:id="1576" w:name="_Toc340507450"/>
      <w:bookmarkStart w:id="1577" w:name="_Toc333935695"/>
      <w:bookmarkStart w:id="1578" w:name="_Toc350438757"/>
      <w:bookmarkStart w:id="1579" w:name="_Toc331684046"/>
      <w:bookmarkStart w:id="1580" w:name="_Toc336681943"/>
      <w:bookmarkStart w:id="1581" w:name="_Toc337632366"/>
      <w:bookmarkStart w:id="1582" w:name="_Toc333237685"/>
      <w:bookmarkStart w:id="1583" w:name="_Toc333238641"/>
      <w:bookmarkStart w:id="1584" w:name="_Toc365967080"/>
      <w:bookmarkStart w:id="1585" w:name="_Toc331512906"/>
      <w:bookmarkStart w:id="1586" w:name="_Toc332206716"/>
      <w:bookmarkStart w:id="1587" w:name="_Toc339020023"/>
      <w:bookmarkStart w:id="1588" w:name="_Toc342060382"/>
      <w:bookmarkStart w:id="1589" w:name="_Toc345513909"/>
      <w:bookmarkStart w:id="1590" w:name="_Toc349127634"/>
      <w:bookmarkStart w:id="1591" w:name="_Toc336681588"/>
      <w:bookmarkStart w:id="1592" w:name="_Toc349143597"/>
      <w:bookmarkStart w:id="1593" w:name="_Toc365985186"/>
      <w:bookmarkStart w:id="1594" w:name="_Toc339020241"/>
      <w:bookmarkStart w:id="1595" w:name="_Toc333935354"/>
      <w:bookmarkStart w:id="1596" w:name="_Toc342296768"/>
      <w:bookmarkStart w:id="1597" w:name="_Toc330459993"/>
      <w:bookmarkStart w:id="1598" w:name="_Toc340677078"/>
      <w:bookmarkStart w:id="1599" w:name="_Toc340672877"/>
      <w:bookmarkStart w:id="1600" w:name="_Toc350756458"/>
      <w:bookmarkStart w:id="1601" w:name="_Toc333237796"/>
      <w:bookmarkStart w:id="1602" w:name="_Toc339441095"/>
      <w:bookmarkStart w:id="1603" w:name="_Toc339362308"/>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3</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招标人应当按照招标文件和中标投标人投标文件的约定，与中标投标人签订书面合同。所签订的合同不得对招标文件和中标投标人投标文件作实质性修改。招标人不得向中标投标人提出任何不合理的要求，作为签订合同的条件，不得与中标投标人私下订立背离合同实质性内容的协议。</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3</w:t>
      </w: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招标人应当自采购合同签订之日起七个工作日内，按照有关规定将采购合同副本报招标代理机构备案。</w:t>
      </w: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hint="eastAsia" w:ascii="宋体" w:hAnsi="宋体" w:cs="Arial"/>
          <w:color w:val="000000" w:themeColor="text1"/>
          <w:szCs w:val="21"/>
          <w14:textFill>
            <w14:solidFill>
              <w14:schemeClr w14:val="tx1"/>
            </w14:solidFill>
          </w14:textFill>
        </w:rPr>
        <w:t xml:space="preserve">33.3   </w:t>
      </w:r>
      <w:r>
        <w:rPr>
          <w:rFonts w:hint="eastAsia" w:ascii="宋体" w:hAnsi="宋体"/>
          <w:bCs/>
          <w:color w:val="000000" w:themeColor="text1"/>
          <w14:textFill>
            <w14:solidFill>
              <w14:schemeClr w14:val="tx1"/>
            </w14:solidFill>
          </w14:textFill>
        </w:rPr>
        <w:t>中标人</w:t>
      </w:r>
      <w:r>
        <w:rPr>
          <w:rFonts w:ascii="宋体" w:hAnsi="宋体"/>
          <w:bCs/>
          <w:color w:val="000000" w:themeColor="text1"/>
          <w14:textFill>
            <w14:solidFill>
              <w14:schemeClr w14:val="tx1"/>
            </w14:solidFill>
          </w14:textFill>
        </w:rPr>
        <w:t>拒绝与</w:t>
      </w:r>
      <w:r>
        <w:rPr>
          <w:rFonts w:hint="eastAsia" w:ascii="宋体" w:hAnsi="宋体"/>
          <w:bCs/>
          <w:color w:val="000000" w:themeColor="text1"/>
          <w14:textFill>
            <w14:solidFill>
              <w14:schemeClr w14:val="tx1"/>
            </w14:solidFill>
          </w14:textFill>
        </w:rPr>
        <w:t>招标人</w:t>
      </w:r>
      <w:r>
        <w:rPr>
          <w:rFonts w:ascii="宋体" w:hAnsi="宋体"/>
          <w:bCs/>
          <w:color w:val="000000" w:themeColor="text1"/>
          <w14:textFill>
            <w14:solidFill>
              <w14:schemeClr w14:val="tx1"/>
            </w14:solidFill>
          </w14:textFill>
        </w:rPr>
        <w:t>签订合同的，</w:t>
      </w:r>
      <w:r>
        <w:rPr>
          <w:rFonts w:hint="eastAsia" w:ascii="宋体" w:hAnsi="宋体"/>
          <w:bCs/>
          <w:color w:val="000000" w:themeColor="text1"/>
          <w14:textFill>
            <w14:solidFill>
              <w14:schemeClr w14:val="tx1"/>
            </w14:solidFill>
          </w14:textFill>
        </w:rPr>
        <w:t>招标人</w:t>
      </w:r>
      <w:r>
        <w:rPr>
          <w:rFonts w:ascii="宋体" w:hAnsi="宋体"/>
          <w:bCs/>
          <w:color w:val="000000" w:themeColor="text1"/>
          <w14:textFill>
            <w14:solidFill>
              <w14:schemeClr w14:val="tx1"/>
            </w14:solidFill>
          </w14:textFill>
        </w:rPr>
        <w:t>可以按照评审报告推荐的</w:t>
      </w:r>
      <w:r>
        <w:rPr>
          <w:rFonts w:hint="eastAsia" w:ascii="宋体" w:hAnsi="宋体"/>
          <w:bCs/>
          <w:color w:val="000000" w:themeColor="text1"/>
          <w14:textFill>
            <w14:solidFill>
              <w14:schemeClr w14:val="tx1"/>
            </w14:solidFill>
          </w14:textFill>
        </w:rPr>
        <w:t>中标人</w:t>
      </w:r>
      <w:r>
        <w:rPr>
          <w:rFonts w:ascii="宋体" w:hAnsi="宋体"/>
          <w:bCs/>
          <w:color w:val="000000" w:themeColor="text1"/>
          <w14:textFill>
            <w14:solidFill>
              <w14:schemeClr w14:val="tx1"/>
            </w14:solidFill>
          </w14:textFill>
        </w:rPr>
        <w:t>候选人名单排序，确定下一候选人为</w:t>
      </w:r>
      <w:r>
        <w:rPr>
          <w:rFonts w:hint="eastAsia" w:ascii="宋体" w:hAnsi="宋体"/>
          <w:bCs/>
          <w:color w:val="000000" w:themeColor="text1"/>
          <w14:textFill>
            <w14:solidFill>
              <w14:schemeClr w14:val="tx1"/>
            </w14:solidFill>
          </w14:textFill>
        </w:rPr>
        <w:t>中标人</w:t>
      </w:r>
      <w:r>
        <w:rPr>
          <w:rFonts w:ascii="宋体" w:hAnsi="宋体"/>
          <w:bCs/>
          <w:color w:val="000000" w:themeColor="text1"/>
          <w14:textFill>
            <w14:solidFill>
              <w14:schemeClr w14:val="tx1"/>
            </w14:solidFill>
          </w14:textFill>
        </w:rPr>
        <w:t>，也可以重新开展采购活动</w:t>
      </w:r>
      <w:r>
        <w:rPr>
          <w:rFonts w:hint="eastAsia" w:ascii="宋体" w:hAnsi="宋体"/>
          <w:bCs/>
          <w:color w:val="000000" w:themeColor="text1"/>
          <w14:textFill>
            <w14:solidFill>
              <w14:schemeClr w14:val="tx1"/>
            </w14:solidFill>
          </w14:textFill>
        </w:rPr>
        <w:t>。</w:t>
      </w: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Pr>
        <w:pStyle w:val="4"/>
        <w:numPr>
          <w:ilvl w:val="0"/>
          <w:numId w:val="0"/>
        </w:numPr>
        <w:rPr>
          <w:color w:val="000000" w:themeColor="text1"/>
          <w:sz w:val="24"/>
          <w14:textFill>
            <w14:solidFill>
              <w14:schemeClr w14:val="tx1"/>
            </w14:solidFill>
          </w14:textFill>
        </w:rPr>
      </w:pPr>
      <w:bookmarkStart w:id="1604" w:name="_Toc15671"/>
      <w:bookmarkStart w:id="1605" w:name="_Toc31945"/>
      <w:bookmarkStart w:id="1606" w:name="_Toc480021079"/>
      <w:bookmarkStart w:id="1607" w:name="_Toc491658677"/>
      <w:bookmarkStart w:id="1608" w:name="_Toc467987849"/>
      <w:bookmarkStart w:id="1609" w:name="_Toc480010734"/>
      <w:bookmarkStart w:id="1610" w:name="_Toc468606055"/>
      <w:bookmarkStart w:id="1611" w:name="_Toc479991608"/>
      <w:bookmarkStart w:id="1612" w:name="_Toc500861024"/>
      <w:bookmarkStart w:id="1613" w:name="_Toc480020283"/>
      <w:bookmarkStart w:id="1614" w:name="_Toc467236766"/>
      <w:bookmarkStart w:id="1615" w:name="_Toc468157562"/>
      <w:r>
        <w:rPr>
          <w:rFonts w:hint="eastAsia"/>
          <w:color w:val="000000" w:themeColor="text1"/>
          <w:sz w:val="24"/>
          <w14:textFill>
            <w14:solidFill>
              <w14:schemeClr w14:val="tx1"/>
            </w14:solidFill>
          </w14:textFill>
        </w:rPr>
        <w:t>G、评标细则</w:t>
      </w:r>
      <w:bookmarkEnd w:id="1604"/>
      <w:bookmarkEnd w:id="1605"/>
    </w:p>
    <w:p>
      <w:pPr>
        <w:pStyle w:val="23"/>
        <w:widowControl/>
        <w:tabs>
          <w:tab w:val="left" w:pos="753"/>
        </w:tabs>
        <w:adjustRightInd w:val="0"/>
        <w:snapToGrid w:val="0"/>
        <w:spacing w:line="360" w:lineRule="auto"/>
        <w:ind w:left="752" w:hanging="751" w:hangingChars="358"/>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采用计分法（综合评价法）来确定各投标人的排名。其操作程序为：</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14:textFill>
            <w14:solidFill>
              <w14:schemeClr w14:val="tx1"/>
            </w14:solidFill>
          </w14:textFill>
        </w:rPr>
      </w:pPr>
      <w:r>
        <w:rPr>
          <w:rFonts w:hint="eastAsia" w:ascii="宋体" w:hAnsi="宋体" w:eastAsia="宋体"/>
          <w:bCs/>
          <w:color w:val="000000" w:themeColor="text1"/>
          <w:sz w:val="21"/>
          <w14:textFill>
            <w14:solidFill>
              <w14:schemeClr w14:val="tx1"/>
            </w14:solidFill>
          </w14:textFill>
        </w:rPr>
        <w:t>根据招标文件和评标原则，按下表（评价指标和权重表）所列评价指标和各评价指标的权重进行评标。</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14:textFill>
            <w14:solidFill>
              <w14:schemeClr w14:val="tx1"/>
            </w14:solidFill>
          </w14:textFill>
        </w:rPr>
      </w:pPr>
      <w:r>
        <w:rPr>
          <w:rFonts w:hint="eastAsia" w:ascii="宋体" w:hAnsi="宋体" w:eastAsia="宋体"/>
          <w:bCs/>
          <w:color w:val="000000" w:themeColor="text1"/>
          <w:sz w:val="21"/>
          <w14:textFill>
            <w14:solidFill>
              <w14:schemeClr w14:val="tx1"/>
            </w14:solidFill>
          </w14:textFill>
        </w:rPr>
        <w:t>由评委独立地根据各项指标的评价标准，结合每个投标人的实际情况，分别就投标报价以外的各项指标对每个投标人独立打分。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14:textFill>
            <w14:solidFill>
              <w14:schemeClr w14:val="tx1"/>
            </w14:solidFill>
          </w14:textFill>
        </w:rPr>
      </w:pPr>
      <w:r>
        <w:rPr>
          <w:rFonts w:hint="eastAsia" w:ascii="宋体" w:hAnsi="宋体" w:eastAsia="宋体"/>
          <w:bCs/>
          <w:color w:val="000000" w:themeColor="text1"/>
          <w:sz w:val="21"/>
          <w14:textFill>
            <w14:solidFill>
              <w14:schemeClr w14:val="tx1"/>
            </w14:solidFill>
          </w14:textFill>
        </w:rPr>
        <w:t>技术部分和商务部分得分结果为全部评委评价指标评分的算术平均值。</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14:textFill>
            <w14:solidFill>
              <w14:schemeClr w14:val="tx1"/>
            </w14:solidFill>
          </w14:textFill>
        </w:rPr>
      </w:pPr>
      <w:r>
        <w:rPr>
          <w:rFonts w:hint="eastAsia" w:ascii="宋体" w:hAnsi="宋体" w:eastAsia="宋体"/>
          <w:bCs/>
          <w:color w:val="000000" w:themeColor="text1"/>
          <w:sz w:val="21"/>
          <w14:textFill>
            <w14:solidFill>
              <w14:schemeClr w14:val="tx1"/>
            </w14:solidFill>
          </w14:textFill>
        </w:rPr>
        <w:t>将所有评价指标所得实际评价分数相加，即为该投标人的综合得分。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14:textFill>
            <w14:solidFill>
              <w14:schemeClr w14:val="tx1"/>
            </w14:solidFill>
          </w14:textFill>
        </w:rPr>
      </w:pPr>
      <w:r>
        <w:rPr>
          <w:rFonts w:hint="eastAsia" w:ascii="宋体" w:hAnsi="宋体" w:eastAsia="宋体"/>
          <w:bCs/>
          <w:color w:val="000000" w:themeColor="text1"/>
          <w:sz w:val="21"/>
          <w14:textFill>
            <w14:solidFill>
              <w14:schemeClr w14:val="tx1"/>
            </w14:solidFill>
          </w14:textFill>
        </w:rPr>
        <w:t>评标委员会将推荐综合得分最高的投标人为该项目的中标候选人。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评价指标及权重：</w:t>
      </w:r>
    </w:p>
    <w:p>
      <w:pPr>
        <w:rPr>
          <w:color w:val="000000" w:themeColor="text1"/>
          <w14:textFill>
            <w14:solidFill>
              <w14:schemeClr w14:val="tx1"/>
            </w14:solidFill>
          </w14:textFill>
        </w:rPr>
      </w:pPr>
    </w:p>
    <w:tbl>
      <w:tblPr>
        <w:tblStyle w:val="48"/>
        <w:tblW w:w="8654" w:type="dxa"/>
        <w:jc w:val="center"/>
        <w:tblLayout w:type="fixed"/>
        <w:tblCellMar>
          <w:top w:w="0" w:type="dxa"/>
          <w:left w:w="0" w:type="dxa"/>
          <w:bottom w:w="0" w:type="dxa"/>
          <w:right w:w="0" w:type="dxa"/>
        </w:tblCellMar>
      </w:tblPr>
      <w:tblGrid>
        <w:gridCol w:w="2570"/>
        <w:gridCol w:w="2873"/>
        <w:gridCol w:w="3211"/>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评分项目</w:t>
            </w:r>
          </w:p>
        </w:tc>
        <w:tc>
          <w:tcPr>
            <w:tcW w:w="28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技术评分</w:t>
            </w:r>
          </w:p>
        </w:tc>
        <w:tc>
          <w:tcPr>
            <w:tcW w:w="3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商务评分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分值</w:t>
            </w:r>
          </w:p>
        </w:tc>
        <w:tc>
          <w:tcPr>
            <w:tcW w:w="28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0分</w:t>
            </w:r>
          </w:p>
        </w:tc>
        <w:tc>
          <w:tcPr>
            <w:tcW w:w="32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0分</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技术评分细则：</w:t>
      </w:r>
    </w:p>
    <w:tbl>
      <w:tblPr>
        <w:tblStyle w:val="48"/>
        <w:tblW w:w="10012" w:type="dxa"/>
        <w:jc w:val="center"/>
        <w:shd w:val="clear" w:color="auto" w:fill="FFFFFF"/>
        <w:tblLayout w:type="fixed"/>
        <w:tblCellMar>
          <w:top w:w="0" w:type="dxa"/>
          <w:left w:w="0" w:type="dxa"/>
          <w:bottom w:w="0" w:type="dxa"/>
          <w:right w:w="0" w:type="dxa"/>
        </w:tblCellMar>
      </w:tblPr>
      <w:tblGrid>
        <w:gridCol w:w="659"/>
        <w:gridCol w:w="1567"/>
        <w:gridCol w:w="783"/>
        <w:gridCol w:w="7003"/>
      </w:tblGrid>
      <w:tr>
        <w:tblPrEx>
          <w:tblCellMar>
            <w:top w:w="0" w:type="dxa"/>
            <w:left w:w="0" w:type="dxa"/>
            <w:bottom w:w="0" w:type="dxa"/>
            <w:right w:w="0" w:type="dxa"/>
          </w:tblCellMar>
        </w:tblPrEx>
        <w:trPr>
          <w:cantSplit/>
          <w:trHeight w:val="460" w:hRule="atLeast"/>
          <w:tblHeader/>
          <w:jc w:val="center"/>
        </w:trPr>
        <w:tc>
          <w:tcPr>
            <w:tcW w:w="6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5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评审内容</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分值</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评审标准</w:t>
            </w:r>
          </w:p>
        </w:tc>
      </w:tr>
      <w:tr>
        <w:tblPrEx>
          <w:shd w:val="clear" w:color="auto" w:fill="FFFFFF"/>
          <w:tblCellMar>
            <w:top w:w="0" w:type="dxa"/>
            <w:left w:w="0" w:type="dxa"/>
            <w:bottom w:w="0" w:type="dxa"/>
            <w:right w:w="0" w:type="dxa"/>
          </w:tblCellMar>
        </w:tblPrEx>
        <w:trPr>
          <w:cantSplit/>
          <w:trHeight w:val="1213" w:hRule="atLeast"/>
          <w:jc w:val="center"/>
        </w:trPr>
        <w:tc>
          <w:tcPr>
            <w:tcW w:w="6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5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服务组织方案</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根据各投标人提供的服务实施方案（须包含总体工作计划、阶段性工作计划、实施办法和执行措施），是否能够回应服务需求、详细全面具体、合理可行，实施办法和具体执行措施是否具有可操作性、是否能便捷及时有效的提供专业服务等方面进行综合评价：</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1、方案全面、具体、合理，具有可操作性，完全能够回应服务需求的，得10分；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2、方案较全面、具体、合理较好，具有可操作性，能够较好回应服务需求的，得7分；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3、方案基本合理但不全面，具有一定可操作性，基本能够回应服务需求的，得4分；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ascii="宋体" w:hAnsi="宋体"/>
                <w:color w:val="000000" w:themeColor="text1"/>
                <w:spacing w:val="-6"/>
                <w:szCs w:val="21"/>
                <w14:textFill>
                  <w14:solidFill>
                    <w14:schemeClr w14:val="tx1"/>
                  </w14:solidFill>
                </w14:textFill>
              </w:rPr>
              <w:t>4</w:t>
            </w:r>
            <w:r>
              <w:rPr>
                <w:rFonts w:hint="eastAsia" w:ascii="宋体" w:hAnsi="宋体"/>
                <w:color w:val="000000" w:themeColor="text1"/>
                <w:spacing w:val="-6"/>
                <w:szCs w:val="21"/>
                <w14:textFill>
                  <w14:solidFill>
                    <w14:schemeClr w14:val="tx1"/>
                  </w14:solidFill>
                </w14:textFill>
              </w:rPr>
              <w:t>、方案不够合理，操作性不强，回应服务需求一般的，得2分；</w:t>
            </w:r>
          </w:p>
          <w:p>
            <w:pPr>
              <w:widowControl/>
              <w:adjustRightInd w:val="0"/>
              <w:snapToGrid w:val="0"/>
              <w:spacing w:line="320" w:lineRule="exact"/>
              <w:rPr>
                <w:rFonts w:ascii="宋体" w:hAnsi="宋体"/>
                <w:color w:val="000000" w:themeColor="text1"/>
                <w:szCs w:val="21"/>
                <w14:textFill>
                  <w14:solidFill>
                    <w14:schemeClr w14:val="tx1"/>
                  </w14:solidFill>
                </w14:textFill>
              </w:rPr>
            </w:pPr>
            <w:r>
              <w:rPr>
                <w:rFonts w:ascii="宋体" w:hAnsi="宋体"/>
                <w:color w:val="000000" w:themeColor="text1"/>
                <w:spacing w:val="-6"/>
                <w:szCs w:val="21"/>
                <w14:textFill>
                  <w14:solidFill>
                    <w14:schemeClr w14:val="tx1"/>
                  </w14:solidFill>
                </w14:textFill>
              </w:rPr>
              <w:t>5</w:t>
            </w:r>
            <w:r>
              <w:rPr>
                <w:rFonts w:hint="eastAsia" w:ascii="宋体" w:hAnsi="宋体"/>
                <w:color w:val="000000" w:themeColor="text1"/>
                <w:spacing w:val="-6"/>
                <w:szCs w:val="21"/>
                <w14:textFill>
                  <w14:solidFill>
                    <w14:schemeClr w14:val="tx1"/>
                  </w14:solidFill>
                </w14:textFill>
              </w:rPr>
              <w:t>、投标人须提供相关方案说明，否则不得分。</w:t>
            </w:r>
          </w:p>
        </w:tc>
      </w:tr>
      <w:tr>
        <w:tblPrEx>
          <w:shd w:val="clear" w:color="auto" w:fill="FFFFFF"/>
          <w:tblCellMar>
            <w:top w:w="0" w:type="dxa"/>
            <w:left w:w="0" w:type="dxa"/>
            <w:bottom w:w="0" w:type="dxa"/>
            <w:right w:w="0" w:type="dxa"/>
          </w:tblCellMar>
        </w:tblPrEx>
        <w:trPr>
          <w:cantSplit/>
          <w:trHeight w:val="929" w:hRule="atLeast"/>
          <w:jc w:val="center"/>
        </w:trPr>
        <w:tc>
          <w:tcPr>
            <w:tcW w:w="6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5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质量控制措施</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分</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1.针对项目质量要求，制定出实现质量目标的具体保证措施，并根据工作内容、重点和难点进行分析并制定出相应的处理方法，得</w:t>
            </w:r>
            <w:r>
              <w:rPr>
                <w:rFonts w:ascii="宋体" w:hAnsi="宋体"/>
                <w:color w:val="000000" w:themeColor="text1"/>
                <w:spacing w:val="-6"/>
                <w:szCs w:val="21"/>
                <w14:textFill>
                  <w14:solidFill>
                    <w14:schemeClr w14:val="tx1"/>
                  </w14:solidFill>
                </w14:textFill>
              </w:rPr>
              <w:t>4</w:t>
            </w:r>
            <w:r>
              <w:rPr>
                <w:rFonts w:hint="eastAsia" w:ascii="宋体" w:hAnsi="宋体"/>
                <w:color w:val="000000" w:themeColor="text1"/>
                <w:spacing w:val="-6"/>
                <w:szCs w:val="21"/>
                <w14:textFill>
                  <w14:solidFill>
                    <w14:schemeClr w14:val="tx1"/>
                  </w14:solidFill>
                </w14:textFill>
              </w:rPr>
              <w:t>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2.质量控制措施不明确，分析不全面的，得</w:t>
            </w:r>
            <w:r>
              <w:rPr>
                <w:rFonts w:ascii="宋体" w:hAnsi="宋体"/>
                <w:color w:val="000000" w:themeColor="text1"/>
                <w:spacing w:val="-6"/>
                <w:szCs w:val="21"/>
                <w14:textFill>
                  <w14:solidFill>
                    <w14:schemeClr w14:val="tx1"/>
                  </w14:solidFill>
                </w14:textFill>
              </w:rPr>
              <w:t>2</w:t>
            </w:r>
            <w:r>
              <w:rPr>
                <w:rFonts w:hint="eastAsia" w:ascii="宋体" w:hAnsi="宋体"/>
                <w:color w:val="000000" w:themeColor="text1"/>
                <w:spacing w:val="-6"/>
                <w:szCs w:val="21"/>
                <w14:textFill>
                  <w14:solidFill>
                    <w14:schemeClr w14:val="tx1"/>
                  </w14:solidFill>
                </w14:textFill>
              </w:rPr>
              <w:t>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3.未提供质量控制措施的，得0分。</w:t>
            </w:r>
          </w:p>
        </w:tc>
      </w:tr>
      <w:tr>
        <w:tblPrEx>
          <w:shd w:val="clear" w:color="auto" w:fill="FFFFFF"/>
          <w:tblCellMar>
            <w:top w:w="0" w:type="dxa"/>
            <w:left w:w="0" w:type="dxa"/>
            <w:bottom w:w="0" w:type="dxa"/>
            <w:right w:w="0" w:type="dxa"/>
          </w:tblCellMar>
        </w:tblPrEx>
        <w:trPr>
          <w:cantSplit/>
          <w:trHeight w:val="226" w:hRule="atLeast"/>
          <w:jc w:val="center"/>
        </w:trPr>
        <w:tc>
          <w:tcPr>
            <w:tcW w:w="6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5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进度控制措施</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分</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根据各投标人的进度控制措施是否目标明确、方法合理可行、措施具体、针对性强等进行对比评分：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1.进度控制措施目标明确、方法合理可行、措施具体、针对性强的，得</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2.进度控制措施目标基本明确、方法较合理可行、措施较具体、针对性较强的，得3分；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3.进度控制措施目标不明确、方法不可行、措施不具体的，得</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trHeight w:val="929" w:hRule="atLeast"/>
          <w:jc w:val="center"/>
        </w:trPr>
        <w:tc>
          <w:tcPr>
            <w:tcW w:w="6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w:t>
            </w:r>
          </w:p>
        </w:tc>
        <w:tc>
          <w:tcPr>
            <w:tcW w:w="15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工作程序</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7分</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根据各投标人是否有清晰的工作流程图、工作准则是否能满足要求等方面进行对比评分：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1.投标人有清晰的作流程图、工作准则能满足要求的，得7分；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2.投标人有较清晰的作流程图、工作准则基本满足要求的，得3分；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3.投标人有作流程图、工作准则不能满足要求的，得</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trHeight w:val="929" w:hRule="atLeast"/>
          <w:jc w:val="center"/>
        </w:trPr>
        <w:tc>
          <w:tcPr>
            <w:tcW w:w="6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15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重点难点监控措施</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7分</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根据各投标人的重点难点监控措施是否针对性强、措施具体、可操作性高等进行对比评分：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1.投标人的重点难点监控措施针对性强、措施具体、可操作性高的，得7分；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2.投标人的重点难点监控措施针对性较强、措施较具体、可操作性较高的，得3分；</w:t>
            </w:r>
          </w:p>
          <w:p>
            <w:pPr>
              <w:widowControl/>
              <w:adjustRightInd w:val="0"/>
              <w:snapToGrid w:val="0"/>
              <w:spacing w:line="32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3.投标人的重点难点监控措施针对性不强、措施不具体、可操作性不高的，得</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trHeight w:val="929" w:hRule="atLeast"/>
          <w:jc w:val="center"/>
        </w:trPr>
        <w:tc>
          <w:tcPr>
            <w:tcW w:w="6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w:t>
            </w:r>
          </w:p>
        </w:tc>
        <w:tc>
          <w:tcPr>
            <w:tcW w:w="15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企业管理制度</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分</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根据各投标人企业管理制度（包括但不限于：工作制度、档案管理制度及财务管理制度、工作质量控制措施、健全的监督审核架构及机制）进行横向比较：</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1、企业内部管理制度非常完整、健全、规范的，可操作性强的，得</w:t>
            </w:r>
            <w:r>
              <w:rPr>
                <w:rFonts w:ascii="宋体" w:hAnsi="宋体"/>
                <w:color w:val="000000" w:themeColor="text1"/>
                <w:spacing w:val="-6"/>
                <w:szCs w:val="21"/>
                <w14:textFill>
                  <w14:solidFill>
                    <w14:schemeClr w14:val="tx1"/>
                  </w14:solidFill>
                </w14:textFill>
              </w:rPr>
              <w:t>8</w:t>
            </w:r>
            <w:r>
              <w:rPr>
                <w:rFonts w:hint="eastAsia" w:ascii="宋体" w:hAnsi="宋体"/>
                <w:color w:val="000000" w:themeColor="text1"/>
                <w:spacing w:val="-6"/>
                <w:szCs w:val="21"/>
                <w14:textFill>
                  <w14:solidFill>
                    <w14:schemeClr w14:val="tx1"/>
                  </w14:solidFill>
                </w14:textFill>
              </w:rPr>
              <w:t>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2、管理制度较全面、完善，制度流程和规范较具体，有一定的可操作性的，得</w:t>
            </w:r>
            <w:r>
              <w:rPr>
                <w:rFonts w:ascii="宋体" w:hAnsi="宋体"/>
                <w:color w:val="000000" w:themeColor="text1"/>
                <w:spacing w:val="-6"/>
                <w:szCs w:val="21"/>
                <w14:textFill>
                  <w14:solidFill>
                    <w14:schemeClr w14:val="tx1"/>
                  </w14:solidFill>
                </w14:textFill>
              </w:rPr>
              <w:t>6</w:t>
            </w:r>
            <w:r>
              <w:rPr>
                <w:rFonts w:hint="eastAsia" w:ascii="宋体" w:hAnsi="宋体"/>
                <w:color w:val="000000" w:themeColor="text1"/>
                <w:spacing w:val="-6"/>
                <w:szCs w:val="21"/>
                <w14:textFill>
                  <w14:solidFill>
                    <w14:schemeClr w14:val="tx1"/>
                  </w14:solidFill>
                </w14:textFill>
              </w:rPr>
              <w:t>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3、管理制度全面性一般，制度流程和规范一般，得4分；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4、对企业的管理制度缺乏明确，清晰的描述，制度流程和规范不够具体，得2分。</w:t>
            </w:r>
          </w:p>
          <w:p>
            <w:pPr>
              <w:widowControl/>
              <w:adjustRightInd w:val="0"/>
              <w:snapToGrid w:val="0"/>
              <w:spacing w:line="320" w:lineRule="exact"/>
              <w:rPr>
                <w:rFonts w:ascii="宋体" w:hAnsi="宋体"/>
                <w:color w:val="000000" w:themeColor="text1"/>
                <w:spacing w:val="-6"/>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投标人须提供相关方案说明，否则不得分。</w:t>
            </w:r>
          </w:p>
        </w:tc>
      </w:tr>
      <w:tr>
        <w:tblPrEx>
          <w:shd w:val="clear" w:color="auto" w:fill="FFFFFF"/>
          <w:tblCellMar>
            <w:top w:w="0" w:type="dxa"/>
            <w:left w:w="0" w:type="dxa"/>
            <w:bottom w:w="0" w:type="dxa"/>
            <w:right w:w="0" w:type="dxa"/>
          </w:tblCellMar>
        </w:tblPrEx>
        <w:trPr>
          <w:cantSplit/>
          <w:trHeight w:val="929" w:hRule="atLeast"/>
          <w:jc w:val="center"/>
        </w:trPr>
        <w:tc>
          <w:tcPr>
            <w:tcW w:w="6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w:t>
            </w:r>
          </w:p>
        </w:tc>
        <w:tc>
          <w:tcPr>
            <w:tcW w:w="15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技术支持和本地化全方位服务响应</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分</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tabs>
                <w:tab w:val="left" w:pos="360"/>
              </w:tabs>
              <w:spacing w:line="32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根据投标人在方案中是否承诺在中标后入库服务期的三年内提供</w:t>
            </w:r>
            <w:r>
              <w:rPr>
                <w:rFonts w:ascii="宋体" w:hAnsi="宋体"/>
                <w:bCs/>
                <w:color w:val="000000" w:themeColor="text1"/>
                <w:szCs w:val="21"/>
                <w14:textFill>
                  <w14:solidFill>
                    <w14:schemeClr w14:val="tx1"/>
                  </w14:solidFill>
                </w14:textFill>
              </w:rPr>
              <w:t>7</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24</w:t>
            </w:r>
            <w:r>
              <w:rPr>
                <w:rFonts w:hint="eastAsia" w:ascii="宋体" w:hAnsi="宋体"/>
                <w:bCs/>
                <w:color w:val="000000" w:themeColor="text1"/>
                <w:szCs w:val="21"/>
                <w14:textFill>
                  <w14:solidFill>
                    <w14:schemeClr w14:val="tx1"/>
                  </w14:solidFill>
                </w14:textFill>
              </w:rPr>
              <w:t>小时技术支持和项目现场服务；在用户提出服务需求后，是否能够及时做出响应迅速到达现场（即</w:t>
            </w:r>
            <w:r>
              <w:rPr>
                <w:rFonts w:hint="eastAsia" w:ascii="宋体" w:hAnsi="宋体"/>
                <w:color w:val="000000" w:themeColor="text1"/>
                <w:szCs w:val="21"/>
                <w14:textFill>
                  <w14:solidFill>
                    <w14:schemeClr w14:val="tx1"/>
                  </w14:solidFill>
                </w14:textFill>
              </w:rPr>
              <w:t>响应时间）并有具体措施等进行对比评分：</w:t>
            </w:r>
          </w:p>
          <w:p>
            <w:pPr>
              <w:tabs>
                <w:tab w:val="left" w:pos="360"/>
              </w:tabs>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1.在方案中承诺提供7×24小时技术支持和项目现场服务并且派常驻人员在0.5小时内响应得</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分；</w:t>
            </w:r>
          </w:p>
          <w:p>
            <w:pPr>
              <w:tabs>
                <w:tab w:val="left" w:pos="360"/>
              </w:tabs>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2.在方案中承诺提供7×24小时技术支持和项目现场服务并且派常驻人员在四小时内响应得</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分；</w:t>
            </w:r>
          </w:p>
          <w:p>
            <w:pPr>
              <w:tabs>
                <w:tab w:val="left" w:pos="360"/>
              </w:tabs>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3.在方案中承诺提供7×24小时技术支持和项目现场服务并且派常驻人员在八小时内响应得</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分；</w:t>
            </w:r>
          </w:p>
          <w:p>
            <w:pPr>
              <w:tabs>
                <w:tab w:val="left" w:pos="360"/>
              </w:tabs>
              <w:spacing w:line="3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无承诺的不得分。</w:t>
            </w:r>
          </w:p>
          <w:p>
            <w:pPr>
              <w:tabs>
                <w:tab w:val="left" w:pos="360"/>
              </w:tabs>
              <w:spacing w:line="320" w:lineRule="exact"/>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（“响应时间”是指在项目委托人提出服务需求后，投标人从接到需求做出响应时至到达现场的时间）</w:t>
            </w:r>
          </w:p>
        </w:tc>
      </w:tr>
      <w:tr>
        <w:tblPrEx>
          <w:shd w:val="clear" w:color="auto" w:fill="FFFFFF"/>
          <w:tblCellMar>
            <w:top w:w="0" w:type="dxa"/>
            <w:left w:w="0" w:type="dxa"/>
            <w:bottom w:w="0" w:type="dxa"/>
            <w:right w:w="0" w:type="dxa"/>
          </w:tblCellMar>
        </w:tblPrEx>
        <w:trPr>
          <w:cantSplit/>
          <w:trHeight w:val="572" w:hRule="atLeast"/>
          <w:jc w:val="center"/>
        </w:trPr>
        <w:tc>
          <w:tcPr>
            <w:tcW w:w="222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合计</w:t>
            </w:r>
          </w:p>
        </w:tc>
        <w:tc>
          <w:tcPr>
            <w:tcW w:w="7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50分</w:t>
            </w:r>
          </w:p>
        </w:tc>
        <w:tc>
          <w:tcPr>
            <w:tcW w:w="70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商务</w:t>
      </w:r>
      <w:r>
        <w:rPr>
          <w:rFonts w:hint="eastAsia"/>
          <w:color w:val="000000" w:themeColor="text1"/>
          <w14:textFill>
            <w14:solidFill>
              <w14:schemeClr w14:val="tx1"/>
            </w14:solidFill>
          </w14:textFill>
        </w:rPr>
        <w:t>评</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细则</w:t>
      </w:r>
    </w:p>
    <w:tbl>
      <w:tblPr>
        <w:tblStyle w:val="48"/>
        <w:tblW w:w="10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8"/>
        <w:gridCol w:w="1584"/>
        <w:gridCol w:w="783"/>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2" w:hRule="atLeast"/>
          <w:jc w:val="center"/>
        </w:trPr>
        <w:tc>
          <w:tcPr>
            <w:tcW w:w="668"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584"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评审内容</w:t>
            </w:r>
          </w:p>
        </w:tc>
        <w:tc>
          <w:tcPr>
            <w:tcW w:w="783"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分值</w:t>
            </w:r>
          </w:p>
        </w:tc>
        <w:tc>
          <w:tcPr>
            <w:tcW w:w="7019"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9" w:hRule="atLeast"/>
          <w:jc w:val="center"/>
        </w:trPr>
        <w:tc>
          <w:tcPr>
            <w:tcW w:w="668"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584"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同类项目经验</w:t>
            </w:r>
          </w:p>
        </w:tc>
        <w:tc>
          <w:tcPr>
            <w:tcW w:w="783"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0分</w:t>
            </w:r>
          </w:p>
        </w:tc>
        <w:tc>
          <w:tcPr>
            <w:tcW w:w="7019" w:type="dxa"/>
            <w:tcMar>
              <w:top w:w="0" w:type="dxa"/>
              <w:left w:w="108" w:type="dxa"/>
              <w:bottom w:w="0" w:type="dxa"/>
              <w:right w:w="108" w:type="dxa"/>
            </w:tcMar>
            <w:vAlign w:val="center"/>
          </w:tcPr>
          <w:p>
            <w:pPr>
              <w:widowControl/>
              <w:adjustRightInd w:val="0"/>
              <w:snapToGrid w:val="0"/>
              <w:spacing w:line="320" w:lineRule="exact"/>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1.提供20</w:t>
            </w:r>
            <w:r>
              <w:rPr>
                <w:rFonts w:ascii="宋体" w:hAnsi="宋体" w:cs="宋体"/>
                <w:color w:val="000000" w:themeColor="text1"/>
                <w:spacing w:val="-6"/>
                <w:szCs w:val="21"/>
                <w14:textFill>
                  <w14:solidFill>
                    <w14:schemeClr w14:val="tx1"/>
                  </w14:solidFill>
                </w14:textFill>
              </w:rPr>
              <w:t>21</w:t>
            </w:r>
            <w:r>
              <w:rPr>
                <w:rFonts w:hint="eastAsia" w:ascii="宋体" w:hAnsi="宋体" w:cs="宋体"/>
                <w:color w:val="000000" w:themeColor="text1"/>
                <w:spacing w:val="-6"/>
                <w:szCs w:val="21"/>
                <w14:textFill>
                  <w14:solidFill>
                    <w14:schemeClr w14:val="tx1"/>
                  </w14:solidFill>
                </w14:textFill>
              </w:rPr>
              <w:t>年1月1日至今（以合同签订日期为准）的同类项目业绩经验，每提供一个得2分，最高得</w:t>
            </w:r>
            <w:r>
              <w:rPr>
                <w:rFonts w:ascii="宋体" w:hAnsi="宋体" w:cs="宋体"/>
                <w:color w:val="000000" w:themeColor="text1"/>
                <w:spacing w:val="-6"/>
                <w:szCs w:val="21"/>
                <w14:textFill>
                  <w14:solidFill>
                    <w14:schemeClr w14:val="tx1"/>
                  </w14:solidFill>
                </w14:textFill>
              </w:rPr>
              <w:t>2</w:t>
            </w:r>
            <w:r>
              <w:rPr>
                <w:rFonts w:hint="eastAsia" w:ascii="宋体" w:hAnsi="宋体" w:cs="宋体"/>
                <w:color w:val="000000" w:themeColor="text1"/>
                <w:spacing w:val="-6"/>
                <w:szCs w:val="21"/>
                <w14:textFill>
                  <w14:solidFill>
                    <w14:schemeClr w14:val="tx1"/>
                  </w14:solidFill>
                </w14:textFill>
              </w:rPr>
              <w:t>0分。</w:t>
            </w:r>
          </w:p>
          <w:p>
            <w:pPr>
              <w:widowControl/>
              <w:adjustRightInd w:val="0"/>
              <w:snapToGrid w:val="0"/>
              <w:spacing w:line="320" w:lineRule="exact"/>
              <w:rPr>
                <w:rFonts w:ascii="宋体" w:hAnsi="宋体" w:cs="宋体"/>
                <w:color w:val="000000" w:themeColor="text1"/>
                <w:spacing w:val="-6"/>
                <w:szCs w:val="21"/>
                <w14:textFill>
                  <w14:solidFill>
                    <w14:schemeClr w14:val="tx1"/>
                  </w14:solidFill>
                </w14:textFill>
              </w:rPr>
            </w:pPr>
            <w:r>
              <w:rPr>
                <w:rFonts w:hint="eastAsia" w:ascii="宋体" w:hAnsi="宋体" w:cs="宋体"/>
                <w:color w:val="000000" w:themeColor="text1"/>
                <w:spacing w:val="-6"/>
                <w:szCs w:val="21"/>
                <w14:textFill>
                  <w14:solidFill>
                    <w14:schemeClr w14:val="tx1"/>
                  </w14:solidFill>
                </w14:textFill>
              </w:rPr>
              <w:t>注：提供项目合同或中标通知书复印件并加盖公章，不提供不得分。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1" w:hRule="atLeast"/>
          <w:jc w:val="center"/>
        </w:trPr>
        <w:tc>
          <w:tcPr>
            <w:tcW w:w="668"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584"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企业综合实力</w:t>
            </w:r>
          </w:p>
        </w:tc>
        <w:tc>
          <w:tcPr>
            <w:tcW w:w="783"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6分</w:t>
            </w:r>
          </w:p>
        </w:tc>
        <w:tc>
          <w:tcPr>
            <w:tcW w:w="7019" w:type="dxa"/>
            <w:tcMar>
              <w:top w:w="0"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在有效期内的质量管理体系、环境管理体系、职业健康安全管理体系证情况，每具有一项得2分，最高得6分。（证书需在有效期内，且需包含造价咨询类范围）</w:t>
            </w:r>
          </w:p>
          <w:p>
            <w:pPr>
              <w:widowControl/>
              <w:adjustRightInd w:val="0"/>
              <w:snapToGrid w:val="0"/>
              <w:spacing w:line="3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注：需提供有效期内的证书复印件</w:t>
            </w:r>
            <w:r>
              <w:rPr>
                <w:rFonts w:hint="eastAsia" w:ascii="宋体" w:hAnsi="宋体" w:cs="宋体"/>
                <w:color w:val="000000" w:themeColor="text1"/>
                <w:spacing w:val="-6"/>
                <w:szCs w:val="21"/>
                <w14:textFill>
                  <w14:solidFill>
                    <w14:schemeClr w14:val="tx1"/>
                  </w14:solidFill>
                </w14:textFill>
              </w:rPr>
              <w:t>并加盖公章</w:t>
            </w:r>
            <w:r>
              <w:rPr>
                <w:rFonts w:hint="eastAsia" w:ascii="宋体" w:hAnsi="宋体" w:cs="宋体"/>
                <w:color w:val="000000" w:themeColor="text1"/>
                <w:szCs w:val="21"/>
                <w14:textFill>
                  <w14:solidFill>
                    <w14:schemeClr w14:val="tx1"/>
                  </w14:solidFill>
                </w14:textFill>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9" w:hRule="atLeast"/>
          <w:jc w:val="center"/>
        </w:trPr>
        <w:tc>
          <w:tcPr>
            <w:tcW w:w="668"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584"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tc>
        <w:tc>
          <w:tcPr>
            <w:tcW w:w="783"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4分</w:t>
            </w:r>
          </w:p>
        </w:tc>
        <w:tc>
          <w:tcPr>
            <w:tcW w:w="7019" w:type="dxa"/>
            <w:tcMar>
              <w:top w:w="0" w:type="dxa"/>
              <w:left w:w="108" w:type="dxa"/>
              <w:bottom w:w="0" w:type="dxa"/>
              <w:right w:w="108" w:type="dxa"/>
            </w:tcMar>
            <w:vAlign w:val="center"/>
          </w:tcPr>
          <w:p>
            <w:pPr>
              <w:widowControl/>
              <w:adjustRightInd w:val="0"/>
              <w:snapToGrid w:val="0"/>
              <w:spacing w:line="3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具备工程造价专业高级工程师或以上职称的加</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分。</w:t>
            </w:r>
          </w:p>
          <w:p>
            <w:pPr>
              <w:widowControl/>
              <w:adjustRightInd w:val="0"/>
              <w:snapToGrid w:val="0"/>
              <w:spacing w:line="3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r>
              <w:rPr>
                <w:rFonts w:hint="eastAsia" w:ascii="宋体" w:hAnsi="宋体" w:cs="宋体"/>
                <w:color w:val="000000" w:themeColor="text1"/>
                <w:kern w:val="0"/>
                <w:szCs w:val="21"/>
                <w:lang w:bidi="ar"/>
                <w14:textFill>
                  <w14:solidFill>
                    <w14:schemeClr w14:val="tx1"/>
                  </w14:solidFill>
                </w14:textFill>
              </w:rPr>
              <w:t>以</w:t>
            </w:r>
            <w:r>
              <w:rPr>
                <w:rFonts w:hint="eastAsia" w:ascii="宋体" w:hAnsi="宋体" w:cs="宋体"/>
                <w:color w:val="000000" w:themeColor="text1"/>
                <w:szCs w:val="21"/>
                <w14:textFill>
                  <w14:solidFill>
                    <w14:schemeClr w14:val="tx1"/>
                  </w14:solidFill>
                </w14:textFill>
              </w:rPr>
              <w:t>提供证书复印件</w:t>
            </w:r>
            <w:r>
              <w:rPr>
                <w:rFonts w:hint="eastAsia" w:ascii="宋体" w:hAnsi="宋体" w:cs="宋体"/>
                <w:color w:val="000000" w:themeColor="text1"/>
                <w:kern w:val="0"/>
                <w:szCs w:val="21"/>
                <w:lang w:bidi="ar"/>
                <w14:textFill>
                  <w14:solidFill>
                    <w14:schemeClr w14:val="tx1"/>
                  </w14:solidFill>
                </w14:textFill>
              </w:rPr>
              <w:t>为准</w:t>
            </w:r>
            <w:r>
              <w:rPr>
                <w:rFonts w:hint="eastAsia" w:ascii="宋体" w:hAnsi="宋体" w:cs="宋体"/>
                <w:color w:val="000000" w:themeColor="text1"/>
                <w:szCs w:val="21"/>
                <w14:textFill>
                  <w14:solidFill>
                    <w14:schemeClr w14:val="tx1"/>
                  </w14:solidFill>
                </w14:textFill>
              </w:rPr>
              <w:t>，同时提供近6个月内任意1个月</w:t>
            </w:r>
            <w:r>
              <w:rPr>
                <w:rFonts w:hint="eastAsia" w:ascii="宋体" w:hAnsi="宋体" w:cs="宋体"/>
                <w:color w:val="000000" w:themeColor="text1"/>
                <w:kern w:val="0"/>
                <w:szCs w:val="21"/>
                <w:lang w:bidi="ar"/>
                <w14:textFill>
                  <w14:solidFill>
                    <w14:schemeClr w14:val="tx1"/>
                  </w14:solidFill>
                </w14:textFill>
              </w:rPr>
              <w:t>在投标单位购买的社保证明复印件并加盖公章</w:t>
            </w:r>
            <w:r>
              <w:rPr>
                <w:rFonts w:hint="eastAsia" w:ascii="宋体" w:hAnsi="宋体" w:cs="宋体"/>
                <w:color w:val="000000" w:themeColor="text1"/>
                <w:szCs w:val="21"/>
                <w14:textFill>
                  <w14:solidFill>
                    <w14:schemeClr w14:val="tx1"/>
                  </w14:solidFill>
                </w14:textFill>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8" w:hRule="atLeast"/>
          <w:jc w:val="center"/>
        </w:trPr>
        <w:tc>
          <w:tcPr>
            <w:tcW w:w="668"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584"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拟投入本项目的技术力量（除项目负责人外）</w:t>
            </w:r>
          </w:p>
        </w:tc>
        <w:tc>
          <w:tcPr>
            <w:tcW w:w="783"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20分</w:t>
            </w:r>
          </w:p>
        </w:tc>
        <w:tc>
          <w:tcPr>
            <w:tcW w:w="7019" w:type="dxa"/>
            <w:tcMar>
              <w:top w:w="0" w:type="dxa"/>
              <w:left w:w="108" w:type="dxa"/>
              <w:bottom w:w="0" w:type="dxa"/>
              <w:right w:w="108" w:type="dxa"/>
            </w:tcMar>
            <w:vAlign w:val="center"/>
          </w:tcPr>
          <w:p>
            <w:pP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根据各投标人拟派其他技术人员（不含项目负责人）情况进行评审打分：</w:t>
            </w:r>
          </w:p>
          <w:p>
            <w:pP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1、具有注册造价工程师资质证书的，每提供1人得</w:t>
            </w:r>
            <w:r>
              <w:rPr>
                <w:rFonts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 xml:space="preserve"> 分，本项最高得 </w:t>
            </w:r>
            <w:r>
              <w:rPr>
                <w:rFonts w:ascii="宋体" w:hAnsi="宋体" w:cs="宋体"/>
                <w:color w:val="000000" w:themeColor="text1"/>
                <w:kern w:val="0"/>
                <w:szCs w:val="21"/>
                <w:lang w:bidi="ar"/>
                <w14:textFill>
                  <w14:solidFill>
                    <w14:schemeClr w14:val="tx1"/>
                  </w14:solidFill>
                </w14:textFill>
              </w:rPr>
              <w:t>12</w:t>
            </w:r>
            <w:r>
              <w:rPr>
                <w:rFonts w:hint="eastAsia" w:ascii="宋体" w:hAnsi="宋体" w:cs="宋体"/>
                <w:color w:val="000000" w:themeColor="text1"/>
                <w:kern w:val="0"/>
                <w:szCs w:val="21"/>
                <w:lang w:bidi="ar"/>
                <w14:textFill>
                  <w14:solidFill>
                    <w14:schemeClr w14:val="tx1"/>
                  </w14:solidFill>
                </w14:textFill>
              </w:rPr>
              <w:t xml:space="preserve">分； </w:t>
            </w:r>
          </w:p>
          <w:p>
            <w:pP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2、具有高级或以上职称的，每 1 人得 2 分；具有中级职称的，每 1 人得 1 分，本项最高得8分。本项同一人同时具备不重复计分。</w:t>
            </w:r>
          </w:p>
          <w:p>
            <w:pPr>
              <w:widowControl/>
              <w:adjustRightInd w:val="0"/>
              <w:snapToGrid w:val="0"/>
              <w:spacing w:line="3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注：1、2评审项，同一人同时具备可同时计分。注册造价师证的注册单位必须与投标单位一致，并且在有效期内。投标人须提供人员相关证书及近6个月内任意1个月在投标单位购买的社保证明复印件并加盖公章，</w:t>
            </w:r>
            <w:r>
              <w:rPr>
                <w:rFonts w:hint="eastAsia" w:ascii="宋体" w:hAnsi="宋体" w:cs="宋体"/>
                <w:color w:val="000000" w:themeColor="text1"/>
                <w:szCs w:val="21"/>
                <w14:textFill>
                  <w14:solidFill>
                    <w14:schemeClr w14:val="tx1"/>
                  </w14:solidFill>
                </w14:textFill>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2" w:hRule="atLeast"/>
          <w:jc w:val="center"/>
        </w:trPr>
        <w:tc>
          <w:tcPr>
            <w:tcW w:w="2252" w:type="dxa"/>
            <w:gridSpan w:val="2"/>
            <w:vAlign w:val="center"/>
          </w:tcPr>
          <w:p>
            <w:pPr>
              <w:tabs>
                <w:tab w:val="left" w:pos="360"/>
                <w:tab w:val="left" w:pos="1320"/>
              </w:tabs>
              <w:spacing w:line="320" w:lineRule="exact"/>
              <w:ind w:left="1320" w:hanging="42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合计</w:t>
            </w:r>
          </w:p>
        </w:tc>
        <w:tc>
          <w:tcPr>
            <w:tcW w:w="783"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50分</w:t>
            </w:r>
          </w:p>
        </w:tc>
        <w:tc>
          <w:tcPr>
            <w:tcW w:w="7019" w:type="dxa"/>
            <w:tcMar>
              <w:top w:w="0" w:type="dxa"/>
              <w:left w:w="108" w:type="dxa"/>
              <w:bottom w:w="0" w:type="dxa"/>
              <w:right w:w="108" w:type="dxa"/>
            </w:tcMar>
            <w:vAlign w:val="center"/>
          </w:tcPr>
          <w:p>
            <w:pPr>
              <w:spacing w:line="320" w:lineRule="exact"/>
              <w:jc w:val="center"/>
              <w:rPr>
                <w:rFonts w:ascii="宋体" w:hAnsi="宋体" w:cs="宋体"/>
                <w:color w:val="000000" w:themeColor="text1"/>
                <w14:textFill>
                  <w14:solidFill>
                    <w14:schemeClr w14:val="tx1"/>
                  </w14:solidFill>
                </w14:textFill>
              </w:rPr>
            </w:pPr>
          </w:p>
        </w:tc>
      </w:tr>
    </w:tbl>
    <w:p>
      <w:pPr>
        <w:rPr>
          <w:rFonts w:asci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注：对照每项评价指标要求，投标文件完全不满足要求的，不得分。</w:t>
      </w:r>
    </w:p>
    <w:p>
      <w:pPr>
        <w:rPr>
          <w:rFonts w:ascii="宋体"/>
          <w:color w:val="000000" w:themeColor="text1"/>
          <w:szCs w:val="21"/>
          <w14:textFill>
            <w14:solidFill>
              <w14:schemeClr w14:val="tx1"/>
            </w14:solidFill>
          </w14:textFill>
        </w:rPr>
      </w:pPr>
    </w:p>
    <w:p>
      <w:pPr>
        <w:widowControl/>
        <w:tabs>
          <w:tab w:val="left" w:pos="753"/>
        </w:tabs>
        <w:adjustRightInd w:val="0"/>
        <w:snapToGrid w:val="0"/>
        <w:spacing w:line="360" w:lineRule="auto"/>
        <w:rPr>
          <w:rFonts w:ascii="宋体" w:hAnsi="宋体" w:cs="Arial"/>
          <w:color w:val="000000" w:themeColor="text1"/>
          <w:szCs w:val="21"/>
          <w14:textFill>
            <w14:solidFill>
              <w14:schemeClr w14:val="tx1"/>
            </w14:solidFill>
          </w14:textFill>
        </w:rPr>
        <w:sectPr>
          <w:footerReference r:id="rId10" w:type="first"/>
          <w:footerReference r:id="rId9" w:type="default"/>
          <w:pgSz w:w="11906" w:h="16838"/>
          <w:pgMar w:top="1418" w:right="1230" w:bottom="1418" w:left="1230" w:header="851" w:footer="851" w:gutter="0"/>
          <w:cols w:space="720" w:num="1"/>
          <w:docGrid w:linePitch="312" w:charSpace="0"/>
        </w:sectPr>
      </w:pPr>
    </w:p>
    <w:bookmarkEnd w:id="1606"/>
    <w:bookmarkEnd w:id="1607"/>
    <w:bookmarkEnd w:id="1608"/>
    <w:bookmarkEnd w:id="1609"/>
    <w:bookmarkEnd w:id="1610"/>
    <w:bookmarkEnd w:id="1611"/>
    <w:bookmarkEnd w:id="1612"/>
    <w:bookmarkEnd w:id="1613"/>
    <w:bookmarkEnd w:id="1614"/>
    <w:bookmarkEnd w:id="1615"/>
    <w:p>
      <w:pPr>
        <w:pStyle w:val="3"/>
        <w:numPr>
          <w:ilvl w:val="0"/>
          <w:numId w:val="0"/>
        </w:numPr>
        <w:spacing w:beforeLines="0"/>
        <w:rPr>
          <w:color w:val="000000" w:themeColor="text1"/>
          <w14:textFill>
            <w14:solidFill>
              <w14:schemeClr w14:val="tx1"/>
            </w14:solidFill>
          </w14:textFill>
        </w:rPr>
      </w:pPr>
      <w:bookmarkStart w:id="1616" w:name="_Hlt21939000"/>
      <w:bookmarkEnd w:id="1616"/>
      <w:bookmarkStart w:id="1617" w:name="_Toc345513910"/>
      <w:bookmarkStart w:id="1618" w:name="_Toc350438758"/>
      <w:bookmarkStart w:id="1619" w:name="_Toc332270355"/>
      <w:bookmarkStart w:id="1620" w:name="_Toc366072538"/>
      <w:bookmarkStart w:id="1621" w:name="_Toc331512907"/>
      <w:bookmarkStart w:id="1622" w:name="_Toc339020024"/>
      <w:bookmarkStart w:id="1623" w:name="_Toc336681944"/>
      <w:bookmarkStart w:id="1624" w:name="_Toc350756459"/>
      <w:bookmarkStart w:id="1625" w:name="_Toc342060383"/>
      <w:bookmarkStart w:id="1626" w:name="_Toc337632367"/>
      <w:bookmarkStart w:id="1627" w:name="_Toc349127635"/>
      <w:bookmarkStart w:id="1628" w:name="_Toc339441096"/>
      <w:bookmarkStart w:id="1629" w:name="_Toc333238642"/>
      <w:bookmarkStart w:id="1630" w:name="_Toc340672878"/>
      <w:bookmarkStart w:id="1631" w:name="_Toc333935355"/>
      <w:bookmarkStart w:id="1632" w:name="_Toc339020242"/>
      <w:bookmarkStart w:id="1633" w:name="_Toc349143598"/>
      <w:bookmarkStart w:id="1634" w:name="_Toc365967081"/>
      <w:bookmarkStart w:id="1635" w:name="_Toc340507451"/>
      <w:bookmarkStart w:id="1636" w:name="_Toc339019898"/>
      <w:bookmarkStart w:id="1637" w:name="_Toc336681589"/>
      <w:bookmarkStart w:id="1638" w:name="_Toc332206717"/>
      <w:bookmarkStart w:id="1639" w:name="_Toc365985187"/>
      <w:bookmarkStart w:id="1640" w:name="_Toc331684047"/>
      <w:bookmarkStart w:id="1641" w:name="_Toc374454610"/>
      <w:bookmarkStart w:id="1642" w:name="_Toc340677079"/>
      <w:bookmarkStart w:id="1643" w:name="_Toc341348347"/>
      <w:bookmarkStart w:id="1644" w:name="_Toc342296769"/>
      <w:bookmarkStart w:id="1645" w:name="_Toc333237797"/>
      <w:bookmarkStart w:id="1646" w:name="_Toc339020104"/>
      <w:bookmarkStart w:id="1647" w:name="_Toc333237686"/>
      <w:bookmarkStart w:id="1648" w:name="_Toc339362309"/>
      <w:bookmarkStart w:id="1649" w:name="_Toc333935696"/>
      <w:bookmarkStart w:id="1650" w:name="_Toc330459994"/>
      <w:bookmarkStart w:id="1651" w:name="_Toc20220"/>
      <w:bookmarkStart w:id="1652" w:name="_Toc30080"/>
      <w:r>
        <w:rPr>
          <w:rFonts w:hint="eastAsia"/>
          <w:color w:val="000000" w:themeColor="text1"/>
          <w14:textFill>
            <w14:solidFill>
              <w14:schemeClr w14:val="tx1"/>
            </w14:solidFill>
          </w14:textFill>
        </w:rPr>
        <w:t>第四部分  采购项目合同</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Start w:id="1653" w:name="_Hlt97188170"/>
      <w:bookmarkEnd w:id="1653"/>
      <w:r>
        <w:rPr>
          <w:rFonts w:hint="eastAsia"/>
          <w:color w:val="000000" w:themeColor="text1"/>
          <w14:textFill>
            <w14:solidFill>
              <w14:schemeClr w14:val="tx1"/>
            </w14:solidFill>
          </w14:textFill>
        </w:rPr>
        <w:t>（参考范本）</w:t>
      </w:r>
      <w:bookmarkEnd w:id="1651"/>
      <w:bookmarkEnd w:id="1652"/>
    </w:p>
    <w:p>
      <w:pPr>
        <w:tabs>
          <w:tab w:val="left" w:pos="720"/>
        </w:tabs>
        <w:spacing w:line="360" w:lineRule="auto"/>
        <w:jc w:val="center"/>
        <w:rPr>
          <w:rFonts w:ascii="宋体" w:hAnsi="宋体"/>
          <w:b/>
          <w:color w:val="000000" w:themeColor="text1"/>
          <w:sz w:val="56"/>
          <w:szCs w:val="56"/>
          <w14:textFill>
            <w14:solidFill>
              <w14:schemeClr w14:val="tx1"/>
            </w14:solidFill>
          </w14:textFill>
        </w:rPr>
      </w:pPr>
      <w:r>
        <w:rPr>
          <w:rFonts w:hint="eastAsia" w:ascii="宋体" w:hAnsi="宋体"/>
          <w:b/>
          <w:color w:val="000000" w:themeColor="text1"/>
          <w:sz w:val="56"/>
          <w:szCs w:val="56"/>
          <w14:textFill>
            <w14:solidFill>
              <w14:schemeClr w14:val="tx1"/>
            </w14:solidFill>
          </w14:textFill>
        </w:rPr>
        <w:t>阳江农村商业银行股份有限公司装修工程造价咨询公司准入项目</w:t>
      </w:r>
    </w:p>
    <w:p>
      <w:pPr>
        <w:tabs>
          <w:tab w:val="left" w:pos="720"/>
        </w:tabs>
        <w:spacing w:line="360" w:lineRule="auto"/>
        <w:rPr>
          <w:rFonts w:ascii="宋体" w:hAnsi="宋体"/>
          <w:b/>
          <w:color w:val="000000" w:themeColor="text1"/>
          <w:sz w:val="72"/>
          <w:szCs w:val="72"/>
          <w14:textFill>
            <w14:solidFill>
              <w14:schemeClr w14:val="tx1"/>
            </w14:solidFill>
          </w14:textFill>
        </w:rPr>
      </w:pPr>
    </w:p>
    <w:p>
      <w:pPr>
        <w:tabs>
          <w:tab w:val="left" w:pos="720"/>
        </w:tabs>
        <w:spacing w:line="360" w:lineRule="auto"/>
        <w:jc w:val="center"/>
        <w:rPr>
          <w:rFonts w:ascii="宋体" w:hAnsi="宋体"/>
          <w:b/>
          <w:color w:val="000000" w:themeColor="text1"/>
          <w:sz w:val="72"/>
          <w:szCs w:val="72"/>
          <w14:textFill>
            <w14:solidFill>
              <w14:schemeClr w14:val="tx1"/>
            </w14:solidFill>
          </w14:textFill>
        </w:rPr>
      </w:pPr>
      <w:r>
        <w:rPr>
          <w:rFonts w:hint="eastAsia" w:ascii="宋体" w:hAnsi="宋体"/>
          <w:b/>
          <w:color w:val="000000" w:themeColor="text1"/>
          <w:sz w:val="72"/>
          <w:szCs w:val="72"/>
          <w14:textFill>
            <w14:solidFill>
              <w14:schemeClr w14:val="tx1"/>
            </w14:solidFill>
          </w14:textFill>
        </w:rPr>
        <w:t>合 同 书</w:t>
      </w:r>
    </w:p>
    <w:p>
      <w:pPr>
        <w:tabs>
          <w:tab w:val="left" w:pos="720"/>
        </w:tabs>
        <w:spacing w:line="360" w:lineRule="auto"/>
        <w:jc w:val="center"/>
        <w:rPr>
          <w:rFonts w:ascii="仿宋_GB2312" w:hAnsi="仿宋" w:eastAsia="仿宋_GB2312"/>
          <w:b/>
          <w:color w:val="000000" w:themeColor="text1"/>
          <w:sz w:val="44"/>
          <w:szCs w:val="44"/>
          <w14:textFill>
            <w14:solidFill>
              <w14:schemeClr w14:val="tx1"/>
            </w14:solidFill>
          </w14:textFill>
        </w:rPr>
      </w:pPr>
      <w:r>
        <w:rPr>
          <w:rFonts w:hint="eastAsia" w:ascii="仿宋_GB2312" w:hAnsi="仿宋" w:eastAsia="仿宋_GB2312"/>
          <w:b/>
          <w:color w:val="000000" w:themeColor="text1"/>
          <w:sz w:val="44"/>
          <w:szCs w:val="44"/>
          <w14:textFill>
            <w14:solidFill>
              <w14:schemeClr w14:val="tx1"/>
            </w14:solidFill>
          </w14:textFill>
        </w:rPr>
        <w:t>（服务类）</w:t>
      </w:r>
    </w:p>
    <w:p>
      <w:pPr>
        <w:tabs>
          <w:tab w:val="left" w:pos="720"/>
        </w:tabs>
        <w:spacing w:line="360" w:lineRule="auto"/>
        <w:rPr>
          <w:rFonts w:ascii="宋体" w:hAnsi="宋体"/>
          <w:b/>
          <w:color w:val="000000" w:themeColor="text1"/>
          <w:sz w:val="28"/>
          <w:szCs w:val="28"/>
          <w14:textFill>
            <w14:solidFill>
              <w14:schemeClr w14:val="tx1"/>
            </w14:solidFill>
          </w14:textFill>
        </w:rPr>
      </w:pPr>
    </w:p>
    <w:p>
      <w:pPr>
        <w:tabs>
          <w:tab w:val="left" w:pos="720"/>
        </w:tabs>
        <w:spacing w:line="360" w:lineRule="auto"/>
        <w:rPr>
          <w:rFonts w:ascii="宋体" w:hAnsi="宋体"/>
          <w:b/>
          <w:color w:val="000000" w:themeColor="text1"/>
          <w:sz w:val="28"/>
          <w:szCs w:val="28"/>
          <w14:textFill>
            <w14:solidFill>
              <w14:schemeClr w14:val="tx1"/>
            </w14:solidFill>
          </w14:textFill>
        </w:rPr>
      </w:pPr>
    </w:p>
    <w:tbl>
      <w:tblPr>
        <w:tblStyle w:val="48"/>
        <w:tblW w:w="0" w:type="auto"/>
        <w:jc w:val="center"/>
        <w:tblLayout w:type="fixed"/>
        <w:tblCellMar>
          <w:top w:w="0" w:type="dxa"/>
          <w:left w:w="108" w:type="dxa"/>
          <w:bottom w:w="0" w:type="dxa"/>
          <w:right w:w="108" w:type="dxa"/>
        </w:tblCellMar>
      </w:tblPr>
      <w:tblGrid>
        <w:gridCol w:w="7784"/>
      </w:tblGrid>
      <w:tr>
        <w:tblPrEx>
          <w:tblCellMar>
            <w:top w:w="0" w:type="dxa"/>
            <w:left w:w="108" w:type="dxa"/>
            <w:bottom w:w="0" w:type="dxa"/>
            <w:right w:w="108" w:type="dxa"/>
          </w:tblCellMar>
        </w:tblPrEx>
        <w:trPr>
          <w:trHeight w:val="446" w:hRule="atLeast"/>
          <w:jc w:val="center"/>
        </w:trPr>
        <w:tc>
          <w:tcPr>
            <w:tcW w:w="7784" w:type="dxa"/>
          </w:tcPr>
          <w:p>
            <w:pPr>
              <w:tabs>
                <w:tab w:val="left" w:pos="720"/>
              </w:tabs>
              <w:spacing w:line="360" w:lineRule="auto"/>
              <w:rPr>
                <w:rFonts w:ascii="宋体" w:hAnsi="宋体"/>
                <w:b/>
                <w:color w:val="000000" w:themeColor="text1"/>
                <w:sz w:val="24"/>
                <w:u w:val="single"/>
                <w14:textFill>
                  <w14:solidFill>
                    <w14:schemeClr w14:val="tx1"/>
                  </w14:solidFill>
                </w14:textFill>
              </w:rPr>
            </w:pPr>
            <w:r>
              <w:rPr>
                <w:rFonts w:hint="eastAsia" w:ascii="宋体" w:hAnsi="宋体"/>
                <w:b/>
                <w:color w:val="000000" w:themeColor="text1"/>
                <w:sz w:val="24"/>
                <w14:textFill>
                  <w14:solidFill>
                    <w14:schemeClr w14:val="tx1"/>
                  </w14:solidFill>
                </w14:textFill>
              </w:rPr>
              <w:t>招标编号：</w:t>
            </w:r>
            <w:r>
              <w:rPr>
                <w:rFonts w:hint="eastAsia" w:ascii="宋体" w:hAnsi="宋体"/>
                <w:b/>
                <w:color w:val="000000" w:themeColor="text1"/>
                <w:sz w:val="24"/>
                <w:u w:val="single"/>
                <w14:textFill>
                  <w14:solidFill>
                    <w14:schemeClr w14:val="tx1"/>
                  </w14:solidFill>
                </w14:textFill>
              </w:rPr>
              <w:t xml:space="preserve"> YXCG-20240329</w:t>
            </w:r>
            <w:r>
              <w:rPr>
                <w:rFonts w:hint="eastAsia" w:ascii="宋体" w:hAnsi="宋体"/>
                <w:b/>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446" w:hRule="atLeast"/>
          <w:jc w:val="center"/>
        </w:trPr>
        <w:tc>
          <w:tcPr>
            <w:tcW w:w="7784" w:type="dxa"/>
          </w:tcPr>
          <w:p>
            <w:pPr>
              <w:tabs>
                <w:tab w:val="left" w:pos="720"/>
              </w:tabs>
              <w:spacing w:line="360" w:lineRule="auto"/>
              <w:rPr>
                <w:rFonts w:ascii="宋体" w:hAnsi="宋体"/>
                <w:b/>
                <w:color w:val="000000" w:themeColor="text1"/>
                <w:sz w:val="24"/>
                <w:u w:val="single"/>
                <w14:textFill>
                  <w14:solidFill>
                    <w14:schemeClr w14:val="tx1"/>
                  </w14:solidFill>
                </w14:textFill>
              </w:rPr>
            </w:pPr>
          </w:p>
        </w:tc>
      </w:tr>
      <w:tr>
        <w:tblPrEx>
          <w:tblCellMar>
            <w:top w:w="0" w:type="dxa"/>
            <w:left w:w="108" w:type="dxa"/>
            <w:bottom w:w="0" w:type="dxa"/>
            <w:right w:w="108" w:type="dxa"/>
          </w:tblCellMar>
        </w:tblPrEx>
        <w:trPr>
          <w:trHeight w:val="446" w:hRule="atLeast"/>
          <w:jc w:val="center"/>
        </w:trPr>
        <w:tc>
          <w:tcPr>
            <w:tcW w:w="7784" w:type="dxa"/>
          </w:tcPr>
          <w:p>
            <w:pPr>
              <w:tabs>
                <w:tab w:val="left" w:pos="720"/>
              </w:tabs>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r>
              <w:rPr>
                <w:rFonts w:hint="eastAsia" w:ascii="宋体" w:hAnsi="宋体"/>
                <w:b/>
                <w:color w:val="000000" w:themeColor="text1"/>
                <w:sz w:val="24"/>
                <w:u w:val="single"/>
                <w14:textFill>
                  <w14:solidFill>
                    <w14:schemeClr w14:val="tx1"/>
                  </w14:solidFill>
                </w14:textFill>
              </w:rPr>
              <w:t>阳江农村商业银行股份有限公司装修工程造价咨询公司准入项目</w:t>
            </w:r>
          </w:p>
        </w:tc>
      </w:tr>
      <w:tr>
        <w:tblPrEx>
          <w:tblCellMar>
            <w:top w:w="0" w:type="dxa"/>
            <w:left w:w="108" w:type="dxa"/>
            <w:bottom w:w="0" w:type="dxa"/>
            <w:right w:w="108" w:type="dxa"/>
          </w:tblCellMar>
        </w:tblPrEx>
        <w:trPr>
          <w:trHeight w:val="460" w:hRule="atLeast"/>
          <w:jc w:val="center"/>
        </w:trPr>
        <w:tc>
          <w:tcPr>
            <w:tcW w:w="7784" w:type="dxa"/>
          </w:tcPr>
          <w:p>
            <w:pPr>
              <w:tabs>
                <w:tab w:val="left" w:pos="720"/>
              </w:tabs>
              <w:spacing w:line="360" w:lineRule="auto"/>
              <w:rPr>
                <w:rFonts w:ascii="宋体" w:hAnsi="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460" w:hRule="atLeast"/>
          <w:jc w:val="center"/>
        </w:trPr>
        <w:tc>
          <w:tcPr>
            <w:tcW w:w="7784" w:type="dxa"/>
          </w:tcPr>
          <w:p>
            <w:pPr>
              <w:tabs>
                <w:tab w:val="left" w:pos="720"/>
              </w:tabs>
              <w:spacing w:line="360" w:lineRule="auto"/>
              <w:rPr>
                <w:rFonts w:ascii="宋体" w:hAnsi="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460" w:hRule="atLeast"/>
          <w:jc w:val="center"/>
        </w:trPr>
        <w:tc>
          <w:tcPr>
            <w:tcW w:w="7784" w:type="dxa"/>
          </w:tcPr>
          <w:p>
            <w:pPr>
              <w:tabs>
                <w:tab w:val="left" w:pos="720"/>
              </w:tabs>
              <w:spacing w:line="360" w:lineRule="auto"/>
              <w:rPr>
                <w:rFonts w:ascii="宋体" w:hAnsi="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460" w:hRule="atLeast"/>
          <w:jc w:val="center"/>
        </w:trPr>
        <w:tc>
          <w:tcPr>
            <w:tcW w:w="7784" w:type="dxa"/>
          </w:tcPr>
          <w:p>
            <w:pPr>
              <w:tabs>
                <w:tab w:val="left" w:pos="720"/>
              </w:tabs>
              <w:spacing w:line="360" w:lineRule="auto"/>
              <w:rPr>
                <w:rFonts w:ascii="宋体" w:hAnsi="宋体"/>
                <w:b/>
                <w:color w:val="000000" w:themeColor="text1"/>
                <w:sz w:val="24"/>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p>
    <w:p>
      <w:pPr>
        <w:spacing w:line="300" w:lineRule="auto"/>
        <w:ind w:right="-313" w:rightChars="-149"/>
        <w:rPr>
          <w:rFonts w:ascii="宋体" w:hAnsi="宋体"/>
          <w:b/>
          <w:color w:val="000000" w:themeColor="text1"/>
          <w:sz w:val="24"/>
          <w14:textFill>
            <w14:solidFill>
              <w14:schemeClr w14:val="tx1"/>
            </w14:solidFill>
          </w14:textFill>
        </w:rPr>
      </w:pPr>
    </w:p>
    <w:p>
      <w:pPr>
        <w:spacing w:line="300" w:lineRule="auto"/>
        <w:ind w:right="-313" w:rightChars="-149"/>
        <w:rPr>
          <w:rFonts w:ascii="宋体" w:hAnsi="宋体"/>
          <w:b/>
          <w:color w:val="000000" w:themeColor="text1"/>
          <w:sz w:val="24"/>
          <w14:textFill>
            <w14:solidFill>
              <w14:schemeClr w14:val="tx1"/>
            </w14:solidFill>
          </w14:textFill>
        </w:rPr>
      </w:pPr>
    </w:p>
    <w:p>
      <w:pPr>
        <w:spacing w:line="300" w:lineRule="auto"/>
        <w:ind w:right="-313" w:rightChars="-149"/>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注：本合同仅为合同的参考文本，合同签订双方可根据项目的具体要求进行修订。</w:t>
      </w:r>
    </w:p>
    <w:p>
      <w:pPr>
        <w:tabs>
          <w:tab w:val="left" w:pos="720"/>
        </w:tabs>
        <w:spacing w:line="360" w:lineRule="auto"/>
        <w:rPr>
          <w:rFonts w:ascii="宋体" w:hAnsi="宋体"/>
          <w:b/>
          <w:color w:val="000000" w:themeColor="text1"/>
          <w:szCs w:val="21"/>
          <w14:textFill>
            <w14:solidFill>
              <w14:schemeClr w14:val="tx1"/>
            </w14:solidFill>
          </w14:textFill>
        </w:rPr>
      </w:pPr>
      <w:r>
        <w:rPr>
          <w:rFonts w:ascii="仿宋" w:hAnsi="仿宋" w:eastAsia="仿宋"/>
          <w:b/>
          <w:color w:val="000000" w:themeColor="text1"/>
          <w:sz w:val="44"/>
          <w14:textFill>
            <w14:solidFill>
              <w14:schemeClr w14:val="tx1"/>
            </w14:solidFill>
          </w14:textFill>
        </w:rPr>
        <w:br w:type="page"/>
      </w:r>
      <w:r>
        <w:rPr>
          <w:rFonts w:hint="eastAsia" w:ascii="宋体" w:hAnsi="宋体"/>
          <w:b/>
          <w:color w:val="000000" w:themeColor="text1"/>
          <w:szCs w:val="21"/>
          <w14:textFill>
            <w14:solidFill>
              <w14:schemeClr w14:val="tx1"/>
            </w14:solidFill>
          </w14:textFill>
        </w:rPr>
        <w:t>甲    方：阳江农村商业银行股份有限公司</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    话：           　   传  真：           地  址：</w:t>
      </w:r>
    </w:p>
    <w:p>
      <w:pPr>
        <w:spacing w:line="360" w:lineRule="auto"/>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乙    方：</w:t>
      </w:r>
      <w:r>
        <w:rPr>
          <w:rFonts w:hint="eastAsia" w:ascii="宋体" w:hAnsi="宋体"/>
          <w:b/>
          <w:color w:val="000000" w:themeColor="text1"/>
          <w:szCs w:val="21"/>
          <w:u w:val="single"/>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 xml:space="preserve">电    话：                传  真：           地  址：   </w:t>
      </w:r>
    </w:p>
    <w:p>
      <w:pPr>
        <w:spacing w:line="360" w:lineRule="auto"/>
        <w:ind w:firstLine="420" w:firstLineChars="200"/>
        <w:rPr>
          <w:rFonts w:ascii="宋体" w:hAnsi="宋体"/>
          <w:color w:val="000000" w:themeColor="text1"/>
          <w:szCs w:val="2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w:t>
      </w:r>
      <w:r>
        <w:rPr>
          <w:rFonts w:hint="eastAsia" w:ascii="宋体" w:hAnsi="宋体"/>
          <w:color w:val="000000" w:themeColor="text1"/>
          <w:szCs w:val="21"/>
          <w:u w:val="single"/>
          <w14:textFill>
            <w14:solidFill>
              <w14:schemeClr w14:val="tx1"/>
            </w14:solidFill>
          </w14:textFill>
        </w:rPr>
        <w:t>阳江农村商业银行股份有限公司装修工程造价咨询公司准入项目</w:t>
      </w:r>
      <w:r>
        <w:rPr>
          <w:rFonts w:hint="eastAsia" w:ascii="宋体" w:hAnsi="宋体"/>
          <w:color w:val="000000" w:themeColor="text1"/>
          <w:szCs w:val="21"/>
          <w14:textFill>
            <w14:solidFill>
              <w14:schemeClr w14:val="tx1"/>
            </w14:solidFill>
          </w14:textFill>
        </w:rPr>
        <w:t>的招标结果，按照《中华人民共和国招标投标法》、《中华人民共和国民法典》的规定，</w:t>
      </w:r>
      <w:r>
        <w:rPr>
          <w:rFonts w:hint="eastAsia" w:ascii="宋体" w:hAnsi="宋体"/>
          <w:color w:val="000000" w:themeColor="text1"/>
          <w:kern w:val="28"/>
          <w:szCs w:val="21"/>
          <w14:textFill>
            <w14:solidFill>
              <w14:schemeClr w14:val="tx1"/>
            </w14:solidFill>
          </w14:textFill>
        </w:rPr>
        <w:t>经双方协商，</w:t>
      </w:r>
      <w:r>
        <w:rPr>
          <w:rFonts w:hint="eastAsia" w:ascii="宋体" w:hAnsi="宋体"/>
          <w:color w:val="000000" w:themeColor="text1"/>
          <w:szCs w:val="21"/>
          <w14:textFill>
            <w14:solidFill>
              <w14:schemeClr w14:val="tx1"/>
            </w14:solidFill>
          </w14:textFill>
        </w:rPr>
        <w:t>本着平等互利和诚实信用的原则，</w:t>
      </w:r>
      <w:r>
        <w:rPr>
          <w:rFonts w:hint="eastAsia" w:ascii="宋体" w:hAnsi="宋体"/>
          <w:color w:val="000000" w:themeColor="text1"/>
          <w:kern w:val="28"/>
          <w:szCs w:val="21"/>
          <w14:textFill>
            <w14:solidFill>
              <w14:schemeClr w14:val="tx1"/>
            </w14:solidFill>
          </w14:textFill>
        </w:rPr>
        <w:t>一致同意签订本合同如下</w:t>
      </w:r>
      <w:r>
        <w:rPr>
          <w:rFonts w:hint="eastAsia" w:ascii="宋体" w:hAnsi="宋体"/>
          <w:color w:val="000000" w:themeColor="text1"/>
          <w:szCs w:val="21"/>
          <w14:textFill>
            <w14:solidFill>
              <w14:schemeClr w14:val="tx1"/>
            </w14:solidFill>
          </w14:textFill>
        </w:rPr>
        <w:t>。</w:t>
      </w: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一、</w:t>
      </w:r>
      <w:r>
        <w:rPr>
          <w:rFonts w:hint="eastAsia" w:ascii="宋体" w:hAnsi="宋体"/>
          <w:b/>
          <w:color w:val="000000" w:themeColor="text1"/>
          <w:szCs w:val="21"/>
          <w14:textFill>
            <w14:solidFill>
              <w14:schemeClr w14:val="tx1"/>
            </w14:solidFill>
          </w14:textFill>
        </w:rPr>
        <w:t>项目概况</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1.乙方将进入甲方造价咨询服务单位供应商库，根据甲方委托，为甲方装修工程项目提供相关造价咨询服务。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2.服务期限：</w:t>
      </w:r>
      <w:r>
        <w:rPr>
          <w:rFonts w:hint="eastAsia" w:ascii="宋体" w:hAnsi="宋体" w:cs="宋体"/>
          <w:color w:val="000000" w:themeColor="text1"/>
          <w14:textFill>
            <w14:solidFill>
              <w14:schemeClr w14:val="tx1"/>
            </w14:solidFill>
          </w14:textFill>
        </w:rPr>
        <w:t>3年，具体以合同签订为准。在服务期间，合同采用一年一签方式，甲方每年对入库单位服务质量进行评估，如考核合格将续签次年合同。</w:t>
      </w:r>
    </w:p>
    <w:p>
      <w:pPr>
        <w:spacing w:line="360" w:lineRule="auto"/>
        <w:rPr>
          <w:color w:val="000000" w:themeColor="text1"/>
          <w14:textFill>
            <w14:solidFill>
              <w14:schemeClr w14:val="tx1"/>
            </w14:solidFill>
          </w14:textFill>
        </w:rPr>
      </w:pPr>
      <w:bookmarkStart w:id="1654" w:name="_Toc71823298"/>
      <w:bookmarkStart w:id="1655" w:name="_Toc435540762"/>
      <w:bookmarkStart w:id="1656" w:name="_Toc493682684"/>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二、</w:t>
      </w:r>
      <w:r>
        <w:rPr>
          <w:rFonts w:hint="eastAsia" w:ascii="宋体" w:hAnsi="宋体"/>
          <w:b/>
          <w:color w:val="000000" w:themeColor="text1"/>
          <w:szCs w:val="21"/>
          <w14:textFill>
            <w14:solidFill>
              <w14:schemeClr w14:val="tx1"/>
            </w14:solidFill>
          </w14:textFill>
        </w:rPr>
        <w:t>服务期间（项目完成期限）</w:t>
      </w:r>
      <w:bookmarkEnd w:id="1654"/>
      <w:bookmarkEnd w:id="1655"/>
      <w:bookmarkEnd w:id="1656"/>
    </w:p>
    <w:p>
      <w:pPr>
        <w:spacing w:line="360" w:lineRule="auto"/>
        <w:ind w:firstLine="43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委托服务期间自</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月至</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月止。</w:t>
      </w:r>
    </w:p>
    <w:p>
      <w:pPr>
        <w:spacing w:line="360" w:lineRule="auto"/>
        <w:ind w:firstLine="435"/>
        <w:rPr>
          <w:rFonts w:ascii="宋体"/>
          <w:color w:val="000000" w:themeColor="text1"/>
          <w:szCs w:val="2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57" w:name="_Toc493682685"/>
      <w:bookmarkStart w:id="1658" w:name="_Toc435540763"/>
      <w:bookmarkStart w:id="1659" w:name="_Toc71823299"/>
      <w:r>
        <w:rPr>
          <w:rFonts w:ascii="宋体"/>
          <w:b/>
          <w:color w:val="000000" w:themeColor="text1"/>
          <w:szCs w:val="21"/>
          <w14:textFill>
            <w14:solidFill>
              <w14:schemeClr w14:val="tx1"/>
            </w14:solidFill>
          </w14:textFill>
        </w:rPr>
        <w:t>三、</w:t>
      </w:r>
      <w:r>
        <w:rPr>
          <w:rFonts w:hint="eastAsia" w:ascii="宋体" w:hAnsi="宋体"/>
          <w:b/>
          <w:color w:val="000000" w:themeColor="text1"/>
          <w:szCs w:val="21"/>
          <w14:textFill>
            <w14:solidFill>
              <w14:schemeClr w14:val="tx1"/>
            </w14:solidFill>
          </w14:textFill>
        </w:rPr>
        <w:t>付款方式</w:t>
      </w:r>
      <w:bookmarkEnd w:id="1657"/>
      <w:bookmarkEnd w:id="1658"/>
      <w:bookmarkEnd w:id="1659"/>
    </w:p>
    <w:p>
      <w:pPr>
        <w:spacing w:line="360" w:lineRule="auto"/>
        <w:ind w:firstLine="420" w:firstLineChars="200"/>
        <w:rPr>
          <w:rFonts w:ascii="宋体" w:hAnsi="宋体"/>
          <w:color w:val="000000" w:themeColor="text1"/>
          <w:szCs w:val="21"/>
          <w14:textFill>
            <w14:solidFill>
              <w14:schemeClr w14:val="tx1"/>
            </w14:solidFill>
          </w14:textFill>
        </w:rPr>
      </w:pPr>
      <w:bookmarkStart w:id="1660" w:name="_Toc435540764"/>
      <w:r>
        <w:rPr>
          <w:rFonts w:hint="eastAsia" w:ascii="宋体" w:hAnsi="宋体"/>
          <w:color w:val="000000" w:themeColor="text1"/>
          <w:szCs w:val="21"/>
          <w14:textFill>
            <w14:solidFill>
              <w14:schemeClr w14:val="tx1"/>
            </w14:solidFill>
          </w14:textFill>
        </w:rPr>
        <w:t>1.委托项目按单个项目委托协议或合同约定由甲方支付给乙方。</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2.乙方凭以下有效文件与甲方结算：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项目合同或委托书；</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乙方开具的正式发票，发票类型根据甲方要求提供；</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其他相关资料。</w:t>
      </w:r>
    </w:p>
    <w:p>
      <w:pPr>
        <w:spacing w:line="360" w:lineRule="auto"/>
        <w:rPr>
          <w:color w:val="000000" w:themeColor="text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61" w:name="_Toc493682686"/>
      <w:bookmarkStart w:id="1662" w:name="_Toc71823300"/>
      <w:r>
        <w:rPr>
          <w:rFonts w:ascii="宋体"/>
          <w:b/>
          <w:color w:val="000000" w:themeColor="text1"/>
          <w:szCs w:val="21"/>
          <w14:textFill>
            <w14:solidFill>
              <w14:schemeClr w14:val="tx1"/>
            </w14:solidFill>
          </w14:textFill>
        </w:rPr>
        <w:t>四、</w:t>
      </w:r>
      <w:r>
        <w:rPr>
          <w:rFonts w:hint="eastAsia" w:ascii="宋体"/>
          <w:b/>
          <w:color w:val="000000" w:themeColor="text1"/>
          <w:szCs w:val="21"/>
          <w14:textFill>
            <w14:solidFill>
              <w14:schemeClr w14:val="tx1"/>
            </w14:solidFill>
          </w14:textFill>
        </w:rPr>
        <w:t>履约保证金</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1.准入合同签订之日起10个工作日内，乙方将履约保证金5000元存入甲方指定账户；</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2.服务期（含具体项目造价咨询服务期）满后，如乙方没有出现任何违约情形，甲方在收到乙方的请款申请后15个工作日内退还履约保证金。</w:t>
      </w:r>
    </w:p>
    <w:p>
      <w:pPr>
        <w:rPr>
          <w:color w:val="000000" w:themeColor="text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五、</w:t>
      </w:r>
      <w:r>
        <w:rPr>
          <w:rFonts w:hint="eastAsia" w:ascii="宋体" w:hAnsi="宋体"/>
          <w:b/>
          <w:bCs/>
          <w:color w:val="000000" w:themeColor="text1"/>
          <w:szCs w:val="21"/>
          <w14:textFill>
            <w14:solidFill>
              <w14:schemeClr w14:val="tx1"/>
            </w14:solidFill>
          </w14:textFill>
        </w:rPr>
        <w:t>准入及退出机制</w:t>
      </w:r>
    </w:p>
    <w:p>
      <w:pPr>
        <w:widowControl/>
        <w:spacing w:line="5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入库期间，甲方将根据自身相关制度规定，对乙方进行评分考核，考核内容包括服务效率、服务态度、技术水平、服务质量等，考核不通过的将解除合作协议，作退库处理。解除合作协议的乙方3年内不再列入准入名单。同时，乙方</w:t>
      </w:r>
      <w:r>
        <w:rPr>
          <w:rFonts w:hint="eastAsia" w:ascii="宋体" w:hAnsi="宋体" w:cs="宋体"/>
          <w:color w:val="000000" w:themeColor="text1"/>
          <w:szCs w:val="21"/>
          <w14:textFill>
            <w14:solidFill>
              <w14:schemeClr w14:val="tx1"/>
            </w14:solidFill>
          </w14:textFill>
        </w:rPr>
        <w:t>存在</w:t>
      </w:r>
      <w:r>
        <w:rPr>
          <w:rFonts w:hint="eastAsia" w:ascii="宋体" w:hAnsi="宋体"/>
          <w:color w:val="000000" w:themeColor="text1"/>
          <w:szCs w:val="21"/>
          <w14:textFill>
            <w14:solidFill>
              <w14:schemeClr w14:val="tx1"/>
            </w14:solidFill>
          </w14:textFill>
        </w:rPr>
        <w:t>下列情况之一的，作退出处理：</w:t>
      </w:r>
    </w:p>
    <w:p>
      <w:pPr>
        <w:widowControl/>
        <w:spacing w:line="5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1）对甲方招标（服务）需求，一年内出现连续2次不响应的；</w:t>
      </w:r>
    </w:p>
    <w:p>
      <w:pPr>
        <w:widowControl/>
        <w:spacing w:line="5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2）一年内出现2次（含）以上造价与图纸偏差明显的；</w:t>
      </w:r>
    </w:p>
    <w:p>
      <w:pPr>
        <w:widowControl/>
        <w:spacing w:line="5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3）发现与施工（投标）单位串通、勾结，欺骗甲方的；</w:t>
      </w:r>
    </w:p>
    <w:p>
      <w:pPr>
        <w:widowControl/>
        <w:spacing w:line="5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4）未能通过有关部门相关资质年检的；</w:t>
      </w:r>
    </w:p>
    <w:p>
      <w:pPr>
        <w:widowControl/>
        <w:spacing w:line="5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5）甲方认为需要退出的。</w:t>
      </w:r>
    </w:p>
    <w:p>
      <w:pPr>
        <w:widowControl/>
        <w:spacing w:line="52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如库内造价单位数量少于3家时，甲方可邀请</w:t>
      </w:r>
      <w:r>
        <w:rPr>
          <w:rFonts w:hint="eastAsia" w:ascii="宋体" w:hAnsi="宋体" w:cs="宋体"/>
          <w:color w:val="000000" w:themeColor="text1"/>
          <w14:textFill>
            <w14:solidFill>
              <w14:schemeClr w14:val="tx1"/>
            </w14:solidFill>
          </w14:textFill>
        </w:rPr>
        <w:t>后备单位</w:t>
      </w:r>
      <w:r>
        <w:rPr>
          <w:rFonts w:hint="eastAsia" w:ascii="宋体" w:hAnsi="宋体" w:cs="宋体"/>
          <w:color w:val="000000" w:themeColor="text1"/>
          <w:szCs w:val="21"/>
          <w14:textFill>
            <w14:solidFill>
              <w14:schemeClr w14:val="tx1"/>
            </w14:solidFill>
          </w14:textFill>
        </w:rPr>
        <w:t>依次补入，或通过重新招标的方式补入。</w:t>
      </w:r>
      <w:r>
        <w:rPr>
          <w:rFonts w:hint="eastAsia" w:ascii="宋体" w:hAnsi="宋体" w:cs="宋体"/>
          <w:color w:val="000000" w:themeColor="text1"/>
          <w14:textFill>
            <w14:solidFill>
              <w14:schemeClr w14:val="tx1"/>
            </w14:solidFill>
          </w14:textFill>
        </w:rPr>
        <w:t>后备单位</w:t>
      </w:r>
      <w:r>
        <w:rPr>
          <w:rFonts w:hint="eastAsia" w:ascii="宋体" w:hAnsi="宋体" w:cs="宋体"/>
          <w:color w:val="000000" w:themeColor="text1"/>
          <w:szCs w:val="21"/>
          <w14:textFill>
            <w14:solidFill>
              <w14:schemeClr w14:val="tx1"/>
            </w14:solidFill>
          </w14:textFill>
        </w:rPr>
        <w:t>同意补入库的，须按原招标文件、投标承诺与甲方签订准入合同，合同期限自补入库合同生效之日起至本次准入项目服务期满之日止。</w:t>
      </w:r>
    </w:p>
    <w:p>
      <w:pPr>
        <w:autoSpaceDE w:val="0"/>
        <w:autoSpaceDN w:val="0"/>
        <w:adjustRightInd w:val="0"/>
        <w:spacing w:line="360" w:lineRule="auto"/>
        <w:ind w:left="-441" w:leftChars="-210"/>
        <w:jc w:val="left"/>
        <w:rPr>
          <w:rFonts w:ascii="宋体"/>
          <w:b/>
          <w:color w:val="000000" w:themeColor="text1"/>
          <w:szCs w:val="2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六、</w:t>
      </w:r>
      <w:r>
        <w:rPr>
          <w:rFonts w:hint="eastAsia" w:ascii="宋体" w:hAnsi="宋体"/>
          <w:b/>
          <w:color w:val="000000" w:themeColor="text1"/>
          <w:szCs w:val="21"/>
          <w14:textFill>
            <w14:solidFill>
              <w14:schemeClr w14:val="tx1"/>
            </w14:solidFill>
          </w14:textFill>
        </w:rPr>
        <w:t>知识产权产权归属</w:t>
      </w:r>
      <w:bookmarkEnd w:id="1660"/>
      <w:bookmarkEnd w:id="1661"/>
      <w:bookmarkEnd w:id="1662"/>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应保证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spacing w:line="360" w:lineRule="auto"/>
        <w:ind w:firstLine="420" w:firstLineChars="200"/>
        <w:rPr>
          <w:rFonts w:ascii="宋体" w:cs="宋体"/>
          <w:color w:val="000000" w:themeColor="text1"/>
          <w:szCs w:val="2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63" w:name="_Toc493682687"/>
      <w:bookmarkStart w:id="1664" w:name="_Toc71823301"/>
      <w:bookmarkStart w:id="1665" w:name="_Toc435540765"/>
      <w:r>
        <w:rPr>
          <w:rFonts w:ascii="宋体"/>
          <w:b/>
          <w:color w:val="000000" w:themeColor="text1"/>
          <w:szCs w:val="21"/>
          <w14:textFill>
            <w14:solidFill>
              <w14:schemeClr w14:val="tx1"/>
            </w14:solidFill>
          </w14:textFill>
        </w:rPr>
        <w:t>七、</w:t>
      </w:r>
      <w:r>
        <w:rPr>
          <w:rFonts w:hint="eastAsia" w:ascii="宋体" w:hAnsi="宋体" w:cs="宋体"/>
          <w:b/>
          <w:bCs/>
          <w:color w:val="000000" w:themeColor="text1"/>
          <w:szCs w:val="21"/>
          <w14:textFill>
            <w14:solidFill>
              <w14:schemeClr w14:val="tx1"/>
            </w14:solidFill>
          </w14:textFill>
        </w:rPr>
        <w:t>服务费用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50万（含）以上的工程造价咨询服务费用，按广东省物价局《关于调整我省建设工程造价咨询服务收费的复函》（粤价函〔2011〕742号）规定的造价咨询服务收费标准计算，具体以甲方和乙方协商签署的具体造价咨询服务合同约定为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2、50万以下的工程估（概）算、预算、结算等审核（编制）服务费用，乙方按表1、表</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所列标准收取：</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表1</w:t>
      </w:r>
    </w:p>
    <w:tbl>
      <w:tblPr>
        <w:tblStyle w:val="48"/>
        <w:tblW w:w="4659" w:type="pct"/>
        <w:jc w:val="center"/>
        <w:tblLayout w:type="autofit"/>
        <w:tblCellMar>
          <w:top w:w="0" w:type="dxa"/>
          <w:left w:w="108" w:type="dxa"/>
          <w:bottom w:w="0" w:type="dxa"/>
          <w:right w:w="108" w:type="dxa"/>
        </w:tblCellMar>
      </w:tblPr>
      <w:tblGrid>
        <w:gridCol w:w="888"/>
        <w:gridCol w:w="4729"/>
        <w:gridCol w:w="2931"/>
      </w:tblGrid>
      <w:tr>
        <w:tblPrEx>
          <w:tblCellMar>
            <w:top w:w="0" w:type="dxa"/>
            <w:left w:w="108" w:type="dxa"/>
            <w:bottom w:w="0" w:type="dxa"/>
            <w:right w:w="108" w:type="dxa"/>
          </w:tblCellMar>
        </w:tblPrEx>
        <w:trPr>
          <w:trHeight w:val="342" w:hRule="atLeast"/>
          <w:jc w:val="center"/>
        </w:trPr>
        <w:tc>
          <w:tcPr>
            <w:tcW w:w="51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序号</w:t>
            </w:r>
          </w:p>
        </w:tc>
        <w:tc>
          <w:tcPr>
            <w:tcW w:w="2765"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工程拟投入估（概）</w:t>
            </w:r>
            <w:r>
              <w:rPr>
                <w:rStyle w:val="98"/>
                <w:rFonts w:hint="eastAsia" w:ascii="宋体" w:hAnsi="宋体" w:cs="宋体"/>
                <w:color w:val="000000" w:themeColor="text1"/>
                <w:sz w:val="21"/>
                <w:szCs w:val="21"/>
                <w:lang w:bidi="ar"/>
                <w14:textFill>
                  <w14:solidFill>
                    <w14:schemeClr w14:val="tx1"/>
                  </w14:solidFill>
                </w14:textFill>
              </w:rPr>
              <w:t>算X（元/项）</w:t>
            </w:r>
          </w:p>
        </w:tc>
        <w:tc>
          <w:tcPr>
            <w:tcW w:w="1714"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服务费用（元/项）</w:t>
            </w:r>
          </w:p>
        </w:tc>
      </w:tr>
      <w:tr>
        <w:tblPrEx>
          <w:tblCellMar>
            <w:top w:w="0" w:type="dxa"/>
            <w:left w:w="108" w:type="dxa"/>
            <w:bottom w:w="0" w:type="dxa"/>
            <w:right w:w="108" w:type="dxa"/>
          </w:tblCellMar>
        </w:tblPrEx>
        <w:trPr>
          <w:trHeight w:val="342" w:hRule="atLeast"/>
          <w:jc w:val="center"/>
        </w:trPr>
        <w:tc>
          <w:tcPr>
            <w:tcW w:w="51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765"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0&lt;X</w:t>
            </w:r>
            <w:r>
              <w:rPr>
                <w:rStyle w:val="316"/>
                <w:rFonts w:hint="eastAsia" w:ascii="宋体" w:hAnsi="宋体" w:cs="宋体"/>
                <w:color w:val="000000" w:themeColor="text1"/>
                <w:sz w:val="21"/>
                <w:szCs w:val="21"/>
                <w:lang w:bidi="ar"/>
                <w14:textFill>
                  <w14:solidFill>
                    <w14:schemeClr w14:val="tx1"/>
                  </w14:solidFill>
                </w14:textFill>
              </w:rPr>
              <w:t>≤</w:t>
            </w:r>
            <w:r>
              <w:rPr>
                <w:rStyle w:val="98"/>
                <w:rFonts w:hint="eastAsia" w:ascii="宋体" w:hAnsi="宋体" w:cs="宋体"/>
                <w:color w:val="000000" w:themeColor="text1"/>
                <w:sz w:val="21"/>
                <w:szCs w:val="21"/>
                <w:lang w:bidi="ar"/>
                <w14:textFill>
                  <w14:solidFill>
                    <w14:schemeClr w14:val="tx1"/>
                  </w14:solidFill>
                </w14:textFill>
              </w:rPr>
              <w:t>20000</w:t>
            </w:r>
          </w:p>
        </w:tc>
        <w:tc>
          <w:tcPr>
            <w:tcW w:w="1714"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200元</w:t>
            </w:r>
          </w:p>
        </w:tc>
      </w:tr>
      <w:tr>
        <w:tblPrEx>
          <w:tblCellMar>
            <w:top w:w="0" w:type="dxa"/>
            <w:left w:w="108" w:type="dxa"/>
            <w:bottom w:w="0" w:type="dxa"/>
            <w:right w:w="108" w:type="dxa"/>
          </w:tblCellMar>
        </w:tblPrEx>
        <w:trPr>
          <w:trHeight w:val="342" w:hRule="atLeast"/>
          <w:jc w:val="center"/>
        </w:trPr>
        <w:tc>
          <w:tcPr>
            <w:tcW w:w="51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765"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20000&lt;X</w:t>
            </w:r>
            <w:r>
              <w:rPr>
                <w:rStyle w:val="98"/>
                <w:rFonts w:hint="eastAsia" w:ascii="宋体" w:hAnsi="宋体" w:cs="宋体"/>
                <w:color w:val="000000" w:themeColor="text1"/>
                <w:sz w:val="21"/>
                <w:szCs w:val="21"/>
                <w:lang w:bidi="ar"/>
                <w14:textFill>
                  <w14:solidFill>
                    <w14:schemeClr w14:val="tx1"/>
                  </w14:solidFill>
                </w14:textFill>
              </w:rPr>
              <w:t>≤50000</w:t>
            </w:r>
          </w:p>
        </w:tc>
        <w:tc>
          <w:tcPr>
            <w:tcW w:w="1714"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300元</w:t>
            </w:r>
          </w:p>
        </w:tc>
      </w:tr>
      <w:tr>
        <w:tblPrEx>
          <w:tblCellMar>
            <w:top w:w="0" w:type="dxa"/>
            <w:left w:w="108" w:type="dxa"/>
            <w:bottom w:w="0" w:type="dxa"/>
            <w:right w:w="108" w:type="dxa"/>
          </w:tblCellMar>
        </w:tblPrEx>
        <w:trPr>
          <w:trHeight w:val="342" w:hRule="atLeast"/>
          <w:jc w:val="center"/>
        </w:trPr>
        <w:tc>
          <w:tcPr>
            <w:tcW w:w="51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765"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50000&lt;X</w:t>
            </w:r>
            <w:r>
              <w:rPr>
                <w:rStyle w:val="98"/>
                <w:rFonts w:hint="eastAsia" w:ascii="宋体" w:hAnsi="宋体" w:cs="宋体"/>
                <w:color w:val="000000" w:themeColor="text1"/>
                <w:sz w:val="21"/>
                <w:szCs w:val="21"/>
                <w:lang w:bidi="ar"/>
                <w14:textFill>
                  <w14:solidFill>
                    <w14:schemeClr w14:val="tx1"/>
                  </w14:solidFill>
                </w14:textFill>
              </w:rPr>
              <w:t>≤100000</w:t>
            </w:r>
          </w:p>
        </w:tc>
        <w:tc>
          <w:tcPr>
            <w:tcW w:w="1714"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400元</w:t>
            </w:r>
          </w:p>
        </w:tc>
      </w:tr>
      <w:tr>
        <w:tblPrEx>
          <w:tblCellMar>
            <w:top w:w="0" w:type="dxa"/>
            <w:left w:w="108" w:type="dxa"/>
            <w:bottom w:w="0" w:type="dxa"/>
            <w:right w:w="108" w:type="dxa"/>
          </w:tblCellMar>
        </w:tblPrEx>
        <w:trPr>
          <w:trHeight w:val="342" w:hRule="atLeast"/>
          <w:jc w:val="center"/>
        </w:trPr>
        <w:tc>
          <w:tcPr>
            <w:tcW w:w="51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2765"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100000&lt;X</w:t>
            </w:r>
            <w:r>
              <w:rPr>
                <w:rStyle w:val="98"/>
                <w:rFonts w:hint="eastAsia" w:ascii="宋体" w:hAnsi="宋体" w:cs="宋体"/>
                <w:color w:val="000000" w:themeColor="text1"/>
                <w:sz w:val="21"/>
                <w:szCs w:val="21"/>
                <w:lang w:bidi="ar"/>
                <w14:textFill>
                  <w14:solidFill>
                    <w14:schemeClr w14:val="tx1"/>
                  </w14:solidFill>
                </w14:textFill>
              </w:rPr>
              <w:t>≤200000</w:t>
            </w:r>
          </w:p>
        </w:tc>
        <w:tc>
          <w:tcPr>
            <w:tcW w:w="1714"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600元</w:t>
            </w:r>
          </w:p>
        </w:tc>
      </w:tr>
      <w:tr>
        <w:tblPrEx>
          <w:tblCellMar>
            <w:top w:w="0" w:type="dxa"/>
            <w:left w:w="108" w:type="dxa"/>
            <w:bottom w:w="0" w:type="dxa"/>
            <w:right w:w="108" w:type="dxa"/>
          </w:tblCellMar>
        </w:tblPrEx>
        <w:trPr>
          <w:trHeight w:val="342" w:hRule="atLeast"/>
          <w:jc w:val="center"/>
        </w:trPr>
        <w:tc>
          <w:tcPr>
            <w:tcW w:w="51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2765"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200000&lt;X</w:t>
            </w:r>
            <w:r>
              <w:rPr>
                <w:rStyle w:val="98"/>
                <w:rFonts w:hint="eastAsia" w:ascii="宋体" w:hAnsi="宋体" w:cs="宋体"/>
                <w:color w:val="000000" w:themeColor="text1"/>
                <w:sz w:val="21"/>
                <w:szCs w:val="21"/>
                <w:lang w:bidi="ar"/>
                <w14:textFill>
                  <w14:solidFill>
                    <w14:schemeClr w14:val="tx1"/>
                  </w14:solidFill>
                </w14:textFill>
              </w:rPr>
              <w:t>≤300000</w:t>
            </w:r>
          </w:p>
        </w:tc>
        <w:tc>
          <w:tcPr>
            <w:tcW w:w="1714"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1000元</w:t>
            </w:r>
          </w:p>
        </w:tc>
      </w:tr>
      <w:tr>
        <w:tblPrEx>
          <w:tblCellMar>
            <w:top w:w="0" w:type="dxa"/>
            <w:left w:w="108" w:type="dxa"/>
            <w:bottom w:w="0" w:type="dxa"/>
            <w:right w:w="108" w:type="dxa"/>
          </w:tblCellMar>
        </w:tblPrEx>
        <w:trPr>
          <w:trHeight w:val="342" w:hRule="atLeast"/>
          <w:jc w:val="center"/>
        </w:trPr>
        <w:tc>
          <w:tcPr>
            <w:tcW w:w="51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2765"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300000&lt;X</w:t>
            </w:r>
            <w:r>
              <w:rPr>
                <w:rStyle w:val="98"/>
                <w:rFonts w:hint="eastAsia" w:ascii="宋体" w:hAnsi="宋体" w:cs="宋体"/>
                <w:color w:val="000000" w:themeColor="text1"/>
                <w:sz w:val="21"/>
                <w:szCs w:val="21"/>
                <w:lang w:bidi="ar"/>
                <w14:textFill>
                  <w14:solidFill>
                    <w14:schemeClr w14:val="tx1"/>
                  </w14:solidFill>
                </w14:textFill>
              </w:rPr>
              <w:t>≤500000</w:t>
            </w:r>
          </w:p>
        </w:tc>
        <w:tc>
          <w:tcPr>
            <w:tcW w:w="1714"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2000元</w:t>
            </w:r>
          </w:p>
        </w:tc>
      </w:tr>
    </w:tbl>
    <w:p>
      <w:pPr>
        <w:tabs>
          <w:tab w:val="left" w:pos="426"/>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表2</w:t>
      </w:r>
    </w:p>
    <w:tbl>
      <w:tblPr>
        <w:tblStyle w:val="48"/>
        <w:tblW w:w="8666" w:type="dxa"/>
        <w:jc w:val="center"/>
        <w:tblLayout w:type="autofit"/>
        <w:tblCellMar>
          <w:top w:w="0" w:type="dxa"/>
          <w:left w:w="108" w:type="dxa"/>
          <w:bottom w:w="0" w:type="dxa"/>
          <w:right w:w="108" w:type="dxa"/>
        </w:tblCellMar>
      </w:tblPr>
      <w:tblGrid>
        <w:gridCol w:w="896"/>
        <w:gridCol w:w="4800"/>
        <w:gridCol w:w="2970"/>
      </w:tblGrid>
      <w:tr>
        <w:tblPrEx>
          <w:tblCellMar>
            <w:top w:w="0" w:type="dxa"/>
            <w:left w:w="108" w:type="dxa"/>
            <w:bottom w:w="0" w:type="dxa"/>
            <w:right w:w="108" w:type="dxa"/>
          </w:tblCellMar>
        </w:tblPrEx>
        <w:trPr>
          <w:trHeight w:val="342"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序号</w:t>
            </w:r>
          </w:p>
        </w:tc>
        <w:tc>
          <w:tcPr>
            <w:tcW w:w="4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工程送审预（结）算X（元/项）</w:t>
            </w:r>
          </w:p>
        </w:tc>
        <w:tc>
          <w:tcPr>
            <w:tcW w:w="29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服务费用（元/项）</w:t>
            </w:r>
          </w:p>
        </w:tc>
      </w:tr>
      <w:tr>
        <w:tblPrEx>
          <w:tblCellMar>
            <w:top w:w="0" w:type="dxa"/>
            <w:left w:w="108" w:type="dxa"/>
            <w:bottom w:w="0" w:type="dxa"/>
            <w:right w:w="108" w:type="dxa"/>
          </w:tblCellMar>
        </w:tblPrEx>
        <w:trPr>
          <w:trHeight w:val="342"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4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0&lt;X≤20000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200元</w:t>
            </w:r>
          </w:p>
        </w:tc>
      </w:tr>
      <w:tr>
        <w:tblPrEx>
          <w:tblCellMar>
            <w:top w:w="0" w:type="dxa"/>
            <w:left w:w="108" w:type="dxa"/>
            <w:bottom w:w="0" w:type="dxa"/>
            <w:right w:w="108" w:type="dxa"/>
          </w:tblCellMar>
        </w:tblPrEx>
        <w:trPr>
          <w:trHeight w:val="342"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4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20000&lt;X≤50000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300元</w:t>
            </w:r>
          </w:p>
        </w:tc>
      </w:tr>
      <w:tr>
        <w:tblPrEx>
          <w:tblCellMar>
            <w:top w:w="0" w:type="dxa"/>
            <w:left w:w="108" w:type="dxa"/>
            <w:bottom w:w="0" w:type="dxa"/>
            <w:right w:w="108" w:type="dxa"/>
          </w:tblCellMar>
        </w:tblPrEx>
        <w:trPr>
          <w:trHeight w:val="342"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4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50000&lt;X≤100000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400元</w:t>
            </w:r>
          </w:p>
        </w:tc>
      </w:tr>
      <w:tr>
        <w:tblPrEx>
          <w:tblCellMar>
            <w:top w:w="0" w:type="dxa"/>
            <w:left w:w="108" w:type="dxa"/>
            <w:bottom w:w="0" w:type="dxa"/>
            <w:right w:w="108" w:type="dxa"/>
          </w:tblCellMar>
        </w:tblPrEx>
        <w:trPr>
          <w:trHeight w:val="342"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4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100000&lt;X≤200000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600元</w:t>
            </w:r>
          </w:p>
        </w:tc>
      </w:tr>
      <w:tr>
        <w:tblPrEx>
          <w:tblCellMar>
            <w:top w:w="0" w:type="dxa"/>
            <w:left w:w="108" w:type="dxa"/>
            <w:bottom w:w="0" w:type="dxa"/>
            <w:right w:w="108" w:type="dxa"/>
          </w:tblCellMar>
        </w:tblPrEx>
        <w:trPr>
          <w:trHeight w:val="342"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4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200000&lt;X≤300000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1000元</w:t>
            </w:r>
          </w:p>
        </w:tc>
      </w:tr>
      <w:tr>
        <w:tblPrEx>
          <w:tblCellMar>
            <w:top w:w="0" w:type="dxa"/>
            <w:left w:w="108" w:type="dxa"/>
            <w:bottom w:w="0" w:type="dxa"/>
            <w:right w:w="108" w:type="dxa"/>
          </w:tblCellMar>
        </w:tblPrEx>
        <w:trPr>
          <w:trHeight w:val="342"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480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300000&lt;X≤500000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center"/>
              <w:textAlignment w:val="top"/>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2000元</w:t>
            </w:r>
          </w:p>
        </w:tc>
      </w:tr>
    </w:tbl>
    <w:p>
      <w:pPr>
        <w:spacing w:line="360" w:lineRule="auto"/>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服务费为完成受委托项目所收取的全部费用，已包含但不限于以下费用：完成本项目所有工作内容的成本费、劳务费、交通费、场地费、税金（全额含税发票）、雇员费用以及项目实施过程中其它应预见和不可预见费用等完成本采购项目、达到甲方目的的一切费用及企业利润。</w:t>
      </w:r>
    </w:p>
    <w:p>
      <w:pPr>
        <w:autoSpaceDE w:val="0"/>
        <w:autoSpaceDN w:val="0"/>
        <w:adjustRightInd w:val="0"/>
        <w:spacing w:line="360" w:lineRule="auto"/>
        <w:ind w:left="-441" w:leftChars="-210"/>
        <w:jc w:val="left"/>
        <w:rPr>
          <w:rFonts w:ascii="宋体"/>
          <w:b/>
          <w:color w:val="000000" w:themeColor="text1"/>
          <w:szCs w:val="2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八、</w:t>
      </w:r>
      <w:r>
        <w:rPr>
          <w:rFonts w:hint="eastAsia" w:ascii="宋体" w:hAnsi="宋体" w:cs="宋体"/>
          <w:b/>
          <w:bCs/>
          <w:color w:val="000000" w:themeColor="text1"/>
          <w:szCs w:val="21"/>
          <w14:textFill>
            <w14:solidFill>
              <w14:schemeClr w14:val="tx1"/>
            </w14:solidFill>
          </w14:textFill>
        </w:rPr>
        <w:t>造价服务范围：</w:t>
      </w:r>
    </w:p>
    <w:p>
      <w:pPr>
        <w:spacing w:line="360" w:lineRule="auto"/>
        <w:ind w:firstLine="420" w:firstLineChars="200"/>
        <w:rPr>
          <w:rFonts w:ascii="宋体" w:hAnsi="宋体" w:cs="宋体"/>
          <w:color w:val="000000" w:themeColor="text1"/>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zh-CN"/>
          <w14:textFill>
            <w14:solidFill>
              <w14:schemeClr w14:val="tx1"/>
            </w14:solidFill>
          </w14:textFill>
        </w:rPr>
        <w:t>工程</w:t>
      </w:r>
      <w:r>
        <w:rPr>
          <w:rFonts w:hint="eastAsia" w:ascii="宋体" w:hAnsi="宋体" w:cs="宋体"/>
          <w:color w:val="000000" w:themeColor="text1"/>
          <w:szCs w:val="21"/>
          <w14:textFill>
            <w14:solidFill>
              <w14:schemeClr w14:val="tx1"/>
            </w14:solidFill>
          </w14:textFill>
        </w:rPr>
        <w:t>估算、概算、工程量清单、</w:t>
      </w:r>
      <w:r>
        <w:rPr>
          <w:rFonts w:hint="eastAsia" w:ascii="宋体" w:hAnsi="宋体" w:cs="宋体"/>
          <w:color w:val="000000" w:themeColor="text1"/>
          <w:szCs w:val="21"/>
          <w:lang w:val="zh-CN"/>
          <w14:textFill>
            <w14:solidFill>
              <w14:schemeClr w14:val="tx1"/>
            </w14:solidFill>
          </w14:textFill>
        </w:rPr>
        <w:t>工程预算、</w:t>
      </w:r>
      <w:r>
        <w:rPr>
          <w:rFonts w:hint="eastAsia" w:ascii="宋体" w:hAnsi="宋体" w:cs="宋体"/>
          <w:color w:val="000000" w:themeColor="text1"/>
          <w:szCs w:val="21"/>
          <w14:textFill>
            <w14:solidFill>
              <w14:schemeClr w14:val="tx1"/>
            </w14:solidFill>
          </w14:textFill>
        </w:rPr>
        <w:t>工程结算审核或</w:t>
      </w:r>
      <w:r>
        <w:rPr>
          <w:rFonts w:hint="eastAsia" w:ascii="宋体" w:hAnsi="宋体" w:cs="宋体"/>
          <w:color w:val="000000" w:themeColor="text1"/>
          <w:szCs w:val="21"/>
          <w:lang w:val="zh-CN"/>
          <w14:textFill>
            <w14:solidFill>
              <w14:schemeClr w14:val="tx1"/>
            </w14:solidFill>
          </w14:textFill>
        </w:rPr>
        <w:t>编制；</w:t>
      </w:r>
    </w:p>
    <w:p>
      <w:pPr>
        <w:pStyle w:val="17"/>
        <w:spacing w:after="24" w:afterLines="10"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2、在上述各阶段服务过程中，按甲方要求提供造价咨询相关服务成果的纸质文件及电子文件，及造价咨询全过程的资料整理和归档等；</w:t>
      </w:r>
    </w:p>
    <w:p>
      <w:pPr>
        <w:pStyle w:val="17"/>
        <w:spacing w:after="24" w:afterLines="10"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3、其他甲方要求的与工程造价相关的咨询服务工作。</w:t>
      </w:r>
    </w:p>
    <w:p>
      <w:pPr>
        <w:autoSpaceDE w:val="0"/>
        <w:autoSpaceDN w:val="0"/>
        <w:adjustRightInd w:val="0"/>
        <w:spacing w:line="360" w:lineRule="auto"/>
        <w:ind w:left="-441" w:leftChars="-210"/>
        <w:jc w:val="left"/>
        <w:rPr>
          <w:rFonts w:ascii="宋体"/>
          <w:b/>
          <w:color w:val="000000" w:themeColor="text1"/>
          <w:szCs w:val="21"/>
          <w14:textFill>
            <w14:solidFill>
              <w14:schemeClr w14:val="tx1"/>
            </w14:solidFill>
          </w14:textFill>
        </w:rPr>
      </w:pPr>
    </w:p>
    <w:p>
      <w:pPr>
        <w:spacing w:line="360" w:lineRule="auto"/>
        <w:ind w:left="450" w:hanging="45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九</w:t>
      </w:r>
      <w:r>
        <w:rPr>
          <w:rFonts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服务要求</w:t>
      </w:r>
    </w:p>
    <w:p>
      <w:pPr>
        <w:pStyle w:val="194"/>
        <w:tabs>
          <w:tab w:val="left" w:pos="1076"/>
        </w:tabs>
        <w:spacing w:before="1"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必须严格按照国家、省或行业现行的相关标准、规范提供真实、准确、可靠的全过程造价控制咨询服务，符合国家标准（GB50500-2013）《建设工程工程量清单计价规范》、《广东省建设工程计价依据（2018）》以及广东省、阳江市现行的工程造价相关管理规定。</w:t>
      </w:r>
    </w:p>
    <w:p>
      <w:pPr>
        <w:pStyle w:val="194"/>
        <w:tabs>
          <w:tab w:val="left" w:pos="1076"/>
        </w:tabs>
        <w:spacing w:before="1"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应熟悉并严格执行国家、省、市有关部门关于建设工程项目造价管理方面的法律、法规及相关政策，本着为建设工程节约投资的原则，科学、客观、公正地开展审核工作，要合理体现甲方控制项目投资的要求。健全内部控制制度，按时按质提供评审报告，对报告的真实性、准确性、有效性负责，并负有保密责任。</w:t>
      </w:r>
    </w:p>
    <w:p>
      <w:pPr>
        <w:pStyle w:val="194"/>
        <w:tabs>
          <w:tab w:val="left" w:pos="1076"/>
        </w:tabs>
        <w:spacing w:before="1"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3、乙方应保证提供合格的建设工程造价咨询服务，无正当理由不得拒绝接受委托项目。未经甲方书面同意，不得擅自将受托项目转委托给第三方承担。</w:t>
      </w:r>
    </w:p>
    <w:p>
      <w:pPr>
        <w:pStyle w:val="194"/>
        <w:tabs>
          <w:tab w:val="left" w:pos="1076"/>
        </w:tabs>
        <w:spacing w:before="1"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为保证按时按质按量完成受托的造价咨询业务，乙方须提供充裕的人力、物力及相应的软件、硬件支持，不能以上述原因为理由延误工程的委托任务。若甲方对所完成的委托服务项目的质量及时间不满意（未能达到工程造价咨询委托协议或合同要求），则有权发出警告信（整改通知书）给乙方。</w:t>
      </w:r>
    </w:p>
    <w:p>
      <w:pPr>
        <w:pStyle w:val="194"/>
        <w:tabs>
          <w:tab w:val="left" w:pos="1076"/>
        </w:tabs>
        <w:spacing w:before="3"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5、乙方须指定专人负责联系委托事宜。</w:t>
      </w:r>
    </w:p>
    <w:p>
      <w:pPr>
        <w:pStyle w:val="194"/>
        <w:tabs>
          <w:tab w:val="left" w:pos="1076"/>
        </w:tabs>
        <w:spacing w:before="3"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6、乙方派出的审核人员，应完整、准确、真实反映并记录审核过程中的工作情况，做好审核资料、工作底稿整理、归集，并按规定格式和质量要求提供审核结论。评审报告所涉及的</w:t>
      </w:r>
      <w:r>
        <w:rPr>
          <w:rFonts w:hint="eastAsia" w:ascii="宋体" w:hAnsi="宋体" w:cs="宋体"/>
          <w:color w:val="000000" w:themeColor="text1"/>
          <w:spacing w:val="-3"/>
          <w:szCs w:val="21"/>
          <w14:textFill>
            <w14:solidFill>
              <w14:schemeClr w14:val="tx1"/>
            </w14:solidFill>
          </w14:textFill>
        </w:rPr>
        <w:t xml:space="preserve">资料，应按评审项目建立档案，妥善保管至报告出具之日起 </w:t>
      </w:r>
      <w:r>
        <w:rPr>
          <w:rFonts w:hint="eastAsia" w:ascii="宋体" w:hAnsi="宋体" w:cs="宋体"/>
          <w:color w:val="000000" w:themeColor="text1"/>
          <w:szCs w:val="21"/>
          <w14:textFill>
            <w14:solidFill>
              <w14:schemeClr w14:val="tx1"/>
            </w14:solidFill>
          </w14:textFill>
        </w:rPr>
        <w:t>10 年后。</w:t>
      </w:r>
    </w:p>
    <w:p>
      <w:pPr>
        <w:spacing w:line="360" w:lineRule="auto"/>
        <w:ind w:left="450" w:hanging="450"/>
        <w:rPr>
          <w:rFonts w:ascii="宋体" w:hAnsi="宋体" w:cs="宋体"/>
          <w:b/>
          <w:bCs/>
          <w:color w:val="000000" w:themeColor="text1"/>
          <w:szCs w:val="21"/>
          <w14:textFill>
            <w14:solidFill>
              <w14:schemeClr w14:val="tx1"/>
            </w14:solidFill>
          </w14:textFill>
        </w:rPr>
      </w:pPr>
    </w:p>
    <w:p>
      <w:pPr>
        <w:spacing w:line="360" w:lineRule="auto"/>
        <w:ind w:left="450" w:hanging="45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十</w:t>
      </w:r>
      <w:r>
        <w:rPr>
          <w:rFonts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人员要求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拟投入本工程项目实行工程造价咨询的人员必须具有造价工程师执业资格，具有从事造价审核工作经验，能熟练运用计算机进行工作，具有良好的思想品德和专业业务素质，较好的语言表达能力和沟通协调能力。</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2、在合同终止前，甲方有权在限定时间内要求乙方更换不称职的工程造价咨询人员。</w:t>
      </w:r>
    </w:p>
    <w:p>
      <w:pPr>
        <w:spacing w:line="360" w:lineRule="auto"/>
        <w:ind w:left="450" w:hanging="450"/>
        <w:rPr>
          <w:rFonts w:ascii="宋体" w:hAnsi="宋体" w:cs="宋体"/>
          <w:b/>
          <w:bCs/>
          <w:color w:val="000000" w:themeColor="text1"/>
          <w:szCs w:val="21"/>
          <w14:textFill>
            <w14:solidFill>
              <w14:schemeClr w14:val="tx1"/>
            </w14:solidFill>
          </w14:textFill>
        </w:rPr>
      </w:pPr>
    </w:p>
    <w:p>
      <w:pPr>
        <w:spacing w:line="360" w:lineRule="auto"/>
        <w:ind w:left="450" w:hanging="45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十一</w:t>
      </w:r>
      <w:r>
        <w:rPr>
          <w:rFonts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服务响应要求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接到甲方委托通知后，应在2小时内派人员与委托人联系，并在甲方规定的时限内就委托项目签订委托合同。收到甲方关于承接委托业务的通知后，乙方应积极响应，响应时间不得超过一天。否则，甲方有权对乙方采取停止一次参加轮换次序的处理措施。</w:t>
      </w:r>
    </w:p>
    <w:p>
      <w:pPr>
        <w:spacing w:line="360" w:lineRule="auto"/>
        <w:rPr>
          <w:rFonts w:ascii="宋体" w:hAnsi="宋体" w:cs="宋体"/>
          <w:b/>
          <w:color w:val="000000" w:themeColor="text1"/>
          <w:szCs w:val="2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十二、服务具体程序</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1、选定工程造价单位</w:t>
      </w:r>
    </w:p>
    <w:p>
      <w:pPr>
        <w:numPr>
          <w:ilvl w:val="255"/>
          <w:numId w:val="0"/>
        </w:numPr>
        <w:spacing w:line="360" w:lineRule="auto"/>
        <w:ind w:firstLine="21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（1）结合甲方内控制度以及相关法律法规，入库成员单位项目委托方式主要分为随机抽取、低价优先、综合评价等方式，具体由委托人根据项目特征及需求确定:</w:t>
      </w:r>
    </w:p>
    <w:p>
      <w:pPr>
        <w:numPr>
          <w:ilvl w:val="0"/>
          <w:numId w:val="23"/>
        </w:numPr>
        <w:autoSpaceDE w:val="0"/>
        <w:autoSpaceDN w:val="0"/>
        <w:adjustRightInd w:val="0"/>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采用随机抽取的，通过摇珠设备从所有入库成员单位中随机抽取一家作为中选单位，如随机抽取的中选单位无法协商接受业务委托，可再随机抽取直到双方协商一致。</w:t>
      </w:r>
    </w:p>
    <w:p>
      <w:pPr>
        <w:numPr>
          <w:ilvl w:val="0"/>
          <w:numId w:val="23"/>
        </w:numPr>
        <w:autoSpaceDE w:val="0"/>
        <w:autoSpaceDN w:val="0"/>
        <w:adjustRightInd w:val="0"/>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低价优先的，甲方根据实际情况向入库成员单位发出询价函或口头询价，各单位参与报价的，甲方在各报价单位中按照低价优先原则确定中选单位。若出现两个或两个以上相同报价的，则从相同报价的单位中随机抽取一家作为中选单位。</w:t>
      </w:r>
    </w:p>
    <w:p>
      <w:pPr>
        <w:tabs>
          <w:tab w:val="left" w:pos="420"/>
        </w:tabs>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采用综合评价的，甲方根据项目实际需要，拟定详细的资格要求和评审条件，邀请全部入库成员单位或不少于三家入库成员单位进行比选，按照甲方内控制度进行择优评选并确定中选单位，若出现同等评价的，则从同等评价的单位中随机抽取一家作为中选单位。</w:t>
      </w:r>
    </w:p>
    <w:p>
      <w:pPr>
        <w:numPr>
          <w:ilvl w:val="255"/>
          <w:numId w:val="0"/>
        </w:numPr>
        <w:spacing w:line="360" w:lineRule="auto"/>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特别说明：本项目甲方对入库协议生效期限内的项目数量及金额不作任何承诺或保证。即甲方不保证有足够的拟派任务以满足服务单位库的所有入库单位获得均等的项目承包机会。乙方在投标前对此已有足够的风险认识，一经投标，即视为乙方愿意无条件承担有关风险并放弃一切与此相关的抗辩或求偿权利</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（2）对于时间要求紧急、内容特殊、专业性强、或大型重点项目等项目，不论项目金额，甲方有权根据项目要求和各签约单位的综合实力、专业侧重、工作表现择优选择。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2、接受委托</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乙方接到甲方委托通知后，应在2小时内派人员与甲方联系，并在甲方规定的时限内就委托项目签订委托协议或合同。</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3、按要求完成服务</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接受委托后，甲方提供必需的资料后，乙方按照项目完成时间要求及甲方要求完成造价服务。</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4、结算</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完成造价服务后，乙方可与甲方进行造价费用结算。</w:t>
      </w:r>
    </w:p>
    <w:p>
      <w:pPr>
        <w:spacing w:line="360" w:lineRule="auto"/>
        <w:rPr>
          <w:rFonts w:ascii="宋体" w:hAnsi="宋体" w:cs="宋体"/>
          <w:b/>
          <w:color w:val="000000" w:themeColor="text1"/>
          <w:szCs w:val="2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十三、乙方必须遵守甲方的管理制度：</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1、考核制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每年对乙方服务作出综合评价并填写服务评价表（具体评价细则将由甲方根据合同和实际情况制定），考核不通过的将解除合作协议，被解除合作协议的3年内不再列入准入名单。如入库公司数量减少，甲方可邀请后备单位入库或通过招标方式重新选取其他较优者作为替换机构。同意替补入库的，须按原招标文件、投标承诺与甲方签订合同。</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2、清出制</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乙方在有效合同期内，经查证发生以下行为的，甲方有权终止其合同，且在合同期满后重新招标时不接受其参与投标：</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①在合同期内，三次服务评价获差评的；</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②在服务过程中，玩忽职守、徇私舞弊的；</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③泄露应当保密的与项目有关的情况和资料的；</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④在合同期内，企业资质发生变化，不再符合要求的；</w:t>
      </w:r>
    </w:p>
    <w:p>
      <w:pPr>
        <w:pStyle w:val="2"/>
        <w:spacing w:line="360" w:lineRule="auto"/>
        <w:ind w:firstLineChars="200"/>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3、违约行为及有关处理规定</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①除乙方与委托项目有利害关系需回避外，对在协议期间拒绝接受分配任务达2次以上（含2次）的乙方，甲方有权终止其合作资格。</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弄虚作假，与建设、施工、设计、监理、招标代理和编制等单位串通，违反诚实信用和投标承诺等，以谋取非法利益或损害甲方利益的，一经甲方查实，甲方有权对乙方采取警告、履约保证金不予退还、扣减服务费、解除委托、</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年内不得参与甲方相同的项目投标等处理措施，并对其所造成的经济损失和法律纠纷依法追究经济和法律责任。</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③对拒绝接受甲方监督检查和管理的签约单位，甲方有权终止其合作资格。</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实行廉政建设一票否决制。委托服务期间，甲方若发现乙方或乙方审核人员有玩忽职守、徇私舞弊和私自与施工单位等利益单位联系等违规违纪现象的，甲方责令违规违纪单位限期整改，情节严重的终止委托服务协议，并将相关情况报相关部门依法处理。</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⑤乙方必须独立完成甲方委托的编审任务，不得将编审任务转让第三方完成，并能按要求按时完成编审任务并定期做好已完成项目相关资料的移交和归档工作。否则，甲方有权对乙方采取警告、扣减服务费、解除委托等处理措施，并对其所造成的经济损失和法律纠纷依法追究经济和法律责任。</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⑥因乙方自身原因导致项目编审结论不实，引起诉讼和纠纷的，乙方除承担相关责任外，甲方还将根据情节严重程度对其作出通报批评、履约保证金不予退还、扣减编审费、停止委托新任务和解除委托协议等处理。</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⑦甲方若发现乙方的资质被降级或吊销，甲方有权解除委托协议，并对其所引起的经济损失和法律纠纷依法追究经济和法律责任。</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⑧对乙方不按协议完成委托任务、审核中出现严重错误或发生与委托业务相抵触行为的，甲方有权终止其审核活动，追究其相关的经济和法律责任，所造成的一切损失由其负责。</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⑨在工程评审和复核过程中，甲方若发现乙方工作人员存在职业道德、工作态度和能力等问题不能胜任工作要求的，甲方保留责成乙方更换相关人员、减少委托任务或更换具体项目中选单位等权利。</w:t>
      </w:r>
    </w:p>
    <w:p>
      <w:pPr>
        <w:autoSpaceDE w:val="0"/>
        <w:autoSpaceDN w:val="0"/>
        <w:adjustRightInd w:val="0"/>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⑩若乙方出现信用危机、财务危机、生产经营危机，甚至破产无法继续履行合约的，自动取消该单位的中标资格或解除委托协议。</w:t>
      </w:r>
    </w:p>
    <w:p>
      <w:pPr>
        <w:spacing w:line="36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工程造价咨询考核评分表（甲方可根据服务需求修订） </w:t>
      </w:r>
    </w:p>
    <w:tbl>
      <w:tblPr>
        <w:tblStyle w:val="49"/>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50"/>
        <w:gridCol w:w="5738"/>
        <w:gridCol w:w="73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229" w:type="dxa"/>
            <w:gridSpan w:val="5"/>
            <w:vAlign w:val="center"/>
          </w:tcPr>
          <w:p>
            <w:pPr>
              <w:widowControl/>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项目名称：                                        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41"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序号 </w:t>
            </w:r>
          </w:p>
        </w:tc>
        <w:tc>
          <w:tcPr>
            <w:tcW w:w="1250"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检查内容</w:t>
            </w:r>
          </w:p>
        </w:tc>
        <w:tc>
          <w:tcPr>
            <w:tcW w:w="5738"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评分标准 </w:t>
            </w:r>
          </w:p>
        </w:tc>
        <w:tc>
          <w:tcPr>
            <w:tcW w:w="735"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分值 </w:t>
            </w:r>
          </w:p>
        </w:tc>
        <w:tc>
          <w:tcPr>
            <w:tcW w:w="665" w:type="dxa"/>
          </w:tcPr>
          <w:p>
            <w:pPr>
              <w:widowControl/>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841"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w:t>
            </w:r>
          </w:p>
        </w:tc>
        <w:tc>
          <w:tcPr>
            <w:tcW w:w="1250"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工程造价咨询业务质量</w:t>
            </w:r>
          </w:p>
        </w:tc>
        <w:tc>
          <w:tcPr>
            <w:tcW w:w="5738" w:type="dxa"/>
          </w:tcPr>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1、咨询成果编制依据不正确扣 20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2、咨询成果文件的格式不符合要求的扣 5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3、咨询成果文件中，计算的工程量、套用的定额、基价、计价程序、取费标准（包括规费）不准确，每发现一处扣 5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4、咨询成果文件中，编制说明表述不清楚，内容不规范，有错项、重项、缺项、漏项的，每发现一处扣 5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5、咨询成果文件存在重大质量缺陷，差错率超过有关标准（参照《建设工程造价咨询成果文件质量标准》）扣 30 分。</w:t>
            </w:r>
          </w:p>
        </w:tc>
        <w:tc>
          <w:tcPr>
            <w:tcW w:w="735"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65</w:t>
            </w:r>
          </w:p>
        </w:tc>
        <w:tc>
          <w:tcPr>
            <w:tcW w:w="665"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41"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2</w:t>
            </w:r>
          </w:p>
        </w:tc>
        <w:tc>
          <w:tcPr>
            <w:tcW w:w="1250"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工程造价咨询业务操作程序</w:t>
            </w:r>
          </w:p>
        </w:tc>
        <w:tc>
          <w:tcPr>
            <w:tcW w:w="5738" w:type="dxa"/>
          </w:tcPr>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1、咨询成果文件上未加盖工程造价咨询企业执业章的扣 10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2、咨询成果文件上专业人员未签字和加盖执（从）业印章的扣5 分； </w:t>
            </w:r>
          </w:p>
          <w:p>
            <w:pPr>
              <w:widowControl/>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3、未实行三级复核制扣 5 分。</w:t>
            </w:r>
          </w:p>
        </w:tc>
        <w:tc>
          <w:tcPr>
            <w:tcW w:w="735"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15</w:t>
            </w:r>
          </w:p>
        </w:tc>
        <w:tc>
          <w:tcPr>
            <w:tcW w:w="665"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41"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w:t>
            </w:r>
          </w:p>
        </w:tc>
        <w:tc>
          <w:tcPr>
            <w:tcW w:w="1250"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编制及审核时间</w:t>
            </w:r>
          </w:p>
        </w:tc>
        <w:tc>
          <w:tcPr>
            <w:tcW w:w="5738" w:type="dxa"/>
            <w:vAlign w:val="center"/>
          </w:tcPr>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编制和审核时间优于合同要求，得 10分 </w:t>
            </w:r>
          </w:p>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编制和审核时间与合同要求一致，得7 分 </w:t>
            </w:r>
          </w:p>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编制和审核时间不符合合同要求，得 5 分</w:t>
            </w:r>
          </w:p>
        </w:tc>
        <w:tc>
          <w:tcPr>
            <w:tcW w:w="735"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10</w:t>
            </w:r>
          </w:p>
        </w:tc>
        <w:tc>
          <w:tcPr>
            <w:tcW w:w="665"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841"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4</w:t>
            </w:r>
          </w:p>
        </w:tc>
        <w:tc>
          <w:tcPr>
            <w:tcW w:w="1250"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沟通协调能力</w:t>
            </w:r>
          </w:p>
        </w:tc>
        <w:tc>
          <w:tcPr>
            <w:tcW w:w="5738" w:type="dxa"/>
            <w:vAlign w:val="center"/>
          </w:tcPr>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1、沟通协调能力好，积极主动，得 10分； </w:t>
            </w:r>
          </w:p>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2、沟通协调能力好，不够积极主动，得 7分； </w:t>
            </w:r>
          </w:p>
          <w:p>
            <w:pPr>
              <w:widowControl/>
              <w:spacing w:line="360" w:lineRule="auto"/>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3、沟通协调能力差，不够积极主动，得 3 分</w:t>
            </w:r>
          </w:p>
        </w:tc>
        <w:tc>
          <w:tcPr>
            <w:tcW w:w="735" w:type="dxa"/>
            <w:vAlign w:val="center"/>
          </w:tcPr>
          <w:p>
            <w:pPr>
              <w:widowControl/>
              <w:spacing w:line="360" w:lineRule="auto"/>
              <w:jc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10</w:t>
            </w:r>
          </w:p>
        </w:tc>
        <w:tc>
          <w:tcPr>
            <w:tcW w:w="665" w:type="dxa"/>
            <w:vAlign w:val="center"/>
          </w:tcPr>
          <w:p>
            <w:pPr>
              <w:widowControl/>
              <w:spacing w:line="360" w:lineRule="auto"/>
              <w:jc w:val="center"/>
              <w:rPr>
                <w:rFonts w:ascii="宋体" w:hAnsi="宋体" w:cs="宋体"/>
                <w:color w:val="000000" w:themeColor="text1"/>
                <w:szCs w:val="21"/>
                <w14:textFill>
                  <w14:solidFill>
                    <w14:schemeClr w14:val="tx1"/>
                  </w14:solidFill>
                </w14:textFill>
              </w:rPr>
            </w:pPr>
          </w:p>
        </w:tc>
      </w:tr>
    </w:tbl>
    <w:p>
      <w:pPr>
        <w:widowControl/>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甲方对乙方已完成的每个项目进行考核评价，对评审工程的质量、效率、服务和职业道德等情况进行评分，并将评定结果通知相应乙方。评分结果将作为以此作为对乙方奖惩的依据。 </w:t>
      </w:r>
    </w:p>
    <w:p>
      <w:pPr>
        <w:widowControl/>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（1）评分结果达 80 分或以上的项目，为优秀。 </w:t>
      </w:r>
    </w:p>
    <w:p>
      <w:pPr>
        <w:widowControl/>
        <w:spacing w:line="360" w:lineRule="auto"/>
        <w:ind w:left="420" w:leftChars="200"/>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（2）评分结果在 70 分至 80 分之间的项目（含70 分，不含 80 分），为良好。 </w:t>
      </w:r>
    </w:p>
    <w:p>
      <w:pPr>
        <w:widowControl/>
        <w:spacing w:line="360" w:lineRule="auto"/>
        <w:ind w:left="420" w:leftChars="200"/>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 xml:space="preserve">（3）评分结果在 70 分以下的项目，为差。 </w:t>
      </w:r>
    </w:p>
    <w:p>
      <w:pPr>
        <w:widowControl/>
        <w:spacing w:line="360" w:lineRule="auto"/>
        <w:ind w:left="420" w:left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（4）评定结果为优秀和良好等级的项目，服务费按委托协议书的约定收足。</w:t>
      </w:r>
    </w:p>
    <w:bookmarkEnd w:id="1663"/>
    <w:bookmarkEnd w:id="1664"/>
    <w:bookmarkEnd w:id="1665"/>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66" w:name="_Toc493682688"/>
      <w:bookmarkStart w:id="1667" w:name="_Toc435540766"/>
      <w:bookmarkStart w:id="1668" w:name="_Toc71823303"/>
    </w:p>
    <w:bookmarkEnd w:id="1666"/>
    <w:bookmarkEnd w:id="1667"/>
    <w:bookmarkEnd w:id="1668"/>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69" w:name="_Toc435540767"/>
      <w:bookmarkStart w:id="1670" w:name="_Toc493682689"/>
      <w:bookmarkStart w:id="1671" w:name="_Toc71823304"/>
      <w:r>
        <w:rPr>
          <w:rFonts w:ascii="宋体"/>
          <w:b/>
          <w:color w:val="000000" w:themeColor="text1"/>
          <w:szCs w:val="21"/>
          <w14:textFill>
            <w14:solidFill>
              <w14:schemeClr w14:val="tx1"/>
            </w14:solidFill>
          </w14:textFill>
        </w:rPr>
        <w:t>十</w:t>
      </w:r>
      <w:r>
        <w:rPr>
          <w:rFonts w:hint="eastAsia" w:ascii="宋体"/>
          <w:b/>
          <w:color w:val="000000" w:themeColor="text1"/>
          <w:szCs w:val="21"/>
          <w14:textFill>
            <w14:solidFill>
              <w14:schemeClr w14:val="tx1"/>
            </w14:solidFill>
          </w14:textFill>
        </w:rPr>
        <w:t>四</w:t>
      </w:r>
      <w:r>
        <w:rPr>
          <w:rFonts w:asci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争端的解决</w:t>
      </w:r>
      <w:bookmarkEnd w:id="1669"/>
      <w:bookmarkEnd w:id="1670"/>
      <w:bookmarkEnd w:id="1671"/>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合同执行过程中发生的任何争议，如双方不能通过友好协商解决，甲、乙双方一致同意向甲方所在地人民法院提起诉讼。</w:t>
      </w:r>
    </w:p>
    <w:p>
      <w:pPr>
        <w:spacing w:line="360" w:lineRule="auto"/>
        <w:ind w:firstLine="420" w:firstLineChars="200"/>
        <w:rPr>
          <w:rFonts w:ascii="宋体"/>
          <w:color w:val="000000" w:themeColor="text1"/>
          <w:szCs w:val="2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72" w:name="_Toc493682690"/>
      <w:bookmarkStart w:id="1673" w:name="_Toc71823305"/>
      <w:bookmarkStart w:id="1674" w:name="_Toc435540768"/>
      <w:r>
        <w:rPr>
          <w:rFonts w:ascii="宋体"/>
          <w:b/>
          <w:color w:val="000000" w:themeColor="text1"/>
          <w:szCs w:val="21"/>
          <w14:textFill>
            <w14:solidFill>
              <w14:schemeClr w14:val="tx1"/>
            </w14:solidFill>
          </w14:textFill>
        </w:rPr>
        <w:t>十</w:t>
      </w:r>
      <w:r>
        <w:rPr>
          <w:rFonts w:hint="eastAsia" w:ascii="宋体"/>
          <w:b/>
          <w:color w:val="000000" w:themeColor="text1"/>
          <w:szCs w:val="21"/>
          <w14:textFill>
            <w14:solidFill>
              <w14:schemeClr w14:val="tx1"/>
            </w14:solidFill>
          </w14:textFill>
        </w:rPr>
        <w:t>五</w:t>
      </w:r>
      <w:r>
        <w:rPr>
          <w:rFonts w:asci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不可抗力</w:t>
      </w:r>
      <w:bookmarkEnd w:id="1672"/>
      <w:bookmarkEnd w:id="1673"/>
      <w:bookmarkEnd w:id="1674"/>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任何一方由于不可抗力原因不能履行合同时，应在不可抗力事件结束后</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420" w:firstLineChars="200"/>
        <w:rPr>
          <w:rFonts w:ascii="宋体"/>
          <w:color w:val="000000" w:themeColor="text1"/>
          <w:szCs w:val="2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75" w:name="_Toc435540769"/>
      <w:bookmarkStart w:id="1676" w:name="_Toc71823306"/>
      <w:bookmarkStart w:id="1677" w:name="_Toc493682691"/>
      <w:r>
        <w:rPr>
          <w:rFonts w:ascii="宋体"/>
          <w:b/>
          <w:color w:val="000000" w:themeColor="text1"/>
          <w:szCs w:val="21"/>
          <w14:textFill>
            <w14:solidFill>
              <w14:schemeClr w14:val="tx1"/>
            </w14:solidFill>
          </w14:textFill>
        </w:rPr>
        <w:t>十</w:t>
      </w:r>
      <w:r>
        <w:rPr>
          <w:rFonts w:hint="eastAsia" w:ascii="宋体"/>
          <w:b/>
          <w:color w:val="000000" w:themeColor="text1"/>
          <w:szCs w:val="21"/>
          <w14:textFill>
            <w14:solidFill>
              <w14:schemeClr w14:val="tx1"/>
            </w14:solidFill>
          </w14:textFill>
        </w:rPr>
        <w:t>六</w:t>
      </w:r>
      <w:r>
        <w:rPr>
          <w:rFonts w:asci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税费</w:t>
      </w:r>
      <w:bookmarkEnd w:id="1675"/>
      <w:bookmarkEnd w:id="1676"/>
      <w:bookmarkEnd w:id="1677"/>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在中国境内、外发生的与本合同执行有关的一切税费均由乙方负担。</w:t>
      </w:r>
    </w:p>
    <w:p>
      <w:pPr>
        <w:spacing w:line="360" w:lineRule="auto"/>
        <w:ind w:firstLine="420" w:firstLineChars="200"/>
        <w:rPr>
          <w:rFonts w:ascii="宋体"/>
          <w:color w:val="000000" w:themeColor="text1"/>
          <w:szCs w:val="2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78" w:name="_Toc493682692"/>
      <w:bookmarkStart w:id="1679" w:name="_Toc435540770"/>
      <w:bookmarkStart w:id="1680" w:name="_Toc71823307"/>
      <w:r>
        <w:rPr>
          <w:rFonts w:ascii="宋体"/>
          <w:b/>
          <w:color w:val="000000" w:themeColor="text1"/>
          <w:szCs w:val="21"/>
          <w14:textFill>
            <w14:solidFill>
              <w14:schemeClr w14:val="tx1"/>
            </w14:solidFill>
          </w14:textFill>
        </w:rPr>
        <w:t>十</w:t>
      </w:r>
      <w:r>
        <w:rPr>
          <w:rFonts w:hint="eastAsia" w:ascii="宋体"/>
          <w:b/>
          <w:color w:val="000000" w:themeColor="text1"/>
          <w:szCs w:val="21"/>
          <w14:textFill>
            <w14:solidFill>
              <w14:schemeClr w14:val="tx1"/>
            </w14:solidFill>
          </w14:textFill>
        </w:rPr>
        <w:t>七</w:t>
      </w:r>
      <w:r>
        <w:rPr>
          <w:rFonts w:asci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其它</w:t>
      </w:r>
      <w:bookmarkEnd w:id="1678"/>
      <w:bookmarkEnd w:id="1679"/>
      <w:bookmarkEnd w:id="1680"/>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1.本合同所有附件、招标文件、投标文件、中标通知书均为合同的有效组成部分，与本合同具有同等法律效力。</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2.在执行本合同的过程中，所有经双方签署确认的文件（包括会议纪要、补充协议、往来信函）即成为本合同的有效组成部分。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3.如一方地址、电话、传真号码有变更，应在变更当日内书面通知对方，否则，应承担相应责任。</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4.除甲方事先书面同意外，乙方不得部分或全部转让其应履行的合同项下的义务。</w:t>
      </w:r>
    </w:p>
    <w:p>
      <w:pPr>
        <w:spacing w:line="360" w:lineRule="auto"/>
        <w:rPr>
          <w:rFonts w:ascii="宋体"/>
          <w:color w:val="000000" w:themeColor="text1"/>
          <w:szCs w:val="21"/>
          <w14:textFill>
            <w14:solidFill>
              <w14:schemeClr w14:val="tx1"/>
            </w14:solidFill>
          </w14:textFill>
        </w:rPr>
      </w:pPr>
    </w:p>
    <w:p>
      <w:pPr>
        <w:autoSpaceDE w:val="0"/>
        <w:autoSpaceDN w:val="0"/>
        <w:adjustRightInd w:val="0"/>
        <w:spacing w:line="360" w:lineRule="auto"/>
        <w:ind w:left="443" w:hanging="443" w:hangingChars="210"/>
        <w:jc w:val="left"/>
        <w:rPr>
          <w:rFonts w:ascii="宋体"/>
          <w:b/>
          <w:color w:val="000000" w:themeColor="text1"/>
          <w:szCs w:val="21"/>
          <w14:textFill>
            <w14:solidFill>
              <w14:schemeClr w14:val="tx1"/>
            </w14:solidFill>
          </w14:textFill>
        </w:rPr>
      </w:pPr>
      <w:bookmarkStart w:id="1681" w:name="_Toc435540771"/>
      <w:bookmarkStart w:id="1682" w:name="_Toc71823308"/>
      <w:bookmarkStart w:id="1683" w:name="_Toc493682693"/>
      <w:r>
        <w:rPr>
          <w:rFonts w:ascii="宋体"/>
          <w:b/>
          <w:color w:val="000000" w:themeColor="text1"/>
          <w:szCs w:val="21"/>
          <w14:textFill>
            <w14:solidFill>
              <w14:schemeClr w14:val="tx1"/>
            </w14:solidFill>
          </w14:textFill>
        </w:rPr>
        <w:t>十</w:t>
      </w:r>
      <w:r>
        <w:rPr>
          <w:rFonts w:hint="eastAsia" w:ascii="宋体"/>
          <w:b/>
          <w:color w:val="000000" w:themeColor="text1"/>
          <w:szCs w:val="21"/>
          <w14:textFill>
            <w14:solidFill>
              <w14:schemeClr w14:val="tx1"/>
            </w14:solidFill>
          </w14:textFill>
        </w:rPr>
        <w:t>八</w:t>
      </w:r>
      <w:r>
        <w:rPr>
          <w:rFonts w:asci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合同生效</w:t>
      </w:r>
      <w:bookmarkEnd w:id="1681"/>
      <w:bookmarkEnd w:id="1682"/>
      <w:bookmarkEnd w:id="1683"/>
    </w:p>
    <w:p>
      <w:pPr>
        <w:spacing w:line="360" w:lineRule="auto"/>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1.合同自甲乙双方法定代表人或其授权代表签字盖章之日起生效。</w:t>
      </w:r>
    </w:p>
    <w:p>
      <w:pPr>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合同壹式</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份，其中甲乙双方各执</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份，招标代理机构执壹份，监管部门</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份</w:t>
      </w:r>
      <w:r>
        <w:rPr>
          <w:rFonts w:hint="eastAsia" w:ascii="宋体" w:hAnsi="宋体"/>
          <w:color w:val="000000" w:themeColor="text1"/>
          <w:szCs w:val="21"/>
          <w14:textFill>
            <w14:solidFill>
              <w14:schemeClr w14:val="tx1"/>
            </w14:solidFill>
          </w14:textFill>
        </w:rPr>
        <w:t>。</w:t>
      </w:r>
    </w:p>
    <w:p>
      <w:pPr>
        <w:rPr>
          <w:rFonts w:ascii="宋体" w:hAnsi="宋体" w:cs="宋体"/>
          <w:b/>
          <w:color w:val="000000" w:themeColor="text1"/>
          <w:szCs w:val="21"/>
          <w14:textFill>
            <w14:solidFill>
              <w14:schemeClr w14:val="tx1"/>
            </w14:solidFill>
          </w14:textFill>
        </w:rPr>
      </w:pPr>
    </w:p>
    <w:p>
      <w:pPr>
        <w:rPr>
          <w:rFonts w:ascii="宋体" w:hAnsi="宋体" w:cs="宋体"/>
          <w:b/>
          <w:color w:val="000000" w:themeColor="text1"/>
          <w:szCs w:val="21"/>
          <w14:textFill>
            <w14:solidFill>
              <w14:schemeClr w14:val="tx1"/>
            </w14:solidFill>
          </w14:textFill>
        </w:rPr>
      </w:pPr>
    </w:p>
    <w:p>
      <w:pPr>
        <w:tabs>
          <w:tab w:val="left" w:pos="4260"/>
        </w:tabs>
        <w:spacing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甲方：</w:t>
      </w:r>
      <w:r>
        <w:rPr>
          <w:rFonts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乙方：</w:t>
      </w:r>
    </w:p>
    <w:p>
      <w:pPr>
        <w:tabs>
          <w:tab w:val="left" w:pos="1004"/>
          <w:tab w:val="left" w:pos="4267"/>
        </w:tabs>
        <w:spacing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法定代表人</w:t>
      </w:r>
      <w:r>
        <w:rPr>
          <w:rFonts w:ascii="宋体" w:hAnsi="宋体"/>
          <w:bCs/>
          <w:color w:val="000000" w:themeColor="text1"/>
          <w:szCs w:val="21"/>
          <w14:textFill>
            <w14:solidFill>
              <w14:schemeClr w14:val="tx1"/>
            </w14:solidFill>
          </w14:textFill>
        </w:rPr>
        <w:t>/负责人：</w:t>
      </w:r>
      <w:r>
        <w:rPr>
          <w:rFonts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法定代表人</w:t>
      </w:r>
      <w:r>
        <w:rPr>
          <w:rFonts w:ascii="宋体" w:hAnsi="宋体"/>
          <w:bCs/>
          <w:color w:val="000000" w:themeColor="text1"/>
          <w:szCs w:val="21"/>
          <w14:textFill>
            <w14:solidFill>
              <w14:schemeClr w14:val="tx1"/>
            </w14:solidFill>
          </w14:textFill>
        </w:rPr>
        <w:t>/负责人：</w:t>
      </w:r>
    </w:p>
    <w:p>
      <w:pPr>
        <w:tabs>
          <w:tab w:val="left" w:pos="1004"/>
          <w:tab w:val="left" w:pos="4267"/>
        </w:tabs>
        <w:spacing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委托代理人：</w:t>
      </w:r>
      <w:r>
        <w:rPr>
          <w:rFonts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委托代理人：</w:t>
      </w:r>
    </w:p>
    <w:p>
      <w:pPr>
        <w:tabs>
          <w:tab w:val="left" w:pos="4260"/>
        </w:tabs>
        <w:spacing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地址：</w:t>
      </w:r>
      <w:r>
        <w:rPr>
          <w:rFonts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地址：</w:t>
      </w:r>
    </w:p>
    <w:p>
      <w:pPr>
        <w:tabs>
          <w:tab w:val="left" w:pos="1004"/>
          <w:tab w:val="left" w:pos="4267"/>
        </w:tabs>
        <w:spacing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开户银行：</w:t>
      </w:r>
      <w:r>
        <w:rPr>
          <w:rFonts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开户银行：</w:t>
      </w:r>
    </w:p>
    <w:p>
      <w:pPr>
        <w:tabs>
          <w:tab w:val="left" w:pos="4260"/>
        </w:tabs>
        <w:spacing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帐号：</w:t>
      </w:r>
      <w:r>
        <w:rPr>
          <w:rFonts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帐号</w:t>
      </w:r>
    </w:p>
    <w:p>
      <w:pPr>
        <w:tabs>
          <w:tab w:val="left" w:pos="4260"/>
        </w:tabs>
        <w:spacing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电话：</w:t>
      </w:r>
      <w:r>
        <w:rPr>
          <w:rFonts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电话：</w:t>
      </w:r>
    </w:p>
    <w:p>
      <w:pPr>
        <w:tabs>
          <w:tab w:val="left" w:pos="1004"/>
          <w:tab w:val="left" w:pos="4253"/>
        </w:tabs>
        <w:spacing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日期</w:t>
      </w:r>
      <w:r>
        <w:rPr>
          <w:rFonts w:ascii="宋体" w:hAnsi="宋体"/>
          <w:bCs/>
          <w:color w:val="000000" w:themeColor="text1"/>
          <w:szCs w:val="21"/>
          <w14:textFill>
            <w14:solidFill>
              <w14:schemeClr w14:val="tx1"/>
            </w14:solidFill>
          </w14:textFill>
        </w:rPr>
        <w:t>:</w:t>
      </w:r>
    </w:p>
    <w:p>
      <w:pPr>
        <w:tabs>
          <w:tab w:val="left" w:pos="1004"/>
        </w:tabs>
        <w:spacing w:line="440" w:lineRule="exact"/>
        <w:ind w:right="31" w:rightChars="15"/>
        <w:rPr>
          <w:rFonts w:ascii="宋体" w:hAnsi="宋体"/>
          <w:b/>
          <w:bCs/>
          <w:color w:val="000000" w:themeColor="text1"/>
          <w:szCs w:val="21"/>
          <w14:textFill>
            <w14:solidFill>
              <w14:schemeClr w14:val="tx1"/>
            </w14:solidFill>
          </w14:textFill>
        </w:rPr>
        <w:sectPr>
          <w:pgSz w:w="11906" w:h="16838"/>
          <w:pgMar w:top="1418" w:right="1474" w:bottom="1418" w:left="1474" w:header="851" w:footer="851" w:gutter="0"/>
          <w:cols w:space="720" w:num="1"/>
          <w:titlePg/>
          <w:docGrid w:linePitch="312" w:charSpace="0"/>
        </w:sectPr>
      </w:pPr>
    </w:p>
    <w:p>
      <w:pPr>
        <w:pStyle w:val="3"/>
        <w:numPr>
          <w:ilvl w:val="0"/>
          <w:numId w:val="0"/>
        </w:numPr>
        <w:spacing w:beforeLines="0"/>
        <w:rPr>
          <w:color w:val="000000" w:themeColor="text1"/>
          <w14:textFill>
            <w14:solidFill>
              <w14:schemeClr w14:val="tx1"/>
            </w14:solidFill>
          </w14:textFill>
        </w:rPr>
      </w:pPr>
      <w:bookmarkStart w:id="1684" w:name="_Toc365985188"/>
      <w:bookmarkStart w:id="1685" w:name="_Toc366072539"/>
      <w:bookmarkStart w:id="1686" w:name="_Toc339441097"/>
      <w:bookmarkStart w:id="1687" w:name="_Toc349143599"/>
      <w:bookmarkStart w:id="1688" w:name="_Toc330459995"/>
      <w:bookmarkStart w:id="1689" w:name="_Toc350756460"/>
      <w:bookmarkStart w:id="1690" w:name="_Toc340672879"/>
      <w:bookmarkStart w:id="1691" w:name="_Toc332270356"/>
      <w:bookmarkStart w:id="1692" w:name="_Toc491658678"/>
      <w:bookmarkStart w:id="1693" w:name="_Toc331512908"/>
      <w:bookmarkStart w:id="1694" w:name="_Toc365967082"/>
      <w:bookmarkStart w:id="1695" w:name="_Toc333238643"/>
      <w:bookmarkStart w:id="1696" w:name="_Toc333935697"/>
      <w:bookmarkStart w:id="1697" w:name="_Toc340677080"/>
      <w:bookmarkStart w:id="1698" w:name="_Toc333237798"/>
      <w:bookmarkStart w:id="1699" w:name="_Toc339020105"/>
      <w:bookmarkStart w:id="1700" w:name="_Toc336681590"/>
      <w:bookmarkStart w:id="1701" w:name="_Toc500861025"/>
      <w:bookmarkStart w:id="1702" w:name="_Toc340507452"/>
      <w:bookmarkStart w:id="1703" w:name="_Toc331684048"/>
      <w:bookmarkStart w:id="1704" w:name="_Toc336681945"/>
      <w:bookmarkStart w:id="1705" w:name="_Toc342060384"/>
      <w:bookmarkStart w:id="1706" w:name="_Toc339020243"/>
      <w:bookmarkStart w:id="1707" w:name="_Toc15428"/>
      <w:bookmarkStart w:id="1708" w:name="_Toc333237687"/>
      <w:bookmarkStart w:id="1709" w:name="_Toc339362310"/>
      <w:bookmarkStart w:id="1710" w:name="_Toc349127636"/>
      <w:bookmarkStart w:id="1711" w:name="_Toc350438759"/>
      <w:bookmarkStart w:id="1712" w:name="_Toc332206718"/>
      <w:bookmarkStart w:id="1713" w:name="_Toc342296770"/>
      <w:bookmarkStart w:id="1714" w:name="_Toc339019899"/>
      <w:bookmarkStart w:id="1715" w:name="_Toc337632368"/>
      <w:bookmarkStart w:id="1716" w:name="_Toc10777"/>
      <w:bookmarkStart w:id="1717" w:name="_Toc341348348"/>
      <w:bookmarkStart w:id="1718" w:name="_Toc333935356"/>
      <w:bookmarkStart w:id="1719" w:name="_Toc339020025"/>
      <w:bookmarkStart w:id="1720" w:name="_Toc345513911"/>
      <w:r>
        <w:rPr>
          <w:rFonts w:hint="eastAsia"/>
          <w:color w:val="000000" w:themeColor="text1"/>
          <w14:textFill>
            <w14:solidFill>
              <w14:schemeClr w14:val="tx1"/>
            </w14:solidFill>
          </w14:textFill>
        </w:rPr>
        <w:t>第五部分</w:t>
      </w:r>
      <w:bookmarkStart w:id="1721" w:name="_Hlt97188172"/>
      <w:bookmarkEnd w:id="1721"/>
      <w:r>
        <w:rPr>
          <w:rFonts w:hint="eastAsia"/>
          <w:color w:val="000000" w:themeColor="text1"/>
          <w14:textFill>
            <w14:solidFill>
              <w14:schemeClr w14:val="tx1"/>
            </w14:solidFill>
          </w14:textFill>
        </w:rPr>
        <w:t>投标文件格式</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Start w:id="1722" w:name="_Hlt21938933"/>
      <w:bookmarkEnd w:id="1722"/>
    </w:p>
    <w:p>
      <w:pPr>
        <w:pStyle w:val="4"/>
        <w:numPr>
          <w:ilvl w:val="0"/>
          <w:numId w:val="0"/>
        </w:numPr>
        <w:rPr>
          <w:color w:val="000000" w:themeColor="text1"/>
          <w:sz w:val="24"/>
          <w14:textFill>
            <w14:solidFill>
              <w14:schemeClr w14:val="tx1"/>
            </w14:solidFill>
          </w14:textFill>
        </w:rPr>
      </w:pPr>
      <w:bookmarkStart w:id="1723" w:name="_Toc2613"/>
      <w:bookmarkStart w:id="1724" w:name="_Toc4648"/>
      <w:bookmarkStart w:id="1725" w:name="_Toc18699"/>
      <w:r>
        <w:rPr>
          <w:rFonts w:hint="eastAsia"/>
          <w:color w:val="000000" w:themeColor="text1"/>
          <w:sz w:val="24"/>
          <w14:textFill>
            <w14:solidFill>
              <w14:schemeClr w14:val="tx1"/>
            </w14:solidFill>
          </w14:textFill>
        </w:rPr>
        <w:t>资格审查封面格式</w:t>
      </w:r>
      <w:bookmarkEnd w:id="1723"/>
      <w:bookmarkEnd w:id="1724"/>
      <w:bookmarkEnd w:id="1725"/>
    </w:p>
    <w:p>
      <w:pPr>
        <w:pStyle w:val="2"/>
        <w:rPr>
          <w:rFonts w:hAnsi="宋体"/>
          <w:bCs/>
          <w:color w:val="000000" w:themeColor="text1"/>
          <w:sz w:val="21"/>
          <w14:textFill>
            <w14:solidFill>
              <w14:schemeClr w14:val="tx1"/>
            </w14:solidFill>
          </w14:textFill>
        </w:rPr>
      </w:pPr>
    </w:p>
    <w:p>
      <w:pPr>
        <w:pStyle w:val="2"/>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 xml:space="preserve">1、投标内容应当编有目录、页码，按页码排序并装订成册。  </w:t>
      </w:r>
    </w:p>
    <w:p>
      <w:pPr>
        <w:pStyle w:val="2"/>
        <w:spacing w:line="360" w:lineRule="auto"/>
        <w:rPr>
          <w:rFonts w:hAnsi="宋体"/>
          <w:b/>
          <w:color w:val="000000" w:themeColor="text1"/>
          <w:sz w:val="21"/>
          <w:szCs w:val="21"/>
          <w14:textFill>
            <w14:solidFill>
              <w14:schemeClr w14:val="tx1"/>
            </w14:solidFill>
          </w14:textFill>
        </w:rPr>
      </w:pPr>
      <w:r>
        <w:rPr>
          <w:rFonts w:hAnsi="宋体"/>
          <w:bCs/>
          <w:color w:val="000000" w:themeColor="text1"/>
          <w:sz w:val="21"/>
          <w14:textFill>
            <w14:solidFill>
              <w14:schemeClr w14:val="tx1"/>
            </w14:solidFill>
          </w14:textFill>
        </w:rPr>
        <w:t>2</w:t>
      </w:r>
      <w:r>
        <w:rPr>
          <w:rFonts w:hint="eastAsia" w:hAnsi="宋体"/>
          <w:bCs/>
          <w:color w:val="000000" w:themeColor="text1"/>
          <w:sz w:val="21"/>
          <w14:textFill>
            <w14:solidFill>
              <w14:schemeClr w14:val="tx1"/>
            </w14:solidFill>
          </w14:textFill>
        </w:rPr>
        <w:t>、文件的封面格式由投</w:t>
      </w:r>
      <w:r>
        <w:rPr>
          <w:rFonts w:hint="eastAsia" w:hAnsi="宋体"/>
          <w:bCs/>
          <w:color w:val="000000" w:themeColor="text1"/>
          <w:sz w:val="21"/>
          <w:szCs w:val="21"/>
          <w14:textFill>
            <w14:solidFill>
              <w14:schemeClr w14:val="tx1"/>
            </w14:solidFill>
          </w14:textFill>
        </w:rPr>
        <w:t>标人自拟</w:t>
      </w:r>
      <w:r>
        <w:rPr>
          <w:rFonts w:hint="eastAsia" w:hAnsi="宋体"/>
          <w:bCs/>
          <w:color w:val="000000" w:themeColor="text1"/>
          <w:sz w:val="21"/>
          <w14:textFill>
            <w14:solidFill>
              <w14:schemeClr w14:val="tx1"/>
            </w14:solidFill>
          </w14:textFill>
        </w:rPr>
        <w:t>，并应注明“投标文件、项目编号、项目名称、投标人名称及地址、法定代表人（负责人）或授权代理人、联系电话、传真、邮编，并加盖投标人公章。</w:t>
      </w: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spacing w:line="440" w:lineRule="exact"/>
        <w:jc w:val="center"/>
        <w:rPr>
          <w:rFonts w:hAnsi="宋体"/>
          <w:bCs/>
          <w:color w:val="000000" w:themeColor="text1"/>
          <w:sz w:val="21"/>
          <w14:textFill>
            <w14:solidFill>
              <w14:schemeClr w14:val="tx1"/>
            </w14:solidFill>
          </w14:textFill>
        </w:rPr>
      </w:pPr>
    </w:p>
    <w:p>
      <w:pPr>
        <w:pStyle w:val="2"/>
        <w:spacing w:line="440" w:lineRule="exact"/>
        <w:jc w:val="center"/>
        <w:rPr>
          <w:rFonts w:hAnsi="宋体"/>
          <w:bCs/>
          <w:color w:val="000000" w:themeColor="text1"/>
          <w:sz w:val="21"/>
          <w14:textFill>
            <w14:solidFill>
              <w14:schemeClr w14:val="tx1"/>
            </w14:solidFill>
          </w14:textFill>
        </w:rPr>
      </w:pPr>
    </w:p>
    <w:p>
      <w:pPr>
        <w:pStyle w:val="2"/>
        <w:spacing w:line="440" w:lineRule="exact"/>
        <w:jc w:val="center"/>
        <w:rPr>
          <w:rFonts w:hAnsi="宋体"/>
          <w:bCs/>
          <w:color w:val="000000" w:themeColor="text1"/>
          <w:sz w:val="21"/>
          <w14:textFill>
            <w14:solidFill>
              <w14:schemeClr w14:val="tx1"/>
            </w14:solidFill>
          </w14:textFill>
        </w:rPr>
      </w:pPr>
    </w:p>
    <w:p>
      <w:pPr>
        <w:pStyle w:val="2"/>
        <w:spacing w:line="440" w:lineRule="exact"/>
        <w:jc w:val="center"/>
        <w:rPr>
          <w:rFonts w:hAnsi="宋体"/>
          <w:bCs/>
          <w:color w:val="000000" w:themeColor="text1"/>
          <w:sz w:val="21"/>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r>
        <w:rPr>
          <w:rFonts w:hint="eastAsia" w:hAnsi="宋体"/>
          <w:b/>
          <w:bCs/>
          <w:color w:val="000000" w:themeColor="text1"/>
          <w:sz w:val="52"/>
          <w:szCs w:val="52"/>
          <w14:textFill>
            <w14:solidFill>
              <w14:schemeClr w14:val="tx1"/>
            </w14:solidFill>
          </w14:textFill>
        </w:rPr>
        <w:t>投标文件（□正本、□副本</w:t>
      </w:r>
      <w:r>
        <w:rPr>
          <w:rFonts w:hint="eastAsia" w:hAnsi="宋体"/>
          <w:bCs/>
          <w:color w:val="000000" w:themeColor="text1"/>
          <w:sz w:val="52"/>
          <w:szCs w:val="52"/>
          <w14:textFill>
            <w14:solidFill>
              <w14:schemeClr w14:val="tx1"/>
            </w14:solidFill>
          </w14:textFill>
        </w:rPr>
        <w:t>）</w:t>
      </w:r>
    </w:p>
    <w:p>
      <w:pPr>
        <w:pStyle w:val="2"/>
        <w:spacing w:line="360" w:lineRule="auto"/>
        <w:jc w:val="center"/>
        <w:rPr>
          <w:rFonts w:hAnsi="宋体"/>
          <w:bCs/>
          <w:color w:val="000000" w:themeColor="text1"/>
          <w:sz w:val="52"/>
          <w:szCs w:val="52"/>
          <w14:textFill>
            <w14:solidFill>
              <w14:schemeClr w14:val="tx1"/>
            </w14:solidFill>
          </w14:textFill>
        </w:rPr>
      </w:pPr>
      <w:r>
        <w:rPr>
          <w:rFonts w:hint="eastAsia" w:hAnsi="宋体"/>
          <w:b/>
          <w:color w:val="000000" w:themeColor="text1"/>
          <w:sz w:val="44"/>
          <w:szCs w:val="44"/>
          <w14:textFill>
            <w14:solidFill>
              <w14:schemeClr w14:val="tx1"/>
            </w14:solidFill>
          </w14:textFill>
        </w:rPr>
        <w:t>（资格审查文件）</w:t>
      </w: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440" w:lineRule="exact"/>
        <w:jc w:val="center"/>
        <w:rPr>
          <w:rFonts w:hAnsi="宋体"/>
          <w:bCs/>
          <w:color w:val="000000" w:themeColor="text1"/>
          <w:sz w:val="21"/>
          <w14:textFill>
            <w14:solidFill>
              <w14:schemeClr w14:val="tx1"/>
            </w14:solidFill>
          </w14:textFill>
        </w:rPr>
      </w:pPr>
    </w:p>
    <w:p>
      <w:pPr>
        <w:pStyle w:val="2"/>
        <w:spacing w:line="440" w:lineRule="exact"/>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项目编号：</w:t>
      </w:r>
      <w:r>
        <w:rPr>
          <w:rFonts w:hint="eastAsia" w:hAnsi="宋体"/>
          <w:bCs/>
          <w:color w:val="000000" w:themeColor="text1"/>
          <w:sz w:val="21"/>
          <w:u w:val="single"/>
          <w14:textFill>
            <w14:solidFill>
              <w14:schemeClr w14:val="tx1"/>
            </w14:solidFill>
          </w14:textFill>
        </w:rPr>
        <w:t xml:space="preserve">  </w:t>
      </w:r>
      <w:r>
        <w:rPr>
          <w:rFonts w:hAnsi="宋体"/>
          <w:bCs/>
          <w:color w:val="000000" w:themeColor="text1"/>
          <w:sz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项目名称：</w:t>
      </w:r>
      <w:r>
        <w:rPr>
          <w:rFonts w:hint="eastAsia" w:hAnsi="宋体"/>
          <w:bCs/>
          <w:color w:val="000000" w:themeColor="text1"/>
          <w:sz w:val="21"/>
          <w:u w:val="single"/>
          <w14:textFill>
            <w14:solidFill>
              <w14:schemeClr w14:val="tx1"/>
            </w14:solidFill>
          </w14:textFill>
        </w:rPr>
        <w:t xml:space="preserve">     </w:t>
      </w:r>
      <w:r>
        <w:rPr>
          <w:rFonts w:hint="eastAsia" w:hAnsi="宋体" w:cs="宋体"/>
          <w:color w:val="000000" w:themeColor="text1"/>
          <w:sz w:val="21"/>
          <w:szCs w:val="21"/>
          <w:u w:val="single"/>
          <w14:textFill>
            <w14:solidFill>
              <w14:schemeClr w14:val="tx1"/>
            </w14:solidFill>
          </w14:textFill>
        </w:rPr>
        <w:t>采购项目名称，由投标人填写</w:t>
      </w:r>
      <w:r>
        <w:rPr>
          <w:rFonts w:hint="eastAsia" w:hAnsi="宋体" w:cs="宋体"/>
          <w:b/>
          <w:color w:val="000000" w:themeColor="text1"/>
          <w:sz w:val="21"/>
          <w:szCs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投标人名称（公章）：</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投标人地址：</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法定代表人（负责人）或授权代理人（签字）</w:t>
      </w:r>
      <w:r>
        <w:rPr>
          <w:rFonts w:hAnsi="宋体"/>
          <w:bCs/>
          <w:color w:val="000000" w:themeColor="text1"/>
          <w:sz w:val="21"/>
          <w14:textFill>
            <w14:solidFill>
              <w14:schemeClr w14:val="tx1"/>
            </w14:solidFill>
          </w14:textFill>
        </w:rPr>
        <w:t>：</w:t>
      </w:r>
      <w:r>
        <w:rPr>
          <w:rFonts w:hAnsi="宋体"/>
          <w:bCs/>
          <w:color w:val="000000" w:themeColor="text1"/>
          <w:sz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联系</w:t>
      </w:r>
      <w:r>
        <w:rPr>
          <w:rFonts w:hAnsi="宋体"/>
          <w:bCs/>
          <w:color w:val="000000" w:themeColor="text1"/>
          <w:sz w:val="21"/>
          <w14:textFill>
            <w14:solidFill>
              <w14:schemeClr w14:val="tx1"/>
            </w14:solidFill>
          </w14:textFill>
        </w:rPr>
        <w:t>电话：</w:t>
      </w:r>
      <w:r>
        <w:rPr>
          <w:rFonts w:hint="eastAsia" w:hAnsi="宋体"/>
          <w:bCs/>
          <w:color w:val="000000" w:themeColor="text1"/>
          <w:sz w:val="21"/>
          <w:u w:val="single"/>
          <w14:textFill>
            <w14:solidFill>
              <w14:schemeClr w14:val="tx1"/>
            </w14:solidFill>
          </w14:textFill>
        </w:rPr>
        <w:t xml:space="preserve">                           </w:t>
      </w:r>
      <w:r>
        <w:rPr>
          <w:rFonts w:hAnsi="宋体"/>
          <w:bCs/>
          <w:color w:val="000000" w:themeColor="text1"/>
          <w:sz w:val="21"/>
          <w14:textFill>
            <w14:solidFill>
              <w14:schemeClr w14:val="tx1"/>
            </w14:solidFill>
          </w14:textFill>
        </w:rPr>
        <w:t xml:space="preserve">   </w:t>
      </w:r>
      <w:r>
        <w:rPr>
          <w:rFonts w:hint="eastAsia" w:hAnsi="宋体"/>
          <w:bCs/>
          <w:color w:val="000000" w:themeColor="text1"/>
          <w:sz w:val="21"/>
          <w14:textFill>
            <w14:solidFill>
              <w14:schemeClr w14:val="tx1"/>
            </w14:solidFill>
          </w14:textFill>
        </w:rPr>
        <w:t>传真：</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Ansi="宋体"/>
          <w:bCs/>
          <w:color w:val="000000" w:themeColor="text1"/>
          <w:sz w:val="21"/>
          <w14:textFill>
            <w14:solidFill>
              <w14:schemeClr w14:val="tx1"/>
            </w14:solidFill>
          </w14:textFill>
        </w:rPr>
        <w:t>邮编：</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color w:val="000000" w:themeColor="text1"/>
          <w14:textFill>
            <w14:solidFill>
              <w14:schemeClr w14:val="tx1"/>
            </w14:solidFill>
          </w14:textFill>
        </w:rPr>
      </w:pPr>
      <w:r>
        <w:rPr>
          <w:rFonts w:hint="eastAsia" w:hAnsi="宋体"/>
          <w:bCs/>
          <w:color w:val="000000" w:themeColor="text1"/>
          <w:sz w:val="21"/>
          <w14:textFill>
            <w14:solidFill>
              <w14:schemeClr w14:val="tx1"/>
            </w14:solidFill>
          </w14:textFill>
        </w:rPr>
        <w:t>编制日期：</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年</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月</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日</w:t>
      </w:r>
    </w:p>
    <w:p>
      <w:pPr>
        <w:tabs>
          <w:tab w:val="left" w:pos="1004"/>
          <w:tab w:val="left" w:pos="4267"/>
        </w:tabs>
        <w:spacing w:line="400" w:lineRule="exact"/>
        <w:rPr>
          <w:rFonts w:ascii="宋体" w:hAnsi="宋体"/>
          <w:bCs/>
          <w:color w:val="000000" w:themeColor="text1"/>
          <w14:textFill>
            <w14:solidFill>
              <w14:schemeClr w14:val="tx1"/>
            </w14:solidFill>
          </w14:textFill>
        </w:rPr>
      </w:pPr>
    </w:p>
    <w:p>
      <w:pPr>
        <w:tabs>
          <w:tab w:val="left" w:pos="1004"/>
          <w:tab w:val="left" w:pos="4267"/>
        </w:tabs>
        <w:spacing w:line="400" w:lineRule="exact"/>
        <w:rPr>
          <w:rFonts w:ascii="宋体" w:hAnsi="宋体"/>
          <w:bCs/>
          <w:color w:val="000000" w:themeColor="text1"/>
          <w14:textFill>
            <w14:solidFill>
              <w14:schemeClr w14:val="tx1"/>
            </w14:solidFill>
          </w14:textFill>
        </w:rPr>
      </w:pPr>
    </w:p>
    <w:p>
      <w:pPr>
        <w:tabs>
          <w:tab w:val="left" w:pos="1004"/>
          <w:tab w:val="left" w:pos="4267"/>
        </w:tabs>
        <w:spacing w:line="400" w:lineRule="exact"/>
        <w:rPr>
          <w:rFonts w:ascii="宋体" w:hAnsi="宋体"/>
          <w:bCs/>
          <w:color w:val="000000" w:themeColor="text1"/>
          <w14:textFill>
            <w14:solidFill>
              <w14:schemeClr w14:val="tx1"/>
            </w14:solidFill>
          </w14:textFill>
        </w:rPr>
      </w:pPr>
    </w:p>
    <w:p>
      <w:pPr>
        <w:pStyle w:val="4"/>
        <w:numPr>
          <w:ilvl w:val="7"/>
          <w:numId w:val="6"/>
        </w:numPr>
        <w:tabs>
          <w:tab w:val="clear" w:pos="720"/>
        </w:tabs>
        <w:spacing w:before="240" w:after="240" w:line="360" w:lineRule="exact"/>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bookmarkStart w:id="1726" w:name="_Toc31809"/>
      <w:bookmarkStart w:id="1727" w:name="_Toc23217"/>
      <w:bookmarkStart w:id="1728" w:name="_Toc11738"/>
      <w:r>
        <w:rPr>
          <w:rFonts w:hint="eastAsia"/>
          <w:color w:val="000000" w:themeColor="text1"/>
          <w:sz w:val="24"/>
          <w14:textFill>
            <w14:solidFill>
              <w14:schemeClr w14:val="tx1"/>
            </w14:solidFill>
          </w14:textFill>
        </w:rPr>
        <w:t>自查表</w:t>
      </w:r>
      <w:bookmarkEnd w:id="1726"/>
      <w:bookmarkEnd w:id="1727"/>
      <w:bookmarkEnd w:id="1728"/>
    </w:p>
    <w:p>
      <w:pPr>
        <w:pStyle w:val="4"/>
        <w:keepLines w:val="0"/>
        <w:numPr>
          <w:ilvl w:val="0"/>
          <w:numId w:val="0"/>
        </w:numPr>
        <w:tabs>
          <w:tab w:val="left" w:pos="4320"/>
        </w:tabs>
        <w:spacing w:before="240" w:after="60" w:line="360" w:lineRule="exact"/>
        <w:rPr>
          <w:rFonts w:ascii="宋体"/>
          <w:b/>
          <w:bCs w:val="0"/>
          <w:color w:val="000000" w:themeColor="text1"/>
          <w:szCs w:val="21"/>
          <w14:textFill>
            <w14:solidFill>
              <w14:schemeClr w14:val="tx1"/>
            </w14:solidFill>
          </w14:textFill>
        </w:rPr>
      </w:pPr>
      <w:bookmarkStart w:id="1729" w:name="_Toc15898"/>
      <w:r>
        <w:rPr>
          <w:rFonts w:hint="eastAsia" w:ascii="宋体"/>
          <w:b/>
          <w:bCs w:val="0"/>
          <w:color w:val="000000" w:themeColor="text1"/>
          <w:szCs w:val="21"/>
          <w14:textFill>
            <w14:solidFill>
              <w14:schemeClr w14:val="tx1"/>
            </w14:solidFill>
          </w14:textFill>
        </w:rPr>
        <w:t xml:space="preserve"> </w:t>
      </w:r>
      <w:bookmarkStart w:id="1730" w:name="_Toc1858"/>
      <w:bookmarkStart w:id="1731" w:name="_Toc28371"/>
      <w:r>
        <w:rPr>
          <w:rFonts w:hint="eastAsia" w:ascii="宋体"/>
          <w:b/>
          <w:bCs w:val="0"/>
          <w:color w:val="000000" w:themeColor="text1"/>
          <w:szCs w:val="21"/>
          <w14:textFill>
            <w14:solidFill>
              <w14:schemeClr w14:val="tx1"/>
            </w14:solidFill>
          </w14:textFill>
        </w:rPr>
        <w:t>资格性自查表</w:t>
      </w:r>
      <w:bookmarkEnd w:id="1729"/>
      <w:bookmarkEnd w:id="1730"/>
      <w:bookmarkEnd w:id="1731"/>
    </w:p>
    <w:p>
      <w:pPr>
        <w:jc w:val="center"/>
        <w:rPr>
          <w:rFonts w:ascii="宋体" w:hAnsi="宋体"/>
          <w:b/>
          <w:bCs/>
          <w:color w:val="000000" w:themeColor="text1"/>
          <w:szCs w:val="21"/>
          <w14:textFill>
            <w14:solidFill>
              <w14:schemeClr w14:val="tx1"/>
            </w14:solidFill>
          </w14:textFill>
        </w:rPr>
      </w:pPr>
    </w:p>
    <w:tbl>
      <w:tblPr>
        <w:tblStyle w:val="48"/>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17"/>
        <w:gridCol w:w="3469"/>
        <w:gridCol w:w="178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3" w:type="dxa"/>
            <w:gridSpan w:val="2"/>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评审内容</w:t>
            </w:r>
          </w:p>
        </w:tc>
        <w:tc>
          <w:tcPr>
            <w:tcW w:w="3469"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招标文件要求</w:t>
            </w:r>
          </w:p>
        </w:tc>
        <w:tc>
          <w:tcPr>
            <w:tcW w:w="1785"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自查结论</w:t>
            </w:r>
          </w:p>
          <w:p>
            <w:pPr>
              <w:tabs>
                <w:tab w:val="left" w:pos="480"/>
              </w:tabs>
              <w:ind w:left="480" w:hanging="48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（通过/不通过）</w:t>
            </w:r>
          </w:p>
        </w:tc>
        <w:tc>
          <w:tcPr>
            <w:tcW w:w="2295"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846"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资格性检查</w:t>
            </w:r>
          </w:p>
        </w:tc>
        <w:tc>
          <w:tcPr>
            <w:tcW w:w="1317" w:type="dxa"/>
            <w:vMerge w:val="restart"/>
            <w:vAlign w:val="center"/>
          </w:tcPr>
          <w:p>
            <w:pPr>
              <w:tabs>
                <w:tab w:val="left" w:pos="146"/>
              </w:tabs>
              <w:ind w:left="14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投标人资格要求</w:t>
            </w:r>
          </w:p>
        </w:tc>
        <w:tc>
          <w:tcPr>
            <w:tcW w:w="3469" w:type="dxa"/>
            <w:vAlign w:val="center"/>
          </w:tcPr>
          <w:p>
            <w:pPr>
              <w:tabs>
                <w:tab w:val="left" w:pos="0"/>
              </w:tabs>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投标人须是中华人民共和国境内合法注册的独立法人机构或其他组织，并具有相应的经营范围、能力及人员。</w:t>
            </w:r>
          </w:p>
        </w:tc>
        <w:tc>
          <w:tcPr>
            <w:tcW w:w="1785"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2295" w:type="dxa"/>
            <w:vAlign w:val="center"/>
          </w:tcPr>
          <w:p>
            <w:pPr>
              <w:tabs>
                <w:tab w:val="left" w:pos="0"/>
              </w:tabs>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见投标文件</w:t>
            </w:r>
          </w:p>
          <w:p>
            <w:pPr>
              <w:tabs>
                <w:tab w:val="left" w:pos="0"/>
              </w:tabs>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第（）页</w:t>
            </w:r>
          </w:p>
          <w:p>
            <w:pPr>
              <w:tabs>
                <w:tab w:val="left" w:pos="0"/>
              </w:tabs>
              <w:jc w:val="center"/>
              <w:rPr>
                <w:rFonts w:ascii="宋体" w:hAnsi="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46" w:type="dxa"/>
            <w:vMerge w:val="continue"/>
            <w:vAlign w:val="center"/>
          </w:tcPr>
          <w:p>
            <w:pPr>
              <w:rPr>
                <w:color w:val="000000" w:themeColor="text1"/>
                <w14:textFill>
                  <w14:solidFill>
                    <w14:schemeClr w14:val="tx1"/>
                  </w14:solidFill>
                </w14:textFill>
              </w:rPr>
            </w:pPr>
          </w:p>
        </w:tc>
        <w:tc>
          <w:tcPr>
            <w:tcW w:w="1317" w:type="dxa"/>
            <w:vMerge w:val="continue"/>
            <w:vAlign w:val="center"/>
          </w:tcPr>
          <w:p>
            <w:pPr>
              <w:tabs>
                <w:tab w:val="left" w:pos="146"/>
              </w:tabs>
              <w:ind w:left="146"/>
              <w:rPr>
                <w:rFonts w:ascii="宋体" w:hAnsi="宋体"/>
                <w:color w:val="000000" w:themeColor="text1"/>
                <w:szCs w:val="21"/>
                <w14:textFill>
                  <w14:solidFill>
                    <w14:schemeClr w14:val="tx1"/>
                  </w14:solidFill>
                </w14:textFill>
              </w:rPr>
            </w:pPr>
          </w:p>
        </w:tc>
        <w:tc>
          <w:tcPr>
            <w:tcW w:w="3469"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投标人拟派的项目负责人具有一级注册造价工程师证书（提供证书复印件及近6个月任意1个月在投标单位购买的社保证明）</w:t>
            </w:r>
          </w:p>
        </w:tc>
        <w:tc>
          <w:tcPr>
            <w:tcW w:w="1785"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2295"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846" w:type="dxa"/>
            <w:vMerge w:val="continue"/>
            <w:vAlign w:val="center"/>
          </w:tcPr>
          <w:p>
            <w:pPr>
              <w:tabs>
                <w:tab w:val="left" w:pos="480"/>
              </w:tabs>
              <w:ind w:left="480" w:hanging="480"/>
              <w:jc w:val="center"/>
              <w:rPr>
                <w:rFonts w:ascii="宋体" w:hAnsi="宋体"/>
                <w:color w:val="000000" w:themeColor="text1"/>
                <w:szCs w:val="21"/>
                <w14:textFill>
                  <w14:solidFill>
                    <w14:schemeClr w14:val="tx1"/>
                  </w14:solidFill>
                </w14:textFill>
              </w:rPr>
            </w:pPr>
          </w:p>
        </w:tc>
        <w:tc>
          <w:tcPr>
            <w:tcW w:w="1317" w:type="dxa"/>
            <w:vMerge w:val="continue"/>
            <w:vAlign w:val="center"/>
          </w:tcPr>
          <w:p>
            <w:pPr>
              <w:tabs>
                <w:tab w:val="left" w:pos="146"/>
              </w:tabs>
              <w:ind w:left="146"/>
              <w:rPr>
                <w:rFonts w:ascii="宋体" w:hAnsi="宋体"/>
                <w:color w:val="000000" w:themeColor="text1"/>
                <w:szCs w:val="21"/>
                <w14:textFill>
                  <w14:solidFill>
                    <w14:schemeClr w14:val="tx1"/>
                  </w14:solidFill>
                </w14:textFill>
              </w:rPr>
            </w:pPr>
          </w:p>
        </w:tc>
        <w:tc>
          <w:tcPr>
            <w:tcW w:w="3469"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在近三年内【自投标之日（申请准入之日）起往前顺推】无重大违法记录；（提供《承诺函》承诺）</w:t>
            </w:r>
          </w:p>
        </w:tc>
        <w:tc>
          <w:tcPr>
            <w:tcW w:w="1785" w:type="dxa"/>
            <w:vAlign w:val="center"/>
          </w:tcPr>
          <w:p>
            <w:pPr>
              <w:tabs>
                <w:tab w:val="left" w:pos="480"/>
              </w:tabs>
              <w:ind w:left="480" w:hanging="480"/>
              <w:rPr>
                <w:rFonts w:ascii="宋体" w:hAnsi="宋体"/>
                <w:color w:val="000000" w:themeColor="text1"/>
                <w:szCs w:val="21"/>
                <w14:textFill>
                  <w14:solidFill>
                    <w14:schemeClr w14:val="tx1"/>
                  </w14:solidFill>
                </w14:textFill>
              </w:rPr>
            </w:pPr>
          </w:p>
        </w:tc>
        <w:tc>
          <w:tcPr>
            <w:tcW w:w="2295"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846" w:type="dxa"/>
            <w:vMerge w:val="continue"/>
            <w:vAlign w:val="center"/>
          </w:tcPr>
          <w:p>
            <w:pPr>
              <w:tabs>
                <w:tab w:val="left" w:pos="480"/>
              </w:tabs>
              <w:ind w:left="480" w:hanging="480"/>
              <w:jc w:val="center"/>
              <w:rPr>
                <w:rFonts w:ascii="宋体" w:hAnsi="宋体"/>
                <w:color w:val="000000" w:themeColor="text1"/>
                <w:szCs w:val="21"/>
                <w14:textFill>
                  <w14:solidFill>
                    <w14:schemeClr w14:val="tx1"/>
                  </w14:solidFill>
                </w14:textFill>
              </w:rPr>
            </w:pPr>
          </w:p>
        </w:tc>
        <w:tc>
          <w:tcPr>
            <w:tcW w:w="1317" w:type="dxa"/>
            <w:vMerge w:val="continue"/>
            <w:vAlign w:val="center"/>
          </w:tcPr>
          <w:p>
            <w:pPr>
              <w:tabs>
                <w:tab w:val="left" w:pos="146"/>
              </w:tabs>
              <w:ind w:left="146"/>
              <w:rPr>
                <w:rFonts w:ascii="宋体" w:hAnsi="宋体"/>
                <w:color w:val="000000" w:themeColor="text1"/>
                <w:szCs w:val="21"/>
                <w14:textFill>
                  <w14:solidFill>
                    <w14:schemeClr w14:val="tx1"/>
                  </w14:solidFill>
                </w14:textFill>
              </w:rPr>
            </w:pPr>
          </w:p>
        </w:tc>
        <w:tc>
          <w:tcPr>
            <w:tcW w:w="3469"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单位负责人为同一人、彼此存在投资与被投资、控股、管理关系的、或彼此的经营者、董事会（或同类管理机构）成员属于直系亲属或配偶关系的，不被接受作为同时参与本项目的投标人。 （提供《承诺函》承诺）</w:t>
            </w:r>
          </w:p>
        </w:tc>
        <w:tc>
          <w:tcPr>
            <w:tcW w:w="1785" w:type="dxa"/>
            <w:vAlign w:val="center"/>
          </w:tcPr>
          <w:p>
            <w:pPr>
              <w:tabs>
                <w:tab w:val="left" w:pos="480"/>
              </w:tabs>
              <w:ind w:left="480" w:hanging="480"/>
              <w:rPr>
                <w:rFonts w:ascii="宋体" w:hAnsi="宋体"/>
                <w:color w:val="000000" w:themeColor="text1"/>
                <w:szCs w:val="21"/>
                <w14:textFill>
                  <w14:solidFill>
                    <w14:schemeClr w14:val="tx1"/>
                  </w14:solidFill>
                </w14:textFill>
              </w:rPr>
            </w:pPr>
          </w:p>
        </w:tc>
        <w:tc>
          <w:tcPr>
            <w:tcW w:w="2295"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46" w:type="dxa"/>
            <w:vMerge w:val="continue"/>
            <w:vAlign w:val="center"/>
          </w:tcPr>
          <w:p>
            <w:pPr>
              <w:tabs>
                <w:tab w:val="left" w:pos="480"/>
              </w:tabs>
              <w:ind w:left="480" w:hanging="480"/>
              <w:jc w:val="center"/>
              <w:rPr>
                <w:rFonts w:ascii="宋体" w:hAnsi="宋体"/>
                <w:color w:val="000000" w:themeColor="text1"/>
                <w:szCs w:val="21"/>
                <w14:textFill>
                  <w14:solidFill>
                    <w14:schemeClr w14:val="tx1"/>
                  </w14:solidFill>
                </w14:textFill>
              </w:rPr>
            </w:pPr>
          </w:p>
        </w:tc>
        <w:tc>
          <w:tcPr>
            <w:tcW w:w="1317" w:type="dxa"/>
            <w:vAlign w:val="center"/>
          </w:tcPr>
          <w:p>
            <w:pPr>
              <w:tabs>
                <w:tab w:val="left" w:pos="146"/>
              </w:tabs>
              <w:ind w:left="146"/>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不接受联合体投标</w:t>
            </w:r>
          </w:p>
        </w:tc>
        <w:tc>
          <w:tcPr>
            <w:tcW w:w="3469" w:type="dxa"/>
            <w:vAlign w:val="center"/>
          </w:tcPr>
          <w:p>
            <w:pPr>
              <w:tabs>
                <w:tab w:val="left" w:pos="0"/>
              </w:tabs>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按招标文件要求</w:t>
            </w:r>
          </w:p>
        </w:tc>
        <w:tc>
          <w:tcPr>
            <w:tcW w:w="1785" w:type="dxa"/>
            <w:vAlign w:val="center"/>
          </w:tcPr>
          <w:p>
            <w:pPr>
              <w:tabs>
                <w:tab w:val="left" w:pos="480"/>
              </w:tabs>
              <w:ind w:left="-107" w:leftChars="-51" w:firstLine="106"/>
              <w:rPr>
                <w:rFonts w:ascii="宋体" w:hAnsi="宋体"/>
                <w:b/>
                <w:bCs/>
                <w:color w:val="000000" w:themeColor="text1"/>
                <w:szCs w:val="21"/>
                <w14:textFill>
                  <w14:solidFill>
                    <w14:schemeClr w14:val="tx1"/>
                  </w14:solidFill>
                </w14:textFill>
              </w:rPr>
            </w:pPr>
          </w:p>
        </w:tc>
        <w:tc>
          <w:tcPr>
            <w:tcW w:w="2295"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第（）页</w:t>
            </w:r>
          </w:p>
        </w:tc>
      </w:tr>
    </w:tbl>
    <w:p>
      <w:pPr>
        <w:tabs>
          <w:tab w:val="center" w:pos="4483"/>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14:textFill>
            <w14:solidFill>
              <w14:schemeClr w14:val="tx1"/>
            </w14:solidFill>
          </w14:textFill>
        </w:rPr>
        <w:t>提交的资料字迹模糊不清而现场无法提供原件核实的</w:t>
      </w:r>
      <w:r>
        <w:rPr>
          <w:rFonts w:hint="eastAsia" w:ascii="宋体" w:hAnsi="宋体"/>
          <w:color w:val="000000" w:themeColor="text1"/>
          <w:szCs w:val="21"/>
          <w14:textFill>
            <w14:solidFill>
              <w14:schemeClr w14:val="tx1"/>
            </w14:solidFill>
          </w14:textFill>
        </w:rPr>
        <w:t>将会直接导致无效投标。</w:t>
      </w:r>
      <w:r>
        <w:rPr>
          <w:rFonts w:hint="eastAsia" w:ascii="宋体" w:hAnsi="宋体"/>
          <w:bCs/>
          <w:color w:val="000000" w:themeColor="text1"/>
          <w:szCs w:val="21"/>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14:textFill>
            <w14:solidFill>
              <w14:schemeClr w14:val="tx1"/>
            </w14:solidFill>
          </w14:textFill>
        </w:rPr>
        <w:t>在对应的自查结论中填“通过”或“不通过”。</w:t>
      </w:r>
    </w:p>
    <w:p>
      <w:pPr>
        <w:tabs>
          <w:tab w:val="center" w:pos="4483"/>
        </w:tabs>
        <w:ind w:left="525" w:leftChars="50" w:hanging="420" w:hanging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 xml:space="preserve">   </w:t>
      </w:r>
    </w:p>
    <w:p>
      <w:pPr>
        <w:adjustRightInd w:val="0"/>
        <w:snapToGrid w:val="0"/>
        <w:spacing w:line="300" w:lineRule="auto"/>
        <w:rPr>
          <w:color w:val="000000" w:themeColor="text1"/>
          <w:szCs w:val="21"/>
          <w14:textFill>
            <w14:solidFill>
              <w14:schemeClr w14:val="tx1"/>
            </w14:solidFill>
          </w14:textFill>
        </w:rPr>
      </w:pP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投标人法定代表人（负责人）或授权代理人（签字）：</w:t>
      </w:r>
      <w:r>
        <w:rPr>
          <w:rFonts w:hint="eastAsia"/>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投标人名称（签章）：</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00" w:lineRule="auto"/>
        <w:rPr>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p>
    <w:p>
      <w:pPr>
        <w:tabs>
          <w:tab w:val="left" w:pos="1004"/>
          <w:tab w:val="left" w:pos="4267"/>
        </w:tabs>
        <w:spacing w:line="400" w:lineRule="exact"/>
        <w:rPr>
          <w:rFonts w:ascii="宋体" w:hAnsi="宋体"/>
          <w:bCs/>
          <w:color w:val="000000" w:themeColor="text1"/>
          <w14:textFill>
            <w14:solidFill>
              <w14:schemeClr w14:val="tx1"/>
            </w14:solidFill>
          </w14:textFill>
        </w:rPr>
        <w:sectPr>
          <w:footerReference r:id="rId12" w:type="first"/>
          <w:footerReference r:id="rId11" w:type="default"/>
          <w:pgSz w:w="11906" w:h="16838"/>
          <w:pgMar w:top="1474" w:right="1418" w:bottom="1474" w:left="1418" w:header="851" w:footer="851" w:gutter="0"/>
          <w:cols w:space="720" w:num="1"/>
          <w:titlePg/>
          <w:docGrid w:linePitch="312" w:charSpace="0"/>
        </w:sectPr>
      </w:pPr>
    </w:p>
    <w:p>
      <w:pPr>
        <w:pStyle w:val="4"/>
        <w:numPr>
          <w:ilvl w:val="0"/>
          <w:numId w:val="0"/>
        </w:numPr>
        <w:rPr>
          <w:color w:val="000000" w:themeColor="text1"/>
          <w14:textFill>
            <w14:solidFill>
              <w14:schemeClr w14:val="tx1"/>
            </w14:solidFill>
          </w14:textFill>
        </w:rPr>
      </w:pPr>
      <w:bookmarkStart w:id="1732" w:name="_Toc171"/>
      <w:bookmarkStart w:id="1733" w:name="_Toc177"/>
      <w:bookmarkStart w:id="1734" w:name="_Toc21470"/>
      <w:r>
        <w:rPr>
          <w:rFonts w:hint="eastAsia"/>
          <w:color w:val="000000" w:themeColor="text1"/>
          <w14:textFill>
            <w14:solidFill>
              <w14:schemeClr w14:val="tx1"/>
            </w14:solidFill>
          </w14:textFill>
        </w:rPr>
        <w:t>（一）资格审查文件要求提交的有效证明文件</w:t>
      </w:r>
      <w:bookmarkEnd w:id="1732"/>
      <w:bookmarkEnd w:id="1733"/>
      <w:bookmarkEnd w:id="1734"/>
    </w:p>
    <w:p>
      <w:pPr>
        <w:adjustRightInd w:val="0"/>
        <w:snapToGrid w:val="0"/>
        <w:spacing w:line="360" w:lineRule="auto"/>
        <w:jc w:val="left"/>
        <w:rPr>
          <w:rFonts w:ascii="宋体" w:hAnsi="宋体"/>
          <w:bCs/>
          <w:color w:val="000000" w:themeColor="text1"/>
          <w14:textFill>
            <w14:solidFill>
              <w14:schemeClr w14:val="tx1"/>
            </w14:solidFill>
          </w14:textFill>
        </w:rPr>
      </w:pPr>
    </w:p>
    <w:p>
      <w:pPr>
        <w:adjustRightInd w:val="0"/>
        <w:snapToGrid w:val="0"/>
        <w:spacing w:line="360" w:lineRule="auto"/>
        <w:jc w:val="left"/>
        <w:rPr>
          <w:rFonts w:ascii="宋体" w:hAnsi="宋体"/>
          <w:b/>
          <w:bCs/>
          <w:cap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p>
    <w:p>
      <w:pPr>
        <w:pStyle w:val="2"/>
        <w:rPr>
          <w:color w:val="000000" w:themeColor="text1"/>
          <w14:textFill>
            <w14:solidFill>
              <w14:schemeClr w14:val="tx1"/>
            </w14:solidFill>
          </w14:textFill>
        </w:rPr>
      </w:pP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1、合法有效的营业执照复印件加盖公章；</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hAnsi="黑体"/>
          <w:color w:val="000000" w:themeColor="text1"/>
          <w:szCs w:val="21"/>
          <w14:textFill>
            <w14:solidFill>
              <w14:schemeClr w14:val="tx1"/>
            </w14:solidFill>
          </w14:textFill>
        </w:rPr>
        <w:t>无重大违法记录声明函</w:t>
      </w:r>
      <w:r>
        <w:rPr>
          <w:rFonts w:hint="eastAsia" w:ascii="宋体" w:hAnsi="宋体"/>
          <w:color w:val="000000" w:themeColor="text1"/>
          <w:szCs w:val="21"/>
          <w14:textFill>
            <w14:solidFill>
              <w14:schemeClr w14:val="tx1"/>
            </w14:solidFill>
          </w14:textFill>
        </w:rPr>
        <w:t>；</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3、相关资质证明文件：</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p>
    <w:p>
      <w:pPr>
        <w:pStyle w:val="2"/>
        <w:rPr>
          <w:rFonts w:hAnsi="宋体"/>
          <w:bCs/>
          <w:color w:val="000000" w:themeColor="text1"/>
          <w:sz w:val="21"/>
          <w:szCs w:val="21"/>
          <w14:textFill>
            <w14:solidFill>
              <w14:schemeClr w14:val="tx1"/>
            </w14:solidFill>
          </w14:textFill>
        </w:rPr>
      </w:pPr>
    </w:p>
    <w:p>
      <w:pPr>
        <w:pStyle w:val="2"/>
        <w:rPr>
          <w:rFonts w:hAnsi="宋体"/>
          <w:bCs/>
          <w:color w:val="000000" w:themeColor="text1"/>
          <w:sz w:val="21"/>
          <w:szCs w:val="21"/>
          <w14:textFill>
            <w14:solidFill>
              <w14:schemeClr w14:val="tx1"/>
            </w14:solidFill>
          </w14:textFill>
        </w:rPr>
      </w:pPr>
    </w:p>
    <w:p>
      <w:pPr>
        <w:pStyle w:val="2"/>
        <w:rPr>
          <w:rFonts w:hAnsi="宋体"/>
          <w:bCs/>
          <w:color w:val="000000" w:themeColor="text1"/>
          <w:sz w:val="21"/>
          <w:szCs w:val="21"/>
          <w14:textFill>
            <w14:solidFill>
              <w14:schemeClr w14:val="tx1"/>
            </w14:solidFill>
          </w14:textFill>
        </w:rPr>
      </w:pPr>
    </w:p>
    <w:p>
      <w:pPr>
        <w:pStyle w:val="2"/>
        <w:rPr>
          <w:rFonts w:hAnsi="宋体"/>
          <w:bCs/>
          <w:color w:val="000000" w:themeColor="text1"/>
          <w:sz w:val="21"/>
          <w:szCs w:val="21"/>
          <w14:textFill>
            <w14:solidFill>
              <w14:schemeClr w14:val="tx1"/>
            </w14:solidFill>
          </w14:textFill>
        </w:rPr>
      </w:pPr>
    </w:p>
    <w:p>
      <w:pPr>
        <w:pStyle w:val="2"/>
        <w:rPr>
          <w:rFonts w:hAnsi="宋体"/>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提供招标文件要求的资格</w:t>
      </w:r>
      <w:r>
        <w:rPr>
          <w:rFonts w:hint="eastAsia" w:hAnsi="宋体"/>
          <w:color w:val="000000" w:themeColor="text1"/>
          <w:sz w:val="21"/>
          <w:szCs w:val="21"/>
          <w14:textFill>
            <w14:solidFill>
              <w14:schemeClr w14:val="tx1"/>
            </w14:solidFill>
          </w14:textFill>
        </w:rPr>
        <w:t>证明文件复印件加盖公章。</w:t>
      </w: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2"/>
        <w:rPr>
          <w:rFonts w:hAnsi="宋体"/>
          <w:color w:val="000000" w:themeColor="text1"/>
          <w:szCs w:val="21"/>
          <w14:textFill>
            <w14:solidFill>
              <w14:schemeClr w14:val="tx1"/>
            </w14:solidFill>
          </w14:textFill>
        </w:rPr>
      </w:pPr>
    </w:p>
    <w:p>
      <w:pPr>
        <w:pStyle w:val="4"/>
        <w:numPr>
          <w:ilvl w:val="0"/>
          <w:numId w:val="0"/>
        </w:numPr>
        <w:rPr>
          <w:rFonts w:hAnsi="黑体"/>
          <w:color w:val="000000" w:themeColor="text1"/>
          <w:szCs w:val="21"/>
          <w14:textFill>
            <w14:solidFill>
              <w14:schemeClr w14:val="tx1"/>
            </w14:solidFill>
          </w14:textFill>
        </w:rPr>
      </w:pPr>
      <w:bookmarkStart w:id="1735" w:name="_Toc23053"/>
      <w:bookmarkStart w:id="1736" w:name="_Toc19310"/>
      <w:bookmarkStart w:id="1737" w:name="_Toc26194"/>
      <w:r>
        <w:rPr>
          <w:rFonts w:hint="eastAsia" w:hAnsi="黑体"/>
          <w:color w:val="000000" w:themeColor="text1"/>
          <w:szCs w:val="21"/>
          <w14:textFill>
            <w14:solidFill>
              <w14:schemeClr w14:val="tx1"/>
            </w14:solidFill>
          </w14:textFill>
        </w:rPr>
        <w:t>（二）无重大违法记录声明函</w:t>
      </w:r>
      <w:bookmarkEnd w:id="1735"/>
      <w:bookmarkEnd w:id="1736"/>
      <w:bookmarkEnd w:id="1737"/>
    </w:p>
    <w:p>
      <w:pPr>
        <w:pStyle w:val="2"/>
        <w:spacing w:line="360" w:lineRule="auto"/>
        <w:ind w:left="420" w:firstLine="0"/>
        <w:rPr>
          <w:color w:val="000000" w:themeColor="text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致广东业信采购招标有限公司：</w:t>
      </w:r>
    </w:p>
    <w:p>
      <w:pPr>
        <w:spacing w:line="360" w:lineRule="auto"/>
        <w:rPr>
          <w:rFonts w:ascii="宋体" w:hAnsi="宋体"/>
          <w:bCs/>
          <w:color w:val="000000" w:themeColor="text1"/>
          <w:u w:val="single"/>
          <w14:textFill>
            <w14:solidFill>
              <w14:schemeClr w14:val="tx1"/>
            </w14:solidFill>
          </w14:textFill>
        </w:rPr>
      </w:pPr>
      <w:r>
        <w:rPr>
          <w:rFonts w:hint="eastAsia"/>
          <w:color w:val="000000" w:themeColor="text1"/>
          <w:szCs w:val="21"/>
          <w14:textFill>
            <w14:solidFill>
              <w14:schemeClr w14:val="tx1"/>
            </w14:solidFill>
          </w14:textFill>
        </w:rPr>
        <w:t xml:space="preserve">    针对贵</w:t>
      </w:r>
      <w:r>
        <w:rPr>
          <w:rFonts w:hint="eastAsia" w:ascii="宋体" w:hAnsi="宋体"/>
          <w:color w:val="000000" w:themeColor="text1"/>
          <w:szCs w:val="21"/>
          <w14:textFill>
            <w14:solidFill>
              <w14:schemeClr w14:val="tx1"/>
            </w14:solidFill>
          </w14:textFill>
        </w:rPr>
        <w:t>方</w:t>
      </w:r>
      <w:r>
        <w:rPr>
          <w:rFonts w:hint="eastAsia"/>
          <w:color w:val="000000" w:themeColor="text1"/>
          <w:szCs w:val="21"/>
          <w14:textFill>
            <w14:solidFill>
              <w14:schemeClr w14:val="tx1"/>
            </w14:solidFill>
          </w14:textFill>
        </w:rPr>
        <w:t>组织的（项目名称：</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）（项目编号：</w:t>
      </w:r>
      <w:r>
        <w:rPr>
          <w:rFonts w:hint="eastAsia" w:ascii="宋体" w:hAnsi="宋体"/>
          <w:bCs/>
          <w:color w:val="000000" w:themeColor="text1"/>
          <w:u w:val="single"/>
          <w14:textFill>
            <w14:solidFill>
              <w14:schemeClr w14:val="tx1"/>
            </w14:solidFill>
          </w14:textFill>
        </w:rPr>
        <w:t xml:space="preserve">            </w:t>
      </w:r>
      <w:r>
        <w:rPr>
          <w:rFonts w:hint="eastAsia"/>
          <w:color w:val="000000" w:themeColor="text1"/>
          <w:szCs w:val="21"/>
          <w14:textFill>
            <w14:solidFill>
              <w14:schemeClr w14:val="tx1"/>
            </w14:solidFill>
          </w14:textFill>
        </w:rPr>
        <w:t>），我方郑重承诺：</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参加本次政府采购活动前三年内，在经营活动中没有重大违法记录。</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本公司对上述声明的真实性负责。如有虚假，将依法承担相关责任。</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特此声明。</w:t>
      </w: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投标人法定代表人（负责人）或授权代理人（签字）：</w:t>
      </w:r>
      <w:r>
        <w:rPr>
          <w:rFonts w:hint="eastAsia"/>
          <w:color w:val="000000" w:themeColor="text1"/>
          <w:szCs w:val="21"/>
          <w:u w:val="single"/>
          <w14:textFill>
            <w14:solidFill>
              <w14:schemeClr w14:val="tx1"/>
            </w14:solidFill>
          </w14:textFill>
        </w:rPr>
        <w:t xml:space="preserve">          </w:t>
      </w:r>
    </w:p>
    <w:p>
      <w:pPr>
        <w:spacing w:line="360" w:lineRule="auto"/>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投标人名称（公章）：</w:t>
      </w:r>
      <w:r>
        <w:rPr>
          <w:rFonts w:hint="eastAsia"/>
          <w:color w:val="000000" w:themeColor="text1"/>
          <w:szCs w:val="21"/>
          <w:u w:val="single"/>
          <w14:textFill>
            <w14:solidFill>
              <w14:schemeClr w14:val="tx1"/>
            </w14:solidFill>
          </w14:textFill>
        </w:rPr>
        <w:t xml:space="preserve">                        </w:t>
      </w:r>
    </w:p>
    <w:p>
      <w:pPr>
        <w:spacing w:line="360" w:lineRule="auto"/>
        <w:rPr>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2"/>
        <w:ind w:left="420" w:firstLine="0"/>
        <w:rPr>
          <w:color w:val="000000" w:themeColor="text1"/>
          <w14:textFill>
            <w14:solidFill>
              <w14:schemeClr w14:val="tx1"/>
            </w14:solidFill>
          </w14:textFill>
        </w:rPr>
      </w:pPr>
    </w:p>
    <w:p>
      <w:pPr>
        <w:pStyle w:val="2"/>
        <w:ind w:left="420" w:firstLine="0"/>
        <w:rPr>
          <w:color w:val="000000" w:themeColor="text1"/>
          <w14:textFill>
            <w14:solidFill>
              <w14:schemeClr w14:val="tx1"/>
            </w14:solidFill>
          </w14:textFill>
        </w:rPr>
      </w:pPr>
    </w:p>
    <w:p>
      <w:pPr>
        <w:pStyle w:val="2"/>
        <w:ind w:left="420" w:firstLine="0"/>
        <w:rPr>
          <w:color w:val="000000" w:themeColor="text1"/>
          <w14:textFill>
            <w14:solidFill>
              <w14:schemeClr w14:val="tx1"/>
            </w14:solidFill>
          </w14:textFill>
        </w:rPr>
      </w:pPr>
    </w:p>
    <w:p>
      <w:pPr>
        <w:pStyle w:val="2"/>
        <w:ind w:left="420" w:firstLine="0"/>
        <w:rPr>
          <w:color w:val="000000" w:themeColor="text1"/>
          <w14:textFill>
            <w14:solidFill>
              <w14:schemeClr w14:val="tx1"/>
            </w14:solidFill>
          </w14:textFill>
        </w:rPr>
      </w:pPr>
    </w:p>
    <w:p>
      <w:pPr>
        <w:pStyle w:val="2"/>
        <w:ind w:left="420" w:firstLine="0"/>
        <w:rPr>
          <w:color w:val="000000" w:themeColor="text1"/>
          <w14:textFill>
            <w14:solidFill>
              <w14:schemeClr w14:val="tx1"/>
            </w14:solidFill>
          </w14:textFill>
        </w:rPr>
      </w:pPr>
    </w:p>
    <w:p>
      <w:pPr>
        <w:pStyle w:val="2"/>
        <w:ind w:left="420" w:firstLine="0"/>
        <w:rPr>
          <w:color w:val="000000" w:themeColor="text1"/>
          <w14:textFill>
            <w14:solidFill>
              <w14:schemeClr w14:val="tx1"/>
            </w14:solidFill>
          </w14:textFill>
        </w:rPr>
      </w:pPr>
    </w:p>
    <w:p>
      <w:pPr>
        <w:pStyle w:val="2"/>
        <w:ind w:left="420" w:firstLine="0"/>
        <w:rPr>
          <w:color w:val="000000" w:themeColor="text1"/>
          <w14:textFill>
            <w14:solidFill>
              <w14:schemeClr w14:val="tx1"/>
            </w14:solidFill>
          </w14:textFill>
        </w:rPr>
      </w:pPr>
    </w:p>
    <w:p>
      <w:pPr>
        <w:pStyle w:val="2"/>
        <w:ind w:firstLine="0"/>
        <w:rPr>
          <w:color w:val="000000" w:themeColor="text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pPr>
    </w:p>
    <w:p>
      <w:pPr>
        <w:pStyle w:val="4"/>
        <w:numPr>
          <w:ilvl w:val="7"/>
          <w:numId w:val="6"/>
        </w:numPr>
        <w:tabs>
          <w:tab w:val="clear" w:pos="720"/>
        </w:tabs>
        <w:ind w:left="720"/>
        <w:rPr>
          <w:color w:val="000000" w:themeColor="text1"/>
          <w14:textFill>
            <w14:solidFill>
              <w14:schemeClr w14:val="tx1"/>
            </w14:solidFill>
          </w14:textFill>
        </w:rPr>
      </w:pPr>
      <w:bookmarkStart w:id="1738" w:name="_Toc5256"/>
      <w:bookmarkStart w:id="1739" w:name="_Toc14742"/>
      <w:bookmarkStart w:id="1740" w:name="_Toc26827"/>
      <w:r>
        <w:rPr>
          <w:rFonts w:hint="eastAsia"/>
          <w:color w:val="000000" w:themeColor="text1"/>
          <w14:textFill>
            <w14:solidFill>
              <w14:schemeClr w14:val="tx1"/>
            </w14:solidFill>
          </w14:textFill>
        </w:rPr>
        <w:t>投标文件商务及技术部分</w:t>
      </w:r>
      <w:bookmarkEnd w:id="1738"/>
      <w:bookmarkEnd w:id="1739"/>
      <w:bookmarkEnd w:id="1740"/>
    </w:p>
    <w:p>
      <w:pPr>
        <w:pStyle w:val="4"/>
        <w:numPr>
          <w:ilvl w:val="0"/>
          <w:numId w:val="0"/>
        </w:numPr>
        <w:rPr>
          <w:color w:val="000000" w:themeColor="text1"/>
          <w:sz w:val="24"/>
          <w14:textFill>
            <w14:solidFill>
              <w14:schemeClr w14:val="tx1"/>
            </w14:solidFill>
          </w14:textFill>
        </w:rPr>
      </w:pPr>
      <w:bookmarkStart w:id="1741" w:name="_Toc28645"/>
      <w:bookmarkStart w:id="1742" w:name="_Toc20127"/>
      <w:r>
        <w:rPr>
          <w:rFonts w:hint="eastAsia"/>
          <w:color w:val="000000" w:themeColor="text1"/>
          <w:sz w:val="24"/>
          <w14:textFill>
            <w14:solidFill>
              <w14:schemeClr w14:val="tx1"/>
            </w14:solidFill>
          </w14:textFill>
        </w:rPr>
        <w:t>商务及技术封面格式</w:t>
      </w:r>
      <w:bookmarkEnd w:id="1741"/>
      <w:bookmarkEnd w:id="1742"/>
    </w:p>
    <w:p>
      <w:pPr>
        <w:pStyle w:val="2"/>
        <w:rPr>
          <w:rFonts w:hAnsi="宋体"/>
          <w:bCs/>
          <w:color w:val="000000" w:themeColor="text1"/>
          <w:sz w:val="21"/>
          <w14:textFill>
            <w14:solidFill>
              <w14:schemeClr w14:val="tx1"/>
            </w14:solidFill>
          </w14:textFill>
        </w:rPr>
      </w:pPr>
    </w:p>
    <w:p>
      <w:pPr>
        <w:pStyle w:val="2"/>
        <w:spacing w:line="360" w:lineRule="auto"/>
        <w:rPr>
          <w:rFonts w:hAnsi="宋体"/>
          <w:bCs/>
          <w:color w:val="000000" w:themeColor="text1"/>
          <w:sz w:val="21"/>
          <w14:textFill>
            <w14:solidFill>
              <w14:schemeClr w14:val="tx1"/>
            </w14:solidFill>
          </w14:textFill>
        </w:rPr>
      </w:pPr>
      <w:r>
        <w:rPr>
          <w:rFonts w:hAnsi="宋体"/>
          <w:bCs/>
          <w:color w:val="000000" w:themeColor="text1"/>
          <w:sz w:val="21"/>
          <w14:textFill>
            <w14:solidFill>
              <w14:schemeClr w14:val="tx1"/>
            </w14:solidFill>
          </w14:textFill>
        </w:rPr>
        <w:t>1</w:t>
      </w:r>
      <w:r>
        <w:rPr>
          <w:rFonts w:hint="eastAsia" w:hAnsi="宋体"/>
          <w:bCs/>
          <w:color w:val="000000" w:themeColor="text1"/>
          <w:sz w:val="21"/>
          <w14:textFill>
            <w14:solidFill>
              <w14:schemeClr w14:val="tx1"/>
            </w14:solidFill>
          </w14:textFill>
        </w:rPr>
        <w:t xml:space="preserve">、投标内容应当编有目录、页码，按页码排序并装订成册。   </w:t>
      </w:r>
    </w:p>
    <w:p>
      <w:pPr>
        <w:pStyle w:val="2"/>
        <w:spacing w:line="360" w:lineRule="auto"/>
        <w:rPr>
          <w:rFonts w:hAnsi="宋体"/>
          <w:b/>
          <w:color w:val="000000" w:themeColor="text1"/>
          <w:sz w:val="21"/>
          <w:szCs w:val="21"/>
          <w14:textFill>
            <w14:solidFill>
              <w14:schemeClr w14:val="tx1"/>
            </w14:solidFill>
          </w14:textFill>
        </w:rPr>
      </w:pPr>
      <w:r>
        <w:rPr>
          <w:rFonts w:hAnsi="宋体"/>
          <w:bCs/>
          <w:color w:val="000000" w:themeColor="text1"/>
          <w:sz w:val="21"/>
          <w14:textFill>
            <w14:solidFill>
              <w14:schemeClr w14:val="tx1"/>
            </w14:solidFill>
          </w14:textFill>
        </w:rPr>
        <w:t>2</w:t>
      </w:r>
      <w:r>
        <w:rPr>
          <w:rFonts w:hint="eastAsia" w:hAnsi="宋体"/>
          <w:bCs/>
          <w:color w:val="000000" w:themeColor="text1"/>
          <w:sz w:val="21"/>
          <w14:textFill>
            <w14:solidFill>
              <w14:schemeClr w14:val="tx1"/>
            </w14:solidFill>
          </w14:textFill>
        </w:rPr>
        <w:t>、文件的封面格式由投</w:t>
      </w:r>
      <w:r>
        <w:rPr>
          <w:rFonts w:hint="eastAsia" w:hAnsi="宋体"/>
          <w:bCs/>
          <w:color w:val="000000" w:themeColor="text1"/>
          <w:sz w:val="21"/>
          <w:szCs w:val="21"/>
          <w14:textFill>
            <w14:solidFill>
              <w14:schemeClr w14:val="tx1"/>
            </w14:solidFill>
          </w14:textFill>
        </w:rPr>
        <w:t>标人自拟</w:t>
      </w:r>
      <w:r>
        <w:rPr>
          <w:rFonts w:hint="eastAsia" w:hAnsi="宋体"/>
          <w:bCs/>
          <w:color w:val="000000" w:themeColor="text1"/>
          <w:sz w:val="21"/>
          <w14:textFill>
            <w14:solidFill>
              <w14:schemeClr w14:val="tx1"/>
            </w14:solidFill>
          </w14:textFill>
        </w:rPr>
        <w:t>，并应注明“投标文件、项目编号、项目名称、投标人名称及地址、法定代表人（负责人）或授权代理人、联系电话、传真、邮编，并加盖投标人公章。</w:t>
      </w: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rPr>
          <w:rFonts w:hAnsi="宋体"/>
          <w:bCs/>
          <w:color w:val="000000" w:themeColor="text1"/>
          <w:sz w:val="21"/>
          <w14:textFill>
            <w14:solidFill>
              <w14:schemeClr w14:val="tx1"/>
            </w14:solidFill>
          </w14:textFill>
        </w:rPr>
      </w:pPr>
    </w:p>
    <w:p>
      <w:pPr>
        <w:pStyle w:val="2"/>
        <w:spacing w:line="440" w:lineRule="exact"/>
        <w:jc w:val="center"/>
        <w:rPr>
          <w:rFonts w:hAnsi="宋体"/>
          <w:bCs/>
          <w:color w:val="000000" w:themeColor="text1"/>
          <w:sz w:val="21"/>
          <w14:textFill>
            <w14:solidFill>
              <w14:schemeClr w14:val="tx1"/>
            </w14:solidFill>
          </w14:textFill>
        </w:rPr>
      </w:pPr>
    </w:p>
    <w:p>
      <w:pPr>
        <w:pStyle w:val="2"/>
        <w:spacing w:line="440" w:lineRule="exact"/>
        <w:ind w:firstLine="0"/>
        <w:jc w:val="both"/>
        <w:rPr>
          <w:rFonts w:hAnsi="宋体"/>
          <w:bCs/>
          <w:color w:val="000000" w:themeColor="text1"/>
          <w:sz w:val="21"/>
          <w14:textFill>
            <w14:solidFill>
              <w14:schemeClr w14:val="tx1"/>
            </w14:solidFill>
          </w14:textFill>
        </w:rPr>
      </w:pPr>
    </w:p>
    <w:p>
      <w:pPr>
        <w:pStyle w:val="2"/>
        <w:spacing w:line="440" w:lineRule="exact"/>
        <w:jc w:val="center"/>
        <w:rPr>
          <w:rFonts w:hAnsi="宋体"/>
          <w:bCs/>
          <w:color w:val="000000" w:themeColor="text1"/>
          <w:sz w:val="21"/>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r>
        <w:rPr>
          <w:rFonts w:hint="eastAsia" w:hAnsi="宋体"/>
          <w:b/>
          <w:bCs/>
          <w:color w:val="000000" w:themeColor="text1"/>
          <w:sz w:val="52"/>
          <w:szCs w:val="52"/>
          <w14:textFill>
            <w14:solidFill>
              <w14:schemeClr w14:val="tx1"/>
            </w14:solidFill>
          </w14:textFill>
        </w:rPr>
        <w:t>投标文件（□正本、□副本</w:t>
      </w:r>
      <w:r>
        <w:rPr>
          <w:rFonts w:hint="eastAsia" w:hAnsi="宋体"/>
          <w:bCs/>
          <w:color w:val="000000" w:themeColor="text1"/>
          <w:sz w:val="52"/>
          <w:szCs w:val="52"/>
          <w14:textFill>
            <w14:solidFill>
              <w14:schemeClr w14:val="tx1"/>
            </w14:solidFill>
          </w14:textFill>
        </w:rPr>
        <w:t>）</w:t>
      </w:r>
    </w:p>
    <w:p>
      <w:pPr>
        <w:pStyle w:val="2"/>
        <w:spacing w:line="360" w:lineRule="auto"/>
        <w:jc w:val="center"/>
        <w:rPr>
          <w:rFonts w:hAnsi="宋体"/>
          <w:bCs/>
          <w:color w:val="000000" w:themeColor="text1"/>
          <w:sz w:val="52"/>
          <w:szCs w:val="52"/>
          <w14:textFill>
            <w14:solidFill>
              <w14:schemeClr w14:val="tx1"/>
            </w14:solidFill>
          </w14:textFill>
        </w:rPr>
      </w:pPr>
      <w:r>
        <w:rPr>
          <w:rFonts w:hint="eastAsia" w:hAnsi="宋体"/>
          <w:b/>
          <w:color w:val="000000" w:themeColor="text1"/>
          <w:sz w:val="44"/>
          <w:szCs w:val="44"/>
          <w14:textFill>
            <w14:solidFill>
              <w14:schemeClr w14:val="tx1"/>
            </w14:solidFill>
          </w14:textFill>
        </w:rPr>
        <w:t>（商务及技术文件）</w:t>
      </w: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360" w:lineRule="auto"/>
        <w:jc w:val="center"/>
        <w:rPr>
          <w:rFonts w:hAnsi="宋体"/>
          <w:bCs/>
          <w:color w:val="000000" w:themeColor="text1"/>
          <w:sz w:val="52"/>
          <w:szCs w:val="52"/>
          <w14:textFill>
            <w14:solidFill>
              <w14:schemeClr w14:val="tx1"/>
            </w14:solidFill>
          </w14:textFill>
        </w:rPr>
      </w:pPr>
    </w:p>
    <w:p>
      <w:pPr>
        <w:pStyle w:val="2"/>
        <w:spacing w:line="440" w:lineRule="exact"/>
        <w:jc w:val="center"/>
        <w:rPr>
          <w:rFonts w:hAnsi="宋体"/>
          <w:bCs/>
          <w:color w:val="000000" w:themeColor="text1"/>
          <w:sz w:val="21"/>
          <w14:textFill>
            <w14:solidFill>
              <w14:schemeClr w14:val="tx1"/>
            </w14:solidFill>
          </w14:textFill>
        </w:rPr>
      </w:pPr>
    </w:p>
    <w:p>
      <w:pPr>
        <w:pStyle w:val="2"/>
        <w:spacing w:line="440" w:lineRule="exact"/>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项目编号：</w:t>
      </w:r>
      <w:r>
        <w:rPr>
          <w:rFonts w:hint="eastAsia" w:hAnsi="宋体"/>
          <w:bCs/>
          <w:color w:val="000000" w:themeColor="text1"/>
          <w:sz w:val="21"/>
          <w:u w:val="single"/>
          <w14:textFill>
            <w14:solidFill>
              <w14:schemeClr w14:val="tx1"/>
            </w14:solidFill>
          </w14:textFill>
        </w:rPr>
        <w:t xml:space="preserve">  </w:t>
      </w:r>
      <w:r>
        <w:rPr>
          <w:rFonts w:hAnsi="宋体"/>
          <w:bCs/>
          <w:color w:val="000000" w:themeColor="text1"/>
          <w:sz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项目名称：</w:t>
      </w:r>
      <w:r>
        <w:rPr>
          <w:rFonts w:hint="eastAsia" w:hAnsi="宋体"/>
          <w:bCs/>
          <w:color w:val="000000" w:themeColor="text1"/>
          <w:sz w:val="21"/>
          <w:u w:val="single"/>
          <w14:textFill>
            <w14:solidFill>
              <w14:schemeClr w14:val="tx1"/>
            </w14:solidFill>
          </w14:textFill>
        </w:rPr>
        <w:t xml:space="preserve">     </w:t>
      </w:r>
      <w:r>
        <w:rPr>
          <w:rFonts w:hint="eastAsia" w:hAnsi="宋体" w:cs="宋体"/>
          <w:color w:val="000000" w:themeColor="text1"/>
          <w:sz w:val="21"/>
          <w:szCs w:val="21"/>
          <w:u w:val="single"/>
          <w14:textFill>
            <w14:solidFill>
              <w14:schemeClr w14:val="tx1"/>
            </w14:solidFill>
          </w14:textFill>
        </w:rPr>
        <w:t>采购项目名称，由投标人填写</w:t>
      </w:r>
      <w:r>
        <w:rPr>
          <w:rFonts w:hint="eastAsia" w:hAnsi="宋体" w:cs="宋体"/>
          <w:b/>
          <w:color w:val="000000" w:themeColor="text1"/>
          <w:sz w:val="21"/>
          <w:szCs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投标人名称（公章）：</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投标人地址：</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法定代表人（负责人）或授权代理人（签字）</w:t>
      </w:r>
      <w:r>
        <w:rPr>
          <w:rFonts w:hAnsi="宋体"/>
          <w:bCs/>
          <w:color w:val="000000" w:themeColor="text1"/>
          <w:sz w:val="21"/>
          <w14:textFill>
            <w14:solidFill>
              <w14:schemeClr w14:val="tx1"/>
            </w14:solidFill>
          </w14:textFill>
        </w:rPr>
        <w:t>：</w:t>
      </w:r>
      <w:r>
        <w:rPr>
          <w:rFonts w:hAnsi="宋体"/>
          <w:bCs/>
          <w:color w:val="000000" w:themeColor="text1"/>
          <w:sz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联系</w:t>
      </w:r>
      <w:r>
        <w:rPr>
          <w:rFonts w:hAnsi="宋体"/>
          <w:bCs/>
          <w:color w:val="000000" w:themeColor="text1"/>
          <w:sz w:val="21"/>
          <w14:textFill>
            <w14:solidFill>
              <w14:schemeClr w14:val="tx1"/>
            </w14:solidFill>
          </w14:textFill>
        </w:rPr>
        <w:t>电话：</w:t>
      </w:r>
      <w:r>
        <w:rPr>
          <w:rFonts w:hint="eastAsia" w:hAnsi="宋体"/>
          <w:bCs/>
          <w:color w:val="000000" w:themeColor="text1"/>
          <w:sz w:val="21"/>
          <w:u w:val="single"/>
          <w14:textFill>
            <w14:solidFill>
              <w14:schemeClr w14:val="tx1"/>
            </w14:solidFill>
          </w14:textFill>
        </w:rPr>
        <w:t xml:space="preserve">                           </w:t>
      </w:r>
      <w:r>
        <w:rPr>
          <w:rFonts w:hAnsi="宋体"/>
          <w:bCs/>
          <w:color w:val="000000" w:themeColor="text1"/>
          <w:sz w:val="21"/>
          <w14:textFill>
            <w14:solidFill>
              <w14:schemeClr w14:val="tx1"/>
            </w14:solidFill>
          </w14:textFill>
        </w:rPr>
        <w:t xml:space="preserve">   </w:t>
      </w:r>
      <w:r>
        <w:rPr>
          <w:rFonts w:hint="eastAsia" w:hAnsi="宋体"/>
          <w:bCs/>
          <w:color w:val="000000" w:themeColor="text1"/>
          <w:sz w:val="21"/>
          <w14:textFill>
            <w14:solidFill>
              <w14:schemeClr w14:val="tx1"/>
            </w14:solidFill>
          </w14:textFill>
        </w:rPr>
        <w:t>传真：</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rFonts w:hAnsi="宋体"/>
          <w:bCs/>
          <w:color w:val="000000" w:themeColor="text1"/>
          <w:sz w:val="21"/>
          <w:u w:val="single"/>
          <w14:textFill>
            <w14:solidFill>
              <w14:schemeClr w14:val="tx1"/>
            </w14:solidFill>
          </w14:textFill>
        </w:rPr>
      </w:pPr>
      <w:r>
        <w:rPr>
          <w:rFonts w:hAnsi="宋体"/>
          <w:bCs/>
          <w:color w:val="000000" w:themeColor="text1"/>
          <w:sz w:val="21"/>
          <w14:textFill>
            <w14:solidFill>
              <w14:schemeClr w14:val="tx1"/>
            </w14:solidFill>
          </w14:textFill>
        </w:rPr>
        <w:t>邮编：</w:t>
      </w:r>
      <w:r>
        <w:rPr>
          <w:rFonts w:hint="eastAsia" w:hAnsi="宋体"/>
          <w:bCs/>
          <w:color w:val="000000" w:themeColor="text1"/>
          <w:sz w:val="21"/>
          <w:u w:val="single"/>
          <w14:textFill>
            <w14:solidFill>
              <w14:schemeClr w14:val="tx1"/>
            </w14:solidFill>
          </w14:textFill>
        </w:rPr>
        <w:t xml:space="preserve">                               </w:t>
      </w:r>
    </w:p>
    <w:p>
      <w:pPr>
        <w:pStyle w:val="2"/>
        <w:spacing w:line="440" w:lineRule="exact"/>
        <w:rPr>
          <w:color w:val="000000" w:themeColor="text1"/>
          <w14:textFill>
            <w14:solidFill>
              <w14:schemeClr w14:val="tx1"/>
            </w14:solidFill>
          </w14:textFill>
        </w:rPr>
      </w:pPr>
      <w:r>
        <w:rPr>
          <w:rFonts w:hint="eastAsia" w:hAnsi="宋体"/>
          <w:bCs/>
          <w:color w:val="000000" w:themeColor="text1"/>
          <w:sz w:val="21"/>
          <w14:textFill>
            <w14:solidFill>
              <w14:schemeClr w14:val="tx1"/>
            </w14:solidFill>
          </w14:textFill>
        </w:rPr>
        <w:t>编制日期：</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年</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月</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日</w:t>
      </w:r>
    </w:p>
    <w:p>
      <w:pPr>
        <w:tabs>
          <w:tab w:val="left" w:pos="1004"/>
          <w:tab w:val="left" w:pos="4267"/>
        </w:tabs>
        <w:spacing w:line="400" w:lineRule="exact"/>
        <w:rPr>
          <w:rFonts w:ascii="宋体" w:hAnsi="宋体"/>
          <w:bCs/>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ind w:firstLine="0"/>
        <w:rPr>
          <w:color w:val="000000" w:themeColor="text1"/>
          <w14:textFill>
            <w14:solidFill>
              <w14:schemeClr w14:val="tx1"/>
            </w14:solidFill>
          </w14:textFill>
        </w:rPr>
      </w:pPr>
    </w:p>
    <w:p>
      <w:pPr>
        <w:pStyle w:val="4"/>
        <w:keepLines w:val="0"/>
        <w:numPr>
          <w:ilvl w:val="0"/>
          <w:numId w:val="0"/>
        </w:numPr>
        <w:tabs>
          <w:tab w:val="left" w:pos="4320"/>
        </w:tabs>
        <w:spacing w:before="240" w:after="60" w:line="360" w:lineRule="exact"/>
        <w:rPr>
          <w:rFonts w:ascii="宋体"/>
          <w:b/>
          <w:bCs w:val="0"/>
          <w:color w:val="000000" w:themeColor="text1"/>
          <w:szCs w:val="21"/>
          <w14:textFill>
            <w14:solidFill>
              <w14:schemeClr w14:val="tx1"/>
            </w14:solidFill>
          </w14:textFill>
        </w:rPr>
      </w:pPr>
      <w:bookmarkStart w:id="1743" w:name="_Toc20610"/>
      <w:bookmarkStart w:id="1744" w:name="_Toc30005"/>
      <w:r>
        <w:rPr>
          <w:rFonts w:hint="eastAsia" w:ascii="宋体"/>
          <w:b/>
          <w:bCs w:val="0"/>
          <w:color w:val="000000" w:themeColor="text1"/>
          <w:szCs w:val="21"/>
          <w14:textFill>
            <w14:solidFill>
              <w14:schemeClr w14:val="tx1"/>
            </w14:solidFill>
          </w14:textFill>
        </w:rPr>
        <w:t>符合性自查表</w:t>
      </w:r>
      <w:bookmarkEnd w:id="1743"/>
      <w:bookmarkEnd w:id="1744"/>
    </w:p>
    <w:p>
      <w:pPr>
        <w:jc w:val="center"/>
        <w:rPr>
          <w:rFonts w:ascii="宋体" w:hAnsi="宋体"/>
          <w:b/>
          <w:bCs/>
          <w:color w:val="000000" w:themeColor="text1"/>
          <w:szCs w:val="21"/>
          <w14:textFill>
            <w14:solidFill>
              <w14:schemeClr w14:val="tx1"/>
            </w14:solidFill>
          </w14:textFill>
        </w:rPr>
      </w:pPr>
    </w:p>
    <w:tbl>
      <w:tblPr>
        <w:tblStyle w:val="48"/>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评审内容</w:t>
            </w:r>
          </w:p>
        </w:tc>
        <w:tc>
          <w:tcPr>
            <w:tcW w:w="1958"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招标文件要求</w:t>
            </w:r>
          </w:p>
        </w:tc>
        <w:tc>
          <w:tcPr>
            <w:tcW w:w="1975"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自查结论</w:t>
            </w:r>
          </w:p>
          <w:p>
            <w:pPr>
              <w:tabs>
                <w:tab w:val="left" w:pos="480"/>
              </w:tabs>
              <w:ind w:left="480" w:hanging="48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（通过/不通过）</w:t>
            </w:r>
          </w:p>
        </w:tc>
        <w:tc>
          <w:tcPr>
            <w:tcW w:w="1986"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符合性审查</w:t>
            </w:r>
          </w:p>
        </w:tc>
        <w:tc>
          <w:tcPr>
            <w:tcW w:w="2300" w:type="dxa"/>
            <w:vAlign w:val="center"/>
          </w:tcPr>
          <w:p>
            <w:pPr>
              <w:tabs>
                <w:tab w:val="left" w:pos="146"/>
              </w:tabs>
              <w:ind w:left="146"/>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服务期限须满足要求</w:t>
            </w:r>
          </w:p>
        </w:tc>
        <w:tc>
          <w:tcPr>
            <w:tcW w:w="1958" w:type="dxa"/>
            <w:vAlign w:val="center"/>
          </w:tcPr>
          <w:p>
            <w:pPr>
              <w:tabs>
                <w:tab w:val="left" w:pos="0"/>
              </w:tabs>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按招标文件要求</w:t>
            </w:r>
          </w:p>
        </w:tc>
        <w:tc>
          <w:tcPr>
            <w:tcW w:w="1975"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1986"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1374" w:type="dxa"/>
            <w:vMerge w:val="continue"/>
          </w:tcPr>
          <w:p>
            <w:pPr>
              <w:tabs>
                <w:tab w:val="left" w:pos="480"/>
              </w:tabs>
              <w:ind w:left="480" w:hanging="480"/>
              <w:jc w:val="center"/>
              <w:rPr>
                <w:rFonts w:ascii="宋体" w:hAnsi="宋体"/>
                <w:b/>
                <w:bCs/>
                <w:color w:val="000000" w:themeColor="text1"/>
                <w:szCs w:val="21"/>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法定代表人/负责人资格证明书及授权委托书</w:t>
            </w:r>
          </w:p>
        </w:tc>
        <w:tc>
          <w:tcPr>
            <w:tcW w:w="1958"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按对应格式文件签署、盖章(原件)</w:t>
            </w:r>
          </w:p>
        </w:tc>
        <w:tc>
          <w:tcPr>
            <w:tcW w:w="1975" w:type="dxa"/>
            <w:vAlign w:val="center"/>
          </w:tcPr>
          <w:p>
            <w:pPr>
              <w:pStyle w:val="8"/>
              <w:rPr>
                <w:rFonts w:ascii="宋体" w:hAnsi="宋体"/>
                <w:bCs/>
                <w:color w:val="000000" w:themeColor="text1"/>
                <w:szCs w:val="21"/>
                <w14:textFill>
                  <w14:solidFill>
                    <w14:schemeClr w14:val="tx1"/>
                  </w14:solidFill>
                </w14:textFill>
              </w:rPr>
            </w:pPr>
          </w:p>
        </w:tc>
        <w:tc>
          <w:tcPr>
            <w:tcW w:w="1986"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374" w:type="dxa"/>
            <w:vMerge w:val="continue"/>
          </w:tcPr>
          <w:p>
            <w:pPr>
              <w:tabs>
                <w:tab w:val="left" w:pos="480"/>
              </w:tabs>
              <w:ind w:left="480" w:hanging="480"/>
              <w:jc w:val="center"/>
              <w:rPr>
                <w:rFonts w:ascii="宋体" w:hAnsi="宋体"/>
                <w:b/>
                <w:bCs/>
                <w:color w:val="000000" w:themeColor="text1"/>
                <w:szCs w:val="21"/>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其他要求</w:t>
            </w:r>
          </w:p>
        </w:tc>
        <w:tc>
          <w:tcPr>
            <w:tcW w:w="1958"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按投标资料清单中规定提供“必须提交”的文件资料</w:t>
            </w:r>
          </w:p>
        </w:tc>
        <w:tc>
          <w:tcPr>
            <w:tcW w:w="1975" w:type="dxa"/>
            <w:vAlign w:val="center"/>
          </w:tcPr>
          <w:p>
            <w:pPr>
              <w:tabs>
                <w:tab w:val="left" w:pos="480"/>
              </w:tabs>
              <w:ind w:left="480" w:hanging="480"/>
              <w:rPr>
                <w:color w:val="000000" w:themeColor="text1"/>
                <w14:textFill>
                  <w14:solidFill>
                    <w14:schemeClr w14:val="tx1"/>
                  </w14:solidFill>
                </w14:textFill>
              </w:rPr>
            </w:pPr>
          </w:p>
        </w:tc>
        <w:tc>
          <w:tcPr>
            <w:tcW w:w="1986"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bl>
    <w:p>
      <w:pPr>
        <w:tabs>
          <w:tab w:val="center" w:pos="4483"/>
        </w:tabs>
        <w:ind w:left="315" w:leftChars="50" w:hanging="210" w:hangingChars="100"/>
        <w:rPr>
          <w:rFonts w:ascii="宋体" w:hAnsi="宋体"/>
          <w:color w:val="000000" w:themeColor="text1"/>
          <w:szCs w:val="21"/>
          <w14:textFill>
            <w14:solidFill>
              <w14:schemeClr w14:val="tx1"/>
            </w14:solidFill>
          </w14:textFill>
        </w:rPr>
      </w:pPr>
    </w:p>
    <w:p>
      <w:pPr>
        <w:tabs>
          <w:tab w:val="center" w:pos="4483"/>
        </w:tabs>
        <w:ind w:left="525" w:leftChars="5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14:textFill>
            <w14:solidFill>
              <w14:schemeClr w14:val="tx1"/>
            </w14:solidFill>
          </w14:textFill>
        </w:rPr>
        <w:t>提交的资料字迹模糊不清而现场无法提供原件核实的</w:t>
      </w:r>
      <w:r>
        <w:rPr>
          <w:rFonts w:hint="eastAsia" w:ascii="宋体" w:hAnsi="宋体"/>
          <w:color w:val="000000" w:themeColor="text1"/>
          <w:szCs w:val="21"/>
          <w14:textFill>
            <w14:solidFill>
              <w14:schemeClr w14:val="tx1"/>
            </w14:solidFill>
          </w14:textFill>
        </w:rPr>
        <w:t>将会直接导致无效投标。</w:t>
      </w:r>
      <w:r>
        <w:rPr>
          <w:rFonts w:hint="eastAsia" w:ascii="宋体" w:hAnsi="宋体"/>
          <w:bCs/>
          <w:color w:val="000000" w:themeColor="text1"/>
          <w:szCs w:val="21"/>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14:textFill>
            <w14:solidFill>
              <w14:schemeClr w14:val="tx1"/>
            </w14:solidFill>
          </w14:textFill>
        </w:rPr>
        <w:t>在对应的自查结论中填“通过”或“不通过”。</w:t>
      </w:r>
    </w:p>
    <w:p>
      <w:pPr>
        <w:tabs>
          <w:tab w:val="center" w:pos="4483"/>
        </w:tabs>
        <w:ind w:left="525" w:leftChars="5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w:t>
      </w:r>
      <w:r>
        <w:rPr>
          <w:rFonts w:hint="eastAsia" w:ascii="宋体" w:hAnsi="宋体"/>
          <w:bCs/>
          <w:color w:val="000000" w:themeColor="text1"/>
          <w:szCs w:val="21"/>
          <w14:textFill>
            <w14:solidFill>
              <w14:schemeClr w14:val="tx1"/>
            </w14:solidFill>
          </w14:textFill>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p>
    <w:p>
      <w:pPr>
        <w:adjustRightInd w:val="0"/>
        <w:snapToGrid w:val="0"/>
        <w:spacing w:line="300" w:lineRule="auto"/>
        <w:rPr>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p>
    <w:p>
      <w:pPr>
        <w:adjustRightInd w:val="0"/>
        <w:snapToGrid w:val="0"/>
        <w:spacing w:line="300" w:lineRule="auto"/>
        <w:rPr>
          <w:color w:val="000000" w:themeColor="text1"/>
          <w:szCs w:val="21"/>
          <w14:textFill>
            <w14:solidFill>
              <w14:schemeClr w14:val="tx1"/>
            </w14:solidFill>
          </w14:textFill>
        </w:rPr>
      </w:pP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投标人法定代表人（负责人）或授权代理人（签字）：</w:t>
      </w:r>
      <w:r>
        <w:rPr>
          <w:rFonts w:hint="eastAsia"/>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投标人名称（签章）：</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p>
    <w:p>
      <w:pPr>
        <w:pStyle w:val="5"/>
        <w:numPr>
          <w:ilvl w:val="2"/>
          <w:numId w:val="0"/>
        </w:numPr>
        <w:tabs>
          <w:tab w:val="clear" w:pos="432"/>
        </w:tabs>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keepLines w:val="0"/>
        <w:numPr>
          <w:ilvl w:val="0"/>
          <w:numId w:val="0"/>
        </w:numPr>
        <w:tabs>
          <w:tab w:val="left" w:pos="4320"/>
        </w:tabs>
        <w:spacing w:before="240" w:after="60" w:line="480" w:lineRule="exact"/>
        <w:rPr>
          <w:rFonts w:ascii="宋体"/>
          <w:b/>
          <w:color w:val="000000" w:themeColor="text1"/>
          <w:szCs w:val="21"/>
          <w14:textFill>
            <w14:solidFill>
              <w14:schemeClr w14:val="tx1"/>
            </w14:solidFill>
          </w14:textFill>
        </w:rPr>
      </w:pPr>
      <w:r>
        <w:rPr>
          <w:rFonts w:ascii="宋体"/>
          <w:b/>
          <w:bCs w:val="0"/>
          <w:color w:val="000000" w:themeColor="text1"/>
          <w:szCs w:val="21"/>
          <w14:textFill>
            <w14:solidFill>
              <w14:schemeClr w14:val="tx1"/>
            </w14:solidFill>
          </w14:textFill>
        </w:rPr>
        <w:t xml:space="preserve">  </w:t>
      </w:r>
      <w:bookmarkStart w:id="1745" w:name="_Toc26704"/>
      <w:r>
        <w:rPr>
          <w:rFonts w:hint="eastAsia" w:ascii="宋体"/>
          <w:b/>
          <w:color w:val="000000" w:themeColor="text1"/>
          <w:szCs w:val="21"/>
          <w14:textFill>
            <w14:solidFill>
              <w14:schemeClr w14:val="tx1"/>
            </w14:solidFill>
          </w14:textFill>
        </w:rPr>
        <w:t xml:space="preserve"> </w:t>
      </w:r>
      <w:bookmarkStart w:id="1746" w:name="_Toc13329"/>
      <w:bookmarkStart w:id="1747" w:name="_Toc11481"/>
      <w:r>
        <w:rPr>
          <w:rFonts w:hint="eastAsia" w:ascii="宋体"/>
          <w:b/>
          <w:color w:val="000000" w:themeColor="text1"/>
          <w:szCs w:val="21"/>
          <w14:textFill>
            <w14:solidFill>
              <w14:schemeClr w14:val="tx1"/>
            </w14:solidFill>
          </w14:textFill>
        </w:rPr>
        <w:t>评审项目投标资料表</w:t>
      </w:r>
      <w:bookmarkEnd w:id="1745"/>
      <w:bookmarkEnd w:id="1746"/>
      <w:bookmarkEnd w:id="1747"/>
    </w:p>
    <w:p>
      <w:pPr>
        <w:jc w:val="center"/>
        <w:rPr>
          <w:rFonts w:ascii="宋体" w:hAnsi="宋体" w:eastAsia="黑体"/>
          <w:b/>
          <w:color w:val="000000" w:themeColor="text1"/>
          <w:kern w:val="44"/>
          <w:szCs w:val="21"/>
          <w14:textFill>
            <w14:solidFill>
              <w14:schemeClr w14:val="tx1"/>
            </w14:solidFill>
          </w14:textFill>
        </w:rPr>
      </w:pPr>
    </w:p>
    <w:tbl>
      <w:tblPr>
        <w:tblStyle w:val="4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评审分项</w:t>
            </w:r>
          </w:p>
        </w:tc>
        <w:tc>
          <w:tcPr>
            <w:tcW w:w="5202"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评审细则</w:t>
            </w:r>
          </w:p>
        </w:tc>
        <w:tc>
          <w:tcPr>
            <w:tcW w:w="2300"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2"/>
              <w:jc w:val="both"/>
              <w:rPr>
                <w:rFonts w:ascii="宋体" w:hAnsi="宋体" w:eastAsia="宋体" w:cs="Times New Roman"/>
                <w:color w:val="000000" w:themeColor="text1"/>
                <w:sz w:val="2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3"/>
              <w:ind w:left="420" w:firstLine="420"/>
              <w:jc w:val="cente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bl>
    <w:p>
      <w:pPr>
        <w:adjustRightInd w:val="0"/>
        <w:snapToGrid w:val="0"/>
        <w:spacing w:line="300" w:lineRule="auto"/>
        <w:rPr>
          <w:rFonts w:ascii="宋体" w:hAnsi="宋体"/>
          <w:color w:val="000000" w:themeColor="text1"/>
          <w:szCs w:val="21"/>
          <w14:textFill>
            <w14:solidFill>
              <w14:schemeClr w14:val="tx1"/>
            </w14:solidFill>
          </w14:textFill>
        </w:rPr>
      </w:pPr>
    </w:p>
    <w:p>
      <w:pPr>
        <w:adjustRightInd w:val="0"/>
        <w:snapToGrid w:val="0"/>
        <w:spacing w:line="30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投标人法定代表人（负责人）或授权代理人（签字）：</w:t>
      </w:r>
      <w:r>
        <w:rPr>
          <w:rFonts w:hint="eastAsia"/>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投标人名称（签章）：</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bookmarkEnd w:id="1377"/>
    <w:bookmarkEnd w:id="1378"/>
    <w:bookmarkEnd w:id="1379"/>
    <w:bookmarkEnd w:id="1380"/>
    <w:bookmarkEnd w:id="1381"/>
    <w:p>
      <w:pPr>
        <w:tabs>
          <w:tab w:val="center" w:pos="4483"/>
        </w:tabs>
        <w:rPr>
          <w:rFonts w:ascii="宋体" w:hAnsi="宋体"/>
          <w:bCs/>
          <w:color w:val="000000" w:themeColor="text1"/>
          <w:szCs w:val="21"/>
          <w14:textFill>
            <w14:solidFill>
              <w14:schemeClr w14:val="tx1"/>
            </w14:solidFill>
          </w14:textFill>
        </w:rPr>
      </w:pPr>
      <w:bookmarkStart w:id="1748" w:name="_Toc468157564"/>
      <w:bookmarkStart w:id="1749" w:name="_Toc479991610"/>
      <w:bookmarkStart w:id="1750" w:name="_Toc6397150"/>
      <w:bookmarkStart w:id="1751" w:name="_Toc6727971"/>
      <w:bookmarkStart w:id="1752" w:name="_Toc458262638"/>
      <w:bookmarkStart w:id="1753" w:name="_Toc480020285"/>
      <w:bookmarkStart w:id="1754" w:name="_Toc480010736"/>
      <w:bookmarkStart w:id="1755" w:name="_Toc480021081"/>
      <w:bookmarkStart w:id="1756" w:name="_Toc454701405"/>
      <w:bookmarkStart w:id="1757" w:name="_Toc467236768"/>
      <w:bookmarkStart w:id="1758" w:name="_Toc467987851"/>
      <w:bookmarkStart w:id="1759" w:name="_Toc500861026"/>
      <w:bookmarkStart w:id="1760" w:name="_Toc491658679"/>
      <w:bookmarkStart w:id="1761" w:name="_Toc468606057"/>
    </w:p>
    <w:p>
      <w:pPr>
        <w:pStyle w:val="4"/>
        <w:numPr>
          <w:ilvl w:val="0"/>
          <w:numId w:val="0"/>
        </w:numPr>
        <w:rPr>
          <w:color w:val="000000" w:themeColor="text1"/>
          <w14:textFill>
            <w14:solidFill>
              <w14:schemeClr w14:val="tx1"/>
            </w14:solidFill>
          </w14:textFill>
        </w:rPr>
      </w:pPr>
      <w:bookmarkStart w:id="1762" w:name="_Toc13455"/>
      <w:bookmarkStart w:id="1763" w:name="_Toc2350"/>
      <w:bookmarkStart w:id="1764" w:name="_Toc10469"/>
      <w:r>
        <w:rPr>
          <w:rFonts w:hint="eastAsia"/>
          <w:color w:val="000000" w:themeColor="text1"/>
          <w14:textFill>
            <w14:solidFill>
              <w14:schemeClr w14:val="tx1"/>
            </w14:solidFill>
          </w14:textFill>
        </w:rPr>
        <w:t>（一）法定代表人（负责人）证明书</w:t>
      </w:r>
      <w:bookmarkEnd w:id="1762"/>
      <w:bookmarkEnd w:id="1763"/>
      <w:bookmarkEnd w:id="1764"/>
    </w:p>
    <w:p>
      <w:pPr>
        <w:pStyle w:val="2"/>
        <w:rPr>
          <w:color w:val="000000" w:themeColor="text1"/>
          <w14:textFill>
            <w14:solidFill>
              <w14:schemeClr w14:val="tx1"/>
            </w14:solidFill>
          </w14:textFill>
        </w:rPr>
      </w:pP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单位法定代表人（负责人）姓名     </w:t>
      </w:r>
      <w:r>
        <w:rPr>
          <w:rFonts w:hint="eastAsia" w:ascii="宋体" w:hAnsi="宋体"/>
          <w:color w:val="000000" w:themeColor="text1"/>
          <w14:textFill>
            <w14:solidFill>
              <w14:schemeClr w14:val="tx1"/>
            </w14:solidFill>
          </w14:textFill>
        </w:rPr>
        <w:t>同志，现任</w:t>
      </w:r>
      <w:r>
        <w:rPr>
          <w:rFonts w:hint="eastAsia" w:ascii="宋体" w:hAnsi="宋体"/>
          <w:color w:val="000000" w:themeColor="text1"/>
          <w:u w:val="single"/>
          <w14:textFill>
            <w14:solidFill>
              <w14:schemeClr w14:val="tx1"/>
            </w14:solidFill>
          </w14:textFill>
        </w:rPr>
        <w:t xml:space="preserve">       投标人名称                  </w:t>
      </w:r>
      <w:r>
        <w:rPr>
          <w:rFonts w:hint="eastAsia" w:ascii="宋体" w:hAnsi="宋体"/>
          <w:color w:val="000000" w:themeColor="text1"/>
          <w14:textFill>
            <w14:solidFill>
              <w14:schemeClr w14:val="tx1"/>
            </w14:solidFill>
          </w14:textFill>
        </w:rPr>
        <w:t>的</w:t>
      </w:r>
      <w:r>
        <w:rPr>
          <w:rFonts w:hint="eastAsia" w:ascii="宋体" w:hAnsi="宋体"/>
          <w:color w:val="000000" w:themeColor="text1"/>
          <w:u w:val="single"/>
          <w14:textFill>
            <w14:solidFill>
              <w14:schemeClr w14:val="tx1"/>
            </w14:solidFill>
          </w14:textFill>
        </w:rPr>
        <w:t xml:space="preserve">   职务    </w:t>
      </w:r>
      <w:r>
        <w:rPr>
          <w:rFonts w:hint="eastAsia" w:ascii="宋体" w:hAnsi="宋体"/>
          <w:color w:val="000000" w:themeColor="text1"/>
          <w14:textFill>
            <w14:solidFill>
              <w14:schemeClr w14:val="tx1"/>
            </w14:solidFill>
          </w14:textFill>
        </w:rPr>
        <w:t>，为法定代表人（负责人），特此证明。</w:t>
      </w: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pacing w:line="560" w:lineRule="exact"/>
        <w:ind w:firstLine="42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签发单位：</w:t>
      </w:r>
      <w:r>
        <w:rPr>
          <w:rFonts w:hint="eastAsia" w:ascii="宋体" w:hAnsi="宋体"/>
          <w:color w:val="000000" w:themeColor="text1"/>
          <w:u w:val="single"/>
          <w14:textFill>
            <w14:solidFill>
              <w14:schemeClr w14:val="tx1"/>
            </w14:solidFill>
          </w14:textFill>
        </w:rPr>
        <w:t xml:space="preserve">（名称并加盖公章）                      </w:t>
      </w: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签发日期：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有效日期至：</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line="560" w:lineRule="exact"/>
        <w:ind w:firstLine="420" w:firstLineChars="200"/>
        <w:rPr>
          <w:rFonts w:ascii="宋体" w:hAnsi="宋体"/>
          <w:color w:val="000000" w:themeColor="text1"/>
          <w14:textFill>
            <w14:solidFill>
              <w14:schemeClr w14:val="tx1"/>
            </w14:solidFill>
          </w14:textFill>
        </w:rPr>
      </w:pP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附：代表人性别：</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年龄：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岁    </w:t>
      </w:r>
    </w:p>
    <w:p>
      <w:pPr>
        <w:spacing w:line="480" w:lineRule="exact"/>
        <w:ind w:firstLine="420" w:firstLineChars="200"/>
        <w:rPr>
          <w:rFonts w:ascii="宋体" w:hAnsi="宋体"/>
          <w:color w:val="000000" w:themeColor="text1"/>
          <w14:textFill>
            <w14:solidFill>
              <w14:schemeClr w14:val="tx1"/>
            </w14:solidFill>
          </w14:textFill>
        </w:rPr>
      </w:pPr>
    </w:p>
    <w:p>
      <w:pPr>
        <w:spacing w:line="48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 内容必须填写真实、清楚，涂改无效，不得转让、买卖。</w:t>
      </w:r>
    </w:p>
    <w:p>
      <w:pPr>
        <w:spacing w:line="480" w:lineRule="exact"/>
        <w:ind w:firstLine="420" w:firstLineChars="200"/>
        <w:rPr>
          <w:rFonts w:ascii="宋体" w:hAnsi="宋体"/>
          <w:color w:val="000000" w:themeColor="text1"/>
          <w14:textFill>
            <w14:solidFill>
              <w14:schemeClr w14:val="tx1"/>
            </w14:solidFill>
          </w14:textFill>
        </w:rPr>
      </w:pPr>
    </w:p>
    <w:p>
      <w:pPr>
        <w:pStyle w:val="2"/>
        <w:rPr>
          <w:rFonts w:hAnsi="宋体"/>
          <w:color w:val="000000" w:themeColor="text1"/>
          <w:sz w:val="21"/>
          <w14:textFill>
            <w14:solidFill>
              <w14:schemeClr w14:val="tx1"/>
            </w14:solidFill>
          </w14:textFill>
        </w:rPr>
      </w:pPr>
    </w:p>
    <w:p>
      <w:pPr>
        <w:pStyle w:val="2"/>
        <w:rPr>
          <w:color w:val="000000" w:themeColor="text1"/>
          <w14:textFill>
            <w14:solidFill>
              <w14:schemeClr w14:val="tx1"/>
            </w14:solidFill>
          </w14:textFill>
        </w:rPr>
        <w:sectPr>
          <w:footerReference r:id="rId13" w:type="default"/>
          <w:pgSz w:w="11906" w:h="16838"/>
          <w:pgMar w:top="1474" w:right="1418" w:bottom="1474" w:left="1418" w:header="851" w:footer="851" w:gutter="0"/>
          <w:cols w:space="720" w:num="1"/>
          <w:titlePg/>
          <w:docGrid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346710</wp:posOffset>
                </wp:positionV>
                <wp:extent cx="3474085" cy="1722755"/>
                <wp:effectExtent l="0" t="0" r="12065" b="10795"/>
                <wp:wrapNone/>
                <wp:docPr id="3" name="自选图形 2"/>
                <wp:cNvGraphicFramePr/>
                <a:graphic xmlns:a="http://schemas.openxmlformats.org/drawingml/2006/main">
                  <a:graphicData uri="http://schemas.microsoft.com/office/word/2010/wordprocessingShape">
                    <wps:wsp>
                      <wps:cNvSpPr>
                        <a:spLocks noChangeArrowheads="1"/>
                      </wps:cNvSpPr>
                      <wps:spPr bwMode="auto">
                        <a:xfrm>
                          <a:off x="0" y="0"/>
                          <a:ext cx="3474085" cy="1722755"/>
                        </a:xfrm>
                        <a:prstGeom prst="flowChartAlternateProcess">
                          <a:avLst/>
                        </a:prstGeom>
                        <a:solidFill>
                          <a:srgbClr val="FFFFFF"/>
                        </a:solidFill>
                        <a:ln w="9525">
                          <a:solidFill>
                            <a:srgbClr val="000000"/>
                          </a:solidFill>
                          <a:miter lim="800000"/>
                        </a:ln>
                        <a:effectLst/>
                      </wps:spPr>
                      <wps:txbx>
                        <w:txbxContent>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2" o:spid="_x0000_s1026" o:spt="176" type="#_x0000_t176" style="position:absolute;left:0pt;margin-left:68.25pt;margin-top:27.3pt;height:135.65pt;width:273.55pt;z-index:251660288;mso-width-relative:page;mso-height-relative:page;" fillcolor="#FFFFFF" filled="t" stroked="t"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6YT0S2AAA&#10;AAoBAAAPAAAAAAAAAAEAIAAAACIAAABkcnMvZG93bnJldi54bWxQSwECFAAUAAAACACHTuJAzuWu&#10;NVcCAACkBAAADgAAAAAAAAABACAAAAAnAQAAZHJzL2Uyb0RvYy54bWxQSwUGAAAAAAYABgBZAQAA&#10;8AUAAAAA&#10;">
                <v:fill on="t" focussize="0,0"/>
                <v:stroke color="#000000" miterlimit="8" joinstyle="miter"/>
                <v:imagedata o:title=""/>
                <o:lock v:ext="edit" aspectratio="f"/>
                <v:textbox>
                  <w:txbxContent>
                    <w:p/>
                    <w:p/>
                    <w:p>
                      <w:pPr>
                        <w:jc w:val="center"/>
                      </w:pPr>
                      <w:r>
                        <w:rPr>
                          <w:rFonts w:hint="eastAsia"/>
                        </w:rPr>
                        <w:t>身份证正反面复印件</w:t>
                      </w:r>
                    </w:p>
                  </w:txbxContent>
                </v:textbox>
              </v:shape>
            </w:pict>
          </mc:Fallback>
        </mc:AlternateContent>
      </w:r>
    </w:p>
    <w:p>
      <w:pPr>
        <w:pStyle w:val="4"/>
        <w:numPr>
          <w:ilvl w:val="0"/>
          <w:numId w:val="0"/>
        </w:numPr>
        <w:rPr>
          <w:color w:val="000000" w:themeColor="text1"/>
          <w14:textFill>
            <w14:solidFill>
              <w14:schemeClr w14:val="tx1"/>
            </w14:solidFill>
          </w14:textFill>
        </w:rPr>
      </w:pPr>
      <w:bookmarkStart w:id="1765" w:name="_Toc7881"/>
      <w:bookmarkStart w:id="1766" w:name="_Toc6191"/>
      <w:bookmarkStart w:id="1767" w:name="_Toc27194"/>
      <w:r>
        <w:rPr>
          <w:rFonts w:hint="eastAsia"/>
          <w:color w:val="000000" w:themeColor="text1"/>
          <w14:textFill>
            <w14:solidFill>
              <w14:schemeClr w14:val="tx1"/>
            </w14:solidFill>
          </w14:textFill>
        </w:rPr>
        <w:t>（二）法定代表人（负责人）授权书</w:t>
      </w:r>
      <w:bookmarkEnd w:id="1765"/>
      <w:bookmarkEnd w:id="1766"/>
      <w:bookmarkEnd w:id="1767"/>
    </w:p>
    <w:p>
      <w:pPr>
        <w:spacing w:line="360" w:lineRule="auto"/>
        <w:ind w:firstLine="420" w:firstLineChars="200"/>
        <w:rPr>
          <w:rFonts w:ascii="宋体" w:hAnsi="宋体"/>
          <w:bCs/>
          <w:color w:val="000000" w:themeColor="text1"/>
          <w:kern w:val="0"/>
          <w14:textFill>
            <w14:solidFill>
              <w14:schemeClr w14:val="tx1"/>
            </w14:solidFill>
          </w14:textFill>
        </w:rPr>
      </w:pPr>
    </w:p>
    <w:p>
      <w:pPr>
        <w:spacing w:line="360" w:lineRule="auto"/>
        <w:ind w:firstLine="420" w:firstLineChars="200"/>
        <w:rPr>
          <w:color w:val="000000" w:themeColor="text1"/>
          <w14:textFill>
            <w14:solidFill>
              <w14:schemeClr w14:val="tx1"/>
            </w14:solidFill>
          </w14:textFill>
        </w:rPr>
      </w:pPr>
      <w:r>
        <w:rPr>
          <w:rFonts w:hint="eastAsia" w:ascii="宋体" w:hAnsi="宋体"/>
          <w:bCs/>
          <w:color w:val="000000" w:themeColor="text1"/>
          <w:kern w:val="0"/>
          <w14:textFill>
            <w14:solidFill>
              <w14:schemeClr w14:val="tx1"/>
            </w14:solidFill>
          </w14:textFill>
        </w:rPr>
        <w:t>本授权委托书声明：我</w:t>
      </w:r>
      <w:r>
        <w:rPr>
          <w:rFonts w:hint="eastAsia" w:ascii="宋体" w:hAnsi="宋体"/>
          <w:bCs/>
          <w:color w:val="000000" w:themeColor="text1"/>
          <w:kern w:val="0"/>
          <w:u w:val="single"/>
          <w14:textFill>
            <w14:solidFill>
              <w14:schemeClr w14:val="tx1"/>
            </w14:solidFill>
          </w14:textFill>
        </w:rPr>
        <w:t xml:space="preserve">       （单位法定代表人（负责人）姓名）</w:t>
      </w:r>
      <w:r>
        <w:rPr>
          <w:rFonts w:hint="eastAsia" w:ascii="宋体" w:hAnsi="宋体"/>
          <w:bCs/>
          <w:color w:val="000000" w:themeColor="text1"/>
          <w:kern w:val="0"/>
          <w14:textFill>
            <w14:solidFill>
              <w14:schemeClr w14:val="tx1"/>
            </w14:solidFill>
          </w14:textFill>
        </w:rPr>
        <w:t xml:space="preserve"> 系</w:t>
      </w:r>
      <w:r>
        <w:rPr>
          <w:rFonts w:hint="eastAsia" w:ascii="宋体" w:hAnsi="宋体"/>
          <w:bCs/>
          <w:color w:val="000000" w:themeColor="text1"/>
          <w:kern w:val="0"/>
          <w:u w:val="single"/>
          <w14:textFill>
            <w14:solidFill>
              <w14:schemeClr w14:val="tx1"/>
            </w14:solidFill>
          </w14:textFill>
        </w:rPr>
        <w:t xml:space="preserve">       （投标人名称）</w:t>
      </w:r>
      <w:r>
        <w:rPr>
          <w:rFonts w:hint="eastAsia" w:ascii="宋体" w:hAnsi="宋体"/>
          <w:bCs/>
          <w:color w:val="000000" w:themeColor="text1"/>
          <w:kern w:val="0"/>
          <w14:textFill>
            <w14:solidFill>
              <w14:schemeClr w14:val="tx1"/>
            </w14:solidFill>
          </w14:textFill>
        </w:rPr>
        <w:t>的法定代表人（负责人），现授权委托</w:t>
      </w:r>
      <w:r>
        <w:rPr>
          <w:rFonts w:hint="eastAsia" w:ascii="宋体" w:hAnsi="宋体"/>
          <w:bCs/>
          <w:color w:val="000000" w:themeColor="text1"/>
          <w:kern w:val="0"/>
          <w:u w:val="single"/>
          <w14:textFill>
            <w14:solidFill>
              <w14:schemeClr w14:val="tx1"/>
            </w14:solidFill>
          </w14:textFill>
        </w:rPr>
        <w:t xml:space="preserve">                        （投标人名称）</w:t>
      </w:r>
      <w:r>
        <w:rPr>
          <w:rFonts w:hint="eastAsia" w:ascii="宋体" w:hAnsi="宋体"/>
          <w:bCs/>
          <w:color w:val="000000" w:themeColor="text1"/>
          <w:kern w:val="0"/>
          <w14:textFill>
            <w14:solidFill>
              <w14:schemeClr w14:val="tx1"/>
            </w14:solidFill>
          </w14:textFill>
        </w:rPr>
        <w:t>的</w:t>
      </w:r>
      <w:r>
        <w:rPr>
          <w:rFonts w:hint="eastAsia" w:ascii="宋体" w:hAnsi="宋体"/>
          <w:bCs/>
          <w:color w:val="000000" w:themeColor="text1"/>
          <w:kern w:val="0"/>
          <w:u w:val="single"/>
          <w14:textFill>
            <w14:solidFill>
              <w14:schemeClr w14:val="tx1"/>
            </w14:solidFill>
          </w14:textFill>
        </w:rPr>
        <w:t xml:space="preserve">            （代理人姓名）</w:t>
      </w:r>
      <w:r>
        <w:rPr>
          <w:rFonts w:hint="eastAsia" w:ascii="宋体" w:hAnsi="宋体"/>
          <w:bCs/>
          <w:color w:val="000000" w:themeColor="text1"/>
          <w:kern w:val="0"/>
          <w14:textFill>
            <w14:solidFill>
              <w14:schemeClr w14:val="tx1"/>
            </w14:solidFill>
          </w14:textFill>
        </w:rPr>
        <w:t>为我公司代理人，以本公司的名义参加广东业信采购招标有限公司组织的</w:t>
      </w:r>
      <w:r>
        <w:rPr>
          <w:rFonts w:hint="eastAsia"/>
          <w:color w:val="000000" w:themeColor="text1"/>
          <w:szCs w:val="2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w:t>
      </w:r>
      <w:r>
        <w:rPr>
          <w:rFonts w:hint="eastAsia" w:ascii="宋体" w:hAnsi="宋体"/>
          <w:bCs/>
          <w:color w:val="000000" w:themeColor="text1"/>
          <w14:textFill>
            <w14:solidFill>
              <w14:schemeClr w14:val="tx1"/>
            </w14:solidFill>
          </w14:textFill>
        </w:rPr>
        <w:t>招标（</w:t>
      </w:r>
      <w:r>
        <w:rPr>
          <w:rFonts w:hint="eastAsia"/>
          <w:color w:val="000000" w:themeColor="text1"/>
          <w:szCs w:val="21"/>
          <w14:textFill>
            <w14:solidFill>
              <w14:schemeClr w14:val="tx1"/>
            </w14:solidFill>
          </w14:textFill>
        </w:rPr>
        <w:t>项目编号：</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w:t>
      </w:r>
      <w:r>
        <w:rPr>
          <w:rFonts w:hint="eastAsia" w:ascii="宋体" w:hAnsi="宋体"/>
          <w:bCs/>
          <w:color w:val="000000" w:themeColor="text1"/>
          <w:kern w:val="0"/>
          <w14:textFill>
            <w14:solidFill>
              <w14:schemeClr w14:val="tx1"/>
            </w14:solidFill>
          </w14:textFill>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14:textFill>
            <w14:solidFill>
              <w14:schemeClr w14:val="tx1"/>
            </w14:solidFill>
          </w14:textFill>
        </w:rPr>
      </w:pPr>
      <w:r>
        <w:rPr>
          <w:rFonts w:hint="eastAsia" w:ascii="宋体" w:hAnsi="宋体"/>
          <w:bCs/>
          <w:color w:val="000000" w:themeColor="text1"/>
          <w:kern w:val="0"/>
          <w14:textFill>
            <w14:solidFill>
              <w14:schemeClr w14:val="tx1"/>
            </w14:solidFill>
          </w14:textFill>
        </w:rPr>
        <w:t>代理人无转移委托权。</w:t>
      </w:r>
    </w:p>
    <w:p>
      <w:pPr>
        <w:spacing w:line="560" w:lineRule="exact"/>
        <w:ind w:firstLine="420" w:firstLineChars="200"/>
        <w:rPr>
          <w:rFonts w:ascii="宋体" w:hAnsi="宋体"/>
          <w:bCs/>
          <w:color w:val="000000" w:themeColor="text1"/>
          <w:kern w:val="0"/>
          <w14:textFill>
            <w14:solidFill>
              <w14:schemeClr w14:val="tx1"/>
            </w14:solidFill>
          </w14:textFill>
        </w:rPr>
      </w:pPr>
      <w:r>
        <w:rPr>
          <w:rFonts w:hint="eastAsia" w:ascii="宋体" w:hAnsi="宋体"/>
          <w:bCs/>
          <w:color w:val="000000" w:themeColor="text1"/>
          <w:kern w:val="0"/>
          <w14:textFill>
            <w14:solidFill>
              <w14:schemeClr w14:val="tx1"/>
            </w14:solidFill>
          </w14:textFill>
        </w:rPr>
        <w:t>特此委托。</w:t>
      </w:r>
    </w:p>
    <w:p>
      <w:pPr>
        <w:autoSpaceDE w:val="0"/>
        <w:autoSpaceDN w:val="0"/>
        <w:adjustRightInd w:val="0"/>
        <w:snapToGrid w:val="0"/>
        <w:spacing w:line="440" w:lineRule="exact"/>
        <w:ind w:firstLine="600"/>
        <w:jc w:val="left"/>
        <w:rPr>
          <w:rFonts w:ascii="宋体" w:hAnsi="宋体"/>
          <w:bCs/>
          <w:color w:val="000000" w:themeColor="text1"/>
          <w:kern w:val="0"/>
          <w14:textFill>
            <w14:solidFill>
              <w14:schemeClr w14:val="tx1"/>
            </w14:solidFill>
          </w14:textFill>
        </w:rPr>
      </w:pPr>
    </w:p>
    <w:p>
      <w:pPr>
        <w:spacing w:line="560" w:lineRule="exact"/>
        <w:ind w:firstLine="420" w:firstLineChars="200"/>
        <w:rPr>
          <w:rFonts w:ascii="宋体" w:hAnsi="宋体"/>
          <w:bCs/>
          <w:color w:val="000000" w:themeColor="text1"/>
          <w:kern w:val="0"/>
          <w:u w:val="single"/>
          <w14:textFill>
            <w14:solidFill>
              <w14:schemeClr w14:val="tx1"/>
            </w14:solidFill>
          </w14:textFill>
        </w:rPr>
      </w:pPr>
      <w:r>
        <w:rPr>
          <w:rFonts w:hint="eastAsia" w:ascii="宋体" w:hAnsi="宋体"/>
          <w:bCs/>
          <w:color w:val="000000" w:themeColor="text1"/>
          <w:kern w:val="0"/>
          <w14:textFill>
            <w14:solidFill>
              <w14:schemeClr w14:val="tx1"/>
            </w14:solidFill>
          </w14:textFill>
        </w:rPr>
        <w:t>代理人：</w:t>
      </w:r>
      <w:r>
        <w:rPr>
          <w:rFonts w:hint="eastAsia" w:ascii="宋体" w:hAnsi="宋体"/>
          <w:bCs/>
          <w:color w:val="000000" w:themeColor="text1"/>
          <w:kern w:val="0"/>
          <w:u w:val="single"/>
          <w14:textFill>
            <w14:solidFill>
              <w14:schemeClr w14:val="tx1"/>
            </w14:solidFill>
          </w14:textFill>
        </w:rPr>
        <w:t xml:space="preserve">   </w:t>
      </w:r>
      <w:r>
        <w:rPr>
          <w:rFonts w:ascii="宋体" w:hAnsi="宋体"/>
          <w:bCs/>
          <w:color w:val="000000" w:themeColor="text1"/>
          <w:kern w:val="0"/>
          <w:u w:val="single"/>
          <w14:textFill>
            <w14:solidFill>
              <w14:schemeClr w14:val="tx1"/>
            </w14:solidFill>
          </w14:textFill>
        </w:rPr>
        <w:t xml:space="preserve"> </w:t>
      </w:r>
      <w:r>
        <w:rPr>
          <w:rFonts w:hint="eastAsia" w:ascii="宋体" w:hAnsi="宋体"/>
          <w:bCs/>
          <w:color w:val="000000" w:themeColor="text1"/>
          <w:kern w:val="0"/>
          <w:u w:val="single"/>
          <w14:textFill>
            <w14:solidFill>
              <w14:schemeClr w14:val="tx1"/>
            </w14:solidFill>
          </w14:textFill>
        </w:rPr>
        <w:t xml:space="preserve">      </w:t>
      </w:r>
      <w:r>
        <w:rPr>
          <w:rFonts w:hint="eastAsia" w:ascii="宋体" w:hAnsi="宋体"/>
          <w:bCs/>
          <w:color w:val="000000" w:themeColor="text1"/>
          <w:kern w:val="0"/>
          <w14:textFill>
            <w14:solidFill>
              <w14:schemeClr w14:val="tx1"/>
            </w14:solidFill>
          </w14:textFill>
        </w:rPr>
        <w:t xml:space="preserve">    性别：</w:t>
      </w:r>
      <w:r>
        <w:rPr>
          <w:rFonts w:hint="eastAsia" w:ascii="宋体" w:hAnsi="宋体"/>
          <w:bCs/>
          <w:color w:val="000000" w:themeColor="text1"/>
          <w:kern w:val="0"/>
          <w:u w:val="single"/>
          <w14:textFill>
            <w14:solidFill>
              <w14:schemeClr w14:val="tx1"/>
            </w14:solidFill>
          </w14:textFill>
        </w:rPr>
        <w:t xml:space="preserve">         </w:t>
      </w:r>
      <w:r>
        <w:rPr>
          <w:rFonts w:hint="eastAsia" w:ascii="宋体" w:hAnsi="宋体"/>
          <w:bCs/>
          <w:color w:val="000000" w:themeColor="text1"/>
          <w:kern w:val="0"/>
          <w14:textFill>
            <w14:solidFill>
              <w14:schemeClr w14:val="tx1"/>
            </w14:solidFill>
          </w14:textFill>
        </w:rPr>
        <w:t xml:space="preserve">   年龄：</w:t>
      </w:r>
      <w:r>
        <w:rPr>
          <w:rFonts w:hint="eastAsia" w:ascii="宋体" w:hAnsi="宋体"/>
          <w:bCs/>
          <w:color w:val="000000" w:themeColor="text1"/>
          <w:kern w:val="0"/>
          <w:u w:val="single"/>
          <w14:textFill>
            <w14:solidFill>
              <w14:schemeClr w14:val="tx1"/>
            </w14:solidFill>
          </w14:textFill>
        </w:rPr>
        <w:t xml:space="preserve">           </w:t>
      </w:r>
      <w:r>
        <w:rPr>
          <w:rFonts w:hint="eastAsia" w:ascii="宋体" w:hAnsi="宋体"/>
          <w:bCs/>
          <w:color w:val="000000" w:themeColor="text1"/>
          <w:kern w:val="0"/>
          <w14:textFill>
            <w14:solidFill>
              <w14:schemeClr w14:val="tx1"/>
            </w14:solidFill>
          </w14:textFill>
        </w:rPr>
        <w:t xml:space="preserve">   职务：</w:t>
      </w:r>
      <w:r>
        <w:rPr>
          <w:rFonts w:hint="eastAsia" w:ascii="宋体" w:hAnsi="宋体"/>
          <w:bCs/>
          <w:color w:val="000000" w:themeColor="text1"/>
          <w:kern w:val="0"/>
          <w:u w:val="single"/>
          <w14:textFill>
            <w14:solidFill>
              <w14:schemeClr w14:val="tx1"/>
            </w14:solidFill>
          </w14:textFill>
        </w:rPr>
        <w:t xml:space="preserve">           </w:t>
      </w:r>
    </w:p>
    <w:p>
      <w:pPr>
        <w:spacing w:line="560" w:lineRule="exact"/>
        <w:ind w:firstLine="420" w:firstLineChars="200"/>
        <w:rPr>
          <w:rFonts w:ascii="宋体" w:hAnsi="宋体"/>
          <w:bCs/>
          <w:color w:val="000000" w:themeColor="text1"/>
          <w:kern w:val="0"/>
          <w:u w:val="single"/>
          <w14:textFill>
            <w14:solidFill>
              <w14:schemeClr w14:val="tx1"/>
            </w14:solidFill>
          </w14:textFill>
        </w:rPr>
      </w:pPr>
      <w:r>
        <w:rPr>
          <w:rFonts w:hint="eastAsia" w:ascii="宋体" w:hAnsi="宋体"/>
          <w:bCs/>
          <w:color w:val="000000" w:themeColor="text1"/>
          <w:kern w:val="0"/>
          <w14:textFill>
            <w14:solidFill>
              <w14:schemeClr w14:val="tx1"/>
            </w14:solidFill>
          </w14:textFill>
        </w:rPr>
        <w:t>投标人：</w:t>
      </w:r>
      <w:r>
        <w:rPr>
          <w:rFonts w:hint="eastAsia" w:ascii="宋体" w:hAnsi="宋体"/>
          <w:bCs/>
          <w:color w:val="000000" w:themeColor="text1"/>
          <w:kern w:val="0"/>
          <w:u w:val="single"/>
          <w14:textFill>
            <w14:solidFill>
              <w14:schemeClr w14:val="tx1"/>
            </w14:solidFill>
          </w14:textFill>
        </w:rPr>
        <w:t xml:space="preserve">          （名称并加盖公章）                                         </w:t>
      </w:r>
    </w:p>
    <w:p>
      <w:pPr>
        <w:spacing w:line="560" w:lineRule="exact"/>
        <w:ind w:firstLine="420" w:firstLineChars="200"/>
        <w:rPr>
          <w:rFonts w:ascii="宋体" w:hAnsi="宋体"/>
          <w:bCs/>
          <w:color w:val="000000" w:themeColor="text1"/>
          <w:kern w:val="0"/>
          <w:u w:val="single"/>
          <w14:textFill>
            <w14:solidFill>
              <w14:schemeClr w14:val="tx1"/>
            </w14:solidFill>
          </w14:textFill>
        </w:rPr>
      </w:pPr>
      <w:r>
        <w:rPr>
          <w:rFonts w:hint="eastAsia" w:ascii="宋体" w:hAnsi="宋体"/>
          <w:bCs/>
          <w:color w:val="000000" w:themeColor="text1"/>
          <w:kern w:val="0"/>
          <w14:textFill>
            <w14:solidFill>
              <w14:schemeClr w14:val="tx1"/>
            </w14:solidFill>
          </w14:textFill>
        </w:rPr>
        <w:t>法定代表人（负责人）：</w:t>
      </w:r>
      <w:r>
        <w:rPr>
          <w:rFonts w:hint="eastAsia" w:ascii="宋体" w:hAnsi="宋体"/>
          <w:bCs/>
          <w:color w:val="000000" w:themeColor="text1"/>
          <w:kern w:val="0"/>
          <w:u w:val="single"/>
          <w14:textFill>
            <w14:solidFill>
              <w14:schemeClr w14:val="tx1"/>
            </w14:solidFill>
          </w14:textFill>
        </w:rPr>
        <w:t xml:space="preserve">    （签字或盖章）         </w:t>
      </w: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签发日期：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有效日期至：</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autoSpaceDE w:val="0"/>
        <w:autoSpaceDN w:val="0"/>
        <w:adjustRightInd w:val="0"/>
        <w:snapToGrid w:val="0"/>
        <w:spacing w:line="360" w:lineRule="auto"/>
        <w:ind w:firstLine="630"/>
        <w:rPr>
          <w:rFonts w:ascii="宋体" w:hAnsi="宋体"/>
          <w:bCs/>
          <w:color w:val="000000" w:themeColor="text1"/>
          <w:kern w:val="0"/>
          <w14:textFill>
            <w14:solidFill>
              <w14:schemeClr w14:val="tx1"/>
            </w14:solidFill>
          </w14:textFill>
        </w:rPr>
      </w:pP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-635</wp:posOffset>
                </wp:positionV>
                <wp:extent cx="3502660" cy="1748155"/>
                <wp:effectExtent l="0" t="0" r="21590" b="23495"/>
                <wp:wrapNone/>
                <wp:docPr id="2" name="自选图形 3"/>
                <wp:cNvGraphicFramePr/>
                <a:graphic xmlns:a="http://schemas.openxmlformats.org/drawingml/2006/main">
                  <a:graphicData uri="http://schemas.microsoft.com/office/word/2010/wordprocessingShape">
                    <wps:wsp>
                      <wps:cNvSpPr>
                        <a:spLocks noChangeArrowheads="1"/>
                      </wps:cNvSpPr>
                      <wps:spPr bwMode="auto">
                        <a:xfrm>
                          <a:off x="0" y="0"/>
                          <a:ext cx="3502660" cy="1748155"/>
                        </a:xfrm>
                        <a:prstGeom prst="flowChartAlternateProcess">
                          <a:avLst/>
                        </a:prstGeom>
                        <a:solidFill>
                          <a:srgbClr val="FFFFFF"/>
                        </a:solidFill>
                        <a:ln w="9525">
                          <a:solidFill>
                            <a:srgbClr val="000000"/>
                          </a:solidFill>
                          <a:miter lim="800000"/>
                        </a:ln>
                        <a:effectLst/>
                      </wps:spPr>
                      <wps:txbx>
                        <w:txbxContent>
                          <w:p/>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99.75pt;margin-top:-0.05pt;height:137.65pt;width:275.8pt;z-index:251659264;mso-width-relative:page;mso-height-relative:page;" fillcolor="#FFFFFF" filled="t" stroked="t"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2AqQ1wAA&#10;AAkBAAAPAAAAAAAAAAEAIAAAACIAAABkcnMvZG93bnJldi54bWxQSwECFAAUAAAACACHTuJAsPvz&#10;qFgCAACkBAAADgAAAAAAAAABACAAAAAmAQAAZHJzL2Uyb0RvYy54bWxQSwUGAAAAAAYABgBZAQAA&#10;8AUAAAAA&#10;">
                <v:fill on="t" focussize="0,0"/>
                <v:stroke color="#000000" miterlimit="8" joinstyle="miter"/>
                <v:imagedata o:title=""/>
                <o:lock v:ext="edit" aspectratio="f"/>
                <v:textbox>
                  <w:txbxContent>
                    <w:p/>
                    <w:p/>
                    <w:p/>
                    <w:p>
                      <w:pPr>
                        <w:jc w:val="center"/>
                      </w:pPr>
                      <w:r>
                        <w:rPr>
                          <w:rFonts w:hint="eastAsia"/>
                        </w:rPr>
                        <w:t>身份证正反面复印件</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sectPr>
          <w:footerReference r:id="rId14" w:type="default"/>
          <w:pgSz w:w="11906" w:h="16838"/>
          <w:pgMar w:top="1418" w:right="1474" w:bottom="1418" w:left="1474" w:header="851" w:footer="851" w:gutter="0"/>
          <w:cols w:space="720" w:num="1"/>
          <w:titlePg/>
          <w:docGrid w:linePitch="312" w:charSpace="0"/>
        </w:sectPr>
      </w:pPr>
    </w:p>
    <w:p>
      <w:pPr>
        <w:pStyle w:val="4"/>
        <w:numPr>
          <w:ilvl w:val="0"/>
          <w:numId w:val="0"/>
        </w:numPr>
        <w:rPr>
          <w:color w:val="000000" w:themeColor="text1"/>
          <w14:textFill>
            <w14:solidFill>
              <w14:schemeClr w14:val="tx1"/>
            </w14:solidFill>
          </w14:textFill>
        </w:rPr>
      </w:pPr>
      <w:bookmarkStart w:id="1768" w:name="_Toc339362321"/>
      <w:bookmarkStart w:id="1769" w:name="_Toc339441108"/>
      <w:bookmarkStart w:id="1770" w:name="_Toc333238655"/>
      <w:bookmarkStart w:id="1771" w:name="_Toc340672890"/>
      <w:bookmarkStart w:id="1772" w:name="_Toc333935708"/>
      <w:bookmarkStart w:id="1773" w:name="_Toc17972"/>
      <w:bookmarkStart w:id="1774" w:name="_Toc350756471"/>
      <w:bookmarkStart w:id="1775" w:name="_Toc342060396"/>
      <w:bookmarkStart w:id="1776" w:name="_Toc339020254"/>
      <w:bookmarkStart w:id="1777" w:name="_Toc331512922"/>
      <w:bookmarkStart w:id="1778" w:name="_Toc342296782"/>
      <w:bookmarkStart w:id="1779" w:name="_Toc345312618"/>
      <w:bookmarkStart w:id="1780" w:name="_Toc341348361"/>
      <w:bookmarkStart w:id="1781" w:name="_Toc336681601"/>
      <w:bookmarkStart w:id="1782" w:name="_Toc332206730"/>
      <w:bookmarkStart w:id="1783" w:name="_Toc339019910"/>
      <w:bookmarkStart w:id="1784" w:name="_Toc331684063"/>
      <w:bookmarkStart w:id="1785" w:name="_Toc330460007"/>
      <w:bookmarkStart w:id="1786" w:name="_Toc340677091"/>
      <w:bookmarkStart w:id="1787" w:name="_Toc350438770"/>
      <w:bookmarkStart w:id="1788" w:name="_Toc365985199"/>
      <w:bookmarkStart w:id="1789" w:name="_Toc340507463"/>
      <w:bookmarkStart w:id="1790" w:name="_Toc339020116"/>
      <w:bookmarkStart w:id="1791" w:name="_Toc336681956"/>
      <w:bookmarkStart w:id="1792" w:name="_Toc343247121"/>
      <w:bookmarkStart w:id="1793" w:name="_Toc342398151"/>
      <w:bookmarkStart w:id="1794" w:name="_Toc333237699"/>
      <w:bookmarkStart w:id="1795" w:name="_Toc343248439"/>
      <w:bookmarkStart w:id="1796" w:name="_Toc339020036"/>
      <w:bookmarkStart w:id="1797" w:name="_Toc333935367"/>
      <w:bookmarkStart w:id="1798" w:name="_Toc342312464"/>
      <w:bookmarkStart w:id="1799" w:name="_Toc333237810"/>
      <w:bookmarkStart w:id="1800" w:name="_Toc22290"/>
      <w:bookmarkStart w:id="1801" w:name="_Toc366072550"/>
      <w:bookmarkStart w:id="1802" w:name="_Toc343612941"/>
      <w:bookmarkStart w:id="1803" w:name="_Toc332270368"/>
      <w:bookmarkStart w:id="1804" w:name="_Toc337632379"/>
      <w:bookmarkStart w:id="1805" w:name="_Toc365967093"/>
      <w:r>
        <w:rPr>
          <w:rFonts w:hint="eastAsia"/>
          <w:color w:val="000000" w:themeColor="text1"/>
          <w14:textFill>
            <w14:solidFill>
              <w14:schemeClr w14:val="tx1"/>
            </w14:solidFill>
          </w14:textFill>
        </w:rPr>
        <w:t>附件一：投标</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Fonts w:hint="eastAsia"/>
          <w:color w:val="000000" w:themeColor="text1"/>
          <w14:textFill>
            <w14:solidFill>
              <w14:schemeClr w14:val="tx1"/>
            </w14:solidFill>
          </w14:textFill>
        </w:rPr>
        <w:t>函</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widowControl/>
        <w:spacing w:line="400" w:lineRule="exact"/>
        <w:jc w:val="left"/>
        <w:rPr>
          <w:rFonts w:ascii="宋体" w:hAnsi="宋体" w:cs="宋体"/>
          <w:b/>
          <w:color w:val="000000" w:themeColor="text1"/>
          <w:kern w:val="0"/>
          <w:sz w:val="24"/>
          <w:u w:val="single"/>
          <w14:textFill>
            <w14:solidFill>
              <w14:schemeClr w14:val="tx1"/>
            </w14:solidFill>
          </w14:textFill>
        </w:rPr>
      </w:pPr>
      <w:r>
        <w:rPr>
          <w:rFonts w:ascii="宋体" w:hAnsi="宋体"/>
          <w:b/>
          <w:bCs/>
          <w:color w:val="000000" w:themeColor="text1"/>
          <w14:textFill>
            <w14:solidFill>
              <w14:schemeClr w14:val="tx1"/>
            </w14:solidFill>
          </w14:textFill>
        </w:rPr>
        <w:t>致</w:t>
      </w:r>
      <w:r>
        <w:rPr>
          <w:rFonts w:ascii="宋体" w:hAnsi="宋体"/>
          <w:b/>
          <w:bCs/>
          <w:color w:val="000000" w:themeColor="text1"/>
          <w:u w:val="single"/>
          <w14:textFill>
            <w14:solidFill>
              <w14:schemeClr w14:val="tx1"/>
            </w14:solidFill>
          </w14:textFill>
        </w:rPr>
        <w:t>（</w:t>
      </w:r>
      <w:r>
        <w:rPr>
          <w:rFonts w:hint="eastAsia" w:ascii="宋体" w:hAnsi="宋体"/>
          <w:b/>
          <w:bCs/>
          <w:color w:val="000000" w:themeColor="text1"/>
          <w:u w:val="single"/>
          <w14:textFill>
            <w14:solidFill>
              <w14:schemeClr w14:val="tx1"/>
            </w14:solidFill>
          </w14:textFill>
        </w:rPr>
        <w:t>招标人名称</w:t>
      </w:r>
      <w:r>
        <w:rPr>
          <w:rFonts w:ascii="宋体" w:hAnsi="宋体"/>
          <w:b/>
          <w:bCs/>
          <w:color w:val="000000" w:themeColor="text1"/>
          <w:u w:val="single"/>
          <w14:textFill>
            <w14:solidFill>
              <w14:schemeClr w14:val="tx1"/>
            </w14:solidFill>
          </w14:textFill>
        </w:rPr>
        <w:t>）           </w:t>
      </w:r>
      <w:r>
        <w:rPr>
          <w:rFonts w:ascii="宋体" w:hAnsi="宋体" w:cs="宋体"/>
          <w:b/>
          <w:color w:val="000000" w:themeColor="text1"/>
          <w:kern w:val="0"/>
          <w:sz w:val="24"/>
          <w14:textFill>
            <w14:solidFill>
              <w14:schemeClr w14:val="tx1"/>
            </w14:solidFill>
          </w14:textFill>
        </w:rPr>
        <w:t xml:space="preserve">： </w:t>
      </w:r>
    </w:p>
    <w:p>
      <w:pPr>
        <w:adjustRightInd w:val="0"/>
        <w:snapToGrid w:val="0"/>
        <w:spacing w:line="400" w:lineRule="exact"/>
        <w:ind w:firstLine="42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根据贵方就</w:t>
      </w:r>
      <w:r>
        <w:rPr>
          <w:rFonts w:hint="eastAsia" w:hAnsi="宋体" w:cs="宋体"/>
          <w:b/>
          <w:color w:val="000000" w:themeColor="text1"/>
          <w:szCs w:val="21"/>
          <w:u w:val="single"/>
          <w14:textFill>
            <w14:solidFill>
              <w14:schemeClr w14:val="tx1"/>
            </w14:solidFill>
          </w14:textFill>
        </w:rPr>
        <w:t>项目名称</w:t>
      </w:r>
      <w:r>
        <w:rPr>
          <w:rFonts w:hint="eastAsia" w:ascii="宋体" w:hAnsi="宋体" w:cs="宋体"/>
          <w:b/>
          <w:color w:val="000000" w:themeColor="text1"/>
          <w:szCs w:val="21"/>
          <w:u w:val="single"/>
          <w14:textFill>
            <w14:solidFill>
              <w14:schemeClr w14:val="tx1"/>
            </w14:solidFill>
          </w14:textFill>
        </w:rPr>
        <w:t xml:space="preserve">，由投标人填写    </w:t>
      </w:r>
      <w:r>
        <w:rPr>
          <w:rFonts w:hint="eastAsia" w:ascii="宋体" w:hAnsi="宋体"/>
          <w:b/>
          <w:bCs/>
          <w:color w:val="000000" w:themeColor="text1"/>
          <w14:textFill>
            <w14:solidFill>
              <w14:schemeClr w14:val="tx1"/>
            </w14:solidFill>
          </w14:textFill>
        </w:rPr>
        <w:t>的投标邀请（项目编号: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），我方正式响应投标并提交投标文件</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份正本和</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份副本，</w:t>
      </w:r>
      <w:r>
        <w:rPr>
          <w:rFonts w:hint="eastAsia" w:ascii="宋体" w:hAnsi="宋体"/>
          <w:b/>
          <w:color w:val="000000" w:themeColor="text1"/>
          <w:kern w:val="0"/>
          <w:szCs w:val="21"/>
          <w14:textFill>
            <w14:solidFill>
              <w14:schemeClr w14:val="tx1"/>
            </w14:solidFill>
          </w14:textFill>
        </w:rPr>
        <w:t>电子文件</w:t>
      </w:r>
      <w:r>
        <w:rPr>
          <w:rFonts w:hint="eastAsia" w:ascii="宋体" w:hAnsi="宋体"/>
          <w:b/>
          <w:color w:val="000000" w:themeColor="text1"/>
          <w:kern w:val="0"/>
          <w:szCs w:val="21"/>
          <w:u w:val="single"/>
          <w14:textFill>
            <w14:solidFill>
              <w14:schemeClr w14:val="tx1"/>
            </w14:solidFill>
          </w14:textFill>
        </w:rPr>
        <w:t xml:space="preserve">    </w:t>
      </w:r>
      <w:r>
        <w:rPr>
          <w:rFonts w:hint="eastAsia" w:ascii="宋体" w:hAnsi="宋体"/>
          <w:b/>
          <w:color w:val="000000" w:themeColor="text1"/>
          <w:kern w:val="0"/>
          <w:szCs w:val="21"/>
          <w14:textFill>
            <w14:solidFill>
              <w14:schemeClr w14:val="tx1"/>
            </w14:solidFill>
          </w14:textFill>
        </w:rPr>
        <w:t>份</w:t>
      </w:r>
      <w:r>
        <w:rPr>
          <w:rFonts w:hint="eastAsia" w:ascii="宋体" w:hAnsi="宋体"/>
          <w:b/>
          <w:bCs/>
          <w:color w:val="000000" w:themeColor="text1"/>
          <w14:textFill>
            <w14:solidFill>
              <w14:schemeClr w14:val="tx1"/>
            </w14:solidFill>
          </w14:textFill>
        </w:rPr>
        <w:t>。</w:t>
      </w:r>
    </w:p>
    <w:p>
      <w:pPr>
        <w:widowControl/>
        <w:tabs>
          <w:tab w:val="left" w:pos="840"/>
        </w:tabs>
        <w:adjustRightInd w:val="0"/>
        <w:snapToGrid w:val="0"/>
        <w:rPr>
          <w:rFonts w:ascii="宋体" w:hAnsi="宋体"/>
          <w:b/>
          <w:bCs/>
          <w:color w:val="000000" w:themeColor="text1"/>
          <w14:textFill>
            <w14:solidFill>
              <w14:schemeClr w14:val="tx1"/>
            </w14:solidFill>
          </w14:textFill>
        </w:rPr>
      </w:pPr>
    </w:p>
    <w:p>
      <w:pPr>
        <w:widowControl/>
        <w:tabs>
          <w:tab w:val="left" w:pos="502"/>
        </w:tabs>
        <w:adjustRightInd w:val="0"/>
        <w:snapToGrid w:val="0"/>
        <w:spacing w:line="360" w:lineRule="auto"/>
        <w:ind w:left="374" w:leftChars="177" w:hanging="2" w:hangingChars="1"/>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据此函，签字代表宣布同意如下：</w:t>
      </w:r>
    </w:p>
    <w:p>
      <w:pPr>
        <w:pStyle w:val="242"/>
        <w:numPr>
          <w:ilvl w:val="0"/>
          <w:numId w:val="0"/>
        </w:numPr>
        <w:tabs>
          <w:tab w:val="left" w:pos="640"/>
        </w:tabs>
        <w:spacing w:line="360" w:lineRule="auto"/>
        <w:ind w:left="428" w:leftChars="200" w:hanging="8"/>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1、为采购项目提供整体设计、规范编制或者项目管理、监理、检测等服务的供应商，不得再参加该采购项目的其他采购活动。</w:t>
      </w:r>
    </w:p>
    <w:p>
      <w:pPr>
        <w:pStyle w:val="242"/>
        <w:numPr>
          <w:ilvl w:val="0"/>
          <w:numId w:val="0"/>
        </w:numPr>
        <w:tabs>
          <w:tab w:val="left" w:pos="640"/>
        </w:tabs>
        <w:spacing w:line="360" w:lineRule="auto"/>
        <w:ind w:left="428" w:leftChars="200" w:hanging="8"/>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2、单位负责人为同一人或者存在直接控股、管理关系的不同供应商，不得参加同一合同项下的政府采购活动。</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3、本次投标所报内容完全按照招标文件要求填报，所有内容都是真实、准确的。</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4、投标人将按招标文件的规定履行全部合同责任和义务。</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5、投标人已详细审查全部招标文件，包括修改文件（如有的话）以及全部参考资料和有关附件。我们完全理解并同意放弃对这方面有不明及误解的权利。</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6、本次投标自开标日起有效期为90天。</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7、如果在规定的开标时间后，投标人在投标有效期内撤回投标文件，投标保证金将被贵</w:t>
      </w:r>
      <w:r>
        <w:rPr>
          <w:rFonts w:hint="eastAsia" w:ascii="宋体" w:hAnsi="宋体"/>
          <w:color w:val="000000" w:themeColor="text1"/>
          <w:szCs w:val="21"/>
          <w14:textFill>
            <w14:solidFill>
              <w14:schemeClr w14:val="tx1"/>
            </w14:solidFill>
          </w14:textFill>
        </w:rPr>
        <w:t>方</w:t>
      </w:r>
      <w:r>
        <w:rPr>
          <w:rFonts w:hint="eastAsia" w:ascii="宋体" w:hAnsi="宋体"/>
          <w:bCs/>
          <w:color w:val="000000" w:themeColor="text1"/>
          <w14:textFill>
            <w14:solidFill>
              <w14:schemeClr w14:val="tx1"/>
            </w14:solidFill>
          </w14:textFill>
        </w:rPr>
        <w:t>不予退还。</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8、投标人同意提供按照贵方可能要求与其投标有关的一切数据或资料，完全理解贵方不一定接受最低价的投标或收到的任何投标。</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9、与本投标有关的一切正式往来通讯请寄至投标文件封面指定地址、联系方式。</w:t>
      </w:r>
    </w:p>
    <w:p>
      <w:pPr>
        <w:adjustRightInd w:val="0"/>
        <w:snapToGrid w:val="0"/>
        <w:spacing w:line="400" w:lineRule="exact"/>
        <w:ind w:left="428" w:leftChars="200" w:hanging="8"/>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23"/>
        <w:spacing w:line="40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注：本投标函为投标人响应本次招标项目的郑重承诺，投标人不得改动且必须满足。</w:t>
      </w:r>
    </w:p>
    <w:p>
      <w:pPr>
        <w:pStyle w:val="23"/>
        <w:spacing w:line="400" w:lineRule="exact"/>
        <w:rPr>
          <w:rFonts w:hAnsi="宋体"/>
          <w:color w:val="000000" w:themeColor="text1"/>
          <w14:textFill>
            <w14:solidFill>
              <w14:schemeClr w14:val="tx1"/>
            </w14:solidFill>
          </w14:textFill>
        </w:rPr>
      </w:pPr>
    </w:p>
    <w:p>
      <w:pPr>
        <w:pStyle w:val="23"/>
        <w:spacing w:line="400" w:lineRule="exact"/>
        <w:rPr>
          <w:rFonts w:hAnsi="宋体"/>
          <w:color w:val="000000" w:themeColor="text1"/>
          <w14:textFill>
            <w14:solidFill>
              <w14:schemeClr w14:val="tx1"/>
            </w14:solidFill>
          </w14:textFill>
        </w:rPr>
      </w:pPr>
    </w:p>
    <w:p>
      <w:pPr>
        <w:pStyle w:val="4"/>
        <w:numPr>
          <w:ilvl w:val="0"/>
          <w:numId w:val="0"/>
        </w:numPr>
        <w:spacing w:line="400" w:lineRule="exact"/>
        <w:rPr>
          <w:color w:val="000000" w:themeColor="text1"/>
          <w14:textFill>
            <w14:solidFill>
              <w14:schemeClr w14:val="tx1"/>
            </w14:solidFill>
          </w14:textFill>
        </w:rPr>
      </w:pPr>
      <w:bookmarkStart w:id="1806" w:name="_Hlt16935467"/>
      <w:bookmarkEnd w:id="1806"/>
      <w:bookmarkStart w:id="1807" w:name="_Toc345312619"/>
      <w:bookmarkStart w:id="1808" w:name="_Toc340507464"/>
      <w:bookmarkStart w:id="1809" w:name="_Toc339441109"/>
      <w:bookmarkStart w:id="1810" w:name="_Toc330460008"/>
      <w:bookmarkStart w:id="1811" w:name="_Toc342312465"/>
      <w:bookmarkStart w:id="1812" w:name="_Toc339020255"/>
      <w:bookmarkStart w:id="1813" w:name="_Toc333935709"/>
      <w:bookmarkStart w:id="1814" w:name="_Toc339020117"/>
      <w:bookmarkStart w:id="1815" w:name="_Toc78816017"/>
      <w:bookmarkStart w:id="1816" w:name="_Toc340677092"/>
      <w:bookmarkStart w:id="1817" w:name="_Toc331684064"/>
      <w:bookmarkStart w:id="1818" w:name="_Toc20970"/>
      <w:bookmarkStart w:id="1819" w:name="_Toc339019911"/>
      <w:bookmarkStart w:id="1820" w:name="_Toc339020037"/>
      <w:bookmarkStart w:id="1821" w:name="_Toc343248440"/>
      <w:bookmarkStart w:id="1822" w:name="_Toc337632380"/>
      <w:bookmarkStart w:id="1823" w:name="_Toc365985200"/>
      <w:bookmarkStart w:id="1824" w:name="_Toc336681957"/>
      <w:bookmarkStart w:id="1825" w:name="_Toc350756472"/>
      <w:bookmarkStart w:id="1826" w:name="_Toc342398152"/>
      <w:bookmarkStart w:id="1827" w:name="_Toc366072551"/>
      <w:bookmarkStart w:id="1828" w:name="_Toc331512923"/>
      <w:bookmarkStart w:id="1829" w:name="_Toc332270369"/>
      <w:bookmarkStart w:id="1830" w:name="_Toc350438771"/>
      <w:bookmarkStart w:id="1831" w:name="_Toc332206731"/>
      <w:bookmarkStart w:id="1832" w:name="_Toc336681602"/>
      <w:bookmarkStart w:id="1833" w:name="_Toc341348362"/>
      <w:bookmarkStart w:id="1834" w:name="_Toc333237700"/>
      <w:bookmarkStart w:id="1835" w:name="_Toc340672891"/>
      <w:bookmarkStart w:id="1836" w:name="_Toc343247122"/>
      <w:bookmarkStart w:id="1837" w:name="_Toc343612942"/>
      <w:bookmarkStart w:id="1838" w:name="_Toc333935368"/>
      <w:bookmarkStart w:id="1839" w:name="_Toc7964"/>
      <w:bookmarkStart w:id="1840" w:name="_Toc342060397"/>
      <w:bookmarkStart w:id="1841" w:name="_Toc342296783"/>
      <w:bookmarkStart w:id="1842" w:name="_Toc365967094"/>
      <w:bookmarkStart w:id="1843" w:name="_Toc333238656"/>
      <w:bookmarkStart w:id="1844" w:name="_Toc339362322"/>
      <w:bookmarkStart w:id="1845" w:name="_Toc333237811"/>
      <w:r>
        <w:rPr>
          <w:rFonts w:hint="eastAsia"/>
          <w:color w:val="000000" w:themeColor="text1"/>
          <w14:textFill>
            <w14:solidFill>
              <w14:schemeClr w14:val="tx1"/>
            </w14:solidFill>
          </w14:textFill>
        </w:rPr>
        <w:t>附件二：开标一览表</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adjustRightInd w:val="0"/>
        <w:snapToGrid w:val="0"/>
        <w:spacing w:line="360" w:lineRule="auto"/>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p>
    <w:tbl>
      <w:tblPr>
        <w:tblStyle w:val="48"/>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1"/>
        <w:gridCol w:w="3515"/>
        <w:gridCol w:w="1825"/>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2421" w:type="dxa"/>
            <w:vAlign w:val="center"/>
          </w:tcPr>
          <w:p>
            <w:pPr>
              <w:spacing w:line="360" w:lineRule="auto"/>
              <w:ind w:right="-97" w:rightChars="-46"/>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p>
        </w:tc>
        <w:tc>
          <w:tcPr>
            <w:tcW w:w="3515" w:type="dxa"/>
            <w:vAlign w:val="center"/>
          </w:tcPr>
          <w:p>
            <w:pPr>
              <w:spacing w:line="360" w:lineRule="auto"/>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项目名称</w:t>
            </w:r>
          </w:p>
        </w:tc>
        <w:tc>
          <w:tcPr>
            <w:tcW w:w="1825" w:type="dxa"/>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服务期限</w:t>
            </w:r>
          </w:p>
        </w:tc>
        <w:tc>
          <w:tcPr>
            <w:tcW w:w="1048" w:type="dxa"/>
            <w:vAlign w:val="center"/>
          </w:tcPr>
          <w:p>
            <w:pPr>
              <w:spacing w:line="360" w:lineRule="auto"/>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2421" w:type="dxa"/>
            <w:vAlign w:val="center"/>
          </w:tcPr>
          <w:p>
            <w:pPr>
              <w:adjustRightInd w:val="0"/>
              <w:snapToGrid w:val="0"/>
              <w:spacing w:line="300" w:lineRule="exact"/>
              <w:jc w:val="center"/>
              <w:rPr>
                <w:rFonts w:ascii="宋体" w:hAnsi="宋体"/>
                <w:bCs/>
                <w:color w:val="000000" w:themeColor="text1"/>
                <w14:textFill>
                  <w14:solidFill>
                    <w14:schemeClr w14:val="tx1"/>
                  </w14:solidFill>
                </w14:textFill>
              </w:rPr>
            </w:pPr>
          </w:p>
        </w:tc>
        <w:tc>
          <w:tcPr>
            <w:tcW w:w="3515" w:type="dxa"/>
            <w:vAlign w:val="center"/>
          </w:tcPr>
          <w:p>
            <w:pPr>
              <w:adjustRightInd w:val="0"/>
              <w:snapToGrid w:val="0"/>
              <w:spacing w:line="300" w:lineRule="exact"/>
              <w:jc w:val="center"/>
              <w:rPr>
                <w:rFonts w:ascii="宋体" w:hAnsi="宋体"/>
                <w:bCs/>
                <w:color w:val="000000" w:themeColor="text1"/>
                <w14:textFill>
                  <w14:solidFill>
                    <w14:schemeClr w14:val="tx1"/>
                  </w14:solidFill>
                </w14:textFill>
              </w:rPr>
            </w:pPr>
          </w:p>
        </w:tc>
        <w:tc>
          <w:tcPr>
            <w:tcW w:w="1825" w:type="dxa"/>
            <w:vAlign w:val="center"/>
          </w:tcPr>
          <w:p>
            <w:pPr>
              <w:topLinePunct/>
              <w:jc w:val="left"/>
              <w:rPr>
                <w:rFonts w:ascii="宋体" w:hAnsi="宋体"/>
                <w:bCs/>
                <w:color w:val="000000" w:themeColor="text1"/>
                <w:u w:val="single"/>
                <w14:textFill>
                  <w14:solidFill>
                    <w14:schemeClr w14:val="tx1"/>
                  </w14:solidFill>
                </w14:textFill>
              </w:rPr>
            </w:pPr>
          </w:p>
        </w:tc>
        <w:tc>
          <w:tcPr>
            <w:tcW w:w="1048" w:type="dxa"/>
            <w:vAlign w:val="center"/>
          </w:tcPr>
          <w:p>
            <w:pPr>
              <w:rPr>
                <w:rFonts w:ascii="宋体" w:hAnsi="宋体"/>
                <w:bCs/>
                <w:color w:val="000000" w:themeColor="text1"/>
                <w14:textFill>
                  <w14:solidFill>
                    <w14:schemeClr w14:val="tx1"/>
                  </w14:solidFill>
                </w14:textFill>
              </w:rPr>
            </w:pPr>
          </w:p>
        </w:tc>
      </w:tr>
    </w:tbl>
    <w:p>
      <w:pPr>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注：</w:t>
      </w:r>
    </w:p>
    <w:p>
      <w:pPr>
        <w:numPr>
          <w:ilvl w:val="0"/>
          <w:numId w:val="4"/>
        </w:numPr>
        <w:tabs>
          <w:tab w:val="left" w:pos="1365"/>
        </w:tabs>
        <w:spacing w:line="360" w:lineRule="auto"/>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投标人填写此表时不得改变表格的形式。</w:t>
      </w:r>
    </w:p>
    <w:p>
      <w:pPr>
        <w:numPr>
          <w:ilvl w:val="0"/>
          <w:numId w:val="4"/>
        </w:numPr>
        <w:tabs>
          <w:tab w:val="left" w:pos="1365"/>
        </w:tabs>
        <w:spacing w:line="360" w:lineRule="auto"/>
        <w:rPr>
          <w:rFonts w:ascii="宋体" w:hAnsi="宋体"/>
          <w:bCs/>
          <w:color w:val="000000" w:themeColor="text1"/>
          <w14:textFill>
            <w14:solidFill>
              <w14:schemeClr w14:val="tx1"/>
            </w14:solidFill>
          </w14:textFill>
        </w:rPr>
      </w:pPr>
      <w:r>
        <w:rPr>
          <w:rFonts w:hint="eastAsia"/>
          <w:bCs/>
          <w:color w:val="000000" w:themeColor="text1"/>
          <w14:textFill>
            <w14:solidFill>
              <w14:schemeClr w14:val="tx1"/>
            </w14:solidFill>
          </w14:textFill>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u w:val="single"/>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pStyle w:val="4"/>
        <w:numPr>
          <w:ilvl w:val="0"/>
          <w:numId w:val="0"/>
        </w:numPr>
        <w:spacing w:line="400" w:lineRule="exact"/>
        <w:rPr>
          <w:color w:val="000000" w:themeColor="text1"/>
          <w14:textFill>
            <w14:solidFill>
              <w14:schemeClr w14:val="tx1"/>
            </w14:solidFill>
          </w14:textFill>
        </w:rPr>
      </w:pPr>
      <w:bookmarkStart w:id="1846" w:name="_Toc343612944"/>
      <w:bookmarkStart w:id="1847" w:name="_Toc339020119"/>
      <w:bookmarkStart w:id="1848" w:name="_Toc339020257"/>
      <w:bookmarkStart w:id="1849" w:name="_Toc342312467"/>
      <w:bookmarkStart w:id="1850" w:name="_Toc365967096"/>
      <w:bookmarkStart w:id="1851" w:name="_Toc333935711"/>
      <w:bookmarkStart w:id="1852" w:name="_Toc350756474"/>
      <w:bookmarkStart w:id="1853" w:name="_Toc366072553"/>
      <w:bookmarkStart w:id="1854" w:name="_Toc339020039"/>
      <w:bookmarkStart w:id="1855" w:name="_Toc342060399"/>
      <w:bookmarkStart w:id="1856" w:name="_Toc365985202"/>
      <w:bookmarkStart w:id="1857" w:name="_Toc340672893"/>
      <w:bookmarkStart w:id="1858" w:name="_Toc342398154"/>
      <w:bookmarkStart w:id="1859" w:name="_Toc333935370"/>
      <w:bookmarkStart w:id="1860" w:name="_Toc332206733"/>
      <w:bookmarkStart w:id="1861" w:name="_Toc330460010"/>
      <w:bookmarkStart w:id="1862" w:name="_Toc331512925"/>
      <w:bookmarkStart w:id="1863" w:name="_Toc340507466"/>
      <w:bookmarkStart w:id="1864" w:name="_Toc342296785"/>
      <w:bookmarkStart w:id="1865" w:name="_Toc341348364"/>
      <w:bookmarkStart w:id="1866" w:name="_Toc10140"/>
      <w:bookmarkStart w:id="1867" w:name="_Toc332270371"/>
      <w:bookmarkStart w:id="1868" w:name="_Toc333238658"/>
      <w:bookmarkStart w:id="1869" w:name="_Toc2382"/>
      <w:bookmarkStart w:id="1870" w:name="_Toc339441111"/>
      <w:bookmarkStart w:id="1871" w:name="_Toc339362324"/>
      <w:bookmarkStart w:id="1872" w:name="_Toc343248442"/>
      <w:bookmarkStart w:id="1873" w:name="_Toc336681604"/>
      <w:bookmarkStart w:id="1874" w:name="_Toc331684066"/>
      <w:bookmarkStart w:id="1875" w:name="_Toc333237702"/>
      <w:bookmarkStart w:id="1876" w:name="_Toc339019913"/>
      <w:bookmarkStart w:id="1877" w:name="_Toc333237813"/>
      <w:bookmarkStart w:id="1878" w:name="_Toc343247124"/>
      <w:bookmarkStart w:id="1879" w:name="_Toc337632382"/>
      <w:bookmarkStart w:id="1880" w:name="_Toc336681959"/>
      <w:bookmarkStart w:id="1881" w:name="_Toc350438773"/>
      <w:bookmarkStart w:id="1882" w:name="_Toc340677094"/>
      <w:bookmarkStart w:id="1883" w:name="_Toc345312621"/>
      <w:r>
        <w:rPr>
          <w:rFonts w:hint="eastAsia"/>
          <w:color w:val="000000" w:themeColor="text1"/>
          <w14:textFill>
            <w14:solidFill>
              <w14:schemeClr w14:val="tx1"/>
            </w14:solidFill>
          </w14:textFill>
        </w:rPr>
        <w:t>附件三：商务条款偏离一览表</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adjustRightInd w:val="0"/>
        <w:snapToGrid w:val="0"/>
        <w:spacing w:line="360" w:lineRule="auto"/>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p>
    <w:tbl>
      <w:tblPr>
        <w:tblStyle w:val="48"/>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Ansi="宋体"/>
                <w:color w:val="000000" w:themeColor="text1"/>
                <w:szCs w:val="21"/>
                <w14:textFill>
                  <w14:solidFill>
                    <w14:schemeClr w14:val="tx1"/>
                  </w14:solidFill>
                </w14:textFill>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偏离</w:t>
            </w:r>
          </w:p>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bl>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说明：1）对“偏离”一栏，填写“无偏离、正偏离、负偏离”；</w:t>
      </w:r>
    </w:p>
    <w:p>
      <w:pPr>
        <w:adjustRightInd w:val="0"/>
        <w:snapToGrid w:val="0"/>
        <w:spacing w:line="360" w:lineRule="auto"/>
        <w:ind w:firstLine="630" w:firstLineChars="300"/>
        <w:rPr>
          <w:rFonts w:ascii="宋体" w:hAnsi="宋体"/>
          <w:b/>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2）对招标文件中商务条款按上列格式逐条说明。</w:t>
      </w:r>
    </w:p>
    <w:p>
      <w:pPr>
        <w:adjustRightInd w:val="0"/>
        <w:snapToGrid w:val="0"/>
        <w:spacing w:line="360" w:lineRule="auto"/>
        <w:ind w:firstLine="632" w:firstLineChars="300"/>
        <w:rPr>
          <w:rFonts w:ascii="宋体" w:hAnsi="宋体"/>
          <w:b/>
          <w:bCs/>
          <w:color w:val="000000" w:themeColor="text1"/>
          <w14:textFill>
            <w14:solidFill>
              <w14:schemeClr w14:val="tx1"/>
            </w14:solidFill>
          </w14:textFill>
        </w:rPr>
      </w:pPr>
    </w:p>
    <w:p>
      <w:pPr>
        <w:adjustRightInd w:val="0"/>
        <w:snapToGrid w:val="0"/>
        <w:spacing w:line="360" w:lineRule="auto"/>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adjustRightInd w:val="0"/>
        <w:snapToGrid w:val="0"/>
        <w:spacing w:line="360" w:lineRule="auto"/>
        <w:rPr>
          <w:rFonts w:ascii="宋体" w:hAnsi="宋体"/>
          <w:bCs/>
          <w:color w:val="000000" w:themeColor="text1"/>
          <w:u w:val="single"/>
          <w14:textFill>
            <w14:solidFill>
              <w14:schemeClr w14:val="tx1"/>
            </w14:solidFill>
          </w14:textFill>
        </w:rPr>
        <w:sectPr>
          <w:footerReference r:id="rId15" w:type="default"/>
          <w:pgSz w:w="11906" w:h="16838"/>
          <w:pgMar w:top="1418" w:right="1474" w:bottom="1418" w:left="1474" w:header="851" w:footer="851" w:gutter="0"/>
          <w:cols w:space="720" w:num="1"/>
          <w:titlePg/>
          <w:docGrid w:linePitch="312" w:charSpace="0"/>
        </w:sectPr>
      </w:pPr>
    </w:p>
    <w:p>
      <w:pPr>
        <w:pStyle w:val="4"/>
        <w:numPr>
          <w:ilvl w:val="0"/>
          <w:numId w:val="0"/>
        </w:numPr>
        <w:spacing w:line="400" w:lineRule="exact"/>
        <w:rPr>
          <w:color w:val="000000" w:themeColor="text1"/>
          <w14:textFill>
            <w14:solidFill>
              <w14:schemeClr w14:val="tx1"/>
            </w14:solidFill>
          </w14:textFill>
        </w:rPr>
      </w:pPr>
      <w:bookmarkStart w:id="1884" w:name="_Toc16393"/>
      <w:bookmarkStart w:id="1885" w:name="_Toc4711"/>
      <w:bookmarkStart w:id="1886" w:name="_Toc340672894"/>
      <w:bookmarkStart w:id="1887" w:name="_Toc339020120"/>
      <w:bookmarkStart w:id="1888" w:name="_Toc333238659"/>
      <w:bookmarkStart w:id="1889" w:name="_Toc345312622"/>
      <w:bookmarkStart w:id="1890" w:name="_Toc365967097"/>
      <w:bookmarkStart w:id="1891" w:name="_Toc330460011"/>
      <w:bookmarkStart w:id="1892" w:name="_Toc332206734"/>
      <w:bookmarkStart w:id="1893" w:name="_Toc343247125"/>
      <w:bookmarkStart w:id="1894" w:name="_Toc342060400"/>
      <w:bookmarkStart w:id="1895" w:name="_Toc337632383"/>
      <w:bookmarkStart w:id="1896" w:name="_Toc340677095"/>
      <w:bookmarkStart w:id="1897" w:name="_Toc336681605"/>
      <w:bookmarkStart w:id="1898" w:name="_Toc341348365"/>
      <w:bookmarkStart w:id="1899" w:name="_Toc333237703"/>
      <w:bookmarkStart w:id="1900" w:name="_Toc366072554"/>
      <w:bookmarkStart w:id="1901" w:name="_Toc333237814"/>
      <w:bookmarkStart w:id="1902" w:name="_Toc339362325"/>
      <w:bookmarkStart w:id="1903" w:name="_Toc336681960"/>
      <w:bookmarkStart w:id="1904" w:name="_Toc339441112"/>
      <w:bookmarkStart w:id="1905" w:name="_Toc343612945"/>
      <w:bookmarkStart w:id="1906" w:name="_Toc331512926"/>
      <w:bookmarkStart w:id="1907" w:name="_Toc333935371"/>
      <w:bookmarkStart w:id="1908" w:name="_Toc342312468"/>
      <w:bookmarkStart w:id="1909" w:name="_Toc350756475"/>
      <w:bookmarkStart w:id="1910" w:name="_Toc339020040"/>
      <w:bookmarkStart w:id="1911" w:name="_Toc365985203"/>
      <w:bookmarkStart w:id="1912" w:name="_Toc340507467"/>
      <w:bookmarkStart w:id="1913" w:name="_Toc342398155"/>
      <w:bookmarkStart w:id="1914" w:name="_Toc332270372"/>
      <w:bookmarkStart w:id="1915" w:name="_Toc343248443"/>
      <w:bookmarkStart w:id="1916" w:name="_Toc333935712"/>
      <w:bookmarkStart w:id="1917" w:name="_Toc350438774"/>
      <w:bookmarkStart w:id="1918" w:name="_Toc342296786"/>
      <w:bookmarkStart w:id="1919" w:name="_Toc331684067"/>
      <w:bookmarkStart w:id="1920" w:name="_Toc339019914"/>
      <w:bookmarkStart w:id="1921" w:name="_Toc339020258"/>
      <w:r>
        <w:rPr>
          <w:rFonts w:hint="eastAsia"/>
          <w:color w:val="000000" w:themeColor="text1"/>
          <w14:textFill>
            <w14:solidFill>
              <w14:schemeClr w14:val="tx1"/>
            </w14:solidFill>
          </w14:textFill>
        </w:rPr>
        <w:t>附件四：技术条款偏离一览表</w:t>
      </w:r>
      <w:bookmarkEnd w:id="1884"/>
      <w:bookmarkEnd w:id="1885"/>
    </w:p>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Pr>
        <w:numPr>
          <w:ilvl w:val="0"/>
          <w:numId w:val="31"/>
        </w:numPr>
        <w:spacing w:line="360" w:lineRule="auto"/>
        <w:jc w:val="center"/>
        <w:rPr>
          <w:color w:val="000000" w:themeColor="text1"/>
          <w14:textFill>
            <w14:solidFill>
              <w14:schemeClr w14:val="tx1"/>
            </w14:solidFill>
          </w14:textFill>
        </w:rPr>
      </w:pPr>
      <w:bookmarkStart w:id="1922" w:name="_Toc350438778"/>
      <w:bookmarkStart w:id="1923" w:name="_Toc339362329"/>
      <w:bookmarkStart w:id="1924" w:name="_Toc339020124"/>
      <w:bookmarkStart w:id="1925" w:name="_Toc343612949"/>
      <w:bookmarkStart w:id="1926" w:name="_Toc333237707"/>
      <w:bookmarkStart w:id="1927" w:name="_Toc342296790"/>
      <w:bookmarkStart w:id="1928" w:name="_Toc342060404"/>
      <w:bookmarkStart w:id="1929" w:name="_Toc340672898"/>
      <w:bookmarkStart w:id="1930" w:name="_Toc340507471"/>
      <w:bookmarkStart w:id="1931" w:name="_Toc366072561"/>
      <w:bookmarkStart w:id="1932" w:name="_Toc339020044"/>
      <w:bookmarkStart w:id="1933" w:name="_Toc332270376"/>
      <w:bookmarkStart w:id="1934" w:name="_Toc341348369"/>
      <w:bookmarkStart w:id="1935" w:name="_Toc336681609"/>
      <w:bookmarkStart w:id="1936" w:name="_Toc365985210"/>
      <w:bookmarkStart w:id="1937" w:name="_Toc339020262"/>
      <w:bookmarkStart w:id="1938" w:name="_Toc365967104"/>
      <w:bookmarkStart w:id="1939" w:name="_Toc337632387"/>
      <w:bookmarkStart w:id="1940" w:name="_Toc336681964"/>
      <w:bookmarkStart w:id="1941" w:name="_Toc343248447"/>
      <w:bookmarkStart w:id="1942" w:name="_Toc340677099"/>
      <w:bookmarkStart w:id="1943" w:name="_Toc330460015"/>
      <w:bookmarkStart w:id="1944" w:name="_Toc331684071"/>
      <w:bookmarkStart w:id="1945" w:name="_Toc333238663"/>
      <w:bookmarkStart w:id="1946" w:name="_Toc339019918"/>
      <w:bookmarkStart w:id="1947" w:name="_Toc333935716"/>
      <w:bookmarkStart w:id="1948" w:name="_Toc350756479"/>
      <w:bookmarkStart w:id="1949" w:name="_Toc332206738"/>
      <w:bookmarkStart w:id="1950" w:name="_Toc345312626"/>
      <w:bookmarkStart w:id="1951" w:name="_Toc331512930"/>
      <w:bookmarkStart w:id="1952" w:name="_Toc342312472"/>
      <w:bookmarkStart w:id="1953" w:name="_Toc333237818"/>
      <w:bookmarkStart w:id="1954" w:name="_Toc339441116"/>
      <w:bookmarkStart w:id="1955" w:name="_Toc432695228"/>
      <w:bookmarkStart w:id="1956" w:name="_Toc333935375"/>
      <w:bookmarkStart w:id="1957" w:name="_Toc343247129"/>
      <w:bookmarkStart w:id="1958" w:name="_Toc342398159"/>
      <w:r>
        <w:rPr>
          <w:rFonts w:hint="eastAsia"/>
          <w:color w:val="000000" w:themeColor="text1"/>
          <w14:textFill>
            <w14:solidFill>
              <w14:schemeClr w14:val="tx1"/>
            </w14:solidFill>
          </w14:textFill>
        </w:rPr>
        <w:t>实质性条款响应一览表</w:t>
      </w:r>
    </w:p>
    <w:p>
      <w:pPr>
        <w:spacing w:line="400" w:lineRule="exact"/>
        <w:ind w:left="945" w:leftChars="100" w:hanging="735" w:hangingChars="3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说明：投标人必须对应招标文件</w:t>
      </w:r>
      <w:r>
        <w:rPr>
          <w:color w:val="000000" w:themeColor="text1"/>
          <w:szCs w:val="21"/>
          <w14:textFill>
            <w14:solidFill>
              <w14:schemeClr w14:val="tx1"/>
            </w14:solidFill>
          </w14:textFill>
        </w:rPr>
        <w:t>带“</w:t>
      </w:r>
      <w:r>
        <w:rPr>
          <w:rFonts w:ascii="宋体"/>
          <w:b/>
          <w:bCs/>
          <w:color w:val="000000" w:themeColor="text1"/>
          <w:szCs w:val="21"/>
          <w14:textFill>
            <w14:solidFill>
              <w14:schemeClr w14:val="tx1"/>
            </w14:solidFill>
          </w14:textFill>
        </w:rPr>
        <w:t>★</w:t>
      </w:r>
      <w:r>
        <w:rPr>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实质性条款逐条应答并按要求填写下表。</w:t>
      </w:r>
    </w:p>
    <w:p>
      <w:pPr>
        <w:spacing w:line="400" w:lineRule="exact"/>
        <w:ind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项目名称：                            </w:t>
      </w:r>
    </w:p>
    <w:tbl>
      <w:tblPr>
        <w:tblStyle w:val="48"/>
        <w:tblW w:w="94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173"/>
        <w:gridCol w:w="2200"/>
        <w:gridCol w:w="2829"/>
        <w:gridCol w:w="15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41" w:type="dxa"/>
            <w:tcBorders>
              <w:top w:val="single" w:color="auto" w:sz="12" w:space="0"/>
              <w:bottom w:val="double" w:color="auto" w:sz="4"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序号</w:t>
            </w:r>
          </w:p>
        </w:tc>
        <w:tc>
          <w:tcPr>
            <w:tcW w:w="2173" w:type="dxa"/>
            <w:tcBorders>
              <w:top w:val="single" w:color="auto" w:sz="12" w:space="0"/>
              <w:bottom w:val="double" w:color="auto" w:sz="4"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原条款描述</w:t>
            </w:r>
          </w:p>
        </w:tc>
        <w:tc>
          <w:tcPr>
            <w:tcW w:w="2200" w:type="dxa"/>
            <w:tcBorders>
              <w:top w:val="single" w:color="auto" w:sz="12" w:space="0"/>
              <w:bottom w:val="double" w:color="auto" w:sz="4"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投标人响应描述</w:t>
            </w:r>
          </w:p>
        </w:tc>
        <w:tc>
          <w:tcPr>
            <w:tcW w:w="2829"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偏离情况说明</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正偏离/完全响应/负偏离</w:t>
            </w:r>
            <w:r>
              <w:rPr>
                <w:rFonts w:ascii="宋体" w:hAnsi="宋体"/>
                <w:color w:val="000000" w:themeColor="text1"/>
                <w:szCs w:val="21"/>
                <w14:textFill>
                  <w14:solidFill>
                    <w14:schemeClr w14:val="tx1"/>
                  </w14:solidFill>
                </w14:textFill>
              </w:rPr>
              <w:t>）</w:t>
            </w:r>
          </w:p>
        </w:tc>
        <w:tc>
          <w:tcPr>
            <w:tcW w:w="1500"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1" w:type="dxa"/>
            <w:tcBorders>
              <w:top w:val="doub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2173" w:type="dxa"/>
            <w:tcBorders>
              <w:top w:val="double" w:color="auto" w:sz="4" w:space="0"/>
            </w:tcBorders>
            <w:vAlign w:val="center"/>
          </w:tcPr>
          <w:p>
            <w:pPr>
              <w:rPr>
                <w:rFonts w:ascii="宋体" w:hAnsi="宋体"/>
                <w:color w:val="000000" w:themeColor="text1"/>
                <w:szCs w:val="21"/>
                <w14:textFill>
                  <w14:solidFill>
                    <w14:schemeClr w14:val="tx1"/>
                  </w14:solidFill>
                </w14:textFill>
              </w:rPr>
            </w:pPr>
          </w:p>
        </w:tc>
        <w:tc>
          <w:tcPr>
            <w:tcW w:w="2200" w:type="dxa"/>
            <w:tcBorders>
              <w:top w:val="doub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2829" w:type="dxa"/>
            <w:tcBorders>
              <w:top w:val="double" w:color="auto" w:sz="4" w:space="0"/>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00" w:type="dxa"/>
            <w:tcBorders>
              <w:top w:val="double" w:color="auto" w:sz="4" w:space="0"/>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1"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2173" w:type="dxa"/>
            <w:vAlign w:val="center"/>
          </w:tcPr>
          <w:p>
            <w:pPr>
              <w:rPr>
                <w:rFonts w:ascii="宋体" w:hAnsi="宋体"/>
                <w:color w:val="000000" w:themeColor="text1"/>
                <w:szCs w:val="21"/>
                <w14:textFill>
                  <w14:solidFill>
                    <w14:schemeClr w14:val="tx1"/>
                  </w14:solidFill>
                </w14:textFill>
              </w:rPr>
            </w:pPr>
          </w:p>
        </w:tc>
        <w:tc>
          <w:tcPr>
            <w:tcW w:w="2200" w:type="dxa"/>
            <w:vAlign w:val="center"/>
          </w:tcPr>
          <w:p>
            <w:pPr>
              <w:jc w:val="center"/>
              <w:rPr>
                <w:rFonts w:ascii="宋体" w:hAnsi="宋体"/>
                <w:color w:val="000000" w:themeColor="text1"/>
                <w:szCs w:val="21"/>
                <w14:textFill>
                  <w14:solidFill>
                    <w14:schemeClr w14:val="tx1"/>
                  </w14:solidFill>
                </w14:textFill>
              </w:rPr>
            </w:pPr>
          </w:p>
        </w:tc>
        <w:tc>
          <w:tcPr>
            <w:tcW w:w="2829" w:type="dxa"/>
            <w:tcBorders>
              <w:right w:val="single" w:color="auto" w:sz="2" w:space="0"/>
            </w:tcBorders>
            <w:vAlign w:val="center"/>
          </w:tcPr>
          <w:p>
            <w:pPr>
              <w:pStyle w:val="5"/>
              <w:numPr>
                <w:ilvl w:val="2"/>
                <w:numId w:val="0"/>
              </w:numPr>
              <w:tabs>
                <w:tab w:val="clear" w:pos="432"/>
              </w:tabs>
              <w:kinsoku w:val="0"/>
              <w:overflowPunct w:val="0"/>
              <w:spacing w:line="443" w:lineRule="exact"/>
              <w:ind w:left="88" w:right="17"/>
              <w:rPr>
                <w:rFonts w:ascii="宋体" w:hAnsi="宋体"/>
                <w:color w:val="000000" w:themeColor="text1"/>
                <w:szCs w:val="21"/>
                <w14:textFill>
                  <w14:solidFill>
                    <w14:schemeClr w14:val="tx1"/>
                  </w14:solidFill>
                </w14:textFill>
              </w:rPr>
            </w:pPr>
          </w:p>
        </w:tc>
        <w:tc>
          <w:tcPr>
            <w:tcW w:w="1500"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1"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2173" w:type="dxa"/>
            <w:vAlign w:val="center"/>
          </w:tcPr>
          <w:p>
            <w:pPr>
              <w:rPr>
                <w:rFonts w:ascii="宋体" w:hAnsi="宋体"/>
                <w:color w:val="000000" w:themeColor="text1"/>
                <w:szCs w:val="21"/>
                <w14:textFill>
                  <w14:solidFill>
                    <w14:schemeClr w14:val="tx1"/>
                  </w14:solidFill>
                </w14:textFill>
              </w:rPr>
            </w:pPr>
          </w:p>
        </w:tc>
        <w:tc>
          <w:tcPr>
            <w:tcW w:w="2200" w:type="dxa"/>
            <w:vAlign w:val="center"/>
          </w:tcPr>
          <w:p>
            <w:pPr>
              <w:jc w:val="center"/>
              <w:rPr>
                <w:rFonts w:ascii="宋体" w:hAnsi="宋体"/>
                <w:color w:val="000000" w:themeColor="text1"/>
                <w:szCs w:val="21"/>
                <w14:textFill>
                  <w14:solidFill>
                    <w14:schemeClr w14:val="tx1"/>
                  </w14:solidFill>
                </w14:textFill>
              </w:rPr>
            </w:pPr>
          </w:p>
        </w:tc>
        <w:tc>
          <w:tcPr>
            <w:tcW w:w="2829"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00"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1"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2173" w:type="dxa"/>
            <w:vAlign w:val="center"/>
          </w:tcPr>
          <w:p>
            <w:pPr>
              <w:rPr>
                <w:rFonts w:ascii="宋体" w:hAnsi="宋体"/>
                <w:color w:val="000000" w:themeColor="text1"/>
                <w:szCs w:val="21"/>
                <w14:textFill>
                  <w14:solidFill>
                    <w14:schemeClr w14:val="tx1"/>
                  </w14:solidFill>
                </w14:textFill>
              </w:rPr>
            </w:pPr>
          </w:p>
        </w:tc>
        <w:tc>
          <w:tcPr>
            <w:tcW w:w="2200" w:type="dxa"/>
            <w:vAlign w:val="center"/>
          </w:tcPr>
          <w:p>
            <w:pPr>
              <w:jc w:val="center"/>
              <w:rPr>
                <w:rFonts w:ascii="宋体" w:hAnsi="宋体"/>
                <w:color w:val="000000" w:themeColor="text1"/>
                <w:szCs w:val="21"/>
                <w14:textFill>
                  <w14:solidFill>
                    <w14:schemeClr w14:val="tx1"/>
                  </w14:solidFill>
                </w14:textFill>
              </w:rPr>
            </w:pPr>
          </w:p>
        </w:tc>
        <w:tc>
          <w:tcPr>
            <w:tcW w:w="2829"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00"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1"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2173" w:type="dxa"/>
            <w:vAlign w:val="center"/>
          </w:tcPr>
          <w:p>
            <w:pPr>
              <w:rPr>
                <w:rFonts w:ascii="宋体" w:hAnsi="宋体"/>
                <w:color w:val="000000" w:themeColor="text1"/>
                <w:szCs w:val="21"/>
                <w14:textFill>
                  <w14:solidFill>
                    <w14:schemeClr w14:val="tx1"/>
                  </w14:solidFill>
                </w14:textFill>
              </w:rPr>
            </w:pPr>
          </w:p>
        </w:tc>
        <w:tc>
          <w:tcPr>
            <w:tcW w:w="2200" w:type="dxa"/>
            <w:vAlign w:val="center"/>
          </w:tcPr>
          <w:p>
            <w:pPr>
              <w:jc w:val="center"/>
              <w:rPr>
                <w:rFonts w:ascii="宋体" w:hAnsi="宋体"/>
                <w:color w:val="000000" w:themeColor="text1"/>
                <w:szCs w:val="21"/>
                <w14:textFill>
                  <w14:solidFill>
                    <w14:schemeClr w14:val="tx1"/>
                  </w14:solidFill>
                </w14:textFill>
              </w:rPr>
            </w:pPr>
          </w:p>
        </w:tc>
        <w:tc>
          <w:tcPr>
            <w:tcW w:w="2829"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00"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1"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2173" w:type="dxa"/>
            <w:vAlign w:val="center"/>
          </w:tcPr>
          <w:p>
            <w:pPr>
              <w:rPr>
                <w:rFonts w:ascii="宋体" w:hAnsi="宋体"/>
                <w:color w:val="000000" w:themeColor="text1"/>
                <w:szCs w:val="21"/>
                <w14:textFill>
                  <w14:solidFill>
                    <w14:schemeClr w14:val="tx1"/>
                  </w14:solidFill>
                </w14:textFill>
              </w:rPr>
            </w:pPr>
          </w:p>
        </w:tc>
        <w:tc>
          <w:tcPr>
            <w:tcW w:w="2200" w:type="dxa"/>
            <w:vAlign w:val="center"/>
          </w:tcPr>
          <w:p>
            <w:pPr>
              <w:jc w:val="center"/>
              <w:rPr>
                <w:rFonts w:ascii="宋体" w:hAnsi="宋体"/>
                <w:color w:val="000000" w:themeColor="text1"/>
                <w:szCs w:val="21"/>
                <w14:textFill>
                  <w14:solidFill>
                    <w14:schemeClr w14:val="tx1"/>
                  </w14:solidFill>
                </w14:textFill>
              </w:rPr>
            </w:pPr>
          </w:p>
        </w:tc>
        <w:tc>
          <w:tcPr>
            <w:tcW w:w="2829"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00"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41"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2173" w:type="dxa"/>
            <w:vAlign w:val="center"/>
          </w:tcPr>
          <w:p>
            <w:pPr>
              <w:rPr>
                <w:rFonts w:ascii="宋体" w:hAnsi="宋体"/>
                <w:color w:val="000000" w:themeColor="text1"/>
                <w:szCs w:val="21"/>
                <w14:textFill>
                  <w14:solidFill>
                    <w14:schemeClr w14:val="tx1"/>
                  </w14:solidFill>
                </w14:textFill>
              </w:rPr>
            </w:pPr>
          </w:p>
        </w:tc>
        <w:tc>
          <w:tcPr>
            <w:tcW w:w="2200" w:type="dxa"/>
            <w:vAlign w:val="center"/>
          </w:tcPr>
          <w:p>
            <w:pPr>
              <w:jc w:val="center"/>
              <w:rPr>
                <w:rFonts w:ascii="宋体" w:hAnsi="宋体"/>
                <w:color w:val="000000" w:themeColor="text1"/>
                <w:szCs w:val="21"/>
                <w14:textFill>
                  <w14:solidFill>
                    <w14:schemeClr w14:val="tx1"/>
                  </w14:solidFill>
                </w14:textFill>
              </w:rPr>
            </w:pPr>
          </w:p>
        </w:tc>
        <w:tc>
          <w:tcPr>
            <w:tcW w:w="2829"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00" w:type="dxa"/>
            <w:tcBorders>
              <w:left w:val="single" w:color="auto" w:sz="2" w:space="0"/>
            </w:tcBorders>
            <w:vAlign w:val="center"/>
          </w:tcPr>
          <w:p>
            <w:pPr>
              <w:jc w:val="center"/>
              <w:rPr>
                <w:rFonts w:ascii="宋体" w:hAnsi="宋体" w:cs="宋体"/>
                <w:color w:val="000000" w:themeColor="text1"/>
                <w:szCs w:val="21"/>
                <w14:textFill>
                  <w14:solidFill>
                    <w14:schemeClr w14:val="tx1"/>
                  </w14:solidFill>
                </w14:textFill>
              </w:rPr>
            </w:pPr>
          </w:p>
        </w:tc>
      </w:tr>
    </w:tbl>
    <w:p>
      <w:pPr>
        <w:spacing w:line="400" w:lineRule="exact"/>
        <w:ind w:firstLine="105" w:firstLineChars="50"/>
        <w:rPr>
          <w:rFonts w:ascii="宋体" w:hAnsi="宋体"/>
          <w:color w:val="000000" w:themeColor="text1"/>
          <w14:textFill>
            <w14:solidFill>
              <w14:schemeClr w14:val="tx1"/>
            </w14:solidFill>
          </w14:textFill>
        </w:rPr>
      </w:pPr>
    </w:p>
    <w:p>
      <w:pPr>
        <w:snapToGrid w:val="0"/>
        <w:spacing w:line="4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备注：</w:t>
      </w:r>
    </w:p>
    <w:p>
      <w:pPr>
        <w:numPr>
          <w:ilvl w:val="0"/>
          <w:numId w:val="32"/>
        </w:numPr>
        <w:spacing w:line="400" w:lineRule="exac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投标人必须对应招标文件</w:t>
      </w:r>
      <w:r>
        <w:rPr>
          <w:color w:val="000000" w:themeColor="text1"/>
          <w:szCs w:val="21"/>
          <w14:textFill>
            <w14:solidFill>
              <w14:schemeClr w14:val="tx1"/>
            </w14:solidFill>
          </w14:textFill>
        </w:rPr>
        <w:t>带“</w:t>
      </w:r>
      <w:r>
        <w:rPr>
          <w:rFonts w:ascii="宋体"/>
          <w:b/>
          <w:bCs/>
          <w:color w:val="000000" w:themeColor="text1"/>
          <w:szCs w:val="21"/>
          <w14:textFill>
            <w14:solidFill>
              <w14:schemeClr w14:val="tx1"/>
            </w14:solidFill>
          </w14:textFill>
        </w:rPr>
        <w:t>★</w:t>
      </w:r>
      <w:r>
        <w:rPr>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实质性条款逐条应答并按要求填写上表。</w:t>
      </w:r>
    </w:p>
    <w:p>
      <w:pPr>
        <w:numPr>
          <w:ilvl w:val="0"/>
          <w:numId w:val="32"/>
        </w:numPr>
        <w:spacing w:line="400" w:lineRule="exac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本表中“招标文件条款描述”的条款与技术服务要求中的条款描述不一致的以技术服务要求中规定的为准。</w:t>
      </w:r>
    </w:p>
    <w:p>
      <w:pPr>
        <w:spacing w:line="500" w:lineRule="exact"/>
        <w:ind w:firstLine="436" w:firstLineChars="200"/>
        <w:rPr>
          <w:color w:val="000000" w:themeColor="text1"/>
          <w:spacing w:val="4"/>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spacing w:line="440" w:lineRule="exact"/>
        <w:rPr>
          <w:color w:val="000000" w:themeColor="text1"/>
          <w:spacing w:val="4"/>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17"/>
        <w:kinsoku w:val="0"/>
        <w:overflowPunct w:val="0"/>
        <w:spacing w:before="15"/>
        <w:rPr>
          <w:rFonts w:ascii="Microsoft JhengHei" w:eastAsia="Microsoft JhengHei"/>
          <w:b/>
          <w:color w:val="000000" w:themeColor="text1"/>
          <w14:textFill>
            <w14:solidFill>
              <w14:schemeClr w14:val="tx1"/>
            </w14:solidFill>
          </w14:textFill>
        </w:rPr>
      </w:pPr>
      <w:r>
        <w:rPr>
          <w:rFonts w:ascii="Microsoft JhengHei" w:eastAsia="Microsoft JhengHei"/>
          <w:b/>
          <w:color w:val="000000" w:themeColor="text1"/>
          <w14:textFill>
            <w14:solidFill>
              <w14:schemeClr w14:val="tx1"/>
            </w14:solidFill>
          </w14:textFill>
        </w:rPr>
        <w:br w:type="page"/>
      </w:r>
    </w:p>
    <w:p>
      <w:pPr>
        <w:numPr>
          <w:ilvl w:val="0"/>
          <w:numId w:val="31"/>
        </w:num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重要条款响应一览表</w:t>
      </w:r>
    </w:p>
    <w:p>
      <w:pPr>
        <w:spacing w:line="400" w:lineRule="exact"/>
        <w:ind w:left="945" w:leftChars="100" w:hanging="735" w:hangingChars="3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说明：投标人必须对应招标文件</w:t>
      </w:r>
      <w:r>
        <w:rPr>
          <w:color w:val="000000" w:themeColor="text1"/>
          <w:szCs w:val="21"/>
          <w14:textFill>
            <w14:solidFill>
              <w14:schemeClr w14:val="tx1"/>
            </w14:solidFill>
          </w14:textFill>
        </w:rPr>
        <w:t>带“</w:t>
      </w:r>
      <w:r>
        <w:rPr>
          <w:rFonts w:hAnsi="宋体"/>
          <w:b/>
          <w:bCs/>
          <w:color w:val="000000" w:themeColor="text1"/>
          <w:szCs w:val="21"/>
          <w:lang w:val="it-IT"/>
          <w14:textFill>
            <w14:solidFill>
              <w14:schemeClr w14:val="tx1"/>
            </w14:solidFill>
          </w14:textFill>
        </w:rPr>
        <w:t>▲</w:t>
      </w:r>
      <w:r>
        <w:rPr>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实质性条款逐条应答并按要求填写下表。</w:t>
      </w:r>
    </w:p>
    <w:p>
      <w:pPr>
        <w:spacing w:line="400" w:lineRule="exact"/>
        <w:ind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项目名称：                            </w:t>
      </w:r>
    </w:p>
    <w:tbl>
      <w:tblPr>
        <w:tblStyle w:val="48"/>
        <w:tblW w:w="95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302"/>
        <w:gridCol w:w="2157"/>
        <w:gridCol w:w="2800"/>
        <w:gridCol w:w="1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69" w:type="dxa"/>
            <w:tcBorders>
              <w:top w:val="single" w:color="auto" w:sz="12" w:space="0"/>
              <w:bottom w:val="double" w:color="auto" w:sz="4"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序号</w:t>
            </w:r>
          </w:p>
        </w:tc>
        <w:tc>
          <w:tcPr>
            <w:tcW w:w="2302" w:type="dxa"/>
            <w:tcBorders>
              <w:top w:val="single" w:color="auto" w:sz="12" w:space="0"/>
              <w:bottom w:val="double" w:color="auto" w:sz="4"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原条款描述</w:t>
            </w:r>
          </w:p>
        </w:tc>
        <w:tc>
          <w:tcPr>
            <w:tcW w:w="2157" w:type="dxa"/>
            <w:tcBorders>
              <w:top w:val="single" w:color="auto" w:sz="12" w:space="0"/>
              <w:bottom w:val="double" w:color="auto" w:sz="4"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投标人响应描述</w:t>
            </w:r>
          </w:p>
        </w:tc>
        <w:tc>
          <w:tcPr>
            <w:tcW w:w="2800"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偏离情况说明</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正偏离/完全响应/负偏离</w:t>
            </w:r>
            <w:r>
              <w:rPr>
                <w:rFonts w:ascii="宋体" w:hAnsi="宋体"/>
                <w:color w:val="000000" w:themeColor="text1"/>
                <w:szCs w:val="21"/>
                <w14:textFill>
                  <w14:solidFill>
                    <w14:schemeClr w14:val="tx1"/>
                  </w14:solidFill>
                </w14:textFill>
              </w:rPr>
              <w:t>）</w:t>
            </w:r>
          </w:p>
        </w:tc>
        <w:tc>
          <w:tcPr>
            <w:tcW w:w="1514"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9" w:type="dxa"/>
            <w:tcBorders>
              <w:top w:val="doub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2302" w:type="dxa"/>
            <w:tcBorders>
              <w:top w:val="double" w:color="auto" w:sz="4" w:space="0"/>
            </w:tcBorders>
            <w:vAlign w:val="center"/>
          </w:tcPr>
          <w:p>
            <w:pPr>
              <w:rPr>
                <w:rFonts w:ascii="宋体" w:hAnsi="宋体"/>
                <w:color w:val="000000" w:themeColor="text1"/>
                <w:szCs w:val="21"/>
                <w14:textFill>
                  <w14:solidFill>
                    <w14:schemeClr w14:val="tx1"/>
                  </w14:solidFill>
                </w14:textFill>
              </w:rPr>
            </w:pPr>
          </w:p>
        </w:tc>
        <w:tc>
          <w:tcPr>
            <w:tcW w:w="2157" w:type="dxa"/>
            <w:tcBorders>
              <w:top w:val="doub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2800" w:type="dxa"/>
            <w:tcBorders>
              <w:top w:val="double" w:color="auto" w:sz="4" w:space="0"/>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14" w:type="dxa"/>
            <w:tcBorders>
              <w:top w:val="double" w:color="auto" w:sz="4" w:space="0"/>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9"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2302" w:type="dxa"/>
            <w:vAlign w:val="center"/>
          </w:tcPr>
          <w:p>
            <w:pPr>
              <w:rPr>
                <w:rFonts w:ascii="宋体" w:hAnsi="宋体"/>
                <w:color w:val="000000" w:themeColor="text1"/>
                <w:szCs w:val="21"/>
                <w14:textFill>
                  <w14:solidFill>
                    <w14:schemeClr w14:val="tx1"/>
                  </w14:solidFill>
                </w14:textFill>
              </w:rPr>
            </w:pPr>
          </w:p>
        </w:tc>
        <w:tc>
          <w:tcPr>
            <w:tcW w:w="2157" w:type="dxa"/>
            <w:vAlign w:val="center"/>
          </w:tcPr>
          <w:p>
            <w:pPr>
              <w:jc w:val="center"/>
              <w:rPr>
                <w:rFonts w:ascii="宋体" w:hAnsi="宋体"/>
                <w:color w:val="000000" w:themeColor="text1"/>
                <w:szCs w:val="21"/>
                <w14:textFill>
                  <w14:solidFill>
                    <w14:schemeClr w14:val="tx1"/>
                  </w14:solidFill>
                </w14:textFill>
              </w:rPr>
            </w:pPr>
          </w:p>
        </w:tc>
        <w:tc>
          <w:tcPr>
            <w:tcW w:w="2800" w:type="dxa"/>
            <w:tcBorders>
              <w:right w:val="single" w:color="auto" w:sz="2" w:space="0"/>
            </w:tcBorders>
            <w:vAlign w:val="center"/>
          </w:tcPr>
          <w:p>
            <w:pPr>
              <w:pStyle w:val="5"/>
              <w:numPr>
                <w:ilvl w:val="2"/>
                <w:numId w:val="0"/>
              </w:numPr>
              <w:tabs>
                <w:tab w:val="clear" w:pos="432"/>
              </w:tabs>
              <w:kinsoku w:val="0"/>
              <w:overflowPunct w:val="0"/>
              <w:spacing w:line="443" w:lineRule="exact"/>
              <w:ind w:left="88" w:right="17"/>
              <w:rPr>
                <w:rFonts w:ascii="宋体" w:hAnsi="宋体"/>
                <w:color w:val="000000" w:themeColor="text1"/>
                <w:szCs w:val="21"/>
                <w14:textFill>
                  <w14:solidFill>
                    <w14:schemeClr w14:val="tx1"/>
                  </w14:solidFill>
                </w14:textFill>
              </w:rPr>
            </w:pPr>
          </w:p>
        </w:tc>
        <w:tc>
          <w:tcPr>
            <w:tcW w:w="1514"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9"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2302" w:type="dxa"/>
            <w:vAlign w:val="center"/>
          </w:tcPr>
          <w:p>
            <w:pPr>
              <w:rPr>
                <w:rFonts w:ascii="宋体" w:hAnsi="宋体"/>
                <w:color w:val="000000" w:themeColor="text1"/>
                <w:szCs w:val="21"/>
                <w14:textFill>
                  <w14:solidFill>
                    <w14:schemeClr w14:val="tx1"/>
                  </w14:solidFill>
                </w14:textFill>
              </w:rPr>
            </w:pPr>
          </w:p>
        </w:tc>
        <w:tc>
          <w:tcPr>
            <w:tcW w:w="2157" w:type="dxa"/>
            <w:vAlign w:val="center"/>
          </w:tcPr>
          <w:p>
            <w:pPr>
              <w:jc w:val="center"/>
              <w:rPr>
                <w:rFonts w:ascii="宋体" w:hAnsi="宋体"/>
                <w:color w:val="000000" w:themeColor="text1"/>
                <w:szCs w:val="21"/>
                <w14:textFill>
                  <w14:solidFill>
                    <w14:schemeClr w14:val="tx1"/>
                  </w14:solidFill>
                </w14:textFill>
              </w:rPr>
            </w:pPr>
          </w:p>
        </w:tc>
        <w:tc>
          <w:tcPr>
            <w:tcW w:w="2800"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14"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9"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2302" w:type="dxa"/>
            <w:vAlign w:val="center"/>
          </w:tcPr>
          <w:p>
            <w:pPr>
              <w:rPr>
                <w:rFonts w:ascii="宋体" w:hAnsi="宋体"/>
                <w:color w:val="000000" w:themeColor="text1"/>
                <w:szCs w:val="21"/>
                <w14:textFill>
                  <w14:solidFill>
                    <w14:schemeClr w14:val="tx1"/>
                  </w14:solidFill>
                </w14:textFill>
              </w:rPr>
            </w:pPr>
          </w:p>
        </w:tc>
        <w:tc>
          <w:tcPr>
            <w:tcW w:w="2157" w:type="dxa"/>
            <w:vAlign w:val="center"/>
          </w:tcPr>
          <w:p>
            <w:pPr>
              <w:jc w:val="center"/>
              <w:rPr>
                <w:rFonts w:ascii="宋体" w:hAnsi="宋体"/>
                <w:color w:val="000000" w:themeColor="text1"/>
                <w:szCs w:val="21"/>
                <w14:textFill>
                  <w14:solidFill>
                    <w14:schemeClr w14:val="tx1"/>
                  </w14:solidFill>
                </w14:textFill>
              </w:rPr>
            </w:pPr>
          </w:p>
        </w:tc>
        <w:tc>
          <w:tcPr>
            <w:tcW w:w="2800"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14"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9"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2302" w:type="dxa"/>
            <w:vAlign w:val="center"/>
          </w:tcPr>
          <w:p>
            <w:pPr>
              <w:rPr>
                <w:rFonts w:ascii="宋体" w:hAnsi="宋体"/>
                <w:color w:val="000000" w:themeColor="text1"/>
                <w:szCs w:val="21"/>
                <w14:textFill>
                  <w14:solidFill>
                    <w14:schemeClr w14:val="tx1"/>
                  </w14:solidFill>
                </w14:textFill>
              </w:rPr>
            </w:pPr>
          </w:p>
        </w:tc>
        <w:tc>
          <w:tcPr>
            <w:tcW w:w="2157" w:type="dxa"/>
            <w:vAlign w:val="center"/>
          </w:tcPr>
          <w:p>
            <w:pPr>
              <w:jc w:val="center"/>
              <w:rPr>
                <w:rFonts w:ascii="宋体" w:hAnsi="宋体"/>
                <w:color w:val="000000" w:themeColor="text1"/>
                <w:szCs w:val="21"/>
                <w14:textFill>
                  <w14:solidFill>
                    <w14:schemeClr w14:val="tx1"/>
                  </w14:solidFill>
                </w14:textFill>
              </w:rPr>
            </w:pPr>
          </w:p>
        </w:tc>
        <w:tc>
          <w:tcPr>
            <w:tcW w:w="2800"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14"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9"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2302" w:type="dxa"/>
            <w:vAlign w:val="center"/>
          </w:tcPr>
          <w:p>
            <w:pPr>
              <w:rPr>
                <w:rFonts w:ascii="宋体" w:hAnsi="宋体"/>
                <w:color w:val="000000" w:themeColor="text1"/>
                <w:szCs w:val="21"/>
                <w14:textFill>
                  <w14:solidFill>
                    <w14:schemeClr w14:val="tx1"/>
                  </w14:solidFill>
                </w14:textFill>
              </w:rPr>
            </w:pPr>
          </w:p>
        </w:tc>
        <w:tc>
          <w:tcPr>
            <w:tcW w:w="2157" w:type="dxa"/>
            <w:vAlign w:val="center"/>
          </w:tcPr>
          <w:p>
            <w:pPr>
              <w:jc w:val="center"/>
              <w:rPr>
                <w:rFonts w:ascii="宋体" w:hAnsi="宋体"/>
                <w:color w:val="000000" w:themeColor="text1"/>
                <w:szCs w:val="21"/>
                <w14:textFill>
                  <w14:solidFill>
                    <w14:schemeClr w14:val="tx1"/>
                  </w14:solidFill>
                </w14:textFill>
              </w:rPr>
            </w:pPr>
          </w:p>
        </w:tc>
        <w:tc>
          <w:tcPr>
            <w:tcW w:w="2800"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14" w:type="dxa"/>
            <w:tcBorders>
              <w:left w:val="single" w:color="auto" w:sz="2"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见《投标文件》第</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9"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2302" w:type="dxa"/>
            <w:vAlign w:val="center"/>
          </w:tcPr>
          <w:p>
            <w:pPr>
              <w:rPr>
                <w:rFonts w:ascii="宋体" w:hAnsi="宋体"/>
                <w:color w:val="000000" w:themeColor="text1"/>
                <w:szCs w:val="21"/>
                <w14:textFill>
                  <w14:solidFill>
                    <w14:schemeClr w14:val="tx1"/>
                  </w14:solidFill>
                </w14:textFill>
              </w:rPr>
            </w:pPr>
          </w:p>
        </w:tc>
        <w:tc>
          <w:tcPr>
            <w:tcW w:w="2157" w:type="dxa"/>
            <w:vAlign w:val="center"/>
          </w:tcPr>
          <w:p>
            <w:pPr>
              <w:jc w:val="center"/>
              <w:rPr>
                <w:rFonts w:ascii="宋体" w:hAnsi="宋体"/>
                <w:color w:val="000000" w:themeColor="text1"/>
                <w:szCs w:val="21"/>
                <w14:textFill>
                  <w14:solidFill>
                    <w14:schemeClr w14:val="tx1"/>
                  </w14:solidFill>
                </w14:textFill>
              </w:rPr>
            </w:pPr>
          </w:p>
        </w:tc>
        <w:tc>
          <w:tcPr>
            <w:tcW w:w="2800" w:type="dxa"/>
            <w:tcBorders>
              <w:right w:val="single" w:color="auto" w:sz="2" w:space="0"/>
            </w:tcBorders>
            <w:vAlign w:val="center"/>
          </w:tcPr>
          <w:p>
            <w:pPr>
              <w:jc w:val="center"/>
              <w:rPr>
                <w:rFonts w:ascii="宋体" w:hAnsi="宋体"/>
                <w:color w:val="000000" w:themeColor="text1"/>
                <w:szCs w:val="21"/>
                <w14:textFill>
                  <w14:solidFill>
                    <w14:schemeClr w14:val="tx1"/>
                  </w14:solidFill>
                </w14:textFill>
              </w:rPr>
            </w:pPr>
          </w:p>
        </w:tc>
        <w:tc>
          <w:tcPr>
            <w:tcW w:w="1514" w:type="dxa"/>
            <w:tcBorders>
              <w:left w:val="single" w:color="auto" w:sz="2" w:space="0"/>
            </w:tcBorders>
            <w:vAlign w:val="center"/>
          </w:tcPr>
          <w:p>
            <w:pPr>
              <w:jc w:val="center"/>
              <w:rPr>
                <w:rFonts w:ascii="宋体" w:hAnsi="宋体" w:cs="宋体"/>
                <w:color w:val="000000" w:themeColor="text1"/>
                <w:szCs w:val="21"/>
                <w14:textFill>
                  <w14:solidFill>
                    <w14:schemeClr w14:val="tx1"/>
                  </w14:solidFill>
                </w14:textFill>
              </w:rPr>
            </w:pPr>
          </w:p>
        </w:tc>
      </w:tr>
    </w:tbl>
    <w:p>
      <w:pPr>
        <w:spacing w:line="400" w:lineRule="exact"/>
        <w:ind w:firstLine="105" w:firstLineChars="50"/>
        <w:rPr>
          <w:rFonts w:ascii="宋体" w:hAnsi="宋体"/>
          <w:color w:val="000000" w:themeColor="text1"/>
          <w14:textFill>
            <w14:solidFill>
              <w14:schemeClr w14:val="tx1"/>
            </w14:solidFill>
          </w14:textFill>
        </w:rPr>
      </w:pPr>
    </w:p>
    <w:p>
      <w:pPr>
        <w:snapToGrid w:val="0"/>
        <w:spacing w:line="4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备注：</w:t>
      </w:r>
    </w:p>
    <w:p>
      <w:pPr>
        <w:numPr>
          <w:ilvl w:val="0"/>
          <w:numId w:val="33"/>
        </w:numPr>
        <w:spacing w:line="400" w:lineRule="exac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投标人必须对应招标文件</w:t>
      </w:r>
      <w:r>
        <w:rPr>
          <w:color w:val="000000" w:themeColor="text1"/>
          <w:szCs w:val="21"/>
          <w14:textFill>
            <w14:solidFill>
              <w14:schemeClr w14:val="tx1"/>
            </w14:solidFill>
          </w14:textFill>
        </w:rPr>
        <w:t>带“</w:t>
      </w:r>
      <w:r>
        <w:rPr>
          <w:rFonts w:hAnsi="宋体"/>
          <w:b/>
          <w:bCs/>
          <w:color w:val="000000" w:themeColor="text1"/>
          <w:szCs w:val="21"/>
          <w:lang w:val="it-IT"/>
          <w14:textFill>
            <w14:solidFill>
              <w14:schemeClr w14:val="tx1"/>
            </w14:solidFill>
          </w14:textFill>
        </w:rPr>
        <w:t>▲</w:t>
      </w:r>
      <w:r>
        <w:rPr>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实质性条款逐条应答并按要求填写上表。</w:t>
      </w:r>
    </w:p>
    <w:p>
      <w:pPr>
        <w:numPr>
          <w:ilvl w:val="0"/>
          <w:numId w:val="33"/>
        </w:numPr>
        <w:spacing w:line="400" w:lineRule="exac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本表中“招标文件条款描述”的条款与技术服务要求中的条款描述不一致的以技术服务要求中规定的为准。</w:t>
      </w:r>
    </w:p>
    <w:p>
      <w:pPr>
        <w:numPr>
          <w:ilvl w:val="0"/>
          <w:numId w:val="33"/>
        </w:numPr>
        <w:spacing w:line="400" w:lineRule="exac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投标人需根据第五章 要求提供相关的证明材料，并将评审项内容在证明材料中所对应的位置清晰标明，列明所在页码，以便评委评审。</w:t>
      </w:r>
    </w:p>
    <w:p>
      <w:pPr>
        <w:pStyle w:val="17"/>
        <w:kinsoku w:val="0"/>
        <w:overflowPunct w:val="0"/>
        <w:spacing w:before="12"/>
        <w:rPr>
          <w:rFonts w:ascii="Microsoft JhengHei" w:eastAsia="Microsoft JhengHei"/>
          <w:b/>
          <w:color w:val="000000" w:themeColor="text1"/>
          <w:sz w:val="12"/>
          <w14:textFill>
            <w14:solidFill>
              <w14:schemeClr w14:val="tx1"/>
            </w14:solidFill>
          </w14:textFill>
        </w:rPr>
      </w:pPr>
    </w:p>
    <w:p>
      <w:pPr>
        <w:pStyle w:val="17"/>
        <w:kinsoku w:val="0"/>
        <w:overflowPunct w:val="0"/>
        <w:spacing w:before="2"/>
        <w:rPr>
          <w:rFonts w:ascii="Microsoft JhengHei" w:eastAsia="Microsoft JhengHei"/>
          <w:b/>
          <w:color w:val="000000" w:themeColor="text1"/>
          <w:sz w:val="4"/>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spacing w:line="440" w:lineRule="exact"/>
        <w:rPr>
          <w:color w:val="000000" w:themeColor="text1"/>
          <w:spacing w:val="4"/>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17"/>
        <w:kinsoku w:val="0"/>
        <w:overflowPunct w:val="0"/>
        <w:spacing w:before="36"/>
        <w:ind w:left="500"/>
        <w:rPr>
          <w:color w:val="000000" w:themeColor="text1"/>
          <w14:textFill>
            <w14:solidFill>
              <w14:schemeClr w14:val="tx1"/>
            </w14:solidFill>
          </w14:textFill>
        </w:rPr>
      </w:pPr>
      <w:r>
        <w:rPr>
          <w:color w:val="000000" w:themeColor="text1"/>
          <w14:textFill>
            <w14:solidFill>
              <w14:schemeClr w14:val="tx1"/>
            </w14:solidFill>
          </w14:textFill>
        </w:rPr>
        <w:br w:type="page"/>
      </w:r>
    </w:p>
    <w:p>
      <w:pPr>
        <w:numPr>
          <w:ilvl w:val="0"/>
          <w:numId w:val="31"/>
        </w:num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一般条款响应一览表</w:t>
      </w:r>
    </w:p>
    <w:p>
      <w:pPr>
        <w:pStyle w:val="17"/>
        <w:kinsoku w:val="0"/>
        <w:overflowPunct w:val="0"/>
        <w:spacing w:before="36"/>
        <w:ind w:left="500"/>
        <w:rPr>
          <w:color w:val="000000" w:themeColor="text1"/>
          <w14:textFill>
            <w14:solidFill>
              <w14:schemeClr w14:val="tx1"/>
            </w14:solidFill>
          </w14:textFill>
        </w:rPr>
      </w:pPr>
    </w:p>
    <w:tbl>
      <w:tblPr>
        <w:tblStyle w:val="4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9"/>
        <w:gridCol w:w="3229"/>
        <w:gridCol w:w="2086"/>
        <w:gridCol w:w="29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69" w:type="dxa"/>
            <w:tcBorders>
              <w:top w:val="single" w:color="auto" w:sz="12" w:space="0"/>
              <w:left w:val="single" w:color="auto" w:sz="12" w:space="0"/>
              <w:bottom w:val="single" w:color="auto" w:sz="6" w:space="0"/>
              <w:right w:val="single" w:color="auto" w:sz="6" w:space="0"/>
            </w:tcBorders>
            <w:shd w:val="clear" w:color="auto" w:fill="EEECE1"/>
            <w:vAlign w:val="center"/>
          </w:tcPr>
          <w:p>
            <w:pPr>
              <w:ind w:left="-109" w:leftChars="-52" w:right="-113" w:rightChars="-5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3229" w:type="dxa"/>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原条款描述</w:t>
            </w:r>
          </w:p>
        </w:tc>
        <w:tc>
          <w:tcPr>
            <w:tcW w:w="2086" w:type="dxa"/>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投标人响应描述</w:t>
            </w:r>
          </w:p>
        </w:tc>
        <w:tc>
          <w:tcPr>
            <w:tcW w:w="2925" w:type="dxa"/>
            <w:tcBorders>
              <w:top w:val="single" w:color="auto" w:sz="12" w:space="0"/>
              <w:left w:val="single" w:color="auto" w:sz="6" w:space="0"/>
              <w:bottom w:val="single" w:color="auto" w:sz="6" w:space="0"/>
              <w:right w:val="single" w:color="auto" w:sz="12"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偏离情况说明</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869" w:type="dxa"/>
            <w:tcBorders>
              <w:top w:val="single" w:color="auto" w:sz="6" w:space="0"/>
              <w:left w:val="single" w:color="auto" w:sz="12" w:space="0"/>
              <w:bottom w:val="single" w:color="auto" w:sz="6" w:space="0"/>
              <w:right w:val="single" w:color="auto" w:sz="6" w:space="0"/>
            </w:tcBorders>
            <w:vAlign w:val="center"/>
          </w:tcPr>
          <w:p>
            <w:pPr>
              <w:numPr>
                <w:ilvl w:val="0"/>
                <w:numId w:val="34"/>
              </w:numPr>
              <w:tabs>
                <w:tab w:val="left" w:pos="360"/>
                <w:tab w:val="clear" w:pos="426"/>
              </w:tabs>
              <w:ind w:hanging="354"/>
              <w:jc w:val="center"/>
              <w:rPr>
                <w:rFonts w:ascii="宋体" w:hAnsi="宋体" w:cs="宋体"/>
                <w:color w:val="000000" w:themeColor="text1"/>
                <w14:textFill>
                  <w14:solidFill>
                    <w14:schemeClr w14:val="tx1"/>
                  </w14:solidFill>
                </w14:textFill>
              </w:rPr>
            </w:pPr>
          </w:p>
        </w:tc>
        <w:tc>
          <w:tcPr>
            <w:tcW w:w="3229" w:type="dxa"/>
            <w:tcBorders>
              <w:top w:val="single" w:color="auto" w:sz="6" w:space="0"/>
              <w:left w:val="single" w:color="auto" w:sz="6" w:space="0"/>
              <w:bottom w:val="single" w:color="auto" w:sz="6" w:space="0"/>
              <w:right w:val="single" w:color="auto" w:sz="6" w:space="0"/>
            </w:tcBorders>
            <w:vAlign w:val="center"/>
          </w:tcPr>
          <w:p>
            <w:pPr>
              <w:pStyle w:val="23"/>
              <w:tabs>
                <w:tab w:val="left" w:pos="2340"/>
              </w:tabs>
              <w:rPr>
                <w:rFonts w:hAnsi="宋体" w:cs="宋体"/>
                <w:color w:val="000000" w:themeColor="text1"/>
                <w14:textFill>
                  <w14:solidFill>
                    <w14:schemeClr w14:val="tx1"/>
                  </w14:solidFill>
                </w14:textFill>
              </w:rPr>
            </w:pPr>
          </w:p>
        </w:tc>
        <w:tc>
          <w:tcPr>
            <w:tcW w:w="20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color w:val="000000" w:themeColor="text1"/>
                <w14:textFill>
                  <w14:solidFill>
                    <w14:schemeClr w14:val="tx1"/>
                  </w14:solidFill>
                </w14:textFill>
              </w:rPr>
            </w:pPr>
          </w:p>
        </w:tc>
        <w:tc>
          <w:tcPr>
            <w:tcW w:w="2925"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869" w:type="dxa"/>
            <w:tcBorders>
              <w:top w:val="single" w:color="auto" w:sz="6" w:space="0"/>
              <w:left w:val="single" w:color="auto" w:sz="12" w:space="0"/>
              <w:bottom w:val="single" w:color="auto" w:sz="12" w:space="0"/>
              <w:right w:val="single" w:color="auto" w:sz="6" w:space="0"/>
            </w:tcBorders>
            <w:vAlign w:val="center"/>
          </w:tcPr>
          <w:p>
            <w:pPr>
              <w:numPr>
                <w:ilvl w:val="0"/>
                <w:numId w:val="34"/>
              </w:numPr>
              <w:tabs>
                <w:tab w:val="left" w:pos="360"/>
                <w:tab w:val="clear" w:pos="426"/>
              </w:tabs>
              <w:ind w:hanging="354"/>
              <w:jc w:val="center"/>
              <w:rPr>
                <w:rFonts w:ascii="宋体" w:hAnsi="宋体" w:cs="宋体"/>
                <w:color w:val="000000" w:themeColor="text1"/>
                <w14:textFill>
                  <w14:solidFill>
                    <w14:schemeClr w14:val="tx1"/>
                  </w14:solidFill>
                </w14:textFill>
              </w:rPr>
            </w:pPr>
          </w:p>
        </w:tc>
        <w:tc>
          <w:tcPr>
            <w:tcW w:w="3229" w:type="dxa"/>
            <w:tcBorders>
              <w:top w:val="single" w:color="auto" w:sz="6" w:space="0"/>
              <w:left w:val="single" w:color="auto" w:sz="6" w:space="0"/>
              <w:bottom w:val="single" w:color="auto" w:sz="12" w:space="0"/>
              <w:right w:val="single" w:color="auto" w:sz="6" w:space="0"/>
            </w:tcBorders>
            <w:vAlign w:val="center"/>
          </w:tcPr>
          <w:p>
            <w:pPr>
              <w:rPr>
                <w:rFonts w:ascii="宋体" w:hAnsi="宋体" w:cs="宋体"/>
                <w:snapToGrid w:val="0"/>
                <w:color w:val="000000" w:themeColor="text1"/>
                <w14:textFill>
                  <w14:solidFill>
                    <w14:schemeClr w14:val="tx1"/>
                  </w14:solidFill>
                </w14:textFill>
              </w:rPr>
            </w:pPr>
            <w:r>
              <w:rPr>
                <w:rFonts w:hint="eastAsia" w:ascii="宋体" w:hAnsi="宋体" w:cs="宋体"/>
                <w:snapToGrid w:val="0"/>
                <w:color w:val="000000" w:themeColor="text1"/>
                <w14:textFill>
                  <w14:solidFill>
                    <w14:schemeClr w14:val="tx1"/>
                  </w14:solidFill>
                </w14:textFill>
              </w:rPr>
              <w:t>……</w:t>
            </w:r>
          </w:p>
        </w:tc>
        <w:tc>
          <w:tcPr>
            <w:tcW w:w="2086"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s="宋体"/>
                <w:color w:val="000000" w:themeColor="text1"/>
                <w14:textFill>
                  <w14:solidFill>
                    <w14:schemeClr w14:val="tx1"/>
                  </w14:solidFill>
                </w14:textFill>
              </w:rPr>
            </w:pPr>
          </w:p>
        </w:tc>
        <w:tc>
          <w:tcPr>
            <w:tcW w:w="2925"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cs="宋体"/>
                <w:color w:val="000000" w:themeColor="text1"/>
                <w14:textFill>
                  <w14:solidFill>
                    <w14:schemeClr w14:val="tx1"/>
                  </w14:solidFill>
                </w14:textFill>
              </w:rPr>
            </w:pPr>
          </w:p>
        </w:tc>
      </w:tr>
    </w:tbl>
    <w:p>
      <w:pPr>
        <w:spacing w:after="120" w:line="340" w:lineRule="exact"/>
        <w:rPr>
          <w:rFonts w:eastAsia="Times New Roman"/>
          <w:color w:val="000000" w:themeColor="text1"/>
          <w14:textFill>
            <w14:solidFill>
              <w14:schemeClr w14:val="tx1"/>
            </w14:solidFill>
          </w14:textFill>
        </w:rPr>
      </w:pPr>
      <w:r>
        <w:rPr>
          <w:color w:val="000000" w:themeColor="text1"/>
          <w14:textFill>
            <w14:solidFill>
              <w14:schemeClr w14:val="tx1"/>
            </w14:solidFill>
          </w14:textFill>
        </w:rPr>
        <w:t>说明：1、响应：即指满足；偏离分为正偏离和负偏离，优于招标文件要求的为正偏离；劣于招标文件要求的为负偏离，即不满足。若完全满足无偏离说明，可在偏离说明处应答“完全满足招标文件合同、技术条款中</w:t>
      </w:r>
      <w:r>
        <w:rPr>
          <w:b/>
          <w:bCs/>
          <w:color w:val="000000" w:themeColor="text1"/>
          <w14:textFill>
            <w14:solidFill>
              <w14:schemeClr w14:val="tx1"/>
            </w14:solidFill>
          </w14:textFill>
        </w:rPr>
        <w:t>非</w:t>
      </w:r>
      <w:r>
        <w:rPr>
          <w:rFonts w:ascii="宋体"/>
          <w:b/>
          <w:bCs/>
          <w:color w:val="000000" w:themeColor="text1"/>
          <w:szCs w:val="21"/>
          <w14:textFill>
            <w14:solidFill>
              <w14:schemeClr w14:val="tx1"/>
            </w14:solidFill>
          </w14:textFill>
        </w:rPr>
        <w:t>★、</w:t>
      </w:r>
      <w:r>
        <w:rPr>
          <w:rFonts w:hAnsi="宋体"/>
          <w:b/>
          <w:bCs/>
          <w:color w:val="000000" w:themeColor="text1"/>
          <w:szCs w:val="21"/>
          <w:lang w:val="it-IT"/>
          <w14:textFill>
            <w14:solidFill>
              <w14:schemeClr w14:val="tx1"/>
            </w14:solidFill>
          </w14:textFill>
        </w:rPr>
        <w:t>▲条款</w:t>
      </w:r>
      <w:r>
        <w:rPr>
          <w:color w:val="000000" w:themeColor="text1"/>
          <w14:textFill>
            <w14:solidFill>
              <w14:schemeClr w14:val="tx1"/>
            </w14:solidFill>
          </w14:textFill>
        </w:rPr>
        <w:t>要求”。</w:t>
      </w:r>
    </w:p>
    <w:p>
      <w:pPr>
        <w:spacing w:after="120" w:line="340" w:lineRule="exact"/>
        <w:rPr>
          <w:rFonts w:eastAsia="Times New Roman"/>
          <w:color w:val="000000" w:themeColor="text1"/>
          <w14:textFill>
            <w14:solidFill>
              <w14:schemeClr w14:val="tx1"/>
            </w14:solidFill>
          </w14:textFill>
        </w:rPr>
      </w:pPr>
      <w:r>
        <w:rPr>
          <w:color w:val="000000" w:themeColor="text1"/>
          <w14:textFill>
            <w14:solidFill>
              <w14:schemeClr w14:val="tx1"/>
            </w14:solidFill>
          </w14:textFill>
        </w:rPr>
        <w:t>2、若不填写该表，则表示完全满足合同、技术条款中</w:t>
      </w:r>
      <w:r>
        <w:rPr>
          <w:b/>
          <w:bCs/>
          <w:color w:val="000000" w:themeColor="text1"/>
          <w14:textFill>
            <w14:solidFill>
              <w14:schemeClr w14:val="tx1"/>
            </w14:solidFill>
          </w14:textFill>
        </w:rPr>
        <w:t>非</w:t>
      </w:r>
      <w:r>
        <w:rPr>
          <w:rFonts w:ascii="宋体"/>
          <w:b/>
          <w:bCs/>
          <w:color w:val="000000" w:themeColor="text1"/>
          <w:szCs w:val="21"/>
          <w14:textFill>
            <w14:solidFill>
              <w14:schemeClr w14:val="tx1"/>
            </w14:solidFill>
          </w14:textFill>
        </w:rPr>
        <w:t>★、</w:t>
      </w:r>
      <w:r>
        <w:rPr>
          <w:rFonts w:hAnsi="宋体"/>
          <w:b/>
          <w:bCs/>
          <w:color w:val="000000" w:themeColor="text1"/>
          <w:szCs w:val="21"/>
          <w:lang w:val="it-IT"/>
          <w14:textFill>
            <w14:solidFill>
              <w14:schemeClr w14:val="tx1"/>
            </w14:solidFill>
          </w14:textFill>
        </w:rPr>
        <w:t>▲条款</w:t>
      </w:r>
      <w:r>
        <w:rPr>
          <w:color w:val="000000" w:themeColor="text1"/>
          <w14:textFill>
            <w14:solidFill>
              <w14:schemeClr w14:val="tx1"/>
            </w14:solidFill>
          </w14:textFill>
        </w:rPr>
        <w:t>的要求。</w:t>
      </w:r>
    </w:p>
    <w:p>
      <w:pPr>
        <w:pStyle w:val="2"/>
        <w:ind w:firstLine="0"/>
        <w:rPr>
          <w:color w:val="000000" w:themeColor="text1"/>
          <w:spacing w:val="4"/>
          <w:u w:val="single"/>
          <w14:textFill>
            <w14:solidFill>
              <w14:schemeClr w14:val="tx1"/>
            </w14:solidFill>
          </w14:textFill>
        </w:rPr>
      </w:pPr>
    </w:p>
    <w:p>
      <w:pPr>
        <w:pStyle w:val="2"/>
        <w:ind w:firstLine="0"/>
        <w:rPr>
          <w:color w:val="000000" w:themeColor="text1"/>
          <w:spacing w:val="4"/>
          <w:u w:val="single"/>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日期：</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年</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月</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日</w:t>
      </w:r>
    </w:p>
    <w:p>
      <w:pPr>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br w:type="page"/>
      </w:r>
    </w:p>
    <w:p>
      <w:pPr>
        <w:pStyle w:val="4"/>
        <w:numPr>
          <w:ilvl w:val="1"/>
          <w:numId w:val="0"/>
        </w:numPr>
        <w:rPr>
          <w:color w:val="000000" w:themeColor="text1"/>
          <w14:textFill>
            <w14:solidFill>
              <w14:schemeClr w14:val="tx1"/>
            </w14:solidFill>
          </w14:textFill>
        </w:rPr>
      </w:pPr>
      <w:bookmarkStart w:id="1959" w:name="_Toc18193"/>
      <w:bookmarkStart w:id="1960" w:name="_Toc19282"/>
      <w:r>
        <w:rPr>
          <w:rFonts w:hint="eastAsia"/>
          <w:color w:val="000000" w:themeColor="text1"/>
          <w14:textFill>
            <w14:solidFill>
              <w14:schemeClr w14:val="tx1"/>
            </w14:solidFill>
          </w14:textFill>
        </w:rPr>
        <w:t>附件五：同类业绩一览表</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adjustRightInd w:val="0"/>
        <w:snapToGrid w:val="0"/>
        <w:spacing w:line="360" w:lineRule="auto"/>
        <w:jc w:val="left"/>
        <w:rPr>
          <w:rFonts w:ascii="宋体" w:hAnsi="宋体"/>
          <w:bCs/>
          <w:cap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szCs w:val="2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p>
    <w:tbl>
      <w:tblPr>
        <w:tblStyle w:val="48"/>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57"/>
        <w:gridCol w:w="1206"/>
        <w:gridCol w:w="1063"/>
        <w:gridCol w:w="1333"/>
        <w:gridCol w:w="1174"/>
        <w:gridCol w:w="1126"/>
        <w:gridCol w:w="116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7"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序号</w:t>
            </w:r>
          </w:p>
        </w:tc>
        <w:tc>
          <w:tcPr>
            <w:tcW w:w="1157"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项目名称</w:t>
            </w:r>
          </w:p>
        </w:tc>
        <w:tc>
          <w:tcPr>
            <w:tcW w:w="1206"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内容</w:t>
            </w:r>
          </w:p>
        </w:tc>
        <w:tc>
          <w:tcPr>
            <w:tcW w:w="1063"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数量</w:t>
            </w:r>
          </w:p>
        </w:tc>
        <w:tc>
          <w:tcPr>
            <w:tcW w:w="1333"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中标金额（元）</w:t>
            </w:r>
          </w:p>
        </w:tc>
        <w:tc>
          <w:tcPr>
            <w:tcW w:w="1174"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完成日期</w:t>
            </w:r>
          </w:p>
        </w:tc>
        <w:tc>
          <w:tcPr>
            <w:tcW w:w="1126"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用户单位</w:t>
            </w:r>
          </w:p>
        </w:tc>
        <w:tc>
          <w:tcPr>
            <w:tcW w:w="1162"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联系电话</w:t>
            </w:r>
          </w:p>
        </w:tc>
        <w:tc>
          <w:tcPr>
            <w:tcW w:w="778"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2"/>
              <w:tabs>
                <w:tab w:val="left" w:pos="0"/>
              </w:tabs>
              <w:snapToGrid w:val="0"/>
              <w:ind w:right="-8677" w:rightChars="-4132" w:firstLine="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2"/>
              <w:snapToGrid w:val="0"/>
              <w:ind w:firstLine="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2"/>
              <w:snapToGrid w:val="0"/>
              <w:jc w:val="center"/>
              <w:rPr>
                <w:rFonts w:hAnsi="宋体"/>
                <w:bCs/>
                <w:color w:val="000000" w:themeColor="text1"/>
                <w:kern w:val="2"/>
                <w:sz w:val="21"/>
                <w:szCs w:val="24"/>
                <w14:textFill>
                  <w14:solidFill>
                    <w14:schemeClr w14:val="tx1"/>
                  </w14:solidFill>
                </w14:textFill>
              </w:rPr>
            </w:pPr>
          </w:p>
        </w:tc>
      </w:tr>
    </w:tbl>
    <w:p>
      <w:pPr>
        <w:pStyle w:val="2"/>
        <w:snapToGrid w:val="0"/>
        <w:spacing w:line="360" w:lineRule="auto"/>
        <w:ind w:firstLine="0"/>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注：如本表格式内容不能满足需要，投标人可自行划表填写，但必须体现以上内容。</w:t>
      </w:r>
    </w:p>
    <w:p>
      <w:pPr>
        <w:pStyle w:val="2"/>
        <w:snapToGrid w:val="0"/>
        <w:spacing w:line="360" w:lineRule="auto"/>
        <w:rPr>
          <w:rFonts w:hAnsi="宋体"/>
          <w:bCs/>
          <w:color w:val="000000" w:themeColor="text1"/>
          <w:sz w:val="21"/>
          <w14:textFill>
            <w14:solidFill>
              <w14:schemeClr w14:val="tx1"/>
            </w14:solidFill>
          </w14:textFill>
        </w:rPr>
      </w:pPr>
    </w:p>
    <w:p>
      <w:pPr>
        <w:pStyle w:val="2"/>
        <w:snapToGrid w:val="0"/>
        <w:spacing w:line="360" w:lineRule="auto"/>
        <w:rPr>
          <w:rFonts w:hAnsi="宋体"/>
          <w:bCs/>
          <w:color w:val="000000" w:themeColor="text1"/>
          <w:sz w:val="21"/>
          <w14:textFill>
            <w14:solidFill>
              <w14:schemeClr w14:val="tx1"/>
            </w14:solidFill>
          </w14:textFill>
        </w:rPr>
      </w:pPr>
    </w:p>
    <w:p>
      <w:pPr>
        <w:pStyle w:val="2"/>
        <w:snapToGrid w:val="0"/>
        <w:spacing w:line="360" w:lineRule="auto"/>
        <w:rPr>
          <w:rFonts w:hAnsi="宋体"/>
          <w:bCs/>
          <w:color w:val="000000" w:themeColor="text1"/>
          <w:sz w:val="21"/>
          <w14:textFill>
            <w14:solidFill>
              <w14:schemeClr w14:val="tx1"/>
            </w14:solidFill>
          </w14:textFill>
        </w:rPr>
      </w:pPr>
    </w:p>
    <w:p>
      <w:pPr>
        <w:pStyle w:val="2"/>
        <w:snapToGrid w:val="0"/>
        <w:spacing w:line="360" w:lineRule="auto"/>
        <w:rPr>
          <w:rFonts w:hAnsi="宋体"/>
          <w:bCs/>
          <w:color w:val="000000" w:themeColor="text1"/>
          <w:sz w:val="2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4"/>
        <w:numPr>
          <w:ilvl w:val="1"/>
          <w:numId w:val="0"/>
        </w:numPr>
        <w:jc w:val="both"/>
        <w:rPr>
          <w:color w:val="000000" w:themeColor="text1"/>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color w:val="000000" w:themeColor="text1"/>
          <w14:textFill>
            <w14:solidFill>
              <w14:schemeClr w14:val="tx1"/>
            </w14:solidFill>
          </w14:textFill>
        </w:rPr>
      </w:pPr>
      <w:bookmarkStart w:id="1961" w:name="_Toc25116"/>
      <w:bookmarkStart w:id="1962" w:name="_Toc9858"/>
      <w:bookmarkStart w:id="1963" w:name="_Toc432695230"/>
      <w:bookmarkStart w:id="1964" w:name="_Toc10879"/>
      <w:bookmarkStart w:id="1965" w:name="_Toc434832511"/>
      <w:r>
        <w:rPr>
          <w:rFonts w:hint="eastAsia"/>
          <w:color w:val="000000" w:themeColor="text1"/>
          <w14:textFill>
            <w14:solidFill>
              <w14:schemeClr w14:val="tx1"/>
            </w14:solidFill>
          </w14:textFill>
        </w:rPr>
        <w:t>附件六：中标服务费承诺</w:t>
      </w:r>
      <w:bookmarkEnd w:id="1961"/>
      <w:bookmarkEnd w:id="1962"/>
      <w:bookmarkEnd w:id="1963"/>
      <w:bookmarkEnd w:id="1964"/>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广东业信采购招标有限公司</w:t>
      </w:r>
      <w:r>
        <w:rPr>
          <w:rFonts w:hint="eastAsia" w:ascii="宋体" w:hAnsi="宋体"/>
          <w:color w:val="000000" w:themeColor="text1"/>
          <w14:textFill>
            <w14:solidFill>
              <w14:schemeClr w14:val="tx1"/>
            </w14:solidFill>
          </w14:textFill>
        </w:rPr>
        <w:t>：</w:t>
      </w:r>
    </w:p>
    <w:p>
      <w:pPr>
        <w:spacing w:line="360" w:lineRule="auto"/>
        <w:rPr>
          <w:rFonts w:ascii="宋体" w:hAnsi="宋体"/>
          <w:color w:val="000000" w:themeColor="text1"/>
          <w14:textFill>
            <w14:solidFill>
              <w14:schemeClr w14:val="tx1"/>
            </w14:solidFill>
          </w14:textFill>
        </w:rPr>
      </w:pP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针对贵方组织的（项目名称：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）招标（项目编号: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），我方承诺：</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 若我方中标，将严格遵照本项目招标文件的规定向招标代理机构缴纳中标服务费。</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 若我方中标后拒绝如数缴纳或未按本项目招标文件规定的期限缴纳中标服务费，则视为我方自动放弃该中标结果，贵</w:t>
      </w:r>
      <w:r>
        <w:rPr>
          <w:rFonts w:hint="eastAsia" w:ascii="宋体" w:hAnsi="宋体"/>
          <w:color w:val="000000" w:themeColor="text1"/>
          <w:szCs w:val="21"/>
          <w14:textFill>
            <w14:solidFill>
              <w14:schemeClr w14:val="tx1"/>
            </w14:solidFill>
          </w14:textFill>
        </w:rPr>
        <w:t>方</w:t>
      </w:r>
      <w:r>
        <w:rPr>
          <w:rFonts w:hint="eastAsia" w:ascii="宋体" w:hAnsi="宋体"/>
          <w:color w:val="000000" w:themeColor="text1"/>
          <w14:textFill>
            <w14:solidFill>
              <w14:schemeClr w14:val="tx1"/>
            </w14:solidFill>
          </w14:textFill>
        </w:rPr>
        <w:t>有权重新确定中标结果，</w:t>
      </w:r>
      <w:r>
        <w:rPr>
          <w:rFonts w:hint="eastAsia" w:ascii="宋体"/>
          <w:color w:val="000000" w:themeColor="text1"/>
          <w14:textFill>
            <w14:solidFill>
              <w14:schemeClr w14:val="tx1"/>
            </w14:solidFill>
          </w14:textFill>
        </w:rPr>
        <w:t>我方对此无任何异议。</w:t>
      </w:r>
    </w:p>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pacing w:line="440" w:lineRule="exact"/>
        <w:ind w:firstLine="420" w:firstLineChars="200"/>
        <w:rPr>
          <w:rFonts w:ascii="宋体" w:hAnsi="宋体"/>
          <w:color w:val="000000" w:themeColor="text1"/>
          <w14:textFill>
            <w14:solidFill>
              <w14:schemeClr w14:val="tx1"/>
            </w14:solidFill>
          </w14:textFill>
        </w:rPr>
      </w:pP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rPr>
          <w:color w:val="000000" w:themeColor="text1"/>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color w:val="000000" w:themeColor="text1"/>
          <w14:textFill>
            <w14:solidFill>
              <w14:schemeClr w14:val="tx1"/>
            </w14:solidFill>
          </w14:textFill>
        </w:rPr>
      </w:pPr>
      <w:bookmarkStart w:id="1966" w:name="_Toc326065622"/>
      <w:bookmarkStart w:id="1967" w:name="_Toc342296792"/>
      <w:bookmarkStart w:id="1968" w:name="_Toc332206740"/>
      <w:bookmarkStart w:id="1969" w:name="_Toc343248449"/>
      <w:bookmarkStart w:id="1970" w:name="_Toc366072563"/>
      <w:bookmarkStart w:id="1971" w:name="_Toc336681966"/>
      <w:bookmarkStart w:id="1972" w:name="_Toc331512932"/>
      <w:bookmarkStart w:id="1973" w:name="_Toc343612951"/>
      <w:bookmarkStart w:id="1974" w:name="_Toc350438780"/>
      <w:bookmarkStart w:id="1975" w:name="_Toc26644"/>
      <w:bookmarkStart w:id="1976" w:name="_Toc339362331"/>
      <w:bookmarkStart w:id="1977" w:name="_Toc332270378"/>
      <w:bookmarkStart w:id="1978" w:name="_Toc333935718"/>
      <w:bookmarkStart w:id="1979" w:name="_Toc4303"/>
      <w:bookmarkStart w:id="1980" w:name="_Toc343247131"/>
      <w:bookmarkStart w:id="1981" w:name="_Toc330460017"/>
      <w:bookmarkStart w:id="1982" w:name="_Toc333935377"/>
      <w:bookmarkStart w:id="1983" w:name="_Toc340672900"/>
      <w:bookmarkStart w:id="1984" w:name="_Toc342312474"/>
      <w:bookmarkStart w:id="1985" w:name="_Toc350756481"/>
      <w:bookmarkStart w:id="1986" w:name="_Toc336681611"/>
      <w:bookmarkStart w:id="1987" w:name="_Toc432695231"/>
      <w:bookmarkStart w:id="1988" w:name="_Toc333237820"/>
      <w:bookmarkStart w:id="1989" w:name="_Toc341348371"/>
      <w:bookmarkStart w:id="1990" w:name="_Toc340677101"/>
      <w:bookmarkStart w:id="1991" w:name="_Toc339020046"/>
      <w:bookmarkStart w:id="1992" w:name="_Toc331684073"/>
      <w:bookmarkStart w:id="1993" w:name="_Toc340507473"/>
      <w:bookmarkStart w:id="1994" w:name="_Toc333237709"/>
      <w:bookmarkStart w:id="1995" w:name="_Toc339019920"/>
      <w:bookmarkStart w:id="1996" w:name="_Toc342398161"/>
      <w:bookmarkStart w:id="1997" w:name="_Toc339441118"/>
      <w:bookmarkStart w:id="1998" w:name="_Toc345312628"/>
      <w:bookmarkStart w:id="1999" w:name="_Toc339020126"/>
      <w:bookmarkStart w:id="2000" w:name="_Toc365985212"/>
      <w:bookmarkStart w:id="2001" w:name="_Toc365967106"/>
      <w:bookmarkStart w:id="2002" w:name="_Toc339020264"/>
      <w:bookmarkStart w:id="2003" w:name="_Toc342060406"/>
      <w:bookmarkStart w:id="2004" w:name="_Toc333238665"/>
      <w:bookmarkStart w:id="2005" w:name="_Toc337632389"/>
      <w:bookmarkStart w:id="2006" w:name="_Toc10463"/>
      <w:r>
        <w:rPr>
          <w:rFonts w:hint="eastAsia"/>
          <w:color w:val="000000" w:themeColor="text1"/>
          <w14:textFill>
            <w14:solidFill>
              <w14:schemeClr w14:val="tx1"/>
            </w14:solidFill>
          </w14:textFill>
        </w:rPr>
        <w:t>附件七：</w:t>
      </w:r>
      <w:bookmarkEnd w:id="1966"/>
      <w:r>
        <w:rPr>
          <w:rFonts w:hint="eastAsia"/>
          <w:color w:val="000000" w:themeColor="text1"/>
          <w14:textFill>
            <w14:solidFill>
              <w14:schemeClr w14:val="tx1"/>
            </w14:solidFill>
          </w14:textFill>
        </w:rPr>
        <w:t>投标人提交的其它商务和技术资料</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adjustRightInd w:val="0"/>
        <w:snapToGrid w:val="0"/>
        <w:spacing w:line="360" w:lineRule="auto"/>
        <w:jc w:val="left"/>
        <w:rPr>
          <w:rFonts w:ascii="宋体" w:hAnsi="宋体"/>
          <w:bCs/>
          <w:color w:val="000000" w:themeColor="text1"/>
          <w14:textFill>
            <w14:solidFill>
              <w14:schemeClr w14:val="tx1"/>
            </w14:solidFill>
          </w14:textFill>
        </w:rPr>
      </w:pPr>
    </w:p>
    <w:p>
      <w:pPr>
        <w:adjustRightInd w:val="0"/>
        <w:snapToGrid w:val="0"/>
        <w:spacing w:line="360" w:lineRule="auto"/>
        <w:jc w:val="left"/>
        <w:rPr>
          <w:rFonts w:ascii="宋体" w:hAnsi="宋体"/>
          <w:bCs/>
          <w:cap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szCs w:val="2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14:textFill>
            <w14:solidFill>
              <w14:schemeClr w14:val="tx1"/>
            </w14:solidFill>
          </w14:textFill>
        </w:rPr>
      </w:pPr>
    </w:p>
    <w:p>
      <w:pPr>
        <w:pStyle w:val="2"/>
        <w:spacing w:line="360" w:lineRule="auto"/>
        <w:rPr>
          <w:rFonts w:hAnsi="宋体"/>
          <w:bCs/>
          <w:color w:val="000000" w:themeColor="text1"/>
          <w:sz w:val="21"/>
          <w14:textFill>
            <w14:solidFill>
              <w14:schemeClr w14:val="tx1"/>
            </w14:solidFill>
          </w14:textFill>
        </w:rPr>
      </w:pPr>
    </w:p>
    <w:p>
      <w:pPr>
        <w:pStyle w:val="2"/>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本节无格式要求，投标人可根据自身实际情况以及招标文件评分细则规定的详细评审内容和应当提供的证明材料进行编制。</w:t>
      </w:r>
    </w:p>
    <w:p>
      <w:pPr>
        <w:pStyle w:val="2"/>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一、</w:t>
      </w:r>
      <w:r>
        <w:rPr>
          <w:rFonts w:hAnsi="宋体"/>
          <w:bCs/>
          <w:color w:val="000000" w:themeColor="text1"/>
          <w:sz w:val="21"/>
          <w14:textFill>
            <w14:solidFill>
              <w14:schemeClr w14:val="tx1"/>
            </w14:solidFill>
          </w14:textFill>
        </w:rPr>
        <w:t>...</w:t>
      </w:r>
    </w:p>
    <w:p>
      <w:pPr>
        <w:pStyle w:val="2"/>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二、</w:t>
      </w:r>
      <w:r>
        <w:rPr>
          <w:rFonts w:hAnsi="宋体"/>
          <w:bCs/>
          <w:color w:val="000000" w:themeColor="text1"/>
          <w:sz w:val="21"/>
          <w14:textFill>
            <w14:solidFill>
              <w14:schemeClr w14:val="tx1"/>
            </w14:solidFill>
          </w14:textFill>
        </w:rPr>
        <w:t>...</w:t>
      </w:r>
    </w:p>
    <w:p>
      <w:pPr>
        <w:pStyle w:val="2"/>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三、</w:t>
      </w:r>
      <w:r>
        <w:rPr>
          <w:rFonts w:hAnsi="宋体"/>
          <w:bCs/>
          <w:color w:val="000000" w:themeColor="text1"/>
          <w:sz w:val="21"/>
          <w14:textFill>
            <w14:solidFill>
              <w14:schemeClr w14:val="tx1"/>
            </w14:solidFill>
          </w14:textFill>
        </w:rPr>
        <w:t>...</w:t>
      </w:r>
    </w:p>
    <w:p>
      <w:pPr>
        <w:pStyle w:val="2"/>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四、</w:t>
      </w:r>
      <w:r>
        <w:rPr>
          <w:rFonts w:hAnsi="宋体"/>
          <w:bCs/>
          <w:color w:val="000000" w:themeColor="text1"/>
          <w:sz w:val="21"/>
          <w14:textFill>
            <w14:solidFill>
              <w14:schemeClr w14:val="tx1"/>
            </w14:solidFill>
          </w14:textFill>
        </w:rPr>
        <w:t>...</w:t>
      </w:r>
    </w:p>
    <w:p>
      <w:pPr>
        <w:adjustRightInd w:val="0"/>
        <w:snapToGrid w:val="0"/>
        <w:spacing w:line="440" w:lineRule="exact"/>
        <w:rPr>
          <w:rFonts w:ascii="宋体" w:hAnsi="宋体"/>
          <w:bCs/>
          <w:color w:val="000000" w:themeColor="text1"/>
          <w14:textFill>
            <w14:solidFill>
              <w14:schemeClr w14:val="tx1"/>
            </w14:solidFill>
          </w14:textFill>
        </w:rPr>
      </w:pPr>
    </w:p>
    <w:p>
      <w:pPr>
        <w:adjustRightInd w:val="0"/>
        <w:snapToGrid w:val="0"/>
        <w:spacing w:line="440" w:lineRule="exact"/>
        <w:rPr>
          <w:rFonts w:ascii="宋体" w:hAnsi="宋体"/>
          <w:bCs/>
          <w:color w:val="000000" w:themeColor="text1"/>
          <w14:textFill>
            <w14:solidFill>
              <w14:schemeClr w14:val="tx1"/>
            </w14:solidFill>
          </w14:textFill>
        </w:rPr>
      </w:pP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2"/>
        <w:spacing w:line="360" w:lineRule="auto"/>
        <w:rPr>
          <w:color w:val="000000" w:themeColor="text1"/>
          <w14:textFill>
            <w14:solidFill>
              <w14:schemeClr w14:val="tx1"/>
            </w14:solidFill>
          </w14:textFill>
        </w:rPr>
      </w:pPr>
    </w:p>
    <w:p>
      <w:pPr>
        <w:adjustRightInd w:val="0"/>
        <w:snapToGrid w:val="0"/>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（投标人认为本节无须提交的，应注明“本节空白”字样）。</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ind w:firstLine="0"/>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numPr>
          <w:ilvl w:val="0"/>
          <w:numId w:val="0"/>
        </w:numPr>
        <w:rPr>
          <w:color w:val="000000" w:themeColor="text1"/>
          <w:sz w:val="52"/>
          <w14:textFill>
            <w14:solidFill>
              <w14:schemeClr w14:val="tx1"/>
            </w14:solidFill>
          </w14:textFill>
        </w:rPr>
      </w:pPr>
      <w:bookmarkStart w:id="2007" w:name="_Toc17257"/>
      <w:bookmarkStart w:id="2008" w:name="_Toc17522"/>
      <w:bookmarkStart w:id="2009" w:name="_Toc456887842"/>
      <w:bookmarkStart w:id="2010" w:name="_Toc456888293"/>
      <w:r>
        <w:rPr>
          <w:rFonts w:hint="eastAsia"/>
          <w:color w:val="000000" w:themeColor="text1"/>
          <w:sz w:val="52"/>
          <w14:textFill>
            <w14:solidFill>
              <w14:schemeClr w14:val="tx1"/>
            </w14:solidFill>
          </w14:textFill>
        </w:rPr>
        <w:t>其 他 格 式</w:t>
      </w:r>
      <w:bookmarkEnd w:id="1965"/>
      <w:bookmarkEnd w:id="2007"/>
      <w:bookmarkEnd w:id="2008"/>
      <w:bookmarkEnd w:id="2009"/>
      <w:bookmarkEnd w:id="2010"/>
    </w:p>
    <w:p>
      <w:pPr>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36"/>
          <w14:textFill>
            <w14:solidFill>
              <w14:schemeClr w14:val="tx1"/>
            </w14:solidFill>
          </w14:textFill>
        </w:rPr>
        <w:t>（以下文件勿装订在投标文件内</w:t>
      </w:r>
      <w:r>
        <w:rPr>
          <w:rFonts w:ascii="宋体" w:hAnsi="宋体"/>
          <w:b/>
          <w:color w:val="000000" w:themeColor="text1"/>
          <w:sz w:val="36"/>
          <w14:textFill>
            <w14:solidFill>
              <w14:schemeClr w14:val="tx1"/>
            </w14:solidFill>
          </w14:textFill>
        </w:rPr>
        <w:t>）</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jc w:val="center"/>
        <w:rPr>
          <w:b/>
          <w:bCs/>
          <w:color w:val="000000" w:themeColor="text1"/>
          <w:sz w:val="44"/>
          <w:szCs w:val="44"/>
          <w14:textFill>
            <w14:solidFill>
              <w14:schemeClr w14:val="tx1"/>
            </w14:solidFill>
          </w14:textFill>
        </w:rPr>
      </w:pPr>
    </w:p>
    <w:p>
      <w:pPr>
        <w:jc w:val="center"/>
        <w:rPr>
          <w:b/>
          <w:bCs/>
          <w:color w:val="000000" w:themeColor="text1"/>
          <w:szCs w:val="21"/>
          <w14:textFill>
            <w14:solidFill>
              <w14:schemeClr w14:val="tx1"/>
            </w14:solidFill>
          </w14:textFill>
        </w:rPr>
      </w:pPr>
      <w:r>
        <w:rPr>
          <w:rFonts w:hint="eastAsia"/>
          <w:b/>
          <w:bCs/>
          <w:color w:val="000000" w:themeColor="text1"/>
          <w:sz w:val="44"/>
          <w:szCs w:val="44"/>
          <w14:textFill>
            <w14:solidFill>
              <w14:schemeClr w14:val="tx1"/>
            </w14:solidFill>
          </w14:textFill>
        </w:rPr>
        <w:t>购买标书登记表</w:t>
      </w:r>
    </w:p>
    <w:p>
      <w:pPr>
        <w:jc w:val="center"/>
        <w:rPr>
          <w:color w:val="000000" w:themeColor="text1"/>
          <w:szCs w:val="21"/>
          <w14:textFill>
            <w14:solidFill>
              <w14:schemeClr w14:val="tx1"/>
            </w14:solidFill>
          </w14:textFill>
        </w:rPr>
      </w:pPr>
    </w:p>
    <w:tbl>
      <w:tblPr>
        <w:tblStyle w:val="4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项目名称</w:t>
            </w:r>
          </w:p>
        </w:tc>
        <w:tc>
          <w:tcPr>
            <w:tcW w:w="6775" w:type="dxa"/>
            <w:gridSpan w:val="3"/>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招标编号</w:t>
            </w:r>
          </w:p>
        </w:tc>
        <w:tc>
          <w:tcPr>
            <w:tcW w:w="1940" w:type="dxa"/>
          </w:tcPr>
          <w:p>
            <w:pPr>
              <w:rPr>
                <w:color w:val="000000" w:themeColor="text1"/>
                <w:sz w:val="28"/>
                <w:szCs w:val="28"/>
                <w14:textFill>
                  <w14:solidFill>
                    <w14:schemeClr w14:val="tx1"/>
                  </w14:solidFill>
                </w14:textFill>
              </w:rPr>
            </w:pPr>
          </w:p>
        </w:tc>
        <w:tc>
          <w:tcPr>
            <w:tcW w:w="1940"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购买时间</w:t>
            </w:r>
          </w:p>
        </w:tc>
        <w:tc>
          <w:tcPr>
            <w:tcW w:w="2895" w:type="dxa"/>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投标商名称</w:t>
            </w:r>
          </w:p>
        </w:tc>
        <w:tc>
          <w:tcPr>
            <w:tcW w:w="6775" w:type="dxa"/>
            <w:gridSpan w:val="3"/>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地址</w:t>
            </w:r>
          </w:p>
        </w:tc>
        <w:tc>
          <w:tcPr>
            <w:tcW w:w="6775" w:type="dxa"/>
            <w:gridSpan w:val="3"/>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电话</w:t>
            </w:r>
          </w:p>
        </w:tc>
        <w:tc>
          <w:tcPr>
            <w:tcW w:w="1940" w:type="dxa"/>
          </w:tcPr>
          <w:p>
            <w:pPr>
              <w:rPr>
                <w:color w:val="000000" w:themeColor="text1"/>
                <w:sz w:val="28"/>
                <w:szCs w:val="28"/>
                <w14:textFill>
                  <w14:solidFill>
                    <w14:schemeClr w14:val="tx1"/>
                  </w14:solidFill>
                </w14:textFill>
              </w:rPr>
            </w:pPr>
          </w:p>
        </w:tc>
        <w:tc>
          <w:tcPr>
            <w:tcW w:w="1940"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传真</w:t>
            </w:r>
          </w:p>
        </w:tc>
        <w:tc>
          <w:tcPr>
            <w:tcW w:w="2895" w:type="dxa"/>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联系人</w:t>
            </w:r>
          </w:p>
        </w:tc>
        <w:tc>
          <w:tcPr>
            <w:tcW w:w="1940" w:type="dxa"/>
          </w:tcPr>
          <w:p>
            <w:pPr>
              <w:rPr>
                <w:color w:val="000000" w:themeColor="text1"/>
                <w:sz w:val="28"/>
                <w:szCs w:val="28"/>
                <w14:textFill>
                  <w14:solidFill>
                    <w14:schemeClr w14:val="tx1"/>
                  </w14:solidFill>
                </w14:textFill>
              </w:rPr>
            </w:pPr>
          </w:p>
        </w:tc>
        <w:tc>
          <w:tcPr>
            <w:tcW w:w="1940"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手机</w:t>
            </w:r>
          </w:p>
        </w:tc>
        <w:tc>
          <w:tcPr>
            <w:tcW w:w="2895" w:type="dxa"/>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职务</w:t>
            </w:r>
          </w:p>
        </w:tc>
        <w:tc>
          <w:tcPr>
            <w:tcW w:w="1940" w:type="dxa"/>
          </w:tcPr>
          <w:p>
            <w:pPr>
              <w:rPr>
                <w:color w:val="000000" w:themeColor="text1"/>
                <w:sz w:val="28"/>
                <w:szCs w:val="28"/>
                <w14:textFill>
                  <w14:solidFill>
                    <w14:schemeClr w14:val="tx1"/>
                  </w14:solidFill>
                </w14:textFill>
              </w:rPr>
            </w:pPr>
          </w:p>
        </w:tc>
        <w:tc>
          <w:tcPr>
            <w:tcW w:w="1940"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电子邮件</w:t>
            </w:r>
          </w:p>
        </w:tc>
        <w:tc>
          <w:tcPr>
            <w:tcW w:w="2895" w:type="dxa"/>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7" w:hRule="atLeast"/>
          <w:jc w:val="center"/>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经营范围</w:t>
            </w:r>
          </w:p>
        </w:tc>
        <w:tc>
          <w:tcPr>
            <w:tcW w:w="6775" w:type="dxa"/>
            <w:gridSpan w:val="3"/>
          </w:tcPr>
          <w:p>
            <w:pPr>
              <w:rPr>
                <w:color w:val="000000" w:themeColor="text1"/>
                <w:sz w:val="28"/>
                <w:szCs w:val="28"/>
                <w14:textFill>
                  <w14:solidFill>
                    <w14:schemeClr w14:val="tx1"/>
                  </w14:solidFill>
                </w14:textFill>
              </w:rPr>
            </w:pPr>
          </w:p>
        </w:tc>
      </w:tr>
    </w:tbl>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询问函、质疑函格式</w:t>
      </w:r>
    </w:p>
    <w:p>
      <w:pPr>
        <w:pStyle w:val="42"/>
        <w:snapToGrid w:val="0"/>
        <w:spacing w:before="0" w:beforeAutospacing="0" w:after="0" w:afterAutospacing="0" w:line="360" w:lineRule="auto"/>
        <w:jc w:val="both"/>
        <w:rPr>
          <w:color w:val="000000" w:themeColor="text1"/>
          <w:szCs w:val="21"/>
          <w14:textFill>
            <w14:solidFill>
              <w14:schemeClr w14:val="tx1"/>
            </w14:solidFill>
          </w14:textFill>
        </w:rPr>
      </w:pPr>
    </w:p>
    <w:p>
      <w:pPr>
        <w:snapToGrid w:val="0"/>
        <w:spacing w:line="360" w:lineRule="auto"/>
        <w:ind w:firstLine="424" w:firstLineChars="201"/>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说明：本部分格式为投标供应商提交询问函、质疑函、投诉函时使用，不属于投标文件格式的组成部分。</w:t>
      </w:r>
    </w:p>
    <w:p>
      <w:pPr>
        <w:pStyle w:val="42"/>
        <w:snapToGrid w:val="0"/>
        <w:spacing w:before="0" w:beforeAutospacing="0" w:after="0" w:afterAutospacing="0" w:line="360" w:lineRule="auto"/>
        <w:jc w:val="both"/>
        <w:rPr>
          <w:color w:val="000000" w:themeColor="text1"/>
          <w:szCs w:val="21"/>
          <w14:textFill>
            <w14:solidFill>
              <w14:schemeClr w14:val="tx1"/>
            </w14:solidFill>
          </w14:textFill>
        </w:rPr>
      </w:pPr>
    </w:p>
    <w:p>
      <w:pPr>
        <w:pStyle w:val="42"/>
        <w:snapToGrid w:val="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1：询问函格式</w:t>
      </w:r>
    </w:p>
    <w:p>
      <w:pPr>
        <w:pStyle w:val="42"/>
        <w:spacing w:before="0" w:beforeAutospacing="0" w:after="0" w:afterAutospacing="0" w:line="360" w:lineRule="auto"/>
        <w:jc w:val="center"/>
        <w:rPr>
          <w:rStyle w:val="51"/>
          <w:rFonts w:cs="Times New Roman"/>
          <w:color w:val="000000" w:themeColor="text1"/>
          <w14:textFill>
            <w14:solidFill>
              <w14:schemeClr w14:val="tx1"/>
            </w14:solidFill>
          </w14:textFill>
        </w:rPr>
      </w:pPr>
      <w:r>
        <w:rPr>
          <w:rStyle w:val="51"/>
          <w:rFonts w:hint="eastAsia" w:cs="Times New Roman"/>
          <w:b w:val="0"/>
          <w:color w:val="000000" w:themeColor="text1"/>
          <w14:textFill>
            <w14:solidFill>
              <w14:schemeClr w14:val="tx1"/>
            </w14:solidFill>
          </w14:textFill>
        </w:rPr>
        <w:t>询问函</w:t>
      </w:r>
    </w:p>
    <w:p>
      <w:pPr>
        <w:widowControl/>
        <w:tabs>
          <w:tab w:val="left" w:pos="6300"/>
        </w:tabs>
        <w:snapToGrid w:val="0"/>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广东业信采购招标有限公司：</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我单位已报名并准备参与</w:t>
      </w:r>
      <w:r>
        <w:rPr>
          <w:rFonts w:hint="eastAsia" w:ascii="宋体" w:hAnsi="宋体"/>
          <w:color w:val="000000" w:themeColor="text1"/>
          <w:sz w:val="24"/>
          <w:u w:val="single"/>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项目（采购文件编号：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询问人：（公章）</w:t>
      </w:r>
    </w:p>
    <w:p>
      <w:pPr>
        <w:widowControl/>
        <w:tabs>
          <w:tab w:val="left" w:pos="6300"/>
        </w:tabs>
        <w:snapToGrid w:val="0"/>
        <w:spacing w:line="360" w:lineRule="auto"/>
        <w:ind w:firstLine="1440" w:firstLineChars="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地址/邮编：</w:t>
      </w:r>
    </w:p>
    <w:p>
      <w:pPr>
        <w:tabs>
          <w:tab w:val="left" w:pos="6300"/>
        </w:tabs>
        <w:snapToGrid w:val="0"/>
        <w:spacing w:line="360" w:lineRule="auto"/>
        <w:ind w:firstLine="1440" w:firstLineChars="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电话/传真：</w:t>
      </w:r>
    </w:p>
    <w:p>
      <w:pPr>
        <w:spacing w:line="360" w:lineRule="auto"/>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napToGrid w:val="0"/>
        <w:spacing w:line="360" w:lineRule="auto"/>
        <w:ind w:firstLine="432" w:firstLineChars="180"/>
        <w:rPr>
          <w:rFonts w:ascii="宋体" w:hAnsi="宋体"/>
          <w:color w:val="000000" w:themeColor="text1"/>
          <w:sz w:val="24"/>
          <w14:textFill>
            <w14:solidFill>
              <w14:schemeClr w14:val="tx1"/>
            </w14:solidFill>
          </w14:textFill>
        </w:rPr>
      </w:pPr>
    </w:p>
    <w:p>
      <w:pPr>
        <w:pStyle w:val="42"/>
        <w:adjustRightInd w:val="0"/>
        <w:snapToGrid w:val="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r>
        <w:rPr>
          <w:rFonts w:hint="eastAsia"/>
          <w:color w:val="000000" w:themeColor="text1"/>
          <w14:textFill>
            <w14:solidFill>
              <w14:schemeClr w14:val="tx1"/>
            </w14:solidFill>
          </w14:textFill>
        </w:rPr>
        <w:t>2：质疑函格式</w:t>
      </w:r>
    </w:p>
    <w:p>
      <w:pPr>
        <w:pStyle w:val="42"/>
        <w:spacing w:before="0" w:beforeAutospacing="0" w:after="0" w:afterAutospacing="0" w:line="360" w:lineRule="auto"/>
        <w:jc w:val="center"/>
        <w:rPr>
          <w:rStyle w:val="51"/>
          <w:rFonts w:cs="Times New Roman"/>
          <w:color w:val="000000" w:themeColor="text1"/>
          <w14:textFill>
            <w14:solidFill>
              <w14:schemeClr w14:val="tx1"/>
            </w14:solidFill>
          </w14:textFill>
        </w:rPr>
      </w:pPr>
      <w:r>
        <w:rPr>
          <w:rStyle w:val="51"/>
          <w:rFonts w:hint="eastAsia" w:cs="Times New Roman"/>
          <w:b w:val="0"/>
          <w:color w:val="000000" w:themeColor="text1"/>
          <w14:textFill>
            <w14:solidFill>
              <w14:schemeClr w14:val="tx1"/>
            </w14:solidFill>
          </w14:textFill>
        </w:rPr>
        <w:t>质疑函</w:t>
      </w:r>
    </w:p>
    <w:p>
      <w:pPr>
        <w:adjustRightInd w:val="0"/>
        <w:snapToGrid w:val="0"/>
        <w:spacing w:before="240" w:beforeLines="100" w:line="360" w:lineRule="auto"/>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质疑供应商：</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地址：</w:t>
      </w:r>
      <w:r>
        <w:rPr>
          <w:rFonts w:hint="eastAsia" w:ascii="宋体" w:hAnsi="宋体" w:cs="仿宋"/>
          <w:color w:val="000000" w:themeColor="text1"/>
          <w:sz w:val="24"/>
          <w:u w:val="dotted"/>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邮编：</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联系人：</w:t>
      </w:r>
      <w:r>
        <w:rPr>
          <w:rFonts w:hint="eastAsia" w:ascii="宋体" w:hAnsi="宋体" w:cs="仿宋"/>
          <w:color w:val="000000" w:themeColor="text1"/>
          <w:sz w:val="24"/>
          <w:u w:val="dotted"/>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联系电话：</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授权代表：</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联系电话：</w:t>
      </w:r>
      <w:r>
        <w:rPr>
          <w:rFonts w:hint="eastAsia" w:ascii="宋体" w:hAnsi="宋体" w:cs="仿宋"/>
          <w:color w:val="000000" w:themeColor="text1"/>
          <w:sz w:val="24"/>
          <w:u w:val="dotted"/>
          <w14:textFill>
            <w14:solidFill>
              <w14:schemeClr w14:val="tx1"/>
            </w14:solidFill>
          </w14:textFill>
        </w:rPr>
        <w:t xml:space="preserve">                                           </w:t>
      </w:r>
      <w:r>
        <w:rPr>
          <w:rFonts w:ascii="宋体" w:hAnsi="宋体" w:cs="仿宋"/>
          <w:color w:val="000000" w:themeColor="text1"/>
          <w:sz w:val="24"/>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地址：</w:t>
      </w:r>
      <w:r>
        <w:rPr>
          <w:rFonts w:ascii="宋体" w:hAnsi="宋体" w:cs="仿宋"/>
          <w:color w:val="000000" w:themeColor="text1"/>
          <w:sz w:val="24"/>
          <w14:textFill>
            <w14:solidFill>
              <w14:schemeClr w14:val="tx1"/>
            </w14:solidFill>
          </w14:textFill>
        </w:rPr>
        <w:t xml:space="preserve"> </w:t>
      </w:r>
      <w:r>
        <w:rPr>
          <w:rFonts w:hint="eastAsia" w:ascii="宋体" w:hAnsi="宋体" w:cs="仿宋"/>
          <w:color w:val="000000" w:themeColor="text1"/>
          <w:sz w:val="24"/>
          <w:u w:val="dotted"/>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邮编：</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质疑项目的名称：</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质疑项目的编号：</w:t>
      </w:r>
      <w:r>
        <w:rPr>
          <w:rFonts w:hint="eastAsia" w:ascii="宋体" w:hAnsi="宋体" w:cs="仿宋"/>
          <w:color w:val="000000" w:themeColor="text1"/>
          <w:sz w:val="24"/>
          <w:u w:val="dotted"/>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包号：</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招标人名称：</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采购文件获取日期：</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质疑事项1：</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事实依据：</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法律依据：</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质疑事项2</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p>
    <w:p>
      <w:pPr>
        <w:adjustRightInd w:val="0"/>
        <w:snapToGrid w:val="0"/>
        <w:spacing w:line="360" w:lineRule="auto"/>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请求：</w:t>
      </w:r>
      <w:r>
        <w:rPr>
          <w:rFonts w:hint="eastAsia" w:ascii="宋体" w:hAnsi="宋体" w:cs="仿宋"/>
          <w:color w:val="000000" w:themeColor="text1"/>
          <w:sz w:val="24"/>
          <w:u w:val="dotted"/>
          <w14:textFill>
            <w14:solidFill>
              <w14:schemeClr w14:val="tx1"/>
            </w14:solidFill>
          </w14:textFill>
        </w:rPr>
        <w:t xml:space="preserve">                                               </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签字(签章)：                   公章：                      </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日期：    </w:t>
      </w:r>
    </w:p>
    <w:p>
      <w:pPr>
        <w:adjustRightInd w:val="0"/>
        <w:snapToGrid w:val="0"/>
        <w:spacing w:line="360" w:lineRule="auto"/>
        <w:rPr>
          <w:rFonts w:ascii="宋体" w:hAnsi="宋体" w:cs="仿宋"/>
          <w:color w:val="000000" w:themeColor="text1"/>
          <w:sz w:val="24"/>
          <w14:textFill>
            <w14:solidFill>
              <w14:schemeClr w14:val="tx1"/>
            </w14:solidFill>
          </w14:textFill>
        </w:rPr>
      </w:pPr>
    </w:p>
    <w:p>
      <w:pPr>
        <w:adjustRightInd w:val="0"/>
        <w:snapToGrid w:val="0"/>
        <w:spacing w:line="360" w:lineRule="auto"/>
        <w:rPr>
          <w:rFonts w:ascii="宋体" w:hAnsi="宋体" w:cs="仿宋"/>
          <w:color w:val="000000" w:themeColor="text1"/>
          <w:sz w:val="24"/>
          <w14:textFill>
            <w14:solidFill>
              <w14:schemeClr w14:val="tx1"/>
            </w14:solidFill>
          </w14:textFill>
        </w:rPr>
      </w:pPr>
    </w:p>
    <w:p>
      <w:pPr>
        <w:adjustRightInd w:val="0"/>
        <w:snapToGrid w:val="0"/>
        <w:spacing w:line="360" w:lineRule="auto"/>
        <w:rPr>
          <w:rFonts w:ascii="宋体" w:hAnsi="宋体" w:cs="仿宋"/>
          <w:color w:val="000000" w:themeColor="text1"/>
          <w:sz w:val="24"/>
          <w14:textFill>
            <w14:solidFill>
              <w14:schemeClr w14:val="tx1"/>
            </w14:solidFill>
          </w14:textFill>
        </w:rPr>
      </w:pP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质疑函制作说明：</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1.供应商提出质疑时，应提交质疑函和必要的证明材料。</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Cs w:val="21"/>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5.质疑函的质疑请求应与质疑事项相关。</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6.质疑供应商为自然人的，质疑函应由本人签字；质疑供应商为法人或者其他组织的，</w:t>
      </w:r>
      <w:r>
        <w:rPr>
          <w:rFonts w:ascii="宋体" w:hAnsi="宋体" w:cs="宋体"/>
          <w:color w:val="000000" w:themeColor="text1"/>
          <w:kern w:val="0"/>
          <w:szCs w:val="21"/>
          <w14:textFill>
            <w14:solidFill>
              <w14:schemeClr w14:val="tx1"/>
            </w14:solidFill>
          </w14:textFill>
        </w:rPr>
        <w:t>质疑函应当</w:t>
      </w:r>
      <w:r>
        <w:rPr>
          <w:rFonts w:hint="eastAsia" w:ascii="宋体" w:hAnsi="宋体" w:cs="宋体"/>
          <w:color w:val="000000" w:themeColor="text1"/>
          <w:kern w:val="0"/>
          <w:szCs w:val="21"/>
          <w14:textFill>
            <w14:solidFill>
              <w14:schemeClr w14:val="tx1"/>
            </w14:solidFill>
          </w14:textFill>
        </w:rPr>
        <w:t>由</w:t>
      </w:r>
      <w:r>
        <w:rPr>
          <w:rFonts w:ascii="宋体" w:hAnsi="宋体" w:cs="宋体"/>
          <w:color w:val="000000" w:themeColor="text1"/>
          <w:kern w:val="0"/>
          <w:szCs w:val="21"/>
          <w14:textFill>
            <w14:solidFill>
              <w14:schemeClr w14:val="tx1"/>
            </w14:solidFill>
          </w14:textFill>
        </w:rPr>
        <w:t>质疑</w:t>
      </w:r>
      <w:r>
        <w:rPr>
          <w:rFonts w:hint="eastAsia" w:ascii="宋体" w:hAnsi="宋体" w:cs="宋体"/>
          <w:color w:val="000000" w:themeColor="text1"/>
          <w:kern w:val="0"/>
          <w:szCs w:val="21"/>
          <w14:textFill>
            <w14:solidFill>
              <w14:schemeClr w14:val="tx1"/>
            </w14:solidFill>
          </w14:textFill>
        </w:rPr>
        <w:t>投标人的</w:t>
      </w:r>
      <w:r>
        <w:rPr>
          <w:rFonts w:ascii="宋体" w:hAnsi="宋体" w:cs="宋体"/>
          <w:color w:val="000000" w:themeColor="text1"/>
          <w:kern w:val="0"/>
          <w:szCs w:val="21"/>
          <w14:textFill>
            <w14:solidFill>
              <w14:schemeClr w14:val="tx1"/>
            </w14:solidFill>
          </w14:textFill>
        </w:rPr>
        <w:t>法定代表人（负责人）或</w:t>
      </w:r>
      <w:r>
        <w:rPr>
          <w:rFonts w:hint="eastAsia" w:ascii="宋体" w:hAnsi="宋体" w:cs="宋体"/>
          <w:color w:val="000000" w:themeColor="text1"/>
          <w:kern w:val="0"/>
          <w:szCs w:val="21"/>
          <w14:textFill>
            <w14:solidFill>
              <w14:schemeClr w14:val="tx1"/>
            </w14:solidFill>
          </w14:textFill>
        </w:rPr>
        <w:t>授权代理人</w:t>
      </w:r>
      <w:r>
        <w:rPr>
          <w:rFonts w:ascii="宋体" w:hAnsi="宋体" w:cs="宋体"/>
          <w:color w:val="000000" w:themeColor="text1"/>
          <w:kern w:val="0"/>
          <w:szCs w:val="21"/>
          <w14:textFill>
            <w14:solidFill>
              <w14:schemeClr w14:val="tx1"/>
            </w14:solidFill>
          </w14:textFill>
        </w:rPr>
        <w:t>签字并加盖</w:t>
      </w:r>
      <w:r>
        <w:rPr>
          <w:rFonts w:hint="eastAsia" w:ascii="宋体" w:hAnsi="宋体" w:cs="宋体"/>
          <w:color w:val="000000" w:themeColor="text1"/>
          <w:kern w:val="0"/>
          <w:szCs w:val="21"/>
          <w14:textFill>
            <w14:solidFill>
              <w14:schemeClr w14:val="tx1"/>
            </w14:solidFill>
          </w14:textFill>
        </w:rPr>
        <w:t>单位</w:t>
      </w:r>
      <w:r>
        <w:rPr>
          <w:rFonts w:ascii="宋体" w:hAnsi="宋体" w:cs="宋体"/>
          <w:color w:val="000000" w:themeColor="text1"/>
          <w:kern w:val="0"/>
          <w:szCs w:val="21"/>
          <w14:textFill>
            <w14:solidFill>
              <w14:schemeClr w14:val="tx1"/>
            </w14:solidFill>
          </w14:textFill>
        </w:rPr>
        <w:t>公章</w:t>
      </w:r>
      <w:r>
        <w:rPr>
          <w:rFonts w:hint="eastAsia" w:ascii="宋体" w:hAnsi="宋体" w:cs="宋体"/>
          <w:color w:val="000000" w:themeColor="text1"/>
          <w:kern w:val="0"/>
          <w:szCs w:val="21"/>
          <w14:textFill>
            <w14:solidFill>
              <w14:schemeClr w14:val="tx1"/>
            </w14:solidFill>
          </w14:textFill>
        </w:rPr>
        <w:t>，留有联系人及联系电话并提供营业执照复印件、法定代表人（负责人）证明书、授权委托书、法定代表人（负责人）身份证复印件、授权代理人身份证复印件，并与招标代理机构工作人员做好确认工作，未被确认的质疑将作为无效质疑，招标人</w:t>
      </w:r>
      <w:r>
        <w:rPr>
          <w:rFonts w:ascii="宋体" w:hAnsi="宋体" w:cs="宋体"/>
          <w:color w:val="000000" w:themeColor="text1"/>
          <w:kern w:val="0"/>
          <w:szCs w:val="21"/>
          <w14:textFill>
            <w14:solidFill>
              <w14:schemeClr w14:val="tx1"/>
            </w14:solidFill>
          </w14:textFill>
        </w:rPr>
        <w:t>或</w:t>
      </w:r>
      <w:r>
        <w:rPr>
          <w:rFonts w:hint="eastAsia" w:ascii="宋体" w:hAnsi="宋体" w:cs="宋体"/>
          <w:color w:val="000000" w:themeColor="text1"/>
          <w:kern w:val="0"/>
          <w:szCs w:val="21"/>
          <w14:textFill>
            <w14:solidFill>
              <w14:schemeClr w14:val="tx1"/>
            </w14:solidFill>
          </w14:textFill>
        </w:rPr>
        <w:t>招标代理机构可不予作答。</w:t>
      </w:r>
    </w:p>
    <w:p>
      <w:pPr>
        <w:widowControl/>
        <w:snapToGrid w:val="0"/>
        <w:spacing w:line="360" w:lineRule="auto"/>
        <w:ind w:right="960"/>
        <w:rPr>
          <w:rFonts w:ascii="宋体" w:hAnsi="宋体"/>
          <w:color w:val="000000" w:themeColor="text1"/>
          <w:sz w:val="24"/>
          <w14:textFill>
            <w14:solidFill>
              <w14:schemeClr w14:val="tx1"/>
            </w14:solidFill>
          </w14:textFill>
        </w:rPr>
      </w:pPr>
    </w:p>
    <w:p>
      <w:pPr>
        <w:spacing w:line="360" w:lineRule="auto"/>
        <w:jc w:val="left"/>
        <w:rPr>
          <w:rFonts w:ascii="仿宋_GB2312" w:hAnsi="仿宋" w:eastAsia="仿宋_GB2312"/>
          <w:color w:val="000000" w:themeColor="text1"/>
          <w:sz w:val="24"/>
          <w14:textFill>
            <w14:solidFill>
              <w14:schemeClr w14:val="tx1"/>
            </w14:solidFill>
          </w14:textFill>
        </w:rPr>
      </w:pPr>
    </w:p>
    <w:p>
      <w:pPr>
        <w:rPr>
          <w:rFonts w:ascii="宋体" w:hAnsi="宋体"/>
          <w:b/>
          <w:color w:val="000000" w:themeColor="text1"/>
          <w:szCs w:val="21"/>
          <w14:textFill>
            <w14:solidFill>
              <w14:schemeClr w14:val="tx1"/>
            </w14:solidFill>
          </w14:textFill>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华文楷体">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OMBFXO+Univers-Light">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62</w:t>
    </w:r>
    <w:r>
      <w:rPr>
        <w:kern w:val="0"/>
        <w:szCs w:val="21"/>
      </w:rPr>
      <w:fldChar w:fldCharType="end"/>
    </w:r>
    <w:r>
      <w:rPr>
        <w:rFonts w:hint="eastAsia"/>
        <w:kern w:val="0"/>
        <w:szCs w:val="21"/>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62</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2"/>
      </w:rPr>
    </w:pPr>
    <w:r>
      <w:fldChar w:fldCharType="begin"/>
    </w:r>
    <w:r>
      <w:rPr>
        <w:rStyle w:val="52"/>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85</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62</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62</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57</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47</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85</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B36BF"/>
    <w:multiLevelType w:val="multilevel"/>
    <w:tmpl w:val="9CBB36BF"/>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AB31DD7B"/>
    <w:multiLevelType w:val="singleLevel"/>
    <w:tmpl w:val="AB31DD7B"/>
    <w:lvl w:ilvl="0" w:tentative="0">
      <w:start w:val="3"/>
      <w:numFmt w:val="decimal"/>
      <w:suff w:val="nothing"/>
      <w:lvlText w:val="%1、"/>
      <w:lvlJc w:val="left"/>
    </w:lvl>
  </w:abstractNum>
  <w:abstractNum w:abstractNumId="2">
    <w:nsid w:val="EF4F0274"/>
    <w:multiLevelType w:val="singleLevel"/>
    <w:tmpl w:val="EF4F0274"/>
    <w:lvl w:ilvl="0" w:tentative="0">
      <w:start w:val="1"/>
      <w:numFmt w:val="decimal"/>
      <w:lvlText w:val="%1)"/>
      <w:lvlJc w:val="left"/>
      <w:pPr>
        <w:ind w:left="425" w:hanging="425"/>
      </w:pPr>
      <w:rPr>
        <w:rFonts w:hint="default"/>
      </w:rPr>
    </w:lvl>
  </w:abstractNum>
  <w:abstractNum w:abstractNumId="3">
    <w:nsid w:val="00000003"/>
    <w:multiLevelType w:val="multilevel"/>
    <w:tmpl w:val="00000003"/>
    <w:lvl w:ilvl="0" w:tentative="0">
      <w:start w:val="1"/>
      <w:numFmt w:val="decimal"/>
      <w:pStyle w:val="300"/>
      <w:lvlText w:val="%1. "/>
      <w:lvlJc w:val="left"/>
      <w:pPr>
        <w:tabs>
          <w:tab w:val="left" w:pos="981"/>
        </w:tabs>
        <w:ind w:left="981" w:hanging="419"/>
      </w:pPr>
    </w:lvl>
    <w:lvl w:ilvl="1" w:tentative="0">
      <w:start w:val="1"/>
      <w:numFmt w:val="upperLetter"/>
      <w:pStyle w:val="289"/>
      <w:lvlText w:val="%2. "/>
      <w:lvlJc w:val="left"/>
      <w:pPr>
        <w:tabs>
          <w:tab w:val="left" w:pos="1191"/>
        </w:tabs>
        <w:ind w:left="1191" w:hanging="420"/>
      </w:pPr>
    </w:lvl>
    <w:lvl w:ilvl="2" w:tentative="0">
      <w:start w:val="1"/>
      <w:numFmt w:val="lowerLetter"/>
      <w:pStyle w:val="298"/>
      <w:lvlText w:val="%3. "/>
      <w:lvlJc w:val="left"/>
      <w:pPr>
        <w:tabs>
          <w:tab w:val="left" w:pos="1401"/>
        </w:tabs>
        <w:ind w:left="1401" w:hanging="420"/>
      </w:pPr>
    </w:lvl>
    <w:lvl w:ilvl="3" w:tentative="0">
      <w:start w:val="1"/>
      <w:numFmt w:val="lowerLetter"/>
      <w:pStyle w:val="156"/>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4">
    <w:nsid w:val="00000008"/>
    <w:multiLevelType w:val="multilevel"/>
    <w:tmpl w:val="00000008"/>
    <w:lvl w:ilvl="0" w:tentative="0">
      <w:start w:val="1"/>
      <w:numFmt w:val="decimal"/>
      <w:pStyle w:val="27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6">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90"/>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7">
    <w:nsid w:val="0000000F"/>
    <w:multiLevelType w:val="multilevel"/>
    <w:tmpl w:val="0000000F"/>
    <w:lvl w:ilvl="0" w:tentative="0">
      <w:start w:val="1"/>
      <w:numFmt w:val="bullet"/>
      <w:pStyle w:val="165"/>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2"/>
    <w:multiLevelType w:val="singleLevel"/>
    <w:tmpl w:val="00000012"/>
    <w:lvl w:ilvl="0" w:tentative="0">
      <w:start w:val="1"/>
      <w:numFmt w:val="decimal"/>
      <w:pStyle w:val="278"/>
      <w:lvlText w:val="%1."/>
      <w:lvlJc w:val="left"/>
      <w:pPr>
        <w:tabs>
          <w:tab w:val="left" w:pos="1200"/>
        </w:tabs>
        <w:ind w:left="1200" w:hanging="360"/>
      </w:pPr>
    </w:lvl>
  </w:abstractNum>
  <w:abstractNum w:abstractNumId="9">
    <w:nsid w:val="00000014"/>
    <w:multiLevelType w:val="singleLevel"/>
    <w:tmpl w:val="00000014"/>
    <w:lvl w:ilvl="0" w:tentative="0">
      <w:start w:val="1"/>
      <w:numFmt w:val="decimal"/>
      <w:pStyle w:val="214"/>
      <w:lvlText w:val="%1."/>
      <w:lvlJc w:val="left"/>
      <w:pPr>
        <w:tabs>
          <w:tab w:val="left" w:pos="1620"/>
        </w:tabs>
        <w:ind w:left="1620" w:hanging="360"/>
      </w:pPr>
    </w:lvl>
  </w:abstractNum>
  <w:abstractNum w:abstractNumId="10">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singleLevel"/>
    <w:tmpl w:val="00000017"/>
    <w:lvl w:ilvl="0" w:tentative="0">
      <w:start w:val="1"/>
      <w:numFmt w:val="bullet"/>
      <w:pStyle w:val="264"/>
      <w:lvlText w:val=""/>
      <w:lvlJc w:val="left"/>
      <w:pPr>
        <w:tabs>
          <w:tab w:val="left" w:pos="360"/>
        </w:tabs>
        <w:ind w:left="360" w:hanging="360"/>
      </w:pPr>
      <w:rPr>
        <w:rFonts w:hint="default" w:ascii="Wingdings" w:hAnsi="Wingdings"/>
      </w:rPr>
    </w:lvl>
  </w:abstractNum>
  <w:abstractNum w:abstractNumId="12">
    <w:nsid w:val="00000018"/>
    <w:multiLevelType w:val="multilevel"/>
    <w:tmpl w:val="00000018"/>
    <w:lvl w:ilvl="0" w:tentative="0">
      <w:start w:val="2"/>
      <w:numFmt w:val="decimal"/>
      <w:pStyle w:val="259"/>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80"/>
      <w:suff w:val="space"/>
      <w:lvlText w:val="%1.%2.%3"/>
      <w:lvlJc w:val="left"/>
      <w:pPr>
        <w:tabs>
          <w:tab w:val="left" w:pos="1418"/>
        </w:tabs>
        <w:ind w:left="0" w:firstLine="0"/>
      </w:pPr>
    </w:lvl>
    <w:lvl w:ilvl="3" w:tentative="0">
      <w:start w:val="1"/>
      <w:numFmt w:val="decimal"/>
      <w:pStyle w:val="297"/>
      <w:suff w:val="space"/>
      <w:lvlText w:val="%1.%2.%3.%4"/>
      <w:lvlJc w:val="left"/>
      <w:pPr>
        <w:tabs>
          <w:tab w:val="left" w:pos="1984"/>
        </w:tabs>
        <w:ind w:left="0" w:firstLine="0"/>
      </w:pPr>
    </w:lvl>
    <w:lvl w:ilvl="4" w:tentative="0">
      <w:start w:val="1"/>
      <w:numFmt w:val="decimal"/>
      <w:pStyle w:val="293"/>
      <w:suff w:val="space"/>
      <w:lvlText w:val="%1.%2.%3.%4.%5"/>
      <w:lvlJc w:val="left"/>
      <w:pPr>
        <w:tabs>
          <w:tab w:val="left" w:pos="2551"/>
        </w:tabs>
        <w:ind w:left="0" w:firstLine="0"/>
      </w:pPr>
    </w:lvl>
    <w:lvl w:ilvl="5" w:tentative="0">
      <w:start w:val="1"/>
      <w:numFmt w:val="decimal"/>
      <w:pStyle w:val="197"/>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C"/>
    <w:multiLevelType w:val="singleLevel"/>
    <w:tmpl w:val="0000001C"/>
    <w:lvl w:ilvl="0" w:tentative="0">
      <w:start w:val="1"/>
      <w:numFmt w:val="decimal"/>
      <w:pStyle w:val="25"/>
      <w:lvlText w:val="%1."/>
      <w:lvlJc w:val="left"/>
      <w:pPr>
        <w:tabs>
          <w:tab w:val="left" w:pos="425"/>
        </w:tabs>
        <w:ind w:left="425" w:hanging="425"/>
      </w:pPr>
      <w:rPr>
        <w:rFonts w:hint="eastAsia"/>
      </w:rPr>
    </w:lvl>
  </w:abstractNum>
  <w:abstractNum w:abstractNumId="15">
    <w:nsid w:val="0000001D"/>
    <w:multiLevelType w:val="multilevel"/>
    <w:tmpl w:val="0000001D"/>
    <w:lvl w:ilvl="0" w:tentative="0">
      <w:start w:val="1"/>
      <w:numFmt w:val="decimal"/>
      <w:pStyle w:val="199"/>
      <w:lvlText w:val="%1)"/>
      <w:lvlJc w:val="left"/>
      <w:pPr>
        <w:tabs>
          <w:tab w:val="left" w:pos="420"/>
        </w:tabs>
        <w:ind w:left="420" w:hanging="420"/>
      </w:pPr>
    </w:lvl>
    <w:lvl w:ilvl="1" w:tentative="0">
      <w:start w:val="1"/>
      <w:numFmt w:val="lowerLetter"/>
      <w:pStyle w:val="124"/>
      <w:lvlText w:val="%2)"/>
      <w:lvlJc w:val="left"/>
      <w:pPr>
        <w:tabs>
          <w:tab w:val="left" w:pos="840"/>
        </w:tabs>
        <w:ind w:left="840" w:hanging="420"/>
      </w:pPr>
    </w:lvl>
    <w:lvl w:ilvl="2" w:tentative="0">
      <w:start w:val="1"/>
      <w:numFmt w:val="lowerRoman"/>
      <w:pStyle w:val="123"/>
      <w:lvlText w:val="%3."/>
      <w:lvlJc w:val="right"/>
      <w:pPr>
        <w:tabs>
          <w:tab w:val="left" w:pos="1260"/>
        </w:tabs>
        <w:ind w:left="1260" w:hanging="420"/>
      </w:pPr>
    </w:lvl>
    <w:lvl w:ilvl="3" w:tentative="0">
      <w:start w:val="1"/>
      <w:numFmt w:val="decimal"/>
      <w:pStyle w:val="18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2"/>
    <w:multiLevelType w:val="singleLevel"/>
    <w:tmpl w:val="00000022"/>
    <w:lvl w:ilvl="0" w:tentative="0">
      <w:start w:val="1"/>
      <w:numFmt w:val="decimal"/>
      <w:pStyle w:val="269"/>
      <w:lvlText w:val="%1."/>
      <w:lvlJc w:val="left"/>
      <w:pPr>
        <w:tabs>
          <w:tab w:val="left" w:pos="1145"/>
        </w:tabs>
        <w:ind w:left="902" w:hanging="477"/>
      </w:pPr>
      <w:rPr>
        <w:rFonts w:hint="eastAsia"/>
      </w:rPr>
    </w:lvl>
  </w:abstractNum>
  <w:abstractNum w:abstractNumId="18">
    <w:nsid w:val="00000024"/>
    <w:multiLevelType w:val="singleLevel"/>
    <w:tmpl w:val="00000024"/>
    <w:lvl w:ilvl="0" w:tentative="0">
      <w:start w:val="1"/>
      <w:numFmt w:val="bullet"/>
      <w:pStyle w:val="19"/>
      <w:lvlText w:val=""/>
      <w:lvlJc w:val="left"/>
      <w:pPr>
        <w:tabs>
          <w:tab w:val="left" w:pos="780"/>
        </w:tabs>
        <w:ind w:left="780" w:hanging="360"/>
      </w:pPr>
      <w:rPr>
        <w:rFonts w:hint="default" w:ascii="Wingdings" w:hAnsi="Wingdings"/>
      </w:rPr>
    </w:lvl>
  </w:abstractNum>
  <w:abstractNum w:abstractNumId="19">
    <w:nsid w:val="00000025"/>
    <w:multiLevelType w:val="multilevel"/>
    <w:tmpl w:val="00000025"/>
    <w:lvl w:ilvl="0" w:tentative="0">
      <w:start w:val="1"/>
      <w:numFmt w:val="decimal"/>
      <w:pStyle w:val="2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00000026"/>
    <w:multiLevelType w:val="singleLevel"/>
    <w:tmpl w:val="00000026"/>
    <w:lvl w:ilvl="0" w:tentative="0">
      <w:start w:val="1"/>
      <w:numFmt w:val="decimal"/>
      <w:pStyle w:val="242"/>
      <w:lvlText w:val="%1."/>
      <w:lvlJc w:val="left"/>
      <w:pPr>
        <w:tabs>
          <w:tab w:val="left" w:pos="360"/>
        </w:tabs>
        <w:ind w:left="360" w:hanging="360"/>
      </w:pPr>
    </w:lvl>
  </w:abstractNum>
  <w:abstractNum w:abstractNumId="21">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2">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4">
    <w:nsid w:val="0000002B"/>
    <w:multiLevelType w:val="multilevel"/>
    <w:tmpl w:val="0000002B"/>
    <w:lvl w:ilvl="0" w:tentative="0">
      <w:start w:val="1"/>
      <w:numFmt w:val="upperRoman"/>
      <w:pStyle w:val="3"/>
      <w:lvlText w:val="第 %1 条"/>
      <w:lvlJc w:val="left"/>
      <w:pPr>
        <w:tabs>
          <w:tab w:val="left" w:pos="1440"/>
        </w:tabs>
        <w:ind w:left="0" w:firstLine="0"/>
      </w:pPr>
    </w:lvl>
    <w:lvl w:ilvl="1" w:tentative="0">
      <w:start w:val="1"/>
      <w:numFmt w:val="decimalZero"/>
      <w:pStyle w:val="4"/>
      <w:isLgl/>
      <w:lvlText w:val="节 %1.%2"/>
      <w:lvlJc w:val="left"/>
      <w:pPr>
        <w:tabs>
          <w:tab w:val="left" w:pos="720"/>
        </w:tabs>
        <w:ind w:left="0" w:firstLine="0"/>
      </w:pPr>
      <w:rPr>
        <w:lang w:val="en-US"/>
      </w:rPr>
    </w:lvl>
    <w:lvl w:ilvl="2" w:tentative="0">
      <w:start w:val="1"/>
      <w:numFmt w:val="lowerLetter"/>
      <w:pStyle w:val="5"/>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5">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90"/>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0"/>
    <w:multiLevelType w:val="singleLevel"/>
    <w:tmpl w:val="00000030"/>
    <w:lvl w:ilvl="0" w:tentative="0">
      <w:start w:val="1"/>
      <w:numFmt w:val="decimal"/>
      <w:pStyle w:val="250"/>
      <w:lvlText w:val="%1."/>
      <w:lvlJc w:val="left"/>
      <w:pPr>
        <w:tabs>
          <w:tab w:val="left" w:pos="2040"/>
        </w:tabs>
        <w:ind w:left="2040" w:hanging="360"/>
      </w:pPr>
    </w:lvl>
  </w:abstractNum>
  <w:abstractNum w:abstractNumId="27">
    <w:nsid w:val="00000032"/>
    <w:multiLevelType w:val="singleLevel"/>
    <w:tmpl w:val="00000032"/>
    <w:lvl w:ilvl="0" w:tentative="0">
      <w:start w:val="1"/>
      <w:numFmt w:val="bullet"/>
      <w:pStyle w:val="233"/>
      <w:lvlText w:val=""/>
      <w:lvlJc w:val="left"/>
      <w:pPr>
        <w:tabs>
          <w:tab w:val="left" w:pos="2040"/>
        </w:tabs>
        <w:ind w:left="2040" w:hanging="360"/>
      </w:pPr>
      <w:rPr>
        <w:rFonts w:hint="default" w:ascii="Wingdings" w:hAnsi="Wingdings"/>
      </w:rPr>
    </w:lvl>
  </w:abstractNum>
  <w:abstractNum w:abstractNumId="28">
    <w:nsid w:val="00000034"/>
    <w:multiLevelType w:val="multilevel"/>
    <w:tmpl w:val="00000034"/>
    <w:lvl w:ilvl="0" w:tentative="0">
      <w:start w:val="1"/>
      <w:numFmt w:val="decimal"/>
      <w:pStyle w:val="140"/>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29">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5EAC7E5"/>
    <w:multiLevelType w:val="multilevel"/>
    <w:tmpl w:val="15EAC7E5"/>
    <w:lvl w:ilvl="0" w:tentative="0">
      <w:start w:val="1"/>
      <w:numFmt w:val="chineseCounting"/>
      <w:suff w:val="nothing"/>
      <w:lvlText w:val="%1、"/>
      <w:lvlJc w:val="left"/>
      <w:pPr>
        <w:ind w:firstLine="420"/>
      </w:pPr>
      <w:rPr>
        <w:rFonts w:hint="default" w:ascii="Times New Roman" w:hAnsi="Times New Roman" w:eastAsia="宋体"/>
      </w:rPr>
    </w:lvl>
    <w:lvl w:ilvl="1" w:tentative="0">
      <w:start w:val="1"/>
      <w:numFmt w:val="decimal"/>
      <w:lvlText w:val=""/>
      <w:lvlJc w:val="left"/>
      <w:rPr>
        <w:rFonts w:hint="default" w:ascii="Times New Roman" w:hAnsi="Times New Roman" w:eastAsia="宋体"/>
        <w:u w:val="none"/>
      </w:rPr>
    </w:lvl>
    <w:lvl w:ilvl="2" w:tentative="0">
      <w:start w:val="1"/>
      <w:numFmt w:val="decimal"/>
      <w:lvlText w:val=""/>
      <w:lvlJc w:val="left"/>
      <w:rPr>
        <w:rFonts w:hint="default" w:ascii="Times New Roman" w:hAnsi="Times New Roman" w:eastAsia="宋体"/>
        <w:u w:val="none"/>
      </w:rPr>
    </w:lvl>
    <w:lvl w:ilvl="3" w:tentative="0">
      <w:start w:val="1"/>
      <w:numFmt w:val="decimal"/>
      <w:lvlText w:val=""/>
      <w:lvlJc w:val="left"/>
      <w:rPr>
        <w:rFonts w:hint="default" w:ascii="Times New Roman" w:hAnsi="Times New Roman" w:eastAsia="宋体"/>
        <w:u w:val="none"/>
      </w:rPr>
    </w:lvl>
    <w:lvl w:ilvl="4" w:tentative="0">
      <w:start w:val="1"/>
      <w:numFmt w:val="decimal"/>
      <w:lvlText w:val=""/>
      <w:lvlJc w:val="left"/>
      <w:rPr>
        <w:rFonts w:hint="default" w:ascii="Times New Roman" w:hAnsi="Times New Roman" w:eastAsia="宋体"/>
        <w:u w:val="none"/>
      </w:rPr>
    </w:lvl>
    <w:lvl w:ilvl="5" w:tentative="0">
      <w:start w:val="1"/>
      <w:numFmt w:val="decimal"/>
      <w:lvlText w:val=""/>
      <w:lvlJc w:val="left"/>
      <w:rPr>
        <w:rFonts w:hint="default" w:ascii="Times New Roman" w:hAnsi="Times New Roman" w:eastAsia="宋体"/>
        <w:u w:val="none"/>
      </w:rPr>
    </w:lvl>
    <w:lvl w:ilvl="6" w:tentative="0">
      <w:start w:val="1"/>
      <w:numFmt w:val="decimal"/>
      <w:lvlText w:val=""/>
      <w:lvlJc w:val="left"/>
      <w:rPr>
        <w:rFonts w:hint="default" w:ascii="Times New Roman" w:hAnsi="Times New Roman" w:eastAsia="宋体"/>
        <w:u w:val="none"/>
      </w:rPr>
    </w:lvl>
    <w:lvl w:ilvl="7" w:tentative="0">
      <w:start w:val="1"/>
      <w:numFmt w:val="decimal"/>
      <w:lvlText w:val=""/>
      <w:lvlJc w:val="left"/>
      <w:rPr>
        <w:rFonts w:hint="default" w:ascii="Times New Roman" w:hAnsi="Times New Roman" w:eastAsia="宋体"/>
        <w:u w:val="none"/>
      </w:rPr>
    </w:lvl>
    <w:lvl w:ilvl="8" w:tentative="0">
      <w:start w:val="1"/>
      <w:numFmt w:val="decimal"/>
      <w:lvlText w:val=""/>
      <w:lvlJc w:val="left"/>
      <w:rPr>
        <w:rFonts w:hint="default" w:ascii="Times New Roman" w:hAnsi="Times New Roman" w:eastAsia="宋体"/>
        <w:u w:val="none"/>
      </w:r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D597BC7"/>
    <w:multiLevelType w:val="multilevel"/>
    <w:tmpl w:val="2D597BC7"/>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8E033E5"/>
    <w:multiLevelType w:val="multilevel"/>
    <w:tmpl w:val="68E033E5"/>
    <w:lvl w:ilvl="0" w:tentative="0">
      <w:start w:val="1"/>
      <w:numFmt w:val="decimal"/>
      <w:lvlText w:val="%1"/>
      <w:lvlJc w:val="left"/>
      <w:pPr>
        <w:tabs>
          <w:tab w:val="left" w:pos="426"/>
        </w:tabs>
        <w:ind w:left="426" w:hanging="142"/>
      </w:pPr>
      <w:rPr>
        <w:rFonts w:hint="default" w:ascii="Times New Roman" w:hAnsi="Times New Roman" w:eastAsia="宋体"/>
      </w:rPr>
    </w:lvl>
    <w:lvl w:ilvl="1" w:tentative="0">
      <w:start w:val="1"/>
      <w:numFmt w:val="lowerLetter"/>
      <w:lvlText w:val="%2)"/>
      <w:lvlJc w:val="left"/>
      <w:pPr>
        <w:tabs>
          <w:tab w:val="left" w:pos="840"/>
        </w:tabs>
        <w:ind w:left="840" w:hanging="420"/>
      </w:pPr>
      <w:rPr>
        <w:rFonts w:hint="default" w:ascii="Times New Roman" w:hAnsi="Times New Roman" w:eastAsia="宋体"/>
      </w:rPr>
    </w:lvl>
    <w:lvl w:ilvl="2" w:tentative="0">
      <w:start w:val="1"/>
      <w:numFmt w:val="lowerRoman"/>
      <w:lvlText w:val="%3."/>
      <w:lvlJc w:val="right"/>
      <w:pPr>
        <w:tabs>
          <w:tab w:val="left" w:pos="1260"/>
        </w:tabs>
        <w:ind w:left="1260" w:hanging="420"/>
      </w:pPr>
      <w:rPr>
        <w:rFonts w:hint="default" w:ascii="Times New Roman" w:hAnsi="Times New Roman" w:eastAsia="宋体"/>
      </w:rPr>
    </w:lvl>
    <w:lvl w:ilvl="3" w:tentative="0">
      <w:start w:val="1"/>
      <w:numFmt w:val="decimal"/>
      <w:lvlText w:val="%4."/>
      <w:lvlJc w:val="left"/>
      <w:pPr>
        <w:tabs>
          <w:tab w:val="left" w:pos="1680"/>
        </w:tabs>
        <w:ind w:left="1680" w:hanging="420"/>
      </w:pPr>
      <w:rPr>
        <w:rFonts w:hint="default" w:ascii="Times New Roman" w:hAnsi="Times New Roman" w:eastAsia="宋体"/>
      </w:rPr>
    </w:lvl>
    <w:lvl w:ilvl="4" w:tentative="0">
      <w:start w:val="1"/>
      <w:numFmt w:val="lowerLetter"/>
      <w:lvlText w:val="%5)"/>
      <w:lvlJc w:val="left"/>
      <w:pPr>
        <w:tabs>
          <w:tab w:val="left" w:pos="2100"/>
        </w:tabs>
        <w:ind w:left="2100" w:hanging="420"/>
      </w:pPr>
      <w:rPr>
        <w:rFonts w:hint="default" w:ascii="Times New Roman" w:hAnsi="Times New Roman" w:eastAsia="宋体"/>
      </w:rPr>
    </w:lvl>
    <w:lvl w:ilvl="5" w:tentative="0">
      <w:start w:val="1"/>
      <w:numFmt w:val="lowerRoman"/>
      <w:lvlText w:val="%6."/>
      <w:lvlJc w:val="right"/>
      <w:pPr>
        <w:tabs>
          <w:tab w:val="left" w:pos="2520"/>
        </w:tabs>
        <w:ind w:left="2520" w:hanging="420"/>
      </w:pPr>
      <w:rPr>
        <w:rFonts w:hint="default" w:ascii="Times New Roman" w:hAnsi="Times New Roman" w:eastAsia="宋体"/>
      </w:rPr>
    </w:lvl>
    <w:lvl w:ilvl="6" w:tentative="0">
      <w:start w:val="1"/>
      <w:numFmt w:val="decimal"/>
      <w:lvlText w:val="%7."/>
      <w:lvlJc w:val="left"/>
      <w:pPr>
        <w:tabs>
          <w:tab w:val="left" w:pos="2940"/>
        </w:tabs>
        <w:ind w:left="2940" w:hanging="420"/>
      </w:pPr>
      <w:rPr>
        <w:rFonts w:hint="default" w:ascii="Times New Roman" w:hAnsi="Times New Roman" w:eastAsia="宋体"/>
      </w:rPr>
    </w:lvl>
    <w:lvl w:ilvl="7" w:tentative="0">
      <w:start w:val="1"/>
      <w:numFmt w:val="lowerLetter"/>
      <w:lvlText w:val="%8)"/>
      <w:lvlJc w:val="left"/>
      <w:pPr>
        <w:tabs>
          <w:tab w:val="left" w:pos="3360"/>
        </w:tabs>
        <w:ind w:left="3360" w:hanging="420"/>
      </w:pPr>
      <w:rPr>
        <w:rFonts w:hint="default" w:ascii="Times New Roman" w:hAnsi="Times New Roman" w:eastAsia="宋体"/>
      </w:rPr>
    </w:lvl>
    <w:lvl w:ilvl="8" w:tentative="0">
      <w:start w:val="1"/>
      <w:numFmt w:val="lowerRoman"/>
      <w:lvlText w:val="%9."/>
      <w:lvlJc w:val="right"/>
      <w:pPr>
        <w:tabs>
          <w:tab w:val="left" w:pos="3780"/>
        </w:tabs>
        <w:ind w:left="3780" w:hanging="420"/>
      </w:pPr>
      <w:rPr>
        <w:rFonts w:hint="default" w:ascii="Times New Roman" w:hAnsi="Times New Roman" w:eastAsia="宋体"/>
      </w:rPr>
    </w:lvl>
  </w:abstractNum>
  <w:num w:numId="1">
    <w:abstractNumId w:val="24"/>
  </w:num>
  <w:num w:numId="2">
    <w:abstractNumId w:val="18"/>
  </w:num>
  <w:num w:numId="3">
    <w:abstractNumId w:val="19"/>
  </w:num>
  <w:num w:numId="4">
    <w:abstractNumId w:val="14"/>
  </w:num>
  <w:num w:numId="5">
    <w:abstractNumId w:val="15"/>
  </w:num>
  <w:num w:numId="6">
    <w:abstractNumId w:val="28"/>
  </w:num>
  <w:num w:numId="7">
    <w:abstractNumId w:val="3"/>
  </w:num>
  <w:num w:numId="8">
    <w:abstractNumId w:val="7"/>
  </w:num>
  <w:num w:numId="9">
    <w:abstractNumId w:val="25"/>
  </w:num>
  <w:num w:numId="10">
    <w:abstractNumId w:val="13"/>
  </w:num>
  <w:num w:numId="11">
    <w:abstractNumId w:val="9"/>
  </w:num>
  <w:num w:numId="12">
    <w:abstractNumId w:val="27"/>
  </w:num>
  <w:num w:numId="13">
    <w:abstractNumId w:val="20"/>
  </w:num>
  <w:num w:numId="14">
    <w:abstractNumId w:val="26"/>
  </w:num>
  <w:num w:numId="15">
    <w:abstractNumId w:val="12"/>
  </w:num>
  <w:num w:numId="16">
    <w:abstractNumId w:val="11"/>
  </w:num>
  <w:num w:numId="17">
    <w:abstractNumId w:val="17"/>
  </w:num>
  <w:num w:numId="18">
    <w:abstractNumId w:val="4"/>
  </w:num>
  <w:num w:numId="19">
    <w:abstractNumId w:val="8"/>
  </w:num>
  <w:num w:numId="20">
    <w:abstractNumId w:val="6"/>
  </w:num>
  <w:num w:numId="21">
    <w:abstractNumId w:val="31"/>
  </w:num>
  <w:num w:numId="22">
    <w:abstractNumId w:val="29"/>
  </w:num>
  <w:num w:numId="23">
    <w:abstractNumId w:val="2"/>
  </w:num>
  <w:num w:numId="24">
    <w:abstractNumId w:val="1"/>
  </w:num>
  <w:num w:numId="25">
    <w:abstractNumId w:val="16"/>
  </w:num>
  <w:num w:numId="26">
    <w:abstractNumId w:val="21"/>
  </w:num>
  <w:num w:numId="27">
    <w:abstractNumId w:val="22"/>
  </w:num>
  <w:num w:numId="28">
    <w:abstractNumId w:val="5"/>
  </w:num>
  <w:num w:numId="29">
    <w:abstractNumId w:val="10"/>
  </w:num>
  <w:num w:numId="30">
    <w:abstractNumId w:val="23"/>
    <w:lvlOverride w:ilvl="0">
      <w:startOverride w:val="1"/>
    </w:lvlOverride>
  </w:num>
  <w:num w:numId="31">
    <w:abstractNumId w:val="30"/>
  </w:num>
  <w:num w:numId="32">
    <w:abstractNumId w:val="32"/>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drawingGridHorizontalSpacing w:val="97"/>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hODA0MGJlYjkwYzhjNWY3NDVmZDZhNTM4ODVlZmIifQ=="/>
  </w:docVars>
  <w:rsids>
    <w:rsidRoot w:val="00172A27"/>
    <w:rsid w:val="00003B05"/>
    <w:rsid w:val="000052D9"/>
    <w:rsid w:val="00006771"/>
    <w:rsid w:val="00015360"/>
    <w:rsid w:val="000206EA"/>
    <w:rsid w:val="000223F0"/>
    <w:rsid w:val="0002770C"/>
    <w:rsid w:val="000368F5"/>
    <w:rsid w:val="00040AF6"/>
    <w:rsid w:val="00041189"/>
    <w:rsid w:val="00046854"/>
    <w:rsid w:val="00047340"/>
    <w:rsid w:val="00066033"/>
    <w:rsid w:val="00067AC4"/>
    <w:rsid w:val="00067ECB"/>
    <w:rsid w:val="000733E1"/>
    <w:rsid w:val="000743D3"/>
    <w:rsid w:val="0007641A"/>
    <w:rsid w:val="00080179"/>
    <w:rsid w:val="000916F0"/>
    <w:rsid w:val="000938C9"/>
    <w:rsid w:val="000978EF"/>
    <w:rsid w:val="000A039F"/>
    <w:rsid w:val="000A0A09"/>
    <w:rsid w:val="000A0B8F"/>
    <w:rsid w:val="000A478A"/>
    <w:rsid w:val="000A4A8E"/>
    <w:rsid w:val="000A4E1E"/>
    <w:rsid w:val="000B0241"/>
    <w:rsid w:val="000B2EEF"/>
    <w:rsid w:val="000B61FD"/>
    <w:rsid w:val="000B70A8"/>
    <w:rsid w:val="000C0ABB"/>
    <w:rsid w:val="000C67C1"/>
    <w:rsid w:val="000C7A8F"/>
    <w:rsid w:val="000D294B"/>
    <w:rsid w:val="000D49EF"/>
    <w:rsid w:val="000D749E"/>
    <w:rsid w:val="000E708A"/>
    <w:rsid w:val="000F0496"/>
    <w:rsid w:val="000F12BD"/>
    <w:rsid w:val="000F1462"/>
    <w:rsid w:val="000F4863"/>
    <w:rsid w:val="000F6CB2"/>
    <w:rsid w:val="000F7681"/>
    <w:rsid w:val="00102C8E"/>
    <w:rsid w:val="00103331"/>
    <w:rsid w:val="00103897"/>
    <w:rsid w:val="00103D8A"/>
    <w:rsid w:val="00104DF4"/>
    <w:rsid w:val="001132A7"/>
    <w:rsid w:val="00131274"/>
    <w:rsid w:val="00136F13"/>
    <w:rsid w:val="00141126"/>
    <w:rsid w:val="001415F8"/>
    <w:rsid w:val="0014238E"/>
    <w:rsid w:val="00142879"/>
    <w:rsid w:val="00144654"/>
    <w:rsid w:val="001455C2"/>
    <w:rsid w:val="001478E8"/>
    <w:rsid w:val="00152A42"/>
    <w:rsid w:val="00152A51"/>
    <w:rsid w:val="00156949"/>
    <w:rsid w:val="00157B21"/>
    <w:rsid w:val="001654CE"/>
    <w:rsid w:val="001678A2"/>
    <w:rsid w:val="001679C7"/>
    <w:rsid w:val="001719FB"/>
    <w:rsid w:val="00172A27"/>
    <w:rsid w:val="00172D89"/>
    <w:rsid w:val="001731E2"/>
    <w:rsid w:val="00173C4A"/>
    <w:rsid w:val="00175262"/>
    <w:rsid w:val="00180723"/>
    <w:rsid w:val="00185B40"/>
    <w:rsid w:val="00196CF5"/>
    <w:rsid w:val="00197BF8"/>
    <w:rsid w:val="001A009C"/>
    <w:rsid w:val="001A1320"/>
    <w:rsid w:val="001A1E62"/>
    <w:rsid w:val="001A2B19"/>
    <w:rsid w:val="001A6B52"/>
    <w:rsid w:val="001B3B29"/>
    <w:rsid w:val="001B6617"/>
    <w:rsid w:val="001C21FC"/>
    <w:rsid w:val="001C4383"/>
    <w:rsid w:val="001C6F08"/>
    <w:rsid w:val="001C7913"/>
    <w:rsid w:val="001D1A9E"/>
    <w:rsid w:val="001D1EDD"/>
    <w:rsid w:val="001E5F01"/>
    <w:rsid w:val="001E62E6"/>
    <w:rsid w:val="001E6CB4"/>
    <w:rsid w:val="001F1984"/>
    <w:rsid w:val="001F45DA"/>
    <w:rsid w:val="001F7AA4"/>
    <w:rsid w:val="00200D1A"/>
    <w:rsid w:val="002174DD"/>
    <w:rsid w:val="00222E14"/>
    <w:rsid w:val="00224528"/>
    <w:rsid w:val="002266B9"/>
    <w:rsid w:val="002300E3"/>
    <w:rsid w:val="00231E86"/>
    <w:rsid w:val="00233B0A"/>
    <w:rsid w:val="002343C6"/>
    <w:rsid w:val="00236DF1"/>
    <w:rsid w:val="002371B9"/>
    <w:rsid w:val="00240735"/>
    <w:rsid w:val="00241309"/>
    <w:rsid w:val="00244BC6"/>
    <w:rsid w:val="00254EF1"/>
    <w:rsid w:val="00256BE3"/>
    <w:rsid w:val="00257709"/>
    <w:rsid w:val="0026429E"/>
    <w:rsid w:val="002653A2"/>
    <w:rsid w:val="002728EB"/>
    <w:rsid w:val="002736C2"/>
    <w:rsid w:val="00283FCA"/>
    <w:rsid w:val="0028458C"/>
    <w:rsid w:val="00290951"/>
    <w:rsid w:val="0029220B"/>
    <w:rsid w:val="00292350"/>
    <w:rsid w:val="0029515B"/>
    <w:rsid w:val="00296186"/>
    <w:rsid w:val="00296876"/>
    <w:rsid w:val="002A3338"/>
    <w:rsid w:val="002A7806"/>
    <w:rsid w:val="002B17A9"/>
    <w:rsid w:val="002B1E3B"/>
    <w:rsid w:val="002B2330"/>
    <w:rsid w:val="002B3328"/>
    <w:rsid w:val="002C148C"/>
    <w:rsid w:val="002C3110"/>
    <w:rsid w:val="002C54F2"/>
    <w:rsid w:val="002C6F4E"/>
    <w:rsid w:val="002C720B"/>
    <w:rsid w:val="002C793B"/>
    <w:rsid w:val="002D2534"/>
    <w:rsid w:val="002D2A19"/>
    <w:rsid w:val="002D6028"/>
    <w:rsid w:val="002E0723"/>
    <w:rsid w:val="002E37F9"/>
    <w:rsid w:val="002E46CC"/>
    <w:rsid w:val="002E657F"/>
    <w:rsid w:val="002F06C5"/>
    <w:rsid w:val="002F28AD"/>
    <w:rsid w:val="002F3501"/>
    <w:rsid w:val="003075DB"/>
    <w:rsid w:val="00316F55"/>
    <w:rsid w:val="00317779"/>
    <w:rsid w:val="00323287"/>
    <w:rsid w:val="00323D30"/>
    <w:rsid w:val="00324670"/>
    <w:rsid w:val="00332364"/>
    <w:rsid w:val="003343EF"/>
    <w:rsid w:val="00341B62"/>
    <w:rsid w:val="00341B88"/>
    <w:rsid w:val="003447DD"/>
    <w:rsid w:val="00345D3F"/>
    <w:rsid w:val="00345E6C"/>
    <w:rsid w:val="00347FAE"/>
    <w:rsid w:val="00350832"/>
    <w:rsid w:val="00350F28"/>
    <w:rsid w:val="00352DD1"/>
    <w:rsid w:val="0035636F"/>
    <w:rsid w:val="0035749B"/>
    <w:rsid w:val="00357A26"/>
    <w:rsid w:val="00360D70"/>
    <w:rsid w:val="0036653C"/>
    <w:rsid w:val="00367278"/>
    <w:rsid w:val="00367BFA"/>
    <w:rsid w:val="00371892"/>
    <w:rsid w:val="00371E5B"/>
    <w:rsid w:val="00373328"/>
    <w:rsid w:val="00374404"/>
    <w:rsid w:val="00375BD3"/>
    <w:rsid w:val="003829D1"/>
    <w:rsid w:val="00382B28"/>
    <w:rsid w:val="003836E2"/>
    <w:rsid w:val="0038430E"/>
    <w:rsid w:val="00385884"/>
    <w:rsid w:val="00385997"/>
    <w:rsid w:val="00386C66"/>
    <w:rsid w:val="003A09AC"/>
    <w:rsid w:val="003A1636"/>
    <w:rsid w:val="003A4C2D"/>
    <w:rsid w:val="003A6B66"/>
    <w:rsid w:val="003B0231"/>
    <w:rsid w:val="003B10A8"/>
    <w:rsid w:val="003B6B67"/>
    <w:rsid w:val="003B7D06"/>
    <w:rsid w:val="003C049F"/>
    <w:rsid w:val="003C2CB0"/>
    <w:rsid w:val="003C7C33"/>
    <w:rsid w:val="003D1CD9"/>
    <w:rsid w:val="003D231E"/>
    <w:rsid w:val="003D2473"/>
    <w:rsid w:val="003E18ED"/>
    <w:rsid w:val="003E1FEE"/>
    <w:rsid w:val="003E3C12"/>
    <w:rsid w:val="003E5EC8"/>
    <w:rsid w:val="003E7C44"/>
    <w:rsid w:val="003F259F"/>
    <w:rsid w:val="004011D2"/>
    <w:rsid w:val="004042CA"/>
    <w:rsid w:val="0041199C"/>
    <w:rsid w:val="00413D56"/>
    <w:rsid w:val="00414280"/>
    <w:rsid w:val="00415FCB"/>
    <w:rsid w:val="00421DC0"/>
    <w:rsid w:val="00422A83"/>
    <w:rsid w:val="00424808"/>
    <w:rsid w:val="00426146"/>
    <w:rsid w:val="00426D6B"/>
    <w:rsid w:val="00433804"/>
    <w:rsid w:val="004347BA"/>
    <w:rsid w:val="004359A2"/>
    <w:rsid w:val="00435A0F"/>
    <w:rsid w:val="0043657C"/>
    <w:rsid w:val="00437DA4"/>
    <w:rsid w:val="004453C9"/>
    <w:rsid w:val="00451871"/>
    <w:rsid w:val="00462D93"/>
    <w:rsid w:val="00466BB9"/>
    <w:rsid w:val="0047226C"/>
    <w:rsid w:val="0047231C"/>
    <w:rsid w:val="0048094A"/>
    <w:rsid w:val="00482FBA"/>
    <w:rsid w:val="004836B1"/>
    <w:rsid w:val="00484719"/>
    <w:rsid w:val="004876B6"/>
    <w:rsid w:val="00487D39"/>
    <w:rsid w:val="00491C83"/>
    <w:rsid w:val="00494327"/>
    <w:rsid w:val="00496389"/>
    <w:rsid w:val="004965F4"/>
    <w:rsid w:val="004975BD"/>
    <w:rsid w:val="004A0E7E"/>
    <w:rsid w:val="004A70BA"/>
    <w:rsid w:val="004B165D"/>
    <w:rsid w:val="004B1B71"/>
    <w:rsid w:val="004B305E"/>
    <w:rsid w:val="004B6CC7"/>
    <w:rsid w:val="004C1198"/>
    <w:rsid w:val="004C3022"/>
    <w:rsid w:val="004C3399"/>
    <w:rsid w:val="004C5D32"/>
    <w:rsid w:val="004C74B7"/>
    <w:rsid w:val="004D16D1"/>
    <w:rsid w:val="004D4D85"/>
    <w:rsid w:val="004D6D61"/>
    <w:rsid w:val="004E12D5"/>
    <w:rsid w:val="004E1F63"/>
    <w:rsid w:val="004E34D8"/>
    <w:rsid w:val="004E414B"/>
    <w:rsid w:val="004E4409"/>
    <w:rsid w:val="004E4917"/>
    <w:rsid w:val="004F0573"/>
    <w:rsid w:val="004F63D2"/>
    <w:rsid w:val="004F6568"/>
    <w:rsid w:val="00505CA0"/>
    <w:rsid w:val="00506686"/>
    <w:rsid w:val="00510740"/>
    <w:rsid w:val="00510DA7"/>
    <w:rsid w:val="005112E7"/>
    <w:rsid w:val="00512CF4"/>
    <w:rsid w:val="00514E9F"/>
    <w:rsid w:val="005153DA"/>
    <w:rsid w:val="00517966"/>
    <w:rsid w:val="00520174"/>
    <w:rsid w:val="00521A28"/>
    <w:rsid w:val="0053176A"/>
    <w:rsid w:val="005326B0"/>
    <w:rsid w:val="00533ACA"/>
    <w:rsid w:val="00537D7A"/>
    <w:rsid w:val="005406F9"/>
    <w:rsid w:val="005413FC"/>
    <w:rsid w:val="00541771"/>
    <w:rsid w:val="005423D7"/>
    <w:rsid w:val="00543E27"/>
    <w:rsid w:val="00555466"/>
    <w:rsid w:val="005565E6"/>
    <w:rsid w:val="0056107E"/>
    <w:rsid w:val="005634D4"/>
    <w:rsid w:val="00567BFA"/>
    <w:rsid w:val="00571B49"/>
    <w:rsid w:val="00572009"/>
    <w:rsid w:val="00576292"/>
    <w:rsid w:val="00582643"/>
    <w:rsid w:val="00584E4C"/>
    <w:rsid w:val="0058718C"/>
    <w:rsid w:val="0059219B"/>
    <w:rsid w:val="00592864"/>
    <w:rsid w:val="00593DE0"/>
    <w:rsid w:val="005956A3"/>
    <w:rsid w:val="0059669C"/>
    <w:rsid w:val="005A12D2"/>
    <w:rsid w:val="005B10EB"/>
    <w:rsid w:val="005B47C6"/>
    <w:rsid w:val="005B6392"/>
    <w:rsid w:val="005C67D9"/>
    <w:rsid w:val="005C77EA"/>
    <w:rsid w:val="005D1F87"/>
    <w:rsid w:val="005D293B"/>
    <w:rsid w:val="005D3EE6"/>
    <w:rsid w:val="005D5525"/>
    <w:rsid w:val="005D585E"/>
    <w:rsid w:val="005D6181"/>
    <w:rsid w:val="005E0768"/>
    <w:rsid w:val="005E4D21"/>
    <w:rsid w:val="005F19F1"/>
    <w:rsid w:val="005F1C16"/>
    <w:rsid w:val="00601F59"/>
    <w:rsid w:val="00603A24"/>
    <w:rsid w:val="00606A11"/>
    <w:rsid w:val="00607456"/>
    <w:rsid w:val="0060796A"/>
    <w:rsid w:val="00611F0D"/>
    <w:rsid w:val="00612B62"/>
    <w:rsid w:val="00622068"/>
    <w:rsid w:val="006230AF"/>
    <w:rsid w:val="00623A72"/>
    <w:rsid w:val="00626828"/>
    <w:rsid w:val="006269A9"/>
    <w:rsid w:val="006309F1"/>
    <w:rsid w:val="0063398F"/>
    <w:rsid w:val="006369F9"/>
    <w:rsid w:val="006427AB"/>
    <w:rsid w:val="006428F2"/>
    <w:rsid w:val="00644DE2"/>
    <w:rsid w:val="006477FE"/>
    <w:rsid w:val="00651D5E"/>
    <w:rsid w:val="00653301"/>
    <w:rsid w:val="006557BE"/>
    <w:rsid w:val="00655FCB"/>
    <w:rsid w:val="006579A5"/>
    <w:rsid w:val="006616AA"/>
    <w:rsid w:val="00661E8F"/>
    <w:rsid w:val="00663C2F"/>
    <w:rsid w:val="006675E0"/>
    <w:rsid w:val="006825FD"/>
    <w:rsid w:val="00683071"/>
    <w:rsid w:val="00685513"/>
    <w:rsid w:val="00686280"/>
    <w:rsid w:val="00691E83"/>
    <w:rsid w:val="00696638"/>
    <w:rsid w:val="00696BD4"/>
    <w:rsid w:val="006A4AAC"/>
    <w:rsid w:val="006A6C76"/>
    <w:rsid w:val="006B276B"/>
    <w:rsid w:val="006B773B"/>
    <w:rsid w:val="006C0D67"/>
    <w:rsid w:val="006D13B7"/>
    <w:rsid w:val="006D2E99"/>
    <w:rsid w:val="006D5BC4"/>
    <w:rsid w:val="006D6A1F"/>
    <w:rsid w:val="006D7A69"/>
    <w:rsid w:val="006D7FDA"/>
    <w:rsid w:val="006E4E46"/>
    <w:rsid w:val="006E7B66"/>
    <w:rsid w:val="006F278F"/>
    <w:rsid w:val="006F4E17"/>
    <w:rsid w:val="006F598C"/>
    <w:rsid w:val="00700637"/>
    <w:rsid w:val="007009DE"/>
    <w:rsid w:val="00701B68"/>
    <w:rsid w:val="00701C47"/>
    <w:rsid w:val="0070210B"/>
    <w:rsid w:val="00702D2B"/>
    <w:rsid w:val="00704A4B"/>
    <w:rsid w:val="00705106"/>
    <w:rsid w:val="00706125"/>
    <w:rsid w:val="0070651B"/>
    <w:rsid w:val="007112D2"/>
    <w:rsid w:val="007277BB"/>
    <w:rsid w:val="007334F3"/>
    <w:rsid w:val="00734D40"/>
    <w:rsid w:val="00735BA9"/>
    <w:rsid w:val="00742F10"/>
    <w:rsid w:val="00743123"/>
    <w:rsid w:val="0074368D"/>
    <w:rsid w:val="00751324"/>
    <w:rsid w:val="007534DA"/>
    <w:rsid w:val="00760C58"/>
    <w:rsid w:val="00760DE5"/>
    <w:rsid w:val="007616C8"/>
    <w:rsid w:val="00765755"/>
    <w:rsid w:val="00771576"/>
    <w:rsid w:val="00771710"/>
    <w:rsid w:val="007762BC"/>
    <w:rsid w:val="00776512"/>
    <w:rsid w:val="007805ED"/>
    <w:rsid w:val="0078080D"/>
    <w:rsid w:val="00781579"/>
    <w:rsid w:val="007840D5"/>
    <w:rsid w:val="007852AD"/>
    <w:rsid w:val="00787FF0"/>
    <w:rsid w:val="00796079"/>
    <w:rsid w:val="007A2443"/>
    <w:rsid w:val="007A4327"/>
    <w:rsid w:val="007A593B"/>
    <w:rsid w:val="007A675D"/>
    <w:rsid w:val="007B3412"/>
    <w:rsid w:val="007B3C7E"/>
    <w:rsid w:val="007B401E"/>
    <w:rsid w:val="007B6C3A"/>
    <w:rsid w:val="007C3209"/>
    <w:rsid w:val="007C342F"/>
    <w:rsid w:val="007C4127"/>
    <w:rsid w:val="007C506E"/>
    <w:rsid w:val="007D12C7"/>
    <w:rsid w:val="007D2A76"/>
    <w:rsid w:val="007E0552"/>
    <w:rsid w:val="007E37A6"/>
    <w:rsid w:val="007E4FC7"/>
    <w:rsid w:val="007E5DBF"/>
    <w:rsid w:val="007E731F"/>
    <w:rsid w:val="007F2FA3"/>
    <w:rsid w:val="007F3ECF"/>
    <w:rsid w:val="007F7113"/>
    <w:rsid w:val="00801DF5"/>
    <w:rsid w:val="00805D0E"/>
    <w:rsid w:val="00805D2C"/>
    <w:rsid w:val="008063D7"/>
    <w:rsid w:val="008108DD"/>
    <w:rsid w:val="00811AED"/>
    <w:rsid w:val="00811DC4"/>
    <w:rsid w:val="0081378B"/>
    <w:rsid w:val="00814848"/>
    <w:rsid w:val="008173F0"/>
    <w:rsid w:val="00821322"/>
    <w:rsid w:val="00826B98"/>
    <w:rsid w:val="00826D1E"/>
    <w:rsid w:val="00840885"/>
    <w:rsid w:val="008420E8"/>
    <w:rsid w:val="00842424"/>
    <w:rsid w:val="00842A15"/>
    <w:rsid w:val="00843128"/>
    <w:rsid w:val="00850B54"/>
    <w:rsid w:val="00851472"/>
    <w:rsid w:val="00852562"/>
    <w:rsid w:val="00852EFB"/>
    <w:rsid w:val="00856B28"/>
    <w:rsid w:val="00857026"/>
    <w:rsid w:val="008608E8"/>
    <w:rsid w:val="0086503F"/>
    <w:rsid w:val="00865F63"/>
    <w:rsid w:val="008665B6"/>
    <w:rsid w:val="00866B00"/>
    <w:rsid w:val="0087060A"/>
    <w:rsid w:val="00871866"/>
    <w:rsid w:val="00871E97"/>
    <w:rsid w:val="00872215"/>
    <w:rsid w:val="00874692"/>
    <w:rsid w:val="008770AD"/>
    <w:rsid w:val="0088740E"/>
    <w:rsid w:val="008926C4"/>
    <w:rsid w:val="00892AB1"/>
    <w:rsid w:val="00892C34"/>
    <w:rsid w:val="0089429B"/>
    <w:rsid w:val="00896241"/>
    <w:rsid w:val="008975DC"/>
    <w:rsid w:val="008A198B"/>
    <w:rsid w:val="008A3DC6"/>
    <w:rsid w:val="008A4F10"/>
    <w:rsid w:val="008C44FE"/>
    <w:rsid w:val="008C50A2"/>
    <w:rsid w:val="008D7042"/>
    <w:rsid w:val="008E028B"/>
    <w:rsid w:val="008E0A59"/>
    <w:rsid w:val="008E1F1E"/>
    <w:rsid w:val="008E344E"/>
    <w:rsid w:val="008E733F"/>
    <w:rsid w:val="008E781B"/>
    <w:rsid w:val="008F7D8C"/>
    <w:rsid w:val="00901B18"/>
    <w:rsid w:val="0090353C"/>
    <w:rsid w:val="0090408F"/>
    <w:rsid w:val="00904496"/>
    <w:rsid w:val="00905E02"/>
    <w:rsid w:val="00910063"/>
    <w:rsid w:val="00910B9E"/>
    <w:rsid w:val="00913500"/>
    <w:rsid w:val="0091538C"/>
    <w:rsid w:val="00916B13"/>
    <w:rsid w:val="00920F50"/>
    <w:rsid w:val="00923EF7"/>
    <w:rsid w:val="00924BFF"/>
    <w:rsid w:val="0092635B"/>
    <w:rsid w:val="00932175"/>
    <w:rsid w:val="00932ADF"/>
    <w:rsid w:val="0093391D"/>
    <w:rsid w:val="00934149"/>
    <w:rsid w:val="00934E62"/>
    <w:rsid w:val="0093503D"/>
    <w:rsid w:val="009351A9"/>
    <w:rsid w:val="00941379"/>
    <w:rsid w:val="00941AF6"/>
    <w:rsid w:val="00960DDC"/>
    <w:rsid w:val="00963924"/>
    <w:rsid w:val="00963F4E"/>
    <w:rsid w:val="00971ED1"/>
    <w:rsid w:val="0097401D"/>
    <w:rsid w:val="00974DD4"/>
    <w:rsid w:val="009758F8"/>
    <w:rsid w:val="009862A2"/>
    <w:rsid w:val="00987787"/>
    <w:rsid w:val="00990A54"/>
    <w:rsid w:val="009A3074"/>
    <w:rsid w:val="009A3AC1"/>
    <w:rsid w:val="009A40C8"/>
    <w:rsid w:val="009A6C70"/>
    <w:rsid w:val="009A6DA2"/>
    <w:rsid w:val="009A733A"/>
    <w:rsid w:val="009B0034"/>
    <w:rsid w:val="009B5CE8"/>
    <w:rsid w:val="009C1BBB"/>
    <w:rsid w:val="009C26B5"/>
    <w:rsid w:val="009C7061"/>
    <w:rsid w:val="009D07D0"/>
    <w:rsid w:val="009D4DCB"/>
    <w:rsid w:val="009D58BB"/>
    <w:rsid w:val="009D72CA"/>
    <w:rsid w:val="009E329E"/>
    <w:rsid w:val="009E3455"/>
    <w:rsid w:val="009E5931"/>
    <w:rsid w:val="009F4A9B"/>
    <w:rsid w:val="009F4DAA"/>
    <w:rsid w:val="009F5024"/>
    <w:rsid w:val="009F5379"/>
    <w:rsid w:val="009F7677"/>
    <w:rsid w:val="009F7E7C"/>
    <w:rsid w:val="00A04822"/>
    <w:rsid w:val="00A10A80"/>
    <w:rsid w:val="00A1433B"/>
    <w:rsid w:val="00A14E5F"/>
    <w:rsid w:val="00A254F5"/>
    <w:rsid w:val="00A25A32"/>
    <w:rsid w:val="00A27D5E"/>
    <w:rsid w:val="00A362FE"/>
    <w:rsid w:val="00A450BF"/>
    <w:rsid w:val="00A506E5"/>
    <w:rsid w:val="00A55C04"/>
    <w:rsid w:val="00A56665"/>
    <w:rsid w:val="00A571F4"/>
    <w:rsid w:val="00A61440"/>
    <w:rsid w:val="00A61555"/>
    <w:rsid w:val="00A65DBC"/>
    <w:rsid w:val="00A75CE3"/>
    <w:rsid w:val="00A81720"/>
    <w:rsid w:val="00A84947"/>
    <w:rsid w:val="00A86E67"/>
    <w:rsid w:val="00A90445"/>
    <w:rsid w:val="00A91AF4"/>
    <w:rsid w:val="00A93906"/>
    <w:rsid w:val="00A94BF5"/>
    <w:rsid w:val="00A979AD"/>
    <w:rsid w:val="00AA3188"/>
    <w:rsid w:val="00AA62B8"/>
    <w:rsid w:val="00AB1675"/>
    <w:rsid w:val="00AB1BDF"/>
    <w:rsid w:val="00AB3E4E"/>
    <w:rsid w:val="00AB40D1"/>
    <w:rsid w:val="00AB4104"/>
    <w:rsid w:val="00AB6DCB"/>
    <w:rsid w:val="00AB712E"/>
    <w:rsid w:val="00AB7303"/>
    <w:rsid w:val="00AC1F30"/>
    <w:rsid w:val="00AC1FD0"/>
    <w:rsid w:val="00AC3DD5"/>
    <w:rsid w:val="00AC4F7B"/>
    <w:rsid w:val="00AC6ABD"/>
    <w:rsid w:val="00AC77E0"/>
    <w:rsid w:val="00AD4407"/>
    <w:rsid w:val="00AD4FF9"/>
    <w:rsid w:val="00AD6124"/>
    <w:rsid w:val="00AE048E"/>
    <w:rsid w:val="00AE131C"/>
    <w:rsid w:val="00AE3E84"/>
    <w:rsid w:val="00AE44E9"/>
    <w:rsid w:val="00AE72D4"/>
    <w:rsid w:val="00AF174B"/>
    <w:rsid w:val="00AF4BED"/>
    <w:rsid w:val="00AF6340"/>
    <w:rsid w:val="00B010F3"/>
    <w:rsid w:val="00B03C5D"/>
    <w:rsid w:val="00B05C9C"/>
    <w:rsid w:val="00B07504"/>
    <w:rsid w:val="00B13B7B"/>
    <w:rsid w:val="00B14F17"/>
    <w:rsid w:val="00B1662A"/>
    <w:rsid w:val="00B17ACB"/>
    <w:rsid w:val="00B2038A"/>
    <w:rsid w:val="00B209ED"/>
    <w:rsid w:val="00B329D0"/>
    <w:rsid w:val="00B347B5"/>
    <w:rsid w:val="00B3509C"/>
    <w:rsid w:val="00B3648E"/>
    <w:rsid w:val="00B44FC6"/>
    <w:rsid w:val="00B5001E"/>
    <w:rsid w:val="00B50E15"/>
    <w:rsid w:val="00B53058"/>
    <w:rsid w:val="00B5601A"/>
    <w:rsid w:val="00B6304D"/>
    <w:rsid w:val="00B634E9"/>
    <w:rsid w:val="00B64917"/>
    <w:rsid w:val="00B878EB"/>
    <w:rsid w:val="00B9576C"/>
    <w:rsid w:val="00BA10AD"/>
    <w:rsid w:val="00BA358E"/>
    <w:rsid w:val="00BA4468"/>
    <w:rsid w:val="00BA58B5"/>
    <w:rsid w:val="00BA70C3"/>
    <w:rsid w:val="00BA78AA"/>
    <w:rsid w:val="00BA7B80"/>
    <w:rsid w:val="00BB505F"/>
    <w:rsid w:val="00BC086B"/>
    <w:rsid w:val="00BD058C"/>
    <w:rsid w:val="00BD11F4"/>
    <w:rsid w:val="00BD17DD"/>
    <w:rsid w:val="00BD2E36"/>
    <w:rsid w:val="00BE0280"/>
    <w:rsid w:val="00BE1545"/>
    <w:rsid w:val="00BE4262"/>
    <w:rsid w:val="00BF0883"/>
    <w:rsid w:val="00BF3546"/>
    <w:rsid w:val="00BF4067"/>
    <w:rsid w:val="00C01D79"/>
    <w:rsid w:val="00C03239"/>
    <w:rsid w:val="00C03E3A"/>
    <w:rsid w:val="00C13B2E"/>
    <w:rsid w:val="00C16BE4"/>
    <w:rsid w:val="00C2472E"/>
    <w:rsid w:val="00C26386"/>
    <w:rsid w:val="00C30B61"/>
    <w:rsid w:val="00C346FA"/>
    <w:rsid w:val="00C34921"/>
    <w:rsid w:val="00C34D29"/>
    <w:rsid w:val="00C446E8"/>
    <w:rsid w:val="00C45C09"/>
    <w:rsid w:val="00C51AFD"/>
    <w:rsid w:val="00C57265"/>
    <w:rsid w:val="00C644AA"/>
    <w:rsid w:val="00C70B26"/>
    <w:rsid w:val="00C71BDC"/>
    <w:rsid w:val="00C85A9F"/>
    <w:rsid w:val="00C873F0"/>
    <w:rsid w:val="00C87A57"/>
    <w:rsid w:val="00C90037"/>
    <w:rsid w:val="00C91933"/>
    <w:rsid w:val="00CA18BD"/>
    <w:rsid w:val="00CA2782"/>
    <w:rsid w:val="00CA7659"/>
    <w:rsid w:val="00CA77D7"/>
    <w:rsid w:val="00CA7EA6"/>
    <w:rsid w:val="00CB1335"/>
    <w:rsid w:val="00CB2F6F"/>
    <w:rsid w:val="00CB6107"/>
    <w:rsid w:val="00CB6B9B"/>
    <w:rsid w:val="00CB74FF"/>
    <w:rsid w:val="00CB765F"/>
    <w:rsid w:val="00CC00F8"/>
    <w:rsid w:val="00CC3B44"/>
    <w:rsid w:val="00CC5500"/>
    <w:rsid w:val="00CC6994"/>
    <w:rsid w:val="00CD39BA"/>
    <w:rsid w:val="00CD5BBC"/>
    <w:rsid w:val="00CD64D0"/>
    <w:rsid w:val="00CE23CF"/>
    <w:rsid w:val="00CE29BD"/>
    <w:rsid w:val="00CF025E"/>
    <w:rsid w:val="00CF0750"/>
    <w:rsid w:val="00CF0C4A"/>
    <w:rsid w:val="00CF2979"/>
    <w:rsid w:val="00CF2A91"/>
    <w:rsid w:val="00CF388E"/>
    <w:rsid w:val="00D00088"/>
    <w:rsid w:val="00D025BA"/>
    <w:rsid w:val="00D076BF"/>
    <w:rsid w:val="00D11334"/>
    <w:rsid w:val="00D12BA6"/>
    <w:rsid w:val="00D15826"/>
    <w:rsid w:val="00D23BE9"/>
    <w:rsid w:val="00D25EB6"/>
    <w:rsid w:val="00D306E6"/>
    <w:rsid w:val="00D32BD5"/>
    <w:rsid w:val="00D34311"/>
    <w:rsid w:val="00D41911"/>
    <w:rsid w:val="00D464C0"/>
    <w:rsid w:val="00D50233"/>
    <w:rsid w:val="00D51E1A"/>
    <w:rsid w:val="00D523B9"/>
    <w:rsid w:val="00D56FBD"/>
    <w:rsid w:val="00D57417"/>
    <w:rsid w:val="00D63028"/>
    <w:rsid w:val="00D71F87"/>
    <w:rsid w:val="00D7671C"/>
    <w:rsid w:val="00D81A9D"/>
    <w:rsid w:val="00D82BE2"/>
    <w:rsid w:val="00D833B5"/>
    <w:rsid w:val="00D85061"/>
    <w:rsid w:val="00D915D5"/>
    <w:rsid w:val="00D91652"/>
    <w:rsid w:val="00D9229E"/>
    <w:rsid w:val="00D92C21"/>
    <w:rsid w:val="00D93231"/>
    <w:rsid w:val="00D94904"/>
    <w:rsid w:val="00DA46AF"/>
    <w:rsid w:val="00DA59A2"/>
    <w:rsid w:val="00DA6AF9"/>
    <w:rsid w:val="00DB268C"/>
    <w:rsid w:val="00DC46E1"/>
    <w:rsid w:val="00DC5DD2"/>
    <w:rsid w:val="00DD0756"/>
    <w:rsid w:val="00DD0ADD"/>
    <w:rsid w:val="00DE37C6"/>
    <w:rsid w:val="00DE3DDA"/>
    <w:rsid w:val="00DE5542"/>
    <w:rsid w:val="00DF04C4"/>
    <w:rsid w:val="00DF3603"/>
    <w:rsid w:val="00DF3F8C"/>
    <w:rsid w:val="00DF5377"/>
    <w:rsid w:val="00E00FAF"/>
    <w:rsid w:val="00E0363F"/>
    <w:rsid w:val="00E05092"/>
    <w:rsid w:val="00E06B9A"/>
    <w:rsid w:val="00E1053C"/>
    <w:rsid w:val="00E13351"/>
    <w:rsid w:val="00E1681B"/>
    <w:rsid w:val="00E176CC"/>
    <w:rsid w:val="00E22D6A"/>
    <w:rsid w:val="00E24879"/>
    <w:rsid w:val="00E3672B"/>
    <w:rsid w:val="00E375B5"/>
    <w:rsid w:val="00E43DD3"/>
    <w:rsid w:val="00E44667"/>
    <w:rsid w:val="00E5203A"/>
    <w:rsid w:val="00E55A3B"/>
    <w:rsid w:val="00E61739"/>
    <w:rsid w:val="00E65BB5"/>
    <w:rsid w:val="00E74133"/>
    <w:rsid w:val="00E83804"/>
    <w:rsid w:val="00E85450"/>
    <w:rsid w:val="00E86F3B"/>
    <w:rsid w:val="00E876D3"/>
    <w:rsid w:val="00E93F00"/>
    <w:rsid w:val="00EA275D"/>
    <w:rsid w:val="00EA534D"/>
    <w:rsid w:val="00EB045C"/>
    <w:rsid w:val="00EB0E49"/>
    <w:rsid w:val="00EB2B32"/>
    <w:rsid w:val="00EB7CE5"/>
    <w:rsid w:val="00EB7EAD"/>
    <w:rsid w:val="00EC5210"/>
    <w:rsid w:val="00ED1E0E"/>
    <w:rsid w:val="00ED2A6D"/>
    <w:rsid w:val="00ED7288"/>
    <w:rsid w:val="00ED7BE5"/>
    <w:rsid w:val="00ED7C08"/>
    <w:rsid w:val="00ED7E23"/>
    <w:rsid w:val="00EE7C90"/>
    <w:rsid w:val="00EF7706"/>
    <w:rsid w:val="00F01099"/>
    <w:rsid w:val="00F04A6A"/>
    <w:rsid w:val="00F06984"/>
    <w:rsid w:val="00F07DB4"/>
    <w:rsid w:val="00F1207A"/>
    <w:rsid w:val="00F12430"/>
    <w:rsid w:val="00F15D62"/>
    <w:rsid w:val="00F2148B"/>
    <w:rsid w:val="00F2587A"/>
    <w:rsid w:val="00F26D67"/>
    <w:rsid w:val="00F27CC1"/>
    <w:rsid w:val="00F310A4"/>
    <w:rsid w:val="00F4024B"/>
    <w:rsid w:val="00F443B3"/>
    <w:rsid w:val="00F448EC"/>
    <w:rsid w:val="00F467F0"/>
    <w:rsid w:val="00F47154"/>
    <w:rsid w:val="00F51DFF"/>
    <w:rsid w:val="00F52EFC"/>
    <w:rsid w:val="00F54D60"/>
    <w:rsid w:val="00F54E2F"/>
    <w:rsid w:val="00F607CF"/>
    <w:rsid w:val="00F60B7C"/>
    <w:rsid w:val="00F66757"/>
    <w:rsid w:val="00F70209"/>
    <w:rsid w:val="00F74C4F"/>
    <w:rsid w:val="00F7590A"/>
    <w:rsid w:val="00F77CD1"/>
    <w:rsid w:val="00F827C8"/>
    <w:rsid w:val="00F83805"/>
    <w:rsid w:val="00F90451"/>
    <w:rsid w:val="00F91FDB"/>
    <w:rsid w:val="00F946A5"/>
    <w:rsid w:val="00F95399"/>
    <w:rsid w:val="00F95C03"/>
    <w:rsid w:val="00FA4AE2"/>
    <w:rsid w:val="00FA6208"/>
    <w:rsid w:val="00FB1069"/>
    <w:rsid w:val="00FB23D0"/>
    <w:rsid w:val="00FB32C8"/>
    <w:rsid w:val="00FC2ADD"/>
    <w:rsid w:val="00FC2F34"/>
    <w:rsid w:val="00FD2002"/>
    <w:rsid w:val="00FD42E8"/>
    <w:rsid w:val="00FD5B53"/>
    <w:rsid w:val="00FD6A70"/>
    <w:rsid w:val="00FE100A"/>
    <w:rsid w:val="00FE27BB"/>
    <w:rsid w:val="00FE5527"/>
    <w:rsid w:val="00FF0185"/>
    <w:rsid w:val="00FF1B9A"/>
    <w:rsid w:val="00FF3C10"/>
    <w:rsid w:val="00FF7779"/>
    <w:rsid w:val="01325A8F"/>
    <w:rsid w:val="03463781"/>
    <w:rsid w:val="045849ED"/>
    <w:rsid w:val="053E16CD"/>
    <w:rsid w:val="05432019"/>
    <w:rsid w:val="059471B5"/>
    <w:rsid w:val="05D9297D"/>
    <w:rsid w:val="06267FC9"/>
    <w:rsid w:val="06587D46"/>
    <w:rsid w:val="08680198"/>
    <w:rsid w:val="08874912"/>
    <w:rsid w:val="09646E45"/>
    <w:rsid w:val="096C7482"/>
    <w:rsid w:val="0A2C2DC5"/>
    <w:rsid w:val="0A8C3FD1"/>
    <w:rsid w:val="0B0C55A3"/>
    <w:rsid w:val="0B5C2951"/>
    <w:rsid w:val="0BCA4A38"/>
    <w:rsid w:val="0CE13E9A"/>
    <w:rsid w:val="0D6B4272"/>
    <w:rsid w:val="0D923783"/>
    <w:rsid w:val="0DC67C8B"/>
    <w:rsid w:val="0E6D1E9B"/>
    <w:rsid w:val="0F44355D"/>
    <w:rsid w:val="0F621C2B"/>
    <w:rsid w:val="0FBD0C1A"/>
    <w:rsid w:val="0FCA12E5"/>
    <w:rsid w:val="0FCD3553"/>
    <w:rsid w:val="105E23A9"/>
    <w:rsid w:val="10D66514"/>
    <w:rsid w:val="10F34BE1"/>
    <w:rsid w:val="115C5AEC"/>
    <w:rsid w:val="116B1D07"/>
    <w:rsid w:val="11A622AD"/>
    <w:rsid w:val="11FD79F3"/>
    <w:rsid w:val="13166FBF"/>
    <w:rsid w:val="13793349"/>
    <w:rsid w:val="137A68B0"/>
    <w:rsid w:val="1408665D"/>
    <w:rsid w:val="141E449F"/>
    <w:rsid w:val="14B6708E"/>
    <w:rsid w:val="14CC6AF2"/>
    <w:rsid w:val="166167A3"/>
    <w:rsid w:val="16646293"/>
    <w:rsid w:val="17C76AD9"/>
    <w:rsid w:val="18CC7237"/>
    <w:rsid w:val="190E1FA6"/>
    <w:rsid w:val="190F0738"/>
    <w:rsid w:val="19367C8D"/>
    <w:rsid w:val="19AB1C63"/>
    <w:rsid w:val="19FD6AAC"/>
    <w:rsid w:val="1A796D0D"/>
    <w:rsid w:val="1AED747A"/>
    <w:rsid w:val="1B453DD4"/>
    <w:rsid w:val="1B8847D2"/>
    <w:rsid w:val="1C3660D4"/>
    <w:rsid w:val="1D417721"/>
    <w:rsid w:val="1D9D51F3"/>
    <w:rsid w:val="1E2F2CF8"/>
    <w:rsid w:val="1EAF2075"/>
    <w:rsid w:val="1ECC2C27"/>
    <w:rsid w:val="1F1D7927"/>
    <w:rsid w:val="20672C08"/>
    <w:rsid w:val="20E406FC"/>
    <w:rsid w:val="21151D88"/>
    <w:rsid w:val="211B629E"/>
    <w:rsid w:val="21451B35"/>
    <w:rsid w:val="21B225A8"/>
    <w:rsid w:val="22562E14"/>
    <w:rsid w:val="22D121EA"/>
    <w:rsid w:val="22EF42C4"/>
    <w:rsid w:val="23151041"/>
    <w:rsid w:val="23B56C14"/>
    <w:rsid w:val="24496436"/>
    <w:rsid w:val="24807E99"/>
    <w:rsid w:val="27740528"/>
    <w:rsid w:val="27826579"/>
    <w:rsid w:val="27D33279"/>
    <w:rsid w:val="27DA43AE"/>
    <w:rsid w:val="28E10711"/>
    <w:rsid w:val="28EE31C0"/>
    <w:rsid w:val="29062D72"/>
    <w:rsid w:val="29C250CE"/>
    <w:rsid w:val="29D659C5"/>
    <w:rsid w:val="29E55A72"/>
    <w:rsid w:val="2A2461A4"/>
    <w:rsid w:val="2A515672"/>
    <w:rsid w:val="2A560428"/>
    <w:rsid w:val="2AB90BF0"/>
    <w:rsid w:val="2C6A44FA"/>
    <w:rsid w:val="2DC56886"/>
    <w:rsid w:val="2DC91D07"/>
    <w:rsid w:val="2EC658E5"/>
    <w:rsid w:val="2F0D6640"/>
    <w:rsid w:val="2F5B2826"/>
    <w:rsid w:val="2FDF4F55"/>
    <w:rsid w:val="2FF13572"/>
    <w:rsid w:val="303A20E7"/>
    <w:rsid w:val="305B3E0B"/>
    <w:rsid w:val="30A457B2"/>
    <w:rsid w:val="312850D7"/>
    <w:rsid w:val="32676A97"/>
    <w:rsid w:val="32755858"/>
    <w:rsid w:val="327C1F2C"/>
    <w:rsid w:val="32AC094E"/>
    <w:rsid w:val="33EF6ABD"/>
    <w:rsid w:val="34293300"/>
    <w:rsid w:val="34E45C3F"/>
    <w:rsid w:val="35400853"/>
    <w:rsid w:val="355A0B35"/>
    <w:rsid w:val="3566572C"/>
    <w:rsid w:val="363A6C6B"/>
    <w:rsid w:val="36897F35"/>
    <w:rsid w:val="36C344B8"/>
    <w:rsid w:val="371E12C2"/>
    <w:rsid w:val="374C4300"/>
    <w:rsid w:val="37BD53AB"/>
    <w:rsid w:val="37FE090B"/>
    <w:rsid w:val="387B329C"/>
    <w:rsid w:val="388D4973"/>
    <w:rsid w:val="38E30E42"/>
    <w:rsid w:val="39145CDA"/>
    <w:rsid w:val="39E55D56"/>
    <w:rsid w:val="39F43C61"/>
    <w:rsid w:val="3A7061B9"/>
    <w:rsid w:val="3B6E70E8"/>
    <w:rsid w:val="3BC46D08"/>
    <w:rsid w:val="3D556B38"/>
    <w:rsid w:val="3DB550F1"/>
    <w:rsid w:val="3E1321C9"/>
    <w:rsid w:val="3EF23B8C"/>
    <w:rsid w:val="3F425C4C"/>
    <w:rsid w:val="3F76656C"/>
    <w:rsid w:val="4061546E"/>
    <w:rsid w:val="423841B9"/>
    <w:rsid w:val="42F223AD"/>
    <w:rsid w:val="432307B8"/>
    <w:rsid w:val="43B72341"/>
    <w:rsid w:val="44607760"/>
    <w:rsid w:val="44654637"/>
    <w:rsid w:val="45861A5A"/>
    <w:rsid w:val="458F470E"/>
    <w:rsid w:val="460A2104"/>
    <w:rsid w:val="4660042C"/>
    <w:rsid w:val="468E4E6D"/>
    <w:rsid w:val="47665118"/>
    <w:rsid w:val="47855EE6"/>
    <w:rsid w:val="47B03BA9"/>
    <w:rsid w:val="48843147"/>
    <w:rsid w:val="4A0B4034"/>
    <w:rsid w:val="4A2E02C6"/>
    <w:rsid w:val="4B920260"/>
    <w:rsid w:val="4B9E1DB9"/>
    <w:rsid w:val="4C814A3C"/>
    <w:rsid w:val="4C8C73CE"/>
    <w:rsid w:val="4C917EEE"/>
    <w:rsid w:val="4D842037"/>
    <w:rsid w:val="4D9B2F7F"/>
    <w:rsid w:val="4E263853"/>
    <w:rsid w:val="4EE01C53"/>
    <w:rsid w:val="4F05790C"/>
    <w:rsid w:val="4F271630"/>
    <w:rsid w:val="4F363F69"/>
    <w:rsid w:val="4F3912D1"/>
    <w:rsid w:val="50086B0C"/>
    <w:rsid w:val="509A76C1"/>
    <w:rsid w:val="50F63270"/>
    <w:rsid w:val="51315BF1"/>
    <w:rsid w:val="515F053C"/>
    <w:rsid w:val="518717AD"/>
    <w:rsid w:val="52267A1D"/>
    <w:rsid w:val="523C7B9F"/>
    <w:rsid w:val="53620E89"/>
    <w:rsid w:val="54022FBD"/>
    <w:rsid w:val="544F3BE0"/>
    <w:rsid w:val="54810BF1"/>
    <w:rsid w:val="54882B71"/>
    <w:rsid w:val="54AA6EBE"/>
    <w:rsid w:val="550024AC"/>
    <w:rsid w:val="55456CB4"/>
    <w:rsid w:val="555A1A05"/>
    <w:rsid w:val="561E7943"/>
    <w:rsid w:val="56C7520C"/>
    <w:rsid w:val="570016CA"/>
    <w:rsid w:val="575F32D1"/>
    <w:rsid w:val="5768620E"/>
    <w:rsid w:val="57B04785"/>
    <w:rsid w:val="58807ED0"/>
    <w:rsid w:val="589647C1"/>
    <w:rsid w:val="592328F7"/>
    <w:rsid w:val="59857735"/>
    <w:rsid w:val="599F25E3"/>
    <w:rsid w:val="5AAB6294"/>
    <w:rsid w:val="5AD84C86"/>
    <w:rsid w:val="5B501F0F"/>
    <w:rsid w:val="5B714618"/>
    <w:rsid w:val="5BC82F4E"/>
    <w:rsid w:val="5BEC025E"/>
    <w:rsid w:val="5C4927A2"/>
    <w:rsid w:val="5C6D5D5D"/>
    <w:rsid w:val="5D886622"/>
    <w:rsid w:val="5D9B3863"/>
    <w:rsid w:val="5DBD50A7"/>
    <w:rsid w:val="5DBF5A39"/>
    <w:rsid w:val="5E93433C"/>
    <w:rsid w:val="5EE74938"/>
    <w:rsid w:val="5F4F7B99"/>
    <w:rsid w:val="5F9A5E4E"/>
    <w:rsid w:val="601C1C71"/>
    <w:rsid w:val="604F09E7"/>
    <w:rsid w:val="60A54AAB"/>
    <w:rsid w:val="60AE2B4F"/>
    <w:rsid w:val="6113395F"/>
    <w:rsid w:val="63853B51"/>
    <w:rsid w:val="645529A9"/>
    <w:rsid w:val="64862C2B"/>
    <w:rsid w:val="649C34D7"/>
    <w:rsid w:val="64F33A36"/>
    <w:rsid w:val="6552795A"/>
    <w:rsid w:val="655322BE"/>
    <w:rsid w:val="65D0211A"/>
    <w:rsid w:val="6661072D"/>
    <w:rsid w:val="667C00EB"/>
    <w:rsid w:val="66E300DB"/>
    <w:rsid w:val="67391B07"/>
    <w:rsid w:val="692844CB"/>
    <w:rsid w:val="6A164324"/>
    <w:rsid w:val="6A8B3BD0"/>
    <w:rsid w:val="6B223378"/>
    <w:rsid w:val="6B4E5791"/>
    <w:rsid w:val="6C07486C"/>
    <w:rsid w:val="6C2C1577"/>
    <w:rsid w:val="6C4A2153"/>
    <w:rsid w:val="6C930D4D"/>
    <w:rsid w:val="6D1B31AF"/>
    <w:rsid w:val="6E015061"/>
    <w:rsid w:val="6E5D0DA5"/>
    <w:rsid w:val="6E7F06E9"/>
    <w:rsid w:val="6EDA2030"/>
    <w:rsid w:val="6F7928EC"/>
    <w:rsid w:val="707F0E75"/>
    <w:rsid w:val="70A64FF5"/>
    <w:rsid w:val="70A95EF1"/>
    <w:rsid w:val="71076E33"/>
    <w:rsid w:val="714C46EA"/>
    <w:rsid w:val="715E7281"/>
    <w:rsid w:val="717052E6"/>
    <w:rsid w:val="71FF3B7F"/>
    <w:rsid w:val="72106C56"/>
    <w:rsid w:val="722D0DE2"/>
    <w:rsid w:val="72394572"/>
    <w:rsid w:val="72E476B5"/>
    <w:rsid w:val="73110955"/>
    <w:rsid w:val="735A1441"/>
    <w:rsid w:val="73F43927"/>
    <w:rsid w:val="74026044"/>
    <w:rsid w:val="7483624C"/>
    <w:rsid w:val="75F265F9"/>
    <w:rsid w:val="760140DA"/>
    <w:rsid w:val="78AA6CAB"/>
    <w:rsid w:val="793067AF"/>
    <w:rsid w:val="7ABF62AE"/>
    <w:rsid w:val="7AF43DE8"/>
    <w:rsid w:val="7B1B3E90"/>
    <w:rsid w:val="7C4119A4"/>
    <w:rsid w:val="7CB732C2"/>
    <w:rsid w:val="7D3B1AD2"/>
    <w:rsid w:val="7D8B2960"/>
    <w:rsid w:val="7DD81BC4"/>
    <w:rsid w:val="7E2E6995"/>
    <w:rsid w:val="7F1C517E"/>
    <w:rsid w:val="7F386CD9"/>
    <w:rsid w:val="7F47555A"/>
    <w:rsid w:val="7F4A4D43"/>
    <w:rsid w:val="7F6E7DBE"/>
    <w:rsid w:val="7F914E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2"/>
    <w:autoRedefine/>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4">
    <w:name w:val="heading 2"/>
    <w:basedOn w:val="1"/>
    <w:next w:val="1"/>
    <w:link w:val="104"/>
    <w:autoRedefine/>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5">
    <w:name w:val="heading 3"/>
    <w:basedOn w:val="1"/>
    <w:next w:val="1"/>
    <w:link w:val="121"/>
    <w:autoRedefine/>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6">
    <w:name w:val="heading 4"/>
    <w:basedOn w:val="1"/>
    <w:next w:val="1"/>
    <w:link w:val="95"/>
    <w:autoRedefine/>
    <w:qFormat/>
    <w:uiPriority w:val="0"/>
    <w:pPr>
      <w:keepNext/>
      <w:keepLines/>
      <w:spacing w:before="280" w:after="290" w:line="376" w:lineRule="auto"/>
      <w:outlineLvl w:val="3"/>
    </w:pPr>
    <w:rPr>
      <w:rFonts w:ascii="Arial" w:hAnsi="Arial" w:eastAsia="黑体"/>
      <w:b/>
      <w:sz w:val="28"/>
      <w:szCs w:val="20"/>
    </w:rPr>
  </w:style>
  <w:style w:type="paragraph" w:styleId="7">
    <w:name w:val="heading 5"/>
    <w:basedOn w:val="1"/>
    <w:next w:val="2"/>
    <w:link w:val="108"/>
    <w:autoRedefine/>
    <w:qFormat/>
    <w:uiPriority w:val="0"/>
    <w:pPr>
      <w:keepNext/>
      <w:keepLines/>
      <w:spacing w:before="280" w:after="290" w:line="376" w:lineRule="auto"/>
      <w:outlineLvl w:val="4"/>
    </w:pPr>
    <w:rPr>
      <w:b/>
      <w:sz w:val="28"/>
      <w:szCs w:val="20"/>
    </w:rPr>
  </w:style>
  <w:style w:type="paragraph" w:styleId="8">
    <w:name w:val="heading 6"/>
    <w:basedOn w:val="1"/>
    <w:next w:val="2"/>
    <w:link w:val="93"/>
    <w:autoRedefine/>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2"/>
    <w:link w:val="113"/>
    <w:autoRedefine/>
    <w:qFormat/>
    <w:uiPriority w:val="0"/>
    <w:pPr>
      <w:keepNext/>
      <w:keepLines/>
      <w:spacing w:before="240" w:after="64" w:line="320" w:lineRule="auto"/>
      <w:outlineLvl w:val="6"/>
    </w:pPr>
    <w:rPr>
      <w:b/>
      <w:sz w:val="24"/>
      <w:szCs w:val="20"/>
    </w:rPr>
  </w:style>
  <w:style w:type="paragraph" w:styleId="10">
    <w:name w:val="heading 8"/>
    <w:basedOn w:val="1"/>
    <w:next w:val="2"/>
    <w:link w:val="100"/>
    <w:autoRedefine/>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2"/>
    <w:link w:val="92"/>
    <w:autoRedefine/>
    <w:qFormat/>
    <w:uiPriority w:val="0"/>
    <w:pPr>
      <w:keepNext/>
      <w:keepLines/>
      <w:spacing w:before="240" w:after="64" w:line="320" w:lineRule="auto"/>
      <w:outlineLvl w:val="8"/>
    </w:pPr>
    <w:rPr>
      <w:rFonts w:ascii="Arial" w:hAnsi="Arial" w:eastAsia="黑体"/>
      <w:szCs w:val="20"/>
    </w:rPr>
  </w:style>
  <w:style w:type="character" w:default="1" w:styleId="50">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link w:val="115"/>
    <w:autoRedefine/>
    <w:qFormat/>
    <w:uiPriority w:val="0"/>
    <w:pPr>
      <w:autoSpaceDE w:val="0"/>
      <w:autoSpaceDN w:val="0"/>
      <w:adjustRightInd w:val="0"/>
      <w:ind w:firstLine="420"/>
      <w:jc w:val="left"/>
      <w:textAlignment w:val="baseline"/>
    </w:pPr>
    <w:rPr>
      <w:rFonts w:ascii="宋体"/>
      <w:kern w:val="0"/>
      <w:sz w:val="34"/>
      <w:szCs w:val="20"/>
    </w:rPr>
  </w:style>
  <w:style w:type="paragraph" w:styleId="12">
    <w:name w:val="toc 7"/>
    <w:basedOn w:val="1"/>
    <w:next w:val="1"/>
    <w:autoRedefine/>
    <w:qFormat/>
    <w:uiPriority w:val="0"/>
    <w:pPr>
      <w:ind w:left="1200" w:leftChars="1200"/>
    </w:pPr>
    <w:rPr>
      <w:rFonts w:ascii="Calibri" w:hAnsi="Calibri"/>
      <w:szCs w:val="22"/>
    </w:rPr>
  </w:style>
  <w:style w:type="paragraph" w:styleId="13">
    <w:name w:val="caption"/>
    <w:basedOn w:val="1"/>
    <w:next w:val="1"/>
    <w:autoRedefine/>
    <w:qFormat/>
    <w:uiPriority w:val="0"/>
    <w:pPr>
      <w:spacing w:line="360" w:lineRule="auto"/>
    </w:pPr>
    <w:rPr>
      <w:rFonts w:ascii="Arial" w:hAnsi="Arial" w:eastAsia="黑体" w:cs="Arial"/>
      <w:sz w:val="20"/>
      <w:szCs w:val="20"/>
    </w:rPr>
  </w:style>
  <w:style w:type="paragraph" w:styleId="14">
    <w:name w:val="List Bullet"/>
    <w:basedOn w:val="1"/>
    <w:autoRedefine/>
    <w:qFormat/>
    <w:uiPriority w:val="0"/>
    <w:pPr>
      <w:tabs>
        <w:tab w:val="left" w:pos="360"/>
        <w:tab w:val="left" w:pos="1320"/>
      </w:tabs>
      <w:spacing w:line="360" w:lineRule="auto"/>
      <w:ind w:left="1320" w:hanging="420"/>
    </w:pPr>
    <w:rPr>
      <w:sz w:val="24"/>
    </w:rPr>
  </w:style>
  <w:style w:type="paragraph" w:styleId="15">
    <w:name w:val="Document Map"/>
    <w:basedOn w:val="1"/>
    <w:autoRedefine/>
    <w:qFormat/>
    <w:uiPriority w:val="0"/>
    <w:pPr>
      <w:shd w:val="clear" w:color="auto" w:fill="000080"/>
    </w:pPr>
  </w:style>
  <w:style w:type="paragraph" w:styleId="16">
    <w:name w:val="annotation text"/>
    <w:basedOn w:val="1"/>
    <w:link w:val="133"/>
    <w:autoRedefine/>
    <w:qFormat/>
    <w:uiPriority w:val="0"/>
    <w:pPr>
      <w:spacing w:line="360" w:lineRule="auto"/>
      <w:jc w:val="left"/>
    </w:pPr>
    <w:rPr>
      <w:sz w:val="24"/>
    </w:rPr>
  </w:style>
  <w:style w:type="paragraph" w:styleId="17">
    <w:name w:val="Body Text"/>
    <w:basedOn w:val="1"/>
    <w:link w:val="78"/>
    <w:autoRedefine/>
    <w:qFormat/>
    <w:uiPriority w:val="0"/>
    <w:pPr>
      <w:spacing w:after="120"/>
    </w:pPr>
  </w:style>
  <w:style w:type="paragraph" w:styleId="18">
    <w:name w:val="Body Text Indent"/>
    <w:basedOn w:val="1"/>
    <w:link w:val="125"/>
    <w:autoRedefine/>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19">
    <w:name w:val="List Bullet 2"/>
    <w:basedOn w:val="1"/>
    <w:autoRedefine/>
    <w:qFormat/>
    <w:uiPriority w:val="0"/>
    <w:pPr>
      <w:numPr>
        <w:ilvl w:val="0"/>
        <w:numId w:val="2"/>
      </w:numPr>
    </w:pPr>
  </w:style>
  <w:style w:type="paragraph" w:styleId="20">
    <w:name w:val="HTML Address"/>
    <w:basedOn w:val="1"/>
    <w:link w:val="131"/>
    <w:autoRedefine/>
    <w:qFormat/>
    <w:uiPriority w:val="0"/>
    <w:pPr>
      <w:numPr>
        <w:ilvl w:val="0"/>
        <w:numId w:val="3"/>
      </w:numPr>
      <w:tabs>
        <w:tab w:val="clear" w:pos="432"/>
      </w:tabs>
      <w:ind w:left="0" w:firstLine="0"/>
    </w:pPr>
    <w:rPr>
      <w:i/>
    </w:rPr>
  </w:style>
  <w:style w:type="paragraph" w:styleId="21">
    <w:name w:val="toc 5"/>
    <w:basedOn w:val="1"/>
    <w:next w:val="1"/>
    <w:autoRedefine/>
    <w:qFormat/>
    <w:uiPriority w:val="0"/>
    <w:pPr>
      <w:ind w:left="800" w:leftChars="800"/>
    </w:pPr>
    <w:rPr>
      <w:rFonts w:ascii="Calibri" w:hAnsi="Calibri"/>
      <w:szCs w:val="22"/>
    </w:rPr>
  </w:style>
  <w:style w:type="paragraph" w:styleId="22">
    <w:name w:val="toc 3"/>
    <w:basedOn w:val="1"/>
    <w:next w:val="1"/>
    <w:autoRedefine/>
    <w:qFormat/>
    <w:uiPriority w:val="39"/>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76"/>
    <w:autoRedefine/>
    <w:qFormat/>
    <w:uiPriority w:val="0"/>
    <w:rPr>
      <w:rFonts w:ascii="宋体" w:hAnsi="Courier New"/>
      <w:szCs w:val="20"/>
    </w:rPr>
  </w:style>
  <w:style w:type="paragraph" w:styleId="24">
    <w:name w:val="toc 8"/>
    <w:basedOn w:val="1"/>
    <w:next w:val="1"/>
    <w:autoRedefine/>
    <w:qFormat/>
    <w:uiPriority w:val="0"/>
    <w:pPr>
      <w:ind w:left="1400" w:leftChars="1400"/>
    </w:pPr>
    <w:rPr>
      <w:rFonts w:ascii="Calibri" w:hAnsi="Calibri"/>
      <w:szCs w:val="22"/>
    </w:rPr>
  </w:style>
  <w:style w:type="paragraph" w:styleId="25">
    <w:name w:val="Date"/>
    <w:basedOn w:val="1"/>
    <w:next w:val="1"/>
    <w:link w:val="65"/>
    <w:autoRedefine/>
    <w:qFormat/>
    <w:uiPriority w:val="0"/>
    <w:pPr>
      <w:numPr>
        <w:ilvl w:val="0"/>
        <w:numId w:val="4"/>
      </w:numPr>
      <w:ind w:left="100" w:leftChars="2500"/>
    </w:pPr>
  </w:style>
  <w:style w:type="paragraph" w:styleId="26">
    <w:name w:val="Body Text Indent 2"/>
    <w:basedOn w:val="1"/>
    <w:link w:val="73"/>
    <w:autoRedefine/>
    <w:qFormat/>
    <w:uiPriority w:val="0"/>
    <w:pPr>
      <w:spacing w:line="480" w:lineRule="exact"/>
      <w:ind w:left="810" w:firstLine="675"/>
    </w:pPr>
    <w:rPr>
      <w:rFonts w:eastAsia="仿宋_GB2312"/>
      <w:sz w:val="30"/>
      <w:szCs w:val="20"/>
    </w:rPr>
  </w:style>
  <w:style w:type="paragraph" w:styleId="27">
    <w:name w:val="endnote text"/>
    <w:basedOn w:val="1"/>
    <w:autoRedefine/>
    <w:unhideWhenUsed/>
    <w:qFormat/>
    <w:uiPriority w:val="99"/>
    <w:pPr>
      <w:snapToGrid w:val="0"/>
    </w:pPr>
    <w:rPr>
      <w:rFonts w:cstheme="minorBidi"/>
      <w:szCs w:val="22"/>
    </w:rPr>
  </w:style>
  <w:style w:type="paragraph" w:styleId="28">
    <w:name w:val="Balloon Text"/>
    <w:basedOn w:val="1"/>
    <w:link w:val="88"/>
    <w:autoRedefine/>
    <w:qFormat/>
    <w:uiPriority w:val="0"/>
    <w:rPr>
      <w:sz w:val="18"/>
      <w:szCs w:val="18"/>
    </w:rPr>
  </w:style>
  <w:style w:type="paragraph" w:styleId="29">
    <w:name w:val="footer"/>
    <w:basedOn w:val="1"/>
    <w:link w:val="134"/>
    <w:autoRedefine/>
    <w:qFormat/>
    <w:uiPriority w:val="0"/>
    <w:pPr>
      <w:tabs>
        <w:tab w:val="center" w:pos="4153"/>
        <w:tab w:val="right" w:pos="8306"/>
      </w:tabs>
      <w:snapToGrid w:val="0"/>
      <w:jc w:val="left"/>
    </w:pPr>
    <w:rPr>
      <w:sz w:val="18"/>
      <w:szCs w:val="20"/>
    </w:rPr>
  </w:style>
  <w:style w:type="paragraph" w:styleId="30">
    <w:name w:val="header"/>
    <w:basedOn w:val="1"/>
    <w:link w:val="126"/>
    <w:autoRedefine/>
    <w:qFormat/>
    <w:uiPriority w:val="99"/>
    <w:pPr>
      <w:pBdr>
        <w:bottom w:val="single" w:color="auto" w:sz="6" w:space="1"/>
      </w:pBdr>
      <w:tabs>
        <w:tab w:val="center" w:pos="4153"/>
        <w:tab w:val="right" w:pos="8306"/>
      </w:tabs>
      <w:snapToGrid w:val="0"/>
      <w:jc w:val="center"/>
    </w:pPr>
    <w:rPr>
      <w:sz w:val="18"/>
      <w:szCs w:val="20"/>
    </w:rPr>
  </w:style>
  <w:style w:type="paragraph" w:styleId="31">
    <w:name w:val="toc 1"/>
    <w:basedOn w:val="1"/>
    <w:next w:val="1"/>
    <w:autoRedefine/>
    <w:qFormat/>
    <w:uiPriority w:val="39"/>
    <w:pPr>
      <w:tabs>
        <w:tab w:val="right" w:leader="dot" w:pos="8949"/>
      </w:tabs>
      <w:spacing w:before="120" w:after="120"/>
      <w:jc w:val="left"/>
    </w:pPr>
    <w:rPr>
      <w:b/>
      <w:bCs/>
      <w:caps/>
      <w:szCs w:val="21"/>
    </w:rPr>
  </w:style>
  <w:style w:type="paragraph" w:styleId="32">
    <w:name w:val="toc 4"/>
    <w:basedOn w:val="1"/>
    <w:next w:val="1"/>
    <w:autoRedefine/>
    <w:qFormat/>
    <w:uiPriority w:val="0"/>
    <w:pPr>
      <w:ind w:left="600" w:leftChars="600"/>
    </w:pPr>
    <w:rPr>
      <w:rFonts w:ascii="Calibri" w:hAnsi="Calibri"/>
      <w:szCs w:val="22"/>
    </w:rPr>
  </w:style>
  <w:style w:type="paragraph" w:styleId="33">
    <w:name w:val="index heading"/>
    <w:basedOn w:val="1"/>
    <w:next w:val="34"/>
    <w:autoRedefine/>
    <w:qFormat/>
    <w:uiPriority w:val="0"/>
    <w:rPr>
      <w:szCs w:val="20"/>
    </w:rPr>
  </w:style>
  <w:style w:type="paragraph" w:styleId="34">
    <w:name w:val="index 1"/>
    <w:basedOn w:val="1"/>
    <w:next w:val="1"/>
    <w:autoRedefine/>
    <w:qFormat/>
    <w:uiPriority w:val="0"/>
  </w:style>
  <w:style w:type="paragraph" w:styleId="35">
    <w:name w:val="List"/>
    <w:basedOn w:val="1"/>
    <w:autoRedefine/>
    <w:qFormat/>
    <w:uiPriority w:val="0"/>
    <w:pPr>
      <w:ind w:left="200" w:hanging="200" w:hangingChars="200"/>
    </w:pPr>
  </w:style>
  <w:style w:type="paragraph" w:styleId="36">
    <w:name w:val="toc 6"/>
    <w:basedOn w:val="1"/>
    <w:next w:val="1"/>
    <w:autoRedefine/>
    <w:qFormat/>
    <w:uiPriority w:val="0"/>
    <w:pPr>
      <w:ind w:left="1000" w:leftChars="1000"/>
    </w:pPr>
    <w:rPr>
      <w:rFonts w:ascii="Calibri" w:hAnsi="Calibri"/>
      <w:szCs w:val="22"/>
    </w:rPr>
  </w:style>
  <w:style w:type="paragraph" w:styleId="37">
    <w:name w:val="Body Text Indent 3"/>
    <w:basedOn w:val="1"/>
    <w:link w:val="74"/>
    <w:autoRedefine/>
    <w:qFormat/>
    <w:uiPriority w:val="0"/>
    <w:pPr>
      <w:widowControl/>
      <w:tabs>
        <w:tab w:val="left" w:pos="502"/>
      </w:tabs>
      <w:adjustRightInd w:val="0"/>
      <w:snapToGrid w:val="0"/>
      <w:spacing w:line="360" w:lineRule="auto"/>
      <w:ind w:left="540" w:leftChars="257"/>
    </w:pPr>
    <w:rPr>
      <w:rFonts w:ascii="宋体" w:hAnsi="宋体"/>
    </w:rPr>
  </w:style>
  <w:style w:type="paragraph" w:styleId="38">
    <w:name w:val="toc 2"/>
    <w:basedOn w:val="1"/>
    <w:next w:val="1"/>
    <w:autoRedefine/>
    <w:qFormat/>
    <w:uiPriority w:val="39"/>
    <w:pPr>
      <w:tabs>
        <w:tab w:val="right" w:leader="dot" w:pos="8948"/>
      </w:tabs>
      <w:adjustRightInd w:val="0"/>
      <w:snapToGrid w:val="0"/>
      <w:ind w:left="278"/>
      <w:jc w:val="left"/>
    </w:pPr>
    <w:rPr>
      <w:rFonts w:ascii="宋体" w:hAnsi="宋体"/>
      <w:smallCaps/>
      <w:szCs w:val="21"/>
    </w:rPr>
  </w:style>
  <w:style w:type="paragraph" w:styleId="39">
    <w:name w:val="toc 9"/>
    <w:basedOn w:val="1"/>
    <w:next w:val="1"/>
    <w:autoRedefine/>
    <w:qFormat/>
    <w:uiPriority w:val="0"/>
    <w:pPr>
      <w:ind w:left="1600" w:leftChars="1600"/>
    </w:pPr>
    <w:rPr>
      <w:rFonts w:ascii="Calibri" w:hAnsi="Calibri"/>
      <w:szCs w:val="22"/>
    </w:rPr>
  </w:style>
  <w:style w:type="paragraph" w:styleId="40">
    <w:name w:val="Body Text 2"/>
    <w:basedOn w:val="1"/>
    <w:link w:val="103"/>
    <w:autoRedefine/>
    <w:qFormat/>
    <w:uiPriority w:val="0"/>
    <w:pPr>
      <w:spacing w:line="360" w:lineRule="auto"/>
    </w:pPr>
    <w:rPr>
      <w:rFonts w:ascii="仿宋_GB2312" w:eastAsia="仿宋_GB2312"/>
      <w:sz w:val="32"/>
    </w:rPr>
  </w:style>
  <w:style w:type="paragraph" w:styleId="41">
    <w:name w:val="HTML Preformatted"/>
    <w:basedOn w:val="1"/>
    <w:link w:val="13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2">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3">
    <w:name w:val="index 2"/>
    <w:basedOn w:val="1"/>
    <w:next w:val="1"/>
    <w:autoRedefine/>
    <w:qFormat/>
    <w:uiPriority w:val="0"/>
    <w:pPr>
      <w:ind w:left="420" w:hanging="210"/>
      <w:jc w:val="left"/>
    </w:pPr>
    <w:rPr>
      <w:sz w:val="20"/>
      <w:szCs w:val="20"/>
    </w:rPr>
  </w:style>
  <w:style w:type="paragraph" w:styleId="44">
    <w:name w:val="Title"/>
    <w:basedOn w:val="1"/>
    <w:next w:val="1"/>
    <w:link w:val="127"/>
    <w:autoRedefine/>
    <w:qFormat/>
    <w:uiPriority w:val="0"/>
    <w:pPr>
      <w:spacing w:before="240" w:after="60"/>
      <w:jc w:val="center"/>
      <w:outlineLvl w:val="0"/>
    </w:pPr>
    <w:rPr>
      <w:rFonts w:ascii="Cambria" w:hAnsi="Cambria"/>
      <w:b/>
      <w:bCs/>
      <w:sz w:val="32"/>
      <w:szCs w:val="32"/>
    </w:rPr>
  </w:style>
  <w:style w:type="paragraph" w:styleId="45">
    <w:name w:val="annotation subject"/>
    <w:basedOn w:val="16"/>
    <w:next w:val="16"/>
    <w:link w:val="309"/>
    <w:autoRedefine/>
    <w:semiHidden/>
    <w:unhideWhenUsed/>
    <w:qFormat/>
    <w:uiPriority w:val="99"/>
    <w:pPr>
      <w:spacing w:line="240" w:lineRule="auto"/>
    </w:pPr>
    <w:rPr>
      <w:b/>
      <w:bCs/>
      <w:sz w:val="21"/>
    </w:rPr>
  </w:style>
  <w:style w:type="paragraph" w:styleId="46">
    <w:name w:val="Body Text First Indent"/>
    <w:basedOn w:val="17"/>
    <w:link w:val="135"/>
    <w:autoRedefine/>
    <w:qFormat/>
    <w:uiPriority w:val="0"/>
    <w:pPr>
      <w:ind w:firstLine="100" w:firstLineChars="100"/>
    </w:pPr>
    <w:rPr>
      <w:rFonts w:ascii="Calibri" w:hAnsi="Calibri"/>
      <w:szCs w:val="22"/>
    </w:rPr>
  </w:style>
  <w:style w:type="paragraph" w:styleId="47">
    <w:name w:val="Body Text First Indent 2"/>
    <w:basedOn w:val="18"/>
    <w:link w:val="62"/>
    <w:autoRedefine/>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49">
    <w:name w:val="Table Grid"/>
    <w:basedOn w:val="4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autoRedefine/>
    <w:qFormat/>
    <w:uiPriority w:val="22"/>
    <w:rPr>
      <w:b/>
      <w:bCs/>
    </w:rPr>
  </w:style>
  <w:style w:type="character" w:styleId="52">
    <w:name w:val="page number"/>
    <w:basedOn w:val="50"/>
    <w:autoRedefine/>
    <w:qFormat/>
    <w:uiPriority w:val="0"/>
  </w:style>
  <w:style w:type="character" w:styleId="53">
    <w:name w:val="Emphasis"/>
    <w:autoRedefine/>
    <w:qFormat/>
    <w:uiPriority w:val="20"/>
    <w:rPr>
      <w:i/>
      <w:iCs/>
    </w:rPr>
  </w:style>
  <w:style w:type="character" w:styleId="54">
    <w:name w:val="Hyperlink"/>
    <w:autoRedefine/>
    <w:qFormat/>
    <w:uiPriority w:val="99"/>
    <w:rPr>
      <w:color w:val="0000FF"/>
      <w:u w:val="single"/>
    </w:rPr>
  </w:style>
  <w:style w:type="character" w:styleId="55">
    <w:name w:val="annotation reference"/>
    <w:basedOn w:val="50"/>
    <w:autoRedefine/>
    <w:qFormat/>
    <w:uiPriority w:val="0"/>
    <w:rPr>
      <w:sz w:val="21"/>
      <w:szCs w:val="21"/>
    </w:rPr>
  </w:style>
  <w:style w:type="paragraph" w:customStyle="1" w:styleId="56">
    <w:name w:val="Default"/>
    <w:autoRedefine/>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7">
    <w:name w:val="标题 1 Char Char"/>
    <w:autoRedefine/>
    <w:qFormat/>
    <w:uiPriority w:val="0"/>
    <w:rPr>
      <w:rFonts w:eastAsia="宋体"/>
      <w:b/>
      <w:bCs/>
      <w:kern w:val="44"/>
      <w:sz w:val="44"/>
      <w:szCs w:val="44"/>
      <w:lang w:val="en-US" w:eastAsia="zh-CN" w:bidi="ar-SA"/>
    </w:rPr>
  </w:style>
  <w:style w:type="character" w:customStyle="1" w:styleId="58">
    <w:name w:val="标题 4 Char Char"/>
    <w:autoRedefine/>
    <w:qFormat/>
    <w:uiPriority w:val="0"/>
    <w:rPr>
      <w:rFonts w:ascii="Arial" w:hAnsi="Arial" w:eastAsia="黑体"/>
      <w:b/>
      <w:bCs/>
      <w:kern w:val="2"/>
      <w:sz w:val="28"/>
      <w:szCs w:val="28"/>
      <w:lang w:val="en-US" w:eastAsia="zh-CN" w:bidi="ar-SA"/>
    </w:rPr>
  </w:style>
  <w:style w:type="character" w:customStyle="1" w:styleId="59">
    <w:name w:val="font11"/>
    <w:autoRedefine/>
    <w:qFormat/>
    <w:uiPriority w:val="0"/>
    <w:rPr>
      <w:rFonts w:hint="eastAsia" w:ascii="宋体" w:hAnsi="宋体" w:eastAsia="宋体"/>
      <w:color w:val="000000"/>
      <w:sz w:val="24"/>
      <w:szCs w:val="24"/>
      <w:u w:val="none"/>
    </w:rPr>
  </w:style>
  <w:style w:type="character" w:customStyle="1" w:styleId="60">
    <w:name w:val="标题 5 Char Char"/>
    <w:autoRedefine/>
    <w:qFormat/>
    <w:uiPriority w:val="0"/>
    <w:rPr>
      <w:rFonts w:eastAsia="宋体"/>
      <w:b/>
      <w:bCs/>
      <w:kern w:val="2"/>
      <w:sz w:val="28"/>
      <w:szCs w:val="28"/>
      <w:lang w:val="en-US" w:eastAsia="zh-CN" w:bidi="ar-SA"/>
    </w:rPr>
  </w:style>
  <w:style w:type="character" w:customStyle="1" w:styleId="61">
    <w:name w:val="ca-5"/>
    <w:basedOn w:val="50"/>
    <w:autoRedefine/>
    <w:qFormat/>
    <w:uiPriority w:val="0"/>
  </w:style>
  <w:style w:type="character" w:customStyle="1" w:styleId="62">
    <w:name w:val="正文首行缩进 2 字符"/>
    <w:link w:val="47"/>
    <w:autoRedefine/>
    <w:qFormat/>
    <w:uiPriority w:val="0"/>
    <w:rPr>
      <w:rFonts w:ascii="Calibri" w:hAnsi="Calibri" w:eastAsia="仿宋_GB2312"/>
      <w:kern w:val="2"/>
      <w:sz w:val="21"/>
      <w:szCs w:val="22"/>
      <w:lang w:val="en-US" w:eastAsia="zh-CN" w:bidi="ar-SA"/>
    </w:rPr>
  </w:style>
  <w:style w:type="character" w:customStyle="1" w:styleId="63">
    <w:name w:val="已访问的超链接1"/>
    <w:autoRedefine/>
    <w:qFormat/>
    <w:uiPriority w:val="0"/>
    <w:rPr>
      <w:color w:val="800080"/>
      <w:u w:val="single"/>
    </w:rPr>
  </w:style>
  <w:style w:type="character" w:customStyle="1" w:styleId="64">
    <w:name w:val="正文首行缩进 Char Char"/>
    <w:autoRedefine/>
    <w:qFormat/>
    <w:uiPriority w:val="0"/>
    <w:rPr>
      <w:rFonts w:eastAsia="仿宋_GB2312"/>
      <w:kern w:val="2"/>
      <w:sz w:val="28"/>
      <w:szCs w:val="24"/>
      <w:lang w:bidi="ar-SA"/>
    </w:rPr>
  </w:style>
  <w:style w:type="character" w:customStyle="1" w:styleId="65">
    <w:name w:val="日期 字符"/>
    <w:link w:val="25"/>
    <w:autoRedefine/>
    <w:qFormat/>
    <w:uiPriority w:val="0"/>
    <w:rPr>
      <w:kern w:val="2"/>
      <w:sz w:val="21"/>
      <w:szCs w:val="24"/>
    </w:rPr>
  </w:style>
  <w:style w:type="character" w:customStyle="1" w:styleId="66">
    <w:name w:val="正文文本缩进 3 Char Char"/>
    <w:autoRedefine/>
    <w:qFormat/>
    <w:uiPriority w:val="0"/>
    <w:rPr>
      <w:kern w:val="2"/>
      <w:sz w:val="16"/>
      <w:szCs w:val="16"/>
      <w:lang w:bidi="ar-SA"/>
    </w:rPr>
  </w:style>
  <w:style w:type="character" w:customStyle="1" w:styleId="67">
    <w:name w:val="文档正文 Char1"/>
    <w:link w:val="68"/>
    <w:autoRedefine/>
    <w:qFormat/>
    <w:uiPriority w:val="0"/>
    <w:rPr>
      <w:rFonts w:ascii="Arial Narrow" w:hAnsi="Arial Narrow"/>
      <w:sz w:val="24"/>
      <w:szCs w:val="24"/>
      <w:lang w:val="en-US" w:eastAsia="zh-CN" w:bidi="ar-SA"/>
    </w:rPr>
  </w:style>
  <w:style w:type="paragraph" w:customStyle="1" w:styleId="68">
    <w:name w:val="文档正文"/>
    <w:link w:val="67"/>
    <w:autoRedefine/>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9">
    <w:name w:val="正文文本 Char Char"/>
    <w:autoRedefine/>
    <w:qFormat/>
    <w:uiPriority w:val="0"/>
    <w:rPr>
      <w:rFonts w:eastAsia="宋体"/>
      <w:kern w:val="2"/>
      <w:sz w:val="21"/>
      <w:szCs w:val="24"/>
      <w:lang w:val="en-US" w:eastAsia="zh-CN" w:bidi="ar-SA"/>
    </w:rPr>
  </w:style>
  <w:style w:type="character" w:customStyle="1" w:styleId="70">
    <w:name w:val="样式 样式 宋体 小四 行距: 1.5 倍行距 + ˎ̥ 黑色 Char Char"/>
    <w:link w:val="71"/>
    <w:autoRedefine/>
    <w:qFormat/>
    <w:uiPriority w:val="0"/>
    <w:rPr>
      <w:rFonts w:ascii="Calibri" w:hAnsi="Calibri" w:eastAsia="仿宋_GB2312"/>
      <w:kern w:val="2"/>
      <w:sz w:val="21"/>
      <w:szCs w:val="22"/>
      <w:lang w:val="en-US" w:eastAsia="zh-CN" w:bidi="ar-SA"/>
    </w:rPr>
  </w:style>
  <w:style w:type="paragraph" w:customStyle="1" w:styleId="71">
    <w:name w:val="样式 样式 宋体 小四 行距: 1.5 倍行距 + ˎ̥ 黑色"/>
    <w:basedOn w:val="47"/>
    <w:link w:val="70"/>
    <w:autoRedefine/>
    <w:qFormat/>
    <w:uiPriority w:val="0"/>
  </w:style>
  <w:style w:type="character" w:customStyle="1" w:styleId="72">
    <w:name w:val="style71"/>
    <w:autoRedefine/>
    <w:qFormat/>
    <w:uiPriority w:val="0"/>
    <w:rPr>
      <w:sz w:val="21"/>
      <w:szCs w:val="21"/>
    </w:rPr>
  </w:style>
  <w:style w:type="character" w:customStyle="1" w:styleId="73">
    <w:name w:val="正文文本缩进 2 字符"/>
    <w:link w:val="26"/>
    <w:autoRedefine/>
    <w:qFormat/>
    <w:uiPriority w:val="0"/>
    <w:rPr>
      <w:rFonts w:eastAsia="仿宋_GB2312"/>
      <w:kern w:val="2"/>
      <w:sz w:val="30"/>
      <w:lang w:val="en-US" w:eastAsia="zh-CN" w:bidi="ar-SA"/>
    </w:rPr>
  </w:style>
  <w:style w:type="character" w:customStyle="1" w:styleId="74">
    <w:name w:val="正文文本缩进 3 字符"/>
    <w:link w:val="37"/>
    <w:autoRedefine/>
    <w:qFormat/>
    <w:uiPriority w:val="0"/>
    <w:rPr>
      <w:rFonts w:ascii="宋体" w:hAnsi="宋体" w:eastAsia="宋体"/>
      <w:kern w:val="2"/>
      <w:sz w:val="21"/>
      <w:szCs w:val="24"/>
      <w:lang w:val="en-US" w:eastAsia="zh-CN" w:bidi="ar-SA"/>
    </w:rPr>
  </w:style>
  <w:style w:type="character" w:customStyle="1" w:styleId="75">
    <w:name w:val="ca-9"/>
    <w:basedOn w:val="50"/>
    <w:autoRedefine/>
    <w:qFormat/>
    <w:uiPriority w:val="0"/>
  </w:style>
  <w:style w:type="character" w:customStyle="1" w:styleId="76">
    <w:name w:val="纯文本 字符"/>
    <w:link w:val="23"/>
    <w:autoRedefine/>
    <w:qFormat/>
    <w:uiPriority w:val="0"/>
    <w:rPr>
      <w:rFonts w:ascii="宋体" w:hAnsi="Courier New" w:eastAsia="宋体"/>
      <w:kern w:val="2"/>
      <w:sz w:val="21"/>
      <w:lang w:val="en-US" w:eastAsia="zh-CN" w:bidi="ar-SA"/>
    </w:rPr>
  </w:style>
  <w:style w:type="character" w:customStyle="1" w:styleId="77">
    <w:name w:val="页脚 Char Char"/>
    <w:autoRedefine/>
    <w:qFormat/>
    <w:uiPriority w:val="0"/>
    <w:rPr>
      <w:rFonts w:eastAsia="宋体"/>
      <w:sz w:val="18"/>
      <w:szCs w:val="18"/>
      <w:lang w:bidi="ar-SA"/>
    </w:rPr>
  </w:style>
  <w:style w:type="character" w:customStyle="1" w:styleId="78">
    <w:name w:val="正文文本 字符"/>
    <w:link w:val="17"/>
    <w:autoRedefine/>
    <w:qFormat/>
    <w:uiPriority w:val="0"/>
    <w:rPr>
      <w:rFonts w:eastAsia="宋体"/>
      <w:kern w:val="2"/>
      <w:sz w:val="21"/>
      <w:szCs w:val="24"/>
      <w:lang w:val="en-US" w:eastAsia="zh-CN" w:bidi="ar-SA"/>
    </w:rPr>
  </w:style>
  <w:style w:type="character" w:customStyle="1" w:styleId="79">
    <w:name w:val="标题 2 Char Char"/>
    <w:autoRedefine/>
    <w:qFormat/>
    <w:uiPriority w:val="0"/>
    <w:rPr>
      <w:rFonts w:ascii="Cambria" w:hAnsi="Cambria" w:eastAsia="宋体"/>
      <w:b/>
      <w:bCs/>
      <w:kern w:val="2"/>
      <w:sz w:val="32"/>
      <w:szCs w:val="32"/>
      <w:lang w:val="en-US" w:eastAsia="zh-CN" w:bidi="ar-SA"/>
    </w:rPr>
  </w:style>
  <w:style w:type="character" w:customStyle="1" w:styleId="80">
    <w:name w:val="标题 1 1 Char"/>
    <w:autoRedefine/>
    <w:qFormat/>
    <w:uiPriority w:val="0"/>
    <w:rPr>
      <w:rFonts w:ascii="黑体" w:eastAsia="黑体"/>
      <w:bCs/>
      <w:kern w:val="44"/>
      <w:sz w:val="24"/>
      <w:lang w:val="en-US" w:eastAsia="zh-CN" w:bidi="ar-SA"/>
    </w:rPr>
  </w:style>
  <w:style w:type="character" w:customStyle="1" w:styleId="81">
    <w:name w:val="Char Char14"/>
    <w:autoRedefine/>
    <w:qFormat/>
    <w:uiPriority w:val="0"/>
    <w:rPr>
      <w:rFonts w:ascii="宋体" w:eastAsia="宋体"/>
      <w:sz w:val="34"/>
      <w:lang w:val="en-US" w:eastAsia="zh-CN" w:bidi="ar-SA"/>
    </w:rPr>
  </w:style>
  <w:style w:type="character" w:customStyle="1" w:styleId="82">
    <w:name w:val="content"/>
    <w:autoRedefine/>
    <w:qFormat/>
    <w:uiPriority w:val="0"/>
  </w:style>
  <w:style w:type="character" w:customStyle="1" w:styleId="83">
    <w:name w:val="Char Char5"/>
    <w:autoRedefine/>
    <w:qFormat/>
    <w:uiPriority w:val="0"/>
    <w:rPr>
      <w:rFonts w:eastAsia="宋体"/>
      <w:kern w:val="2"/>
      <w:sz w:val="18"/>
      <w:lang w:val="en-US" w:eastAsia="zh-CN" w:bidi="ar-SA"/>
    </w:rPr>
  </w:style>
  <w:style w:type="character" w:customStyle="1" w:styleId="84">
    <w:name w:val="c_666"/>
    <w:basedOn w:val="50"/>
    <w:autoRedefine/>
    <w:qFormat/>
    <w:uiPriority w:val="0"/>
  </w:style>
  <w:style w:type="character" w:customStyle="1" w:styleId="85">
    <w:name w:val="ALT+Z Char"/>
    <w:autoRedefine/>
    <w:qFormat/>
    <w:uiPriority w:val="0"/>
    <w:rPr>
      <w:rFonts w:ascii="宋体"/>
      <w:sz w:val="34"/>
    </w:rPr>
  </w:style>
  <w:style w:type="character" w:customStyle="1" w:styleId="86">
    <w:name w:val="正文（缩进） Char Char"/>
    <w:link w:val="87"/>
    <w:autoRedefine/>
    <w:qFormat/>
    <w:uiPriority w:val="0"/>
    <w:rPr>
      <w:rFonts w:eastAsia="宋体"/>
      <w:kern w:val="2"/>
      <w:sz w:val="24"/>
      <w:szCs w:val="24"/>
      <w:lang w:val="en-US" w:eastAsia="zh-CN" w:bidi="ar-SA"/>
    </w:rPr>
  </w:style>
  <w:style w:type="paragraph" w:customStyle="1" w:styleId="87">
    <w:name w:val="正文（缩进）"/>
    <w:basedOn w:val="1"/>
    <w:link w:val="86"/>
    <w:autoRedefine/>
    <w:qFormat/>
    <w:uiPriority w:val="0"/>
    <w:pPr>
      <w:spacing w:beforeLines="50" w:afterLines="50" w:line="360" w:lineRule="auto"/>
      <w:ind w:firstLine="480" w:firstLineChars="200"/>
    </w:pPr>
    <w:rPr>
      <w:sz w:val="24"/>
    </w:rPr>
  </w:style>
  <w:style w:type="character" w:customStyle="1" w:styleId="88">
    <w:name w:val="批注框文本 字符"/>
    <w:link w:val="28"/>
    <w:autoRedefine/>
    <w:qFormat/>
    <w:uiPriority w:val="0"/>
    <w:rPr>
      <w:rFonts w:eastAsia="宋体"/>
      <w:kern w:val="2"/>
      <w:sz w:val="18"/>
      <w:szCs w:val="18"/>
      <w:lang w:val="en-US" w:eastAsia="zh-CN" w:bidi="ar-SA"/>
    </w:rPr>
  </w:style>
  <w:style w:type="character" w:customStyle="1" w:styleId="89">
    <w:name w:val="表格内容"/>
    <w:autoRedefine/>
    <w:qFormat/>
    <w:uiPriority w:val="0"/>
    <w:rPr>
      <w:sz w:val="24"/>
    </w:rPr>
  </w:style>
  <w:style w:type="character" w:customStyle="1" w:styleId="90">
    <w:name w:val="ca-8"/>
    <w:basedOn w:val="50"/>
    <w:autoRedefine/>
    <w:qFormat/>
    <w:uiPriority w:val="0"/>
  </w:style>
  <w:style w:type="character" w:customStyle="1" w:styleId="91">
    <w:name w:val="不明显参考1"/>
    <w:autoRedefine/>
    <w:qFormat/>
    <w:uiPriority w:val="0"/>
    <w:rPr>
      <w:smallCaps/>
      <w:color w:val="C0504D"/>
      <w:u w:val="single"/>
    </w:rPr>
  </w:style>
  <w:style w:type="character" w:customStyle="1" w:styleId="92">
    <w:name w:val="标题 9 字符"/>
    <w:link w:val="11"/>
    <w:autoRedefine/>
    <w:qFormat/>
    <w:uiPriority w:val="0"/>
    <w:rPr>
      <w:rFonts w:ascii="Arial" w:hAnsi="Arial" w:eastAsia="黑体"/>
      <w:kern w:val="2"/>
      <w:sz w:val="21"/>
      <w:lang w:val="en-US" w:eastAsia="zh-CN" w:bidi="ar-SA"/>
    </w:rPr>
  </w:style>
  <w:style w:type="character" w:customStyle="1" w:styleId="93">
    <w:name w:val="标题 6 字符"/>
    <w:link w:val="8"/>
    <w:autoRedefine/>
    <w:qFormat/>
    <w:uiPriority w:val="0"/>
    <w:rPr>
      <w:rFonts w:ascii="Arial" w:hAnsi="Arial" w:eastAsia="黑体"/>
      <w:b/>
      <w:kern w:val="2"/>
      <w:sz w:val="24"/>
      <w:lang w:val="en-US" w:eastAsia="zh-CN" w:bidi="ar-SA"/>
    </w:rPr>
  </w:style>
  <w:style w:type="character" w:customStyle="1" w:styleId="94">
    <w:name w:val="ca-10"/>
    <w:basedOn w:val="50"/>
    <w:autoRedefine/>
    <w:qFormat/>
    <w:uiPriority w:val="0"/>
  </w:style>
  <w:style w:type="character" w:customStyle="1" w:styleId="95">
    <w:name w:val="标题 4 字符"/>
    <w:link w:val="6"/>
    <w:autoRedefine/>
    <w:qFormat/>
    <w:uiPriority w:val="0"/>
    <w:rPr>
      <w:rFonts w:ascii="Arial" w:hAnsi="Arial" w:eastAsia="黑体"/>
      <w:b/>
      <w:kern w:val="2"/>
      <w:sz w:val="28"/>
      <w:lang w:val="en-US" w:eastAsia="zh-CN" w:bidi="ar-SA"/>
    </w:rPr>
  </w:style>
  <w:style w:type="character" w:customStyle="1" w:styleId="96">
    <w:name w:val="批注文字 Char Char"/>
    <w:autoRedefine/>
    <w:qFormat/>
    <w:uiPriority w:val="0"/>
    <w:rPr>
      <w:kern w:val="2"/>
      <w:sz w:val="21"/>
      <w:lang w:bidi="ar-SA"/>
    </w:rPr>
  </w:style>
  <w:style w:type="character" w:customStyle="1" w:styleId="97">
    <w:name w:val="style18"/>
    <w:autoRedefine/>
    <w:qFormat/>
    <w:uiPriority w:val="0"/>
  </w:style>
  <w:style w:type="character" w:customStyle="1" w:styleId="98">
    <w:name w:val="font21"/>
    <w:basedOn w:val="50"/>
    <w:autoRedefine/>
    <w:qFormat/>
    <w:uiPriority w:val="0"/>
    <w:rPr>
      <w:rFonts w:hint="default" w:ascii="Arial" w:hAnsi="Arial" w:cs="Arial"/>
      <w:color w:val="000000"/>
      <w:sz w:val="24"/>
      <w:szCs w:val="24"/>
      <w:u w:val="none"/>
    </w:rPr>
  </w:style>
  <w:style w:type="character" w:customStyle="1" w:styleId="99">
    <w:name w:val="ca-11"/>
    <w:basedOn w:val="50"/>
    <w:autoRedefine/>
    <w:qFormat/>
    <w:uiPriority w:val="0"/>
  </w:style>
  <w:style w:type="character" w:customStyle="1" w:styleId="100">
    <w:name w:val="标题 8 字符"/>
    <w:link w:val="10"/>
    <w:autoRedefine/>
    <w:qFormat/>
    <w:uiPriority w:val="0"/>
    <w:rPr>
      <w:rFonts w:ascii="Arial" w:hAnsi="Arial" w:eastAsia="黑体"/>
      <w:kern w:val="2"/>
      <w:sz w:val="24"/>
      <w:lang w:val="en-US" w:eastAsia="zh-CN" w:bidi="ar-SA"/>
    </w:rPr>
  </w:style>
  <w:style w:type="character" w:customStyle="1" w:styleId="101">
    <w:name w:val="类目1 Char Char"/>
    <w:link w:val="102"/>
    <w:autoRedefine/>
    <w:qFormat/>
    <w:uiPriority w:val="0"/>
    <w:rPr>
      <w:b/>
      <w:color w:val="17365D"/>
      <w:kern w:val="2"/>
      <w:sz w:val="28"/>
      <w:szCs w:val="28"/>
      <w:lang w:bidi="ar-SA"/>
    </w:rPr>
  </w:style>
  <w:style w:type="paragraph" w:customStyle="1" w:styleId="102">
    <w:name w:val="类目1"/>
    <w:basedOn w:val="1"/>
    <w:link w:val="101"/>
    <w:autoRedefine/>
    <w:qFormat/>
    <w:uiPriority w:val="0"/>
    <w:pPr>
      <w:adjustRightInd w:val="0"/>
      <w:snapToGrid w:val="0"/>
      <w:spacing w:line="220" w:lineRule="atLeast"/>
    </w:pPr>
    <w:rPr>
      <w:b/>
      <w:color w:val="17365D"/>
      <w:sz w:val="28"/>
      <w:szCs w:val="28"/>
    </w:rPr>
  </w:style>
  <w:style w:type="character" w:customStyle="1" w:styleId="103">
    <w:name w:val="正文文本 2 字符"/>
    <w:link w:val="40"/>
    <w:autoRedefine/>
    <w:qFormat/>
    <w:uiPriority w:val="0"/>
    <w:rPr>
      <w:rFonts w:ascii="仿宋_GB2312" w:eastAsia="仿宋_GB2312"/>
      <w:kern w:val="2"/>
      <w:sz w:val="32"/>
      <w:szCs w:val="24"/>
      <w:lang w:val="en-US" w:eastAsia="zh-CN" w:bidi="ar-SA"/>
    </w:rPr>
  </w:style>
  <w:style w:type="character" w:customStyle="1" w:styleId="104">
    <w:name w:val="标题 2 字符"/>
    <w:link w:val="4"/>
    <w:autoRedefine/>
    <w:qFormat/>
    <w:uiPriority w:val="0"/>
    <w:rPr>
      <w:rFonts w:ascii="黑体" w:hAnsi="宋体" w:eastAsia="黑体"/>
      <w:bCs/>
      <w:kern w:val="44"/>
      <w:sz w:val="21"/>
      <w:szCs w:val="24"/>
    </w:rPr>
  </w:style>
  <w:style w:type="character" w:customStyle="1" w:styleId="105">
    <w:name w:val="lineitems1"/>
    <w:autoRedefine/>
    <w:qFormat/>
    <w:uiPriority w:val="0"/>
    <w:rPr>
      <w:sz w:val="17"/>
      <w:szCs w:val="17"/>
    </w:rPr>
  </w:style>
  <w:style w:type="character" w:customStyle="1" w:styleId="106">
    <w:name w:val="题注 Char1"/>
    <w:autoRedefine/>
    <w:qFormat/>
    <w:uiPriority w:val="0"/>
    <w:rPr>
      <w:rFonts w:ascii="Arial" w:hAnsi="Arial" w:eastAsia="宋体" w:cs="Arial"/>
      <w:kern w:val="2"/>
      <w:lang w:val="en-US" w:eastAsia="zh-CN" w:bidi="ar-SA"/>
    </w:rPr>
  </w:style>
  <w:style w:type="character" w:customStyle="1" w:styleId="107">
    <w:name w:val="标题 3 Char Char"/>
    <w:autoRedefine/>
    <w:qFormat/>
    <w:uiPriority w:val="0"/>
    <w:rPr>
      <w:rFonts w:eastAsia="宋体"/>
      <w:b/>
      <w:bCs/>
      <w:kern w:val="2"/>
      <w:sz w:val="32"/>
      <w:szCs w:val="32"/>
      <w:lang w:val="en-US" w:eastAsia="zh-CN" w:bidi="ar-SA"/>
    </w:rPr>
  </w:style>
  <w:style w:type="character" w:customStyle="1" w:styleId="108">
    <w:name w:val="标题 5 字符"/>
    <w:link w:val="7"/>
    <w:autoRedefine/>
    <w:qFormat/>
    <w:uiPriority w:val="0"/>
    <w:rPr>
      <w:rFonts w:eastAsia="宋体"/>
      <w:b/>
      <w:kern w:val="2"/>
      <w:sz w:val="28"/>
      <w:lang w:val="en-US" w:eastAsia="zh-CN" w:bidi="ar-SA"/>
    </w:rPr>
  </w:style>
  <w:style w:type="character" w:customStyle="1" w:styleId="109">
    <w:name w:val="p12"/>
    <w:basedOn w:val="50"/>
    <w:autoRedefine/>
    <w:qFormat/>
    <w:uiPriority w:val="0"/>
  </w:style>
  <w:style w:type="character" w:customStyle="1" w:styleId="110">
    <w:name w:val="正文缩进 Char2"/>
    <w:link w:val="111"/>
    <w:autoRedefine/>
    <w:qFormat/>
    <w:uiPriority w:val="0"/>
    <w:rPr>
      <w:rFonts w:ascii="宋体" w:eastAsia="宋体"/>
      <w:sz w:val="34"/>
      <w:lang w:bidi="ar-SA"/>
    </w:rPr>
  </w:style>
  <w:style w:type="paragraph" w:customStyle="1" w:styleId="111">
    <w:name w:val="Normal Indent1"/>
    <w:basedOn w:val="1"/>
    <w:link w:val="110"/>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12">
    <w:name w:val="标题 9 Char Char"/>
    <w:autoRedefine/>
    <w:qFormat/>
    <w:uiPriority w:val="0"/>
    <w:rPr>
      <w:rFonts w:ascii="Arial" w:hAnsi="Arial" w:eastAsia="黑体"/>
      <w:kern w:val="2"/>
      <w:sz w:val="21"/>
      <w:szCs w:val="21"/>
      <w:lang w:val="en-US" w:eastAsia="zh-CN" w:bidi="ar-SA"/>
    </w:rPr>
  </w:style>
  <w:style w:type="character" w:customStyle="1" w:styleId="113">
    <w:name w:val="标题 7 字符"/>
    <w:link w:val="9"/>
    <w:autoRedefine/>
    <w:qFormat/>
    <w:uiPriority w:val="0"/>
    <w:rPr>
      <w:rFonts w:eastAsia="宋体"/>
      <w:b/>
      <w:kern w:val="2"/>
      <w:sz w:val="24"/>
      <w:lang w:val="en-US" w:eastAsia="zh-CN" w:bidi="ar-SA"/>
    </w:rPr>
  </w:style>
  <w:style w:type="character" w:customStyle="1" w:styleId="114">
    <w:name w:val="flname7"/>
    <w:basedOn w:val="50"/>
    <w:autoRedefine/>
    <w:qFormat/>
    <w:uiPriority w:val="0"/>
  </w:style>
  <w:style w:type="character" w:customStyle="1" w:styleId="115">
    <w:name w:val="正文缩进 字符"/>
    <w:link w:val="2"/>
    <w:autoRedefine/>
    <w:qFormat/>
    <w:uiPriority w:val="0"/>
    <w:rPr>
      <w:rFonts w:ascii="宋体" w:eastAsia="宋体"/>
      <w:sz w:val="34"/>
      <w:lang w:val="en-US" w:eastAsia="zh-CN" w:bidi="ar-SA"/>
    </w:rPr>
  </w:style>
  <w:style w:type="character" w:customStyle="1" w:styleId="116">
    <w:name w:val="样式5 Char Char"/>
    <w:link w:val="117"/>
    <w:autoRedefine/>
    <w:qFormat/>
    <w:uiPriority w:val="0"/>
    <w:rPr>
      <w:rFonts w:ascii="宋体" w:hAnsi="宋体" w:eastAsia="宋体" w:cs="Arial"/>
      <w:b/>
      <w:kern w:val="2"/>
      <w:sz w:val="24"/>
      <w:szCs w:val="24"/>
      <w:lang w:val="en-US" w:eastAsia="zh-CN" w:bidi="ar-SA"/>
    </w:rPr>
  </w:style>
  <w:style w:type="paragraph" w:customStyle="1" w:styleId="117">
    <w:name w:val="样式5"/>
    <w:basedOn w:val="1"/>
    <w:link w:val="116"/>
    <w:autoRedefine/>
    <w:qFormat/>
    <w:uiPriority w:val="0"/>
    <w:pPr>
      <w:spacing w:line="400" w:lineRule="exact"/>
      <w:ind w:left="482"/>
    </w:pPr>
    <w:rPr>
      <w:rFonts w:ascii="宋体" w:hAnsi="宋体" w:cs="Arial"/>
      <w:b/>
      <w:sz w:val="24"/>
    </w:rPr>
  </w:style>
  <w:style w:type="character" w:customStyle="1" w:styleId="118">
    <w:name w:val="text1"/>
    <w:autoRedefine/>
    <w:qFormat/>
    <w:uiPriority w:val="0"/>
    <w:rPr>
      <w:sz w:val="20"/>
      <w:szCs w:val="20"/>
    </w:rPr>
  </w:style>
  <w:style w:type="character" w:customStyle="1" w:styleId="119">
    <w:name w:val="样式2"/>
    <w:autoRedefine/>
    <w:qFormat/>
    <w:uiPriority w:val="0"/>
    <w:rPr>
      <w:rFonts w:eastAsia="华文楷体"/>
      <w:b/>
      <w:sz w:val="32"/>
    </w:rPr>
  </w:style>
  <w:style w:type="character" w:customStyle="1" w:styleId="120">
    <w:name w:val="页眉 Char Char"/>
    <w:autoRedefine/>
    <w:qFormat/>
    <w:uiPriority w:val="0"/>
    <w:rPr>
      <w:rFonts w:eastAsia="宋体"/>
      <w:sz w:val="18"/>
      <w:szCs w:val="18"/>
      <w:lang w:bidi="ar-SA"/>
    </w:rPr>
  </w:style>
  <w:style w:type="character" w:customStyle="1" w:styleId="121">
    <w:name w:val="标题 3 字符"/>
    <w:link w:val="5"/>
    <w:autoRedefine/>
    <w:qFormat/>
    <w:uiPriority w:val="0"/>
    <w:rPr>
      <w:rFonts w:ascii="黑体" w:eastAsia="黑体"/>
      <w:bCs/>
      <w:color w:val="000000"/>
      <w:kern w:val="2"/>
      <w:sz w:val="21"/>
      <w:szCs w:val="24"/>
    </w:rPr>
  </w:style>
  <w:style w:type="character" w:customStyle="1" w:styleId="122">
    <w:name w:val="书籍标题3 Char1"/>
    <w:link w:val="123"/>
    <w:autoRedefine/>
    <w:qFormat/>
    <w:uiPriority w:val="0"/>
    <w:rPr>
      <w:b/>
      <w:bCs/>
      <w:spacing w:val="20"/>
      <w:kern w:val="2"/>
      <w:sz w:val="28"/>
      <w:szCs w:val="28"/>
    </w:rPr>
  </w:style>
  <w:style w:type="paragraph" w:customStyle="1" w:styleId="123">
    <w:name w:val="书籍标题3"/>
    <w:basedOn w:val="124"/>
    <w:link w:val="122"/>
    <w:autoRedefine/>
    <w:qFormat/>
    <w:uiPriority w:val="0"/>
    <w:pPr>
      <w:numPr>
        <w:ilvl w:val="2"/>
      </w:numPr>
      <w:tabs>
        <w:tab w:val="left" w:pos="840"/>
      </w:tabs>
      <w:outlineLvl w:val="2"/>
    </w:pPr>
    <w:rPr>
      <w:rFonts w:cs="Times New Roman"/>
      <w:sz w:val="28"/>
      <w:szCs w:val="28"/>
    </w:rPr>
  </w:style>
  <w:style w:type="paragraph" w:customStyle="1" w:styleId="124">
    <w:name w:val="书籍标题2"/>
    <w:basedOn w:val="1"/>
    <w:autoRedefine/>
    <w:qFormat/>
    <w:uiPriority w:val="0"/>
    <w:pPr>
      <w:numPr>
        <w:ilvl w:val="1"/>
        <w:numId w:val="5"/>
      </w:numPr>
      <w:spacing w:beforeLines="100" w:afterLines="100"/>
      <w:jc w:val="left"/>
      <w:outlineLvl w:val="1"/>
    </w:pPr>
    <w:rPr>
      <w:rFonts w:cs="宋体"/>
      <w:b/>
      <w:bCs/>
      <w:spacing w:val="20"/>
      <w:sz w:val="32"/>
      <w:szCs w:val="20"/>
    </w:rPr>
  </w:style>
  <w:style w:type="character" w:customStyle="1" w:styleId="125">
    <w:name w:val="正文文本缩进 字符"/>
    <w:link w:val="18"/>
    <w:autoRedefine/>
    <w:qFormat/>
    <w:uiPriority w:val="0"/>
    <w:rPr>
      <w:rFonts w:ascii="仿宋_GB2312" w:eastAsia="仿宋_GB2312"/>
      <w:sz w:val="28"/>
      <w:lang w:val="en-US" w:eastAsia="zh-CN" w:bidi="ar-SA"/>
    </w:rPr>
  </w:style>
  <w:style w:type="character" w:customStyle="1" w:styleId="126">
    <w:name w:val="页眉 字符"/>
    <w:link w:val="30"/>
    <w:autoRedefine/>
    <w:qFormat/>
    <w:uiPriority w:val="99"/>
    <w:rPr>
      <w:rFonts w:eastAsia="宋体"/>
      <w:kern w:val="2"/>
      <w:sz w:val="18"/>
      <w:lang w:val="en-US" w:eastAsia="zh-CN" w:bidi="ar-SA"/>
    </w:rPr>
  </w:style>
  <w:style w:type="character" w:customStyle="1" w:styleId="127">
    <w:name w:val="标题 字符"/>
    <w:link w:val="44"/>
    <w:autoRedefine/>
    <w:qFormat/>
    <w:uiPriority w:val="0"/>
    <w:rPr>
      <w:rFonts w:ascii="Cambria" w:hAnsi="Cambria"/>
      <w:b/>
      <w:bCs/>
      <w:kern w:val="2"/>
      <w:sz w:val="32"/>
      <w:szCs w:val="32"/>
    </w:rPr>
  </w:style>
  <w:style w:type="character" w:customStyle="1" w:styleId="128">
    <w:name w:val="标题 8 Char Char"/>
    <w:autoRedefine/>
    <w:qFormat/>
    <w:uiPriority w:val="0"/>
    <w:rPr>
      <w:rFonts w:ascii="Arial" w:hAnsi="Arial" w:eastAsia="黑体"/>
      <w:kern w:val="2"/>
      <w:sz w:val="24"/>
      <w:szCs w:val="24"/>
      <w:lang w:val="en-US" w:eastAsia="zh-CN" w:bidi="ar-SA"/>
    </w:rPr>
  </w:style>
  <w:style w:type="character" w:customStyle="1" w:styleId="129">
    <w:name w:val="正文文本缩进 2 Char Char"/>
    <w:autoRedefine/>
    <w:qFormat/>
    <w:uiPriority w:val="0"/>
    <w:rPr>
      <w:rFonts w:eastAsia="仿宋_GB2312"/>
      <w:sz w:val="30"/>
      <w:lang w:bidi="ar-SA"/>
    </w:rPr>
  </w:style>
  <w:style w:type="character" w:customStyle="1" w:styleId="130">
    <w:name w:val="标题 7 Char Char"/>
    <w:autoRedefine/>
    <w:qFormat/>
    <w:uiPriority w:val="0"/>
    <w:rPr>
      <w:rFonts w:eastAsia="宋体"/>
      <w:b/>
      <w:bCs/>
      <w:kern w:val="2"/>
      <w:sz w:val="24"/>
      <w:szCs w:val="24"/>
      <w:lang w:val="en-US" w:eastAsia="zh-CN" w:bidi="ar-SA"/>
    </w:rPr>
  </w:style>
  <w:style w:type="character" w:customStyle="1" w:styleId="131">
    <w:name w:val="HTML 地址 字符"/>
    <w:link w:val="20"/>
    <w:autoRedefine/>
    <w:qFormat/>
    <w:uiPriority w:val="0"/>
    <w:rPr>
      <w:i/>
      <w:kern w:val="2"/>
      <w:sz w:val="21"/>
      <w:szCs w:val="24"/>
    </w:rPr>
  </w:style>
  <w:style w:type="character" w:customStyle="1" w:styleId="132">
    <w:name w:val="标题 1 字符"/>
    <w:link w:val="3"/>
    <w:autoRedefine/>
    <w:qFormat/>
    <w:uiPriority w:val="0"/>
    <w:rPr>
      <w:rFonts w:ascii="黑体" w:eastAsia="黑体"/>
      <w:bCs/>
      <w:kern w:val="44"/>
      <w:sz w:val="24"/>
      <w:szCs w:val="24"/>
    </w:rPr>
  </w:style>
  <w:style w:type="character" w:customStyle="1" w:styleId="133">
    <w:name w:val="批注文字 字符"/>
    <w:link w:val="16"/>
    <w:autoRedefine/>
    <w:qFormat/>
    <w:uiPriority w:val="0"/>
    <w:rPr>
      <w:kern w:val="2"/>
      <w:sz w:val="24"/>
      <w:szCs w:val="24"/>
    </w:rPr>
  </w:style>
  <w:style w:type="character" w:customStyle="1" w:styleId="134">
    <w:name w:val="页脚 字符"/>
    <w:link w:val="29"/>
    <w:autoRedefine/>
    <w:qFormat/>
    <w:uiPriority w:val="0"/>
    <w:rPr>
      <w:rFonts w:eastAsia="宋体"/>
      <w:kern w:val="2"/>
      <w:sz w:val="18"/>
      <w:lang w:val="en-US" w:eastAsia="zh-CN" w:bidi="ar-SA"/>
    </w:rPr>
  </w:style>
  <w:style w:type="character" w:customStyle="1" w:styleId="135">
    <w:name w:val="正文首行缩进 字符"/>
    <w:link w:val="46"/>
    <w:autoRedefine/>
    <w:qFormat/>
    <w:uiPriority w:val="0"/>
    <w:rPr>
      <w:rFonts w:ascii="Calibri" w:hAnsi="Calibri" w:eastAsia="宋体"/>
      <w:kern w:val="2"/>
      <w:sz w:val="21"/>
      <w:szCs w:val="22"/>
      <w:lang w:val="en-US" w:eastAsia="zh-CN" w:bidi="ar-SA"/>
    </w:rPr>
  </w:style>
  <w:style w:type="character" w:customStyle="1" w:styleId="136">
    <w:name w:val="纯文本 Char Char"/>
    <w:autoRedefine/>
    <w:qFormat/>
    <w:uiPriority w:val="0"/>
    <w:rPr>
      <w:rFonts w:ascii="宋体" w:hAnsi="Courier New"/>
      <w:kern w:val="2"/>
      <w:sz w:val="21"/>
      <w:lang w:bidi="ar-SA"/>
    </w:rPr>
  </w:style>
  <w:style w:type="character" w:customStyle="1" w:styleId="137">
    <w:name w:val="HTML 预设格式 字符"/>
    <w:link w:val="41"/>
    <w:autoRedefine/>
    <w:qFormat/>
    <w:uiPriority w:val="0"/>
    <w:rPr>
      <w:rFonts w:ascii="黑体" w:hAnsi="Courier New" w:eastAsia="黑体" w:cs="Courier New"/>
      <w:kern w:val="2"/>
      <w:sz w:val="21"/>
      <w:szCs w:val="24"/>
      <w:lang w:val="en-US" w:eastAsia="zh-CN" w:bidi="ar-SA"/>
    </w:rPr>
  </w:style>
  <w:style w:type="character" w:customStyle="1" w:styleId="138">
    <w:name w:val="标题 6 Char Char"/>
    <w:autoRedefine/>
    <w:qFormat/>
    <w:uiPriority w:val="0"/>
    <w:rPr>
      <w:rFonts w:ascii="Arial" w:hAnsi="Arial" w:eastAsia="黑体"/>
      <w:b/>
      <w:bCs/>
      <w:kern w:val="2"/>
      <w:sz w:val="24"/>
      <w:szCs w:val="24"/>
      <w:lang w:val="en-US" w:eastAsia="zh-CN" w:bidi="ar-SA"/>
    </w:rPr>
  </w:style>
  <w:style w:type="character" w:customStyle="1" w:styleId="139">
    <w:name w:val="细目1 Char Char"/>
    <w:link w:val="140"/>
    <w:autoRedefine/>
    <w:qFormat/>
    <w:uiPriority w:val="0"/>
    <w:rPr>
      <w:b/>
      <w:color w:val="215868"/>
      <w:kern w:val="2"/>
      <w:sz w:val="24"/>
      <w:szCs w:val="24"/>
    </w:rPr>
  </w:style>
  <w:style w:type="paragraph" w:customStyle="1" w:styleId="140">
    <w:name w:val="细目1"/>
    <w:basedOn w:val="1"/>
    <w:link w:val="139"/>
    <w:autoRedefine/>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41">
    <w:name w:val="Char Char9"/>
    <w:autoRedefine/>
    <w:qFormat/>
    <w:uiPriority w:val="0"/>
    <w:rPr>
      <w:rFonts w:ascii="宋体" w:hAnsi="Courier New" w:eastAsia="宋体"/>
      <w:kern w:val="2"/>
      <w:sz w:val="21"/>
      <w:lang w:val="en-US" w:eastAsia="zh-CN" w:bidi="ar-SA"/>
    </w:rPr>
  </w:style>
  <w:style w:type="character" w:customStyle="1" w:styleId="142">
    <w:name w:val="apple-converted-space"/>
    <w:autoRedefine/>
    <w:qFormat/>
    <w:uiPriority w:val="0"/>
    <w:rPr>
      <w:rFonts w:cs="Times New Roman"/>
    </w:rPr>
  </w:style>
  <w:style w:type="paragraph" w:customStyle="1" w:styleId="143">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6">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7">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8">
    <w:name w:val="Normal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149">
    <w:name w:val="样式 样式 小四 行距: 1.5 倍行距 + 首行缩进:  3 字符"/>
    <w:basedOn w:val="1"/>
    <w:autoRedefine/>
    <w:qFormat/>
    <w:uiPriority w:val="0"/>
    <w:pPr>
      <w:ind w:firstLine="420" w:firstLineChars="200"/>
    </w:pPr>
    <w:rPr>
      <w:rFonts w:ascii="宋体" w:hAnsi="宋体" w:cs="宋体"/>
      <w:szCs w:val="21"/>
    </w:rPr>
  </w:style>
  <w:style w:type="paragraph" w:customStyle="1" w:styleId="150">
    <w:name w:val="TOC 标题1"/>
    <w:basedOn w:val="3"/>
    <w:next w:val="1"/>
    <w:autoRedefine/>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51">
    <w:name w:val="默认段落字体 Para Char Char Char Char Char Char Char Char Char Char"/>
    <w:basedOn w:val="1"/>
    <w:autoRedefine/>
    <w:qFormat/>
    <w:uiPriority w:val="0"/>
    <w:rPr>
      <w:rFonts w:ascii="Tahoma" w:hAnsi="Tahoma"/>
      <w:sz w:val="24"/>
      <w:szCs w:val="20"/>
    </w:rPr>
  </w:style>
  <w:style w:type="paragraph" w:customStyle="1" w:styleId="15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字元 字元"/>
    <w:basedOn w:val="1"/>
    <w:autoRedefine/>
    <w:qFormat/>
    <w:uiPriority w:val="0"/>
    <w:pPr>
      <w:spacing w:line="360" w:lineRule="auto"/>
      <w:ind w:firstLine="200" w:firstLineChars="200"/>
    </w:pPr>
    <w:rPr>
      <w:rFonts w:ascii="宋体" w:hAnsi="宋体" w:cs="宋体"/>
      <w:sz w:val="24"/>
    </w:rPr>
  </w:style>
  <w:style w:type="paragraph" w:customStyle="1" w:styleId="155">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6">
    <w:name w:val="正文序号 4"/>
    <w:basedOn w:val="1"/>
    <w:autoRedefine/>
    <w:qFormat/>
    <w:uiPriority w:val="0"/>
    <w:pPr>
      <w:numPr>
        <w:ilvl w:val="3"/>
        <w:numId w:val="7"/>
      </w:numPr>
      <w:tabs>
        <w:tab w:val="left" w:pos="1469"/>
      </w:tabs>
      <w:spacing w:before="60"/>
    </w:p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59">
    <w:name w:val="Char3"/>
    <w:basedOn w:val="1"/>
    <w:autoRedefine/>
    <w:qFormat/>
    <w:uiPriority w:val="0"/>
  </w:style>
  <w:style w:type="paragraph" w:customStyle="1" w:styleId="160">
    <w:name w:val="xl3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1">
    <w:name w:val="_Style 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Char28"/>
    <w:basedOn w:val="1"/>
    <w:autoRedefine/>
    <w:qFormat/>
    <w:uiPriority w:val="0"/>
    <w:pPr>
      <w:adjustRightInd w:val="0"/>
      <w:spacing w:line="360" w:lineRule="auto"/>
    </w:pPr>
  </w:style>
  <w:style w:type="paragraph" w:customStyle="1" w:styleId="163">
    <w:name w:val="pa-14"/>
    <w:basedOn w:val="1"/>
    <w:autoRedefine/>
    <w:qFormat/>
    <w:uiPriority w:val="0"/>
    <w:pPr>
      <w:widowControl/>
      <w:spacing w:before="150" w:after="150"/>
      <w:jc w:val="left"/>
    </w:pPr>
    <w:rPr>
      <w:rFonts w:ascii="宋体" w:hAnsi="宋体" w:cs="宋体"/>
      <w:kern w:val="0"/>
      <w:sz w:val="24"/>
    </w:rPr>
  </w:style>
  <w:style w:type="paragraph" w:customStyle="1" w:styleId="164">
    <w:name w:val="font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65">
    <w:name w:val="Item List in Table"/>
    <w:basedOn w:val="1"/>
    <w:autoRedefine/>
    <w:qFormat/>
    <w:uiPriority w:val="0"/>
    <w:pPr>
      <w:numPr>
        <w:ilvl w:val="0"/>
        <w:numId w:val="8"/>
      </w:numPr>
      <w:jc w:val="left"/>
    </w:pPr>
  </w:style>
  <w:style w:type="paragraph" w:customStyle="1" w:styleId="166">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7">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8">
    <w:name w:val="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69">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70">
    <w:name w:val="默认段落字体 Para Char"/>
    <w:basedOn w:val="1"/>
    <w:autoRedefine/>
    <w:qFormat/>
    <w:uiPriority w:val="0"/>
    <w:rPr>
      <w:rFonts w:ascii="Tahoma" w:hAnsi="Tahoma"/>
      <w:sz w:val="24"/>
      <w:szCs w:val="20"/>
    </w:rPr>
  </w:style>
  <w:style w:type="paragraph" w:customStyle="1" w:styleId="171">
    <w:name w:val="Bullet"/>
    <w:autoRedefine/>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2">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3">
    <w:name w:val="样式 正文缩进 + 首行缩进:  2 字符"/>
    <w:basedOn w:val="2"/>
    <w:autoRedefine/>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4">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5">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7">
    <w:name w:val="p0"/>
    <w:basedOn w:val="1"/>
    <w:autoRedefine/>
    <w:qFormat/>
    <w:uiPriority w:val="0"/>
    <w:pPr>
      <w:widowControl/>
    </w:pPr>
    <w:rPr>
      <w:kern w:val="0"/>
      <w:szCs w:val="21"/>
    </w:rPr>
  </w:style>
  <w:style w:type="paragraph" w:customStyle="1" w:styleId="178">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9">
    <w:name w:val="默认段落字体 Para Char Char Char1 Char"/>
    <w:basedOn w:val="47"/>
    <w:autoRedefine/>
    <w:qFormat/>
    <w:uiPriority w:val="0"/>
  </w:style>
  <w:style w:type="paragraph" w:customStyle="1" w:styleId="180">
    <w:name w:val="Char1"/>
    <w:basedOn w:val="1"/>
    <w:autoRedefine/>
    <w:qFormat/>
    <w:uiPriority w:val="0"/>
    <w:pPr>
      <w:widowControl/>
      <w:spacing w:line="400" w:lineRule="exact"/>
      <w:jc w:val="center"/>
    </w:pPr>
    <w:rPr>
      <w:rFonts w:ascii="Verdana" w:hAnsi="Verdana"/>
      <w:kern w:val="0"/>
      <w:szCs w:val="20"/>
      <w:lang w:eastAsia="en-US"/>
    </w:rPr>
  </w:style>
  <w:style w:type="paragraph" w:customStyle="1" w:styleId="181">
    <w:name w:val="xl1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2">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3">
    <w:name w:val="Normal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184">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5">
    <w:name w:val="列出段落1"/>
    <w:basedOn w:val="1"/>
    <w:autoRedefine/>
    <w:qFormat/>
    <w:uiPriority w:val="0"/>
    <w:pPr>
      <w:ind w:firstLine="200" w:firstLineChars="200"/>
    </w:pPr>
    <w:rPr>
      <w:rFonts w:ascii="Calibri" w:hAnsi="Calibri"/>
      <w:szCs w:val="22"/>
    </w:rPr>
  </w:style>
  <w:style w:type="paragraph" w:customStyle="1" w:styleId="186">
    <w:name w:val="缺省文本"/>
    <w:basedOn w:val="1"/>
    <w:autoRedefine/>
    <w:qFormat/>
    <w:uiPriority w:val="0"/>
    <w:pPr>
      <w:autoSpaceDE w:val="0"/>
      <w:autoSpaceDN w:val="0"/>
      <w:adjustRightInd w:val="0"/>
      <w:jc w:val="left"/>
    </w:pPr>
    <w:rPr>
      <w:kern w:val="0"/>
      <w:sz w:val="24"/>
    </w:rPr>
  </w:style>
  <w:style w:type="paragraph" w:customStyle="1" w:styleId="187">
    <w:name w:val="Char Char Char Char Char Char Char Char Char"/>
    <w:basedOn w:val="1"/>
    <w:autoRedefine/>
    <w:qFormat/>
    <w:uiPriority w:val="0"/>
    <w:rPr>
      <w:sz w:val="28"/>
    </w:rPr>
  </w:style>
  <w:style w:type="paragraph" w:customStyle="1" w:styleId="188">
    <w:name w:val="书籍标题4"/>
    <w:basedOn w:val="123"/>
    <w:next w:val="1"/>
    <w:autoRedefine/>
    <w:qFormat/>
    <w:uiPriority w:val="0"/>
    <w:pPr>
      <w:numPr>
        <w:ilvl w:val="3"/>
      </w:numPr>
      <w:tabs>
        <w:tab w:val="left" w:pos="2160"/>
      </w:tabs>
      <w:ind w:left="2160"/>
      <w:outlineLvl w:val="3"/>
    </w:pPr>
    <w:rPr>
      <w:sz w:val="24"/>
      <w:szCs w:val="24"/>
      <w:lang w:val="zh-CN"/>
    </w:rPr>
  </w:style>
  <w:style w:type="paragraph" w:customStyle="1" w:styleId="189">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90">
    <w:name w:val="样式 书籍标题3 + Arial 段前: 1 行 段后: 1 行"/>
    <w:basedOn w:val="123"/>
    <w:autoRedefine/>
    <w:qFormat/>
    <w:uiPriority w:val="0"/>
    <w:pPr>
      <w:numPr>
        <w:ilvl w:val="1"/>
        <w:numId w:val="9"/>
      </w:numPr>
      <w:spacing w:beforeLines="0" w:afterLines="0"/>
    </w:pPr>
    <w:rPr>
      <w:rFonts w:ascii="Arial" w:hAnsi="Arial" w:cs="宋体"/>
      <w:b w:val="0"/>
      <w:bCs w:val="0"/>
    </w:rPr>
  </w:style>
  <w:style w:type="paragraph" w:customStyle="1" w:styleId="191">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92">
    <w:name w:val="Char Char Char Char Char Char"/>
    <w:basedOn w:val="1"/>
    <w:autoRedefine/>
    <w:qFormat/>
    <w:uiPriority w:val="0"/>
    <w:pPr>
      <w:widowControl/>
      <w:spacing w:after="160" w:line="240" w:lineRule="exact"/>
      <w:jc w:val="left"/>
    </w:pPr>
    <w:rPr>
      <w:sz w:val="32"/>
      <w:szCs w:val="20"/>
    </w:rPr>
  </w:style>
  <w:style w:type="paragraph" w:customStyle="1" w:styleId="193">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4">
    <w:name w:val="List Paragraph"/>
    <w:basedOn w:val="1"/>
    <w:autoRedefine/>
    <w:qFormat/>
    <w:uiPriority w:val="34"/>
    <w:pPr>
      <w:ind w:firstLine="420" w:firstLineChars="200"/>
    </w:pPr>
  </w:style>
  <w:style w:type="paragraph" w:customStyle="1" w:styleId="19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6">
    <w:name w:val="Char1 Char Char Char"/>
    <w:basedOn w:val="1"/>
    <w:autoRedefine/>
    <w:qFormat/>
    <w:uiPriority w:val="0"/>
    <w:pPr>
      <w:ind w:left="1365" w:hanging="360"/>
    </w:pPr>
    <w:rPr>
      <w:sz w:val="24"/>
    </w:rPr>
  </w:style>
  <w:style w:type="paragraph" w:customStyle="1" w:styleId="197">
    <w:name w:val="MM Topic 6"/>
    <w:basedOn w:val="8"/>
    <w:autoRedefine/>
    <w:qFormat/>
    <w:uiPriority w:val="0"/>
    <w:pPr>
      <w:numPr>
        <w:ilvl w:val="5"/>
        <w:numId w:val="10"/>
      </w:numPr>
      <w:tabs>
        <w:tab w:val="left" w:pos="425"/>
        <w:tab w:val="clear" w:pos="3260"/>
      </w:tabs>
      <w:spacing w:line="319" w:lineRule="auto"/>
    </w:pPr>
    <w:rPr>
      <w:bCs/>
      <w:szCs w:val="24"/>
    </w:rPr>
  </w:style>
  <w:style w:type="paragraph" w:customStyle="1" w:styleId="198">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书籍标题1"/>
    <w:basedOn w:val="1"/>
    <w:next w:val="1"/>
    <w:autoRedefine/>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20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1">
    <w:name w:val="样式 标题 4Alt+41.1.1.1 Heading 4bulletblbbH44h4H41h41H42... Char"/>
    <w:basedOn w:val="6"/>
    <w:autoRedefine/>
    <w:qFormat/>
    <w:uiPriority w:val="0"/>
    <w:pPr>
      <w:tabs>
        <w:tab w:val="left" w:pos="1914"/>
      </w:tabs>
      <w:spacing w:before="120" w:after="120"/>
      <w:ind w:left="1914" w:hanging="864"/>
    </w:pPr>
    <w:rPr>
      <w:rFonts w:ascii="宋体" w:hAnsi="宋体"/>
      <w:bCs/>
      <w:color w:val="000000"/>
      <w:szCs w:val="28"/>
    </w:rPr>
  </w:style>
  <w:style w:type="paragraph" w:customStyle="1" w:styleId="202">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3">
    <w:name w:val="表格内文字"/>
    <w:basedOn w:val="1"/>
    <w:autoRedefine/>
    <w:qFormat/>
    <w:uiPriority w:val="0"/>
    <w:pPr>
      <w:widowControl/>
      <w:spacing w:line="300" w:lineRule="atLeast"/>
      <w:jc w:val="left"/>
    </w:pPr>
    <w:rPr>
      <w:rFonts w:ascii="Arial" w:hAnsi="Arial" w:eastAsia="黑体" w:cs="Arial"/>
      <w:bCs/>
      <w:sz w:val="18"/>
      <w:szCs w:val="21"/>
    </w:rPr>
  </w:style>
  <w:style w:type="paragraph" w:customStyle="1" w:styleId="204">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5">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6">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7">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8">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9">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10">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11">
    <w:name w:val="特点标题"/>
    <w:basedOn w:val="1"/>
    <w:next w:val="37"/>
    <w:autoRedefine/>
    <w:qFormat/>
    <w:uiPriority w:val="0"/>
    <w:pPr>
      <w:adjustRightInd w:val="0"/>
      <w:spacing w:line="360" w:lineRule="auto"/>
      <w:ind w:firstLine="482"/>
      <w:textAlignment w:val="baseline"/>
    </w:pPr>
    <w:rPr>
      <w:rFonts w:ascii="宋体" w:hAnsi="宋体"/>
      <w:kern w:val="0"/>
      <w:sz w:val="24"/>
    </w:rPr>
  </w:style>
  <w:style w:type="paragraph" w:customStyle="1" w:styleId="212">
    <w:name w:val="pa-13"/>
    <w:basedOn w:val="1"/>
    <w:autoRedefine/>
    <w:qFormat/>
    <w:uiPriority w:val="0"/>
    <w:pPr>
      <w:widowControl/>
      <w:spacing w:before="150" w:after="150"/>
      <w:jc w:val="left"/>
    </w:pPr>
    <w:rPr>
      <w:rFonts w:ascii="宋体" w:hAnsi="宋体" w:cs="宋体"/>
      <w:kern w:val="0"/>
      <w:sz w:val="24"/>
    </w:rPr>
  </w:style>
  <w:style w:type="paragraph" w:customStyle="1" w:styleId="213">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4">
    <w:name w:val="MM Topic 1"/>
    <w:basedOn w:val="3"/>
    <w:autoRedefine/>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5">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6">
    <w:name w:val="项目"/>
    <w:basedOn w:val="1"/>
    <w:autoRedefine/>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7">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8">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9">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20">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1">
    <w:name w:val="xl13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2">
    <w:name w:val="样式 标题 3"/>
    <w:basedOn w:val="5"/>
    <w:next w:val="1"/>
    <w:autoRedefine/>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3">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5">
    <w:name w:val="正文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7">
    <w:name w:val="Char1 Char Char Char1"/>
    <w:basedOn w:val="1"/>
    <w:autoRedefine/>
    <w:qFormat/>
    <w:uiPriority w:val="0"/>
    <w:pPr>
      <w:tabs>
        <w:tab w:val="left" w:pos="425"/>
      </w:tabs>
      <w:ind w:left="425" w:hanging="425"/>
    </w:pPr>
    <w:rPr>
      <w:sz w:val="24"/>
    </w:rPr>
  </w:style>
  <w:style w:type="paragraph" w:customStyle="1" w:styleId="22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9">
    <w:name w:val="Char"/>
    <w:basedOn w:val="1"/>
    <w:autoRedefine/>
    <w:qFormat/>
    <w:uiPriority w:val="0"/>
    <w:pPr>
      <w:tabs>
        <w:tab w:val="left" w:pos="1365"/>
      </w:tabs>
      <w:ind w:left="1365" w:hanging="360"/>
    </w:pPr>
    <w:rPr>
      <w:sz w:val="24"/>
    </w:rPr>
  </w:style>
  <w:style w:type="paragraph" w:customStyle="1" w:styleId="230">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31">
    <w:name w:val="无间隔1"/>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232">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3">
    <w:name w:val="没有缩进（为图形使用）"/>
    <w:basedOn w:val="1"/>
    <w:autoRedefine/>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4">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5">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6">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7">
    <w:name w:val="样式1"/>
    <w:next w:val="15"/>
    <w:autoRedefine/>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8">
    <w:name w:val="Table Text"/>
    <w:autoRedefine/>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9">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40">
    <w:name w:val="Pa17"/>
    <w:basedOn w:val="1"/>
    <w:next w:val="1"/>
    <w:autoRedefine/>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41">
    <w:name w:val="Char Char Char Char Char Char Char Char Char1"/>
    <w:basedOn w:val="1"/>
    <w:autoRedefine/>
    <w:qFormat/>
    <w:uiPriority w:val="0"/>
    <w:pPr>
      <w:widowControl/>
      <w:spacing w:after="160" w:line="240" w:lineRule="exact"/>
      <w:jc w:val="left"/>
    </w:pPr>
  </w:style>
  <w:style w:type="paragraph" w:customStyle="1" w:styleId="242">
    <w:name w:val="表格文字"/>
    <w:basedOn w:val="1"/>
    <w:autoRedefine/>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3">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5">
    <w:name w:val="infoblue"/>
    <w:basedOn w:val="1"/>
    <w:autoRedefine/>
    <w:qFormat/>
    <w:uiPriority w:val="0"/>
    <w:pPr>
      <w:widowControl/>
      <w:spacing w:after="120" w:line="240" w:lineRule="atLeast"/>
      <w:ind w:left="450"/>
      <w:jc w:val="left"/>
    </w:pPr>
    <w:rPr>
      <w:i/>
      <w:iCs/>
      <w:color w:val="0000FF"/>
      <w:kern w:val="0"/>
      <w:sz w:val="20"/>
      <w:szCs w:val="20"/>
    </w:rPr>
  </w:style>
  <w:style w:type="paragraph" w:customStyle="1" w:styleId="246">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7">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9">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0">
    <w:name w:val="MM Topic 2"/>
    <w:basedOn w:val="4"/>
    <w:autoRedefine/>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51">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Char Char Char"/>
    <w:basedOn w:val="1"/>
    <w:autoRedefine/>
    <w:qFormat/>
    <w:uiPriority w:val="0"/>
    <w:pPr>
      <w:widowControl/>
      <w:spacing w:after="160" w:line="240" w:lineRule="exact"/>
      <w:jc w:val="left"/>
    </w:pPr>
    <w:rPr>
      <w:rFonts w:ascii="Verdana" w:hAnsi="Verdana" w:cs="Verdana"/>
      <w:kern w:val="0"/>
      <w:szCs w:val="21"/>
      <w:lang w:eastAsia="en-US"/>
    </w:rPr>
  </w:style>
  <w:style w:type="paragraph" w:customStyle="1" w:styleId="25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4">
    <w:name w:val="font6"/>
    <w:basedOn w:val="1"/>
    <w:autoRedefine/>
    <w:qFormat/>
    <w:uiPriority w:val="0"/>
    <w:pPr>
      <w:widowControl/>
      <w:spacing w:before="100" w:beforeAutospacing="1" w:after="100" w:afterAutospacing="1"/>
      <w:jc w:val="left"/>
    </w:pPr>
    <w:rPr>
      <w:kern w:val="0"/>
      <w:sz w:val="24"/>
    </w:rPr>
  </w:style>
  <w:style w:type="paragraph" w:customStyle="1" w:styleId="255">
    <w:name w:val="正文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6">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7">
    <w:name w:val="font13"/>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8">
    <w:name w:val="样式 首行缩进:  0.85 厘米"/>
    <w:basedOn w:val="1"/>
    <w:autoRedefine/>
    <w:qFormat/>
    <w:uiPriority w:val="0"/>
    <w:pPr>
      <w:spacing w:line="360" w:lineRule="auto"/>
      <w:ind w:firstLine="200" w:firstLineChars="200"/>
    </w:pPr>
    <w:rPr>
      <w:rFonts w:cs="宋体"/>
      <w:sz w:val="24"/>
      <w:szCs w:val="20"/>
    </w:rPr>
  </w:style>
  <w:style w:type="paragraph" w:customStyle="1" w:styleId="259">
    <w:name w:val="列举"/>
    <w:basedOn w:val="1"/>
    <w:autoRedefine/>
    <w:qFormat/>
    <w:uiPriority w:val="0"/>
    <w:pPr>
      <w:numPr>
        <w:ilvl w:val="0"/>
        <w:numId w:val="15"/>
      </w:numPr>
      <w:spacing w:line="360" w:lineRule="auto"/>
    </w:pPr>
    <w:rPr>
      <w:rFonts w:ascii="宋体"/>
    </w:rPr>
  </w:style>
  <w:style w:type="paragraph" w:customStyle="1" w:styleId="260">
    <w:name w:val="正文1"/>
    <w:basedOn w:val="1"/>
    <w:autoRedefine/>
    <w:qFormat/>
    <w:uiPriority w:val="0"/>
    <w:pPr>
      <w:spacing w:line="360" w:lineRule="auto"/>
    </w:pPr>
    <w:rPr>
      <w:rFonts w:ascii="宋体" w:hAnsi="宋体"/>
      <w:sz w:val="24"/>
    </w:rPr>
  </w:style>
  <w:style w:type="paragraph" w:customStyle="1" w:styleId="261">
    <w:name w:val="font1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62">
    <w:name w:val="正文缩进2字符"/>
    <w:basedOn w:val="46"/>
    <w:autoRedefine/>
    <w:qFormat/>
    <w:uiPriority w:val="0"/>
    <w:pPr>
      <w:spacing w:after="0" w:line="360" w:lineRule="auto"/>
      <w:ind w:firstLine="200" w:firstLineChars="200"/>
    </w:pPr>
    <w:rPr>
      <w:sz w:val="24"/>
      <w:szCs w:val="24"/>
    </w:rPr>
  </w:style>
  <w:style w:type="paragraph" w:customStyle="1" w:styleId="263">
    <w:name w:val="font8"/>
    <w:basedOn w:val="1"/>
    <w:autoRedefine/>
    <w:qFormat/>
    <w:uiPriority w:val="0"/>
    <w:pPr>
      <w:widowControl/>
      <w:spacing w:before="100" w:beforeAutospacing="1" w:after="100" w:afterAutospacing="1"/>
      <w:jc w:val="left"/>
    </w:pPr>
    <w:rPr>
      <w:kern w:val="0"/>
      <w:sz w:val="20"/>
      <w:szCs w:val="20"/>
    </w:rPr>
  </w:style>
  <w:style w:type="paragraph" w:customStyle="1" w:styleId="264">
    <w:name w:val="Char Char1 Char Char Char Char Char Char"/>
    <w:basedOn w:val="1"/>
    <w:autoRedefine/>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5">
    <w:name w:val="pa-3"/>
    <w:basedOn w:val="1"/>
    <w:autoRedefine/>
    <w:qFormat/>
    <w:uiPriority w:val="0"/>
    <w:pPr>
      <w:widowControl/>
      <w:spacing w:before="150" w:after="150"/>
      <w:jc w:val="left"/>
    </w:pPr>
    <w:rPr>
      <w:rFonts w:ascii="宋体" w:hAnsi="宋体" w:cs="宋体"/>
      <w:kern w:val="0"/>
      <w:sz w:val="24"/>
    </w:rPr>
  </w:style>
  <w:style w:type="paragraph" w:customStyle="1" w:styleId="266">
    <w:name w:val="tabletext"/>
    <w:basedOn w:val="1"/>
    <w:autoRedefine/>
    <w:qFormat/>
    <w:uiPriority w:val="0"/>
    <w:pPr>
      <w:widowControl/>
      <w:spacing w:before="100" w:beforeAutospacing="1" w:after="100" w:afterAutospacing="1"/>
      <w:jc w:val="left"/>
    </w:pPr>
    <w:rPr>
      <w:rFonts w:ascii="宋体" w:hAnsi="Calibri" w:cs="宋体"/>
      <w:kern w:val="0"/>
      <w:sz w:val="24"/>
    </w:rPr>
  </w:style>
  <w:style w:type="paragraph" w:customStyle="1" w:styleId="267">
    <w:name w:val="font17"/>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8">
    <w:name w:val="font10"/>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9">
    <w:name w:val="列表数字1"/>
    <w:next w:val="46"/>
    <w:autoRedefine/>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70">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1">
    <w:name w:val="加点标题"/>
    <w:basedOn w:val="1"/>
    <w:autoRedefine/>
    <w:qFormat/>
    <w:uiPriority w:val="0"/>
    <w:pPr>
      <w:numPr>
        <w:ilvl w:val="0"/>
        <w:numId w:val="18"/>
      </w:numPr>
      <w:spacing w:line="360" w:lineRule="auto"/>
    </w:pPr>
    <w:rPr>
      <w:sz w:val="24"/>
    </w:rPr>
  </w:style>
  <w:style w:type="paragraph" w:customStyle="1" w:styleId="272">
    <w:name w:val="普通(网站)1"/>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7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4">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5">
    <w:name w:val="正文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6">
    <w:name w:val="xl10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7">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8">
    <w:name w:val="段"/>
    <w:autoRedefine/>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9">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0">
    <w:name w:val="MM Topic 3"/>
    <w:basedOn w:val="5"/>
    <w:autoRedefine/>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81">
    <w:name w:val="列出段落2"/>
    <w:basedOn w:val="1"/>
    <w:autoRedefine/>
    <w:qFormat/>
    <w:uiPriority w:val="0"/>
    <w:pPr>
      <w:ind w:firstLine="420" w:firstLineChars="200"/>
    </w:pPr>
  </w:style>
  <w:style w:type="paragraph" w:customStyle="1" w:styleId="282">
    <w:name w:val="font15"/>
    <w:basedOn w:val="1"/>
    <w:autoRedefine/>
    <w:qFormat/>
    <w:uiPriority w:val="0"/>
    <w:pPr>
      <w:widowControl/>
      <w:spacing w:before="100" w:beforeAutospacing="1" w:after="100" w:afterAutospacing="1"/>
      <w:jc w:val="left"/>
    </w:pPr>
    <w:rPr>
      <w:kern w:val="0"/>
      <w:sz w:val="20"/>
      <w:szCs w:val="20"/>
    </w:rPr>
  </w:style>
  <w:style w:type="paragraph" w:customStyle="1" w:styleId="283">
    <w:name w:val="pa-15"/>
    <w:basedOn w:val="1"/>
    <w:autoRedefine/>
    <w:qFormat/>
    <w:uiPriority w:val="0"/>
    <w:pPr>
      <w:widowControl/>
      <w:spacing w:before="150" w:after="150"/>
      <w:jc w:val="left"/>
    </w:pPr>
    <w:rPr>
      <w:rFonts w:ascii="宋体" w:hAnsi="宋体" w:cs="宋体"/>
      <w:kern w:val="0"/>
      <w:sz w:val="24"/>
    </w:rPr>
  </w:style>
  <w:style w:type="paragraph" w:customStyle="1" w:styleId="28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6">
    <w:name w:val="Char Char1 Char Char Char Char Char Char Char Char Char Char Char Char Char Char Char Char Char Char Char Char"/>
    <w:basedOn w:val="1"/>
    <w:autoRedefine/>
    <w:qFormat/>
    <w:uiPriority w:val="0"/>
    <w:pPr>
      <w:widowControl/>
      <w:tabs>
        <w:tab w:val="left" w:pos="360"/>
      </w:tabs>
      <w:ind w:left="360" w:hanging="360"/>
      <w:jc w:val="left"/>
    </w:pPr>
    <w:rPr>
      <w:rFonts w:ascii="Verdana" w:hAnsi="Verdana"/>
      <w:kern w:val="0"/>
      <w:sz w:val="24"/>
      <w:szCs w:val="21"/>
    </w:rPr>
  </w:style>
  <w:style w:type="paragraph" w:customStyle="1" w:styleId="287">
    <w:name w:val="Char Char3 Char Char"/>
    <w:basedOn w:val="1"/>
    <w:autoRedefine/>
    <w:qFormat/>
    <w:uiPriority w:val="0"/>
    <w:pPr>
      <w:spacing w:line="360" w:lineRule="auto"/>
      <w:ind w:firstLine="200" w:firstLineChars="200"/>
    </w:pPr>
    <w:rPr>
      <w:rFonts w:ascii="宋体" w:hAnsi="宋体" w:cs="宋体"/>
      <w:sz w:val="24"/>
    </w:rPr>
  </w:style>
  <w:style w:type="paragraph" w:customStyle="1" w:styleId="288">
    <w:name w:val="样式 (西文) 宋体 首行缩进:  0.85 厘米"/>
    <w:basedOn w:val="1"/>
    <w:autoRedefine/>
    <w:qFormat/>
    <w:uiPriority w:val="0"/>
    <w:pPr>
      <w:spacing w:line="360" w:lineRule="auto"/>
      <w:ind w:firstLine="200" w:firstLineChars="200"/>
    </w:pPr>
    <w:rPr>
      <w:rFonts w:ascii="宋体" w:hAnsi="Calibri" w:cs="宋体"/>
      <w:sz w:val="24"/>
      <w:szCs w:val="20"/>
    </w:rPr>
  </w:style>
  <w:style w:type="paragraph" w:customStyle="1" w:styleId="289">
    <w:name w:val="正文序号 2"/>
    <w:basedOn w:val="1"/>
    <w:autoRedefine/>
    <w:qFormat/>
    <w:uiPriority w:val="0"/>
    <w:pPr>
      <w:numPr>
        <w:ilvl w:val="1"/>
        <w:numId w:val="7"/>
      </w:numPr>
      <w:tabs>
        <w:tab w:val="left" w:pos="1049"/>
      </w:tabs>
      <w:spacing w:before="60"/>
    </w:pPr>
  </w:style>
  <w:style w:type="paragraph" w:customStyle="1" w:styleId="290">
    <w:name w:val="样式 样式 标题 4Alt+41.1.1.1 Heading 4bulletblbbH44h4H41h41H42... + 自动..."/>
    <w:basedOn w:val="201"/>
    <w:autoRedefine/>
    <w:qFormat/>
    <w:uiPriority w:val="0"/>
    <w:pPr>
      <w:numPr>
        <w:ilvl w:val="3"/>
        <w:numId w:val="20"/>
      </w:numPr>
      <w:tabs>
        <w:tab w:val="clear" w:pos="1914"/>
      </w:tabs>
    </w:pPr>
    <w:rPr>
      <w:color w:val="auto"/>
    </w:rPr>
  </w:style>
  <w:style w:type="paragraph" w:styleId="291">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样式 宋体 小四 行距: 1.5 倍行距"/>
    <w:basedOn w:val="1"/>
    <w:autoRedefine/>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3">
    <w:name w:val="MM Topic 5"/>
    <w:basedOn w:val="7"/>
    <w:autoRedefine/>
    <w:qFormat/>
    <w:uiPriority w:val="0"/>
    <w:pPr>
      <w:numPr>
        <w:ilvl w:val="4"/>
        <w:numId w:val="10"/>
      </w:numPr>
      <w:tabs>
        <w:tab w:val="left" w:pos="425"/>
        <w:tab w:val="clear" w:pos="2551"/>
      </w:tabs>
    </w:pPr>
    <w:rPr>
      <w:bCs/>
      <w:szCs w:val="28"/>
    </w:rPr>
  </w:style>
  <w:style w:type="paragraph" w:customStyle="1" w:styleId="294">
    <w:name w:val="正文文本样式"/>
    <w:basedOn w:val="1"/>
    <w:autoRedefine/>
    <w:qFormat/>
    <w:uiPriority w:val="0"/>
    <w:pPr>
      <w:spacing w:line="360" w:lineRule="auto"/>
      <w:ind w:firstLine="482"/>
    </w:pPr>
    <w:rPr>
      <w:rFonts w:cs="宋体"/>
      <w:sz w:val="24"/>
      <w:szCs w:val="20"/>
    </w:rPr>
  </w:style>
  <w:style w:type="paragraph" w:customStyle="1" w:styleId="295">
    <w:name w:val="fon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96">
    <w:name w:val="xl105"/>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97">
    <w:name w:val="MM Topic 4"/>
    <w:basedOn w:val="6"/>
    <w:autoRedefine/>
    <w:qFormat/>
    <w:uiPriority w:val="0"/>
    <w:pPr>
      <w:numPr>
        <w:ilvl w:val="3"/>
        <w:numId w:val="10"/>
      </w:numPr>
      <w:tabs>
        <w:tab w:val="left" w:pos="425"/>
        <w:tab w:val="clear" w:pos="1984"/>
      </w:tabs>
    </w:pPr>
    <w:rPr>
      <w:bCs/>
      <w:szCs w:val="28"/>
    </w:rPr>
  </w:style>
  <w:style w:type="paragraph" w:customStyle="1" w:styleId="298">
    <w:name w:val="正文序号 3"/>
    <w:basedOn w:val="1"/>
    <w:autoRedefine/>
    <w:qFormat/>
    <w:uiPriority w:val="0"/>
    <w:pPr>
      <w:numPr>
        <w:ilvl w:val="2"/>
        <w:numId w:val="7"/>
      </w:numPr>
      <w:tabs>
        <w:tab w:val="left" w:pos="1259"/>
      </w:tabs>
      <w:spacing w:before="60"/>
    </w:pPr>
  </w:style>
  <w:style w:type="paragraph" w:customStyle="1" w:styleId="299">
    <w:name w:val="Char2"/>
    <w:basedOn w:val="1"/>
    <w:autoRedefine/>
    <w:qFormat/>
    <w:uiPriority w:val="0"/>
    <w:pPr>
      <w:tabs>
        <w:tab w:val="left" w:pos="425"/>
      </w:tabs>
      <w:ind w:left="425" w:hanging="425"/>
    </w:pPr>
    <w:rPr>
      <w:sz w:val="24"/>
    </w:rPr>
  </w:style>
  <w:style w:type="paragraph" w:customStyle="1" w:styleId="300">
    <w:name w:val="正文序号 1"/>
    <w:basedOn w:val="1"/>
    <w:autoRedefine/>
    <w:qFormat/>
    <w:uiPriority w:val="0"/>
    <w:pPr>
      <w:numPr>
        <w:ilvl w:val="0"/>
        <w:numId w:val="7"/>
      </w:numPr>
      <w:tabs>
        <w:tab w:val="left" w:pos="839"/>
      </w:tabs>
      <w:spacing w:before="60"/>
    </w:pPr>
  </w:style>
  <w:style w:type="paragraph" w:customStyle="1" w:styleId="301">
    <w:name w:val="字元 字元1"/>
    <w:basedOn w:val="1"/>
    <w:autoRedefine/>
    <w:qFormat/>
    <w:uiPriority w:val="0"/>
    <w:pPr>
      <w:spacing w:line="360" w:lineRule="auto"/>
      <w:ind w:firstLine="200" w:firstLineChars="200"/>
    </w:pPr>
    <w:rPr>
      <w:rFonts w:ascii="宋体" w:hAnsi="宋体" w:cs="宋体"/>
      <w:sz w:val="24"/>
    </w:rPr>
  </w:style>
  <w:style w:type="paragraph" w:customStyle="1" w:styleId="302">
    <w:name w:val="font12"/>
    <w:basedOn w:val="1"/>
    <w:autoRedefine/>
    <w:qFormat/>
    <w:uiPriority w:val="0"/>
    <w:pPr>
      <w:widowControl/>
      <w:spacing w:before="100" w:beforeAutospacing="1" w:after="100" w:afterAutospacing="1"/>
      <w:jc w:val="left"/>
    </w:pPr>
    <w:rPr>
      <w:kern w:val="0"/>
      <w:sz w:val="22"/>
      <w:szCs w:val="22"/>
    </w:rPr>
  </w:style>
  <w:style w:type="paragraph" w:customStyle="1" w:styleId="303">
    <w:name w:val="font9"/>
    <w:basedOn w:val="1"/>
    <w:autoRedefine/>
    <w:qFormat/>
    <w:uiPriority w:val="0"/>
    <w:pPr>
      <w:widowControl/>
      <w:spacing w:before="100" w:beforeAutospacing="1" w:after="100" w:afterAutospacing="1"/>
      <w:jc w:val="left"/>
    </w:pPr>
    <w:rPr>
      <w:color w:val="000000"/>
      <w:kern w:val="0"/>
      <w:sz w:val="20"/>
      <w:szCs w:val="20"/>
    </w:rPr>
  </w:style>
  <w:style w:type="character" w:customStyle="1" w:styleId="304">
    <w:name w:val="标题 1 Char2"/>
    <w:autoRedefine/>
    <w:qFormat/>
    <w:uiPriority w:val="0"/>
    <w:rPr>
      <w:rFonts w:ascii="黑体" w:eastAsia="黑体"/>
      <w:bCs/>
      <w:kern w:val="44"/>
      <w:sz w:val="24"/>
      <w:szCs w:val="24"/>
    </w:rPr>
  </w:style>
  <w:style w:type="character" w:customStyle="1" w:styleId="305">
    <w:name w:val="Font Style17"/>
    <w:autoRedefine/>
    <w:qFormat/>
    <w:uiPriority w:val="0"/>
    <w:rPr>
      <w:rFonts w:ascii="黑体" w:eastAsia="黑体" w:cs="黑体"/>
      <w:sz w:val="28"/>
      <w:szCs w:val="28"/>
    </w:rPr>
  </w:style>
  <w:style w:type="character" w:styleId="306">
    <w:name w:val="Placeholder Text"/>
    <w:basedOn w:val="50"/>
    <w:autoRedefine/>
    <w:semiHidden/>
    <w:qFormat/>
    <w:uiPriority w:val="99"/>
    <w:rPr>
      <w:color w:val="808080"/>
    </w:rPr>
  </w:style>
  <w:style w:type="character" w:customStyle="1" w:styleId="307">
    <w:name w:val="正文缩进 Char3"/>
    <w:autoRedefine/>
    <w:qFormat/>
    <w:uiPriority w:val="0"/>
    <w:rPr>
      <w:rFonts w:ascii="宋体" w:eastAsia="宋体"/>
      <w:sz w:val="34"/>
      <w:lang w:val="en-US" w:eastAsia="zh-CN" w:bidi="ar-SA"/>
    </w:rPr>
  </w:style>
  <w:style w:type="paragraph" w:customStyle="1" w:styleId="308">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09">
    <w:name w:val="批注主题 字符"/>
    <w:basedOn w:val="133"/>
    <w:link w:val="45"/>
    <w:autoRedefine/>
    <w:semiHidden/>
    <w:qFormat/>
    <w:uiPriority w:val="99"/>
    <w:rPr>
      <w:rFonts w:ascii="Times New Roman" w:hAnsi="Times New Roman" w:eastAsia="宋体" w:cs="Times New Roman"/>
      <w:b/>
      <w:bCs/>
      <w:kern w:val="2"/>
      <w:sz w:val="21"/>
      <w:szCs w:val="24"/>
    </w:rPr>
  </w:style>
  <w:style w:type="paragraph" w:customStyle="1" w:styleId="310">
    <w:name w:val="Table Paragraph"/>
    <w:basedOn w:val="1"/>
    <w:autoRedefine/>
    <w:qFormat/>
    <w:uiPriority w:val="1"/>
  </w:style>
  <w:style w:type="paragraph" w:customStyle="1" w:styleId="311">
    <w:name w:val="_Style 3"/>
    <w:basedOn w:val="1"/>
    <w:autoRedefine/>
    <w:unhideWhenUsed/>
    <w:qFormat/>
    <w:uiPriority w:val="0"/>
    <w:pPr>
      <w:autoSpaceDE w:val="0"/>
      <w:autoSpaceDN w:val="0"/>
      <w:adjustRightInd w:val="0"/>
      <w:ind w:firstLine="420" w:firstLineChars="200"/>
      <w:jc w:val="left"/>
    </w:pPr>
    <w:rPr>
      <w:rFonts w:ascii="Calibri" w:hAnsi="Calibri"/>
      <w:kern w:val="0"/>
      <w:sz w:val="24"/>
    </w:rPr>
  </w:style>
  <w:style w:type="character" w:customStyle="1" w:styleId="312">
    <w:name w:val="weby11"/>
    <w:autoRedefine/>
    <w:unhideWhenUsed/>
    <w:qFormat/>
    <w:uiPriority w:val="0"/>
    <w:rPr>
      <w:sz w:val="18"/>
    </w:rPr>
  </w:style>
  <w:style w:type="paragraph" w:customStyle="1" w:styleId="31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314">
    <w:name w:val="标题   3"/>
    <w:basedOn w:val="5"/>
    <w:autoRedefine/>
    <w:qFormat/>
    <w:uiPriority w:val="0"/>
    <w:pPr>
      <w:tabs>
        <w:tab w:val="clear" w:pos="753"/>
      </w:tabs>
      <w:ind w:left="720" w:hanging="720"/>
    </w:pPr>
    <w:rPr>
      <w:sz w:val="30"/>
    </w:rPr>
  </w:style>
  <w:style w:type="paragraph" w:customStyle="1" w:styleId="315">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6">
    <w:name w:val="font41"/>
    <w:basedOn w:val="50"/>
    <w:autoRedefine/>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F0BDF-6D9A-4469-B62C-9AF4CA181D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5999</Words>
  <Characters>34198</Characters>
  <Lines>284</Lines>
  <Paragraphs>80</Paragraphs>
  <TotalTime>6</TotalTime>
  <ScaleCrop>false</ScaleCrop>
  <LinksUpToDate>false</LinksUpToDate>
  <CharactersWithSpaces>40117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2024-04-08T09:13:00Z</dcterms:created>
  <dc:creator>杨佳佳</dc:creator>
  <cp:lastModifiedBy>Administrator</cp:lastModifiedBy>
  <cp:lastPrinted>2022-08-01T01:56:00Z</cp:lastPrinted>
  <dcterms:modified xsi:type="dcterms:W3CDTF">2024-04-10T03:37:23Z</dcterms:modified>
  <dc:title>货物公开招标</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848905DD017E44A39DD828008C8224C5</vt:lpwstr>
  </property>
</Properties>
</file>