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pPr>
        <w:pStyle w:val="25"/>
        <w:widowControl/>
        <w:adjustRightInd w:val="0"/>
        <w:snapToGrid w:val="0"/>
        <w:spacing w:line="360" w:lineRule="auto"/>
        <w:jc w:val="center"/>
        <w:rPr>
          <w:rFonts w:hAnsi="宋体"/>
          <w:b/>
          <w:bCs/>
          <w:color w:val="000000" w:themeColor="text1"/>
          <w:sz w:val="84"/>
          <w:szCs w:val="84"/>
          <w:highlight w:val="none"/>
        </w:rPr>
      </w:pPr>
    </w:p>
    <w:p>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rPr>
          <w:rFonts w:hAnsi="宋体"/>
          <w:bCs/>
          <w:color w:val="000000" w:themeColor="text1"/>
          <w:sz w:val="52"/>
          <w:szCs w:val="52"/>
          <w:highlight w:val="none"/>
        </w:rPr>
      </w:pPr>
    </w:p>
    <w:tbl>
      <w:tblPr>
        <w:tblStyle w:val="51"/>
        <w:tblW w:w="9087" w:type="dxa"/>
        <w:tblInd w:w="0" w:type="dxa"/>
        <w:tblLayout w:type="fixed"/>
        <w:tblCellMar>
          <w:top w:w="0" w:type="dxa"/>
          <w:left w:w="108" w:type="dxa"/>
          <w:bottom w:w="0" w:type="dxa"/>
          <w:right w:w="108" w:type="dxa"/>
        </w:tblCellMar>
      </w:tblPr>
      <w:tblGrid>
        <w:gridCol w:w="1951"/>
        <w:gridCol w:w="284"/>
        <w:gridCol w:w="685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YXCG-20240319</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阳西县城市品牌旅游宣传展厅(阳西服务区北区展陈厅)布展服务项目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阳西县融媒体中心 （阳西县广播电视台）</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rPr>
      </w:pPr>
    </w:p>
    <w:p>
      <w:pPr>
        <w:pStyle w:val="25"/>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二○二四年三月</w:t>
      </w:r>
    </w:p>
    <w:p>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请供应商特别留意磋商文件上注明的投标截止和开标时间，逾期送达或邮寄送达的磋商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开标现场</w:t>
      </w:r>
      <w:r>
        <w:rPr>
          <w:rFonts w:ascii="宋体" w:hAnsi="宋体"/>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3"/>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"_Toc13059" </w:instrText>
      </w:r>
      <w:r>
        <w:rPr>
          <w:color w:val="000000" w:themeColor="text1"/>
          <w:highlight w:val="none"/>
        </w:rPr>
        <w:fldChar w:fldCharType="separate"/>
      </w:r>
      <w:r>
        <w:rPr>
          <w:rFonts w:hint="eastAsia" w:ascii="宋体" w:hAnsi="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_Toc13059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highlight w:val="none"/>
        </w:rPr>
        <w:fldChar w:fldCharType="end"/>
      </w:r>
    </w:p>
    <w:p>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"_Toc5196" </w:instrText>
      </w:r>
      <w:r>
        <w:rPr>
          <w:color w:val="000000" w:themeColor="text1"/>
          <w:highlight w:val="none"/>
        </w:rPr>
        <w:fldChar w:fldCharType="separate"/>
      </w:r>
      <w:r>
        <w:rPr>
          <w:rFonts w:hint="eastAsia" w:ascii="宋体" w:hAnsi="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_Toc5196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"_Toc23412" </w:instrText>
      </w:r>
      <w:r>
        <w:rPr>
          <w:color w:val="000000" w:themeColor="text1"/>
          <w:highlight w:val="none"/>
        </w:rPr>
        <w:fldChar w:fldCharType="separate"/>
      </w:r>
      <w:r>
        <w:rPr>
          <w:rFonts w:hint="eastAsia"/>
          <w:color w:val="000000" w:themeColor="text1"/>
          <w:highlight w:val="none"/>
        </w:rPr>
        <w:t>项目编号：YXCG-20240319</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_Toc23412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"_Toc27104" </w:instrText>
      </w:r>
      <w:r>
        <w:rPr>
          <w:color w:val="000000" w:themeColor="text1"/>
          <w:highlight w:val="none"/>
        </w:rPr>
        <w:fldChar w:fldCharType="separate"/>
      </w:r>
      <w:r>
        <w:rPr>
          <w:rFonts w:hint="eastAsia"/>
          <w:color w:val="000000" w:themeColor="text1"/>
          <w:highlight w:val="none"/>
        </w:rPr>
        <w:t>项目名称：阳西县城市品牌旅游宣传展厅(阳西服务区北区展陈厅)布展服务项目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_Toc27104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"_Toc25637" </w:instrText>
      </w:r>
      <w:r>
        <w:rPr>
          <w:color w:val="000000" w:themeColor="text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_Toc25637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"_Toc20780" </w:instrText>
      </w:r>
      <w:r>
        <w:rPr>
          <w:color w:val="000000" w:themeColor="text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_Toc20780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"_Toc20802" </w:instrText>
      </w:r>
      <w:r>
        <w:rPr>
          <w:color w:val="000000" w:themeColor="text1"/>
          <w:highlight w:val="none"/>
        </w:rPr>
        <w:fldChar w:fldCharType="separate"/>
      </w:r>
      <w:r>
        <w:rPr>
          <w:rFonts w:hint="eastAsia" w:ascii="宋体" w:hAnsi="宋体"/>
          <w:color w:val="000000" w:themeColor="text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_Toc20802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"_Toc11118"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_Toc11118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"_Toc15825" </w:instrText>
      </w:r>
      <w:r>
        <w:rPr>
          <w:color w:val="000000" w:themeColor="text1"/>
          <w:highlight w:val="none"/>
        </w:rPr>
        <w:fldChar w:fldCharType="separate"/>
      </w:r>
      <w:r>
        <w:rPr>
          <w:rFonts w:hint="eastAsia"/>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_Toc15825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"_Toc21352" </w:instrText>
      </w:r>
      <w:r>
        <w:rPr>
          <w:color w:val="000000" w:themeColor="text1"/>
          <w:highlight w:val="none"/>
        </w:rPr>
        <w:fldChar w:fldCharType="separate"/>
      </w:r>
      <w:r>
        <w:rPr>
          <w:rFonts w:hint="eastAsia"/>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_Toc21352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"_Toc24079" </w:instrText>
      </w:r>
      <w:r>
        <w:rPr>
          <w:color w:val="000000" w:themeColor="text1"/>
          <w:highlight w:val="none"/>
        </w:rPr>
        <w:fldChar w:fldCharType="separate"/>
      </w:r>
      <w:r>
        <w:rPr>
          <w:rFonts w:hint="eastAsia"/>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_Toc24079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"_Toc1728" </w:instrText>
      </w:r>
      <w:r>
        <w:rPr>
          <w:color w:val="000000" w:themeColor="text1"/>
          <w:highlight w:val="none"/>
        </w:rPr>
        <w:fldChar w:fldCharType="separate"/>
      </w:r>
      <w:r>
        <w:rPr>
          <w:rFonts w:hint="eastAsia"/>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"_Toc29163" </w:instrText>
      </w:r>
      <w:r>
        <w:rPr>
          <w:color w:val="000000" w:themeColor="text1"/>
          <w:highlight w:val="none"/>
        </w:rPr>
        <w:fldChar w:fldCharType="separate"/>
      </w:r>
      <w:r>
        <w:rPr>
          <w:rFonts w:hint="eastAsia"/>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_Toc29163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"_Toc802" </w:instrText>
      </w:r>
      <w:r>
        <w:rPr>
          <w:color w:val="000000" w:themeColor="text1"/>
          <w:highlight w:val="none"/>
        </w:rPr>
        <w:fldChar w:fldCharType="separate"/>
      </w:r>
      <w:r>
        <w:rPr>
          <w:rFonts w:hint="eastAsia"/>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"_Toc4106" </w:instrText>
      </w:r>
      <w:r>
        <w:rPr>
          <w:color w:val="000000" w:themeColor="text1"/>
          <w:highlight w:val="none"/>
        </w:rPr>
        <w:fldChar w:fldCharType="separate"/>
      </w:r>
      <w:r>
        <w:rPr>
          <w:rFonts w:hint="eastAsia"/>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_Toc4106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"_Toc15771" </w:instrText>
      </w:r>
      <w:r>
        <w:rPr>
          <w:color w:val="000000" w:themeColor="text1"/>
          <w:highlight w:val="none"/>
        </w:rPr>
        <w:fldChar w:fldCharType="separate"/>
      </w:r>
      <w:r>
        <w:rPr>
          <w:rFonts w:hint="eastAsia"/>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_Toc15771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"_Toc13881" </w:instrText>
      </w:r>
      <w:r>
        <w:rPr>
          <w:color w:val="000000" w:themeColor="text1"/>
          <w:highlight w:val="none"/>
        </w:rPr>
        <w:fldChar w:fldCharType="separate"/>
      </w:r>
      <w:r>
        <w:rPr>
          <w:rFonts w:hint="eastAsia"/>
          <w:color w:val="000000" w:themeColor="text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_Toc13881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"_Toc3544" </w:instrText>
      </w:r>
      <w:r>
        <w:rPr>
          <w:color w:val="000000" w:themeColor="text1"/>
          <w:highlight w:val="none"/>
        </w:rPr>
        <w:fldChar w:fldCharType="separate"/>
      </w:r>
      <w:r>
        <w:rPr>
          <w:rFonts w:hint="eastAsia"/>
          <w:color w:val="000000" w:themeColor="text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_Toc3544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"_Toc12867" </w:instrText>
      </w:r>
      <w:r>
        <w:rPr>
          <w:color w:val="000000" w:themeColor="text1"/>
          <w:highlight w:val="none"/>
        </w:rPr>
        <w:fldChar w:fldCharType="separate"/>
      </w:r>
      <w:r>
        <w:rPr>
          <w:rFonts w:hint="eastAsia"/>
          <w:color w:val="000000" w:themeColor="text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_Toc12867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"_Toc13340" </w:instrText>
      </w:r>
      <w:r>
        <w:rPr>
          <w:color w:val="000000" w:themeColor="text1"/>
          <w:highlight w:val="none"/>
        </w:rPr>
        <w:fldChar w:fldCharType="separate"/>
      </w:r>
      <w:r>
        <w:rPr>
          <w:rFonts w:hint="eastAsia"/>
          <w:color w:val="000000" w:themeColor="text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_Toc13340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"_Toc20085" </w:instrText>
      </w:r>
      <w:r>
        <w:rPr>
          <w:color w:val="000000" w:themeColor="text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_Toc20085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"_Toc6190" </w:instrText>
      </w:r>
      <w:r>
        <w:rPr>
          <w:color w:val="000000" w:themeColor="text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_Toc6190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highlight w:val="none"/>
        </w:rPr>
        <w:fldChar w:fldCharType="end"/>
      </w:r>
    </w:p>
    <w:p>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"_Toc18274" </w:instrText>
      </w:r>
      <w:r>
        <w:rPr>
          <w:color w:val="000000" w:themeColor="text1"/>
          <w:highlight w:val="none"/>
        </w:rPr>
        <w:fldChar w:fldCharType="separate"/>
      </w:r>
      <w:r>
        <w:rPr>
          <w:rFonts w:hint="eastAsia" w:ascii="宋体" w:hAnsi="宋体"/>
          <w:color w:val="000000" w:themeColor="text1"/>
          <w:highlight w:val="none"/>
        </w:rPr>
        <w:t>第五部分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_Toc18274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color w:val="000000" w:themeColor="text1"/>
          <w:highlight w:val="none"/>
        </w:rPr>
        <w:fldChar w:fldCharType="end"/>
      </w:r>
    </w:p>
    <w:p>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"_Toc20635" </w:instrText>
      </w:r>
      <w:r>
        <w:rPr>
          <w:color w:val="000000" w:themeColor="text1"/>
          <w:highlight w:val="none"/>
        </w:rPr>
        <w:fldChar w:fldCharType="separate"/>
      </w:r>
      <w:r>
        <w:rPr>
          <w:rFonts w:hint="eastAsia" w:ascii="宋体" w:hAnsi="宋体"/>
          <w:color w:val="000000" w:themeColor="text1"/>
          <w:highlight w:val="none"/>
        </w:rPr>
        <w:t xml:space="preserve">第六部分 </w:t>
      </w:r>
      <w:r>
        <w:rPr>
          <w:rFonts w:ascii="宋体" w:hAnsi="宋体"/>
          <w:color w:val="000000" w:themeColor="text1"/>
          <w:highlight w:val="none"/>
        </w:rPr>
        <w:t xml:space="preserve"> </w:t>
      </w:r>
      <w:r>
        <w:rPr>
          <w:rFonts w:hint="eastAsia" w:ascii="宋体" w:hAnsi="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_Toc20635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"_Toc31905"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_Toc31905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"_Toc15598" </w:instrText>
      </w:r>
      <w:r>
        <w:rPr>
          <w:color w:val="000000" w:themeColor="text1"/>
          <w:highlight w:val="none"/>
        </w:rPr>
        <w:fldChar w:fldCharType="separate"/>
      </w:r>
      <w:r>
        <w:rPr>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_Toc15598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"_Toc7321" </w:instrText>
      </w:r>
      <w:r>
        <w:rPr>
          <w:color w:val="000000" w:themeColor="text1"/>
          <w:highlight w:val="none"/>
        </w:rPr>
        <w:fldChar w:fldCharType="separate"/>
      </w:r>
      <w:r>
        <w:rPr>
          <w:rFonts w:hint="eastAsia"/>
          <w:color w:val="000000" w:themeColor="text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_Toc7321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"_Toc4820" </w:instrText>
      </w:r>
      <w:r>
        <w:rPr>
          <w:color w:val="000000" w:themeColor="text1"/>
          <w:highlight w:val="none"/>
        </w:rPr>
        <w:fldChar w:fldCharType="separate"/>
      </w:r>
      <w:r>
        <w:rPr>
          <w:rFonts w:hint="eastAsia"/>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_Toc4820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"_Toc19355" </w:instrText>
      </w:r>
      <w:r>
        <w:rPr>
          <w:color w:val="000000" w:themeColor="text1"/>
          <w:highlight w:val="none"/>
        </w:rPr>
        <w:fldChar w:fldCharType="separate"/>
      </w:r>
      <w:r>
        <w:rPr>
          <w:rFonts w:hint="eastAsia"/>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_Toc19355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"_Toc32077" </w:instrText>
      </w:r>
      <w:r>
        <w:rPr>
          <w:color w:val="000000" w:themeColor="text1"/>
          <w:highlight w:val="none"/>
        </w:rPr>
        <w:fldChar w:fldCharType="separate"/>
      </w:r>
      <w:r>
        <w:rPr>
          <w:rFonts w:hint="eastAsia"/>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_Toc32077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"_Toc2263" </w:instrText>
      </w:r>
      <w:r>
        <w:rPr>
          <w:color w:val="000000" w:themeColor="text1"/>
          <w:highlight w:val="none"/>
        </w:rPr>
        <w:fldChar w:fldCharType="separate"/>
      </w:r>
      <w:r>
        <w:rPr>
          <w:rFonts w:hint="eastAsia"/>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"_Toc9801" </w:instrText>
      </w:r>
      <w:r>
        <w:rPr>
          <w:color w:val="000000" w:themeColor="text1"/>
          <w:highlight w:val="none"/>
        </w:rPr>
        <w:fldChar w:fldCharType="separate"/>
      </w:r>
      <w:r>
        <w:rPr>
          <w:rFonts w:hint="eastAsia"/>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_Toc9801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"_Toc26609" </w:instrText>
      </w:r>
      <w:r>
        <w:rPr>
          <w:color w:val="000000" w:themeColor="text1"/>
          <w:highlight w:val="none"/>
        </w:rPr>
        <w:fldChar w:fldCharType="separate"/>
      </w:r>
      <w:r>
        <w:rPr>
          <w:rFonts w:hint="eastAsia"/>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_Toc26609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"_Toc1648" </w:instrText>
      </w:r>
      <w:r>
        <w:rPr>
          <w:color w:val="000000" w:themeColor="text1"/>
          <w:highlight w:val="none"/>
        </w:rPr>
        <w:fldChar w:fldCharType="separate"/>
      </w:r>
      <w:r>
        <w:rPr>
          <w:rFonts w:hint="eastAsia"/>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"_Toc11327" </w:instrText>
      </w:r>
      <w:r>
        <w:rPr>
          <w:color w:val="000000" w:themeColor="text1"/>
          <w:highlight w:val="none"/>
        </w:rPr>
        <w:fldChar w:fldCharType="separate"/>
      </w:r>
      <w:r>
        <w:rPr>
          <w:rFonts w:hint="eastAsia"/>
          <w:color w:val="000000" w:themeColor="text1"/>
          <w:szCs w:val="28"/>
          <w:highlight w:val="none"/>
        </w:rPr>
        <w:t>附件三：商务条款偏离一览表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_Toc11327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"_Toc29666" </w:instrText>
      </w:r>
      <w:r>
        <w:rPr>
          <w:color w:val="000000" w:themeColor="text1"/>
          <w:highlight w:val="none"/>
        </w:rPr>
        <w:fldChar w:fldCharType="separate"/>
      </w:r>
      <w:r>
        <w:rPr>
          <w:rFonts w:hint="eastAsia"/>
          <w:color w:val="000000" w:themeColor="text1"/>
          <w:szCs w:val="28"/>
          <w:highlight w:val="none"/>
        </w:rPr>
        <w:t>附件四：技术条款偏离一览表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_Toc29666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"_Toc31478" </w:instrText>
      </w:r>
      <w:r>
        <w:rPr>
          <w:color w:val="000000" w:themeColor="text1"/>
          <w:highlight w:val="none"/>
        </w:rPr>
        <w:fldChar w:fldCharType="separate"/>
      </w:r>
      <w:r>
        <w:rPr>
          <w:rFonts w:hint="eastAsia"/>
          <w:color w:val="000000" w:themeColor="text1"/>
          <w:szCs w:val="28"/>
          <w:highlight w:val="none"/>
        </w:rPr>
        <w:t>附件五：同类业绩一览表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_Toc31478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"_Toc28718" </w:instrText>
      </w:r>
      <w:r>
        <w:rPr>
          <w:color w:val="000000" w:themeColor="text1"/>
          <w:highlight w:val="none"/>
        </w:rPr>
        <w:fldChar w:fldCharType="separate"/>
      </w:r>
      <w:r>
        <w:rPr>
          <w:rFonts w:hint="eastAsia"/>
          <w:color w:val="000000" w:themeColor="text1"/>
          <w:szCs w:val="28"/>
          <w:highlight w:val="none"/>
        </w:rPr>
        <w:t>附件六：</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_Toc28718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"_Toc17368" </w:instrText>
      </w:r>
      <w:r>
        <w:rPr>
          <w:color w:val="000000" w:themeColor="text1"/>
          <w:highlight w:val="none"/>
        </w:rPr>
        <w:fldChar w:fldCharType="separate"/>
      </w:r>
      <w:r>
        <w:rPr>
          <w:rFonts w:hint="eastAsia"/>
          <w:color w:val="000000" w:themeColor="text1"/>
          <w:szCs w:val="28"/>
          <w:highlight w:val="none"/>
        </w:rPr>
        <w:t>附件七：</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_Toc17368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"_Toc30423" </w:instrText>
      </w:r>
      <w:r>
        <w:rPr>
          <w:color w:val="000000" w:themeColor="text1"/>
          <w:highlight w:val="none"/>
        </w:rPr>
        <w:fldChar w:fldCharType="separate"/>
      </w:r>
      <w:r>
        <w:rPr>
          <w:rFonts w:hint="eastAsia"/>
          <w:color w:val="000000" w:themeColor="text1"/>
          <w:szCs w:val="28"/>
          <w:highlight w:val="none"/>
        </w:rPr>
        <w:t>附件八：成交服务费承诺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_Toc30423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"_Toc15382" </w:instrText>
      </w:r>
      <w:r>
        <w:rPr>
          <w:color w:val="000000" w:themeColor="text1"/>
          <w:highlight w:val="none"/>
        </w:rPr>
        <w:fldChar w:fldCharType="separate"/>
      </w:r>
      <w:r>
        <w:rPr>
          <w:rFonts w:hint="eastAsia"/>
          <w:color w:val="000000" w:themeColor="text1"/>
          <w:szCs w:val="28"/>
          <w:highlight w:val="none"/>
        </w:rPr>
        <w:t>附件九：磋商供应商提交的其他资料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_Toc15382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"_Toc22808"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_Toc22808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pPr>
        <w:pStyle w:val="2"/>
        <w:numPr>
          <w:ilvl w:val="0"/>
          <w:numId w:val="0"/>
        </w:numPr>
        <w:spacing w:beforeLines="0"/>
        <w:rPr>
          <w:rFonts w:ascii="宋体" w:hAnsi="宋体" w:eastAsia="宋体"/>
          <w:b/>
          <w:color w:val="000000" w:themeColor="text1"/>
          <w:highlight w:val="none"/>
        </w:rPr>
      </w:pPr>
      <w:bookmarkStart w:id="1" w:name="_Toc333935619"/>
      <w:bookmarkStart w:id="2" w:name="_Toc342060322"/>
      <w:bookmarkStart w:id="3" w:name="_Toc332206657"/>
      <w:bookmarkStart w:id="4" w:name="_Toc365985108"/>
      <w:bookmarkStart w:id="5" w:name="_Toc366072457"/>
      <w:bookmarkStart w:id="6" w:name="_Toc345513762"/>
      <w:bookmarkStart w:id="7" w:name="_Toc333935278"/>
      <w:bookmarkStart w:id="8" w:name="_Toc350756403"/>
      <w:bookmarkStart w:id="9" w:name="_Toc333237612"/>
      <w:bookmarkStart w:id="10" w:name="_Toc349127583"/>
      <w:bookmarkStart w:id="11" w:name="_Toc333237723"/>
      <w:bookmarkStart w:id="12" w:name="_Toc339020186"/>
      <w:bookmarkStart w:id="13" w:name="_Toc339362257"/>
      <w:bookmarkStart w:id="14" w:name="_Toc331683994"/>
      <w:bookmarkStart w:id="15" w:name="_Toc332270305"/>
      <w:bookmarkStart w:id="16" w:name="_Toc342296708"/>
      <w:bookmarkStart w:id="17" w:name="_Toc365967002"/>
      <w:bookmarkStart w:id="18" w:name="_Toc339019828"/>
      <w:bookmarkStart w:id="19" w:name="_Toc340507403"/>
      <w:bookmarkStart w:id="20" w:name="_Toc331512856"/>
      <w:bookmarkStart w:id="21" w:name="_Toc336681892"/>
      <w:bookmarkStart w:id="22" w:name="_Toc340677031"/>
      <w:bookmarkStart w:id="23" w:name="_Toc13059"/>
      <w:bookmarkStart w:id="24" w:name="_Toc337632315"/>
      <w:bookmarkStart w:id="25" w:name="_Toc340672830"/>
      <w:bookmarkStart w:id="26" w:name="_Toc339020048"/>
      <w:bookmarkStart w:id="27" w:name="_Toc333238571"/>
      <w:bookmarkStart w:id="28" w:name="_Toc330459945"/>
      <w:bookmarkStart w:id="29" w:name="_Toc339019954"/>
      <w:bookmarkStart w:id="30" w:name="_Toc339441044"/>
      <w:bookmarkStart w:id="31" w:name="_Toc350438702"/>
      <w:bookmarkStart w:id="32" w:name="_Toc349143546"/>
      <w:bookmarkStart w:id="33" w:name="_Toc341348291"/>
      <w:bookmarkStart w:id="34" w:name="_Toc336681537"/>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广东业信采购招标有限公司（以下简称“代理采购机构”）受阳西县融媒体中心 （阳西县广播电视台）（以下简称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）的委托，就阳西县城市品牌旅游宣传展厅(阳西服务区北区展陈厅)布展服务项目进行竞争性磋商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rPr>
        <w:t>YXCG-20240319)，欢迎符合条件的投标人参加。有关事项如下：</w:t>
      </w:r>
    </w:p>
    <w:p>
      <w:pPr>
        <w:widowControl/>
        <w:tabs>
          <w:tab w:val="left" w:pos="502"/>
        </w:tabs>
        <w:adjustRightInd w:val="0"/>
        <w:snapToGrid w:val="0"/>
        <w:spacing w:line="400" w:lineRule="exact"/>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pPr>
        <w:widowControl/>
        <w:tabs>
          <w:tab w:val="left" w:pos="735"/>
        </w:tabs>
        <w:adjustRightInd w:val="0"/>
        <w:snapToGrid w:val="0"/>
        <w:spacing w:line="400" w:lineRule="exact"/>
        <w:ind w:firstLine="210" w:firstLineChars="100"/>
        <w:rPr>
          <w:rFonts w:ascii="宋体" w:hAnsi="宋体"/>
          <w:bCs/>
          <w:color w:val="000000" w:themeColor="text1"/>
          <w:highlight w:val="none"/>
        </w:rPr>
      </w:pPr>
      <w:r>
        <w:rPr>
          <w:rFonts w:hint="eastAsia" w:ascii="宋体" w:hAnsi="宋体"/>
          <w:bCs/>
          <w:color w:val="000000" w:themeColor="text1"/>
          <w:highlight w:val="none"/>
        </w:rPr>
        <w:t>1.项目名称：阳西县城市品牌旅游宣传展厅(阳西服务区北区展陈厅)布展服务项目</w:t>
      </w:r>
    </w:p>
    <w:p>
      <w:pPr>
        <w:widowControl/>
        <w:tabs>
          <w:tab w:val="left" w:pos="735"/>
        </w:tabs>
        <w:adjustRightInd w:val="0"/>
        <w:snapToGrid w:val="0"/>
        <w:spacing w:line="400" w:lineRule="exact"/>
        <w:ind w:firstLine="210" w:firstLineChars="100"/>
        <w:rPr>
          <w:rFonts w:ascii="宋体" w:hAnsi="宋体"/>
          <w:bCs/>
          <w:color w:val="000000" w:themeColor="text1"/>
          <w:highlight w:val="none"/>
        </w:rPr>
      </w:pPr>
      <w:r>
        <w:rPr>
          <w:rFonts w:hint="eastAsia" w:ascii="宋体" w:hAnsi="宋体"/>
          <w:bCs/>
          <w:color w:val="000000" w:themeColor="text1"/>
          <w:highlight w:val="none"/>
        </w:rPr>
        <w:t>2.项目编号: YXCG-20240319</w:t>
      </w:r>
    </w:p>
    <w:p>
      <w:pPr>
        <w:widowControl/>
        <w:tabs>
          <w:tab w:val="left" w:pos="735"/>
        </w:tabs>
        <w:adjustRightInd w:val="0"/>
        <w:snapToGrid w:val="0"/>
        <w:spacing w:line="400" w:lineRule="exact"/>
        <w:ind w:firstLine="210" w:firstLineChars="100"/>
        <w:rPr>
          <w:rFonts w:ascii="宋体" w:hAnsi="宋体"/>
          <w:bCs/>
          <w:color w:val="000000" w:themeColor="text1"/>
          <w:highlight w:val="none"/>
        </w:rPr>
      </w:pPr>
      <w:r>
        <w:rPr>
          <w:rFonts w:hint="eastAsia" w:ascii="宋体" w:hAnsi="宋体"/>
          <w:bCs/>
          <w:color w:val="000000" w:themeColor="text1"/>
          <w:highlight w:val="none"/>
        </w:rPr>
        <w:t>3.投标报价上限：人民币655680.00元。（超过该投标报价作无效投标处理）</w:t>
      </w:r>
    </w:p>
    <w:p>
      <w:pPr>
        <w:widowControl/>
        <w:tabs>
          <w:tab w:val="left" w:pos="735"/>
        </w:tabs>
        <w:adjustRightInd w:val="0"/>
        <w:snapToGrid w:val="0"/>
        <w:spacing w:line="400" w:lineRule="exact"/>
        <w:ind w:firstLine="210" w:firstLineChars="100"/>
        <w:rPr>
          <w:rFonts w:ascii="宋体" w:hAnsi="宋体"/>
          <w:bCs/>
          <w:color w:val="000000" w:themeColor="text1"/>
          <w:highlight w:val="none"/>
        </w:rPr>
      </w:pPr>
      <w:r>
        <w:rPr>
          <w:rFonts w:hint="eastAsia" w:ascii="宋体" w:hAnsi="宋体"/>
          <w:bCs/>
          <w:color w:val="000000" w:themeColor="text1"/>
          <w:highlight w:val="none"/>
        </w:rPr>
        <w:t>4.数  量：一项</w:t>
      </w:r>
    </w:p>
    <w:p>
      <w:pPr>
        <w:widowControl/>
        <w:tabs>
          <w:tab w:val="left" w:pos="735"/>
        </w:tabs>
        <w:adjustRightInd w:val="0"/>
        <w:snapToGrid w:val="0"/>
        <w:spacing w:line="400" w:lineRule="exact"/>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完工期：</w:t>
      </w:r>
      <w:r>
        <w:rPr>
          <w:rFonts w:hint="eastAsia" w:ascii="宋体" w:hAnsi="宋体" w:cs="宋体"/>
          <w:color w:val="000000" w:themeColor="text1"/>
          <w:szCs w:val="21"/>
          <w:highlight w:val="none"/>
        </w:rPr>
        <w:t>合同签订生效后</w:t>
      </w:r>
      <w:r>
        <w:rPr>
          <w:rFonts w:hint="eastAsia" w:ascii="宋体" w:hAnsi="宋体" w:cs="宋体"/>
          <w:color w:val="000000" w:themeColor="text1"/>
          <w:szCs w:val="21"/>
          <w:highlight w:val="none"/>
          <w:lang w:val="en-US" w:eastAsia="zh-CN"/>
        </w:rPr>
        <w:t>45</w:t>
      </w:r>
      <w:r>
        <w:rPr>
          <w:rFonts w:hint="eastAsia" w:ascii="宋体" w:hAnsi="宋体" w:cs="宋体"/>
          <w:color w:val="000000" w:themeColor="text1"/>
          <w:szCs w:val="21"/>
          <w:highlight w:val="none"/>
        </w:rPr>
        <w:t>个日历日内完成</w:t>
      </w:r>
      <w:r>
        <w:rPr>
          <w:rFonts w:hint="eastAsia" w:ascii="宋体" w:hAnsi="宋体"/>
          <w:bCs/>
          <w:color w:val="000000" w:themeColor="text1"/>
          <w:szCs w:val="21"/>
          <w:highlight w:val="none"/>
        </w:rPr>
        <w:t>。</w:t>
      </w:r>
      <w:r>
        <w:rPr>
          <w:rFonts w:hint="eastAsia" w:ascii="宋体" w:hAnsi="宋体" w:cs="宋体"/>
          <w:color w:val="000000" w:themeColor="text1"/>
          <w:highlight w:val="none"/>
        </w:rPr>
        <w:t>（</w:t>
      </w:r>
      <w:r>
        <w:rPr>
          <w:rFonts w:hint="eastAsia" w:ascii="宋体" w:hAnsi="宋体" w:cs="宋体"/>
          <w:color w:val="000000" w:themeColor="text1"/>
          <w:szCs w:val="21"/>
          <w:highlight w:val="none"/>
        </w:rPr>
        <w:t>超出该完工期将作为无效投标处理）</w:t>
      </w:r>
    </w:p>
    <w:p>
      <w:pPr>
        <w:widowControl/>
        <w:tabs>
          <w:tab w:val="left" w:pos="315"/>
          <w:tab w:val="left" w:pos="735"/>
        </w:tabs>
        <w:adjustRightInd w:val="0"/>
        <w:snapToGrid w:val="0"/>
        <w:spacing w:line="400" w:lineRule="exact"/>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6.项目采购方式：竞争性磋商</w:t>
      </w:r>
    </w:p>
    <w:p>
      <w:pPr>
        <w:widowControl/>
        <w:tabs>
          <w:tab w:val="left" w:pos="502"/>
        </w:tabs>
        <w:adjustRightInd w:val="0"/>
        <w:snapToGrid w:val="0"/>
        <w:spacing w:line="400" w:lineRule="exac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spacing w:line="400" w:lineRule="exact"/>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spacing w:line="400" w:lineRule="exact"/>
        <w:ind w:left="420" w:leftChars="200"/>
        <w:rPr>
          <w:rFonts w:ascii="宋体" w:hAnsi="宋体"/>
          <w:color w:val="000000" w:themeColor="text1"/>
          <w:szCs w:val="2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6）法律、行政法规规定的其他条件。</w:t>
      </w:r>
    </w:p>
    <w:p>
      <w:pPr>
        <w:widowControl/>
        <w:tabs>
          <w:tab w:val="left" w:pos="735"/>
        </w:tabs>
        <w:adjustRightInd w:val="0"/>
        <w:snapToGrid w:val="0"/>
        <w:spacing w:line="400" w:lineRule="exact"/>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s="宋体"/>
          <w:color w:val="000000" w:themeColor="text1"/>
          <w:highlight w:val="none"/>
        </w:rPr>
        <w:t>单位负责人为同一人或者存在直接控股、管理关系的不同供应商，不得参加同一合同项下的政府采购活动</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（提供《磋商邀请函》承诺）</w:t>
      </w:r>
    </w:p>
    <w:p>
      <w:pPr>
        <w:spacing w:line="400" w:lineRule="exact"/>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w:t>
      </w:r>
      <w:r>
        <w:rPr>
          <w:rFonts w:hint="eastAsia" w:ascii="宋体" w:hAnsi="宋体" w:cs="宋体"/>
          <w:color w:val="000000" w:themeColor="text1"/>
          <w:highlight w:val="none"/>
        </w:rPr>
        <w:t>为采购项目提供整体设计、规范编制或者项目管理、监理、检测等服务的供应商，不得再参加该采购该包组的其他采购活动</w:t>
      </w:r>
      <w:r>
        <w:rPr>
          <w:rFonts w:hint="eastAsia" w:ascii="宋体" w:hAnsi="宋体" w:cs="宋体"/>
          <w:color w:val="000000" w:themeColor="text1"/>
          <w:szCs w:val="21"/>
          <w:highlight w:val="none"/>
        </w:rPr>
        <w:t>。</w:t>
      </w:r>
      <w:r>
        <w:rPr>
          <w:rFonts w:hint="eastAsia" w:ascii="宋体" w:hAnsi="宋体" w:cs="宋体"/>
          <w:color w:val="000000" w:themeColor="text1"/>
          <w:highlight w:val="none"/>
        </w:rPr>
        <w:t>（提供《磋商邀请函》承诺）</w:t>
      </w:r>
    </w:p>
    <w:p>
      <w:pPr>
        <w:spacing w:line="400" w:lineRule="exact"/>
        <w:ind w:firstLine="210" w:firstLineChars="100"/>
        <w:rPr>
          <w:rFonts w:ascii="宋体" w:hAnsi="宋体"/>
          <w:color w:val="000000" w:themeColor="text1"/>
          <w:szCs w:val="21"/>
          <w:highlight w:val="none"/>
        </w:rPr>
      </w:pPr>
      <w:r>
        <w:rPr>
          <w:rFonts w:hint="eastAsia" w:ascii="宋体" w:hAnsi="宋体" w:cs="宋体"/>
          <w:color w:val="000000" w:themeColor="text1"/>
          <w:highlight w:val="none"/>
        </w:rPr>
        <w:t>4.本项目不接受联合体投标。</w:t>
      </w:r>
    </w:p>
    <w:p>
      <w:pPr>
        <w:spacing w:line="400" w:lineRule="exact"/>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pPr>
        <w:widowControl/>
        <w:tabs>
          <w:tab w:val="left" w:pos="502"/>
        </w:tabs>
        <w:adjustRightInd w:val="0"/>
        <w:snapToGrid w:val="0"/>
        <w:spacing w:line="400" w:lineRule="exact"/>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pPr>
        <w:widowControl/>
        <w:spacing w:line="400" w:lineRule="exact"/>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2024年3月26日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2024年4月2日</w:t>
      </w:r>
      <w:r>
        <w:rPr>
          <w:rFonts w:hint="eastAsia" w:ascii="宋体" w:hAnsi="宋体"/>
          <w:bCs/>
          <w:color w:val="000000" w:themeColor="text1"/>
          <w:highlight w:val="none"/>
        </w:rPr>
        <w:t>。</w:t>
      </w:r>
    </w:p>
    <w:p>
      <w:pPr>
        <w:widowControl/>
        <w:adjustRightInd w:val="0"/>
        <w:snapToGrid w:val="0"/>
        <w:spacing w:line="400" w:lineRule="exact"/>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502"/>
        </w:tabs>
        <w:adjustRightInd w:val="0"/>
        <w:snapToGrid w:val="0"/>
        <w:spacing w:line="400" w:lineRule="exact"/>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pPr>
        <w:widowControl/>
        <w:tabs>
          <w:tab w:val="left" w:pos="735"/>
        </w:tabs>
        <w:adjustRightInd w:val="0"/>
        <w:snapToGrid w:val="0"/>
        <w:spacing w:line="400" w:lineRule="exact"/>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2024年3月26日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2024年4月2日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pPr>
        <w:widowControl/>
        <w:tabs>
          <w:tab w:val="left" w:pos="735"/>
        </w:tabs>
        <w:adjustRightInd w:val="0"/>
        <w:snapToGrid w:val="0"/>
        <w:spacing w:line="400" w:lineRule="exact"/>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pPr>
        <w:widowControl/>
        <w:tabs>
          <w:tab w:val="left" w:pos="735"/>
        </w:tabs>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pPr>
        <w:widowControl/>
        <w:tabs>
          <w:tab w:val="left" w:pos="735"/>
        </w:tabs>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pPr>
        <w:widowControl/>
        <w:tabs>
          <w:tab w:val="left" w:pos="735"/>
        </w:tabs>
        <w:adjustRightInd w:val="0"/>
        <w:snapToGrid w:val="0"/>
        <w:spacing w:line="400" w:lineRule="exact"/>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pPr>
        <w:widowControl/>
        <w:tabs>
          <w:tab w:val="left" w:pos="735"/>
        </w:tabs>
        <w:adjustRightInd w:val="0"/>
        <w:snapToGrid w:val="0"/>
        <w:spacing w:line="400" w:lineRule="exact"/>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400" w:lineRule="exact"/>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400" w:lineRule="exact"/>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投标截止时间、开标时间及地点</w:t>
      </w:r>
    </w:p>
    <w:p>
      <w:pPr>
        <w:widowControl/>
        <w:tabs>
          <w:tab w:val="left" w:pos="735"/>
        </w:tabs>
        <w:adjustRightInd w:val="0"/>
        <w:snapToGrid w:val="0"/>
        <w:spacing w:line="400" w:lineRule="exact"/>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2024年4月8日</w:t>
      </w:r>
      <w:r>
        <w:rPr>
          <w:rFonts w:hint="eastAsia" w:ascii="宋体" w:hAnsi="宋体"/>
          <w:color w:val="000000" w:themeColor="text1"/>
          <w:highlight w:val="none"/>
        </w:rPr>
        <w:t xml:space="preserve"> 09:30-10:00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400" w:lineRule="exact"/>
        <w:rPr>
          <w:rFonts w:ascii="宋体" w:hAnsi="宋体"/>
          <w:bCs/>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rPr>
        <w:t>2024年4月8日</w:t>
      </w:r>
      <w:r>
        <w:rPr>
          <w:rFonts w:hint="eastAsia" w:ascii="宋体" w:hAnsi="宋体"/>
          <w:color w:val="000000" w:themeColor="text1"/>
          <w:highlight w:val="none"/>
        </w:rPr>
        <w:t>10:00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400" w:lineRule="exact"/>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3.递交磋商响应文件地点、开标地点：阳江市江城区猫山四街33号A座2楼201开标室。</w:t>
      </w:r>
    </w:p>
    <w:p>
      <w:pPr>
        <w:widowControl/>
        <w:tabs>
          <w:tab w:val="left" w:pos="735"/>
        </w:tabs>
        <w:adjustRightInd w:val="0"/>
        <w:snapToGrid w:val="0"/>
        <w:spacing w:line="400" w:lineRule="exact"/>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pPr>
        <w:widowControl/>
        <w:tabs>
          <w:tab w:val="left" w:pos="630"/>
        </w:tabs>
        <w:adjustRightInd w:val="0"/>
        <w:snapToGrid w:val="0"/>
        <w:spacing w:line="400" w:lineRule="exact"/>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400" w:lineRule="exact"/>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名    称：阳西县融媒体中心（阳西县广播电视台）</w:t>
      </w:r>
    </w:p>
    <w:p>
      <w:pPr>
        <w:tabs>
          <w:tab w:val="left" w:pos="735"/>
          <w:tab w:val="left" w:pos="4680"/>
        </w:tabs>
        <w:adjustRightInd w:val="0"/>
        <w:snapToGrid w:val="0"/>
        <w:spacing w:line="400" w:lineRule="exact"/>
        <w:ind w:firstLine="420" w:firstLineChars="200"/>
        <w:rPr>
          <w:rFonts w:ascii="宋体" w:hAnsi="宋体" w:cs="宋体"/>
          <w:color w:val="000000" w:themeColor="text1"/>
          <w:kern w:val="28"/>
          <w:szCs w:val="21"/>
          <w:highlight w:val="none"/>
        </w:rPr>
      </w:pPr>
      <w:r>
        <w:rPr>
          <w:rFonts w:hint="eastAsia" w:ascii="宋体" w:hAnsi="宋体" w:cs="宋体"/>
          <w:color w:val="000000" w:themeColor="text1"/>
          <w:kern w:val="28"/>
          <w:szCs w:val="21"/>
          <w:highlight w:val="none"/>
        </w:rPr>
        <w:t>地    址：阳江市阳西县人民大道67号之二</w:t>
      </w:r>
    </w:p>
    <w:p>
      <w:pPr>
        <w:tabs>
          <w:tab w:val="left" w:pos="735"/>
          <w:tab w:val="left" w:pos="4680"/>
        </w:tabs>
        <w:adjustRightInd w:val="0"/>
        <w:snapToGrid w:val="0"/>
        <w:spacing w:line="400" w:lineRule="exact"/>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w:t>
      </w:r>
      <w:r>
        <w:rPr>
          <w:rFonts w:hint="eastAsia" w:ascii="宋体" w:hAnsi="宋体" w:cs="宋体"/>
          <w:color w:val="000000" w:themeColor="text1"/>
          <w:kern w:val="28"/>
          <w:szCs w:val="21"/>
          <w:highlight w:val="none"/>
        </w:rPr>
        <w:t>关小笛</w:t>
      </w:r>
    </w:p>
    <w:p>
      <w:pPr>
        <w:tabs>
          <w:tab w:val="left" w:pos="735"/>
          <w:tab w:val="left" w:pos="4680"/>
        </w:tabs>
        <w:adjustRightInd w:val="0"/>
        <w:snapToGrid w:val="0"/>
        <w:spacing w:line="400" w:lineRule="exact"/>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w:t>
      </w:r>
      <w:r>
        <w:rPr>
          <w:rFonts w:hint="eastAsia" w:ascii="宋体" w:hAnsi="宋体" w:cs="宋体"/>
          <w:color w:val="000000" w:themeColor="text1"/>
          <w:kern w:val="28"/>
          <w:szCs w:val="21"/>
          <w:highlight w:val="none"/>
        </w:rPr>
        <w:t>0662-5553317</w:t>
      </w:r>
    </w:p>
    <w:p>
      <w:pPr>
        <w:tabs>
          <w:tab w:val="left" w:pos="735"/>
          <w:tab w:val="left" w:pos="4680"/>
        </w:tabs>
        <w:adjustRightInd w:val="0"/>
        <w:snapToGrid w:val="0"/>
        <w:spacing w:line="400" w:lineRule="exact"/>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400" w:lineRule="exact"/>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400" w:lineRule="exact"/>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400" w:lineRule="exact"/>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400" w:lineRule="exact"/>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400" w:lineRule="exact"/>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400" w:lineRule="exact"/>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tabs>
          <w:tab w:val="left" w:pos="4769"/>
        </w:tabs>
        <w:adjustRightInd w:val="0"/>
        <w:snapToGrid w:val="0"/>
        <w:spacing w:line="400" w:lineRule="exact"/>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pPr>
        <w:widowControl/>
        <w:tabs>
          <w:tab w:val="left" w:pos="4769"/>
        </w:tabs>
        <w:adjustRightInd w:val="0"/>
        <w:snapToGrid w:val="0"/>
        <w:spacing w:line="400" w:lineRule="exact"/>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pPr>
        <w:widowControl/>
        <w:tabs>
          <w:tab w:val="left" w:pos="4769"/>
        </w:tabs>
        <w:adjustRightInd w:val="0"/>
        <w:snapToGrid w:val="0"/>
        <w:spacing w:line="400" w:lineRule="exact"/>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2270306"/>
      <w:bookmarkStart w:id="38" w:name="_Toc350438703"/>
      <w:bookmarkStart w:id="39" w:name="_Toc332206658"/>
      <w:bookmarkStart w:id="40" w:name="_Toc345513763"/>
      <w:bookmarkStart w:id="41" w:name="_Toc350756404"/>
      <w:bookmarkStart w:id="42" w:name="_Toc330459946"/>
      <w:bookmarkStart w:id="43" w:name="_Toc336681893"/>
      <w:bookmarkStart w:id="44" w:name="_Toc342060323"/>
      <w:bookmarkStart w:id="45" w:name="_Toc333935620"/>
      <w:bookmarkStart w:id="46" w:name="_Toc333237724"/>
      <w:bookmarkStart w:id="47" w:name="_Toc366072458"/>
      <w:bookmarkStart w:id="48" w:name="_Toc336681538"/>
      <w:bookmarkStart w:id="49" w:name="_Toc340677032"/>
      <w:bookmarkStart w:id="50" w:name="_Toc333238572"/>
      <w:bookmarkStart w:id="51" w:name="_Toc331512857"/>
      <w:bookmarkStart w:id="52" w:name="_Toc365985109"/>
      <w:bookmarkStart w:id="53" w:name="_Toc349143547"/>
      <w:bookmarkStart w:id="54" w:name="_Toc349127584"/>
      <w:bookmarkStart w:id="55" w:name="_Toc339019955"/>
      <w:bookmarkStart w:id="56" w:name="_Toc339020049"/>
      <w:bookmarkStart w:id="57" w:name="_Toc340672831"/>
      <w:bookmarkStart w:id="58" w:name="_Toc339020187"/>
      <w:bookmarkStart w:id="59" w:name="_Toc339019829"/>
      <w:bookmarkStart w:id="60" w:name="_Toc331683995"/>
      <w:bookmarkStart w:id="61" w:name="_Toc341348292"/>
      <w:bookmarkStart w:id="62" w:name="_Toc333935279"/>
      <w:bookmarkStart w:id="63" w:name="_Toc340507404"/>
      <w:bookmarkStart w:id="64" w:name="_Toc365967003"/>
      <w:bookmarkStart w:id="65" w:name="_Toc342296709"/>
      <w:bookmarkStart w:id="66" w:name="_Toc337632316"/>
      <w:bookmarkStart w:id="67" w:name="_Toc339362258"/>
      <w:bookmarkStart w:id="68" w:name="_Toc339441045"/>
      <w:bookmarkStart w:id="69" w:name="_Toc333237613"/>
      <w:r>
        <w:rPr>
          <w:rFonts w:hint="eastAsia" w:ascii="宋体" w:hAnsi="宋体" w:eastAsia="宋体" w:cs="Times New Roman"/>
          <w:bCs/>
          <w:color w:val="000000" w:themeColor="text1"/>
          <w:kern w:val="2"/>
          <w:sz w:val="21"/>
          <w:szCs w:val="24"/>
          <w:highlight w:val="none"/>
          <w:lang w:val="en-US" w:eastAsia="zh-CN" w:bidi="ar-SA"/>
        </w:rPr>
        <w:t>2024年3月26日</w:t>
      </w:r>
    </w:p>
    <w:p>
      <w:pPr>
        <w:rPr>
          <w:rFonts w:ascii="宋体" w:hAnsi="宋体"/>
          <w:b/>
          <w:color w:val="000000" w:themeColor="text1"/>
          <w:highlight w:val="none"/>
        </w:rPr>
      </w:pPr>
    </w:p>
    <w:p>
      <w:pPr>
        <w:pStyle w:val="2"/>
        <w:numPr>
          <w:ilvl w:val="0"/>
          <w:numId w:val="0"/>
        </w:numPr>
        <w:spacing w:beforeLines="0" w:after="120" w:afterLines="50" w:line="390" w:lineRule="exact"/>
        <w:ind w:left="105" w:leftChars="50" w:firstLine="482" w:firstLineChars="200"/>
        <w:rPr>
          <w:rFonts w:ascii="宋体" w:hAnsi="宋体" w:eastAsia="宋体"/>
          <w:b/>
          <w:color w:val="000000" w:themeColor="text1"/>
          <w:highlight w:val="none"/>
        </w:rPr>
      </w:pPr>
      <w:bookmarkStart w:id="70" w:name="_Toc5196"/>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3237614"/>
      <w:bookmarkStart w:id="75" w:name="_Toc333237725"/>
      <w:bookmarkStart w:id="76" w:name="_Toc330459949"/>
      <w:bookmarkStart w:id="77" w:name="_Toc333935621"/>
      <w:bookmarkStart w:id="78" w:name="_Toc333935280"/>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pPr>
        <w:pStyle w:val="3"/>
        <w:numPr>
          <w:ilvl w:val="1"/>
          <w:numId w:val="0"/>
        </w:numPr>
        <w:spacing w:before="360" w:beforeLines="150" w:after="0" w:line="360" w:lineRule="auto"/>
        <w:jc w:val="left"/>
        <w:rPr>
          <w:rFonts w:ascii="宋体" w:hAnsi="宋体"/>
          <w:color w:val="000000" w:themeColor="text1"/>
          <w:sz w:val="21"/>
          <w:szCs w:val="21"/>
          <w:highlight w:val="none"/>
        </w:rPr>
      </w:pPr>
      <w:bookmarkStart w:id="79" w:name="_Toc23412"/>
      <w:bookmarkStart w:id="80" w:name="_Toc340507409"/>
      <w:bookmarkStart w:id="81" w:name="_Toc345513834"/>
      <w:bookmarkStart w:id="82" w:name="_Toc333935654"/>
      <w:bookmarkStart w:id="83" w:name="_Toc337632325"/>
      <w:bookmarkStart w:id="84" w:name="_Toc342060341"/>
      <w:bookmarkStart w:id="85" w:name="_Toc365967040"/>
      <w:bookmarkStart w:id="86" w:name="_Toc339019982"/>
      <w:bookmarkStart w:id="87" w:name="_Toc333237644"/>
      <w:bookmarkStart w:id="88" w:name="_Toc333238600"/>
      <w:bookmarkStart w:id="89" w:name="_Toc342296727"/>
      <w:bookmarkStart w:id="90" w:name="_Toc341348305"/>
      <w:bookmarkStart w:id="91" w:name="_Toc339020200"/>
      <w:bookmarkStart w:id="92" w:name="_Toc333935313"/>
      <w:bookmarkStart w:id="93" w:name="_Toc331512865"/>
      <w:bookmarkStart w:id="94" w:name="_Toc332206675"/>
      <w:bookmarkStart w:id="95" w:name="_Toc333237755"/>
      <w:bookmarkStart w:id="96" w:name="_Toc339019856"/>
      <w:bookmarkStart w:id="97" w:name="_Toc339020062"/>
      <w:bookmarkStart w:id="98" w:name="_Toc365985146"/>
      <w:bookmarkStart w:id="99" w:name="_Toc349143556"/>
      <w:bookmarkStart w:id="100" w:name="_Toc339441054"/>
      <w:bookmarkStart w:id="101" w:name="_Toc331684005"/>
      <w:bookmarkStart w:id="102" w:name="_Toc366072495"/>
      <w:bookmarkStart w:id="103" w:name="_Toc336681547"/>
      <w:bookmarkStart w:id="104" w:name="_Toc340677037"/>
      <w:bookmarkStart w:id="105" w:name="_Toc350756417"/>
      <w:bookmarkStart w:id="106" w:name="_Toc332270313"/>
      <w:bookmarkStart w:id="107" w:name="_Toc330459952"/>
      <w:bookmarkStart w:id="108" w:name="_Toc339362267"/>
      <w:bookmarkStart w:id="109" w:name="_Toc350438716"/>
      <w:bookmarkStart w:id="110" w:name="_Toc336681902"/>
      <w:bookmarkStart w:id="111" w:name="_Toc349127593"/>
      <w:bookmarkStart w:id="112" w:name="_Toc340672836"/>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rPr>
        <w:t>YXCG-20240319</w:t>
      </w:r>
      <w:bookmarkEnd w:id="79"/>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 xml:space="preserve"> </w:t>
      </w:r>
    </w:p>
    <w:p>
      <w:pPr>
        <w:pStyle w:val="3"/>
        <w:numPr>
          <w:ilvl w:val="1"/>
          <w:numId w:val="0"/>
        </w:numPr>
        <w:spacing w:before="0" w:after="0" w:line="360" w:lineRule="auto"/>
        <w:ind w:left="1107" w:hanging="1107" w:hangingChars="525"/>
        <w:jc w:val="left"/>
        <w:rPr>
          <w:rFonts w:ascii="宋体" w:hAnsi="宋体"/>
          <w:b w:val="0"/>
          <w:color w:val="000000" w:themeColor="text1"/>
          <w:szCs w:val="21"/>
          <w:highlight w:val="none"/>
          <w:u w:val="single"/>
        </w:rPr>
      </w:pPr>
      <w:bookmarkStart w:id="113" w:name="_Toc27104"/>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rPr>
        <w:t>阳西县城市品牌旅游宣传展厅(阳西服务区北区展陈厅)布展服务项目</w:t>
      </w:r>
      <w:bookmarkEnd w:id="113"/>
    </w:p>
    <w:p>
      <w:pPr>
        <w:pStyle w:val="3"/>
        <w:numPr>
          <w:ilvl w:val="1"/>
          <w:numId w:val="0"/>
        </w:numPr>
        <w:spacing w:before="360" w:beforeLines="150" w:after="0" w:line="360" w:lineRule="auto"/>
        <w:rPr>
          <w:rFonts w:ascii="宋体" w:hAnsi="宋体"/>
          <w:color w:val="000000" w:themeColor="text1"/>
          <w:kern w:val="0"/>
          <w:sz w:val="24"/>
          <w:highlight w:val="none"/>
        </w:rPr>
      </w:pPr>
      <w:bookmarkStart w:id="114" w:name="_Toc25637"/>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详见第一部分《竞争性磋商邀请书》。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详见第一部分《竞争性磋商邀请书》。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bCs/>
                <w:color w:val="000000" w:themeColor="text1"/>
                <w:szCs w:val="21"/>
                <w:highlight w:val="none"/>
              </w:rPr>
              <w:t>运至合同指定地点的运输费、卸装就位费、保险费、安装费和验收等一切费用，采购人不再支付任何费用。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kern w:val="0"/>
                <w:szCs w:val="21"/>
                <w:highlight w:val="none"/>
              </w:rPr>
              <w:t>采购合同由成交供应商凭《成交通知书》与采购人双方签订，签订时间为《成交通知书》发出之日起10个日历日内。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完工地点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szCs w:val="21"/>
                <w:highlight w:val="none"/>
              </w:rPr>
              <w:t>G15沈海高速阳西服务区北区。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pStyle w:val="104"/>
              <w:numPr>
                <w:ilvl w:val="0"/>
                <w:numId w:val="0"/>
              </w:numPr>
              <w:spacing w:line="360" w:lineRule="auto"/>
              <w:outlineLvl w:val="2"/>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1.合同签订后，10个工作日内支付合同款项的40%作为预付款；</w:t>
            </w:r>
          </w:p>
          <w:p>
            <w:pPr>
              <w:pStyle w:val="104"/>
              <w:numPr>
                <w:ilvl w:val="0"/>
                <w:numId w:val="0"/>
              </w:numPr>
              <w:spacing w:line="360" w:lineRule="auto"/>
              <w:outlineLvl w:val="2"/>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2.</w:t>
            </w:r>
            <w:r>
              <w:rPr>
                <w:rFonts w:hint="eastAsia" w:ascii="宋体" w:hAnsi="宋体" w:cs="宋体"/>
                <w:color w:val="000000" w:themeColor="text1"/>
                <w:highlight w:val="none"/>
              </w:rPr>
              <w:t>货物到达</w:t>
            </w:r>
            <w:r>
              <w:rPr>
                <w:rFonts w:hint="eastAsia" w:ascii="宋体" w:hAnsi="宋体" w:cs="宋体"/>
                <w:color w:val="000000" w:themeColor="text1"/>
                <w:highlight w:val="none"/>
                <w:lang w:val="en-US" w:eastAsia="zh-CN"/>
              </w:rPr>
              <w:t>现场</w:t>
            </w:r>
            <w:r>
              <w:rPr>
                <w:rFonts w:hint="eastAsia" w:ascii="宋体" w:hAnsi="宋体" w:cs="宋体"/>
                <w:color w:val="000000" w:themeColor="text1"/>
                <w:highlight w:val="none"/>
              </w:rPr>
              <w:t>安装完成</w:t>
            </w:r>
            <w:r>
              <w:rPr>
                <w:rFonts w:hint="eastAsia" w:ascii="宋体" w:hAnsi="宋体" w:cs="宋体"/>
                <w:color w:val="000000" w:themeColor="text1"/>
                <w:highlight w:val="none"/>
                <w:lang w:val="en-US" w:eastAsia="zh-CN"/>
              </w:rPr>
              <w:t>调试</w:t>
            </w:r>
            <w:r>
              <w:rPr>
                <w:rFonts w:hint="eastAsia" w:ascii="宋体" w:hAnsi="宋体" w:cs="宋体"/>
                <w:color w:val="000000" w:themeColor="text1"/>
                <w:highlight w:val="none"/>
              </w:rPr>
              <w:t>后</w:t>
            </w:r>
            <w:r>
              <w:rPr>
                <w:rFonts w:hint="eastAsia" w:ascii="宋体" w:hAnsi="宋体" w:cs="宋体"/>
                <w:color w:val="000000" w:themeColor="text1"/>
                <w:highlight w:val="none"/>
                <w:lang w:eastAsia="zh-CN"/>
              </w:rPr>
              <w:t>，</w:t>
            </w:r>
            <w:r>
              <w:rPr>
                <w:rFonts w:hint="eastAsia" w:ascii="宋体" w:hAnsi="宋体" w:eastAsia="宋体" w:cs="宋体"/>
                <w:b w:val="0"/>
                <w:bCs w:val="0"/>
                <w:color w:val="000000" w:themeColor="text1"/>
                <w:szCs w:val="21"/>
                <w:highlight w:val="none"/>
                <w:lang w:val="en-US" w:eastAsia="zh-CN"/>
              </w:rPr>
              <w:t>10个工作日内支付合同款项的30%；</w:t>
            </w:r>
          </w:p>
          <w:p>
            <w:pPr>
              <w:pStyle w:val="104"/>
              <w:numPr>
                <w:ilvl w:val="0"/>
                <w:numId w:val="0"/>
              </w:numPr>
              <w:spacing w:line="360" w:lineRule="auto"/>
              <w:outlineLvl w:val="2"/>
              <w:rPr>
                <w:rFonts w:ascii="宋体" w:hAnsi="宋体" w:cs="宋体"/>
                <w:color w:val="000000" w:themeColor="text1"/>
                <w:highlight w:val="none"/>
              </w:rPr>
            </w:pPr>
            <w:r>
              <w:rPr>
                <w:rFonts w:hint="eastAsia" w:ascii="宋体" w:hAnsi="宋体" w:eastAsia="宋体" w:cs="宋体"/>
                <w:b w:val="0"/>
                <w:bCs w:val="0"/>
                <w:color w:val="000000" w:themeColor="text1"/>
                <w:szCs w:val="21"/>
                <w:highlight w:val="none"/>
                <w:lang w:val="en-US" w:eastAsia="zh-CN"/>
              </w:rPr>
              <w:t>3.项目验收合格后，10个工作日内支付合同款项的30%。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cs="宋体"/>
                <w:b/>
                <w:bCs/>
                <w:color w:val="000000" w:themeColor="text1"/>
                <w:szCs w:val="21"/>
                <w:highlight w:val="none"/>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1.交付验收标准依次序对照适用标准为：①符合中华人民共和国国家安全质量标准、环保标准或行业标准；②符合招标文件和响应承诺中采购人认可的合理最佳配置、参数及各项要求；</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2.所有服务内容按照合同要求全部完成，并满足使用要求；</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3.各种服务技术文档和验收资料完备，符合合同的内容；</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4.合同或合同附件规定的其他验收条件。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color w:val="000000" w:themeColor="text1"/>
                <w:szCs w:val="21"/>
                <w:highlight w:val="none"/>
              </w:rPr>
            </w:pPr>
            <w:r>
              <w:rPr>
                <w:rFonts w:ascii="宋体" w:hAnsi="宋体" w:cs="宋体"/>
                <w:b/>
                <w:bCs/>
                <w:color w:val="000000" w:themeColor="text1"/>
                <w:szCs w:val="21"/>
                <w:highlight w:val="none"/>
              </w:rPr>
              <w:t>售后服务要求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项目售后服务有效期为12个月，自项目验收合格后开始计算。成交供应商须提供1年7×24小时热线电话技术或网上技术支持。保修期以成交供应商和采购人共同验收合格之日起算。成交供应商必须承诺在免费售后服务期间，在接到采购人的维修通知后（含书面和口头通知），成交供应商须在30分钟内响应，若需要上门维修，要求4小时内派专业维修技术人员到达采购人使用现场维修。</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2.质量保证期外发生的质量问题，由成交供应商负责解决，采购人应支付相应的费用，成交供应商需负责及时提供零配件。</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在服务期间成交供应商应按采购人要求做好维护工作，确保货物可用性、安全性和稳定性。在任何时候，成交供应商均不能免除因货物本身的缺陷所应负的责任。货物在质保期内发生质量问题，成交供应商须无条件给予退换。</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4.成交供应商履约过程中，必须遵守国家有关法律的规定，如实提供检查所必须的材料，不得拒绝。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参考发改价格[2015]299号文的规定</w:t>
            </w:r>
            <w:r>
              <w:rPr>
                <w:rFonts w:hint="eastAsia" w:ascii="宋体" w:hAnsi="宋体"/>
                <w:color w:val="000000" w:themeColor="text1"/>
                <w:szCs w:val="21"/>
                <w:highlight w:val="none"/>
              </w:rPr>
              <w:t>，招标代理服务费实行市场调节价。成交服务费由成交供应商在领取成交通知书前以银行转账方式一次性支付人民币柒仟元整（￥7000.00元）。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中国农业银行股份有限公司阳江江城支行</w:t>
            </w:r>
          </w:p>
        </w:tc>
      </w:tr>
    </w:tbl>
    <w:p>
      <w:pPr>
        <w:pStyle w:val="5"/>
        <w:rPr>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pPr>
        <w:pStyle w:val="3"/>
        <w:numPr>
          <w:ilvl w:val="1"/>
          <w:numId w:val="0"/>
        </w:numPr>
        <w:spacing w:before="360" w:beforeLines="150" w:after="0" w:line="360" w:lineRule="auto"/>
        <w:rPr>
          <w:rFonts w:ascii="宋体" w:hAnsi="宋体"/>
          <w:color w:val="000000" w:themeColor="text1"/>
          <w:kern w:val="0"/>
          <w:sz w:val="24"/>
          <w:highlight w:val="none"/>
        </w:rPr>
      </w:pPr>
      <w:bookmarkStart w:id="115" w:name="_Toc20780"/>
      <w:r>
        <w:rPr>
          <w:rFonts w:hint="eastAsia" w:ascii="宋体" w:hAnsi="宋体"/>
          <w:color w:val="000000" w:themeColor="text1"/>
          <w:kern w:val="0"/>
          <w:sz w:val="24"/>
          <w:highlight w:val="none"/>
        </w:rPr>
        <w:t>B  技术要求</w:t>
      </w:r>
      <w:bookmarkEnd w:id="115"/>
    </w:p>
    <w:p>
      <w:pPr>
        <w:rPr>
          <w:rFonts w:ascii="宋体" w:hAnsi="宋体"/>
          <w:b/>
          <w:bCs/>
          <w:color w:val="000000" w:themeColor="text1"/>
          <w:kern w:val="44"/>
          <w:sz w:val="24"/>
          <w:highlight w:val="none"/>
        </w:rPr>
      </w:pPr>
    </w:p>
    <w:p>
      <w:pPr>
        <w:rPr>
          <w:color w:val="000000" w:themeColor="text1"/>
          <w:highlight w:val="none"/>
        </w:rPr>
      </w:pPr>
    </w:p>
    <w:p>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一、项目背景</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作为广东省全域旅游示范区，阳西县地处南海之滨，山海交相辉映，旅游资源禀赋出众。</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阳西县城市品牌旅游宣传展厅是一个以展示和推广阳西当地文化旅游资源、特色农产品、产业发展、城市形象等为主题的场所。通过在沈海高速阳西服务区这一重要的窗口设置展陈厅，旨在吸引更多的游客来到展厅，参观和认识阳西。面向社会公众展现阳西旅游目的地的魅力，从而增加阳西文旅农产业的影响力和知名度。促进阳西文旅农产业的大力发展。</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根据阳西文旅产业融合发展建设工作要求及部署，为扎实推进阳西县旅游市场的发展，现就阳西县城市品牌旅游宣传展厅(阳西服务区北区展陈厅)项目设计展陈进行公开招标，确保服务成果满足相关要求及其他相关专业等现行规范，并通过采购人组织的成果验收。</w:t>
      </w:r>
    </w:p>
    <w:p>
      <w:pPr>
        <w:spacing w:line="360" w:lineRule="auto"/>
        <w:rPr>
          <w:b/>
          <w:bCs/>
          <w:color w:val="000000" w:themeColor="text1"/>
          <w:highlight w:val="none"/>
        </w:rPr>
      </w:pPr>
      <w:r>
        <w:rPr>
          <w:rFonts w:hint="eastAsia"/>
          <w:b/>
          <w:bCs/>
          <w:color w:val="000000" w:themeColor="text1"/>
          <w:highlight w:val="none"/>
        </w:rPr>
        <w:t>二、项目总体要求</w:t>
      </w:r>
    </w:p>
    <w:p>
      <w:pPr>
        <w:spacing w:line="360" w:lineRule="auto"/>
        <w:ind w:firstLine="420" w:firstLineChars="200"/>
        <w:rPr>
          <w:color w:val="000000" w:themeColor="text1"/>
          <w:highlight w:val="none"/>
        </w:rPr>
      </w:pPr>
      <w:r>
        <w:rPr>
          <w:rFonts w:hint="eastAsia"/>
          <w:color w:val="000000" w:themeColor="text1"/>
          <w:highlight w:val="none"/>
        </w:rPr>
        <w:t>布展设计根据现场空间场地，结合阳西城市特色、旅游资源、产业优势等内容进行策划设计布展。要能很好地展示出阳西城市品牌魅力和旅游资源等优势。要做到展厅主题鲜明、内容规划划合理、重点突出、视觉设计新颖有创意，展线流畅、制作工艺精良，符合文旅宣传的主题调性。通过展厅的布展设计能吸引游客参观，进而认识阳西、喜爱阳西。</w:t>
      </w:r>
    </w:p>
    <w:p>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三、项目概况</w:t>
      </w:r>
    </w:p>
    <w:p>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项目位于G15沈海高速阳西程村服务区北区一楼，场地面积约为336平方。空间功能及展示内容基本规划分别为入口主题形象、中心大视频播放区、游客观赏区、旅游资源展示区（墙）、四大产业展示区、阳西手信特产展示区等。</w:t>
      </w:r>
    </w:p>
    <w:p>
      <w:pPr>
        <w:spacing w:before="120" w:beforeLines="50" w:after="120" w:afterLines="50" w:line="360" w:lineRule="auto"/>
        <w:ind w:firstLine="420" w:firstLineChars="200"/>
        <w:jc w:val="center"/>
        <w:rPr>
          <w:rFonts w:ascii="宋体" w:hAnsi="宋体" w:cs="宋体"/>
          <w:color w:val="000000" w:themeColor="text1"/>
          <w:highlight w:val="none"/>
        </w:rPr>
      </w:pPr>
      <w:r>
        <w:rPr>
          <w:color w:val="000000" w:themeColor="text1"/>
          <w:highlight w:val="none"/>
        </w:rPr>
        <w:drawing>
          <wp:inline distT="0" distB="0" distL="114300" distR="114300">
            <wp:extent cx="3964940" cy="2861310"/>
            <wp:effectExtent l="0" t="0" r="1651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3964940" cy="2861310"/>
                    </a:xfrm>
                    <a:prstGeom prst="rect">
                      <a:avLst/>
                    </a:prstGeom>
                    <a:noFill/>
                    <a:ln>
                      <a:noFill/>
                    </a:ln>
                  </pic:spPr>
                </pic:pic>
              </a:graphicData>
            </a:graphic>
          </wp:inline>
        </w:drawing>
      </w:r>
    </w:p>
    <w:p>
      <w:pPr>
        <w:spacing w:line="360" w:lineRule="auto"/>
        <w:rPr>
          <w:rFonts w:ascii="宋体" w:hAnsi="宋体" w:cs="宋体"/>
          <w:b/>
          <w:bCs/>
          <w:color w:val="000000" w:themeColor="text1"/>
          <w:highlight w:val="none"/>
        </w:rPr>
      </w:pPr>
    </w:p>
    <w:p>
      <w:pPr>
        <w:spacing w:line="360" w:lineRule="auto"/>
        <w:rPr>
          <w:rFonts w:ascii="宋体" w:hAnsi="宋体" w:cs="宋体"/>
          <w:b/>
          <w:bCs/>
          <w:color w:val="000000" w:themeColor="text1"/>
          <w:highlight w:val="none"/>
        </w:rPr>
      </w:pPr>
    </w:p>
    <w:p>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四、布展设计包含的项目</w:t>
      </w:r>
    </w:p>
    <w:tbl>
      <w:tblPr>
        <w:tblStyle w:val="51"/>
        <w:tblW w:w="9361" w:type="dxa"/>
        <w:jc w:val="center"/>
        <w:tblLayout w:type="autofit"/>
        <w:tblCellMar>
          <w:top w:w="0" w:type="dxa"/>
          <w:left w:w="108" w:type="dxa"/>
          <w:bottom w:w="0" w:type="dxa"/>
          <w:right w:w="108" w:type="dxa"/>
        </w:tblCellMar>
      </w:tblPr>
      <w:tblGrid>
        <w:gridCol w:w="720"/>
        <w:gridCol w:w="2419"/>
        <w:gridCol w:w="3484"/>
        <w:gridCol w:w="933"/>
        <w:gridCol w:w="917"/>
        <w:gridCol w:w="888"/>
      </w:tblGrid>
      <w:tr>
        <w:tblPrEx>
          <w:tblCellMar>
            <w:top w:w="0" w:type="dxa"/>
            <w:left w:w="108" w:type="dxa"/>
            <w:bottom w:w="0" w:type="dxa"/>
            <w:right w:w="108" w:type="dxa"/>
          </w:tblCellMar>
        </w:tblPrEx>
        <w:trPr>
          <w:trHeight w:val="360" w:hRule="atLeast"/>
          <w:jc w:val="center"/>
        </w:trPr>
        <w:tc>
          <w:tcPr>
            <w:tcW w:w="7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序号</w:t>
            </w:r>
          </w:p>
        </w:tc>
        <w:tc>
          <w:tcPr>
            <w:tcW w:w="241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项目名称</w:t>
            </w:r>
          </w:p>
        </w:tc>
        <w:tc>
          <w:tcPr>
            <w:tcW w:w="348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技术要求</w:t>
            </w:r>
          </w:p>
        </w:tc>
        <w:tc>
          <w:tcPr>
            <w:tcW w:w="93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单位</w:t>
            </w:r>
          </w:p>
        </w:tc>
        <w:tc>
          <w:tcPr>
            <w:tcW w:w="91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数量</w:t>
            </w:r>
          </w:p>
        </w:tc>
        <w:tc>
          <w:tcPr>
            <w:tcW w:w="88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b/>
                <w:bCs/>
                <w:color w:val="000000"/>
                <w:szCs w:val="21"/>
                <w:highlight w:val="none"/>
              </w:rPr>
            </w:pPr>
            <w:r>
              <w:rPr>
                <w:rFonts w:hint="eastAsia" w:ascii="宋体" w:hAnsi="宋体" w:cs="宋体"/>
                <w:b/>
                <w:bCs/>
                <w:color w:val="000000"/>
                <w:szCs w:val="21"/>
                <w:highlight w:val="none"/>
              </w:rPr>
              <w:t>备注</w:t>
            </w:r>
          </w:p>
        </w:tc>
      </w:tr>
      <w:tr>
        <w:tblPrEx>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装饰构件(天花、墙面、地面、水电、柱子、门）</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1.装饰构件(天花、墙面、地面、水电、柱子、门）</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6</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569"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宣传屏幕</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 产品规格：P3；</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2.像素点间距:≤3mm；</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3.像素密度≥300000点/㎡；</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4.模组尺寸：320mm×160mm；</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5.模组分辨率≥160*80；</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6.箱体平整度≤0.05；</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7.支持单点亮度矫正，单点颜色矫正；</w:t>
            </w:r>
          </w:p>
          <w:p>
            <w:pPr>
              <w:widowControl/>
              <w:jc w:val="left"/>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8.白平衡亮度(nit) ≥500</w:t>
            </w:r>
            <w:r>
              <w:rPr>
                <w:rFonts w:hint="eastAsia" w:ascii="宋体" w:hAnsi="宋体" w:cs="宋体"/>
                <w:color w:val="000000"/>
                <w:szCs w:val="21"/>
                <w:highlight w:val="none"/>
                <w:lang w:eastAsia="zh-CN"/>
              </w:rPr>
              <w:t>；</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9.色温(k) 介于 2000～15000；</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10.水平/垂直视角 ≥160°；</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11.亮度均匀性≥98.3%，色度均匀性介于±0.003 Cx,Cy内；</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12.对比度≥8000:1；</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13.最佳视距(m)为1.5m-3m之间；</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14.刷新率≥4000HZ</w:t>
            </w:r>
            <w:r>
              <w:rPr>
                <w:rFonts w:hint="eastAsia" w:ascii="宋体" w:hAnsi="宋体" w:cs="宋体"/>
                <w:color w:val="000000"/>
                <w:szCs w:val="21"/>
                <w:highlight w:val="none"/>
                <w:lang w:eastAsia="zh-CN"/>
              </w:rPr>
              <w:t>；</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15.换帧频率为60HZ</w:t>
            </w:r>
            <w:r>
              <w:rPr>
                <w:rFonts w:hint="eastAsia" w:ascii="宋体" w:hAnsi="宋体" w:cs="宋体"/>
                <w:color w:val="000000"/>
                <w:szCs w:val="21"/>
                <w:highlight w:val="none"/>
                <w:lang w:eastAsia="zh-CN"/>
              </w:rPr>
              <w:t>；</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16.灰度等级为灰度(bit) 14～16；</w:t>
            </w:r>
          </w:p>
          <w:p>
            <w:pPr>
              <w:widowControl/>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17.模组驱动方式为恒流驱动；</w:t>
            </w:r>
          </w:p>
          <w:p>
            <w:pPr>
              <w:widowControl/>
              <w:jc w:val="left"/>
              <w:textAlignment w:val="center"/>
              <w:rPr>
                <w:rFonts w:ascii="宋体" w:hAnsi="宋体" w:cs="宋体"/>
                <w:color w:val="000000"/>
                <w:szCs w:val="21"/>
                <w:highlight w:val="none"/>
              </w:rPr>
            </w:pPr>
            <w:r>
              <w:rPr>
                <w:rFonts w:hint="eastAsia" w:ascii="宋体" w:hAnsi="宋体" w:cs="宋体"/>
                <w:color w:val="000000"/>
                <w:szCs w:val="21"/>
                <w:highlight w:val="none"/>
              </w:rPr>
              <w:t>18.使用寿命≥200000小时；</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716"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3</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接收系统</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 xml:space="preserve">单卡带载像素为 128×1024。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 xml:space="preserve">支持配置文件回读。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 xml:space="preserve">支持温度监控。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 xml:space="preserve">支持网线通讯状态检测。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 xml:space="preserve">支持供电电压检测。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 xml:space="preserve">支持高灰度高刷新。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 xml:space="preserve">支持逐点亮色度校正。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 xml:space="preserve">支持接收卡预存画面设置。 </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716"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4</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视频处理器</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Style w:val="65"/>
                <w:rFonts w:hint="eastAsia" w:ascii="宋体" w:hAnsi="宋体" w:cs="宋体"/>
                <w:color w:val="000000"/>
                <w:sz w:val="21"/>
                <w:szCs w:val="21"/>
                <w:highlight w:val="none"/>
                <w:lang w:val="en-US" w:eastAsia="zh-CN" w:bidi="ar"/>
              </w:rPr>
              <w:t>1.</w:t>
            </w:r>
            <w:r>
              <w:rPr>
                <w:rStyle w:val="65"/>
                <w:rFonts w:hint="eastAsia" w:ascii="宋体" w:hAnsi="宋体" w:eastAsia="宋体" w:cs="宋体"/>
                <w:color w:val="000000"/>
                <w:sz w:val="21"/>
                <w:szCs w:val="21"/>
                <w:highlight w:val="none"/>
                <w:lang w:val="en-US" w:eastAsia="zh-CN" w:bidi="ar"/>
              </w:rPr>
              <w:t>具有2类视频输入接口，包括1路HDMI和2路DVI</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2.</w:t>
            </w:r>
            <w:r>
              <w:rPr>
                <w:rStyle w:val="65"/>
                <w:rFonts w:hint="eastAsia" w:ascii="宋体" w:hAnsi="宋体" w:eastAsia="宋体" w:cs="宋体"/>
                <w:color w:val="000000"/>
                <w:sz w:val="21"/>
                <w:szCs w:val="21"/>
                <w:highlight w:val="none"/>
                <w:lang w:val="en-US" w:eastAsia="zh-CN" w:bidi="ar"/>
              </w:rPr>
              <w:t>最大带载260万像素，最宽可达4096点，或最高可达2560点</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3.</w:t>
            </w:r>
            <w:r>
              <w:rPr>
                <w:rStyle w:val="65"/>
                <w:rFonts w:hint="eastAsia" w:ascii="宋体" w:hAnsi="宋体" w:eastAsia="宋体" w:cs="宋体"/>
                <w:color w:val="000000"/>
                <w:sz w:val="21"/>
                <w:szCs w:val="21"/>
                <w:highlight w:val="none"/>
                <w:lang w:val="en-US" w:eastAsia="zh-CN" w:bidi="ar"/>
              </w:rPr>
              <w:t>最大输入分辨率1920×1200@60Hz，支持分辨率任意设置</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4.</w:t>
            </w:r>
            <w:r>
              <w:rPr>
                <w:rStyle w:val="65"/>
                <w:rFonts w:hint="eastAsia" w:ascii="宋体" w:hAnsi="宋体" w:eastAsia="宋体" w:cs="宋体"/>
                <w:color w:val="000000"/>
                <w:sz w:val="21"/>
                <w:szCs w:val="21"/>
                <w:highlight w:val="none"/>
                <w:lang w:val="en-US" w:eastAsia="zh-CN" w:bidi="ar"/>
              </w:rPr>
              <w:t>支持4路千兆网口输出，支持单机或双机冗余备份</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5.</w:t>
            </w:r>
            <w:r>
              <w:rPr>
                <w:rStyle w:val="65"/>
                <w:rFonts w:hint="eastAsia" w:ascii="宋体" w:hAnsi="宋体" w:eastAsia="宋体" w:cs="宋体"/>
                <w:color w:val="000000"/>
                <w:sz w:val="21"/>
                <w:szCs w:val="21"/>
                <w:highlight w:val="none"/>
                <w:lang w:val="en-US" w:eastAsia="zh-CN" w:bidi="ar"/>
              </w:rPr>
              <w:t>支持对视频信号任意切换，裁剪，拼接，缩放</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6.</w:t>
            </w:r>
            <w:r>
              <w:rPr>
                <w:rStyle w:val="65"/>
                <w:rFonts w:hint="eastAsia" w:ascii="宋体" w:hAnsi="宋体" w:eastAsia="宋体" w:cs="宋体"/>
                <w:color w:val="000000"/>
                <w:sz w:val="21"/>
                <w:szCs w:val="21"/>
                <w:highlight w:val="none"/>
                <w:lang w:val="en-US" w:eastAsia="zh-CN" w:bidi="ar"/>
              </w:rPr>
              <w:t>支持画面偏移</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7.</w:t>
            </w:r>
            <w:r>
              <w:rPr>
                <w:rStyle w:val="65"/>
                <w:rFonts w:hint="eastAsia" w:ascii="宋体" w:hAnsi="宋体" w:eastAsia="宋体" w:cs="宋体"/>
                <w:color w:val="000000"/>
                <w:sz w:val="21"/>
                <w:szCs w:val="21"/>
                <w:highlight w:val="none"/>
                <w:lang w:val="en-US" w:eastAsia="zh-CN" w:bidi="ar"/>
              </w:rPr>
              <w:t>支持独立音频输入</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8.</w:t>
            </w:r>
            <w:r>
              <w:rPr>
                <w:rStyle w:val="65"/>
                <w:rFonts w:hint="eastAsia" w:ascii="宋体" w:hAnsi="宋体" w:eastAsia="宋体" w:cs="宋体"/>
                <w:color w:val="000000"/>
                <w:sz w:val="21"/>
                <w:szCs w:val="21"/>
                <w:highlight w:val="none"/>
                <w:lang w:val="en-US" w:eastAsia="zh-CN" w:bidi="ar"/>
              </w:rPr>
              <w:t>支持HDCP高带宽数字内容保护技术</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9.</w:t>
            </w:r>
            <w:r>
              <w:rPr>
                <w:rStyle w:val="65"/>
                <w:rFonts w:hint="eastAsia" w:ascii="宋体" w:hAnsi="宋体" w:eastAsia="宋体" w:cs="宋体"/>
                <w:color w:val="000000"/>
                <w:sz w:val="21"/>
                <w:szCs w:val="21"/>
                <w:highlight w:val="none"/>
                <w:lang w:val="en-US" w:eastAsia="zh-CN" w:bidi="ar"/>
              </w:rPr>
              <w:t>支持亮度和色温调节</w:t>
            </w:r>
            <w:r>
              <w:rPr>
                <w:rStyle w:val="65"/>
                <w:rFonts w:hint="eastAsia" w:ascii="宋体" w:hAnsi="宋体" w:eastAsia="宋体" w:cs="宋体"/>
                <w:color w:val="000000"/>
                <w:sz w:val="21"/>
                <w:szCs w:val="21"/>
                <w:highlight w:val="none"/>
                <w:lang w:val="en-US" w:eastAsia="zh-CN" w:bidi="ar"/>
              </w:rPr>
              <w:br w:type="textWrapping"/>
            </w:r>
            <w:r>
              <w:rPr>
                <w:rStyle w:val="65"/>
                <w:rFonts w:hint="eastAsia" w:ascii="宋体" w:hAnsi="宋体" w:cs="宋体"/>
                <w:color w:val="000000"/>
                <w:sz w:val="21"/>
                <w:szCs w:val="21"/>
                <w:highlight w:val="none"/>
                <w:lang w:val="en-US" w:eastAsia="zh-CN" w:bidi="ar"/>
              </w:rPr>
              <w:t>10.</w:t>
            </w:r>
            <w:r>
              <w:rPr>
                <w:rStyle w:val="65"/>
                <w:rFonts w:hint="eastAsia" w:ascii="宋体" w:hAnsi="宋体" w:eastAsia="宋体" w:cs="宋体"/>
                <w:color w:val="000000"/>
                <w:sz w:val="21"/>
                <w:szCs w:val="21"/>
                <w:highlight w:val="none"/>
                <w:lang w:val="en-US" w:eastAsia="zh-CN" w:bidi="ar"/>
              </w:rPr>
              <w:t>支持低亮高灰，能有效地保持低亮下灰阶的完整显示</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716"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专用开关电源</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color w:val="000000"/>
                <w:sz w:val="21"/>
                <w:szCs w:val="21"/>
                <w:highlight w:val="none"/>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厚度薄，能降低显示屏的厚度和重量，可靠性高，带载能力强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保护功能：过载/短路保护100%满载高温老化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超低温开关电源，厚度≤30mm，无任何噪音、消叫声。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交流、直流分别在电源两端接线、防止交直流短路。</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716"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6</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屏控制软件</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大屏幕设备的设置和日常使用，具备设置预案、开关机、信号切换等功能</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716"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7</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控制终端</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DDR4内存、SSD固态硬盘</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716"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8</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配电柜</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LED屏定制专用</w:t>
            </w:r>
          </w:p>
          <w:p>
            <w:pPr>
              <w:keepNext w:val="0"/>
              <w:keepLines w:val="0"/>
              <w:widowControl/>
              <w:suppressLineNumbers w:val="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10KW</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val="en-US" w:eastAsia="zh-CN" w:bidi="ar"/>
              </w:rPr>
              <w:t>9</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音响、背景墙</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音响、背景墙</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kern w:val="0"/>
                <w:szCs w:val="21"/>
                <w:highlight w:val="none"/>
                <w:lang w:bidi="ar"/>
              </w:rPr>
            </w:pPr>
            <w:r>
              <w:rPr>
                <w:rFonts w:ascii="宋体" w:hAnsi="宋体" w:cs="宋体"/>
                <w:color w:val="000000"/>
                <w:kern w:val="0"/>
                <w:szCs w:val="21"/>
                <w:highlight w:val="none"/>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643"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10</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装置布景小品互动体验</w:t>
            </w:r>
            <w:r>
              <w:rPr>
                <w:rFonts w:ascii="宋体" w:hAnsi="宋体" w:cs="宋体"/>
                <w:color w:val="000000"/>
                <w:kern w:val="0"/>
                <w:szCs w:val="21"/>
                <w:highlight w:val="none"/>
                <w:lang w:bidi="ar"/>
              </w:rPr>
              <w:t>1</w:t>
            </w:r>
            <w:r>
              <w:rPr>
                <w:rFonts w:hint="eastAsia" w:ascii="宋体" w:hAnsi="宋体" w:cs="宋体"/>
                <w:color w:val="000000"/>
                <w:kern w:val="0"/>
                <w:szCs w:val="21"/>
                <w:highlight w:val="none"/>
                <w:lang w:bidi="ar"/>
              </w:rPr>
              <w:t>组</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1.装置、布景小品互动体验</w:t>
            </w:r>
            <w:r>
              <w:rPr>
                <w:rFonts w:ascii="宋体" w:hAnsi="宋体" w:cs="宋体"/>
                <w:color w:val="000000"/>
                <w:kern w:val="0"/>
                <w:szCs w:val="21"/>
                <w:highlight w:val="none"/>
                <w:lang w:bidi="ar"/>
              </w:rPr>
              <w:t>1</w:t>
            </w:r>
            <w:r>
              <w:rPr>
                <w:rFonts w:hint="eastAsia" w:ascii="宋体" w:hAnsi="宋体" w:cs="宋体"/>
                <w:color w:val="000000"/>
                <w:kern w:val="0"/>
                <w:szCs w:val="21"/>
                <w:highlight w:val="none"/>
                <w:lang w:bidi="ar"/>
              </w:rPr>
              <w:t>组</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11</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墙面展板、灯箱、立体造型、立体艺术字</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1.墙面展板、灯箱、立体造型、立体艺术字</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6</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23"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12</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展架</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展架</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13</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阳西手信中岛、展柜</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阳西手信中岛、展柜</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14</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灯光带造型、氛围装置</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灯光带造型、氛围装置</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15</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沙发、座椅、摆件、绿植</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沙发、座椅、摆件、绿植</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16</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LOGO形象、发光字</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LOGO形象、发光字</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17</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系列喷绘、玻璃文案、帖字</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系列喷绘、玻璃文案、帖字</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512"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18</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监控设备</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监控设备</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r>
        <w:tblPrEx>
          <w:tblCellMar>
            <w:top w:w="0" w:type="dxa"/>
            <w:left w:w="108" w:type="dxa"/>
            <w:bottom w:w="0" w:type="dxa"/>
            <w:right w:w="108" w:type="dxa"/>
          </w:tblCellMar>
        </w:tblPrEx>
        <w:trPr>
          <w:trHeight w:val="4829"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19</w:t>
            </w:r>
          </w:p>
        </w:tc>
        <w:tc>
          <w:tcPr>
            <w:tcW w:w="24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多联式空调</w:t>
            </w:r>
          </w:p>
        </w:tc>
        <w:tc>
          <w:tcPr>
            <w:tcW w:w="34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空调：多联式空调</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匹数：5匹</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能效等级：一级</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循环风量：≥ 150m3/h</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电源电压：380V</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空调功率：≥ 3850w</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空调技术：变频</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断电保护：有</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定速/变频：直流变频</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能效比：≥ 3.12</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制冷量：≥ 12000</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制热量：≥ 12500</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制冷功率：≥ 3850w</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制热功率：≥ 3850w</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扫风方式：左右</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冷暖类型：冷暖电辅</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电辅加热功率：≥ 3900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w:t>
            </w:r>
          </w:p>
        </w:tc>
        <w:tc>
          <w:tcPr>
            <w:tcW w:w="8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right"/>
              <w:textAlignment w:val="center"/>
              <w:rPr>
                <w:rFonts w:ascii="宋体" w:hAnsi="宋体" w:cs="宋体"/>
                <w:color w:val="000000"/>
                <w:kern w:val="0"/>
                <w:szCs w:val="21"/>
                <w:highlight w:val="none"/>
                <w:lang w:bidi="ar"/>
              </w:rPr>
            </w:pPr>
          </w:p>
        </w:tc>
      </w:tr>
    </w:tbl>
    <w:p>
      <w:pPr>
        <w:spacing w:line="360" w:lineRule="auto"/>
        <w:ind w:firstLine="425"/>
        <w:rPr>
          <w:color w:val="000000" w:themeColor="text1"/>
          <w:highlight w:val="none"/>
        </w:rPr>
      </w:pPr>
      <w:bookmarkStart w:id="379" w:name="_GoBack"/>
      <w:bookmarkEnd w:id="379"/>
    </w:p>
    <w:p>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附：图纸</w:t>
      </w:r>
    </w:p>
    <w:p>
      <w:pPr>
        <w:rPr>
          <w:color w:val="000000" w:themeColor="text1"/>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br w:type="page"/>
      </w:r>
    </w:p>
    <w:p>
      <w:pPr>
        <w:pStyle w:val="2"/>
        <w:numPr>
          <w:ilvl w:val="0"/>
          <w:numId w:val="0"/>
        </w:numPr>
        <w:spacing w:beforeLines="0" w:line="240" w:lineRule="auto"/>
        <w:rPr>
          <w:rFonts w:ascii="宋体" w:hAnsi="宋体" w:eastAsia="宋体"/>
          <w:b/>
          <w:color w:val="000000" w:themeColor="text1"/>
          <w:sz w:val="21"/>
          <w:szCs w:val="21"/>
          <w:highlight w:val="none"/>
        </w:rPr>
      </w:pPr>
      <w:bookmarkStart w:id="116" w:name="_Toc20802"/>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3"/>
        <w:numPr>
          <w:ilvl w:val="1"/>
          <w:numId w:val="0"/>
        </w:numPr>
        <w:rPr>
          <w:rFonts w:ascii="宋体" w:hAnsi="宋体"/>
          <w:color w:val="000000" w:themeColor="text1"/>
          <w:sz w:val="21"/>
          <w:szCs w:val="21"/>
          <w:highlight w:val="none"/>
        </w:rPr>
      </w:pPr>
      <w:bookmarkStart w:id="117" w:name="_Toc11118"/>
      <w:bookmarkStart w:id="118" w:name="_Toc456648358"/>
      <w:bookmarkStart w:id="119" w:name="_Toc456272919"/>
      <w:bookmarkStart w:id="120" w:name="_Toc434832495"/>
      <w:r>
        <w:rPr>
          <w:rFonts w:hint="eastAsia" w:ascii="宋体" w:hAnsi="宋体"/>
          <w:color w:val="000000" w:themeColor="text1"/>
          <w:sz w:val="21"/>
          <w:szCs w:val="21"/>
          <w:highlight w:val="none"/>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为了方便唱标，投标人在递交磋商响应文件的同时，向代理采购机构提交包含“第一次报价一览表”、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投标人未按上述规定对磋商响应文件进行密封和加写标记，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1、磋商响应文件中打“★”号条款必须实质性响应，负偏离（不满足要求）将导致投标无效。</w:t>
            </w:r>
          </w:p>
          <w:p>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pPr>
              <w:spacing w:line="360" w:lineRule="exact"/>
              <w:rPr>
                <w:rFonts w:ascii="宋体" w:hAnsi="宋体"/>
                <w:color w:val="000000" w:themeColor="text1"/>
                <w:szCs w:val="21"/>
                <w:highlight w:val="none"/>
              </w:rPr>
            </w:pPr>
          </w:p>
        </w:tc>
        <w:tc>
          <w:tcPr>
            <w:tcW w:w="3580" w:type="dxa"/>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21" w:name="_Hlt21938665"/>
      <w:bookmarkEnd w:id="121"/>
      <w:bookmarkStart w:id="122" w:name="_Hlt21938668"/>
      <w:bookmarkEnd w:id="122"/>
      <w:bookmarkStart w:id="123" w:name="_Toc15825"/>
      <w:bookmarkStart w:id="124" w:name="_Toc464632120"/>
      <w:r>
        <w:rPr>
          <w:rFonts w:hint="eastAsia" w:hAnsi="宋体"/>
          <w:color w:val="000000" w:themeColor="text1"/>
          <w:highlight w:val="none"/>
        </w:rPr>
        <w:t>一、说  明</w:t>
      </w:r>
      <w:bookmarkEnd w:id="123"/>
      <w:bookmarkEnd w:id="124"/>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25" w:name="_Toc21352"/>
      <w:bookmarkStart w:id="126" w:name="_Toc464632121"/>
      <w:r>
        <w:rPr>
          <w:rFonts w:hint="eastAsia" w:hAnsi="宋体"/>
          <w:color w:val="000000" w:themeColor="text1"/>
          <w:highlight w:val="none"/>
        </w:rPr>
        <w:t>二、磋商文件</w:t>
      </w:r>
      <w:bookmarkEnd w:id="125"/>
      <w:bookmarkEnd w:id="126"/>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7" w:name="_Toc464632122"/>
      <w:bookmarkStart w:id="128" w:name="_Toc24079"/>
      <w:r>
        <w:rPr>
          <w:rFonts w:hint="eastAsia" w:hAnsi="宋体"/>
          <w:color w:val="000000" w:themeColor="text1"/>
          <w:highlight w:val="none"/>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9" w:name="_Toc1728"/>
      <w:bookmarkStart w:id="130" w:name="_Toc464632123"/>
      <w:r>
        <w:rPr>
          <w:rFonts w:hint="eastAsia" w:hAnsi="宋体"/>
          <w:color w:val="000000" w:themeColor="text1"/>
          <w:highlight w:val="none"/>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pPr>
        <w:pStyle w:val="25"/>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rPr>
      </w:pPr>
    </w:p>
    <w:p>
      <w:pPr>
        <w:pStyle w:val="25"/>
        <w:adjustRightInd w:val="0"/>
        <w:snapToGrid w:val="0"/>
        <w:spacing w:line="300" w:lineRule="auto"/>
        <w:outlineLvl w:val="1"/>
        <w:rPr>
          <w:rFonts w:hAnsi="宋体"/>
          <w:color w:val="000000" w:themeColor="text1"/>
          <w:highlight w:val="none"/>
        </w:rPr>
      </w:pPr>
      <w:bookmarkStart w:id="131" w:name="_Toc464632124"/>
      <w:bookmarkStart w:id="132" w:name="_Toc29163"/>
      <w:r>
        <w:rPr>
          <w:rFonts w:hint="eastAsia" w:hAnsi="宋体"/>
          <w:color w:val="000000" w:themeColor="text1"/>
          <w:highlight w:val="none"/>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3" w:name="_Toc464632125"/>
      <w:bookmarkStart w:id="134" w:name="_Toc802"/>
      <w:r>
        <w:rPr>
          <w:rFonts w:hint="eastAsia" w:hAnsi="宋体"/>
          <w:color w:val="000000" w:themeColor="text1"/>
          <w:highlight w:val="none"/>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5" w:name="_Toc464632126"/>
      <w:bookmarkStart w:id="136" w:name="_Toc4106"/>
      <w:r>
        <w:rPr>
          <w:rFonts w:hint="eastAsia" w:hAnsi="宋体"/>
          <w:color w:val="000000" w:themeColor="text1"/>
          <w:highlight w:val="none"/>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投标下浮率不符合招标文件规定的</w:t>
      </w:r>
      <w:r>
        <w:rPr>
          <w:rFonts w:hint="eastAsia" w:ascii="宋体" w:hAnsi="宋体"/>
          <w:color w:val="000000" w:themeColor="text1"/>
          <w:kern w:val="0"/>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Cs w:val="21"/>
          <w:highlight w:val="none"/>
        </w:rPr>
        <w:t>备注：</w:t>
      </w:r>
      <w:r>
        <w:rPr>
          <w:rFonts w:hint="eastAsia"/>
          <w:color w:val="000000" w:themeColor="text1"/>
          <w:sz w:val="21"/>
          <w:szCs w:val="21"/>
          <w:highlight w:val="none"/>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pPr>
        <w:pStyle w:val="25"/>
        <w:adjustRightInd w:val="0"/>
        <w:snapToGrid w:val="0"/>
        <w:spacing w:line="300" w:lineRule="auto"/>
        <w:ind w:left="420" w:hanging="420" w:hangingChars="20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37" w:name="_Toc464632127"/>
      <w:bookmarkStart w:id="138" w:name="_Toc15771"/>
      <w:r>
        <w:rPr>
          <w:rFonts w:hint="eastAsia" w:hAnsi="宋体"/>
          <w:color w:val="000000" w:themeColor="text1"/>
          <w:highlight w:val="none"/>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详见第三部分《磋商须知〈投标人须知前附表〉》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13881"/>
      <w:bookmarkStart w:id="140" w:name="_Toc464632128"/>
      <w:r>
        <w:rPr>
          <w:rFonts w:hint="eastAsia" w:ascii="宋体" w:hAnsi="宋体"/>
          <w:color w:val="000000" w:themeColor="text1"/>
          <w:szCs w:val="21"/>
          <w:highlight w:val="none"/>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rPr>
      </w:pPr>
      <w:bookmarkStart w:id="141" w:name="_Toc3544"/>
      <w:bookmarkStart w:id="142" w:name="_Toc464632129"/>
      <w:bookmarkStart w:id="143" w:name="_Toc322033397"/>
      <w:bookmarkStart w:id="144" w:name="_Toc345675374"/>
      <w:r>
        <w:rPr>
          <w:rFonts w:hint="eastAsia" w:ascii="宋体" w:hAnsi="宋体"/>
          <w:color w:val="000000" w:themeColor="text1"/>
          <w:szCs w:val="21"/>
          <w:highlight w:val="none"/>
        </w:rPr>
        <w:t>十、成交服务费</w:t>
      </w:r>
      <w:bookmarkEnd w:id="141"/>
      <w:bookmarkEnd w:id="142"/>
      <w:bookmarkEnd w:id="143"/>
      <w:bookmarkEnd w:id="144"/>
    </w:p>
    <w:p>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pPr>
        <w:spacing w:line="300" w:lineRule="auto"/>
        <w:outlineLvl w:val="1"/>
        <w:rPr>
          <w:rFonts w:ascii="宋体" w:hAnsi="宋体"/>
          <w:color w:val="000000" w:themeColor="text1"/>
          <w:szCs w:val="21"/>
          <w:highlight w:val="none"/>
        </w:rPr>
      </w:pPr>
      <w:bookmarkStart w:id="145" w:name="_Toc464632131"/>
      <w:bookmarkStart w:id="146" w:name="_Toc12867"/>
      <w:bookmarkStart w:id="147" w:name="_Toc536594109"/>
      <w:r>
        <w:rPr>
          <w:rFonts w:hint="eastAsia" w:ascii="宋体" w:hAnsi="宋体"/>
          <w:color w:val="000000" w:themeColor="text1"/>
          <w:szCs w:val="21"/>
          <w:highlight w:val="none"/>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rPr>
      </w:pPr>
      <w:bookmarkStart w:id="148" w:name="_Toc464632132"/>
      <w:bookmarkStart w:id="149" w:name="_Toc345675376"/>
      <w:bookmarkStart w:id="150" w:name="_Toc13340"/>
      <w:bookmarkStart w:id="151" w:name="_Toc322033399"/>
      <w:r>
        <w:rPr>
          <w:rFonts w:hint="eastAsia" w:ascii="宋体" w:hAnsi="宋体"/>
          <w:color w:val="000000" w:themeColor="text1"/>
          <w:szCs w:val="21"/>
          <w:highlight w:val="none"/>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rPr>
      </w:pPr>
    </w:p>
    <w:p>
      <w:pPr>
        <w:pStyle w:val="2"/>
        <w:numPr>
          <w:ilvl w:val="0"/>
          <w:numId w:val="0"/>
        </w:numPr>
        <w:spacing w:before="240"/>
        <w:rPr>
          <w:color w:val="000000" w:themeColor="text1"/>
          <w:highlight w:val="none"/>
        </w:rPr>
      </w:pPr>
      <w:r>
        <w:rPr>
          <w:color w:val="000000" w:themeColor="text1"/>
          <w:highlight w:val="none"/>
        </w:rPr>
        <w:br w:type="page"/>
      </w:r>
      <w:bookmarkStart w:id="152" w:name="_Toc20085"/>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45分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15分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tblPrEx>
          <w:tblCellMar>
            <w:top w:w="0" w:type="dxa"/>
            <w:left w:w="0" w:type="dxa"/>
            <w:bottom w:w="0" w:type="dxa"/>
            <w:right w:w="0" w:type="dxa"/>
          </w:tblCellMar>
        </w:tblPrEx>
        <w:trPr>
          <w:cantSplit/>
          <w:trHeight w:val="1731"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utoSpaceDE w:val="0"/>
              <w:autoSpaceDN w:val="0"/>
              <w:adjustRightInd w:val="0"/>
              <w:spacing w:before="100" w:beforeAutospacing="1"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对本项目的理解</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根据供应商对项目的理解认识进行评审： </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1.对项目的响应全面，完全了解本项目工作目的、内容及要求的，得10分； </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2.对项目基本响应，基本了解本项目工作目的、内容及要求的，得6分； </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3.对项目的响应差，不了解本项目工作目的、内容及要求的，得2分；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不提供不得分。</w:t>
            </w:r>
          </w:p>
        </w:tc>
      </w:tr>
      <w:tr>
        <w:tblPrEx>
          <w:tblCellMar>
            <w:top w:w="0" w:type="dxa"/>
            <w:left w:w="0" w:type="dxa"/>
            <w:bottom w:w="0" w:type="dxa"/>
            <w:right w:w="0" w:type="dxa"/>
          </w:tblCellMar>
        </w:tblPrEx>
        <w:trPr>
          <w:cantSplit/>
          <w:trHeight w:val="2674"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施工组织方案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1.施工方案完整、严谨、合理，技术措施符合展厅项目等工艺的特殊需求的，得15分；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2.施工方案较完整、合理，技术措施基本符合展厅项目等工艺的特殊需求，得10分；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3.施工方案完整性、合理性一般，技术措施基本符合展厅项目等工艺的特殊需求，得5分；</w:t>
            </w:r>
          </w:p>
          <w:p>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4.施工方案合理性、完整性较差，技术措施未符合展厅项目等工艺的特殊需求，得2分；</w:t>
            </w:r>
          </w:p>
          <w:p>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不提供不得分。</w:t>
            </w:r>
          </w:p>
        </w:tc>
      </w:tr>
      <w:tr>
        <w:tblPrEx>
          <w:tblCellMar>
            <w:top w:w="0" w:type="dxa"/>
            <w:left w:w="0" w:type="dxa"/>
            <w:bottom w:w="0" w:type="dxa"/>
            <w:right w:w="0" w:type="dxa"/>
          </w:tblCellMar>
        </w:tblPrEx>
        <w:trPr>
          <w:cantSplit/>
          <w:trHeight w:val="203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项目布展设计实施方案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1.理念、对材质工艺美感品质标准高、富有创意；具有地方特色，得10分；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2.理念、对材质工艺美感品质标准一般、缺少创意；较有地方特色，得6分；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3.理念、对材质工艺美感品质标准低，没创意；欠缺具有地方特色，得2分；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不提供不得分。</w:t>
            </w:r>
          </w:p>
        </w:tc>
      </w:tr>
      <w:tr>
        <w:tblPrEx>
          <w:tblCellMar>
            <w:top w:w="0" w:type="dxa"/>
            <w:left w:w="0" w:type="dxa"/>
            <w:bottom w:w="0" w:type="dxa"/>
            <w:right w:w="0" w:type="dxa"/>
          </w:tblCellMar>
        </w:tblPrEx>
        <w:trPr>
          <w:cantSplit/>
          <w:trHeight w:val="330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工程进度计划与措施</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1.工程进度计划针对性强，与本项目展厅特殊需求吻合。且总体安排表述清晰、准确、完整，计划编制合理、可行，关键节点的控制措施有力、合理、可行，进度违约责任承诺具体，有保证安全文明施工的措施高，得10分；</w:t>
            </w: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2.工程进度计划较好，基本吻合本项目展厅特殊需求。总体安排表述清晰、完整，关键节点的控制措施具备一定合理性，进度违约责任承诺较具体，安全文明施工措施一般，得6分；</w:t>
            </w:r>
          </w:p>
          <w:p>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3.工程进度针对性较差，总体安排表述一般，计划编制合理性、可行性较差，关键节点的控制措施简单，进度违约责任承诺不具体，安全文明施工措施弱，得2分；</w:t>
            </w:r>
          </w:p>
          <w:p>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不提供不得分。</w:t>
            </w:r>
          </w:p>
        </w:tc>
      </w:tr>
      <w:tr>
        <w:tblPrEx>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br w:type="page"/>
      </w: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tblPrEx>
          <w:tblCellMar>
            <w:top w:w="0" w:type="dxa"/>
            <w:left w:w="0" w:type="dxa"/>
            <w:bottom w:w="0" w:type="dxa"/>
            <w:right w:w="0" w:type="dxa"/>
          </w:tblCellMar>
        </w:tblPrEx>
        <w:trPr>
          <w:cantSplit/>
          <w:trHeight w:val="106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同类项目业绩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spacing w:after="0"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20分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供应商2020年1月1日至今（以合同签订时间为准）的同类项目业绩，每提供一项得5分，本项最高得20分。</w:t>
            </w:r>
          </w:p>
          <w:p>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注：须提供项目合同关键页复印件加盖公章，不提供不得分。</w:t>
            </w:r>
          </w:p>
        </w:tc>
      </w:tr>
      <w:tr>
        <w:tblPrEx>
          <w:tblCellMar>
            <w:top w:w="0" w:type="dxa"/>
            <w:left w:w="0" w:type="dxa"/>
            <w:bottom w:w="0" w:type="dxa"/>
            <w:right w:w="0" w:type="dxa"/>
          </w:tblCellMar>
        </w:tblPrEx>
        <w:trPr>
          <w:cantSplit/>
          <w:trHeight w:val="117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拟投入人员</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投入本项目技术人员，提供1人得2分，满分10分。</w:t>
            </w:r>
          </w:p>
          <w:p>
            <w:pPr>
              <w:rPr>
                <w:rFonts w:ascii="宋体" w:hAnsi="宋体" w:cs="宋体"/>
                <w:color w:val="000000" w:themeColor="text1"/>
                <w:szCs w:val="21"/>
                <w:highlight w:val="none"/>
              </w:rPr>
            </w:pPr>
            <w:r>
              <w:rPr>
                <w:rFonts w:hint="eastAsia" w:ascii="宋体" w:hAnsi="宋体" w:cs="宋体"/>
                <w:b/>
                <w:bCs/>
                <w:color w:val="000000" w:themeColor="text1"/>
                <w:szCs w:val="21"/>
                <w:highlight w:val="none"/>
              </w:rPr>
              <w:t>注：提供身份证复印件及近六个月内任意一个月社保证明复印件并加盖投标人公章，不提供不得分。</w:t>
            </w:r>
          </w:p>
        </w:tc>
      </w:tr>
      <w:tr>
        <w:tblPrEx>
          <w:tblCellMar>
            <w:top w:w="0" w:type="dxa"/>
            <w:left w:w="0" w:type="dxa"/>
            <w:bottom w:w="0" w:type="dxa"/>
            <w:right w:w="0" w:type="dxa"/>
          </w:tblCellMar>
        </w:tblPrEx>
        <w:trPr>
          <w:cantSplit/>
          <w:trHeight w:val="2016"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售后服务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highlight w:val="none"/>
              </w:rPr>
              <w:t xml:space="preserve">针对本项目制定的售后服务方案、质保期、故障响应时间等进行评分： </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1.售后方案内容完整、可行性高，优于</w:t>
            </w:r>
            <w:r>
              <w:rPr>
                <w:rFonts w:hint="eastAsia" w:ascii="宋体" w:hAnsi="宋体" w:cs="宋体"/>
                <w:color w:val="000000" w:themeColor="text1"/>
                <w:szCs w:val="21"/>
                <w:highlight w:val="none"/>
              </w:rPr>
              <w:t>采购需求的，</w:t>
            </w:r>
            <w:r>
              <w:rPr>
                <w:rFonts w:hint="eastAsia" w:ascii="宋体" w:hAnsi="宋体" w:cs="宋体"/>
                <w:color w:val="000000" w:themeColor="text1"/>
                <w:highlight w:val="none"/>
              </w:rPr>
              <w:t xml:space="preserve">得10分； </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2.售后方案内容较完整、可行性较高，符合</w:t>
            </w:r>
            <w:r>
              <w:rPr>
                <w:rFonts w:hint="eastAsia" w:ascii="宋体" w:hAnsi="宋体" w:cs="宋体"/>
                <w:color w:val="000000" w:themeColor="text1"/>
                <w:szCs w:val="21"/>
                <w:highlight w:val="none"/>
              </w:rPr>
              <w:t>采购需求的，</w:t>
            </w:r>
            <w:r>
              <w:rPr>
                <w:rFonts w:hint="eastAsia" w:ascii="宋体" w:hAnsi="宋体" w:cs="宋体"/>
                <w:color w:val="000000" w:themeColor="text1"/>
                <w:highlight w:val="none"/>
              </w:rPr>
              <w:t xml:space="preserve">得6分； </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3.售后方案内容完整度一般、可行性一般的，得2分。</w:t>
            </w:r>
          </w:p>
          <w:p>
            <w:pPr>
              <w:widowControl/>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不提供的不得分。</w:t>
            </w:r>
          </w:p>
        </w:tc>
      </w:tr>
      <w:tr>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rPr>
            </w:pPr>
          </w:p>
        </w:tc>
      </w:tr>
    </w:tbl>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综合评分法中的价格分统一采用低价优先法计算，即满足招标文件要求</w:t>
      </w:r>
      <w:r>
        <w:rPr>
          <w:rFonts w:hint="eastAsia" w:ascii="宋体" w:hAnsi="宋体"/>
          <w:color w:val="000000" w:themeColor="text1"/>
          <w:highlight w:val="none"/>
        </w:rPr>
        <w:t>（通过资格性、符合性审查）</w:t>
      </w:r>
      <w:r>
        <w:rPr>
          <w:rFonts w:ascii="宋体" w:hAnsi="宋体"/>
          <w:color w:val="000000" w:themeColor="text1"/>
          <w:highlight w:val="none"/>
        </w:rPr>
        <w:t>且投标价格最低的</w:t>
      </w:r>
      <w:r>
        <w:rPr>
          <w:rFonts w:hint="eastAsia" w:ascii="宋体" w:hAnsi="宋体"/>
          <w:color w:val="000000" w:themeColor="text1"/>
          <w:highlight w:val="none"/>
        </w:rPr>
        <w:t>有效</w:t>
      </w:r>
      <w:r>
        <w:rPr>
          <w:rFonts w:ascii="宋体" w:hAnsi="宋体"/>
          <w:color w:val="000000" w:themeColor="text1"/>
          <w:highlight w:val="none"/>
        </w:rPr>
        <w:t>投标报价</w:t>
      </w:r>
      <w:r>
        <w:rPr>
          <w:rFonts w:hint="eastAsia" w:ascii="宋体" w:hAnsi="宋体"/>
          <w:color w:val="000000" w:themeColor="text1"/>
          <w:highlight w:val="none"/>
        </w:rPr>
        <w:t>（指价格核准后的价格，下同）</w:t>
      </w:r>
      <w:r>
        <w:rPr>
          <w:rFonts w:ascii="宋体" w:hAnsi="宋体"/>
          <w:color w:val="000000" w:themeColor="text1"/>
          <w:highlight w:val="none"/>
        </w:rPr>
        <w:t>为评标基准价，其价格分为满分。其他投标人的价格分统一按照下列公式计算：</w:t>
      </w:r>
    </w:p>
    <w:p>
      <w:pPr>
        <w:spacing w:line="360" w:lineRule="auto"/>
        <w:rPr>
          <w:rFonts w:ascii="宋体" w:hAnsi="宋体"/>
          <w:color w:val="000000" w:themeColor="text1"/>
          <w:highlight w:val="none"/>
        </w:rPr>
      </w:pPr>
      <w:r>
        <w:rPr>
          <w:rFonts w:hint="eastAsia" w:ascii="宋体" w:hAnsi="宋体"/>
          <w:color w:val="000000" w:themeColor="text1"/>
          <w:highlight w:val="none"/>
        </w:rPr>
        <w:t>投标报价得分=(评标基准价/投标报价)×价格权值×100</w:t>
      </w:r>
    </w:p>
    <w:p>
      <w:pPr>
        <w:spacing w:line="360" w:lineRule="auto"/>
        <w:rPr>
          <w:rFonts w:ascii="宋体" w:hAnsi="宋体"/>
          <w:color w:val="000000" w:themeColor="text1"/>
          <w:highlight w:val="none"/>
        </w:rPr>
      </w:pPr>
      <w:r>
        <w:rPr>
          <w:rFonts w:hint="eastAsia" w:ascii="宋体" w:hAnsi="宋体"/>
          <w:color w:val="000000" w:themeColor="text1"/>
          <w:highlight w:val="none"/>
        </w:rPr>
        <w:t>备注：投标报价得分四舍五入后，小数点后保留两位有效数；</w:t>
      </w:r>
    </w:p>
    <w:p>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rPr>
      </w:pPr>
      <w:r>
        <w:rPr>
          <w:rFonts w:hint="eastAsia" w:ascii="宋体" w:hAnsi="宋体"/>
          <w:color w:val="000000" w:themeColor="text1"/>
          <w:highlight w:val="none"/>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rPr>
      </w:pPr>
      <w:bookmarkStart w:id="153" w:name="_Toc432682726"/>
      <w:bookmarkStart w:id="154" w:name="_Toc430771059"/>
      <w:bookmarkStart w:id="155" w:name="_Toc480010734"/>
      <w:bookmarkStart w:id="156" w:name="_Toc467987849"/>
      <w:bookmarkStart w:id="157" w:name="_Toc480020283"/>
      <w:bookmarkStart w:id="158" w:name="_Toc480021079"/>
      <w:bookmarkStart w:id="159" w:name="_Toc467236766"/>
      <w:bookmarkStart w:id="160" w:name="_Toc500861024"/>
      <w:bookmarkStart w:id="161" w:name="_Toc468606055"/>
      <w:bookmarkStart w:id="162" w:name="_Toc491658677"/>
      <w:bookmarkStart w:id="163" w:name="_Toc468157562"/>
      <w:bookmarkStart w:id="164" w:name="_Toc479991608"/>
      <w:bookmarkStart w:id="165" w:name="_Toc500861027"/>
      <w:bookmarkStart w:id="166" w:name="_Toc491658680"/>
      <w:bookmarkStart w:id="167" w:name="_Toc6397151"/>
      <w:bookmarkStart w:id="168" w:name="_Toc26066260"/>
      <w:bookmarkStart w:id="169" w:name="_Toc6727972"/>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bookmarkEnd w:id="153"/>
    <w:bookmarkEnd w:id="154"/>
    <w:p>
      <w:pPr>
        <w:rPr>
          <w:color w:val="000000" w:themeColor="text1"/>
          <w:sz w:val="24"/>
          <w:highlight w:val="none"/>
        </w:rPr>
      </w:pPr>
      <w:bookmarkStart w:id="170" w:name="_Toc500843104"/>
      <w:bookmarkStart w:id="171" w:name="_Toc430771060"/>
      <w:bookmarkStart w:id="172" w:name="_Toc430185803"/>
      <w:r>
        <w:rPr>
          <w:rFonts w:hint="eastAsia"/>
          <w:color w:val="000000" w:themeColor="text1"/>
          <w:sz w:val="24"/>
          <w:highlight w:val="none"/>
        </w:rPr>
        <w:br w:type="page"/>
      </w:r>
    </w:p>
    <w:p>
      <w:pPr>
        <w:pStyle w:val="3"/>
        <w:numPr>
          <w:ilvl w:val="0"/>
          <w:numId w:val="0"/>
        </w:numPr>
        <w:rPr>
          <w:color w:val="000000" w:themeColor="text1"/>
          <w:sz w:val="24"/>
          <w:highlight w:val="none"/>
        </w:rPr>
      </w:pPr>
      <w:bookmarkStart w:id="173" w:name="_Toc6190"/>
      <w:r>
        <w:rPr>
          <w:rFonts w:hint="eastAsia"/>
          <w:color w:val="000000" w:themeColor="text1"/>
          <w:sz w:val="24"/>
          <w:highlight w:val="none"/>
        </w:rPr>
        <w:t>政府采购政策</w:t>
      </w:r>
      <w:bookmarkEnd w:id="170"/>
      <w:bookmarkEnd w:id="173"/>
    </w:p>
    <w:p>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1"/>
      <w:bookmarkEnd w:id="172"/>
      <w:r>
        <w:rPr>
          <w:rFonts w:hint="eastAsia"/>
          <w:color w:val="000000" w:themeColor="text1"/>
          <w:highlight w:val="none"/>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rPr>
      </w:pPr>
      <w:bookmarkStart w:id="174" w:name="_Toc430771061"/>
      <w:bookmarkStart w:id="175" w:name="_Toc430185804"/>
      <w:r>
        <w:rPr>
          <w:rFonts w:hint="eastAsia" w:ascii="宋体" w:hAnsi="宋体"/>
          <w:color w:val="000000" w:themeColor="text1"/>
          <w:highlight w:val="none"/>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rPr>
      </w:pPr>
      <w:bookmarkStart w:id="176" w:name="_Toc430771062"/>
      <w:bookmarkStart w:id="177"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pPr>
        <w:spacing w:line="360" w:lineRule="auto"/>
        <w:rPr>
          <w:rFonts w:ascii="宋体" w:hAnsi="宋体"/>
          <w:color w:val="000000" w:themeColor="text1"/>
          <w:highlight w:val="none"/>
        </w:rPr>
      </w:pPr>
      <w:bookmarkStart w:id="178" w:name="_Toc430185806"/>
      <w:bookmarkStart w:id="179" w:name="_Toc430771063"/>
      <w:r>
        <w:rPr>
          <w:rFonts w:hint="eastAsia" w:ascii="宋体" w:hAnsi="宋体"/>
          <w:color w:val="000000" w:themeColor="text1"/>
          <w:highlight w:val="none"/>
        </w:rPr>
        <w:t>4．</w:t>
      </w:r>
      <w:bookmarkEnd w:id="178"/>
      <w:bookmarkEnd w:id="179"/>
      <w:r>
        <w:rPr>
          <w:rFonts w:hint="eastAsia" w:ascii="宋体" w:hAnsi="宋体" w:cs="宋体"/>
          <w:color w:val="000000" w:themeColor="text1"/>
          <w:highlight w:val="none"/>
        </w:rPr>
        <w:t>根据《关于印发《政府采购促进中小企业发展管理办法》的通知》（财库[2020]46号）的规定，投标人投标时需注意：</w:t>
      </w:r>
    </w:p>
    <w:p>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4.2参加政府采购活动的中小企业投标时需提供《中小企业声明函》。否则不予认可。</w:t>
      </w:r>
    </w:p>
    <w:p>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w:t>
      </w:r>
      <w:r>
        <w:rPr>
          <w:rFonts w:ascii="宋体" w:hAnsi="宋体"/>
          <w:color w:val="000000" w:themeColor="text1"/>
          <w:highlight w:val="none"/>
        </w:rPr>
        <w:t xml:space="preserve"> </w:t>
      </w:r>
      <w:r>
        <w:rPr>
          <w:rFonts w:hint="eastAsia" w:ascii="宋体" w:hAnsi="宋体"/>
          <w:color w:val="000000" w:themeColor="text1"/>
          <w:highlight w:val="none"/>
        </w:rPr>
        <w:t>通知》，监狱企业视同小微企业。监狱企业是指由司法部认定的为罪犯、戒毒人员提供生产</w:t>
      </w:r>
      <w:r>
        <w:rPr>
          <w:rFonts w:ascii="宋体" w:hAnsi="宋体"/>
          <w:color w:val="000000" w:themeColor="text1"/>
          <w:highlight w:val="none"/>
        </w:rPr>
        <w:t xml:space="preserve"> </w:t>
      </w:r>
      <w:r>
        <w:rPr>
          <w:rFonts w:hint="eastAsia" w:ascii="宋体" w:hAnsi="宋体"/>
          <w:color w:val="000000" w:themeColor="text1"/>
          <w:highlight w:val="none"/>
        </w:rPr>
        <w:t>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w:t>
      </w:r>
      <w:r>
        <w:rPr>
          <w:rFonts w:ascii="宋体" w:hAnsi="宋体"/>
          <w:color w:val="000000" w:themeColor="text1"/>
          <w:highlight w:val="none"/>
        </w:rPr>
        <w:t xml:space="preserve"> </w:t>
      </w:r>
      <w:r>
        <w:rPr>
          <w:rFonts w:hint="eastAsia" w:ascii="宋体" w:hAnsi="宋体"/>
          <w:color w:val="000000" w:themeColor="text1"/>
          <w:highlight w:val="none"/>
        </w:rPr>
        <w:t>戒毒康复所，以及新疆生产建设兵团监狱管理局、戒毒管理局的企业。监狱企业投标时，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pPr>
        <w:spacing w:line="360" w:lineRule="auto"/>
        <w:rPr>
          <w:rFonts w:ascii="宋体" w:hAnsi="宋体"/>
          <w:color w:val="000000" w:themeColor="text1"/>
          <w:highlight w:val="none"/>
        </w:rPr>
      </w:pPr>
      <w:r>
        <w:rPr>
          <w:rFonts w:hint="eastAsia" w:ascii="宋体" w:hAnsi="宋体"/>
          <w:color w:val="000000" w:themeColor="text1"/>
          <w:highlight w:val="none"/>
        </w:rPr>
        <w:t>4.4</w:t>
      </w:r>
      <w:r>
        <w:rPr>
          <w:rFonts w:hint="eastAsia" w:ascii="宋体" w:hAnsi="宋体" w:cs="宋体"/>
          <w:bCs/>
          <w:color w:val="000000" w:themeColor="text1"/>
          <w:highlight w:val="none"/>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pPr>
        <w:spacing w:line="360" w:lineRule="auto"/>
        <w:rPr>
          <w:rFonts w:ascii="宋体" w:hAnsi="宋体"/>
          <w:color w:val="000000" w:themeColor="text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2"/>
        <w:numPr>
          <w:ilvl w:val="0"/>
          <w:numId w:val="0"/>
        </w:numPr>
        <w:spacing w:beforeLines="0"/>
        <w:rPr>
          <w:rFonts w:ascii="宋体" w:hAnsi="宋体" w:eastAsia="宋体"/>
          <w:b/>
          <w:color w:val="000000" w:themeColor="text1"/>
          <w:highlight w:val="none"/>
        </w:rPr>
      </w:pPr>
      <w:bookmarkStart w:id="180" w:name="_Hlt21939000"/>
      <w:bookmarkEnd w:id="180"/>
      <w:bookmarkStart w:id="181" w:name="_Toc365967081"/>
      <w:bookmarkStart w:id="182" w:name="_Toc339020104"/>
      <w:bookmarkStart w:id="183" w:name="_Toc333237686"/>
      <w:bookmarkStart w:id="184" w:name="_Toc331684047"/>
      <w:bookmarkStart w:id="185" w:name="_Toc336681589"/>
      <w:bookmarkStart w:id="186" w:name="_Toc330459994"/>
      <w:bookmarkStart w:id="187" w:name="_Toc331512907"/>
      <w:bookmarkStart w:id="188" w:name="_Toc349143598"/>
      <w:bookmarkStart w:id="189" w:name="_Toc339020242"/>
      <w:bookmarkStart w:id="190" w:name="_Toc339020024"/>
      <w:bookmarkStart w:id="191" w:name="_Toc339019898"/>
      <w:bookmarkStart w:id="192" w:name="_Toc340507451"/>
      <w:bookmarkStart w:id="193" w:name="_Toc339441096"/>
      <w:bookmarkStart w:id="194" w:name="_Toc342296769"/>
      <w:bookmarkStart w:id="195" w:name="_Toc374454610"/>
      <w:bookmarkStart w:id="196" w:name="_Toc332206717"/>
      <w:bookmarkStart w:id="197" w:name="_Toc341348347"/>
      <w:bookmarkStart w:id="198" w:name="_Toc339362309"/>
      <w:bookmarkStart w:id="199" w:name="_Toc342060383"/>
      <w:bookmarkStart w:id="200" w:name="_Toc340672878"/>
      <w:bookmarkStart w:id="201" w:name="_Toc336681944"/>
      <w:bookmarkStart w:id="202" w:name="_Toc333935355"/>
      <w:bookmarkStart w:id="203" w:name="_Toc349127635"/>
      <w:bookmarkStart w:id="204" w:name="_Toc345513910"/>
      <w:bookmarkStart w:id="205" w:name="_Toc366072538"/>
      <w:bookmarkStart w:id="206" w:name="_Toc350438758"/>
      <w:bookmarkStart w:id="207" w:name="_Toc333237797"/>
      <w:bookmarkStart w:id="208" w:name="_Toc333238642"/>
      <w:bookmarkStart w:id="209" w:name="_Toc350756459"/>
      <w:bookmarkStart w:id="210" w:name="_Toc365985187"/>
      <w:bookmarkStart w:id="211" w:name="_Toc333935696"/>
      <w:bookmarkStart w:id="212" w:name="_Toc337632367"/>
      <w:bookmarkStart w:id="213" w:name="_Toc340677079"/>
      <w:bookmarkStart w:id="214" w:name="_Toc332270355"/>
      <w:bookmarkStart w:id="215" w:name="_Toc18274"/>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rPr>
      </w:pP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每推迟一天按总价的1%支付违约金。</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合同实施或与合同有关的一切争议应通过双方友好协商解决。如果友好协商不能解决，争议应向阳春市人民法院提出诉讼。诉讼费应由败诉方负担。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360" w:lineRule="auto"/>
        <w:ind w:left="752" w:leftChars="358" w:firstLine="420"/>
        <w:rPr>
          <w:rFonts w:ascii="宋体" w:hAnsi="宋体"/>
          <w:bCs/>
          <w:color w:val="000000" w:themeColor="text1"/>
          <w:szCs w:val="21"/>
          <w:highlight w:val="none"/>
        </w:rPr>
      </w:pPr>
    </w:p>
    <w:p>
      <w:pPr>
        <w:spacing w:line="360" w:lineRule="auto"/>
        <w:ind w:left="752" w:leftChars="358" w:firstLine="420"/>
        <w:rPr>
          <w:rFonts w:ascii="宋体" w:hAnsi="宋体"/>
          <w:bCs/>
          <w:color w:val="000000" w:themeColor="text1"/>
          <w:szCs w:val="21"/>
          <w:highlight w:val="none"/>
        </w:rPr>
      </w:pP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rFonts w:ascii="宋体" w:hAnsi="宋体" w:eastAsia="宋体"/>
          <w:b/>
          <w:color w:val="000000" w:themeColor="text1"/>
          <w:highlight w:val="none"/>
        </w:rPr>
      </w:pPr>
      <w:bookmarkStart w:id="217" w:name="_Toc339019899"/>
      <w:bookmarkStart w:id="218" w:name="_Toc500861025"/>
      <w:bookmarkStart w:id="219" w:name="_Toc331512908"/>
      <w:bookmarkStart w:id="220" w:name="_Toc333237687"/>
      <w:bookmarkStart w:id="221" w:name="_Toc331684048"/>
      <w:bookmarkStart w:id="222" w:name="_Toc365967082"/>
      <w:bookmarkStart w:id="223" w:name="_Toc350756460"/>
      <w:bookmarkStart w:id="224" w:name="_Toc350438759"/>
      <w:bookmarkStart w:id="225" w:name="_Toc365985188"/>
      <w:bookmarkStart w:id="226" w:name="_Toc340672879"/>
      <w:bookmarkStart w:id="227" w:name="_Toc339020025"/>
      <w:bookmarkStart w:id="228" w:name="_Toc333935697"/>
      <w:bookmarkStart w:id="229" w:name="_Toc340507452"/>
      <w:bookmarkStart w:id="230" w:name="_Toc349127636"/>
      <w:bookmarkStart w:id="231" w:name="_Toc349143599"/>
      <w:bookmarkStart w:id="232" w:name="_Toc330459995"/>
      <w:bookmarkStart w:id="233" w:name="_Toc366072539"/>
      <w:bookmarkStart w:id="234" w:name="_Toc332270356"/>
      <w:bookmarkStart w:id="235" w:name="_Toc332206718"/>
      <w:bookmarkStart w:id="236" w:name="_Toc339362310"/>
      <w:bookmarkStart w:id="237" w:name="_Toc491658678"/>
      <w:bookmarkStart w:id="238" w:name="_Toc333237798"/>
      <w:bookmarkStart w:id="239" w:name="_Toc341348348"/>
      <w:bookmarkStart w:id="240" w:name="_Toc345513911"/>
      <w:bookmarkStart w:id="241" w:name="_Toc336681590"/>
      <w:bookmarkStart w:id="242" w:name="_Toc339441097"/>
      <w:bookmarkStart w:id="243" w:name="_Toc342060384"/>
      <w:bookmarkStart w:id="244" w:name="_Toc20635"/>
      <w:bookmarkStart w:id="245" w:name="_Toc337632368"/>
      <w:bookmarkStart w:id="246" w:name="_Toc339020243"/>
      <w:bookmarkStart w:id="247" w:name="_Toc342296770"/>
      <w:bookmarkStart w:id="248" w:name="_Toc339020105"/>
      <w:bookmarkStart w:id="249" w:name="_Toc340677080"/>
      <w:bookmarkStart w:id="250" w:name="_Toc333238643"/>
      <w:bookmarkStart w:id="251" w:name="_Toc336681945"/>
      <w:bookmarkStart w:id="252" w:name="_Toc333935356"/>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rPr>
      </w:pPr>
    </w:p>
    <w:p>
      <w:pPr>
        <w:pStyle w:val="3"/>
        <w:numPr>
          <w:ilvl w:val="1"/>
          <w:numId w:val="0"/>
        </w:numPr>
        <w:rPr>
          <w:rFonts w:ascii="宋体" w:hAnsi="宋体"/>
          <w:color w:val="000000" w:themeColor="text1"/>
          <w:sz w:val="24"/>
          <w:highlight w:val="none"/>
        </w:rPr>
      </w:pPr>
      <w:bookmarkStart w:id="255" w:name="_Toc340507453"/>
      <w:bookmarkStart w:id="256" w:name="_Toc349143600"/>
      <w:bookmarkStart w:id="257" w:name="_Toc339020244"/>
      <w:bookmarkStart w:id="258" w:name="_Toc342060385"/>
      <w:bookmarkStart w:id="259" w:name="_Toc331684049"/>
      <w:bookmarkStart w:id="260" w:name="_Toc350756461"/>
      <w:bookmarkStart w:id="261" w:name="_Toc345513912"/>
      <w:bookmarkStart w:id="262" w:name="_Toc366072540"/>
      <w:bookmarkStart w:id="263" w:name="_Toc336681591"/>
      <w:bookmarkStart w:id="264" w:name="_Toc339362311"/>
      <w:bookmarkStart w:id="265" w:name="_Toc341348349"/>
      <w:bookmarkStart w:id="266" w:name="_Toc339441098"/>
      <w:bookmarkStart w:id="267" w:name="_Toc336681946"/>
      <w:bookmarkStart w:id="268" w:name="_Toc333238644"/>
      <w:bookmarkStart w:id="269" w:name="_Toc340672880"/>
      <w:bookmarkStart w:id="270" w:name="_Toc339020106"/>
      <w:bookmarkStart w:id="271" w:name="_Toc31905"/>
      <w:bookmarkStart w:id="272" w:name="_Toc332270357"/>
      <w:bookmarkStart w:id="273" w:name="_Toc333935357"/>
      <w:bookmarkStart w:id="274" w:name="_Toc342296771"/>
      <w:bookmarkStart w:id="275" w:name="_Toc337632369"/>
      <w:bookmarkStart w:id="276" w:name="_Toc333237688"/>
      <w:bookmarkStart w:id="277" w:name="_Toc365985189"/>
      <w:bookmarkStart w:id="278" w:name="_Toc333237799"/>
      <w:bookmarkStart w:id="279" w:name="_Toc349127637"/>
      <w:bookmarkStart w:id="280" w:name="_Toc365967083"/>
      <w:bookmarkStart w:id="281" w:name="_Toc350438760"/>
      <w:bookmarkStart w:id="282" w:name="_Toc339019900"/>
      <w:bookmarkStart w:id="283" w:name="_Toc330459996"/>
      <w:bookmarkStart w:id="284" w:name="_Toc331512909"/>
      <w:bookmarkStart w:id="285" w:name="_Toc333935698"/>
      <w:bookmarkStart w:id="286" w:name="_Toc332206719"/>
      <w:bookmarkStart w:id="287" w:name="_Toc339020026"/>
      <w:bookmarkStart w:id="288" w:name="_Toc340677081"/>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rPr>
        <w:t xml:space="preserve"> </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YXCG-20240319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15598"/>
      <w:r>
        <w:rPr>
          <w:rFonts w:hint="eastAsia" w:ascii="宋体" w:hAnsi="宋体"/>
          <w:b w:val="0"/>
          <w:color w:val="000000" w:themeColor="text1"/>
          <w:sz w:val="24"/>
          <w:highlight w:val="none"/>
        </w:rPr>
        <w:t>自查表</w:t>
      </w:r>
      <w:bookmarkEnd w:id="289"/>
    </w:p>
    <w:p>
      <w:pPr>
        <w:pStyle w:val="3"/>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31777"/>
      <w:bookmarkStart w:id="291" w:name="_Toc7321"/>
      <w:bookmarkStart w:id="292" w:name="_Toc18086"/>
      <w:r>
        <w:rPr>
          <w:rFonts w:hint="eastAsia" w:ascii="宋体"/>
          <w:bCs w:val="0"/>
          <w:color w:val="000000" w:themeColor="text1"/>
          <w:szCs w:val="21"/>
          <w:highlight w:val="none"/>
        </w:rPr>
        <w:t>1.1  资格性/符合性自查表</w:t>
      </w:r>
      <w:bookmarkEnd w:id="290"/>
      <w:bookmarkEnd w:id="291"/>
      <w:bookmarkEnd w:id="292"/>
    </w:p>
    <w:p>
      <w:pPr>
        <w:jc w:val="center"/>
        <w:rPr>
          <w:rFonts w:ascii="宋体" w:hAnsi="宋体"/>
          <w:b/>
          <w:bCs/>
          <w:color w:val="000000" w:themeColor="text1"/>
          <w:szCs w:val="21"/>
          <w:highlight w:val="none"/>
        </w:rPr>
      </w:pPr>
    </w:p>
    <w:tbl>
      <w:tblPr>
        <w:tblStyle w:val="51"/>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68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0"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020" w:type="dxa"/>
            <w:vMerge w:val="restart"/>
            <w:vAlign w:val="center"/>
          </w:tcPr>
          <w:p>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投标人要</w:t>
            </w:r>
          </w:p>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见磋商响应文件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020" w:type="dxa"/>
            <w:vMerge w:val="continue"/>
            <w:vAlign w:val="center"/>
          </w:tcPr>
          <w:p>
            <w:pPr>
              <w:tabs>
                <w:tab w:val="left" w:pos="480"/>
              </w:tabs>
              <w:ind w:left="480" w:hanging="480"/>
              <w:rPr>
                <w:rFonts w:ascii="宋体" w:hAnsi="宋体"/>
                <w:color w:val="000000" w:themeColor="text1"/>
                <w:szCs w:val="21"/>
                <w:highlight w:val="none"/>
              </w:rPr>
            </w:pPr>
          </w:p>
        </w:tc>
        <w:tc>
          <w:tcPr>
            <w:tcW w:w="1700" w:type="dxa"/>
            <w:vMerge w:val="continue"/>
            <w:vAlign w:val="center"/>
          </w:tcPr>
          <w:p>
            <w:pPr>
              <w:tabs>
                <w:tab w:val="left" w:pos="146"/>
              </w:tabs>
              <w:ind w:left="146"/>
              <w:rPr>
                <w:rFonts w:ascii="宋体" w:hAnsi="宋体"/>
                <w:color w:val="000000" w:themeColor="text1"/>
                <w:szCs w:val="21"/>
                <w:highlight w:val="none"/>
              </w:rPr>
            </w:pP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s="宋体"/>
                <w:color w:val="000000" w:themeColor="text1"/>
                <w:szCs w:val="21"/>
                <w:highlight w:val="none"/>
              </w:rPr>
              <w:t>单位负责人为同一人或者存在直接控股、管理关系的不同供应商，不得参加同一合同项下的政府采购活动。</w:t>
            </w:r>
            <w:r>
              <w:rPr>
                <w:rFonts w:hint="eastAsia" w:ascii="宋体" w:hAnsi="宋体" w:cs="宋体"/>
                <w:color w:val="000000" w:themeColor="text1"/>
                <w:highlight w:val="none"/>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020" w:type="dxa"/>
            <w:vMerge w:val="continue"/>
            <w:vAlign w:val="center"/>
          </w:tcPr>
          <w:p>
            <w:pPr>
              <w:tabs>
                <w:tab w:val="left" w:pos="480"/>
              </w:tabs>
              <w:ind w:left="480" w:hanging="480"/>
              <w:rPr>
                <w:rFonts w:ascii="宋体" w:hAnsi="宋体"/>
                <w:color w:val="000000" w:themeColor="text1"/>
                <w:szCs w:val="21"/>
                <w:highlight w:val="none"/>
              </w:rPr>
            </w:pPr>
          </w:p>
        </w:tc>
        <w:tc>
          <w:tcPr>
            <w:tcW w:w="1700" w:type="dxa"/>
            <w:vMerge w:val="continue"/>
            <w:vAlign w:val="center"/>
          </w:tcPr>
          <w:p>
            <w:pPr>
              <w:tabs>
                <w:tab w:val="left" w:pos="146"/>
              </w:tabs>
              <w:ind w:left="146"/>
              <w:rPr>
                <w:rFonts w:ascii="宋体" w:hAnsi="宋体"/>
                <w:color w:val="000000" w:themeColor="text1"/>
                <w:szCs w:val="21"/>
                <w:highlight w:val="none"/>
              </w:rPr>
            </w:pPr>
          </w:p>
        </w:tc>
        <w:tc>
          <w:tcPr>
            <w:tcW w:w="2931" w:type="dxa"/>
            <w:vAlign w:val="center"/>
          </w:tcPr>
          <w:p>
            <w:pPr>
              <w:tabs>
                <w:tab w:val="left" w:pos="0"/>
              </w:tabs>
              <w:rPr>
                <w:rFonts w:ascii="宋体" w:hAnsi="宋体" w:cs="宋体"/>
                <w:color w:val="000000" w:themeColor="text1"/>
                <w:highlight w:val="none"/>
              </w:rPr>
            </w:pPr>
            <w:r>
              <w:rPr>
                <w:rFonts w:hint="eastAsia" w:ascii="宋体" w:hAnsi="宋体" w:cs="宋体"/>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vMerge w:val="restart"/>
            <w:vAlign w:val="center"/>
          </w:tcPr>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完工期须满足要求</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本项目不接受联合体投标</w:t>
            </w:r>
          </w:p>
        </w:tc>
        <w:tc>
          <w:tcPr>
            <w:tcW w:w="2931"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3"/>
        <w:numPr>
          <w:ilvl w:val="1"/>
          <w:numId w:val="0"/>
        </w:numPr>
        <w:spacing w:line="360" w:lineRule="auto"/>
        <w:rPr>
          <w:rFonts w:ascii="宋体" w:hAnsi="宋体"/>
          <w:color w:val="000000" w:themeColor="text1"/>
          <w:highlight w:val="none"/>
        </w:rPr>
      </w:pPr>
      <w:bookmarkStart w:id="293" w:name="_Toc469160785"/>
      <w:bookmarkStart w:id="294" w:name="_Toc200414515"/>
      <w:bookmarkStart w:id="295" w:name="_Toc4820"/>
      <w:r>
        <w:rPr>
          <w:rFonts w:hint="eastAsia" w:ascii="宋体" w:hAnsi="宋体"/>
          <w:color w:val="000000" w:themeColor="text1"/>
          <w:sz w:val="28"/>
          <w:szCs w:val="28"/>
          <w:highlight w:val="none"/>
        </w:rPr>
        <w:t>（一）无重大违法记录声明函</w:t>
      </w:r>
      <w:bookmarkEnd w:id="293"/>
      <w:bookmarkEnd w:id="294"/>
      <w:bookmarkEnd w:id="29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3"/>
        <w:numPr>
          <w:ilvl w:val="1"/>
          <w:numId w:val="0"/>
        </w:numPr>
        <w:spacing w:line="360" w:lineRule="auto"/>
        <w:rPr>
          <w:rFonts w:ascii="宋体" w:hAnsi="宋体"/>
          <w:color w:val="000000" w:themeColor="text1"/>
          <w:kern w:val="0"/>
          <w:sz w:val="28"/>
          <w:szCs w:val="28"/>
          <w:highlight w:val="none"/>
        </w:rPr>
      </w:pPr>
      <w:bookmarkStart w:id="296" w:name="_Toc19355"/>
      <w:bookmarkStart w:id="297" w:name="_Toc469160786"/>
      <w:bookmarkStart w:id="298" w:name="_Toc200414516"/>
      <w:r>
        <w:rPr>
          <w:rFonts w:hint="eastAsia" w:ascii="宋体" w:hAnsi="宋体"/>
          <w:color w:val="000000" w:themeColor="text1"/>
          <w:kern w:val="0"/>
          <w:sz w:val="28"/>
          <w:szCs w:val="28"/>
          <w:highlight w:val="none"/>
        </w:rPr>
        <w:t>（二）法定代表人（负责人）证明书</w:t>
      </w:r>
      <w:bookmarkEnd w:id="296"/>
      <w:bookmarkEnd w:id="297"/>
      <w:bookmarkEnd w:id="298"/>
    </w:p>
    <w:p>
      <w:pPr>
        <w:pStyle w:val="5"/>
        <w:spacing w:line="360" w:lineRule="auto"/>
        <w:rPr>
          <w:rFonts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299" w:name="_Toc32077"/>
      <w:bookmarkStart w:id="300" w:name="_Toc200414517"/>
      <w:bookmarkStart w:id="301" w:name="_Toc469160787"/>
      <w:r>
        <w:rPr>
          <w:rFonts w:hint="eastAsia" w:ascii="宋体" w:hAnsi="宋体"/>
          <w:color w:val="000000" w:themeColor="text1"/>
          <w:sz w:val="28"/>
          <w:szCs w:val="28"/>
          <w:highlight w:val="none"/>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302" w:name="_Toc469160793"/>
      <w:bookmarkStart w:id="303" w:name="_Toc200414523"/>
      <w:bookmarkStart w:id="304" w:name="_Toc2263"/>
      <w:r>
        <w:rPr>
          <w:rFonts w:hint="eastAsia" w:ascii="宋体" w:hAnsi="宋体"/>
          <w:color w:val="000000" w:themeColor="text1"/>
          <w:sz w:val="28"/>
          <w:szCs w:val="28"/>
          <w:highlight w:val="none"/>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p>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9801"/>
      <w:bookmarkStart w:id="306" w:name="_Toc469160794"/>
      <w:bookmarkStart w:id="307" w:name="_Toc200414524"/>
      <w:r>
        <w:rPr>
          <w:rFonts w:hint="eastAsia" w:ascii="宋体" w:hAnsi="宋体"/>
          <w:color w:val="000000" w:themeColor="text1"/>
          <w:sz w:val="28"/>
          <w:szCs w:val="28"/>
          <w:highlight w:val="none"/>
        </w:rPr>
        <w:t>第二章  磋商响应文件商务及技术部分</w:t>
      </w:r>
      <w:bookmarkEnd w:id="305"/>
      <w:bookmarkEnd w:id="306"/>
      <w:bookmarkEnd w:id="307"/>
    </w:p>
    <w:p>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200414525"/>
      <w:bookmarkStart w:id="309" w:name="_Toc26609"/>
      <w:bookmarkStart w:id="310" w:name="_Toc469160795"/>
      <w:r>
        <w:rPr>
          <w:rFonts w:hint="eastAsia" w:ascii="宋体" w:hAnsi="宋体"/>
          <w:color w:val="000000" w:themeColor="text1"/>
          <w:sz w:val="28"/>
          <w:szCs w:val="28"/>
          <w:highlight w:val="none"/>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120"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311" w:name="_Toc200414526"/>
      <w:bookmarkStart w:id="312" w:name="_Toc1648"/>
      <w:bookmarkStart w:id="313" w:name="_Toc469160796"/>
      <w:r>
        <w:rPr>
          <w:rFonts w:hint="eastAsia" w:ascii="宋体" w:hAnsi="宋体"/>
          <w:color w:val="000000" w:themeColor="text1"/>
          <w:sz w:val="28"/>
          <w:szCs w:val="28"/>
          <w:highlight w:val="none"/>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YXCG-20240319</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阳西县城市品牌旅游宣传展厅(阳西服务区北区展陈厅)布展服务项目 </w:t>
      </w:r>
      <w:r>
        <w:rPr>
          <w:rFonts w:hint="eastAsia" w:ascii="宋体" w:hAnsi="宋体"/>
          <w:color w:val="000000" w:themeColor="text1"/>
          <w:spacing w:val="10"/>
          <w:szCs w:val="21"/>
          <w:highlight w:val="none"/>
        </w:rPr>
        <w:t xml:space="preserve">  </w:t>
      </w:r>
    </w:p>
    <w:p>
      <w:pPr>
        <w:tabs>
          <w:tab w:val="center" w:pos="4483"/>
        </w:tabs>
        <w:spacing w:line="360" w:lineRule="auto"/>
        <w:rPr>
          <w:rFonts w:ascii="宋体" w:hAnsi="宋体"/>
          <w:bCs/>
          <w:color w:val="000000" w:themeColor="text1"/>
          <w:szCs w:val="21"/>
          <w:highlight w:val="none"/>
          <w:u w:val="single"/>
        </w:rPr>
      </w:pPr>
    </w:p>
    <w:tbl>
      <w:tblPr>
        <w:tblStyle w:val="51"/>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134"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cs="宋体"/>
                <w:color w:val="000000" w:themeColor="text1"/>
                <w:highlight w:val="none"/>
              </w:rPr>
              <w:t>元）</w:t>
            </w:r>
          </w:p>
        </w:tc>
        <w:tc>
          <w:tcPr>
            <w:tcW w:w="1501"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完工期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134"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360" w:lineRule="auto"/>
        <w:rPr>
          <w:rFonts w:ascii="宋体" w:hAnsi="宋体"/>
          <w:bCs/>
          <w:color w:val="000000" w:themeColor="text1"/>
          <w:highlight w:val="none"/>
          <w:u w:val="singl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rPr>
      </w:pPr>
      <w:bookmarkStart w:id="314" w:name="_Toc469160798"/>
      <w:bookmarkStart w:id="315" w:name="_Toc200414528"/>
      <w:bookmarkStart w:id="316" w:name="_Toc11327"/>
      <w:r>
        <w:rPr>
          <w:rFonts w:hint="eastAsia" w:ascii="宋体" w:hAnsi="宋体"/>
          <w:color w:val="000000" w:themeColor="text1"/>
          <w:sz w:val="28"/>
          <w:szCs w:val="28"/>
          <w:highlight w:val="none"/>
        </w:rPr>
        <w:t>附件三：商务条款偏离一览表</w:t>
      </w:r>
      <w:bookmarkEnd w:id="314"/>
      <w:bookmarkEnd w:id="315"/>
      <w:bookmarkEnd w:id="316"/>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YXCG-20240319</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阳西县城市品牌旅游宣传展厅(阳西服务区北区展陈厅)布展服务项目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rPr>
      </w:pPr>
      <w:bookmarkStart w:id="317" w:name="_Toc469160799"/>
      <w:bookmarkStart w:id="318" w:name="_Toc29666"/>
      <w:bookmarkStart w:id="319" w:name="_Toc200414529"/>
      <w:r>
        <w:rPr>
          <w:rFonts w:hint="eastAsia" w:ascii="宋体" w:hAnsi="宋体"/>
          <w:color w:val="000000" w:themeColor="text1"/>
          <w:sz w:val="28"/>
          <w:szCs w:val="28"/>
          <w:highlight w:val="none"/>
        </w:rPr>
        <w:t>附件四：技术条款偏离一览表</w:t>
      </w:r>
      <w:bookmarkEnd w:id="317"/>
      <w:bookmarkEnd w:id="318"/>
      <w:bookmarkEnd w:id="319"/>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rPr>
        <w:t>YXCG-20240319</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阳西县城市品牌旅游宣传展厅(阳西服务区北区展陈厅)布展服务项目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ind w:firstLine="0"/>
        <w:rPr>
          <w:rFonts w:hAnsi="宋体"/>
          <w:bCs/>
          <w:color w:val="000000" w:themeColor="text1"/>
          <w:szCs w:val="21"/>
          <w:highlight w:val="none"/>
        </w:rPr>
      </w:pPr>
    </w:p>
    <w:p>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20" w:name="_Toc31478"/>
      <w:r>
        <w:rPr>
          <w:rFonts w:hint="eastAsia" w:ascii="宋体" w:hAnsi="宋体"/>
          <w:color w:val="000000" w:themeColor="text1"/>
          <w:sz w:val="28"/>
          <w:szCs w:val="28"/>
          <w:highlight w:val="none"/>
        </w:rPr>
        <w:t>附件五：同类业绩一览表</w:t>
      </w:r>
      <w:bookmarkEnd w:id="320"/>
    </w:p>
    <w:p>
      <w:pPr>
        <w:pStyle w:val="5"/>
        <w:rPr>
          <w:color w:val="000000" w:themeColor="text1"/>
          <w:highlight w:val="none"/>
        </w:rPr>
      </w:pPr>
    </w:p>
    <w:p>
      <w:pPr>
        <w:pStyle w:val="5"/>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rPr>
        <w:t>YXCG-20240319</w:t>
      </w:r>
      <w:r>
        <w:rPr>
          <w:rFonts w:hint="eastAsia"/>
          <w:b/>
          <w:bCs/>
          <w:color w:val="000000" w:themeColor="text1"/>
          <w:sz w:val="21"/>
          <w:szCs w:val="21"/>
          <w:highlight w:val="none"/>
        </w:rPr>
        <w:t xml:space="preserve">  </w:t>
      </w:r>
    </w:p>
    <w:p>
      <w:pPr>
        <w:pStyle w:val="5"/>
        <w:spacing w:line="360" w:lineRule="auto"/>
        <w:rPr>
          <w:b/>
          <w:bCs/>
          <w:color w:val="000000" w:themeColor="text1"/>
          <w:sz w:val="21"/>
          <w:szCs w:val="21"/>
          <w:highlight w:val="none"/>
          <w:u w:val="single"/>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rPr>
        <w:t>阳西县城市品牌旅游宣传展厅(阳西服务区北区展陈厅)布展服务项目</w:t>
      </w:r>
    </w:p>
    <w:p>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3"/>
        <w:numPr>
          <w:ilvl w:val="0"/>
          <w:numId w:val="0"/>
        </w:numPr>
        <w:spacing w:line="400" w:lineRule="exact"/>
        <w:rPr>
          <w:rFonts w:hAnsi="黑体" w:cs="黑体"/>
          <w:color w:val="000000" w:themeColor="text1"/>
          <w:sz w:val="28"/>
          <w:szCs w:val="28"/>
          <w:highlight w:val="none"/>
        </w:rPr>
      </w:pPr>
      <w:bookmarkStart w:id="321" w:name="_Toc430771089"/>
      <w:bookmarkStart w:id="322" w:name="_Toc11866431"/>
      <w:bookmarkStart w:id="323" w:name="_Toc432695229"/>
      <w:bookmarkStart w:id="324" w:name="_Toc11866689"/>
      <w:bookmarkStart w:id="325" w:name="_Toc432682754"/>
      <w:bookmarkStart w:id="326" w:name="_Toc7149"/>
      <w:bookmarkStart w:id="327" w:name="_Toc28718"/>
      <w:bookmarkStart w:id="328" w:name="_Toc343248448"/>
      <w:bookmarkStart w:id="329" w:name="_Toc365967105"/>
      <w:bookmarkStart w:id="330" w:name="_Toc331512931"/>
      <w:bookmarkStart w:id="331" w:name="_Toc333935717"/>
      <w:bookmarkStart w:id="332" w:name="_Toc339020263"/>
      <w:bookmarkStart w:id="333" w:name="_Toc336681610"/>
      <w:bookmarkStart w:id="334" w:name="_Toc342312473"/>
      <w:bookmarkStart w:id="335" w:name="_Toc350438779"/>
      <w:bookmarkStart w:id="336" w:name="_Toc339362330"/>
      <w:bookmarkStart w:id="337" w:name="_Toc343247130"/>
      <w:bookmarkStart w:id="338" w:name="_Toc339020045"/>
      <w:bookmarkStart w:id="339" w:name="_Toc350756480"/>
      <w:bookmarkStart w:id="340" w:name="_Toc332270377"/>
      <w:bookmarkStart w:id="341" w:name="_Toc333238664"/>
      <w:bookmarkStart w:id="342" w:name="_Toc365985211"/>
      <w:bookmarkStart w:id="343" w:name="_Toc339019919"/>
      <w:bookmarkStart w:id="344" w:name="_Toc333935376"/>
      <w:bookmarkStart w:id="345" w:name="_Toc345312627"/>
      <w:bookmarkStart w:id="346" w:name="_Toc342296791"/>
      <w:bookmarkStart w:id="347" w:name="_Toc341348370"/>
      <w:bookmarkStart w:id="348" w:name="_Toc340672899"/>
      <w:bookmarkStart w:id="349" w:name="_Toc343612950"/>
      <w:bookmarkStart w:id="350" w:name="_Toc333237708"/>
      <w:bookmarkStart w:id="351" w:name="_Toc333237819"/>
      <w:bookmarkStart w:id="352" w:name="_Toc339441117"/>
      <w:bookmarkStart w:id="353" w:name="_Toc366072562"/>
      <w:bookmarkStart w:id="354" w:name="_Toc336681965"/>
      <w:bookmarkStart w:id="355" w:name="_Toc330460016"/>
      <w:bookmarkStart w:id="356" w:name="_Toc337632388"/>
      <w:bookmarkStart w:id="357" w:name="_Toc331684072"/>
      <w:bookmarkStart w:id="358" w:name="_Toc102451601"/>
      <w:bookmarkStart w:id="359" w:name="_Toc339020125"/>
      <w:bookmarkStart w:id="360" w:name="_Toc340677100"/>
      <w:bookmarkStart w:id="361" w:name="_Toc340507472"/>
      <w:bookmarkStart w:id="362" w:name="_Toc332206739"/>
      <w:bookmarkStart w:id="363" w:name="_Toc342398160"/>
      <w:bookmarkStart w:id="364" w:name="_Toc342060405"/>
      <w:r>
        <w:rPr>
          <w:rFonts w:hint="eastAsia"/>
          <w:color w:val="000000" w:themeColor="text1"/>
          <w:sz w:val="28"/>
          <w:szCs w:val="28"/>
          <w:highlight w:val="none"/>
        </w:rPr>
        <w:t>附件六：</w:t>
      </w:r>
      <w:r>
        <w:rPr>
          <w:rFonts w:hint="eastAsia" w:hAnsi="黑体" w:cs="黑体"/>
          <w:color w:val="000000" w:themeColor="text1"/>
          <w:sz w:val="28"/>
          <w:szCs w:val="28"/>
          <w:highlight w:val="none"/>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spacing w:line="440" w:lineRule="exact"/>
        <w:rPr>
          <w:rFonts w:ascii="宋体"/>
          <w:color w:val="000000" w:themeColor="text1"/>
          <w:highlight w:val="none"/>
        </w:rPr>
      </w:pPr>
      <w:r>
        <w:rPr>
          <w:rFonts w:hint="eastAsia" w:ascii="宋体" w:hAnsi="宋体"/>
          <w:bCs/>
          <w:color w:val="000000" w:themeColor="text1"/>
          <w:szCs w:val="21"/>
          <w:highlight w:val="none"/>
        </w:rPr>
        <w:t>日期：年月日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65" w:name="_Toc17368"/>
      <w:bookmarkStart w:id="366" w:name="_Toc11866690"/>
      <w:bookmarkStart w:id="367" w:name="_Toc32373"/>
      <w:bookmarkStart w:id="368" w:name="_Toc11866432"/>
      <w:bookmarkStart w:id="369" w:name="_Toc20242"/>
      <w:r>
        <w:rPr>
          <w:rFonts w:hint="eastAsia"/>
          <w:color w:val="000000" w:themeColor="text1"/>
          <w:sz w:val="28"/>
          <w:szCs w:val="28"/>
          <w:highlight w:val="none"/>
        </w:rPr>
        <w:t>附件七：</w:t>
      </w:r>
      <w:r>
        <w:rPr>
          <w:rFonts w:hint="eastAsia" w:hAnsi="黑体" w:cs="黑体"/>
          <w:color w:val="000000" w:themeColor="text1"/>
          <w:sz w:val="28"/>
          <w:szCs w:val="28"/>
          <w:highlight w:val="none"/>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pStyle w:val="5"/>
        <w:ind w:firstLine="0"/>
        <w:rPr>
          <w:color w:val="000000" w:themeColor="text1"/>
          <w:highlight w:val="none"/>
        </w:rPr>
      </w:pPr>
      <w:r>
        <w:rPr>
          <w:rFonts w:hint="eastAsia" w:hAnsi="宋体"/>
          <w:bCs/>
          <w:color w:val="000000" w:themeColor="text1"/>
          <w:sz w:val="21"/>
          <w:szCs w:val="21"/>
          <w:highlight w:val="none"/>
        </w:rPr>
        <w:t>日期：年月日</w:t>
      </w:r>
    </w:p>
    <w:p>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highlight w:val="none"/>
        </w:rPr>
      </w:pPr>
      <w:bookmarkStart w:id="370" w:name="_Toc469160804"/>
      <w:bookmarkStart w:id="371" w:name="_Toc200414534"/>
      <w:bookmarkStart w:id="372" w:name="_Toc30423"/>
      <w:r>
        <w:rPr>
          <w:rFonts w:hint="eastAsia" w:ascii="宋体" w:hAnsi="宋体"/>
          <w:color w:val="000000" w:themeColor="text1"/>
          <w:sz w:val="28"/>
          <w:szCs w:val="28"/>
          <w:highlight w:val="none"/>
        </w:rPr>
        <w:t>附件八：成交服务费承诺</w:t>
      </w:r>
      <w:bookmarkEnd w:id="370"/>
      <w:bookmarkEnd w:id="371"/>
      <w:bookmarkEnd w:id="372"/>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3"/>
        <w:numPr>
          <w:ilvl w:val="1"/>
          <w:numId w:val="0"/>
        </w:numPr>
        <w:spacing w:line="360" w:lineRule="auto"/>
        <w:rPr>
          <w:rFonts w:ascii="宋体" w:hAnsi="宋体"/>
          <w:color w:val="000000" w:themeColor="text1"/>
          <w:sz w:val="28"/>
          <w:szCs w:val="28"/>
          <w:highlight w:val="none"/>
        </w:rPr>
      </w:pPr>
      <w:bookmarkStart w:id="373" w:name="_Toc469160805"/>
      <w:bookmarkStart w:id="374" w:name="_Toc15382"/>
      <w:bookmarkStart w:id="375" w:name="_Toc200414535"/>
      <w:r>
        <w:rPr>
          <w:rFonts w:hint="eastAsia" w:ascii="宋体" w:hAnsi="宋体"/>
          <w:color w:val="000000" w:themeColor="text1"/>
          <w:sz w:val="28"/>
          <w:szCs w:val="28"/>
          <w:highlight w:val="none"/>
        </w:rPr>
        <w:t>附件九：磋商供应商提交的其他资料</w:t>
      </w:r>
      <w:bookmarkEnd w:id="373"/>
      <w:bookmarkEnd w:id="374"/>
      <w:bookmarkEnd w:id="37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YXCG-20240319</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阳西县城市品牌旅游宣传展厅(阳西服务区北区展陈厅)布展服务项目</w:t>
      </w:r>
    </w:p>
    <w:p>
      <w:pPr>
        <w:adjustRightInd w:val="0"/>
        <w:snapToGrid w:val="0"/>
        <w:spacing w:line="360" w:lineRule="auto"/>
        <w:jc w:val="left"/>
        <w:rPr>
          <w:rFonts w:ascii="宋体" w:hAnsi="宋体"/>
          <w:bCs/>
          <w:color w:val="000000" w:themeColor="text1"/>
          <w:szCs w:val="21"/>
          <w:highlight w:val="none"/>
          <w:u w:val="single"/>
        </w:rPr>
      </w:pPr>
    </w:p>
    <w:p>
      <w:pPr>
        <w:pStyle w:val="5"/>
        <w:spacing w:line="360" w:lineRule="auto"/>
        <w:rPr>
          <w:rFonts w:hAnsi="宋体"/>
          <w:color w:val="000000" w:themeColor="text1"/>
          <w:sz w:val="21"/>
          <w:szCs w:val="21"/>
          <w:highlight w:val="none"/>
        </w:rPr>
      </w:pP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rFonts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5"/>
        <w:spacing w:line="360" w:lineRule="auto"/>
        <w:rPr>
          <w:rFonts w:hAnsi="宋体"/>
          <w:color w:val="000000" w:themeColor="text1"/>
          <w:highlight w:val="none"/>
        </w:rPr>
      </w:pPr>
    </w:p>
    <w:p>
      <w:pPr>
        <w:pStyle w:val="5"/>
        <w:ind w:firstLine="0"/>
        <w:rPr>
          <w:rFonts w:hAnsi="宋体"/>
          <w:color w:val="000000" w:themeColor="text1"/>
          <w:highlight w:val="none"/>
        </w:rPr>
      </w:pPr>
      <w:bookmarkStart w:id="376" w:name="_Toc434832511"/>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3"/>
        <w:numPr>
          <w:ilvl w:val="1"/>
          <w:numId w:val="0"/>
        </w:numPr>
        <w:spacing w:line="360" w:lineRule="auto"/>
        <w:rPr>
          <w:rFonts w:ascii="宋体" w:hAnsi="宋体"/>
          <w:color w:val="000000" w:themeColor="text1"/>
          <w:sz w:val="52"/>
          <w:highlight w:val="none"/>
        </w:rPr>
      </w:pPr>
      <w:bookmarkStart w:id="377" w:name="_Toc469160806"/>
      <w:bookmarkStart w:id="378" w:name="_Toc22808"/>
      <w:r>
        <w:rPr>
          <w:rFonts w:hint="eastAsia" w:ascii="宋体" w:hAnsi="宋体"/>
          <w:color w:val="000000" w:themeColor="text1"/>
          <w:sz w:val="52"/>
          <w:highlight w:val="none"/>
        </w:rPr>
        <w:t>其 他 格 式</w:t>
      </w:r>
      <w:bookmarkEnd w:id="376"/>
      <w:bookmarkEnd w:id="377"/>
      <w:bookmarkEnd w:id="378"/>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rPr>
          <w:b/>
          <w:bCs/>
          <w:color w:val="000000" w:themeColor="text1"/>
          <w:sz w:val="44"/>
          <w:szCs w:val="44"/>
          <w:highlight w:val="none"/>
        </w:rPr>
      </w:pPr>
      <w:r>
        <w:rPr>
          <w:rFonts w:hint="eastAsia"/>
          <w:b/>
          <w:bCs/>
          <w:color w:val="000000" w:themeColor="text1"/>
          <w:sz w:val="44"/>
          <w:szCs w:val="44"/>
          <w:highlight w:val="none"/>
        </w:rPr>
        <w:br w:type="page"/>
      </w:r>
    </w:p>
    <w:p>
      <w:pPr>
        <w:jc w:val="center"/>
        <w:rPr>
          <w:b/>
          <w:bCs/>
          <w:color w:val="000000" w:themeColor="text1"/>
          <w:szCs w:val="21"/>
          <w:highlight w:val="none"/>
        </w:rPr>
      </w:pPr>
      <w:r>
        <w:rPr>
          <w:rFonts w:hint="eastAsia"/>
          <w:b/>
          <w:bCs/>
          <w:color w:val="000000" w:themeColor="text1"/>
          <w:sz w:val="44"/>
          <w:szCs w:val="44"/>
          <w:highlight w:val="none"/>
        </w:rPr>
        <w:t>购买标书登记表</w:t>
      </w:r>
    </w:p>
    <w:p>
      <w:pPr>
        <w:jc w:val="center"/>
        <w:rPr>
          <w:color w:val="000000" w:themeColor="text1"/>
          <w:szCs w:val="21"/>
          <w:highlight w:val="none"/>
        </w:rPr>
      </w:pPr>
    </w:p>
    <w:tbl>
      <w:tblPr>
        <w:tblStyle w:val="51"/>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项目名称</w:t>
            </w:r>
          </w:p>
        </w:tc>
        <w:tc>
          <w:tcPr>
            <w:tcW w:w="6520"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购买时间</w:t>
            </w:r>
          </w:p>
        </w:tc>
        <w:tc>
          <w:tcPr>
            <w:tcW w:w="2640"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投标商名称</w:t>
            </w:r>
          </w:p>
        </w:tc>
        <w:tc>
          <w:tcPr>
            <w:tcW w:w="6520"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地址</w:t>
            </w:r>
          </w:p>
        </w:tc>
        <w:tc>
          <w:tcPr>
            <w:tcW w:w="6520"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传真</w:t>
            </w:r>
          </w:p>
        </w:tc>
        <w:tc>
          <w:tcPr>
            <w:tcW w:w="2640"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手机</w:t>
            </w:r>
          </w:p>
        </w:tc>
        <w:tc>
          <w:tcPr>
            <w:tcW w:w="2640"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电子邮件</w:t>
            </w:r>
          </w:p>
        </w:tc>
        <w:tc>
          <w:tcPr>
            <w:tcW w:w="2640"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拟投设备</w:t>
            </w:r>
          </w:p>
        </w:tc>
        <w:tc>
          <w:tcPr>
            <w:tcW w:w="6520"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制造厂商</w:t>
            </w:r>
          </w:p>
        </w:tc>
        <w:tc>
          <w:tcPr>
            <w:tcW w:w="6520"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经营范围</w:t>
            </w:r>
          </w:p>
        </w:tc>
        <w:tc>
          <w:tcPr>
            <w:tcW w:w="6520" w:type="dxa"/>
            <w:gridSpan w:val="3"/>
          </w:tcPr>
          <w:p>
            <w:pPr>
              <w:rPr>
                <w:color w:val="000000" w:themeColor="text1"/>
                <w:sz w:val="28"/>
                <w:szCs w:val="28"/>
                <w:highlight w:val="none"/>
              </w:rPr>
            </w:pPr>
          </w:p>
        </w:tc>
      </w:tr>
    </w:tbl>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pPr>
        <w:pStyle w:val="45"/>
        <w:snapToGrid w:val="0"/>
        <w:spacing w:before="0" w:beforeAutospacing="0" w:after="0" w:afterAutospacing="0" w:line="360" w:lineRule="auto"/>
        <w:jc w:val="both"/>
        <w:rPr>
          <w:color w:val="000000" w:themeColor="text1"/>
          <w:sz w:val="2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rPr>
      </w:pPr>
    </w:p>
    <w:p>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rPr>
      </w:pPr>
    </w:p>
    <w:p>
      <w:pPr>
        <w:tabs>
          <w:tab w:val="left" w:pos="6300"/>
        </w:tabs>
        <w:snapToGrid w:val="0"/>
        <w:spacing w:line="360" w:lineRule="auto"/>
        <w:ind w:firstLine="1260" w:firstLineChars="600"/>
        <w:jc w:val="left"/>
        <w:rPr>
          <w:rFonts w:ascii="宋体" w:hAnsi="宋体"/>
          <w:color w:val="000000" w:themeColor="text1"/>
          <w:szCs w:val="21"/>
          <w:highlight w:val="none"/>
        </w:rPr>
      </w:pPr>
    </w:p>
    <w:p>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snapToGrid w:val="0"/>
        <w:spacing w:line="360" w:lineRule="auto"/>
        <w:ind w:firstLine="378" w:firstLineChars="180"/>
        <w:rPr>
          <w:rFonts w:ascii="宋体" w:hAnsi="宋体"/>
          <w:color w:val="000000" w:themeColor="text1"/>
          <w:szCs w:val="21"/>
          <w:highlight w:val="none"/>
        </w:rPr>
      </w:pPr>
    </w:p>
    <w:p>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pPr>
        <w:adjustRightInd w:val="0"/>
        <w:snapToGrid w:val="0"/>
        <w:spacing w:before="312"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Heiti SC Light">
    <w:altName w:val="Times New Roman"/>
    <w:panose1 w:val="02010609000101010101"/>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1F00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3715"/>
    <w:rsid w:val="00015EFC"/>
    <w:rsid w:val="00022A82"/>
    <w:rsid w:val="000351F0"/>
    <w:rsid w:val="00043F63"/>
    <w:rsid w:val="00044719"/>
    <w:rsid w:val="000545F6"/>
    <w:rsid w:val="000551CA"/>
    <w:rsid w:val="0006223B"/>
    <w:rsid w:val="00065D85"/>
    <w:rsid w:val="000728A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2F88"/>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1D3C"/>
    <w:rsid w:val="007C24B2"/>
    <w:rsid w:val="007C26FA"/>
    <w:rsid w:val="007E59D4"/>
    <w:rsid w:val="007F44B6"/>
    <w:rsid w:val="008123D8"/>
    <w:rsid w:val="00825D9B"/>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1E6"/>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62492"/>
    <w:rsid w:val="00C74BD8"/>
    <w:rsid w:val="00C75A7F"/>
    <w:rsid w:val="00CC284F"/>
    <w:rsid w:val="00CD0D7C"/>
    <w:rsid w:val="00CD348D"/>
    <w:rsid w:val="00D204BF"/>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57E52"/>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721F8F"/>
    <w:rsid w:val="01D96468"/>
    <w:rsid w:val="02641C78"/>
    <w:rsid w:val="02823B92"/>
    <w:rsid w:val="02A604E3"/>
    <w:rsid w:val="03A82039"/>
    <w:rsid w:val="03DE6DD7"/>
    <w:rsid w:val="04531CBE"/>
    <w:rsid w:val="046C420D"/>
    <w:rsid w:val="055E5DBD"/>
    <w:rsid w:val="05B74B10"/>
    <w:rsid w:val="064424ED"/>
    <w:rsid w:val="06693D01"/>
    <w:rsid w:val="068427B9"/>
    <w:rsid w:val="06B33330"/>
    <w:rsid w:val="07474F91"/>
    <w:rsid w:val="074B78AB"/>
    <w:rsid w:val="08BB636A"/>
    <w:rsid w:val="092411E2"/>
    <w:rsid w:val="09B259BF"/>
    <w:rsid w:val="09B5725D"/>
    <w:rsid w:val="09F71624"/>
    <w:rsid w:val="0A2F1BEE"/>
    <w:rsid w:val="0A310FDA"/>
    <w:rsid w:val="0BA23562"/>
    <w:rsid w:val="0BC922C1"/>
    <w:rsid w:val="0CC60B32"/>
    <w:rsid w:val="0D257FE2"/>
    <w:rsid w:val="0D71793F"/>
    <w:rsid w:val="0DB25F8E"/>
    <w:rsid w:val="0F0E3FFD"/>
    <w:rsid w:val="0F262DEA"/>
    <w:rsid w:val="0FEE34C9"/>
    <w:rsid w:val="0FFF2388"/>
    <w:rsid w:val="0FFF66C5"/>
    <w:rsid w:val="10834434"/>
    <w:rsid w:val="10EC06AA"/>
    <w:rsid w:val="11515425"/>
    <w:rsid w:val="11D4527C"/>
    <w:rsid w:val="12374CB3"/>
    <w:rsid w:val="12437AFC"/>
    <w:rsid w:val="12934050"/>
    <w:rsid w:val="12ED4198"/>
    <w:rsid w:val="13730200"/>
    <w:rsid w:val="13AE369B"/>
    <w:rsid w:val="13C327F4"/>
    <w:rsid w:val="1525173B"/>
    <w:rsid w:val="154A11A2"/>
    <w:rsid w:val="158F3058"/>
    <w:rsid w:val="15B71F81"/>
    <w:rsid w:val="15DD3DC4"/>
    <w:rsid w:val="163F2424"/>
    <w:rsid w:val="164F3429"/>
    <w:rsid w:val="16CD208A"/>
    <w:rsid w:val="18357EE7"/>
    <w:rsid w:val="19325F6D"/>
    <w:rsid w:val="1942201F"/>
    <w:rsid w:val="1A067C3A"/>
    <w:rsid w:val="1AFB4E47"/>
    <w:rsid w:val="1BF0493A"/>
    <w:rsid w:val="1CDA72AF"/>
    <w:rsid w:val="1DF12B02"/>
    <w:rsid w:val="1E2C7696"/>
    <w:rsid w:val="1EAE5BFF"/>
    <w:rsid w:val="1F2A3EE6"/>
    <w:rsid w:val="1F3423CC"/>
    <w:rsid w:val="1F7D3F22"/>
    <w:rsid w:val="1FA63E40"/>
    <w:rsid w:val="1FA92F69"/>
    <w:rsid w:val="200F7270"/>
    <w:rsid w:val="20216FA3"/>
    <w:rsid w:val="20344F28"/>
    <w:rsid w:val="20B60081"/>
    <w:rsid w:val="20F070A1"/>
    <w:rsid w:val="2114292B"/>
    <w:rsid w:val="2224626D"/>
    <w:rsid w:val="232272BA"/>
    <w:rsid w:val="23694EE9"/>
    <w:rsid w:val="23871054"/>
    <w:rsid w:val="24075A69"/>
    <w:rsid w:val="2533755C"/>
    <w:rsid w:val="256C2A6E"/>
    <w:rsid w:val="256D5E35"/>
    <w:rsid w:val="25D54AB7"/>
    <w:rsid w:val="2612049D"/>
    <w:rsid w:val="26301CEE"/>
    <w:rsid w:val="26386DFE"/>
    <w:rsid w:val="26835D38"/>
    <w:rsid w:val="26E638F2"/>
    <w:rsid w:val="26F66595"/>
    <w:rsid w:val="27822A1D"/>
    <w:rsid w:val="278B7B24"/>
    <w:rsid w:val="27D011E0"/>
    <w:rsid w:val="27D17500"/>
    <w:rsid w:val="28101DD7"/>
    <w:rsid w:val="293164A9"/>
    <w:rsid w:val="29A46E4B"/>
    <w:rsid w:val="2A0F695A"/>
    <w:rsid w:val="2AB078A1"/>
    <w:rsid w:val="2C3216E7"/>
    <w:rsid w:val="2D21131A"/>
    <w:rsid w:val="2D4E7DEC"/>
    <w:rsid w:val="2D947006"/>
    <w:rsid w:val="2D9E585B"/>
    <w:rsid w:val="2E4B3B69"/>
    <w:rsid w:val="2E870919"/>
    <w:rsid w:val="2EA25E08"/>
    <w:rsid w:val="2EE6563F"/>
    <w:rsid w:val="2F1C5505"/>
    <w:rsid w:val="2F49095D"/>
    <w:rsid w:val="2F8222CE"/>
    <w:rsid w:val="2FAA5E8A"/>
    <w:rsid w:val="2FCF2577"/>
    <w:rsid w:val="2FFD5337"/>
    <w:rsid w:val="30FF3071"/>
    <w:rsid w:val="312E1520"/>
    <w:rsid w:val="316A0071"/>
    <w:rsid w:val="3253123E"/>
    <w:rsid w:val="328E04C8"/>
    <w:rsid w:val="32BA12BD"/>
    <w:rsid w:val="32E620B2"/>
    <w:rsid w:val="3337290D"/>
    <w:rsid w:val="33380434"/>
    <w:rsid w:val="33423566"/>
    <w:rsid w:val="33BD0E30"/>
    <w:rsid w:val="34A01C68"/>
    <w:rsid w:val="34E74E6C"/>
    <w:rsid w:val="35122DA6"/>
    <w:rsid w:val="35505D31"/>
    <w:rsid w:val="35E07D8A"/>
    <w:rsid w:val="37377380"/>
    <w:rsid w:val="37682C68"/>
    <w:rsid w:val="37BC5AD7"/>
    <w:rsid w:val="37FE2480"/>
    <w:rsid w:val="38BD6B23"/>
    <w:rsid w:val="392D5035"/>
    <w:rsid w:val="3955032C"/>
    <w:rsid w:val="39F57E9E"/>
    <w:rsid w:val="3A122D48"/>
    <w:rsid w:val="3A9262F0"/>
    <w:rsid w:val="3B691AD2"/>
    <w:rsid w:val="3C346CB0"/>
    <w:rsid w:val="3CB21257"/>
    <w:rsid w:val="3D193084"/>
    <w:rsid w:val="3E8F1850"/>
    <w:rsid w:val="402736CA"/>
    <w:rsid w:val="41452699"/>
    <w:rsid w:val="41526A2B"/>
    <w:rsid w:val="415E7F28"/>
    <w:rsid w:val="41BB6E00"/>
    <w:rsid w:val="42D02437"/>
    <w:rsid w:val="432F208C"/>
    <w:rsid w:val="43BD0C0D"/>
    <w:rsid w:val="458A55B2"/>
    <w:rsid w:val="460102A4"/>
    <w:rsid w:val="46DA3884"/>
    <w:rsid w:val="47653A95"/>
    <w:rsid w:val="47884F34"/>
    <w:rsid w:val="47D87B0B"/>
    <w:rsid w:val="48C4659A"/>
    <w:rsid w:val="4AE922E8"/>
    <w:rsid w:val="4AFB4AC3"/>
    <w:rsid w:val="4B7E556C"/>
    <w:rsid w:val="4BA0240B"/>
    <w:rsid w:val="4BD56D10"/>
    <w:rsid w:val="4C1635B0"/>
    <w:rsid w:val="4C9D1F42"/>
    <w:rsid w:val="4CEB2649"/>
    <w:rsid w:val="4DAD1CF2"/>
    <w:rsid w:val="4E2B70BB"/>
    <w:rsid w:val="4FBC621D"/>
    <w:rsid w:val="500330CA"/>
    <w:rsid w:val="50E7551B"/>
    <w:rsid w:val="50F10148"/>
    <w:rsid w:val="518C7E71"/>
    <w:rsid w:val="51ED7825"/>
    <w:rsid w:val="5246001F"/>
    <w:rsid w:val="53560736"/>
    <w:rsid w:val="5358625C"/>
    <w:rsid w:val="53847836"/>
    <w:rsid w:val="53FB26C8"/>
    <w:rsid w:val="5404118E"/>
    <w:rsid w:val="549E4143"/>
    <w:rsid w:val="54CA13DC"/>
    <w:rsid w:val="550146D2"/>
    <w:rsid w:val="56597A61"/>
    <w:rsid w:val="56696D4B"/>
    <w:rsid w:val="56A47A0A"/>
    <w:rsid w:val="56A96624"/>
    <w:rsid w:val="56B22645"/>
    <w:rsid w:val="57B27F05"/>
    <w:rsid w:val="57D14C92"/>
    <w:rsid w:val="58913FAE"/>
    <w:rsid w:val="58B303D9"/>
    <w:rsid w:val="596D137E"/>
    <w:rsid w:val="5A3B5BEB"/>
    <w:rsid w:val="5AB346C0"/>
    <w:rsid w:val="5D213B63"/>
    <w:rsid w:val="5D303DA6"/>
    <w:rsid w:val="5D69550A"/>
    <w:rsid w:val="5D6D4833"/>
    <w:rsid w:val="5DD92690"/>
    <w:rsid w:val="5E0E3303"/>
    <w:rsid w:val="5E5A13AA"/>
    <w:rsid w:val="5EE44E48"/>
    <w:rsid w:val="5EF93166"/>
    <w:rsid w:val="5F3E4F9F"/>
    <w:rsid w:val="5F4F0E5B"/>
    <w:rsid w:val="5FA6034F"/>
    <w:rsid w:val="5FB3660D"/>
    <w:rsid w:val="608B3A3E"/>
    <w:rsid w:val="60E9305E"/>
    <w:rsid w:val="622D4D58"/>
    <w:rsid w:val="62546789"/>
    <w:rsid w:val="63663D5E"/>
    <w:rsid w:val="636E2764"/>
    <w:rsid w:val="637F4381"/>
    <w:rsid w:val="63870498"/>
    <w:rsid w:val="641461CF"/>
    <w:rsid w:val="644E3D19"/>
    <w:rsid w:val="64FC5595"/>
    <w:rsid w:val="65624D19"/>
    <w:rsid w:val="658560E3"/>
    <w:rsid w:val="65BF03BD"/>
    <w:rsid w:val="664447E4"/>
    <w:rsid w:val="66C57C55"/>
    <w:rsid w:val="6754049C"/>
    <w:rsid w:val="681E128D"/>
    <w:rsid w:val="683C3F47"/>
    <w:rsid w:val="68FD36D6"/>
    <w:rsid w:val="693E5A9D"/>
    <w:rsid w:val="6B777044"/>
    <w:rsid w:val="6C21592D"/>
    <w:rsid w:val="6CDF30F3"/>
    <w:rsid w:val="6D3A11ED"/>
    <w:rsid w:val="6D914DC2"/>
    <w:rsid w:val="6E463EA2"/>
    <w:rsid w:val="6E510020"/>
    <w:rsid w:val="6EAB3BD4"/>
    <w:rsid w:val="6EAB4EC2"/>
    <w:rsid w:val="6F156D3B"/>
    <w:rsid w:val="6FB80FA8"/>
    <w:rsid w:val="6FFB6495"/>
    <w:rsid w:val="71495E20"/>
    <w:rsid w:val="71995F66"/>
    <w:rsid w:val="720535FB"/>
    <w:rsid w:val="72365D0D"/>
    <w:rsid w:val="72807126"/>
    <w:rsid w:val="72F571CC"/>
    <w:rsid w:val="73E4266A"/>
    <w:rsid w:val="74185868"/>
    <w:rsid w:val="75252A65"/>
    <w:rsid w:val="75452980"/>
    <w:rsid w:val="755328D0"/>
    <w:rsid w:val="759F6059"/>
    <w:rsid w:val="75B025BC"/>
    <w:rsid w:val="75EF0D47"/>
    <w:rsid w:val="76361FD5"/>
    <w:rsid w:val="76950BB7"/>
    <w:rsid w:val="76C53707"/>
    <w:rsid w:val="772C4C9B"/>
    <w:rsid w:val="777D3C34"/>
    <w:rsid w:val="77A94A29"/>
    <w:rsid w:val="77B02E54"/>
    <w:rsid w:val="77C35AEB"/>
    <w:rsid w:val="77E65C7D"/>
    <w:rsid w:val="78683188"/>
    <w:rsid w:val="78A37C84"/>
    <w:rsid w:val="78A42AC5"/>
    <w:rsid w:val="78C11618"/>
    <w:rsid w:val="79EB1329"/>
    <w:rsid w:val="7A4153ED"/>
    <w:rsid w:val="7AC2590B"/>
    <w:rsid w:val="7B24371D"/>
    <w:rsid w:val="7BA06335"/>
    <w:rsid w:val="7BB60917"/>
    <w:rsid w:val="7BD32074"/>
    <w:rsid w:val="7C9944BA"/>
    <w:rsid w:val="7D1B1F25"/>
    <w:rsid w:val="7D5176F5"/>
    <w:rsid w:val="7D814A2B"/>
    <w:rsid w:val="7E4F632A"/>
    <w:rsid w:val="7E9C7095"/>
    <w:rsid w:val="7EB95A3C"/>
    <w:rsid w:val="7F5C537E"/>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9"/>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4"/>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9"/>
    <w:autoRedefine/>
    <w:qFormat/>
    <w:uiPriority w:val="0"/>
    <w:pPr>
      <w:keepNext/>
      <w:keepLines/>
      <w:spacing w:before="280" w:after="290" w:line="376" w:lineRule="auto"/>
      <w:outlineLvl w:val="4"/>
    </w:pPr>
    <w:rPr>
      <w:b/>
      <w:sz w:val="28"/>
      <w:szCs w:val="20"/>
    </w:rPr>
  </w:style>
  <w:style w:type="paragraph" w:styleId="8">
    <w:name w:val="heading 6"/>
    <w:basedOn w:val="1"/>
    <w:next w:val="5"/>
    <w:link w:val="114"/>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2"/>
    <w:autoRedefine/>
    <w:qFormat/>
    <w:uiPriority w:val="0"/>
    <w:pPr>
      <w:keepNext/>
      <w:keepLines/>
      <w:spacing w:before="240" w:after="64" w:line="320" w:lineRule="auto"/>
      <w:outlineLvl w:val="6"/>
    </w:pPr>
    <w:rPr>
      <w:b/>
      <w:bCs/>
      <w:sz w:val="24"/>
    </w:rPr>
  </w:style>
  <w:style w:type="paragraph" w:styleId="10">
    <w:name w:val="heading 8"/>
    <w:basedOn w:val="1"/>
    <w:next w:val="5"/>
    <w:link w:val="122"/>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6"/>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5"/>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1"/>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1"/>
    <w:autoRedefine/>
    <w:qFormat/>
    <w:uiPriority w:val="0"/>
    <w:pPr>
      <w:spacing w:line="360" w:lineRule="auto"/>
      <w:jc w:val="left"/>
    </w:pPr>
    <w:rPr>
      <w:szCs w:val="20"/>
    </w:rPr>
  </w:style>
  <w:style w:type="paragraph" w:styleId="18">
    <w:name w:val="Body Text 3"/>
    <w:basedOn w:val="1"/>
    <w:link w:val="79"/>
    <w:autoRedefine/>
    <w:qFormat/>
    <w:uiPriority w:val="0"/>
    <w:pPr>
      <w:spacing w:after="120"/>
    </w:pPr>
    <w:rPr>
      <w:sz w:val="16"/>
      <w:szCs w:val="16"/>
    </w:rPr>
  </w:style>
  <w:style w:type="paragraph" w:styleId="19">
    <w:name w:val="Body Text"/>
    <w:basedOn w:val="1"/>
    <w:link w:val="95"/>
    <w:autoRedefine/>
    <w:qFormat/>
    <w:uiPriority w:val="0"/>
    <w:pPr>
      <w:spacing w:after="120"/>
    </w:pPr>
  </w:style>
  <w:style w:type="paragraph" w:styleId="20">
    <w:name w:val="Body Text Indent"/>
    <w:basedOn w:val="1"/>
    <w:link w:val="131"/>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6"/>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2"/>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3"/>
    <w:autoRedefine/>
    <w:qFormat/>
    <w:uiPriority w:val="0"/>
    <w:pPr>
      <w:numPr>
        <w:ilvl w:val="0"/>
        <w:numId w:val="4"/>
      </w:numPr>
      <w:ind w:left="100" w:leftChars="2500"/>
    </w:pPr>
  </w:style>
  <w:style w:type="paragraph" w:styleId="29">
    <w:name w:val="Body Text Indent 2"/>
    <w:basedOn w:val="1"/>
    <w:next w:val="1"/>
    <w:link w:val="123"/>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2"/>
    <w:autoRedefine/>
    <w:qFormat/>
    <w:uiPriority w:val="0"/>
    <w:rPr>
      <w:sz w:val="18"/>
      <w:szCs w:val="18"/>
    </w:rPr>
  </w:style>
  <w:style w:type="paragraph" w:styleId="31">
    <w:name w:val="footer"/>
    <w:basedOn w:val="1"/>
    <w:link w:val="85"/>
    <w:autoRedefine/>
    <w:qFormat/>
    <w:uiPriority w:val="0"/>
    <w:pPr>
      <w:tabs>
        <w:tab w:val="center" w:pos="4153"/>
        <w:tab w:val="right" w:pos="8306"/>
      </w:tabs>
      <w:snapToGrid w:val="0"/>
      <w:jc w:val="left"/>
    </w:pPr>
    <w:rPr>
      <w:kern w:val="0"/>
      <w:sz w:val="18"/>
      <w:szCs w:val="18"/>
    </w:rPr>
  </w:style>
  <w:style w:type="paragraph" w:styleId="32">
    <w:name w:val="header"/>
    <w:basedOn w:val="1"/>
    <w:link w:val="135"/>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6"/>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6"/>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8"/>
    <w:autoRedefine/>
    <w:qFormat/>
    <w:uiPriority w:val="0"/>
    <w:pPr>
      <w:spacing w:line="360" w:lineRule="auto"/>
    </w:pPr>
    <w:rPr>
      <w:rFonts w:ascii="仿宋_GB2312" w:eastAsia="仿宋_GB2312"/>
      <w:sz w:val="32"/>
    </w:rPr>
  </w:style>
  <w:style w:type="paragraph" w:styleId="44">
    <w:name w:val="HTML Preformatted"/>
    <w:basedOn w:val="1"/>
    <w:link w:val="1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1"/>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autoRedefine/>
    <w:qFormat/>
    <w:uiPriority w:val="0"/>
    <w:pPr>
      <w:spacing w:line="240" w:lineRule="auto"/>
    </w:pPr>
    <w:rPr>
      <w:b/>
      <w:bCs/>
      <w:szCs w:val="24"/>
    </w:rPr>
  </w:style>
  <w:style w:type="paragraph" w:styleId="49">
    <w:name w:val="Body Text First Indent"/>
    <w:basedOn w:val="19"/>
    <w:link w:val="159"/>
    <w:autoRedefine/>
    <w:qFormat/>
    <w:uiPriority w:val="0"/>
    <w:pPr>
      <w:ind w:firstLine="100" w:firstLineChars="100"/>
    </w:pPr>
    <w:rPr>
      <w:rFonts w:ascii="Calibri" w:hAnsi="Calibri"/>
      <w:szCs w:val="22"/>
    </w:rPr>
  </w:style>
  <w:style w:type="paragraph" w:styleId="50">
    <w:name w:val="Body Text First Indent 2"/>
    <w:basedOn w:val="20"/>
    <w:link w:val="66"/>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autoRedefine/>
    <w:qFormat/>
    <w:uiPriority w:val="0"/>
    <w:rPr>
      <w:rFonts w:ascii="Arial Narrow" w:hAnsi="Arial Narrow"/>
      <w:sz w:val="24"/>
      <w:szCs w:val="24"/>
      <w:lang w:val="en-US" w:eastAsia="zh-CN" w:bidi="ar-SA"/>
    </w:rPr>
  </w:style>
  <w:style w:type="paragraph" w:customStyle="1" w:styleId="62">
    <w:name w:val="文档正文"/>
    <w:link w:val="61"/>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autoRedefine/>
    <w:qFormat/>
    <w:uiPriority w:val="0"/>
    <w:rPr>
      <w:sz w:val="18"/>
      <w:szCs w:val="18"/>
      <w:u w:val="none"/>
    </w:rPr>
  </w:style>
  <w:style w:type="character" w:customStyle="1" w:styleId="64">
    <w:name w:val="标题 4 字符"/>
    <w:link w:val="6"/>
    <w:autoRedefine/>
    <w:qFormat/>
    <w:uiPriority w:val="0"/>
    <w:rPr>
      <w:rFonts w:ascii="Arial" w:hAnsi="Arial" w:eastAsia="黑体"/>
      <w:b/>
      <w:bCs/>
      <w:kern w:val="2"/>
      <w:sz w:val="28"/>
      <w:szCs w:val="28"/>
      <w:lang w:val="en-US" w:eastAsia="zh-CN" w:bidi="ar-SA"/>
    </w:rPr>
  </w:style>
  <w:style w:type="character" w:customStyle="1" w:styleId="65">
    <w:name w:val="font21"/>
    <w:basedOn w:val="53"/>
    <w:autoRedefine/>
    <w:qFormat/>
    <w:uiPriority w:val="0"/>
    <w:rPr>
      <w:rFonts w:hint="default" w:ascii="Arial" w:hAnsi="Arial" w:cs="Arial"/>
      <w:color w:val="000000"/>
      <w:sz w:val="24"/>
      <w:szCs w:val="24"/>
      <w:u w:val="none"/>
    </w:rPr>
  </w:style>
  <w:style w:type="character" w:customStyle="1" w:styleId="66">
    <w:name w:val="正文文本首行缩进 2 字符"/>
    <w:link w:val="50"/>
    <w:autoRedefine/>
    <w:qFormat/>
    <w:uiPriority w:val="0"/>
    <w:rPr>
      <w:rFonts w:ascii="Calibri" w:hAnsi="Calibri" w:eastAsia="仿宋_GB2312"/>
      <w:kern w:val="2"/>
      <w:sz w:val="21"/>
      <w:szCs w:val="22"/>
      <w:lang w:val="en-US" w:eastAsia="zh-CN" w:bidi="ar-SA"/>
    </w:rPr>
  </w:style>
  <w:style w:type="character" w:customStyle="1" w:styleId="67">
    <w:name w:val="类目1 Char Char"/>
    <w:link w:val="68"/>
    <w:autoRedefine/>
    <w:qFormat/>
    <w:uiPriority w:val="0"/>
    <w:rPr>
      <w:b/>
      <w:color w:val="17365D"/>
      <w:kern w:val="2"/>
      <w:sz w:val="28"/>
      <w:szCs w:val="28"/>
      <w:lang w:bidi="ar-SA"/>
    </w:rPr>
  </w:style>
  <w:style w:type="paragraph" w:customStyle="1" w:styleId="68">
    <w:name w:val="类目1"/>
    <w:basedOn w:val="1"/>
    <w:link w:val="67"/>
    <w:autoRedefine/>
    <w:qFormat/>
    <w:uiPriority w:val="0"/>
    <w:pPr>
      <w:adjustRightInd w:val="0"/>
      <w:snapToGrid w:val="0"/>
      <w:spacing w:line="220" w:lineRule="atLeast"/>
    </w:pPr>
    <w:rPr>
      <w:b/>
      <w:color w:val="17365D"/>
      <w:sz w:val="28"/>
      <w:szCs w:val="28"/>
    </w:rPr>
  </w:style>
  <w:style w:type="character" w:customStyle="1" w:styleId="69">
    <w:name w:val="text1"/>
    <w:autoRedefine/>
    <w:qFormat/>
    <w:uiPriority w:val="0"/>
    <w:rPr>
      <w:sz w:val="20"/>
      <w:szCs w:val="20"/>
    </w:rPr>
  </w:style>
  <w:style w:type="character" w:customStyle="1" w:styleId="70">
    <w:name w:val="ca-5"/>
    <w:basedOn w:val="53"/>
    <w:autoRedefine/>
    <w:qFormat/>
    <w:uiPriority w:val="0"/>
  </w:style>
  <w:style w:type="character" w:customStyle="1" w:styleId="71">
    <w:name w:val="批注文字 字符"/>
    <w:link w:val="17"/>
    <w:autoRedefine/>
    <w:qFormat/>
    <w:uiPriority w:val="0"/>
    <w:rPr>
      <w:kern w:val="2"/>
      <w:sz w:val="21"/>
      <w:lang w:bidi="ar-SA"/>
    </w:rPr>
  </w:style>
  <w:style w:type="character" w:customStyle="1" w:styleId="72">
    <w:name w:val="Char Char14"/>
    <w:autoRedefine/>
    <w:qFormat/>
    <w:uiPriority w:val="0"/>
    <w:rPr>
      <w:rFonts w:ascii="宋体" w:eastAsia="宋体"/>
      <w:sz w:val="34"/>
      <w:lang w:val="en-US" w:eastAsia="zh-CN" w:bidi="ar-SA"/>
    </w:rPr>
  </w:style>
  <w:style w:type="character" w:customStyle="1" w:styleId="73">
    <w:name w:val="日期 字符"/>
    <w:link w:val="28"/>
    <w:autoRedefine/>
    <w:qFormat/>
    <w:uiPriority w:val="0"/>
    <w:rPr>
      <w:kern w:val="2"/>
      <w:sz w:val="21"/>
      <w:szCs w:val="24"/>
    </w:rPr>
  </w:style>
  <w:style w:type="character" w:customStyle="1" w:styleId="74">
    <w:name w:val="font11"/>
    <w:autoRedefine/>
    <w:qFormat/>
    <w:uiPriority w:val="0"/>
    <w:rPr>
      <w:rFonts w:hint="eastAsia" w:ascii="宋体" w:hAnsi="宋体" w:eastAsia="宋体"/>
      <w:color w:val="000000"/>
      <w:sz w:val="24"/>
      <w:szCs w:val="24"/>
      <w:u w:val="none"/>
    </w:rPr>
  </w:style>
  <w:style w:type="character" w:customStyle="1" w:styleId="75">
    <w:name w:val="apple-converted-space"/>
    <w:autoRedefine/>
    <w:qFormat/>
    <w:uiPriority w:val="0"/>
    <w:rPr>
      <w:rFonts w:cs="Times New Roman"/>
    </w:rPr>
  </w:style>
  <w:style w:type="character" w:customStyle="1" w:styleId="76">
    <w:name w:val="标题 1 Char2"/>
    <w:autoRedefine/>
    <w:qFormat/>
    <w:uiPriority w:val="0"/>
    <w:rPr>
      <w:rFonts w:ascii="黑体" w:eastAsia="黑体"/>
      <w:bCs/>
      <w:kern w:val="44"/>
      <w:sz w:val="24"/>
      <w:szCs w:val="24"/>
    </w:rPr>
  </w:style>
  <w:style w:type="character" w:customStyle="1" w:styleId="77">
    <w:name w:val="ca-8"/>
    <w:basedOn w:val="53"/>
    <w:autoRedefine/>
    <w:qFormat/>
    <w:uiPriority w:val="0"/>
  </w:style>
  <w:style w:type="character" w:customStyle="1" w:styleId="78">
    <w:name w:val="Char Char3"/>
    <w:autoRedefine/>
    <w:qFormat/>
    <w:uiPriority w:val="0"/>
    <w:rPr>
      <w:rFonts w:eastAsia="宋体"/>
      <w:kern w:val="2"/>
      <w:sz w:val="18"/>
      <w:lang w:val="en-US" w:eastAsia="zh-CN" w:bidi="ar-SA"/>
    </w:rPr>
  </w:style>
  <w:style w:type="character" w:customStyle="1" w:styleId="79">
    <w:name w:val="正文文本 3 字符"/>
    <w:link w:val="18"/>
    <w:autoRedefine/>
    <w:qFormat/>
    <w:uiPriority w:val="0"/>
    <w:rPr>
      <w:kern w:val="2"/>
      <w:sz w:val="16"/>
      <w:szCs w:val="16"/>
    </w:rPr>
  </w:style>
  <w:style w:type="character" w:customStyle="1" w:styleId="80">
    <w:name w:val="标题 5 Char Char"/>
    <w:autoRedefine/>
    <w:qFormat/>
    <w:uiPriority w:val="0"/>
    <w:rPr>
      <w:rFonts w:eastAsia="宋体"/>
      <w:b/>
      <w:bCs/>
      <w:kern w:val="2"/>
      <w:sz w:val="28"/>
      <w:szCs w:val="28"/>
      <w:lang w:val="en-US" w:eastAsia="zh-CN" w:bidi="ar-SA"/>
    </w:rPr>
  </w:style>
  <w:style w:type="character" w:customStyle="1" w:styleId="81">
    <w:name w:val="ca-10"/>
    <w:basedOn w:val="53"/>
    <w:autoRedefine/>
    <w:qFormat/>
    <w:uiPriority w:val="0"/>
  </w:style>
  <w:style w:type="character" w:customStyle="1" w:styleId="82">
    <w:name w:val="Char Char9"/>
    <w:autoRedefine/>
    <w:qFormat/>
    <w:uiPriority w:val="0"/>
    <w:rPr>
      <w:rFonts w:ascii="宋体" w:hAnsi="Courier New" w:eastAsia="宋体"/>
      <w:kern w:val="2"/>
      <w:sz w:val="21"/>
      <w:lang w:val="en-US" w:eastAsia="zh-CN" w:bidi="ar-SA"/>
    </w:rPr>
  </w:style>
  <w:style w:type="character" w:customStyle="1" w:styleId="83">
    <w:name w:val="标题 2 字符"/>
    <w:link w:val="3"/>
    <w:autoRedefine/>
    <w:qFormat/>
    <w:uiPriority w:val="0"/>
    <w:rPr>
      <w:rFonts w:ascii="Cambria" w:hAnsi="Cambria" w:eastAsia="宋体"/>
      <w:b/>
      <w:bCs/>
      <w:kern w:val="2"/>
      <w:sz w:val="32"/>
      <w:szCs w:val="32"/>
      <w:lang w:val="en-US" w:eastAsia="zh-CN" w:bidi="ar-SA"/>
    </w:rPr>
  </w:style>
  <w:style w:type="character" w:customStyle="1" w:styleId="84">
    <w:name w:val="mark8"/>
    <w:autoRedefine/>
    <w:qFormat/>
    <w:uiPriority w:val="0"/>
    <w:rPr>
      <w:b/>
      <w:bCs/>
      <w:sz w:val="21"/>
      <w:szCs w:val="21"/>
    </w:rPr>
  </w:style>
  <w:style w:type="character" w:customStyle="1" w:styleId="85">
    <w:name w:val="页脚 字符"/>
    <w:link w:val="31"/>
    <w:autoRedefine/>
    <w:qFormat/>
    <w:uiPriority w:val="0"/>
    <w:rPr>
      <w:rFonts w:eastAsia="宋体"/>
      <w:sz w:val="18"/>
      <w:szCs w:val="18"/>
      <w:lang w:bidi="ar-SA"/>
    </w:rPr>
  </w:style>
  <w:style w:type="character" w:customStyle="1" w:styleId="86">
    <w:name w:val="正文文本缩进 3 字符"/>
    <w:link w:val="40"/>
    <w:autoRedefine/>
    <w:qFormat/>
    <w:uiPriority w:val="0"/>
    <w:rPr>
      <w:rFonts w:ascii="宋体" w:hAnsi="宋体" w:eastAsia="宋体"/>
      <w:kern w:val="2"/>
      <w:sz w:val="21"/>
      <w:szCs w:val="24"/>
      <w:lang w:val="en-US" w:eastAsia="zh-CN" w:bidi="ar-SA"/>
    </w:rPr>
  </w:style>
  <w:style w:type="character" w:customStyle="1" w:styleId="87">
    <w:name w:val="List Paragraph Char Char"/>
    <w:link w:val="88"/>
    <w:autoRedefine/>
    <w:qFormat/>
    <w:uiPriority w:val="0"/>
    <w:rPr>
      <w:kern w:val="2"/>
      <w:sz w:val="21"/>
      <w:szCs w:val="24"/>
    </w:rPr>
  </w:style>
  <w:style w:type="paragraph" w:customStyle="1" w:styleId="88">
    <w:name w:val="列出段落1"/>
    <w:basedOn w:val="1"/>
    <w:link w:val="87"/>
    <w:autoRedefine/>
    <w:qFormat/>
    <w:uiPriority w:val="0"/>
    <w:pPr>
      <w:ind w:firstLine="420" w:firstLineChars="200"/>
    </w:pPr>
  </w:style>
  <w:style w:type="character" w:customStyle="1" w:styleId="89">
    <w:name w:val="标题 3 字符"/>
    <w:link w:val="4"/>
    <w:autoRedefine/>
    <w:qFormat/>
    <w:uiPriority w:val="0"/>
    <w:rPr>
      <w:rFonts w:ascii="黑体" w:eastAsia="黑体"/>
      <w:bCs/>
      <w:color w:val="000000"/>
      <w:kern w:val="2"/>
      <w:sz w:val="21"/>
      <w:szCs w:val="24"/>
    </w:rPr>
  </w:style>
  <w:style w:type="character" w:customStyle="1" w:styleId="90">
    <w:name w:val="标题 2 Char1"/>
    <w:autoRedefine/>
    <w:qFormat/>
    <w:uiPriority w:val="0"/>
    <w:rPr>
      <w:rFonts w:ascii="Arial" w:hAnsi="Arial" w:eastAsia="黑体"/>
      <w:b/>
      <w:bCs/>
      <w:kern w:val="2"/>
      <w:sz w:val="32"/>
      <w:szCs w:val="32"/>
    </w:rPr>
  </w:style>
  <w:style w:type="character" w:customStyle="1" w:styleId="91">
    <w:name w:val="标题 字符"/>
    <w:link w:val="47"/>
    <w:autoRedefine/>
    <w:qFormat/>
    <w:uiPriority w:val="0"/>
    <w:rPr>
      <w:rFonts w:ascii="Cambria" w:hAnsi="Cambria"/>
      <w:b/>
      <w:bCs/>
      <w:kern w:val="2"/>
      <w:sz w:val="32"/>
      <w:szCs w:val="32"/>
    </w:rPr>
  </w:style>
  <w:style w:type="character" w:customStyle="1" w:styleId="92">
    <w:name w:val="纯文本 字符"/>
    <w:link w:val="25"/>
    <w:autoRedefine/>
    <w:qFormat/>
    <w:uiPriority w:val="0"/>
    <w:rPr>
      <w:rFonts w:ascii="宋体" w:hAnsi="Courier New"/>
      <w:kern w:val="2"/>
      <w:sz w:val="21"/>
      <w:lang w:bidi="ar-SA"/>
    </w:rPr>
  </w:style>
  <w:style w:type="character" w:customStyle="1" w:styleId="93">
    <w:name w:val="flname7"/>
    <w:basedOn w:val="53"/>
    <w:autoRedefine/>
    <w:qFormat/>
    <w:uiPriority w:val="0"/>
  </w:style>
  <w:style w:type="character" w:customStyle="1" w:styleId="94">
    <w:name w:val="content"/>
    <w:autoRedefine/>
    <w:qFormat/>
    <w:uiPriority w:val="0"/>
  </w:style>
  <w:style w:type="character" w:customStyle="1" w:styleId="95">
    <w:name w:val="正文文本 字符"/>
    <w:link w:val="19"/>
    <w:autoRedefine/>
    <w:qFormat/>
    <w:uiPriority w:val="0"/>
    <w:rPr>
      <w:rFonts w:eastAsia="宋体"/>
      <w:kern w:val="2"/>
      <w:sz w:val="21"/>
      <w:szCs w:val="24"/>
      <w:lang w:val="en-US" w:eastAsia="zh-CN" w:bidi="ar-SA"/>
    </w:rPr>
  </w:style>
  <w:style w:type="character" w:customStyle="1" w:styleId="96">
    <w:name w:val="标题 9 字符"/>
    <w:link w:val="11"/>
    <w:autoRedefine/>
    <w:qFormat/>
    <w:uiPriority w:val="0"/>
    <w:rPr>
      <w:rFonts w:ascii="Arial" w:hAnsi="Arial" w:eastAsia="黑体"/>
      <w:kern w:val="2"/>
      <w:sz w:val="21"/>
      <w:szCs w:val="21"/>
      <w:lang w:val="en-US" w:eastAsia="zh-CN" w:bidi="ar-SA"/>
    </w:rPr>
  </w:style>
  <w:style w:type="character" w:customStyle="1" w:styleId="97">
    <w:name w:val="c_666"/>
    <w:basedOn w:val="53"/>
    <w:autoRedefine/>
    <w:qFormat/>
    <w:uiPriority w:val="0"/>
  </w:style>
  <w:style w:type="character" w:customStyle="1" w:styleId="98">
    <w:name w:val="正文文本 2 字符"/>
    <w:link w:val="43"/>
    <w:autoRedefine/>
    <w:qFormat/>
    <w:uiPriority w:val="0"/>
    <w:rPr>
      <w:rFonts w:ascii="仿宋_GB2312" w:eastAsia="仿宋_GB2312"/>
      <w:kern w:val="2"/>
      <w:sz w:val="32"/>
      <w:szCs w:val="24"/>
      <w:lang w:val="en-US" w:eastAsia="zh-CN" w:bidi="ar-SA"/>
    </w:rPr>
  </w:style>
  <w:style w:type="character" w:customStyle="1" w:styleId="99">
    <w:name w:val="书籍标题3 Char1"/>
    <w:link w:val="100"/>
    <w:autoRedefine/>
    <w:qFormat/>
    <w:uiPriority w:val="0"/>
    <w:rPr>
      <w:b/>
      <w:bCs/>
      <w:spacing w:val="20"/>
      <w:kern w:val="2"/>
      <w:sz w:val="28"/>
      <w:szCs w:val="28"/>
    </w:rPr>
  </w:style>
  <w:style w:type="paragraph" w:customStyle="1" w:styleId="100">
    <w:name w:val="书籍标题3"/>
    <w:basedOn w:val="101"/>
    <w:link w:val="99"/>
    <w:autoRedefine/>
    <w:qFormat/>
    <w:uiPriority w:val="0"/>
    <w:pPr>
      <w:numPr>
        <w:ilvl w:val="2"/>
      </w:numPr>
      <w:tabs>
        <w:tab w:val="left" w:pos="840"/>
      </w:tabs>
      <w:outlineLvl w:val="2"/>
    </w:pPr>
    <w:rPr>
      <w:rFonts w:cs="Times New Roman"/>
      <w:sz w:val="28"/>
      <w:szCs w:val="28"/>
    </w:rPr>
  </w:style>
  <w:style w:type="paragraph" w:customStyle="1" w:styleId="101">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autoRedefine/>
    <w:qFormat/>
    <w:uiPriority w:val="0"/>
    <w:rPr>
      <w:rFonts w:ascii="黑体" w:eastAsia="黑体"/>
      <w:bCs/>
      <w:kern w:val="44"/>
      <w:sz w:val="24"/>
      <w:lang w:val="en-US" w:eastAsia="zh-CN" w:bidi="ar-SA"/>
    </w:rPr>
  </w:style>
  <w:style w:type="character" w:customStyle="1" w:styleId="103">
    <w:name w:val="列表段落 字符"/>
    <w:link w:val="104"/>
    <w:autoRedefine/>
    <w:qFormat/>
    <w:uiPriority w:val="0"/>
    <w:rPr>
      <w:kern w:val="2"/>
      <w:sz w:val="21"/>
      <w:szCs w:val="24"/>
    </w:rPr>
  </w:style>
  <w:style w:type="paragraph" w:styleId="104">
    <w:name w:val="List Paragraph"/>
    <w:basedOn w:val="1"/>
    <w:link w:val="103"/>
    <w:autoRedefine/>
    <w:qFormat/>
    <w:uiPriority w:val="0"/>
    <w:pPr>
      <w:ind w:firstLine="420" w:firstLineChars="200"/>
    </w:pPr>
  </w:style>
  <w:style w:type="character" w:customStyle="1" w:styleId="105">
    <w:name w:val="标题 3 Char1"/>
    <w:autoRedefine/>
    <w:qFormat/>
    <w:uiPriority w:val="0"/>
    <w:rPr>
      <w:rFonts w:ascii="宋体" w:hAnsi="Times New Roman"/>
    </w:rPr>
  </w:style>
  <w:style w:type="character" w:customStyle="1" w:styleId="106">
    <w:name w:val="样式 样式 宋体 小四 行距: 1.5 倍行距 + ˎ̥ 黑色 Char Char"/>
    <w:link w:val="107"/>
    <w:autoRedefine/>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autoRedefine/>
    <w:qFormat/>
    <w:uiPriority w:val="0"/>
  </w:style>
  <w:style w:type="character" w:customStyle="1" w:styleId="108">
    <w:name w:val="样式5 Char Char"/>
    <w:link w:val="109"/>
    <w:autoRedefine/>
    <w:qFormat/>
    <w:uiPriority w:val="0"/>
    <w:rPr>
      <w:rFonts w:ascii="宋体" w:hAnsi="宋体" w:eastAsia="宋体" w:cs="Arial"/>
      <w:b/>
      <w:kern w:val="2"/>
      <w:sz w:val="24"/>
      <w:szCs w:val="24"/>
      <w:lang w:val="en-US" w:eastAsia="zh-CN" w:bidi="ar-SA"/>
    </w:rPr>
  </w:style>
  <w:style w:type="paragraph" w:customStyle="1" w:styleId="109">
    <w:name w:val="样式5"/>
    <w:basedOn w:val="1"/>
    <w:link w:val="108"/>
    <w:autoRedefine/>
    <w:qFormat/>
    <w:uiPriority w:val="0"/>
    <w:pPr>
      <w:spacing w:line="400" w:lineRule="exact"/>
      <w:ind w:left="482"/>
    </w:pPr>
    <w:rPr>
      <w:rFonts w:ascii="宋体" w:hAnsi="宋体" w:cs="Arial"/>
      <w:b/>
      <w:sz w:val="24"/>
    </w:rPr>
  </w:style>
  <w:style w:type="character" w:customStyle="1" w:styleId="110">
    <w:name w:val="标题 1 Char1"/>
    <w:autoRedefine/>
    <w:qFormat/>
    <w:uiPriority w:val="0"/>
    <w:rPr>
      <w:b/>
      <w:bCs/>
      <w:kern w:val="44"/>
      <w:sz w:val="44"/>
      <w:szCs w:val="44"/>
    </w:rPr>
  </w:style>
  <w:style w:type="character" w:customStyle="1" w:styleId="111">
    <w:name w:val="lineitems1"/>
    <w:autoRedefine/>
    <w:qFormat/>
    <w:uiPriority w:val="0"/>
    <w:rPr>
      <w:sz w:val="17"/>
      <w:szCs w:val="17"/>
    </w:rPr>
  </w:style>
  <w:style w:type="character" w:customStyle="1" w:styleId="112">
    <w:name w:val="font31"/>
    <w:autoRedefine/>
    <w:qFormat/>
    <w:uiPriority w:val="0"/>
    <w:rPr>
      <w:rFonts w:hint="eastAsia" w:ascii="宋体" w:hAnsi="宋体" w:eastAsia="宋体" w:cs="宋体"/>
      <w:color w:val="000000"/>
      <w:sz w:val="20"/>
      <w:szCs w:val="20"/>
      <w:u w:val="none"/>
    </w:rPr>
  </w:style>
  <w:style w:type="character" w:customStyle="1" w:styleId="113">
    <w:name w:val="不明显参考1"/>
    <w:autoRedefine/>
    <w:qFormat/>
    <w:uiPriority w:val="0"/>
    <w:rPr>
      <w:smallCaps/>
      <w:color w:val="C0504D"/>
      <w:u w:val="single"/>
    </w:rPr>
  </w:style>
  <w:style w:type="character" w:customStyle="1" w:styleId="114">
    <w:name w:val="标题 6 字符"/>
    <w:link w:val="8"/>
    <w:autoRedefine/>
    <w:qFormat/>
    <w:uiPriority w:val="0"/>
    <w:rPr>
      <w:rFonts w:ascii="Arial" w:hAnsi="Arial" w:eastAsia="黑体"/>
      <w:b/>
      <w:bCs/>
      <w:kern w:val="2"/>
      <w:sz w:val="24"/>
      <w:szCs w:val="24"/>
      <w:lang w:val="en-US" w:eastAsia="zh-CN" w:bidi="ar-SA"/>
    </w:rPr>
  </w:style>
  <w:style w:type="character" w:customStyle="1" w:styleId="115">
    <w:name w:val="style71"/>
    <w:autoRedefine/>
    <w:qFormat/>
    <w:uiPriority w:val="0"/>
    <w:rPr>
      <w:sz w:val="21"/>
      <w:szCs w:val="21"/>
    </w:rPr>
  </w:style>
  <w:style w:type="character" w:customStyle="1" w:styleId="116">
    <w:name w:val="HTML 地址 字符"/>
    <w:link w:val="22"/>
    <w:autoRedefine/>
    <w:qFormat/>
    <w:uiPriority w:val="0"/>
    <w:rPr>
      <w:i/>
      <w:kern w:val="2"/>
      <w:sz w:val="21"/>
      <w:szCs w:val="24"/>
    </w:rPr>
  </w:style>
  <w:style w:type="character" w:customStyle="1" w:styleId="117">
    <w:name w:val="细目1 Char Char"/>
    <w:link w:val="118"/>
    <w:autoRedefine/>
    <w:qFormat/>
    <w:uiPriority w:val="0"/>
    <w:rPr>
      <w:b/>
      <w:color w:val="215868"/>
      <w:kern w:val="2"/>
      <w:sz w:val="24"/>
      <w:szCs w:val="24"/>
    </w:rPr>
  </w:style>
  <w:style w:type="paragraph" w:customStyle="1" w:styleId="118">
    <w:name w:val="细目1"/>
    <w:basedOn w:val="1"/>
    <w:link w:val="11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autoRedefine/>
    <w:qFormat/>
    <w:uiPriority w:val="0"/>
    <w:rPr>
      <w:rFonts w:ascii="宋体" w:hAnsi="宋体"/>
      <w:sz w:val="21"/>
      <w:szCs w:val="21"/>
    </w:rPr>
  </w:style>
  <w:style w:type="paragraph" w:customStyle="1" w:styleId="120">
    <w:name w:val="xl25"/>
    <w:basedOn w:val="1"/>
    <w:link w:val="11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字符"/>
    <w:link w:val="13"/>
    <w:autoRedefine/>
    <w:qFormat/>
    <w:uiPriority w:val="0"/>
    <w:rPr>
      <w:rFonts w:ascii="Arial" w:hAnsi="Arial" w:eastAsia="黑体" w:cs="Arial"/>
      <w:kern w:val="2"/>
    </w:rPr>
  </w:style>
  <w:style w:type="character" w:customStyle="1" w:styleId="122">
    <w:name w:val="标题 8 字符"/>
    <w:link w:val="10"/>
    <w:autoRedefine/>
    <w:qFormat/>
    <w:uiPriority w:val="0"/>
    <w:rPr>
      <w:rFonts w:ascii="Arial" w:hAnsi="Arial" w:eastAsia="黑体"/>
      <w:kern w:val="2"/>
      <w:sz w:val="24"/>
      <w:szCs w:val="24"/>
      <w:lang w:val="en-US" w:eastAsia="zh-CN" w:bidi="ar-SA"/>
    </w:rPr>
  </w:style>
  <w:style w:type="character" w:customStyle="1" w:styleId="123">
    <w:name w:val="正文文本缩进 2 字符"/>
    <w:link w:val="29"/>
    <w:autoRedefine/>
    <w:qFormat/>
    <w:uiPriority w:val="0"/>
    <w:rPr>
      <w:rFonts w:eastAsia="仿宋_GB2312"/>
      <w:sz w:val="30"/>
      <w:lang w:bidi="ar-SA"/>
    </w:rPr>
  </w:style>
  <w:style w:type="character" w:customStyle="1" w:styleId="124">
    <w:name w:val="ca-11"/>
    <w:basedOn w:val="53"/>
    <w:autoRedefine/>
    <w:qFormat/>
    <w:uiPriority w:val="0"/>
  </w:style>
  <w:style w:type="character" w:customStyle="1" w:styleId="125">
    <w:name w:val="正文缩进 字符"/>
    <w:link w:val="5"/>
    <w:autoRedefine/>
    <w:qFormat/>
    <w:uiPriority w:val="0"/>
    <w:rPr>
      <w:rFonts w:ascii="宋体" w:eastAsia="宋体"/>
      <w:sz w:val="34"/>
      <w:lang w:val="en-US" w:eastAsia="zh-CN" w:bidi="ar-SA"/>
    </w:rPr>
  </w:style>
  <w:style w:type="character" w:customStyle="1" w:styleId="126">
    <w:name w:val="副标题 字符"/>
    <w:link w:val="37"/>
    <w:autoRedefine/>
    <w:qFormat/>
    <w:uiPriority w:val="0"/>
    <w:rPr>
      <w:rFonts w:ascii="Calibri Light" w:hAnsi="Calibri Light"/>
      <w:b/>
      <w:bCs/>
      <w:kern w:val="28"/>
      <w:sz w:val="32"/>
      <w:szCs w:val="32"/>
    </w:rPr>
  </w:style>
  <w:style w:type="character" w:customStyle="1" w:styleId="127">
    <w:name w:val="页眉 Char Char"/>
    <w:autoRedefine/>
    <w:qFormat/>
    <w:uiPriority w:val="0"/>
    <w:rPr>
      <w:rFonts w:eastAsia="宋体"/>
      <w:sz w:val="18"/>
      <w:szCs w:val="18"/>
      <w:lang w:bidi="ar-SA"/>
    </w:rPr>
  </w:style>
  <w:style w:type="character" w:customStyle="1" w:styleId="128">
    <w:name w:val="批注主题 字符"/>
    <w:link w:val="48"/>
    <w:autoRedefine/>
    <w:qFormat/>
    <w:uiPriority w:val="0"/>
    <w:rPr>
      <w:b/>
      <w:bCs/>
      <w:kern w:val="2"/>
      <w:sz w:val="21"/>
      <w:szCs w:val="24"/>
    </w:rPr>
  </w:style>
  <w:style w:type="character" w:customStyle="1" w:styleId="129">
    <w:name w:val="p12"/>
    <w:basedOn w:val="53"/>
    <w:autoRedefine/>
    <w:qFormat/>
    <w:uiPriority w:val="0"/>
  </w:style>
  <w:style w:type="character" w:customStyle="1" w:styleId="130">
    <w:name w:val="表格内容"/>
    <w:autoRedefine/>
    <w:qFormat/>
    <w:uiPriority w:val="0"/>
    <w:rPr>
      <w:sz w:val="24"/>
    </w:rPr>
  </w:style>
  <w:style w:type="character" w:customStyle="1" w:styleId="131">
    <w:name w:val="正文文本缩进 字符"/>
    <w:link w:val="20"/>
    <w:autoRedefine/>
    <w:qFormat/>
    <w:uiPriority w:val="0"/>
    <w:rPr>
      <w:rFonts w:ascii="仿宋_GB2312" w:eastAsia="仿宋_GB2312"/>
      <w:sz w:val="28"/>
      <w:lang w:val="en-US" w:eastAsia="zh-CN" w:bidi="ar-SA"/>
    </w:rPr>
  </w:style>
  <w:style w:type="character" w:customStyle="1" w:styleId="132">
    <w:name w:val="HTML 预设格式 字符"/>
    <w:link w:val="44"/>
    <w:autoRedefine/>
    <w:qFormat/>
    <w:uiPriority w:val="0"/>
    <w:rPr>
      <w:rFonts w:ascii="黑体" w:hAnsi="Courier New" w:eastAsia="黑体" w:cs="Courier New"/>
      <w:kern w:val="2"/>
      <w:sz w:val="21"/>
      <w:szCs w:val="24"/>
      <w:lang w:val="en-US" w:eastAsia="zh-CN" w:bidi="ar-SA"/>
    </w:rPr>
  </w:style>
  <w:style w:type="character" w:customStyle="1" w:styleId="133">
    <w:name w:val="纯文本 Char1"/>
    <w:autoRedefine/>
    <w:qFormat/>
    <w:uiPriority w:val="0"/>
    <w:rPr>
      <w:rFonts w:ascii="宋体" w:hAnsi="Courier New" w:eastAsia="宋体" w:cs="Times New Roman"/>
      <w:kern w:val="0"/>
      <w:sz w:val="20"/>
      <w:szCs w:val="20"/>
    </w:rPr>
  </w:style>
  <w:style w:type="character" w:customStyle="1" w:styleId="134">
    <w:name w:val="正文首行缩进 Char Char"/>
    <w:autoRedefine/>
    <w:qFormat/>
    <w:uiPriority w:val="0"/>
    <w:rPr>
      <w:rFonts w:eastAsia="仿宋_GB2312"/>
      <w:kern w:val="2"/>
      <w:sz w:val="28"/>
      <w:szCs w:val="24"/>
      <w:lang w:bidi="ar-SA"/>
    </w:rPr>
  </w:style>
  <w:style w:type="character" w:customStyle="1" w:styleId="135">
    <w:name w:val="页眉 字符"/>
    <w:link w:val="32"/>
    <w:autoRedefine/>
    <w:qFormat/>
    <w:uiPriority w:val="0"/>
    <w:rPr>
      <w:rFonts w:eastAsia="宋体"/>
      <w:kern w:val="2"/>
      <w:sz w:val="18"/>
      <w:lang w:val="en-US" w:eastAsia="zh-CN" w:bidi="ar-SA"/>
    </w:rPr>
  </w:style>
  <w:style w:type="character" w:customStyle="1" w:styleId="136">
    <w:name w:val="标题 1 Char Char"/>
    <w:autoRedefine/>
    <w:qFormat/>
    <w:uiPriority w:val="0"/>
    <w:rPr>
      <w:rFonts w:eastAsia="宋体"/>
      <w:b/>
      <w:bCs/>
      <w:kern w:val="44"/>
      <w:sz w:val="44"/>
      <w:szCs w:val="44"/>
      <w:lang w:val="en-US" w:eastAsia="zh-CN" w:bidi="ar-SA"/>
    </w:rPr>
  </w:style>
  <w:style w:type="character" w:customStyle="1" w:styleId="137">
    <w:name w:val="Font Style17"/>
    <w:autoRedefine/>
    <w:qFormat/>
    <w:uiPriority w:val="0"/>
    <w:rPr>
      <w:rFonts w:ascii="黑体" w:eastAsia="黑体" w:cs="黑体"/>
      <w:sz w:val="28"/>
      <w:szCs w:val="28"/>
    </w:rPr>
  </w:style>
  <w:style w:type="character" w:customStyle="1" w:styleId="138">
    <w:name w:val="Char Char10"/>
    <w:autoRedefine/>
    <w:qFormat/>
    <w:uiPriority w:val="0"/>
    <w:rPr>
      <w:rFonts w:eastAsia="宋体"/>
      <w:kern w:val="2"/>
      <w:sz w:val="18"/>
      <w:szCs w:val="18"/>
      <w:lang w:val="en-US" w:eastAsia="zh-CN" w:bidi="ar-SA"/>
    </w:rPr>
  </w:style>
  <w:style w:type="character" w:customStyle="1" w:styleId="139">
    <w:name w:val="正文文本缩进 3 Char Char"/>
    <w:autoRedefine/>
    <w:qFormat/>
    <w:uiPriority w:val="0"/>
    <w:rPr>
      <w:kern w:val="2"/>
      <w:sz w:val="16"/>
      <w:szCs w:val="16"/>
      <w:lang w:bidi="ar-SA"/>
    </w:rPr>
  </w:style>
  <w:style w:type="character" w:customStyle="1" w:styleId="140">
    <w:name w:val="标题 3 Char Char"/>
    <w:autoRedefine/>
    <w:qFormat/>
    <w:uiPriority w:val="0"/>
    <w:rPr>
      <w:rFonts w:eastAsia="宋体"/>
      <w:b/>
      <w:bCs/>
      <w:kern w:val="2"/>
      <w:sz w:val="32"/>
      <w:szCs w:val="32"/>
      <w:lang w:val="en-US" w:eastAsia="zh-CN" w:bidi="ar-SA"/>
    </w:rPr>
  </w:style>
  <w:style w:type="character" w:customStyle="1" w:styleId="141">
    <w:name w:val="nine-11"/>
    <w:autoRedefine/>
    <w:qFormat/>
    <w:uiPriority w:val="0"/>
    <w:rPr>
      <w:rFonts w:hint="default"/>
      <w:sz w:val="18"/>
      <w:szCs w:val="18"/>
    </w:rPr>
  </w:style>
  <w:style w:type="character" w:customStyle="1" w:styleId="142">
    <w:name w:val="标题 7 字符"/>
    <w:link w:val="9"/>
    <w:autoRedefine/>
    <w:qFormat/>
    <w:uiPriority w:val="0"/>
    <w:rPr>
      <w:rFonts w:eastAsia="宋体"/>
      <w:b/>
      <w:bCs/>
      <w:kern w:val="2"/>
      <w:sz w:val="24"/>
      <w:szCs w:val="24"/>
      <w:lang w:val="en-US" w:eastAsia="zh-CN" w:bidi="ar-SA"/>
    </w:rPr>
  </w:style>
  <w:style w:type="character" w:customStyle="1" w:styleId="143">
    <w:name w:val="题注 Char1"/>
    <w:autoRedefine/>
    <w:qFormat/>
    <w:uiPriority w:val="0"/>
    <w:rPr>
      <w:rFonts w:ascii="Arial" w:hAnsi="Arial" w:eastAsia="宋体" w:cs="Arial"/>
      <w:kern w:val="2"/>
      <w:lang w:val="en-US" w:eastAsia="zh-CN" w:bidi="ar-SA"/>
    </w:rPr>
  </w:style>
  <w:style w:type="character" w:customStyle="1" w:styleId="144">
    <w:name w:val="正文缩进 Char2"/>
    <w:link w:val="145"/>
    <w:autoRedefine/>
    <w:qFormat/>
    <w:uiPriority w:val="0"/>
    <w:rPr>
      <w:rFonts w:ascii="宋体" w:eastAsia="宋体"/>
      <w:sz w:val="34"/>
      <w:lang w:bidi="ar-SA"/>
    </w:rPr>
  </w:style>
  <w:style w:type="paragraph" w:customStyle="1" w:styleId="145">
    <w:name w:val="Normal Indent1"/>
    <w:basedOn w:val="1"/>
    <w:link w:val="144"/>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autoRedefine/>
    <w:qFormat/>
    <w:uiPriority w:val="0"/>
    <w:rPr>
      <w:b/>
    </w:rPr>
  </w:style>
  <w:style w:type="paragraph" w:customStyle="1" w:styleId="147">
    <w:name w:val="表标题"/>
    <w:basedOn w:val="5"/>
    <w:link w:val="146"/>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autoRedefine/>
    <w:qFormat/>
    <w:uiPriority w:val="0"/>
    <w:rPr>
      <w:rFonts w:ascii="宋体" w:hAnsi="Courier New" w:eastAsia="宋体"/>
      <w:kern w:val="2"/>
      <w:sz w:val="21"/>
      <w:lang w:val="en-US" w:eastAsia="zh-CN" w:bidi="ar-SA"/>
    </w:rPr>
  </w:style>
  <w:style w:type="character" w:customStyle="1" w:styleId="149">
    <w:name w:val="标题 5 字符"/>
    <w:link w:val="7"/>
    <w:autoRedefine/>
    <w:qFormat/>
    <w:uiPriority w:val="0"/>
    <w:rPr>
      <w:rFonts w:eastAsia="宋体"/>
      <w:b/>
      <w:kern w:val="2"/>
      <w:sz w:val="28"/>
      <w:lang w:val="en-US" w:eastAsia="zh-CN" w:bidi="ar-SA"/>
    </w:rPr>
  </w:style>
  <w:style w:type="character" w:customStyle="1" w:styleId="150">
    <w:name w:val="Char Char5"/>
    <w:autoRedefine/>
    <w:qFormat/>
    <w:uiPriority w:val="0"/>
    <w:rPr>
      <w:rFonts w:eastAsia="宋体"/>
      <w:kern w:val="2"/>
      <w:sz w:val="18"/>
      <w:lang w:val="en-US" w:eastAsia="zh-CN" w:bidi="ar-SA"/>
    </w:rPr>
  </w:style>
  <w:style w:type="character" w:customStyle="1" w:styleId="151">
    <w:name w:val="style18"/>
    <w:autoRedefine/>
    <w:qFormat/>
    <w:uiPriority w:val="0"/>
  </w:style>
  <w:style w:type="character" w:customStyle="1" w:styleId="152">
    <w:name w:val="批注框文本 字符"/>
    <w:link w:val="30"/>
    <w:autoRedefine/>
    <w:qFormat/>
    <w:uiPriority w:val="0"/>
    <w:rPr>
      <w:rFonts w:eastAsia="宋体"/>
      <w:kern w:val="2"/>
      <w:sz w:val="18"/>
      <w:szCs w:val="18"/>
      <w:lang w:val="en-US" w:eastAsia="zh-CN" w:bidi="ar-SA"/>
    </w:rPr>
  </w:style>
  <w:style w:type="character" w:customStyle="1" w:styleId="153">
    <w:name w:val="mark"/>
    <w:basedOn w:val="53"/>
    <w:autoRedefine/>
    <w:qFormat/>
    <w:uiPriority w:val="0"/>
  </w:style>
  <w:style w:type="character" w:customStyle="1" w:styleId="154">
    <w:name w:val="样式2"/>
    <w:autoRedefine/>
    <w:qFormat/>
    <w:uiPriority w:val="0"/>
    <w:rPr>
      <w:rFonts w:eastAsia="华文楷体"/>
      <w:b/>
      <w:sz w:val="32"/>
    </w:rPr>
  </w:style>
  <w:style w:type="character" w:customStyle="1" w:styleId="155">
    <w:name w:val="ALT+Z Char"/>
    <w:autoRedefine/>
    <w:qFormat/>
    <w:uiPriority w:val="0"/>
    <w:rPr>
      <w:rFonts w:ascii="宋体"/>
      <w:sz w:val="34"/>
    </w:rPr>
  </w:style>
  <w:style w:type="character" w:customStyle="1" w:styleId="156">
    <w:name w:val="标题 1 字符"/>
    <w:link w:val="2"/>
    <w:autoRedefine/>
    <w:qFormat/>
    <w:uiPriority w:val="0"/>
    <w:rPr>
      <w:rFonts w:ascii="黑体" w:eastAsia="黑体"/>
      <w:bCs/>
      <w:kern w:val="44"/>
      <w:sz w:val="24"/>
      <w:szCs w:val="24"/>
    </w:rPr>
  </w:style>
  <w:style w:type="character" w:customStyle="1" w:styleId="157">
    <w:name w:val="正文 A Char Char"/>
    <w:link w:val="158"/>
    <w:autoRedefine/>
    <w:qFormat/>
    <w:uiPriority w:val="0"/>
    <w:rPr>
      <w:rFonts w:ascii="仿宋_GB2312" w:hAnsi="Heiti SC Light" w:eastAsia="仿宋_GB2312"/>
      <w:kern w:val="2"/>
      <w:sz w:val="24"/>
      <w:lang w:val="en-US" w:eastAsia="zh-CN" w:bidi="ar-SA"/>
    </w:rPr>
  </w:style>
  <w:style w:type="paragraph" w:customStyle="1" w:styleId="158">
    <w:name w:val="正文 A"/>
    <w:link w:val="1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文本首行缩进 字符"/>
    <w:link w:val="49"/>
    <w:autoRedefine/>
    <w:qFormat/>
    <w:uiPriority w:val="0"/>
    <w:rPr>
      <w:rFonts w:ascii="Calibri" w:hAnsi="Calibri" w:eastAsia="宋体"/>
      <w:kern w:val="2"/>
      <w:sz w:val="21"/>
      <w:szCs w:val="22"/>
      <w:lang w:val="en-US" w:eastAsia="zh-CN" w:bidi="ar-SA"/>
    </w:rPr>
  </w:style>
  <w:style w:type="character" w:customStyle="1" w:styleId="160">
    <w:name w:val="ca-9"/>
    <w:basedOn w:val="53"/>
    <w:autoRedefine/>
    <w:qFormat/>
    <w:uiPriority w:val="0"/>
  </w:style>
  <w:style w:type="character" w:customStyle="1" w:styleId="161">
    <w:name w:val="正文（缩进） Char Char"/>
    <w:link w:val="162"/>
    <w:autoRedefine/>
    <w:qFormat/>
    <w:uiPriority w:val="0"/>
    <w:rPr>
      <w:rFonts w:eastAsia="宋体"/>
      <w:kern w:val="2"/>
      <w:sz w:val="24"/>
      <w:szCs w:val="24"/>
      <w:lang w:val="en-US" w:eastAsia="zh-CN" w:bidi="ar-SA"/>
    </w:rPr>
  </w:style>
  <w:style w:type="paragraph" w:customStyle="1" w:styleId="162">
    <w:name w:val="正文（缩进）"/>
    <w:basedOn w:val="1"/>
    <w:link w:val="161"/>
    <w:autoRedefine/>
    <w:qFormat/>
    <w:uiPriority w:val="0"/>
    <w:pPr>
      <w:spacing w:beforeLines="50" w:afterLines="50" w:line="360" w:lineRule="auto"/>
      <w:ind w:firstLine="480" w:firstLineChars="200"/>
    </w:pPr>
    <w:rPr>
      <w:sz w:val="24"/>
    </w:rPr>
  </w:style>
  <w:style w:type="paragraph" w:customStyle="1" w:styleId="163">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autoRedefine/>
    <w:qFormat/>
    <w:uiPriority w:val="0"/>
    <w:pPr>
      <w:spacing w:line="360" w:lineRule="auto"/>
      <w:ind w:firstLine="200" w:firstLineChars="200"/>
    </w:pPr>
    <w:rPr>
      <w:rFonts w:ascii="宋体" w:hAnsi="宋体" w:cs="宋体"/>
      <w:sz w:val="24"/>
    </w:rPr>
  </w:style>
  <w:style w:type="paragraph" w:customStyle="1" w:styleId="166">
    <w:name w:val="列举"/>
    <w:basedOn w:val="1"/>
    <w:autoRedefine/>
    <w:qFormat/>
    <w:uiPriority w:val="0"/>
    <w:pPr>
      <w:numPr>
        <w:ilvl w:val="0"/>
        <w:numId w:val="7"/>
      </w:numPr>
      <w:spacing w:line="360" w:lineRule="auto"/>
    </w:pPr>
    <w:rPr>
      <w:rFonts w:ascii="宋体"/>
    </w:rPr>
  </w:style>
  <w:style w:type="paragraph" w:customStyle="1" w:styleId="16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autoRedefine/>
    <w:qFormat/>
    <w:uiPriority w:val="0"/>
    <w:pPr>
      <w:widowControl/>
      <w:spacing w:after="40" w:line="360" w:lineRule="auto"/>
      <w:ind w:firstLine="200" w:firstLineChars="200"/>
    </w:pPr>
    <w:rPr>
      <w:kern w:val="0"/>
      <w:sz w:val="24"/>
    </w:rPr>
  </w:style>
  <w:style w:type="paragraph" w:customStyle="1" w:styleId="16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autoRedefine/>
    <w:qFormat/>
    <w:uiPriority w:val="0"/>
    <w:pPr>
      <w:numPr>
        <w:ilvl w:val="3"/>
        <w:numId w:val="8"/>
      </w:numPr>
      <w:tabs>
        <w:tab w:val="left" w:pos="425"/>
        <w:tab w:val="clear" w:pos="1984"/>
      </w:tabs>
    </w:pPr>
    <w:rPr>
      <w:bCs w:val="0"/>
    </w:rPr>
  </w:style>
  <w:style w:type="paragraph" w:customStyle="1" w:styleId="171">
    <w:name w:val="p0"/>
    <w:basedOn w:val="1"/>
    <w:autoRedefine/>
    <w:qFormat/>
    <w:uiPriority w:val="0"/>
    <w:pPr>
      <w:widowControl/>
    </w:pPr>
    <w:rPr>
      <w:kern w:val="0"/>
      <w:szCs w:val="21"/>
    </w:rPr>
  </w:style>
  <w:style w:type="paragraph" w:customStyle="1" w:styleId="172">
    <w:name w:val="正文序号 1"/>
    <w:basedOn w:val="1"/>
    <w:autoRedefine/>
    <w:qFormat/>
    <w:uiPriority w:val="0"/>
    <w:pPr>
      <w:numPr>
        <w:ilvl w:val="0"/>
        <w:numId w:val="9"/>
      </w:numPr>
      <w:spacing w:before="60"/>
    </w:pPr>
  </w:style>
  <w:style w:type="paragraph" w:customStyle="1" w:styleId="17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autoRedefine/>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9">
    <w:name w:val="font6"/>
    <w:basedOn w:val="1"/>
    <w:autoRedefine/>
    <w:qFormat/>
    <w:uiPriority w:val="0"/>
    <w:pPr>
      <w:widowControl/>
      <w:spacing w:before="100" w:beforeAutospacing="1" w:after="100" w:afterAutospacing="1"/>
      <w:jc w:val="left"/>
    </w:pPr>
    <w:rPr>
      <w:kern w:val="0"/>
      <w:sz w:val="24"/>
    </w:rPr>
  </w:style>
  <w:style w:type="paragraph" w:customStyle="1" w:styleId="18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autoRedefine/>
    <w:qFormat/>
    <w:uiPriority w:val="0"/>
    <w:pPr>
      <w:numPr>
        <w:ilvl w:val="1"/>
        <w:numId w:val="9"/>
      </w:numPr>
      <w:spacing w:before="60"/>
    </w:pPr>
  </w:style>
  <w:style w:type="paragraph" w:customStyle="1" w:styleId="1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autoRedefine/>
    <w:qFormat/>
    <w:uiPriority w:val="0"/>
    <w:pPr>
      <w:tabs>
        <w:tab w:val="left" w:pos="425"/>
      </w:tabs>
      <w:ind w:left="425" w:hanging="425"/>
    </w:pPr>
    <w:rPr>
      <w:sz w:val="24"/>
    </w:rPr>
  </w:style>
  <w:style w:type="paragraph" w:customStyle="1" w:styleId="19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autoRedefine/>
    <w:qFormat/>
    <w:uiPriority w:val="0"/>
    <w:pPr>
      <w:numPr>
        <w:ilvl w:val="0"/>
        <w:numId w:val="11"/>
      </w:numPr>
      <w:spacing w:line="360" w:lineRule="auto"/>
    </w:pPr>
    <w:rPr>
      <w:sz w:val="24"/>
    </w:rPr>
  </w:style>
  <w:style w:type="paragraph" w:customStyle="1" w:styleId="19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autoRedefine/>
    <w:qFormat/>
    <w:uiPriority w:val="0"/>
    <w:rPr>
      <w:rFonts w:ascii="Tahoma" w:hAnsi="Tahoma"/>
      <w:sz w:val="24"/>
      <w:szCs w:val="20"/>
    </w:rPr>
  </w:style>
  <w:style w:type="paragraph" w:customStyle="1" w:styleId="195">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autoRedefine/>
    <w:qFormat/>
    <w:uiPriority w:val="0"/>
    <w:pPr>
      <w:widowControl/>
      <w:spacing w:before="150" w:after="150"/>
      <w:jc w:val="left"/>
    </w:pPr>
    <w:rPr>
      <w:rFonts w:ascii="宋体" w:hAnsi="宋体" w:cs="宋体"/>
      <w:kern w:val="0"/>
      <w:sz w:val="24"/>
    </w:rPr>
  </w:style>
  <w:style w:type="paragraph" w:customStyle="1" w:styleId="206">
    <w:name w:val="MM Topic 5"/>
    <w:basedOn w:val="7"/>
    <w:autoRedefine/>
    <w:qFormat/>
    <w:uiPriority w:val="0"/>
    <w:pPr>
      <w:numPr>
        <w:ilvl w:val="4"/>
        <w:numId w:val="8"/>
      </w:numPr>
      <w:tabs>
        <w:tab w:val="left" w:pos="425"/>
        <w:tab w:val="clear" w:pos="2551"/>
      </w:tabs>
    </w:pPr>
    <w:rPr>
      <w:bCs/>
      <w:szCs w:val="28"/>
    </w:rPr>
  </w:style>
  <w:style w:type="paragraph" w:customStyle="1" w:styleId="20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autoRedefine/>
    <w:qFormat/>
    <w:uiPriority w:val="0"/>
    <w:pPr>
      <w:widowControl/>
      <w:spacing w:before="100" w:beforeAutospacing="1" w:after="100" w:afterAutospacing="1"/>
      <w:jc w:val="left"/>
    </w:pPr>
    <w:rPr>
      <w:kern w:val="0"/>
      <w:sz w:val="22"/>
      <w:szCs w:val="22"/>
    </w:rPr>
  </w:style>
  <w:style w:type="paragraph" w:customStyle="1" w:styleId="21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autoRedefine/>
    <w:qFormat/>
    <w:uiPriority w:val="0"/>
    <w:pPr>
      <w:jc w:val="center"/>
    </w:pPr>
    <w:rPr>
      <w:b/>
      <w:color w:val="000000"/>
      <w:sz w:val="24"/>
      <w:szCs w:val="21"/>
    </w:rPr>
  </w:style>
  <w:style w:type="paragraph" w:customStyle="1" w:styleId="21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6">
    <w:name w:val="Char"/>
    <w:basedOn w:val="1"/>
    <w:autoRedefine/>
    <w:qFormat/>
    <w:uiPriority w:val="0"/>
    <w:pPr>
      <w:tabs>
        <w:tab w:val="left" w:pos="1365"/>
      </w:tabs>
      <w:ind w:left="1365" w:hanging="360"/>
    </w:pPr>
    <w:rPr>
      <w:sz w:val="24"/>
    </w:rPr>
  </w:style>
  <w:style w:type="paragraph" w:customStyle="1" w:styleId="217">
    <w:name w:val="font15"/>
    <w:basedOn w:val="1"/>
    <w:autoRedefine/>
    <w:qFormat/>
    <w:uiPriority w:val="0"/>
    <w:pPr>
      <w:widowControl/>
      <w:spacing w:before="100" w:beforeAutospacing="1" w:after="100" w:afterAutospacing="1"/>
      <w:jc w:val="left"/>
    </w:pPr>
    <w:rPr>
      <w:kern w:val="0"/>
      <w:sz w:val="20"/>
      <w:szCs w:val="20"/>
    </w:rPr>
  </w:style>
  <w:style w:type="paragraph" w:customStyle="1" w:styleId="21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autoRedefine/>
    <w:qFormat/>
    <w:uiPriority w:val="0"/>
    <w:pPr>
      <w:widowControl/>
      <w:spacing w:before="100" w:beforeAutospacing="1" w:after="100" w:afterAutospacing="1"/>
      <w:jc w:val="left"/>
    </w:pPr>
    <w:rPr>
      <w:kern w:val="0"/>
      <w:sz w:val="20"/>
      <w:szCs w:val="20"/>
    </w:rPr>
  </w:style>
  <w:style w:type="paragraph" w:customStyle="1" w:styleId="222">
    <w:name w:val="Char2"/>
    <w:basedOn w:val="1"/>
    <w:autoRedefine/>
    <w:qFormat/>
    <w:uiPriority w:val="0"/>
    <w:pPr>
      <w:tabs>
        <w:tab w:val="left" w:pos="425"/>
      </w:tabs>
      <w:ind w:left="425" w:hanging="425"/>
    </w:pPr>
    <w:rPr>
      <w:sz w:val="24"/>
    </w:rPr>
  </w:style>
  <w:style w:type="paragraph" w:customStyle="1" w:styleId="223">
    <w:name w:val="书籍标题4"/>
    <w:basedOn w:val="100"/>
    <w:next w:val="1"/>
    <w:autoRedefine/>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autoRedefine/>
    <w:qFormat/>
    <w:uiPriority w:val="0"/>
    <w:pPr>
      <w:numPr>
        <w:ilvl w:val="3"/>
        <w:numId w:val="13"/>
      </w:numPr>
      <w:tabs>
        <w:tab w:val="clear" w:pos="1914"/>
      </w:tabs>
    </w:pPr>
    <w:rPr>
      <w:color w:val="auto"/>
    </w:rPr>
  </w:style>
  <w:style w:type="paragraph" w:customStyle="1" w:styleId="225">
    <w:name w:val="表格"/>
    <w:basedOn w:val="1"/>
    <w:autoRedefine/>
    <w:qFormat/>
    <w:uiPriority w:val="0"/>
    <w:pPr>
      <w:jc w:val="center"/>
    </w:pPr>
    <w:rPr>
      <w:rFonts w:ascii="宋体"/>
      <w:b/>
      <w:szCs w:val="20"/>
    </w:rPr>
  </w:style>
  <w:style w:type="paragraph" w:customStyle="1" w:styleId="226">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9">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autoRedefine/>
    <w:qFormat/>
    <w:uiPriority w:val="34"/>
    <w:pPr>
      <w:ind w:firstLine="200" w:firstLineChars="200"/>
    </w:pPr>
    <w:rPr>
      <w:rFonts w:ascii="Calibri" w:hAnsi="Calibri"/>
      <w:szCs w:val="22"/>
    </w:rPr>
  </w:style>
  <w:style w:type="paragraph" w:customStyle="1" w:styleId="242">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autoRedefine/>
    <w:qFormat/>
    <w:uiPriority w:val="0"/>
    <w:pPr>
      <w:numPr>
        <w:ilvl w:val="2"/>
        <w:numId w:val="9"/>
      </w:numPr>
      <w:spacing w:before="60"/>
    </w:pPr>
  </w:style>
  <w:style w:type="paragraph" w:customStyle="1" w:styleId="24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0">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autoRedefine/>
    <w:qFormat/>
    <w:uiPriority w:val="0"/>
    <w:pPr>
      <w:ind w:left="1365" w:hanging="360"/>
    </w:pPr>
    <w:rPr>
      <w:sz w:val="24"/>
    </w:rPr>
  </w:style>
  <w:style w:type="paragraph" w:customStyle="1" w:styleId="255">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 w:type="paragraph" w:customStyle="1" w:styleId="351">
    <w:name w:val="正文正"/>
    <w:basedOn w:val="1"/>
    <w:autoRedefine/>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45</Pages>
  <Words>4692</Words>
  <Characters>26745</Characters>
  <Lines>222</Lines>
  <Paragraphs>62</Paragraphs>
  <TotalTime>0</TotalTime>
  <ScaleCrop>false</ScaleCrop>
  <LinksUpToDate>false</LinksUpToDate>
  <CharactersWithSpaces>31375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2023-12-23T04:15:00Z</cp:lastPrinted>
  <dcterms:modified xsi:type="dcterms:W3CDTF">2024-04-02T10:28:41Z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F590216C48344EB093F990E4C9F24AF8</vt:lpwstr>
  </property>
</Properties>
</file>