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
          <w:bCs/>
          <w:color w:val="000000" w:themeColor="text1"/>
          <w:sz w:val="52"/>
          <w:szCs w:val="52"/>
          <w:highlight w:val="none"/>
        </w:rPr>
      </w:pPr>
      <w:r>
        <w:rPr>
          <w:rFonts w:hint="eastAsia" w:hAnsi="宋体"/>
          <w:b/>
          <w:bCs/>
          <w:color w:val="000000" w:themeColor="text1"/>
          <w:sz w:val="52"/>
          <w:szCs w:val="52"/>
          <w:highlight w:val="none"/>
        </w:rPr>
        <w:t>竞争性谈判</w:t>
      </w:r>
    </w:p>
    <w:p>
      <w:pPr>
        <w:pStyle w:val="22"/>
        <w:widowControl/>
        <w:adjustRightInd w:val="0"/>
        <w:snapToGrid w:val="0"/>
        <w:spacing w:line="360" w:lineRule="auto"/>
        <w:jc w:val="center"/>
        <w:rPr>
          <w:rFonts w:hAnsi="宋体"/>
          <w:bCs/>
          <w:color w:val="000000" w:themeColor="text1"/>
          <w:sz w:val="72"/>
          <w:szCs w:val="72"/>
          <w:highlight w:val="none"/>
        </w:rPr>
      </w:pPr>
    </w:p>
    <w:p>
      <w:pPr>
        <w:pStyle w:val="22"/>
        <w:widowControl/>
        <w:adjustRightInd w:val="0"/>
        <w:snapToGrid w:val="0"/>
        <w:spacing w:line="360" w:lineRule="auto"/>
        <w:jc w:val="center"/>
        <w:rPr>
          <w:rFonts w:ascii="黑体" w:hAnsi="黑体" w:eastAsia="黑体"/>
          <w:b/>
          <w:bCs/>
          <w:color w:val="000000" w:themeColor="text1"/>
          <w:sz w:val="36"/>
          <w:highlight w:val="none"/>
        </w:rPr>
      </w:pPr>
      <w:r>
        <w:rPr>
          <w:rFonts w:hint="eastAsia" w:ascii="黑体" w:hAnsi="黑体" w:eastAsia="黑体"/>
          <w:b/>
          <w:bCs/>
          <w:color w:val="000000" w:themeColor="text1"/>
          <w:sz w:val="72"/>
          <w:highlight w:val="none"/>
        </w:rPr>
        <w:t>谈  判  文  件</w:t>
      </w: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rPr>
          <w:rFonts w:hAnsi="宋体"/>
          <w:bCs/>
          <w:color w:val="000000" w:themeColor="text1"/>
          <w:sz w:val="52"/>
          <w:szCs w:val="52"/>
          <w:highlight w:val="none"/>
        </w:rPr>
      </w:pPr>
    </w:p>
    <w:tbl>
      <w:tblPr>
        <w:tblStyle w:val="42"/>
        <w:tblW w:w="7322" w:type="dxa"/>
        <w:jc w:val="center"/>
        <w:tblLayout w:type="fixed"/>
        <w:tblCellMar>
          <w:top w:w="0" w:type="dxa"/>
          <w:left w:w="108" w:type="dxa"/>
          <w:bottom w:w="0" w:type="dxa"/>
          <w:right w:w="108" w:type="dxa"/>
        </w:tblCellMar>
      </w:tblPr>
      <w:tblGrid>
        <w:gridCol w:w="1951"/>
        <w:gridCol w:w="284"/>
        <w:gridCol w:w="5087"/>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087"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YXZB-20240318</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087"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实时客户服务及智能通知项目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087"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深圳市俏悦科技有限公司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087"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rPr>
      </w:pPr>
    </w:p>
    <w:p>
      <w:pPr>
        <w:pStyle w:val="22"/>
        <w:widowControl/>
        <w:adjustRightInd w:val="0"/>
        <w:snapToGrid w:val="0"/>
        <w:spacing w:line="360" w:lineRule="auto"/>
        <w:jc w:val="center"/>
        <w:rPr>
          <w:rFonts w:hAnsi="宋体"/>
          <w:b/>
          <w:bCs/>
          <w:color w:val="000000" w:themeColor="text1"/>
          <w:sz w:val="24"/>
          <w:szCs w:val="24"/>
          <w:highlight w:val="none"/>
        </w:rPr>
      </w:pPr>
      <w:r>
        <w:rPr>
          <w:rFonts w:hint="eastAsia" w:hAnsi="宋体"/>
          <w:b/>
          <w:bCs/>
          <w:color w:val="000000" w:themeColor="text1"/>
          <w:sz w:val="24"/>
          <w:szCs w:val="24"/>
          <w:highlight w:val="none"/>
        </w:rPr>
        <w:t>二○</w:t>
      </w:r>
      <w:r>
        <w:rPr>
          <w:rFonts w:hint="eastAsia" w:hAnsi="宋体"/>
          <w:b/>
          <w:bCs/>
          <w:color w:val="000000" w:themeColor="text1"/>
          <w:sz w:val="24"/>
          <w:szCs w:val="24"/>
          <w:highlight w:val="none"/>
          <w:lang w:val="en-US" w:eastAsia="zh-CN"/>
        </w:rPr>
        <w:t>二四</w:t>
      </w:r>
      <w:r>
        <w:rPr>
          <w:rFonts w:hint="eastAsia" w:hAnsi="宋体"/>
          <w:b/>
          <w:bCs/>
          <w:color w:val="000000" w:themeColor="text1"/>
          <w:sz w:val="24"/>
          <w:szCs w:val="24"/>
          <w:highlight w:val="none"/>
        </w:rPr>
        <w:t>年</w:t>
      </w:r>
      <w:r>
        <w:rPr>
          <w:rFonts w:hint="eastAsia" w:hAnsi="宋体"/>
          <w:b/>
          <w:bCs/>
          <w:color w:val="000000" w:themeColor="text1"/>
          <w:sz w:val="24"/>
          <w:szCs w:val="24"/>
          <w:highlight w:val="none"/>
          <w:lang w:val="en-US" w:eastAsia="zh-CN"/>
        </w:rPr>
        <w:t>三</w:t>
      </w:r>
      <w:r>
        <w:rPr>
          <w:rFonts w:hint="eastAsia" w:hAnsi="宋体"/>
          <w:b/>
          <w:bCs/>
          <w:color w:val="000000" w:themeColor="text1"/>
          <w:sz w:val="24"/>
          <w:szCs w:val="24"/>
          <w:highlight w:val="none"/>
        </w:rPr>
        <w:t>月</w:t>
      </w:r>
    </w:p>
    <w:p>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请供应商特别留意谈判文件上注明的投标截止和开标时间，逾期送达或邮寄送达的谈判文件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6"/>
        </w:numPr>
        <w:spacing w:line="480" w:lineRule="exact"/>
        <w:ind w:left="709" w:hanging="709"/>
        <w:rPr>
          <w:rFonts w:ascii="宋体" w:hAnsi="宋体"/>
          <w:b/>
          <w:color w:val="000000" w:themeColor="text1"/>
          <w:szCs w:val="21"/>
          <w:highlight w:val="none"/>
          <w:u w:val="single"/>
        </w:rPr>
      </w:pPr>
      <w:r>
        <w:rPr>
          <w:rFonts w:hint="eastAsia" w:ascii="宋体" w:hAnsi="宋体"/>
          <w:b/>
          <w:color w:val="000000" w:themeColor="text1"/>
          <w:szCs w:val="21"/>
          <w:highlight w:val="none"/>
          <w:u w:val="single"/>
        </w:rPr>
        <w:t>参与投标且尚未在广东省政府采购网登记注册的供应商，应在报名成功后登录广东省政府采购网进行注册，注册过程中如有任何疑问，可咨询广东省政府采购网技术部。</w:t>
      </w:r>
    </w:p>
    <w:p>
      <w:pPr>
        <w:numPr>
          <w:ilvl w:val="0"/>
          <w:numId w:val="6"/>
        </w:numPr>
        <w:spacing w:line="48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谈判文件中标有“★”的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建议将谈判文件按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谈判小组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rPr>
      </w:pPr>
      <w:r>
        <w:rPr>
          <w:rFonts w:hint="eastAsia" w:hAnsi="宋体" w:cs="仿宋_GB2312"/>
          <w:b/>
          <w:bCs/>
          <w:color w:val="000000" w:themeColor="text1"/>
          <w:highlight w:val="none"/>
          <w:lang w:val="zh-CN"/>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rPr>
        <w:sectPr>
          <w:footerReference r:id="rId6" w:type="first"/>
          <w:headerReference r:id="rId3" w:type="default"/>
          <w:footerReference r:id="rId4" w:type="default"/>
          <w:footerReference r:id="rId5" w:type="even"/>
          <w:pgSz w:w="11907" w:h="16840"/>
          <w:pgMar w:top="1247" w:right="1247" w:bottom="1247" w:left="1247" w:header="851" w:footer="851" w:gutter="0"/>
          <w:cols w:space="720" w:num="1"/>
          <w:docGrid w:linePitch="380" w:charSpace="-5735"/>
        </w:sectPr>
      </w:pPr>
    </w:p>
    <w:p>
      <w:pPr>
        <w:pStyle w:val="36"/>
        <w:jc w:val="center"/>
        <w:rPr>
          <w:rFonts w:ascii="宋体"/>
          <w:color w:val="000000" w:themeColor="text1"/>
          <w:highlight w:val="none"/>
        </w:rPr>
      </w:pPr>
      <w:r>
        <w:rPr>
          <w:rFonts w:hint="eastAsia" w:ascii="宋体"/>
          <w:color w:val="000000" w:themeColor="text1"/>
          <w:highlight w:val="none"/>
        </w:rPr>
        <w:t>目     录</w:t>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_Toc1430 </w:instrText>
      </w:r>
      <w:r>
        <w:rPr>
          <w:color w:val="000000" w:themeColor="text1"/>
          <w:highlight w:val="none"/>
        </w:rPr>
        <w:fldChar w:fldCharType="separate"/>
      </w:r>
      <w:r>
        <w:rPr>
          <w:rFonts w:hint="eastAsia"/>
          <w:color w:val="000000" w:themeColor="text1"/>
          <w:highlight w:val="none"/>
        </w:rPr>
        <w:t>第一部分  竞争性谈判邀请书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_Toc1430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_Toc20860 </w:instrText>
      </w:r>
      <w:r>
        <w:rPr>
          <w:color w:val="000000" w:themeColor="text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_Toc20860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_Toc4872 </w:instrText>
      </w:r>
      <w:r>
        <w:rPr>
          <w:color w:val="000000" w:themeColor="text1"/>
          <w:highlight w:val="none"/>
        </w:rPr>
        <w:fldChar w:fldCharType="separate"/>
      </w:r>
      <w:r>
        <w:rPr>
          <w:rFonts w:hint="eastAsia"/>
          <w:color w:val="000000" w:themeColor="text1"/>
          <w:highlight w:val="none"/>
        </w:rPr>
        <w:t>项目编号：</w:t>
      </w:r>
      <w:r>
        <w:rPr>
          <w:rFonts w:hint="eastAsia"/>
          <w:color w:val="000000" w:themeColor="text1"/>
          <w:highlight w:val="none"/>
          <w:lang w:eastAsia="zh-CN"/>
        </w:rPr>
        <w:t>YXZB-20240318</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_Toc4872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_Toc19486 </w:instrText>
      </w:r>
      <w:r>
        <w:rPr>
          <w:color w:val="000000" w:themeColor="text1"/>
          <w:highlight w:val="none"/>
        </w:rPr>
        <w:fldChar w:fldCharType="separate"/>
      </w:r>
      <w:r>
        <w:rPr>
          <w:rFonts w:hint="eastAsia"/>
          <w:color w:val="000000" w:themeColor="text1"/>
          <w:highlight w:val="none"/>
        </w:rPr>
        <w:t>项目名称：</w:t>
      </w:r>
      <w:r>
        <w:rPr>
          <w:rFonts w:hint="eastAsia"/>
          <w:color w:val="000000" w:themeColor="text1"/>
          <w:highlight w:val="none"/>
          <w:lang w:eastAsia="zh-CN"/>
        </w:rPr>
        <w:t>实时客户服务及智能通知项目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_Toc19486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_Toc8029 </w:instrText>
      </w:r>
      <w:r>
        <w:rPr>
          <w:color w:val="000000" w:themeColor="text1"/>
          <w:highlight w:val="none"/>
        </w:rPr>
        <w:fldChar w:fldCharType="separate"/>
      </w:r>
      <w:r>
        <w:rPr>
          <w:color w:val="000000" w:themeColor="text1"/>
          <w:highlight w:val="none"/>
        </w:rPr>
        <w:t xml:space="preserve">A  </w:t>
      </w:r>
      <w:r>
        <w:rPr>
          <w:rFonts w:hint="eastAsia"/>
          <w:color w:val="000000" w:themeColor="text1"/>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_Toc8029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_Toc781 </w:instrText>
      </w:r>
      <w:r>
        <w:rPr>
          <w:color w:val="000000" w:themeColor="text1"/>
          <w:highlight w:val="none"/>
        </w:rPr>
        <w:fldChar w:fldCharType="separate"/>
      </w:r>
      <w:r>
        <w:rPr>
          <w:rFonts w:hint="eastAsia"/>
          <w:color w:val="000000" w:themeColor="text1"/>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_Toc781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_Toc29929 </w:instrText>
      </w:r>
      <w:r>
        <w:rPr>
          <w:color w:val="000000" w:themeColor="text1"/>
          <w:highlight w:val="none"/>
        </w:rPr>
        <w:fldChar w:fldCharType="separate"/>
      </w:r>
      <w:r>
        <w:rPr>
          <w:rFonts w:hint="eastAsia"/>
          <w:color w:val="000000" w:themeColor="text1"/>
          <w:highlight w:val="none"/>
        </w:rPr>
        <w:t>第三部分 报价须知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_Toc29929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_Toc26876 </w:instrText>
      </w:r>
      <w:r>
        <w:rPr>
          <w:color w:val="000000" w:themeColor="text1"/>
          <w:highlight w:val="none"/>
        </w:rPr>
        <w:fldChar w:fldCharType="separate"/>
      </w:r>
      <w:r>
        <w:rPr>
          <w:rFonts w:hint="eastAsia"/>
          <w:color w:val="000000" w:themeColor="text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_Toc26876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_Toc3709 </w:instrText>
      </w:r>
      <w:r>
        <w:rPr>
          <w:color w:val="000000" w:themeColor="text1"/>
          <w:highlight w:val="none"/>
        </w:rPr>
        <w:fldChar w:fldCharType="separate"/>
      </w:r>
      <w:r>
        <w:rPr>
          <w:color w:val="000000" w:themeColor="text1"/>
          <w:highlight w:val="none"/>
        </w:rPr>
        <w:t>1</w:t>
      </w:r>
      <w:r>
        <w:rPr>
          <w:rFonts w:hint="eastAsia"/>
          <w:color w:val="000000" w:themeColor="text1"/>
          <w:highlight w:val="none"/>
        </w:rPr>
        <w:tab/>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_Toc3709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_Toc15552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ab/>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_Toc15552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_Toc10706 </w:instrText>
      </w:r>
      <w:r>
        <w:rPr>
          <w:color w:val="000000" w:themeColor="text1"/>
          <w:highlight w:val="none"/>
        </w:rPr>
        <w:fldChar w:fldCharType="separate"/>
      </w:r>
      <w:r>
        <w:rPr>
          <w:color w:val="000000" w:themeColor="text1"/>
          <w:highlight w:val="none"/>
        </w:rPr>
        <w:t>3</w:t>
      </w:r>
      <w:r>
        <w:rPr>
          <w:rFonts w:hint="eastAsia"/>
          <w:color w:val="000000" w:themeColor="text1"/>
          <w:highlight w:val="none"/>
        </w:rPr>
        <w:tab/>
      </w:r>
      <w:r>
        <w:rPr>
          <w:rFonts w:hint="eastAsia"/>
          <w:color w:val="000000" w:themeColor="text1"/>
          <w:highlight w:val="none"/>
        </w:rPr>
        <w:t>合格的供应商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_Toc10706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_Toc15997 </w:instrText>
      </w:r>
      <w:r>
        <w:rPr>
          <w:color w:val="000000" w:themeColor="text1"/>
          <w:highlight w:val="none"/>
        </w:rPr>
        <w:fldChar w:fldCharType="separate"/>
      </w:r>
      <w:r>
        <w:rPr>
          <w:color w:val="000000" w:themeColor="text1"/>
          <w:highlight w:val="none"/>
        </w:rPr>
        <w:t>4</w:t>
      </w:r>
      <w:r>
        <w:rPr>
          <w:rFonts w:hint="eastAsia"/>
          <w:color w:val="000000" w:themeColor="text1"/>
          <w:highlight w:val="none"/>
        </w:rPr>
        <w:tab/>
      </w:r>
      <w:r>
        <w:rPr>
          <w:rFonts w:hint="eastAsia"/>
          <w:color w:val="000000" w:themeColor="text1"/>
          <w:highlight w:val="none"/>
        </w:rPr>
        <w:t>谈判费用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_Toc15997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_Toc25224 </w:instrText>
      </w:r>
      <w:r>
        <w:rPr>
          <w:color w:val="000000" w:themeColor="text1"/>
          <w:highlight w:val="none"/>
        </w:rPr>
        <w:fldChar w:fldCharType="separate"/>
      </w:r>
      <w:r>
        <w:rPr>
          <w:rFonts w:hint="eastAsia"/>
          <w:color w:val="000000" w:themeColor="text1"/>
          <w:highlight w:val="none"/>
        </w:rPr>
        <w:t>Ｂ谈判文件说明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_Toc25224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_Toc12086 </w:instrText>
      </w:r>
      <w:r>
        <w:rPr>
          <w:color w:val="000000" w:themeColor="text1"/>
          <w:highlight w:val="none"/>
        </w:rPr>
        <w:fldChar w:fldCharType="separate"/>
      </w:r>
      <w:r>
        <w:rPr>
          <w:color w:val="000000" w:themeColor="text1"/>
          <w:highlight w:val="none"/>
        </w:rPr>
        <w:t>5</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_Toc12086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_Toc16878 </w:instrText>
      </w:r>
      <w:r>
        <w:rPr>
          <w:color w:val="000000" w:themeColor="text1"/>
          <w:highlight w:val="none"/>
        </w:rPr>
        <w:fldChar w:fldCharType="separate"/>
      </w:r>
      <w:r>
        <w:rPr>
          <w:color w:val="000000" w:themeColor="text1"/>
          <w:highlight w:val="none"/>
        </w:rPr>
        <w:t>6</w:t>
      </w:r>
      <w:r>
        <w:rPr>
          <w:rFonts w:hint="eastAsia"/>
          <w:color w:val="000000" w:themeColor="text1"/>
          <w:highlight w:val="none"/>
        </w:rPr>
        <w:tab/>
      </w:r>
      <w:r>
        <w:rPr>
          <w:rFonts w:hint="eastAsia"/>
          <w:color w:val="000000" w:themeColor="text1"/>
          <w:highlight w:val="none"/>
        </w:rPr>
        <w:t>谈判文件的澄清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_Toc16878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_Toc30189 </w:instrText>
      </w:r>
      <w:r>
        <w:rPr>
          <w:color w:val="000000" w:themeColor="text1"/>
          <w:highlight w:val="none"/>
        </w:rPr>
        <w:fldChar w:fldCharType="separate"/>
      </w:r>
      <w:r>
        <w:rPr>
          <w:color w:val="000000" w:themeColor="text1"/>
          <w:highlight w:val="none"/>
        </w:rPr>
        <w:t>7</w:t>
      </w:r>
      <w:r>
        <w:rPr>
          <w:rFonts w:hint="eastAsia"/>
          <w:color w:val="000000" w:themeColor="text1"/>
          <w:highlight w:val="none"/>
        </w:rPr>
        <w:tab/>
      </w:r>
      <w:r>
        <w:rPr>
          <w:rFonts w:hint="eastAsia"/>
          <w:color w:val="000000" w:themeColor="text1"/>
          <w:highlight w:val="none"/>
        </w:rPr>
        <w:t>谈判文件的修改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_Toc30189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_Toc21034 </w:instrText>
      </w:r>
      <w:r>
        <w:rPr>
          <w:color w:val="000000" w:themeColor="text1"/>
          <w:highlight w:val="none"/>
        </w:rPr>
        <w:fldChar w:fldCharType="separate"/>
      </w:r>
      <w:r>
        <w:rPr>
          <w:rFonts w:hint="eastAsia"/>
          <w:color w:val="000000" w:themeColor="text1"/>
          <w:highlight w:val="none"/>
        </w:rPr>
        <w:t>Ｃ谈判文件的编制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_Toc21034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_Toc24246 </w:instrText>
      </w:r>
      <w:r>
        <w:rPr>
          <w:color w:val="000000" w:themeColor="text1"/>
          <w:highlight w:val="none"/>
        </w:rPr>
        <w:fldChar w:fldCharType="separate"/>
      </w:r>
      <w:r>
        <w:rPr>
          <w:rFonts w:hint="eastAsia"/>
          <w:color w:val="000000" w:themeColor="text1"/>
          <w:highlight w:val="none"/>
        </w:rPr>
        <w:t>8</w:t>
      </w:r>
      <w:r>
        <w:rPr>
          <w:rFonts w:hint="eastAsia"/>
          <w:color w:val="000000" w:themeColor="text1"/>
          <w:highlight w:val="none"/>
        </w:rPr>
        <w:tab/>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_Toc24246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_Toc30586 </w:instrText>
      </w:r>
      <w:r>
        <w:rPr>
          <w:color w:val="000000" w:themeColor="text1"/>
          <w:highlight w:val="none"/>
        </w:rPr>
        <w:fldChar w:fldCharType="separate"/>
      </w:r>
      <w:r>
        <w:rPr>
          <w:color w:val="000000" w:themeColor="text1"/>
          <w:highlight w:val="none"/>
        </w:rPr>
        <w:t>9</w:t>
      </w:r>
      <w:r>
        <w:rPr>
          <w:rFonts w:hint="eastAsia"/>
          <w:color w:val="000000" w:themeColor="text1"/>
          <w:highlight w:val="none"/>
        </w:rPr>
        <w:tab/>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_Toc30586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_Toc19303 </w:instrText>
      </w:r>
      <w:r>
        <w:rPr>
          <w:color w:val="000000" w:themeColor="text1"/>
          <w:highlight w:val="none"/>
        </w:rPr>
        <w:fldChar w:fldCharType="separate"/>
      </w:r>
      <w:r>
        <w:rPr>
          <w:color w:val="000000" w:themeColor="text1"/>
          <w:highlight w:val="none"/>
        </w:rPr>
        <w:t>10</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_Toc19303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_Toc10404 </w:instrText>
      </w:r>
      <w:r>
        <w:rPr>
          <w:color w:val="000000" w:themeColor="text1"/>
          <w:highlight w:val="none"/>
        </w:rPr>
        <w:fldChar w:fldCharType="separate"/>
      </w:r>
      <w:r>
        <w:rPr>
          <w:color w:val="000000" w:themeColor="text1"/>
          <w:highlight w:val="none"/>
        </w:rPr>
        <w:t>11</w:t>
      </w:r>
      <w:r>
        <w:rPr>
          <w:rFonts w:hint="eastAsia"/>
          <w:color w:val="000000" w:themeColor="text1"/>
          <w:highlight w:val="none"/>
        </w:rPr>
        <w:tab/>
      </w:r>
      <w:r>
        <w:rPr>
          <w:rFonts w:hint="eastAsia"/>
          <w:color w:val="000000" w:themeColor="text1"/>
          <w:highlight w:val="none"/>
        </w:rPr>
        <w:t>谈判响应文件格式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_Toc10404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_Toc10959 </w:instrText>
      </w:r>
      <w:r>
        <w:rPr>
          <w:color w:val="000000" w:themeColor="text1"/>
          <w:highlight w:val="none"/>
        </w:rPr>
        <w:fldChar w:fldCharType="separate"/>
      </w:r>
      <w:r>
        <w:rPr>
          <w:rFonts w:hint="eastAsia"/>
          <w:color w:val="000000" w:themeColor="text1"/>
          <w:highlight w:val="none"/>
        </w:rPr>
        <w:t>12</w:t>
      </w:r>
      <w:r>
        <w:rPr>
          <w:rFonts w:hint="eastAsia"/>
          <w:color w:val="000000" w:themeColor="text1"/>
          <w:highlight w:val="none"/>
        </w:rPr>
        <w:tab/>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_Toc10959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_Toc10198 </w:instrText>
      </w:r>
      <w:r>
        <w:rPr>
          <w:color w:val="000000" w:themeColor="text1"/>
          <w:highlight w:val="none"/>
        </w:rPr>
        <w:fldChar w:fldCharType="separate"/>
      </w:r>
      <w:r>
        <w:rPr>
          <w:rFonts w:hint="eastAsia"/>
          <w:color w:val="000000" w:themeColor="text1"/>
          <w:highlight w:val="none"/>
        </w:rPr>
        <w:t>13</w:t>
      </w:r>
      <w:r>
        <w:rPr>
          <w:rFonts w:hint="eastAsia"/>
          <w:color w:val="000000" w:themeColor="text1"/>
          <w:highlight w:val="none"/>
        </w:rPr>
        <w:tab/>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_Toc10198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_Toc29337 </w:instrText>
      </w:r>
      <w:r>
        <w:rPr>
          <w:color w:val="000000" w:themeColor="text1"/>
          <w:highlight w:val="none"/>
        </w:rPr>
        <w:fldChar w:fldCharType="separate"/>
      </w:r>
      <w:r>
        <w:rPr>
          <w:color w:val="000000" w:themeColor="text1"/>
          <w:highlight w:val="none"/>
        </w:rPr>
        <w:t>14</w:t>
      </w:r>
      <w:r>
        <w:rPr>
          <w:rFonts w:hint="eastAsia"/>
          <w:color w:val="000000" w:themeColor="text1"/>
          <w:highlight w:val="none"/>
        </w:rPr>
        <w:tab/>
      </w:r>
      <w:r>
        <w:rPr>
          <w:rFonts w:hint="eastAsia"/>
          <w:color w:val="000000" w:themeColor="text1"/>
          <w:highlight w:val="none"/>
        </w:rPr>
        <w:t>投报价格与报价货币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_Toc29337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_Toc10108 </w:instrText>
      </w:r>
      <w:r>
        <w:rPr>
          <w:color w:val="000000" w:themeColor="text1"/>
          <w:highlight w:val="none"/>
        </w:rPr>
        <w:fldChar w:fldCharType="separate"/>
      </w:r>
      <w:r>
        <w:rPr>
          <w:color w:val="000000" w:themeColor="text1"/>
          <w:highlight w:val="none"/>
        </w:rPr>
        <w:t>15</w:t>
      </w:r>
      <w:r>
        <w:rPr>
          <w:rFonts w:hint="eastAsia"/>
          <w:color w:val="000000" w:themeColor="text1"/>
          <w:highlight w:val="none"/>
        </w:rPr>
        <w:tab/>
      </w:r>
      <w:r>
        <w:rPr>
          <w:rFonts w:hint="eastAsia"/>
          <w:color w:val="000000" w:themeColor="text1"/>
          <w:highlight w:val="none"/>
        </w:rPr>
        <w:t>谈判保证金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_Toc10108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_Toc31039 </w:instrText>
      </w:r>
      <w:r>
        <w:rPr>
          <w:color w:val="000000" w:themeColor="text1"/>
          <w:highlight w:val="none"/>
        </w:rPr>
        <w:fldChar w:fldCharType="separate"/>
      </w:r>
      <w:r>
        <w:rPr>
          <w:color w:val="000000" w:themeColor="text1"/>
          <w:highlight w:val="none"/>
        </w:rPr>
        <w:t>16</w:t>
      </w:r>
      <w:r>
        <w:rPr>
          <w:rFonts w:hint="eastAsia"/>
          <w:color w:val="000000" w:themeColor="text1"/>
          <w:highlight w:val="none"/>
        </w:rPr>
        <w:tab/>
      </w:r>
      <w:r>
        <w:rPr>
          <w:rFonts w:hint="eastAsia"/>
          <w:color w:val="000000" w:themeColor="text1"/>
          <w:highlight w:val="none"/>
        </w:rPr>
        <w:t>谈判有效期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_Toc31039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_Toc25308 </w:instrText>
      </w:r>
      <w:r>
        <w:rPr>
          <w:color w:val="000000" w:themeColor="text1"/>
          <w:highlight w:val="none"/>
        </w:rPr>
        <w:fldChar w:fldCharType="separate"/>
      </w:r>
      <w:r>
        <w:rPr>
          <w:color w:val="000000" w:themeColor="text1"/>
          <w:highlight w:val="none"/>
        </w:rPr>
        <w:t>17</w:t>
      </w:r>
      <w:r>
        <w:rPr>
          <w:rFonts w:hint="eastAsia"/>
          <w:color w:val="000000" w:themeColor="text1"/>
          <w:highlight w:val="none"/>
        </w:rPr>
        <w:tab/>
      </w:r>
      <w:r>
        <w:rPr>
          <w:rFonts w:hint="eastAsia"/>
          <w:color w:val="000000" w:themeColor="text1"/>
          <w:highlight w:val="none"/>
        </w:rPr>
        <w:t>谈判响应文件的签署及规定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_Toc25308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_Toc14535 </w:instrText>
      </w:r>
      <w:r>
        <w:rPr>
          <w:color w:val="000000" w:themeColor="text1"/>
          <w:highlight w:val="none"/>
        </w:rPr>
        <w:fldChar w:fldCharType="separate"/>
      </w:r>
      <w:r>
        <w:rPr>
          <w:rFonts w:hint="eastAsia"/>
          <w:color w:val="000000" w:themeColor="text1"/>
          <w:highlight w:val="none"/>
        </w:rPr>
        <w:t>Ｄ谈判响应文件的递交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_Toc14535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_Toc12403 </w:instrText>
      </w:r>
      <w:r>
        <w:rPr>
          <w:color w:val="000000" w:themeColor="text1"/>
          <w:highlight w:val="none"/>
        </w:rPr>
        <w:fldChar w:fldCharType="separate"/>
      </w:r>
      <w:r>
        <w:rPr>
          <w:color w:val="000000" w:themeColor="text1"/>
          <w:highlight w:val="none"/>
        </w:rPr>
        <w:t>18</w:t>
      </w:r>
      <w:r>
        <w:rPr>
          <w:rFonts w:hint="eastAsia"/>
          <w:color w:val="000000" w:themeColor="text1"/>
          <w:highlight w:val="none"/>
        </w:rPr>
        <w:tab/>
      </w:r>
      <w:r>
        <w:rPr>
          <w:rFonts w:hint="eastAsia"/>
          <w:color w:val="000000" w:themeColor="text1"/>
          <w:highlight w:val="none"/>
        </w:rPr>
        <w:t>谈判响应文件的密封和标记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_Toc12403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_Toc2068 </w:instrText>
      </w:r>
      <w:r>
        <w:rPr>
          <w:color w:val="000000" w:themeColor="text1"/>
          <w:highlight w:val="none"/>
        </w:rPr>
        <w:fldChar w:fldCharType="separate"/>
      </w:r>
      <w:r>
        <w:rPr>
          <w:rFonts w:hint="eastAsia"/>
          <w:color w:val="000000" w:themeColor="text1"/>
          <w:highlight w:val="none"/>
        </w:rPr>
        <w:t>19</w:t>
      </w:r>
      <w:r>
        <w:rPr>
          <w:rFonts w:hint="eastAsia"/>
          <w:color w:val="000000" w:themeColor="text1"/>
          <w:highlight w:val="none"/>
        </w:rPr>
        <w:tab/>
      </w:r>
      <w:r>
        <w:rPr>
          <w:rFonts w:hint="eastAsia"/>
          <w:color w:val="000000" w:themeColor="text1"/>
          <w:highlight w:val="none"/>
        </w:rPr>
        <w:t>递交谈判响应文件的时间、地点及截止时间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_Toc1136 </w:instrText>
      </w:r>
      <w:r>
        <w:rPr>
          <w:color w:val="000000" w:themeColor="text1"/>
          <w:highlight w:val="none"/>
        </w:rPr>
        <w:fldChar w:fldCharType="separate"/>
      </w:r>
      <w:r>
        <w:rPr>
          <w:color w:val="000000" w:themeColor="text1"/>
          <w:highlight w:val="none"/>
        </w:rPr>
        <w:t>20</w:t>
      </w:r>
      <w:r>
        <w:rPr>
          <w:rFonts w:hint="eastAsia"/>
          <w:color w:val="000000" w:themeColor="text1"/>
          <w:highlight w:val="none"/>
        </w:rPr>
        <w:tab/>
      </w:r>
      <w:r>
        <w:rPr>
          <w:rFonts w:hint="eastAsia"/>
          <w:color w:val="000000" w:themeColor="text1"/>
          <w:highlight w:val="none"/>
        </w:rPr>
        <w:t>迟交的谈判响应文件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_Toc1136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_Toc2066 </w:instrText>
      </w:r>
      <w:r>
        <w:rPr>
          <w:color w:val="000000" w:themeColor="text1"/>
          <w:highlight w:val="none"/>
        </w:rPr>
        <w:fldChar w:fldCharType="separate"/>
      </w:r>
      <w:r>
        <w:rPr>
          <w:color w:val="000000" w:themeColor="text1"/>
          <w:highlight w:val="none"/>
        </w:rPr>
        <w:t>21</w:t>
      </w:r>
      <w:r>
        <w:rPr>
          <w:rFonts w:hint="eastAsia"/>
          <w:color w:val="000000" w:themeColor="text1"/>
          <w:highlight w:val="none"/>
        </w:rPr>
        <w:tab/>
      </w:r>
      <w:r>
        <w:rPr>
          <w:rFonts w:hint="eastAsia"/>
          <w:color w:val="000000" w:themeColor="text1"/>
          <w:highlight w:val="none"/>
        </w:rPr>
        <w:t>谈判响应文件的修改和撤回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_Toc2066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_Toc19384 </w:instrText>
      </w:r>
      <w:r>
        <w:rPr>
          <w:color w:val="000000" w:themeColor="text1"/>
          <w:highlight w:val="none"/>
        </w:rPr>
        <w:fldChar w:fldCharType="separate"/>
      </w:r>
      <w:r>
        <w:rPr>
          <w:rFonts w:hint="eastAsia"/>
          <w:color w:val="000000" w:themeColor="text1"/>
          <w:highlight w:val="none"/>
        </w:rPr>
        <w:t>Ｅ竞争性谈判采购程序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_Toc19384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_Toc11025 </w:instrText>
      </w:r>
      <w:r>
        <w:rPr>
          <w:color w:val="000000" w:themeColor="text1"/>
          <w:highlight w:val="none"/>
        </w:rPr>
        <w:fldChar w:fldCharType="separate"/>
      </w:r>
      <w:r>
        <w:rPr>
          <w:color w:val="000000" w:themeColor="text1"/>
          <w:highlight w:val="none"/>
        </w:rPr>
        <w:t>22</w:t>
      </w:r>
      <w:r>
        <w:rPr>
          <w:rFonts w:hint="eastAsia"/>
          <w:color w:val="000000" w:themeColor="text1"/>
          <w:highlight w:val="none"/>
        </w:rPr>
        <w:tab/>
      </w:r>
      <w:r>
        <w:rPr>
          <w:rFonts w:hint="eastAsia"/>
          <w:color w:val="000000" w:themeColor="text1"/>
          <w:highlight w:val="none"/>
        </w:rPr>
        <w:t>接收谈判响应文件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_Toc11025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_Toc3160 </w:instrText>
      </w:r>
      <w:r>
        <w:rPr>
          <w:color w:val="000000" w:themeColor="text1"/>
          <w:highlight w:val="none"/>
        </w:rPr>
        <w:fldChar w:fldCharType="separate"/>
      </w:r>
      <w:r>
        <w:rPr>
          <w:color w:val="000000" w:themeColor="text1"/>
          <w:highlight w:val="none"/>
        </w:rPr>
        <w:t>23</w:t>
      </w:r>
      <w:r>
        <w:rPr>
          <w:rFonts w:hint="eastAsia"/>
          <w:color w:val="000000" w:themeColor="text1"/>
          <w:highlight w:val="none"/>
        </w:rPr>
        <w:tab/>
      </w:r>
      <w:r>
        <w:rPr>
          <w:rFonts w:hint="eastAsia"/>
          <w:color w:val="000000" w:themeColor="text1"/>
          <w:highlight w:val="none"/>
        </w:rPr>
        <w:t>谈判小组</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_Toc3160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_Toc12283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4</w:t>
      </w:r>
      <w:r>
        <w:rPr>
          <w:rFonts w:hint="eastAsia"/>
          <w:color w:val="000000" w:themeColor="text1"/>
          <w:highlight w:val="none"/>
        </w:rPr>
        <w:tab/>
      </w:r>
      <w:r>
        <w:rPr>
          <w:rFonts w:hint="eastAsia"/>
          <w:color w:val="000000" w:themeColor="text1"/>
          <w:highlight w:val="none"/>
        </w:rPr>
        <w:t>对谈判响应文件的初审</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_Toc12283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_Toc24155 </w:instrText>
      </w:r>
      <w:r>
        <w:rPr>
          <w:color w:val="000000" w:themeColor="text1"/>
          <w:highlight w:val="none"/>
        </w:rPr>
        <w:fldChar w:fldCharType="separate"/>
      </w:r>
      <w:r>
        <w:rPr>
          <w:rFonts w:hint="eastAsia"/>
          <w:color w:val="000000" w:themeColor="text1"/>
          <w:highlight w:val="none"/>
        </w:rPr>
        <w:t>25</w:t>
      </w:r>
      <w:r>
        <w:rPr>
          <w:rFonts w:hint="eastAsia"/>
          <w:color w:val="000000" w:themeColor="text1"/>
          <w:highlight w:val="none"/>
        </w:rPr>
        <w:tab/>
      </w:r>
      <w:r>
        <w:rPr>
          <w:rFonts w:hint="eastAsia"/>
          <w:color w:val="000000" w:themeColor="text1"/>
          <w:highlight w:val="none"/>
        </w:rPr>
        <w:t>谈判报价的审核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_Toc24155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_Toc30803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6</w:t>
      </w:r>
      <w:r>
        <w:rPr>
          <w:rFonts w:hint="eastAsia"/>
          <w:color w:val="000000" w:themeColor="text1"/>
          <w:highlight w:val="none"/>
        </w:rPr>
        <w:tab/>
      </w:r>
      <w:r>
        <w:rPr>
          <w:rFonts w:hint="eastAsia"/>
          <w:color w:val="000000" w:themeColor="text1"/>
          <w:highlight w:val="none"/>
        </w:rPr>
        <w:t>谈判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_Toc30803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_Toc10319 </w:instrText>
      </w:r>
      <w:r>
        <w:rPr>
          <w:color w:val="000000" w:themeColor="text1"/>
          <w:highlight w:val="none"/>
        </w:rPr>
        <w:fldChar w:fldCharType="separate"/>
      </w:r>
      <w:r>
        <w:rPr>
          <w:color w:val="000000" w:themeColor="text1"/>
          <w:highlight w:val="none"/>
        </w:rPr>
        <w:t>27</w:t>
      </w:r>
      <w:r>
        <w:rPr>
          <w:rFonts w:hint="eastAsia"/>
          <w:color w:val="000000" w:themeColor="text1"/>
          <w:highlight w:val="none"/>
        </w:rPr>
        <w:tab/>
      </w:r>
      <w:r>
        <w:rPr>
          <w:rFonts w:hint="eastAsia"/>
          <w:color w:val="000000" w:themeColor="text1"/>
          <w:highlight w:val="none"/>
        </w:rPr>
        <w:t>评审原则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_Toc10319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_Toc5923 </w:instrText>
      </w:r>
      <w:r>
        <w:rPr>
          <w:color w:val="000000" w:themeColor="text1"/>
          <w:highlight w:val="none"/>
        </w:rPr>
        <w:fldChar w:fldCharType="separate"/>
      </w:r>
      <w:r>
        <w:rPr>
          <w:color w:val="000000" w:themeColor="text1"/>
          <w:highlight w:val="none"/>
        </w:rPr>
        <w:t>28</w:t>
      </w:r>
      <w:r>
        <w:rPr>
          <w:rFonts w:hint="eastAsia"/>
          <w:color w:val="000000" w:themeColor="text1"/>
          <w:highlight w:val="none"/>
        </w:rPr>
        <w:tab/>
      </w:r>
      <w:r>
        <w:rPr>
          <w:rFonts w:hint="eastAsia"/>
          <w:color w:val="000000" w:themeColor="text1"/>
          <w:highlight w:val="none"/>
        </w:rPr>
        <w:t>评审办法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_Toc5923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_Toc9476 </w:instrText>
      </w:r>
      <w:r>
        <w:rPr>
          <w:color w:val="000000" w:themeColor="text1"/>
          <w:highlight w:val="none"/>
        </w:rPr>
        <w:fldChar w:fldCharType="separate"/>
      </w:r>
      <w:r>
        <w:rPr>
          <w:rFonts w:hint="eastAsia"/>
          <w:color w:val="000000" w:themeColor="text1"/>
          <w:highlight w:val="none"/>
        </w:rPr>
        <w:t>29</w:t>
      </w:r>
      <w:r>
        <w:rPr>
          <w:rFonts w:hint="eastAsia"/>
          <w:color w:val="000000" w:themeColor="text1"/>
          <w:highlight w:val="none"/>
        </w:rPr>
        <w:tab/>
      </w:r>
      <w:r>
        <w:rPr>
          <w:rFonts w:hint="eastAsia"/>
          <w:color w:val="000000" w:themeColor="text1"/>
          <w:highlight w:val="none"/>
        </w:rPr>
        <w:t>评审注意事项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_Toc9476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_Toc10293 </w:instrText>
      </w:r>
      <w:r>
        <w:rPr>
          <w:color w:val="000000" w:themeColor="text1"/>
          <w:highlight w:val="none"/>
        </w:rPr>
        <w:fldChar w:fldCharType="separate"/>
      </w:r>
      <w:r>
        <w:rPr>
          <w:rFonts w:hint="eastAsia"/>
          <w:color w:val="000000" w:themeColor="text1"/>
          <w:highlight w:val="none"/>
        </w:rPr>
        <w:t>30</w:t>
      </w:r>
      <w:r>
        <w:rPr>
          <w:rFonts w:hint="eastAsia"/>
          <w:color w:val="000000" w:themeColor="text1"/>
          <w:highlight w:val="none"/>
        </w:rPr>
        <w:tab/>
      </w:r>
      <w:r>
        <w:rPr>
          <w:rFonts w:hint="eastAsia"/>
          <w:color w:val="000000" w:themeColor="text1"/>
          <w:highlight w:val="none"/>
        </w:rPr>
        <w:t>发布成交结果公告和发放成交通知书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_Toc10293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_Toc9300 </w:instrText>
      </w:r>
      <w:r>
        <w:rPr>
          <w:color w:val="000000" w:themeColor="text1"/>
          <w:highlight w:val="none"/>
        </w:rPr>
        <w:fldChar w:fldCharType="separate"/>
      </w:r>
      <w:r>
        <w:rPr>
          <w:rFonts w:hint="eastAsia"/>
          <w:color w:val="000000" w:themeColor="text1"/>
          <w:highlight w:val="none"/>
        </w:rPr>
        <w:t>31     投标供应商对成交结果的质疑、投诉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_Toc9300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_Toc14932 </w:instrText>
      </w:r>
      <w:r>
        <w:rPr>
          <w:color w:val="000000" w:themeColor="text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_Toc14932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_Toc18149 </w:instrText>
      </w:r>
      <w:r>
        <w:rPr>
          <w:color w:val="000000" w:themeColor="text1"/>
          <w:highlight w:val="none"/>
        </w:rPr>
        <w:fldChar w:fldCharType="separate"/>
      </w:r>
      <w:r>
        <w:rPr>
          <w:rFonts w:hint="eastAsia"/>
          <w:color w:val="000000" w:themeColor="text1"/>
          <w:highlight w:val="none"/>
        </w:rPr>
        <w:t>32     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_Toc18149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_Toc11376 </w:instrText>
      </w:r>
      <w:r>
        <w:rPr>
          <w:color w:val="000000" w:themeColor="text1"/>
          <w:highlight w:val="none"/>
        </w:rPr>
        <w:fldChar w:fldCharType="separate"/>
      </w:r>
      <w:r>
        <w:rPr>
          <w:rFonts w:hint="eastAsia"/>
          <w:color w:val="000000" w:themeColor="text1"/>
          <w:highlight w:val="none"/>
        </w:rPr>
        <w:t>33</w:t>
      </w:r>
      <w:r>
        <w:rPr>
          <w:rFonts w:hint="eastAsia"/>
          <w:color w:val="000000" w:themeColor="text1"/>
          <w:highlight w:val="none"/>
        </w:rPr>
        <w:tab/>
      </w:r>
      <w:r>
        <w:rPr>
          <w:rFonts w:hint="eastAsia"/>
          <w:color w:val="000000" w:themeColor="text1"/>
          <w:highlight w:val="none"/>
        </w:rPr>
        <w:t xml:space="preserve">   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_Toc11376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_Toc13640 </w:instrText>
      </w:r>
      <w:r>
        <w:rPr>
          <w:color w:val="000000" w:themeColor="text1"/>
          <w:highlight w:val="none"/>
        </w:rPr>
        <w:fldChar w:fldCharType="separate"/>
      </w:r>
      <w:r>
        <w:rPr>
          <w:rFonts w:hint="eastAsia"/>
          <w:color w:val="000000" w:themeColor="text1"/>
          <w:highlight w:val="none"/>
        </w:rPr>
        <w:t>34</w:t>
      </w:r>
      <w:r>
        <w:rPr>
          <w:rFonts w:hint="eastAsia"/>
          <w:color w:val="000000" w:themeColor="text1"/>
          <w:highlight w:val="none"/>
        </w:rPr>
        <w:tab/>
      </w:r>
      <w:r>
        <w:rPr>
          <w:rFonts w:hint="eastAsia"/>
          <w:color w:val="000000" w:themeColor="text1"/>
          <w:highlight w:val="none"/>
        </w:rPr>
        <w:t xml:space="preserve">   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_Toc13640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_Toc7365 </w:instrText>
      </w:r>
      <w:r>
        <w:rPr>
          <w:color w:val="000000" w:themeColor="text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_Toc7365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_Toc5357 </w:instrText>
      </w:r>
      <w:r>
        <w:rPr>
          <w:color w:val="000000" w:themeColor="text1"/>
          <w:highlight w:val="none"/>
        </w:rPr>
        <w:fldChar w:fldCharType="separate"/>
      </w:r>
      <w:r>
        <w:rPr>
          <w:rFonts w:hint="eastAsia"/>
          <w:color w:val="000000" w:themeColor="text1"/>
          <w:highlight w:val="none"/>
        </w:rPr>
        <w:t>第四部分  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_Toc5357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_Toc17031 </w:instrText>
      </w:r>
      <w:r>
        <w:rPr>
          <w:color w:val="000000" w:themeColor="text1"/>
          <w:highlight w:val="none"/>
        </w:rPr>
        <w:fldChar w:fldCharType="separate"/>
      </w:r>
      <w:r>
        <w:rPr>
          <w:rFonts w:hint="eastAsia"/>
          <w:color w:val="000000" w:themeColor="text1"/>
          <w:highlight w:val="none"/>
        </w:rPr>
        <w:t>第五部分  谈判文件格式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_Toc17031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_Toc20920 </w:instrText>
      </w:r>
      <w:r>
        <w:rPr>
          <w:color w:val="000000" w:themeColor="text1"/>
          <w:highlight w:val="none"/>
        </w:rPr>
        <w:fldChar w:fldCharType="separate"/>
      </w:r>
      <w:r>
        <w:rPr>
          <w:rFonts w:hint="eastAsia"/>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_Toc20920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_Toc3482 </w:instrText>
      </w:r>
      <w:r>
        <w:rPr>
          <w:color w:val="000000" w:themeColor="text1"/>
          <w:highlight w:val="none"/>
        </w:rPr>
        <w:fldChar w:fldCharType="separate"/>
      </w:r>
      <w:r>
        <w:rPr>
          <w:rFonts w:hint="eastAsia"/>
          <w:color w:val="000000" w:themeColor="text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_Toc3482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_Toc18751 </w:instrText>
      </w:r>
      <w:r>
        <w:rPr>
          <w:color w:val="000000" w:themeColor="text1"/>
          <w:highlight w:val="none"/>
        </w:rPr>
        <w:fldChar w:fldCharType="separate"/>
      </w:r>
      <w:r>
        <w:rPr>
          <w:rFonts w:hint="eastAsia"/>
          <w:color w:val="000000" w:themeColor="text1"/>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_Toc18751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_Toc1378 </w:instrText>
      </w:r>
      <w:r>
        <w:rPr>
          <w:color w:val="000000" w:themeColor="text1"/>
          <w:highlight w:val="none"/>
        </w:rPr>
        <w:fldChar w:fldCharType="separate"/>
      </w:r>
      <w:r>
        <w:rPr>
          <w:rFonts w:hint="eastAsia"/>
          <w:color w:val="000000" w:themeColor="text1"/>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_Toc1378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_Toc3320 </w:instrText>
      </w:r>
      <w:r>
        <w:rPr>
          <w:color w:val="000000" w:themeColor="text1"/>
          <w:highlight w:val="none"/>
        </w:rPr>
        <w:fldChar w:fldCharType="separate"/>
      </w:r>
      <w:r>
        <w:rPr>
          <w:rFonts w:hint="eastAsia"/>
          <w:color w:val="000000" w:themeColor="text1"/>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_Toc3320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_Toc26283 </w:instrText>
      </w:r>
      <w:r>
        <w:rPr>
          <w:color w:val="000000" w:themeColor="text1"/>
          <w:highlight w:val="none"/>
        </w:rPr>
        <w:fldChar w:fldCharType="separate"/>
      </w:r>
      <w:r>
        <w:rPr>
          <w:rFonts w:hint="eastAsia"/>
          <w:color w:val="000000" w:themeColor="text1"/>
          <w:highlight w:val="none"/>
        </w:rPr>
        <w:t>（四）资格审查文件要求提交的其它有效证明文件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_Toc26283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_Toc23266 </w:instrText>
      </w:r>
      <w:r>
        <w:rPr>
          <w:color w:val="000000" w:themeColor="text1"/>
          <w:highlight w:val="none"/>
        </w:rPr>
        <w:fldChar w:fldCharType="separate"/>
      </w:r>
      <w:r>
        <w:rPr>
          <w:rFonts w:hint="eastAsia"/>
          <w:color w:val="000000" w:themeColor="text1"/>
          <w:highlight w:val="none"/>
        </w:rPr>
        <w:t>第二章  谈判响应文件商务及技术部分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_Toc23266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_Toc16952 </w:instrText>
      </w:r>
      <w:r>
        <w:rPr>
          <w:color w:val="000000" w:themeColor="text1"/>
          <w:highlight w:val="none"/>
        </w:rPr>
        <w:fldChar w:fldCharType="separate"/>
      </w:r>
      <w:r>
        <w:rPr>
          <w:rFonts w:hint="eastAsia"/>
          <w:color w:val="000000" w:themeColor="text1"/>
          <w:highlight w:val="none"/>
        </w:rPr>
        <w:t>附件一：谈判响应函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_Toc16952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_Toc10353 </w:instrText>
      </w:r>
      <w:r>
        <w:rPr>
          <w:color w:val="000000" w:themeColor="text1"/>
          <w:highlight w:val="none"/>
        </w:rPr>
        <w:fldChar w:fldCharType="separate"/>
      </w:r>
      <w:r>
        <w:rPr>
          <w:rFonts w:hint="eastAsia"/>
          <w:color w:val="000000" w:themeColor="text1"/>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_Toc10353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_Toc10374 </w:instrText>
      </w:r>
      <w:r>
        <w:rPr>
          <w:color w:val="000000" w:themeColor="text1"/>
          <w:highlight w:val="none"/>
        </w:rPr>
        <w:fldChar w:fldCharType="separate"/>
      </w:r>
      <w:r>
        <w:rPr>
          <w:rFonts w:hint="eastAsia"/>
          <w:color w:val="000000" w:themeColor="text1"/>
          <w:highlight w:val="none"/>
        </w:rPr>
        <w:t>附件三：谈判分项报价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_Toc10374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_Toc14778 </w:instrText>
      </w:r>
      <w:r>
        <w:rPr>
          <w:color w:val="000000" w:themeColor="text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_Toc14778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_Toc5299 </w:instrText>
      </w:r>
      <w:r>
        <w:rPr>
          <w:color w:val="000000" w:themeColor="text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_Toc5299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_Toc20283 </w:instrText>
      </w:r>
      <w:r>
        <w:rPr>
          <w:color w:val="000000" w:themeColor="text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_Toc20283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_Toc6071 </w:instrText>
      </w:r>
      <w:r>
        <w:rPr>
          <w:color w:val="000000" w:themeColor="text1"/>
          <w:highlight w:val="none"/>
        </w:rPr>
        <w:fldChar w:fldCharType="separate"/>
      </w:r>
      <w:r>
        <w:rPr>
          <w:rFonts w:hint="eastAsia"/>
          <w:color w:val="000000" w:themeColor="text1"/>
          <w:highlight w:val="none"/>
        </w:rPr>
        <w:t>附件七：中小微企业声明函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_Toc6071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_Toc1719 </w:instrText>
      </w:r>
      <w:r>
        <w:rPr>
          <w:color w:val="000000" w:themeColor="text1"/>
          <w:highlight w:val="none"/>
        </w:rPr>
        <w:fldChar w:fldCharType="separate"/>
      </w:r>
      <w:r>
        <w:rPr>
          <w:rFonts w:hint="eastAsia"/>
          <w:color w:val="000000" w:themeColor="text1"/>
          <w:highlight w:val="none"/>
        </w:rPr>
        <w:t>附件八：残疾人福利性单位声明函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_Toc1719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_Toc3663 </w:instrText>
      </w:r>
      <w:r>
        <w:rPr>
          <w:color w:val="000000" w:themeColor="text1"/>
          <w:highlight w:val="none"/>
        </w:rPr>
        <w:fldChar w:fldCharType="separate"/>
      </w:r>
      <w:r>
        <w:rPr>
          <w:rFonts w:hint="eastAsia"/>
          <w:color w:val="000000" w:themeColor="text1"/>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_Toc3663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_Toc12271 </w:instrText>
      </w:r>
      <w:r>
        <w:rPr>
          <w:color w:val="000000" w:themeColor="text1"/>
          <w:highlight w:val="none"/>
        </w:rPr>
        <w:fldChar w:fldCharType="separate"/>
      </w:r>
      <w:r>
        <w:rPr>
          <w:rFonts w:hint="eastAsia"/>
          <w:color w:val="000000" w:themeColor="text1"/>
          <w:highlight w:val="none"/>
        </w:rPr>
        <w:t>附件十：谈判供应商提交的其他资料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_Toc12271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_Toc16199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_Toc16199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end"/>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0" w:name="_Toc452826425"/>
      <w:bookmarkStart w:id="1" w:name="_Toc1430"/>
      <w:bookmarkStart w:id="2" w:name="_Toc351987964"/>
      <w:bookmarkStart w:id="3" w:name="_Toc351988709"/>
      <w:bookmarkStart w:id="4" w:name="_Toc351987768"/>
      <w:bookmarkStart w:id="5" w:name="_Toc353522392"/>
      <w:bookmarkStart w:id="6" w:name="_Toc351990145"/>
      <w:bookmarkStart w:id="7" w:name="_Toc369180022"/>
      <w:bookmarkStart w:id="8" w:name="_Toc357151175"/>
      <w:r>
        <w:rPr>
          <w:rFonts w:hint="eastAsia" w:ascii="宋体" w:hAnsi="宋体"/>
          <w:color w:val="000000" w:themeColor="text1"/>
          <w:sz w:val="21"/>
          <w:szCs w:val="21"/>
          <w:highlight w:val="none"/>
        </w:rPr>
        <w:t>第一部分  竞争性谈判邀请书</w:t>
      </w:r>
      <w:bookmarkEnd w:id="0"/>
      <w:bookmarkEnd w:id="1"/>
    </w:p>
    <w:p>
      <w:pPr>
        <w:rPr>
          <w:color w:val="000000" w:themeColor="text1"/>
          <w:highlight w:val="none"/>
        </w:rPr>
      </w:pPr>
    </w:p>
    <w:p>
      <w:pPr>
        <w:spacing w:line="360" w:lineRule="auto"/>
        <w:ind w:left="178" w:leftChars="85"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u w:val="single"/>
          <w:lang w:eastAsia="zh-CN"/>
        </w:rPr>
        <w:t>深圳市俏悦科技有限公司</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eastAsia="zh-CN"/>
        </w:rPr>
        <w:t>实时客户服务及智能通知项目</w:t>
      </w:r>
      <w:r>
        <w:rPr>
          <w:rFonts w:hint="eastAsia" w:ascii="宋体" w:hAnsi="宋体"/>
          <w:color w:val="000000" w:themeColor="text1"/>
          <w:highlight w:val="none"/>
        </w:rPr>
        <w:t>接受合格的国内供应商提交密封报价,</w:t>
      </w:r>
      <w:r>
        <w:rPr>
          <w:rFonts w:hint="eastAsia" w:ascii="宋体" w:hAnsi="宋体"/>
          <w:color w:val="000000" w:themeColor="text1"/>
          <w:szCs w:val="21"/>
          <w:highlight w:val="none"/>
          <w:lang w:val="zh-CN"/>
        </w:rPr>
        <w:t xml:space="preserve"> 欢迎符合资格条件</w:t>
      </w:r>
      <w:r>
        <w:rPr>
          <w:rFonts w:hint="eastAsia" w:ascii="宋体" w:hAnsi="宋体"/>
          <w:color w:val="000000" w:themeColor="text1"/>
          <w:szCs w:val="21"/>
          <w:highlight w:val="none"/>
        </w:rPr>
        <w:t>的供应商参加。</w:t>
      </w:r>
      <w:r>
        <w:rPr>
          <w:rFonts w:hint="eastAsia" w:ascii="宋体" w:hAnsi="宋体"/>
          <w:color w:val="000000" w:themeColor="text1"/>
          <w:highlight w:val="none"/>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一、</w:t>
      </w:r>
      <w:r>
        <w:rPr>
          <w:rFonts w:ascii="宋体" w:hAnsi="宋体"/>
          <w:b/>
          <w:color w:val="000000" w:themeColor="text1"/>
          <w:highlight w:val="none"/>
        </w:rPr>
        <w:t>投标人</w:t>
      </w:r>
      <w:r>
        <w:rPr>
          <w:rFonts w:hint="eastAsia" w:ascii="宋体" w:hAnsi="宋体" w:cs="Tahoma"/>
          <w:b/>
          <w:bCs/>
          <w:color w:val="000000" w:themeColor="text1"/>
          <w:szCs w:val="21"/>
          <w:highlight w:val="none"/>
        </w:rPr>
        <w:t>投标资格要求</w:t>
      </w:r>
    </w:p>
    <w:p>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1.投标人应具备《中华人民共和国政府采购法》第二十二条规定的条件</w:t>
      </w:r>
      <w:r>
        <w:rPr>
          <w:rFonts w:hint="eastAsia" w:ascii="宋体" w:hAnsi="宋体"/>
          <w:color w:val="000000" w:themeColor="text1"/>
          <w:highlight w:val="none"/>
        </w:rPr>
        <w:t>：</w:t>
      </w:r>
    </w:p>
    <w:p>
      <w:pPr>
        <w:tabs>
          <w:tab w:val="left" w:pos="8042"/>
        </w:tabs>
        <w:spacing w:line="360" w:lineRule="auto"/>
        <w:ind w:left="420" w:leftChars="200"/>
        <w:rPr>
          <w:rFonts w:ascii="宋体" w:hAnsi="宋体"/>
          <w:color w:val="000000" w:themeColor="text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tab/>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highlight w:val="none"/>
        </w:rPr>
        <w:t>4）有依法缴纳税收和社会保障资金的良好记录；</w:t>
      </w:r>
      <w:r>
        <w:rPr>
          <w:rFonts w:ascii="宋体" w:hAnsi="宋体"/>
          <w:color w:val="000000" w:themeColor="text1"/>
          <w:highlight w:val="none"/>
        </w:rPr>
        <w:br w:type="textWrapping"/>
      </w:r>
      <w:r>
        <w:rPr>
          <w:rFonts w:ascii="宋体" w:hAnsi="宋体"/>
          <w:color w:val="000000" w:themeColor="text1"/>
          <w:highlight w:val="none"/>
        </w:rPr>
        <w:t>5）参加政府采购活动前三年内，在经营活动中没有重大违法记录；</w:t>
      </w:r>
      <w:r>
        <w:rPr>
          <w:rFonts w:ascii="宋体" w:hAnsi="宋体"/>
          <w:color w:val="000000" w:themeColor="text1"/>
          <w:highlight w:val="none"/>
        </w:rPr>
        <w:br w:type="textWrapping"/>
      </w:r>
      <w:r>
        <w:rPr>
          <w:rFonts w:ascii="宋体" w:hAnsi="宋体"/>
          <w:color w:val="000000" w:themeColor="text1"/>
          <w:highlight w:val="none"/>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highlight w:val="none"/>
        </w:rPr>
      </w:pPr>
      <w:r>
        <w:rPr>
          <w:rFonts w:hint="eastAsia" w:ascii="宋体" w:hAnsi="宋体"/>
          <w:color w:val="000000" w:themeColor="text1"/>
          <w:szCs w:val="21"/>
          <w:highlight w:val="none"/>
        </w:rPr>
        <w:t>2.</w:t>
      </w:r>
      <w:r>
        <w:rPr>
          <w:rFonts w:ascii="宋体" w:hAnsi="宋体"/>
          <w:color w:val="000000" w:themeColor="text1"/>
          <w:highlight w:val="none"/>
        </w:rPr>
        <w:t>本项目不接受联合体投标；</w:t>
      </w:r>
    </w:p>
    <w:p>
      <w:pPr>
        <w:spacing w:line="360" w:lineRule="auto"/>
        <w:ind w:firstLine="210" w:firstLineChars="100"/>
        <w:rPr>
          <w:rFonts w:ascii="宋体" w:hAnsi="宋体"/>
          <w:color w:val="000000" w:themeColor="text1"/>
          <w:highlight w:val="none"/>
        </w:rPr>
      </w:pPr>
      <w:r>
        <w:rPr>
          <w:rFonts w:hint="eastAsia" w:ascii="宋体" w:hAnsi="宋体"/>
          <w:color w:val="000000" w:themeColor="text1"/>
          <w:highlight w:val="none"/>
          <w:lang w:val="en-US" w:eastAsia="zh-CN"/>
        </w:rPr>
        <w:t>3</w:t>
      </w:r>
      <w:r>
        <w:rPr>
          <w:rFonts w:hint="eastAsia" w:ascii="宋体" w:hAnsi="宋体"/>
          <w:color w:val="000000" w:themeColor="text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Arial"/>
          <w:b/>
          <w:bCs/>
          <w:color w:val="000000" w:themeColor="text1"/>
          <w:highlight w:val="none"/>
        </w:rPr>
        <w:t>二、谈判</w:t>
      </w:r>
      <w:r>
        <w:rPr>
          <w:rFonts w:hint="eastAsia" w:ascii="宋体" w:hAnsi="宋体" w:cs="Tahoma"/>
          <w:b/>
          <w:bCs/>
          <w:color w:val="000000" w:themeColor="text1"/>
          <w:highlight w:val="none"/>
        </w:rPr>
        <w:t>项目的名称、用途、数量、简要技术要求或者</w:t>
      </w: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rPr>
        <w:t>1．谈判项目编号：</w:t>
      </w:r>
      <w:r>
        <w:rPr>
          <w:rFonts w:hint="eastAsia" w:ascii="宋体" w:hAnsi="宋体"/>
          <w:b/>
          <w:bCs/>
          <w:color w:val="000000" w:themeColor="text1"/>
          <w:szCs w:val="21"/>
          <w:highlight w:val="none"/>
          <w:lang w:eastAsia="zh-CN"/>
        </w:rPr>
        <w:t>YXZB-20240318</w:t>
      </w:r>
    </w:p>
    <w:p>
      <w:pPr>
        <w:widowControl/>
        <w:adjustRightInd w:val="0"/>
        <w:snapToGrid w:val="0"/>
        <w:spacing w:line="360" w:lineRule="auto"/>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rPr>
        <w:t xml:space="preserve">  2．谈判项目名称：</w:t>
      </w:r>
      <w:r>
        <w:rPr>
          <w:rFonts w:hint="eastAsia" w:ascii="宋体" w:hAnsi="宋体"/>
          <w:bCs/>
          <w:color w:val="000000" w:themeColor="text1"/>
          <w:szCs w:val="21"/>
          <w:highlight w:val="none"/>
          <w:lang w:eastAsia="zh-CN"/>
        </w:rPr>
        <w:t>实时客户服务及智能通知项目</w:t>
      </w:r>
    </w:p>
    <w:p>
      <w:pPr>
        <w:widowControl/>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3．采购预算：人民币</w:t>
      </w:r>
      <w:r>
        <w:rPr>
          <w:rFonts w:hint="eastAsia" w:ascii="宋体" w:hAnsi="宋体" w:eastAsia="宋体" w:cs="宋体"/>
          <w:color w:val="000000" w:themeColor="text1"/>
          <w:sz w:val="21"/>
          <w:szCs w:val="21"/>
          <w:highlight w:val="none"/>
          <w:lang w:val="en-US"/>
        </w:rPr>
        <w:t>38</w:t>
      </w:r>
      <w:r>
        <w:rPr>
          <w:rFonts w:hint="eastAsia" w:ascii="宋体" w:hAnsi="宋体" w:eastAsia="宋体" w:cs="宋体"/>
          <w:color w:val="000000" w:themeColor="text1"/>
          <w:sz w:val="21"/>
          <w:szCs w:val="21"/>
          <w:highlight w:val="none"/>
        </w:rPr>
        <w:t>00000.00</w:t>
      </w:r>
      <w:r>
        <w:rPr>
          <w:rFonts w:hint="eastAsia" w:ascii="宋体" w:hAnsi="宋体"/>
          <w:bCs/>
          <w:color w:val="000000" w:themeColor="text1"/>
          <w:szCs w:val="21"/>
          <w:highlight w:val="none"/>
        </w:rPr>
        <w:t>元（超出该上限的报价将作为无效报价处理）。</w:t>
      </w:r>
    </w:p>
    <w:p>
      <w:pPr>
        <w:widowControl/>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rPr>
      </w:pPr>
      <w:r>
        <w:rPr>
          <w:rFonts w:hint="eastAsia" w:ascii="宋体" w:hAnsi="宋体"/>
          <w:color w:val="000000" w:themeColor="text1"/>
          <w:szCs w:val="21"/>
          <w:highlight w:val="none"/>
        </w:rPr>
        <w:t xml:space="preserve">  5．</w:t>
      </w:r>
      <w:r>
        <w:rPr>
          <w:rFonts w:hint="eastAsia" w:ascii="宋体" w:hAnsi="宋体" w:eastAsia="宋体" w:cs="宋体"/>
          <w:color w:val="000000" w:themeColor="text1"/>
          <w:sz w:val="21"/>
          <w:szCs w:val="21"/>
          <w:highlight w:val="none"/>
          <w:lang w:val="en-US" w:eastAsia="zh-CN"/>
        </w:rPr>
        <w:t>项目周期：1年</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超出</w:t>
      </w:r>
      <w:r>
        <w:rPr>
          <w:rFonts w:hint="eastAsia" w:ascii="宋体" w:hAnsi="宋体" w:eastAsia="宋体" w:cs="宋体"/>
          <w:color w:val="000000" w:themeColor="text1"/>
          <w:szCs w:val="21"/>
          <w:highlight w:val="none"/>
          <w:lang w:eastAsia="zh-CN"/>
        </w:rPr>
        <w:t>该</w:t>
      </w:r>
      <w:r>
        <w:rPr>
          <w:rFonts w:hint="eastAsia" w:ascii="宋体" w:hAnsi="宋体" w:cs="宋体"/>
          <w:color w:val="000000" w:themeColor="text1"/>
          <w:szCs w:val="21"/>
          <w:highlight w:val="none"/>
          <w:lang w:eastAsia="zh-CN"/>
        </w:rPr>
        <w:t>项目周期</w:t>
      </w:r>
      <w:r>
        <w:rPr>
          <w:rFonts w:hint="eastAsia" w:ascii="宋体" w:hAnsi="宋体" w:eastAsia="宋体" w:cs="宋体"/>
          <w:color w:val="000000" w:themeColor="text1"/>
          <w:szCs w:val="21"/>
          <w:highlight w:val="none"/>
          <w:lang w:eastAsia="zh-CN"/>
        </w:rPr>
        <w:t>将作为无效投标处理）</w:t>
      </w:r>
    </w:p>
    <w:p>
      <w:pPr>
        <w:adjustRightInd w:val="0"/>
        <w:snapToGrid w:val="0"/>
        <w:spacing w:line="360" w:lineRule="auto"/>
        <w:rPr>
          <w:rFonts w:ascii="宋体" w:hAnsi="宋体" w:cs="Tahoma"/>
          <w:iCs/>
          <w:color w:val="000000" w:themeColor="text1"/>
          <w:kern w:val="28"/>
          <w:szCs w:val="21"/>
          <w:highlight w:val="none"/>
        </w:rPr>
      </w:pPr>
      <w:r>
        <w:rPr>
          <w:rFonts w:hint="eastAsia" w:ascii="宋体" w:hAnsi="宋体" w:cs="Tahoma"/>
          <w:iCs/>
          <w:color w:val="000000" w:themeColor="text1"/>
          <w:kern w:val="28"/>
          <w:szCs w:val="21"/>
          <w:highlight w:val="none"/>
        </w:rPr>
        <w:t xml:space="preserve">  6．谈判项目的性质：竞争性谈判</w:t>
      </w:r>
    </w:p>
    <w:p>
      <w:pPr>
        <w:adjustRightInd w:val="0"/>
        <w:snapToGrid w:val="0"/>
        <w:spacing w:line="360" w:lineRule="auto"/>
        <w:rPr>
          <w:rFonts w:ascii="宋体" w:hAnsi="宋体" w:cs="Tahoma"/>
          <w:b/>
          <w:bCs/>
          <w:color w:val="000000" w:themeColor="text1"/>
          <w:szCs w:val="21"/>
          <w:highlight w:val="none"/>
        </w:rPr>
      </w:pPr>
      <w:r>
        <w:rPr>
          <w:rFonts w:hint="eastAsia" w:ascii="宋体" w:hAnsi="宋体" w:cs="Tahoma"/>
          <w:iCs/>
          <w:color w:val="000000" w:themeColor="text1"/>
          <w:kern w:val="28"/>
          <w:szCs w:val="21"/>
          <w:highlight w:val="none"/>
        </w:rPr>
        <w:t>三、</w:t>
      </w:r>
      <w:r>
        <w:rPr>
          <w:rFonts w:hint="eastAsia" w:ascii="宋体" w:hAnsi="宋体" w:cs="Tahoma"/>
          <w:b/>
          <w:bCs/>
          <w:color w:val="000000" w:themeColor="text1"/>
          <w:szCs w:val="21"/>
          <w:highlight w:val="none"/>
        </w:rPr>
        <w:t>获取谈判文件的时间、地点、方式及谈判文件售价</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1．谈判文件公示时间：</w:t>
      </w:r>
      <w:r>
        <w:rPr>
          <w:rFonts w:hint="eastAsia" w:ascii="宋体" w:hAnsi="宋体" w:eastAsia="宋体" w:cs="Times New Roman"/>
          <w:color w:val="000000" w:themeColor="text1"/>
          <w:kern w:val="2"/>
          <w:sz w:val="21"/>
          <w:szCs w:val="21"/>
          <w:highlight w:val="none"/>
          <w:lang w:val="en-US" w:eastAsia="zh-CN" w:bidi="ar-SA"/>
        </w:rPr>
        <w:t>2024年3月22日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2024年3月27日</w:t>
      </w:r>
      <w:r>
        <w:rPr>
          <w:rFonts w:hint="eastAsia" w:ascii="宋体" w:hAnsi="宋体"/>
          <w:color w:val="000000" w:themeColor="text1"/>
          <w:szCs w:val="21"/>
          <w:highlight w:val="none"/>
        </w:rPr>
        <w:t>。</w:t>
      </w:r>
    </w:p>
    <w:p>
      <w:pPr>
        <w:spacing w:line="360" w:lineRule="auto"/>
        <w:ind w:left="525" w:leftChars="100" w:hanging="315" w:hangingChars="150"/>
        <w:rPr>
          <w:rFonts w:ascii="宋体" w:hAnsi="宋体"/>
          <w:color w:val="000000" w:themeColor="text1"/>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ind w:left="420" w:leftChars="1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3．获取谈判文件时间及下载：</w:t>
      </w:r>
      <w:r>
        <w:rPr>
          <w:rFonts w:hint="eastAsia" w:ascii="宋体" w:hAnsi="宋体" w:eastAsia="宋体" w:cs="Times New Roman"/>
          <w:color w:val="000000" w:themeColor="text1"/>
          <w:kern w:val="2"/>
          <w:sz w:val="21"/>
          <w:szCs w:val="21"/>
          <w:highlight w:val="none"/>
          <w:lang w:val="en-US" w:eastAsia="zh-CN" w:bidi="ar-SA"/>
        </w:rPr>
        <w:t>2024年3月22日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2024年3月27日</w:t>
      </w:r>
      <w:r>
        <w:rPr>
          <w:rFonts w:hint="eastAsia" w:ascii="宋体" w:hAnsi="宋体"/>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olor w:val="000000" w:themeColor="text1"/>
          <w:szCs w:val="21"/>
          <w:highlight w:val="none"/>
        </w:rPr>
        <w:t>（节假日除外）（北京时间）。</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4．获取谈判文件地点：</w:t>
      </w:r>
      <w:r>
        <w:rPr>
          <w:rFonts w:hint="eastAsia" w:ascii="宋体" w:hAnsi="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color w:val="000000" w:themeColor="text1"/>
          <w:szCs w:val="21"/>
          <w:highlight w:val="none"/>
        </w:rPr>
        <w:t>。</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rPr>
      </w:pPr>
      <w:r>
        <w:rPr>
          <w:rFonts w:hint="eastAsia" w:ascii="宋体" w:hAnsi="宋体"/>
          <w:color w:val="000000" w:themeColor="text1"/>
          <w:szCs w:val="21"/>
          <w:highlight w:val="none"/>
        </w:rPr>
        <w:t xml:space="preserve">  6．</w:t>
      </w:r>
      <w:r>
        <w:rPr>
          <w:rFonts w:hint="eastAsia" w:ascii="宋体" w:hAnsi="宋体"/>
          <w:bCs/>
          <w:color w:val="000000" w:themeColor="text1"/>
          <w:highlight w:val="none"/>
        </w:rPr>
        <w:t>谈判文件获取方式：现场发售</w:t>
      </w:r>
      <w:r>
        <w:rPr>
          <w:rFonts w:hint="eastAsia" w:ascii="宋体" w:hAnsi="宋体"/>
          <w:color w:val="000000" w:themeColor="text1"/>
          <w:szCs w:val="2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color w:val="000000" w:themeColor="text1"/>
          <w:szCs w:val="21"/>
          <w:highlight w:val="none"/>
        </w:rPr>
        <w:t>7．</w:t>
      </w:r>
      <w:r>
        <w:rPr>
          <w:rFonts w:hint="eastAsia" w:ascii="宋体" w:hAnsi="宋体"/>
          <w:bCs/>
          <w:color w:val="000000" w:themeColor="text1"/>
          <w:szCs w:val="21"/>
          <w:highlight w:val="none"/>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spacing w:line="360" w:lineRule="auto"/>
        <w:ind w:left="421" w:leftChars="100" w:hanging="211" w:hangingChars="100"/>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时间：</w:t>
      </w:r>
      <w:r>
        <w:rPr>
          <w:rFonts w:hint="eastAsia" w:ascii="宋体" w:hAnsi="宋体" w:eastAsia="宋体" w:cs="Times New Roman"/>
          <w:color w:val="000000" w:themeColor="text1"/>
          <w:kern w:val="2"/>
          <w:sz w:val="21"/>
          <w:szCs w:val="21"/>
          <w:highlight w:val="none"/>
          <w:lang w:val="en-US" w:eastAsia="zh-CN" w:bidi="ar-SA"/>
        </w:rPr>
        <w:t>2024年3月28日</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w:t>
      </w:r>
      <w:r>
        <w:rPr>
          <w:rFonts w:hint="eastAsia" w:ascii="宋体" w:hAnsi="宋体" w:cs="宋体"/>
          <w:color w:val="000000" w:themeColor="text1"/>
          <w:kern w:val="0"/>
          <w:szCs w:val="21"/>
          <w:highlight w:val="none"/>
        </w:rPr>
        <w:t>0-</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 (北京时间)。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201</w:t>
      </w:r>
      <w:r>
        <w:rPr>
          <w:rFonts w:hint="eastAsia" w:ascii="宋体" w:hAnsi="宋体"/>
          <w:color w:val="000000" w:themeColor="text1"/>
          <w:szCs w:val="21"/>
          <w:highlight w:val="none"/>
        </w:rPr>
        <w:t>开标室</w:t>
      </w:r>
      <w:r>
        <w:rPr>
          <w:rFonts w:hint="eastAsia" w:ascii="宋体" w:hAnsi="宋体" w:cs="宋体"/>
          <w:color w:val="000000" w:themeColor="text1"/>
          <w:kern w:val="0"/>
          <w:szCs w:val="21"/>
          <w:highlight w:val="none"/>
        </w:rPr>
        <w:t>。</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w:t>
      </w:r>
      <w:r>
        <w:rPr>
          <w:rFonts w:hint="eastAsia" w:ascii="宋体" w:hAnsi="宋体" w:cs="Tahoma"/>
          <w:color w:val="000000" w:themeColor="text1"/>
          <w:highlight w:val="none"/>
        </w:rPr>
        <w:t>报价截止时间（递交谈判响应文件截止时间）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2024年3月28日</w:t>
      </w:r>
      <w:r>
        <w:rPr>
          <w:rFonts w:hint="eastAsia" w:ascii="宋体" w:hAnsi="宋体" w:cs="宋体"/>
          <w:color w:val="000000" w:themeColor="text1"/>
          <w:kern w:val="0"/>
          <w:szCs w:val="21"/>
          <w:highlight w:val="none"/>
        </w:rPr>
        <w:t xml:space="preserve">  </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w:t>
      </w:r>
      <w:r>
        <w:rPr>
          <w:rFonts w:hint="eastAsia" w:ascii="宋体" w:hAnsi="宋体" w:cs="Tahoma"/>
          <w:color w:val="000000" w:themeColor="text1"/>
          <w:highlight w:val="none"/>
        </w:rPr>
        <w:t>谈判开始时间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2024年3月28日</w:t>
      </w:r>
      <w:r>
        <w:rPr>
          <w:rFonts w:hint="eastAsia" w:ascii="宋体" w:hAnsi="宋体" w:cs="宋体"/>
          <w:color w:val="000000" w:themeColor="text1"/>
          <w:kern w:val="0"/>
          <w:szCs w:val="21"/>
          <w:highlight w:val="none"/>
        </w:rPr>
        <w:t> </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w:t>
      </w:r>
      <w:r>
        <w:rPr>
          <w:rFonts w:hint="eastAsia" w:ascii="宋体" w:hAnsi="宋体" w:cs="Tahoma"/>
          <w:color w:val="000000" w:themeColor="text1"/>
          <w:highlight w:val="none"/>
        </w:rPr>
        <w:t>谈判</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202</w:t>
      </w:r>
      <w:r>
        <w:rPr>
          <w:rFonts w:hint="eastAsia" w:ascii="宋体" w:hAnsi="宋体"/>
          <w:color w:val="000000" w:themeColor="text1"/>
          <w:szCs w:val="21"/>
          <w:highlight w:val="none"/>
        </w:rPr>
        <w:t>评标室</w:t>
      </w:r>
      <w:r>
        <w:rPr>
          <w:rFonts w:hint="eastAsia" w:ascii="宋体" w:hAnsi="宋体" w:cs="宋体"/>
          <w:color w:val="000000" w:themeColor="text1"/>
          <w:kern w:val="0"/>
          <w:szCs w:val="21"/>
          <w:highlight w:val="none"/>
        </w:rPr>
        <w:t>。</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rPr>
      </w:pPr>
      <w:r>
        <w:rPr>
          <w:rFonts w:hint="eastAsia" w:ascii="宋体" w:hAnsi="宋体" w:cs="Tahoma"/>
          <w:color w:val="000000" w:themeColor="text1"/>
          <w:szCs w:val="21"/>
          <w:highlight w:val="none"/>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深圳市俏悦科技有限公司</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联系人：</w:t>
      </w:r>
      <w:r>
        <w:rPr>
          <w:rFonts w:hint="eastAsia" w:ascii="宋体" w:hAnsi="宋体"/>
          <w:color w:val="000000" w:themeColor="text1"/>
          <w:szCs w:val="21"/>
          <w:highlight w:val="none"/>
          <w:lang w:val="en-US" w:eastAsia="zh-CN"/>
        </w:rPr>
        <w:t>徐淑娟</w:t>
      </w:r>
    </w:p>
    <w:p>
      <w:pPr>
        <w:spacing w:line="360" w:lineRule="auto"/>
        <w:ind w:firstLine="420" w:firstLineChars="200"/>
        <w:rPr>
          <w:rFonts w:hint="default" w:ascii="宋体" w:hAnsi="宋体" w:eastAsia="宋体" w:cs="Tahoma"/>
          <w:color w:val="000000" w:themeColor="text1"/>
          <w:szCs w:val="21"/>
          <w:highlight w:val="none"/>
          <w:lang w:val="en-US" w:eastAsia="zh-CN"/>
        </w:rPr>
      </w:pPr>
      <w:r>
        <w:rPr>
          <w:rFonts w:hint="eastAsia" w:ascii="宋体" w:hAnsi="宋体"/>
          <w:color w:val="000000" w:themeColor="text1"/>
          <w:szCs w:val="21"/>
          <w:highlight w:val="none"/>
        </w:rPr>
        <w:t>联系电话：</w:t>
      </w:r>
      <w:r>
        <w:rPr>
          <w:rFonts w:hint="eastAsia" w:ascii="宋体" w:hAnsi="宋体"/>
          <w:color w:val="000000" w:themeColor="text1"/>
          <w:szCs w:val="21"/>
          <w:highlight w:val="none"/>
          <w:lang w:val="en-US" w:eastAsia="zh-CN"/>
        </w:rPr>
        <w:t>13202331730</w:t>
      </w:r>
      <w:bookmarkStart w:id="252" w:name="_GoBack"/>
      <w:bookmarkEnd w:id="252"/>
    </w:p>
    <w:p>
      <w:pPr>
        <w:widowControl/>
        <w:tabs>
          <w:tab w:val="left" w:pos="502"/>
        </w:tabs>
        <w:adjustRightInd w:val="0"/>
        <w:snapToGrid w:val="0"/>
        <w:spacing w:line="360" w:lineRule="auto"/>
        <w:ind w:firstLine="210" w:firstLineChars="10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w:t>
      </w:r>
      <w:r>
        <w:rPr>
          <w:rFonts w:hint="eastAsia" w:ascii="宋体" w:hAnsi="宋体"/>
          <w:color w:val="000000" w:themeColor="text1"/>
          <w:szCs w:val="21"/>
          <w:highlight w:val="none"/>
          <w:lang w:val="en-US" w:eastAsia="zh-CN"/>
        </w:rPr>
        <w:t>谢小姐</w:t>
      </w:r>
      <w:r>
        <w:rPr>
          <w:rFonts w:hint="eastAsia" w:ascii="宋体" w:hAnsi="宋体"/>
          <w:color w:val="000000" w:themeColor="text1"/>
          <w:szCs w:val="21"/>
          <w:highlight w:val="none"/>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rPr>
      </w:pPr>
      <w:r>
        <w:rPr>
          <w:rFonts w:hint="eastAsia" w:ascii="宋体" w:hAnsi="宋体"/>
          <w:color w:val="000000" w:themeColor="text1"/>
          <w:szCs w:val="21"/>
          <w:highlight w:val="none"/>
        </w:rPr>
        <w:t>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w:t>
      </w:r>
    </w:p>
    <w:p>
      <w:pPr>
        <w:widowControl/>
        <w:tabs>
          <w:tab w:val="left" w:pos="502"/>
        </w:tabs>
        <w:adjustRightInd w:val="0"/>
        <w:snapToGrid w:val="0"/>
        <w:spacing w:line="360" w:lineRule="auto"/>
        <w:ind w:firstLine="420" w:firstLineChars="200"/>
        <w:rPr>
          <w:rFonts w:ascii="宋体" w:hAnsi="宋体" w:cs="Tahoma"/>
          <w:b/>
          <w:bCs/>
          <w:color w:val="000000" w:themeColor="text1"/>
          <w:szCs w:val="21"/>
          <w:highlight w:val="none"/>
        </w:rPr>
      </w:pPr>
      <w:r>
        <w:rPr>
          <w:rFonts w:hint="eastAsia" w:ascii="宋体" w:hAnsi="宋体"/>
          <w:color w:val="000000" w:themeColor="text1"/>
          <w:szCs w:val="21"/>
          <w:highlight w:val="none"/>
        </w:rPr>
        <w:t>网址：</w:t>
      </w:r>
      <w:r>
        <w:rPr>
          <w:rFonts w:ascii="宋体" w:hAnsi="宋体"/>
          <w:color w:val="000000" w:themeColor="text1"/>
          <w:szCs w:val="21"/>
          <w:highlight w:val="none"/>
        </w:rPr>
        <w:t>http://www.yjcg.cc</w:t>
      </w:r>
    </w:p>
    <w:p>
      <w:pPr>
        <w:spacing w:line="360" w:lineRule="auto"/>
        <w:ind w:firstLine="3255" w:firstLineChars="1550"/>
        <w:rPr>
          <w:rFonts w:ascii="宋体" w:hAnsi="宋体"/>
          <w:color w:val="000000" w:themeColor="text1"/>
          <w:szCs w:val="21"/>
          <w:highlight w:val="none"/>
        </w:rPr>
      </w:pPr>
      <w:bookmarkStart w:id="9" w:name="_Toc351988704"/>
      <w:bookmarkStart w:id="10" w:name="_Toc369180017"/>
      <w:bookmarkStart w:id="11" w:name="_Toc353522387"/>
      <w:bookmarkStart w:id="12" w:name="_Toc351987763"/>
      <w:bookmarkStart w:id="13" w:name="_Toc351987959"/>
      <w:bookmarkStart w:id="14" w:name="_Toc351986013"/>
      <w:bookmarkStart w:id="15" w:name="_Toc329242667"/>
      <w:bookmarkStart w:id="16" w:name="_Toc351990140"/>
      <w:bookmarkStart w:id="17" w:name="_Toc357151163"/>
      <w:bookmarkStart w:id="18" w:name="_Toc351986193"/>
      <w:bookmarkStart w:id="19" w:name="_Toc351985908"/>
    </w:p>
    <w:p>
      <w:pPr>
        <w:spacing w:line="360" w:lineRule="auto"/>
        <w:ind w:firstLine="3255" w:firstLineChars="1550"/>
        <w:jc w:val="righ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spacing w:line="360" w:lineRule="auto"/>
        <w:ind w:left="6615" w:leftChars="2450" w:hanging="1470" w:hangingChars="700"/>
        <w:jc w:val="right"/>
        <w:rPr>
          <w:rFonts w:ascii="宋体" w:hAnsi="宋体"/>
          <w:color w:val="000000" w:themeColor="text1"/>
          <w:highlight w:val="none"/>
        </w:rPr>
      </w:pPr>
      <w:r>
        <w:rPr>
          <w:rFonts w:hint="eastAsia" w:ascii="宋体" w:hAnsi="宋体" w:eastAsia="宋体" w:cs="Times New Roman"/>
          <w:color w:val="000000" w:themeColor="text1"/>
          <w:kern w:val="2"/>
          <w:sz w:val="21"/>
          <w:szCs w:val="21"/>
          <w:highlight w:val="none"/>
          <w:lang w:val="en-US" w:eastAsia="zh-CN" w:bidi="ar-SA"/>
        </w:rPr>
        <w:t>2024年3月22日</w:t>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20" w:name="_Toc20860"/>
      <w:bookmarkStart w:id="21" w:name="_Toc452826426"/>
      <w:r>
        <w:rPr>
          <w:rFonts w:hint="eastAsia" w:ascii="宋体" w:hAnsi="宋体"/>
          <w:color w:val="000000" w:themeColor="text1"/>
          <w:sz w:val="21"/>
          <w:szCs w:val="21"/>
          <w:highlight w:val="none"/>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rPr>
      </w:pPr>
      <w:bookmarkStart w:id="23" w:name="_Toc4872"/>
      <w:bookmarkStart w:id="24" w:name="_Toc351986014"/>
      <w:bookmarkStart w:id="25" w:name="_Toc351987960"/>
      <w:bookmarkStart w:id="26" w:name="_Toc351988705"/>
      <w:bookmarkStart w:id="27" w:name="_Toc351985909"/>
      <w:bookmarkStart w:id="28" w:name="_Toc351987764"/>
      <w:bookmarkStart w:id="29" w:name="_Toc329242668"/>
      <w:bookmarkStart w:id="30" w:name="_Toc351986194"/>
      <w:bookmarkStart w:id="31" w:name="_Toc353522388"/>
      <w:bookmarkStart w:id="32" w:name="_Toc357151164"/>
      <w:bookmarkStart w:id="33" w:name="_Toc452826427"/>
      <w:bookmarkStart w:id="34" w:name="_Toc351990141"/>
      <w:bookmarkStart w:id="35" w:name="_Toc369180018"/>
      <w:r>
        <w:rPr>
          <w:rFonts w:hint="eastAsia" w:ascii="宋体" w:hAnsi="宋体"/>
          <w:color w:val="000000" w:themeColor="text1"/>
          <w:sz w:val="21"/>
          <w:szCs w:val="21"/>
          <w:highlight w:val="none"/>
        </w:rPr>
        <w:t>项目编号：</w:t>
      </w:r>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color w:val="000000" w:themeColor="text1"/>
          <w:sz w:val="21"/>
          <w:szCs w:val="21"/>
          <w:highlight w:val="none"/>
          <w:u w:val="single"/>
          <w:lang w:eastAsia="zh-CN"/>
        </w:rPr>
        <w:t>YXZB-20240318</w:t>
      </w:r>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36" w:name="_Toc351985910"/>
      <w:bookmarkStart w:id="37" w:name="_Toc19486"/>
      <w:bookmarkStart w:id="38" w:name="_Toc351990142"/>
      <w:bookmarkStart w:id="39" w:name="_Toc351986195"/>
      <w:bookmarkStart w:id="40" w:name="_Toc351988706"/>
      <w:bookmarkStart w:id="41" w:name="_Toc353522389"/>
      <w:bookmarkStart w:id="42" w:name="_Toc329242669"/>
      <w:bookmarkStart w:id="43" w:name="_Toc351987961"/>
      <w:bookmarkStart w:id="44" w:name="_Toc351986015"/>
      <w:bookmarkStart w:id="45" w:name="_Toc357151165"/>
      <w:bookmarkStart w:id="46" w:name="_Toc351987765"/>
      <w:bookmarkStart w:id="47" w:name="_Toc452826428"/>
      <w:bookmarkStart w:id="48" w:name="_Toc369180019"/>
      <w:r>
        <w:rPr>
          <w:rFonts w:hint="eastAsia" w:ascii="宋体" w:hAnsi="宋体" w:eastAsia="宋体"/>
          <w:color w:val="000000" w:themeColor="text1"/>
          <w:kern w:val="44"/>
          <w:sz w:val="21"/>
          <w:szCs w:val="21"/>
          <w:highlight w:val="none"/>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rPr>
        <w:t>实时客户服务及智能通知项目</w:t>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49" w:name="_Toc351986196"/>
      <w:bookmarkStart w:id="50" w:name="_Toc452826429"/>
      <w:bookmarkStart w:id="51" w:name="_Toc351986016"/>
      <w:bookmarkStart w:id="52" w:name="_Toc357151166"/>
      <w:bookmarkStart w:id="53" w:name="_Toc353522390"/>
      <w:bookmarkStart w:id="54" w:name="_Toc8029"/>
      <w:bookmarkStart w:id="55" w:name="_Toc351985911"/>
      <w:bookmarkStart w:id="56" w:name="_Toc329242670"/>
      <w:bookmarkStart w:id="57" w:name="_Toc351990143"/>
      <w:bookmarkStart w:id="58" w:name="_Toc369180020"/>
      <w:bookmarkStart w:id="59" w:name="_Toc351988707"/>
      <w:bookmarkStart w:id="60" w:name="_Toc351987766"/>
      <w:bookmarkStart w:id="61" w:name="_Toc351987962"/>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bookmarkStart w:id="62" w:name="_Toc351987963"/>
            <w:bookmarkStart w:id="63" w:name="_Toc357151167"/>
            <w:bookmarkStart w:id="64" w:name="_Toc353522391"/>
            <w:bookmarkStart w:id="65" w:name="_Toc351990144"/>
            <w:bookmarkStart w:id="66" w:name="_Toc351988708"/>
            <w:bookmarkStart w:id="67" w:name="_Toc351986017"/>
            <w:bookmarkStart w:id="68" w:name="_Toc351985912"/>
            <w:bookmarkStart w:id="69" w:name="_Toc351986197"/>
            <w:bookmarkStart w:id="70" w:name="_Toc452826430"/>
            <w:bookmarkStart w:id="71" w:name="_Toc329242671"/>
            <w:bookmarkStart w:id="72" w:name="_Toc369180021"/>
            <w:bookmarkStart w:id="73" w:name="_Toc351987767"/>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w:t>
            </w:r>
            <w:r>
              <w:rPr>
                <w:rFonts w:hint="eastAsia" w:ascii="宋体" w:hAnsi="宋体" w:cs="宋体"/>
                <w:color w:val="000000" w:themeColor="text1"/>
                <w:highlight w:val="none"/>
                <w:lang w:val="en-US" w:eastAsia="zh-CN"/>
              </w:rPr>
              <w:t>分</w:t>
            </w:r>
            <w:r>
              <w:rPr>
                <w:rFonts w:hint="eastAsia" w:ascii="宋体" w:hAnsi="宋体" w:eastAsia="宋体" w:cs="宋体"/>
                <w:color w:val="000000" w:themeColor="text1"/>
                <w:highlight w:val="none"/>
              </w:rPr>
              <w:t>《竞争性谈判邀请书》。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项目周期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w:t>
            </w:r>
            <w:r>
              <w:rPr>
                <w:rFonts w:hint="eastAsia" w:ascii="宋体" w:hAnsi="宋体" w:cs="宋体"/>
                <w:color w:val="000000" w:themeColor="text1"/>
                <w:highlight w:val="none"/>
                <w:lang w:val="en-US" w:eastAsia="zh-CN"/>
              </w:rPr>
              <w:t>分</w:t>
            </w:r>
            <w:r>
              <w:rPr>
                <w:rFonts w:hint="eastAsia" w:ascii="宋体" w:hAnsi="宋体" w:eastAsia="宋体" w:cs="宋体"/>
                <w:color w:val="000000" w:themeColor="text1"/>
                <w:highlight w:val="none"/>
              </w:rPr>
              <w:t>《竞争性谈判邀请书》。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所有设备安装及调试，运至合同指定地点的设备费、运输费、卸装就位费、保险费、安装调试费和验收以及培训等一切费用，采购人不再支付任何费用。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完工</w:t>
            </w:r>
            <w:r>
              <w:rPr>
                <w:rFonts w:hint="eastAsia" w:ascii="宋体" w:hAnsi="宋体" w:eastAsia="宋体" w:cs="宋体"/>
                <w:b/>
                <w:color w:val="000000" w:themeColor="text1"/>
                <w:highlight w:val="none"/>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olor w:val="000000" w:themeColor="text1"/>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采购人按照协议内容进行服务订购，订购周期内每月产生费用，</w:t>
            </w:r>
            <w:r>
              <w:rPr>
                <w:rFonts w:hint="eastAsia" w:ascii="宋体" w:hAnsi="宋体" w:eastAsia="宋体" w:cs="宋体"/>
                <w:color w:val="000000" w:themeColor="text1"/>
                <w:highlight w:val="none"/>
                <w:lang w:val="en-US" w:eastAsia="zh-CN"/>
              </w:rPr>
              <w:t>成交</w:t>
            </w:r>
            <w:r>
              <w:rPr>
                <w:rFonts w:hint="eastAsia" w:ascii="宋体" w:hAnsi="宋体" w:eastAsia="宋体" w:cs="宋体"/>
                <w:color w:val="000000" w:themeColor="text1"/>
                <w:highlight w:val="none"/>
              </w:rPr>
              <w:t>供应商按照采购人订购情况在次月提供账单给采购人，采购人依据账单金额向</w:t>
            </w:r>
            <w:r>
              <w:rPr>
                <w:rFonts w:hint="eastAsia" w:ascii="宋体" w:hAnsi="宋体" w:eastAsia="宋体" w:cs="宋体"/>
                <w:color w:val="000000" w:themeColor="text1"/>
                <w:highlight w:val="none"/>
                <w:lang w:val="en-US" w:eastAsia="zh-CN"/>
              </w:rPr>
              <w:t>成交</w:t>
            </w:r>
            <w:r>
              <w:rPr>
                <w:rFonts w:hint="eastAsia" w:ascii="宋体" w:hAnsi="宋体" w:eastAsia="宋体" w:cs="宋体"/>
                <w:color w:val="000000" w:themeColor="text1"/>
                <w:highlight w:val="none"/>
              </w:rPr>
              <w:t>供应商一次性全额付款。</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2.以下费用均为含税价格，其中语音专线服务税率9%，异网短信服务税率6%，国家税率发生变化的，从其规定。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项目验收要求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1.本项目验收应在采购人和成交供应商双方共同参与的情况下按照国家、地方以及有关规定、规范进行。</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2.验收时如发现所交付的服务不符合响应文件规定的情形者，采购人应作出详尽的现场记录，或由采购人和成交供应商双方签署备忘录，此现场记录或者备忘录可用作补充、缺失和更换损坏部件的有效证据，由此产生的有关费用由成交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1.服务内容</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（1）在项目运维阶段，成交供应商需提供不少于1名技术人员的保障运维。</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（2）提供7*24小时的系统故障响应，并在12小时内完成应急故障处理。</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（3）紧急故障备用应急服务。当业务系统出现整机崩溃、宕机等紧急故障时，且在短时间内无法修复，提供性能相当的备用系统顶替故障系统，保障业务的顺利流转。</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（4）数据库优化。根据数据库数据量增长情况，定期开展数据库性能优化。</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（5）备份数据恢复。在出现系统数据丢失、错误等原因导致系统无法使用的情况，提供备份数据恢复服务，并在1个小时内完成。</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2.服务形式</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在保修期内所有的检查、维护、故障排除等工作均免费，服务内容包括：</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（1）总部电话技术支持：无论何时，成交供应商工程师对建设单位提出的问题、疑难提供7*24小时的技术支持；</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（2）系统故障解决：成交供应商工程师将尽快地解决故障，质保期内的故障，30分钟响应，在2小时内完成修复一般性故障，24小时内修复重大故障，保证系统尽快恢复正常运行。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项目人员安排要求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 w:val="21"/>
                <w:szCs w:val="21"/>
                <w:highlight w:val="none"/>
              </w:rPr>
              <w:t>成交供应商必须具有良好信誉和相关实力的技术队伍，应指定项目负责人，人员不得随意更换，项目负责人的更换应征得采购人同意。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宋体" w:hAnsi="宋体" w:eastAsia="宋体" w:cs="宋体"/>
                <w:b/>
                <w:color w:val="000000" w:themeColor="text1"/>
                <w:szCs w:val="21"/>
                <w:highlight w:val="none"/>
                <w:lang w:val="en-US" w:eastAsia="zh-CN"/>
              </w:rPr>
            </w:pPr>
            <w:r>
              <w:rPr>
                <w:rFonts w:hint="eastAsia" w:ascii="宋体" w:hAnsi="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成交服务费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发改价格[2011]534号文的规定</w:t>
            </w:r>
            <w:r>
              <w:rPr>
                <w:rFonts w:hint="eastAsia" w:ascii="宋体" w:hAnsi="宋体"/>
                <w:color w:val="000000" w:themeColor="text1"/>
                <w:szCs w:val="21"/>
                <w:highlight w:val="none"/>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4" w:name="_Toc781"/>
      <w:r>
        <w:rPr>
          <w:rFonts w:hint="eastAsia" w:ascii="宋体" w:hAnsi="宋体" w:eastAsia="宋体"/>
          <w:color w:val="000000" w:themeColor="text1"/>
          <w:kern w:val="0"/>
          <w:sz w:val="21"/>
          <w:szCs w:val="21"/>
          <w:highlight w:val="none"/>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rPr>
      </w:pPr>
    </w:p>
    <w:p>
      <w:pPr>
        <w:spacing w:line="360" w:lineRule="auto"/>
        <w:ind w:firstLine="422" w:firstLineChars="20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一、背景</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企业品牌的宣传是一个持续的过程，需要企业不断地创新和适应市场的变化。</w:t>
      </w:r>
      <w:r>
        <w:rPr>
          <w:rFonts w:hint="eastAsia" w:ascii="宋体" w:hAnsi="宋体" w:eastAsia="宋体" w:cs="宋体"/>
          <w:color w:val="000000" w:themeColor="text1"/>
          <w:sz w:val="21"/>
          <w:szCs w:val="21"/>
          <w:highlight w:val="none"/>
        </w:rPr>
        <w:t>企业每年在通信方面投入大量资金和人力成本</w:t>
      </w:r>
      <w:r>
        <w:rPr>
          <w:rFonts w:hint="eastAsia" w:ascii="宋体" w:hAnsi="宋体" w:eastAsia="宋体" w:cs="宋体"/>
          <w:color w:val="000000" w:themeColor="text1"/>
          <w:sz w:val="21"/>
          <w:szCs w:val="21"/>
          <w:highlight w:val="none"/>
          <w:lang w:eastAsia="zh-CN"/>
        </w:rPr>
        <w:t>，依靠企业员工的面对面、点对点的做企业品牌的宣传、产品的推广等方式，但</w:t>
      </w:r>
      <w:r>
        <w:rPr>
          <w:rFonts w:hint="eastAsia" w:ascii="宋体" w:hAnsi="宋体" w:eastAsia="宋体" w:cs="宋体"/>
          <w:color w:val="000000" w:themeColor="text1"/>
          <w:sz w:val="21"/>
          <w:szCs w:val="21"/>
          <w:highlight w:val="none"/>
        </w:rPr>
        <w:t>随着互联网时代的到来，传统的沟通方式已经拖累了企业的发展</w:t>
      </w:r>
      <w:r>
        <w:rPr>
          <w:rFonts w:hint="eastAsia" w:ascii="宋体" w:hAnsi="宋体" w:eastAsia="宋体" w:cs="宋体"/>
          <w:color w:val="000000" w:themeColor="text1"/>
          <w:sz w:val="21"/>
          <w:szCs w:val="21"/>
          <w:highlight w:val="none"/>
          <w:lang w:eastAsia="zh-CN"/>
        </w:rPr>
        <w:t>，不能满足社会的宣传推广的增长需求</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深圳市俏悦科技有限公司</w:t>
      </w:r>
      <w:r>
        <w:rPr>
          <w:rFonts w:hint="eastAsia" w:ascii="宋体" w:hAnsi="宋体" w:eastAsia="宋体" w:cs="宋体"/>
          <w:color w:val="000000" w:themeColor="text1"/>
          <w:sz w:val="21"/>
          <w:szCs w:val="21"/>
          <w:highlight w:val="none"/>
        </w:rPr>
        <w:t>为开展客户服务维护及拉新活动，特此开展</w:t>
      </w:r>
      <w:r>
        <w:rPr>
          <w:rFonts w:hint="eastAsia" w:ascii="宋体" w:hAnsi="宋体" w:eastAsia="宋体" w:cs="宋体"/>
          <w:color w:val="000000" w:themeColor="text1"/>
          <w:sz w:val="21"/>
          <w:szCs w:val="21"/>
          <w:highlight w:val="none"/>
          <w:lang w:eastAsia="zh-CN"/>
        </w:rPr>
        <w:t>实时客户服务及智能通知项目</w:t>
      </w:r>
      <w:r>
        <w:rPr>
          <w:rFonts w:hint="eastAsia" w:ascii="宋体" w:hAnsi="宋体" w:eastAsia="宋体" w:cs="宋体"/>
          <w:color w:val="000000" w:themeColor="text1"/>
          <w:sz w:val="21"/>
          <w:szCs w:val="21"/>
          <w:highlight w:val="none"/>
        </w:rPr>
        <w:t>，项目主要需求如下：</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（一）语音专线，用于开展语音</w:t>
      </w:r>
      <w:r>
        <w:rPr>
          <w:rFonts w:hint="eastAsia" w:ascii="宋体" w:hAnsi="宋体" w:eastAsia="宋体" w:cs="宋体"/>
          <w:color w:val="000000" w:themeColor="text1"/>
          <w:sz w:val="21"/>
          <w:szCs w:val="21"/>
          <w:highlight w:val="none"/>
          <w:lang w:eastAsia="zh-CN"/>
        </w:rPr>
        <w:t>提供</w:t>
      </w:r>
      <w:r>
        <w:rPr>
          <w:rFonts w:hint="eastAsia" w:ascii="宋体" w:hAnsi="宋体" w:eastAsia="宋体" w:cs="宋体"/>
          <w:color w:val="000000" w:themeColor="text1"/>
          <w:sz w:val="21"/>
          <w:szCs w:val="21"/>
          <w:highlight w:val="none"/>
        </w:rPr>
        <w:t>外呼客户服务。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（二）异网短信，用于开展短信</w:t>
      </w:r>
      <w:r>
        <w:rPr>
          <w:rFonts w:hint="eastAsia" w:ascii="宋体" w:hAnsi="宋体" w:eastAsia="宋体" w:cs="宋体"/>
          <w:color w:val="000000" w:themeColor="text1"/>
          <w:sz w:val="21"/>
          <w:szCs w:val="21"/>
          <w:highlight w:val="none"/>
          <w:lang w:eastAsia="zh-CN"/>
        </w:rPr>
        <w:t>提供提醒服务</w:t>
      </w:r>
      <w:r>
        <w:rPr>
          <w:rFonts w:hint="eastAsia" w:ascii="宋体" w:hAnsi="宋体" w:eastAsia="宋体" w:cs="宋体"/>
          <w:color w:val="000000" w:themeColor="text1"/>
          <w:sz w:val="21"/>
          <w:szCs w:val="21"/>
          <w:highlight w:val="none"/>
        </w:rPr>
        <w:t>。</w:t>
      </w:r>
    </w:p>
    <w:p>
      <w:pPr>
        <w:numPr>
          <w:ilvl w:val="0"/>
          <w:numId w:val="7"/>
        </w:numPr>
        <w:spacing w:line="360" w:lineRule="auto"/>
        <w:ind w:firstLine="422" w:firstLineChars="20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建设需求</w:t>
      </w:r>
    </w:p>
    <w:p>
      <w:pPr>
        <w:pStyle w:val="3"/>
        <w:spacing w:after="0"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（一）语音专线服务：开通一条语音专线用于客服通知。统一外呼号码，提升企业的品牌形象，可独立通话通道，</w:t>
      </w:r>
      <w:r>
        <w:rPr>
          <w:rFonts w:hint="eastAsia" w:ascii="宋体" w:hAnsi="宋体" w:eastAsia="宋体" w:cs="宋体"/>
          <w:color w:val="000000" w:themeColor="text1"/>
          <w:sz w:val="21"/>
          <w:szCs w:val="21"/>
          <w:highlight w:val="none"/>
          <w:lang w:eastAsia="zh-CN"/>
        </w:rPr>
        <w:t>不会受到公共电话网络的干扰，保证通话清晰，降低通话中断和延迟，保证通信的稳定性和安全性，</w:t>
      </w:r>
      <w:r>
        <w:rPr>
          <w:rFonts w:hint="eastAsia" w:ascii="宋体" w:hAnsi="宋体" w:eastAsia="宋体" w:cs="宋体"/>
          <w:color w:val="000000" w:themeColor="text1"/>
          <w:sz w:val="21"/>
          <w:szCs w:val="21"/>
          <w:highlight w:val="none"/>
        </w:rPr>
        <w:t>能够实现高速数据传输，提高客户服务质量。</w:t>
      </w:r>
    </w:p>
    <w:p>
      <w:pPr>
        <w:pStyle w:val="3"/>
        <w:spacing w:after="0"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（二）异网短信服务：提供支持AP对接能力、支持信息发送能力、支持短信管理功能、支持资料库管理功能、支持信息发送日志查询功能、支持信息发送审核功能、支持数统计功能、支持通道管理功能</w:t>
      </w:r>
      <w:r>
        <w:rPr>
          <w:rFonts w:hint="eastAsia" w:ascii="宋体" w:hAnsi="宋体" w:eastAsia="宋体" w:cs="宋体"/>
          <w:color w:val="000000" w:themeColor="text1"/>
          <w:sz w:val="21"/>
          <w:szCs w:val="21"/>
          <w:highlight w:val="none"/>
          <w:lang w:eastAsia="zh-CN"/>
        </w:rPr>
        <w:t>、提供一定程度的隐私和安全性，确保不同网络用户之前的基本通信能力</w:t>
      </w:r>
      <w:r>
        <w:rPr>
          <w:rFonts w:hint="eastAsia" w:ascii="宋体" w:hAnsi="宋体" w:eastAsia="宋体" w:cs="宋体"/>
          <w:color w:val="000000" w:themeColor="text1"/>
          <w:sz w:val="21"/>
          <w:szCs w:val="21"/>
          <w:highlight w:val="none"/>
        </w:rPr>
        <w:t>的异网融合通信服务。</w:t>
      </w:r>
    </w:p>
    <w:p>
      <w:pPr>
        <w:pStyle w:val="3"/>
        <w:spacing w:after="0"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建设内容：发送服务功能性要求包括：</w:t>
      </w:r>
    </w:p>
    <w:p>
      <w:pPr>
        <w:pStyle w:val="3"/>
        <w:spacing w:after="0"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eastAsia="zh-CN"/>
        </w:rPr>
        <w:t>平台</w:t>
      </w:r>
      <w:r>
        <w:rPr>
          <w:rFonts w:hint="eastAsia" w:ascii="宋体" w:hAnsi="宋体" w:eastAsia="宋体" w:cs="宋体"/>
          <w:color w:val="000000" w:themeColor="text1"/>
          <w:sz w:val="21"/>
          <w:szCs w:val="21"/>
          <w:highlight w:val="none"/>
        </w:rPr>
        <w:t>具备较强的系统能力。平台具备较强的通用性、开放性、实时性、可靠性，</w:t>
      </w:r>
      <w:r>
        <w:rPr>
          <w:rFonts w:hint="eastAsia" w:ascii="宋体" w:hAnsi="宋体" w:eastAsia="宋体" w:cs="宋体"/>
          <w:color w:val="000000" w:themeColor="text1"/>
          <w:sz w:val="21"/>
          <w:szCs w:val="21"/>
          <w:highlight w:val="none"/>
          <w:lang w:eastAsia="zh-CN"/>
        </w:rPr>
        <w:t>支持</w:t>
      </w:r>
      <w:r>
        <w:rPr>
          <w:rFonts w:hint="eastAsia" w:ascii="宋体" w:hAnsi="宋体" w:eastAsia="宋体" w:cs="宋体"/>
          <w:color w:val="000000" w:themeColor="text1"/>
          <w:sz w:val="21"/>
          <w:szCs w:val="21"/>
          <w:highlight w:val="none"/>
        </w:rPr>
        <w:t>与各种软件系统进行</w:t>
      </w:r>
      <w:r>
        <w:rPr>
          <w:rFonts w:hint="eastAsia" w:ascii="宋体" w:hAnsi="宋体" w:eastAsia="宋体" w:cs="宋体"/>
          <w:color w:val="000000" w:themeColor="text1"/>
          <w:sz w:val="21"/>
          <w:szCs w:val="21"/>
          <w:highlight w:val="none"/>
          <w:lang w:eastAsia="zh-CN"/>
        </w:rPr>
        <w:t>高效无缝连接</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实现</w:t>
      </w:r>
      <w:r>
        <w:rPr>
          <w:rFonts w:hint="eastAsia" w:ascii="宋体" w:hAnsi="宋体" w:eastAsia="宋体" w:cs="宋体"/>
          <w:color w:val="000000" w:themeColor="text1"/>
          <w:sz w:val="21"/>
          <w:szCs w:val="21"/>
          <w:highlight w:val="none"/>
        </w:rPr>
        <w:t>各种应用软件产生的动态信息</w:t>
      </w:r>
      <w:r>
        <w:rPr>
          <w:rFonts w:hint="eastAsia" w:ascii="宋体" w:hAnsi="宋体" w:eastAsia="宋体" w:cs="宋体"/>
          <w:color w:val="000000" w:themeColor="text1"/>
          <w:sz w:val="21"/>
          <w:szCs w:val="21"/>
          <w:highlight w:val="none"/>
          <w:lang w:eastAsia="zh-CN"/>
        </w:rPr>
        <w:t>可</w:t>
      </w:r>
      <w:r>
        <w:rPr>
          <w:rFonts w:hint="eastAsia" w:ascii="宋体" w:hAnsi="宋体" w:eastAsia="宋体" w:cs="宋体"/>
          <w:color w:val="000000" w:themeColor="text1"/>
          <w:sz w:val="21"/>
          <w:szCs w:val="21"/>
          <w:highlight w:val="none"/>
        </w:rPr>
        <w:t>通过手机短信实时发送、接收。</w:t>
      </w:r>
    </w:p>
    <w:p>
      <w:pPr>
        <w:pStyle w:val="3"/>
        <w:spacing w:after="0"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eastAsia="zh-CN"/>
        </w:rPr>
        <w:t>平台</w:t>
      </w:r>
      <w:r>
        <w:rPr>
          <w:rFonts w:hint="eastAsia" w:ascii="宋体" w:hAnsi="宋体" w:eastAsia="宋体" w:cs="宋体"/>
          <w:color w:val="000000" w:themeColor="text1"/>
          <w:sz w:val="21"/>
          <w:szCs w:val="21"/>
          <w:highlight w:val="none"/>
        </w:rPr>
        <w:t>具备多种运营商接入的短信网关。支持中国联通、中国电信全国推送具备使用对应的标准协议接入及扩展、具备对运营商进行参数设置</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对运营商进行管理的功能。</w:t>
      </w:r>
    </w:p>
    <w:p>
      <w:pPr>
        <w:pStyle w:val="3"/>
        <w:spacing w:after="0"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eastAsia="zh-CN"/>
        </w:rPr>
        <w:t>平台</w:t>
      </w:r>
      <w:r>
        <w:rPr>
          <w:rFonts w:hint="eastAsia" w:ascii="宋体" w:hAnsi="宋体" w:eastAsia="宋体" w:cs="宋体"/>
          <w:color w:val="000000" w:themeColor="text1"/>
          <w:sz w:val="21"/>
          <w:szCs w:val="21"/>
          <w:highlight w:val="none"/>
        </w:rPr>
        <w:t>信息推送服务支持模板。提供模板创建功能，可以保存常用的短信模板，以便重复使用</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支持通用静态模板、通用动态模板、智能抓取模板、移动财务模板</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提供信息模板查询、新增、修改、删除等功能。</w:t>
      </w:r>
    </w:p>
    <w:p>
      <w:pPr>
        <w:pStyle w:val="3"/>
        <w:spacing w:after="0" w:line="360" w:lineRule="auto"/>
        <w:ind w:firstLine="420" w:firstLineChars="200"/>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eastAsia="zh-CN"/>
        </w:rPr>
        <w:t>平台</w:t>
      </w:r>
      <w:r>
        <w:rPr>
          <w:rFonts w:hint="eastAsia" w:ascii="宋体" w:hAnsi="宋体" w:eastAsia="宋体" w:cs="宋体"/>
          <w:color w:val="000000" w:themeColor="text1"/>
          <w:sz w:val="21"/>
          <w:szCs w:val="21"/>
          <w:highlight w:val="none"/>
        </w:rPr>
        <w:t>信息推送服务支持模板批量导入、手工添加群发手机号码。“发送内容”可以手工输入编辑或是选择模板</w:t>
      </w:r>
      <w:r>
        <w:rPr>
          <w:rFonts w:hint="eastAsia" w:ascii="宋体" w:hAnsi="宋体" w:eastAsia="宋体" w:cs="宋体"/>
          <w:color w:val="000000" w:themeColor="text1"/>
          <w:sz w:val="21"/>
          <w:szCs w:val="21"/>
          <w:highlight w:val="none"/>
          <w:lang w:eastAsia="zh-CN"/>
        </w:rPr>
        <w:t>导入。</w:t>
      </w:r>
      <w:r>
        <w:rPr>
          <w:rFonts w:hint="eastAsia" w:ascii="宋体" w:hAnsi="宋体" w:eastAsia="宋体" w:cs="宋体"/>
          <w:color w:val="000000" w:themeColor="text1"/>
          <w:sz w:val="21"/>
          <w:szCs w:val="21"/>
          <w:highlight w:val="none"/>
        </w:rPr>
        <w:t>最大可支持</w:t>
      </w:r>
      <w:r>
        <w:rPr>
          <w:rFonts w:hint="eastAsia" w:ascii="宋体" w:hAnsi="宋体" w:eastAsia="宋体" w:cs="宋体"/>
          <w:color w:val="000000" w:themeColor="text1"/>
          <w:sz w:val="21"/>
          <w:szCs w:val="21"/>
          <w:highlight w:val="none"/>
          <w:lang w:eastAsia="zh-CN"/>
        </w:rPr>
        <w:t>群发</w:t>
      </w:r>
      <w:r>
        <w:rPr>
          <w:rFonts w:hint="eastAsia" w:ascii="宋体" w:hAnsi="宋体" w:eastAsia="宋体" w:cs="宋体"/>
          <w:color w:val="000000" w:themeColor="text1"/>
          <w:sz w:val="21"/>
          <w:szCs w:val="21"/>
          <w:highlight w:val="none"/>
          <w:lang w:val="en-US"/>
        </w:rPr>
        <w:t>6</w:t>
      </w:r>
      <w:r>
        <w:rPr>
          <w:rFonts w:hint="eastAsia" w:ascii="宋体" w:hAnsi="宋体" w:eastAsia="宋体" w:cs="宋体"/>
          <w:color w:val="000000" w:themeColor="text1"/>
          <w:sz w:val="21"/>
          <w:szCs w:val="21"/>
          <w:highlight w:val="none"/>
        </w:rPr>
        <w:t>0万个手机号码，支持定时短信的发送</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支持信息审核。</w:t>
      </w:r>
      <w:r>
        <w:rPr>
          <w:rFonts w:hint="eastAsia" w:ascii="宋体" w:hAnsi="宋体" w:eastAsia="宋体" w:cs="宋体"/>
          <w:color w:val="000000" w:themeColor="text1"/>
          <w:sz w:val="21"/>
          <w:szCs w:val="21"/>
          <w:highlight w:val="none"/>
          <w:lang w:val="en-US"/>
        </w:rPr>
        <w:t xml:space="preserve"> </w:t>
      </w:r>
    </w:p>
    <w:p>
      <w:pPr>
        <w:pStyle w:val="3"/>
        <w:spacing w:after="0"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rPr>
        <w:t xml:space="preserve"> </w:t>
      </w:r>
      <w:r>
        <w:rPr>
          <w:rFonts w:hint="eastAsia" w:ascii="宋体" w:hAnsi="宋体" w:eastAsia="宋体" w:cs="宋体"/>
          <w:color w:val="000000" w:themeColor="text1"/>
          <w:sz w:val="21"/>
          <w:szCs w:val="21"/>
          <w:highlight w:val="none"/>
        </w:rPr>
        <w:t>5、</w:t>
      </w:r>
      <w:r>
        <w:rPr>
          <w:rFonts w:hint="eastAsia" w:ascii="宋体" w:hAnsi="宋体" w:eastAsia="宋体" w:cs="宋体"/>
          <w:color w:val="000000" w:themeColor="text1"/>
          <w:sz w:val="21"/>
          <w:szCs w:val="21"/>
          <w:highlight w:val="none"/>
          <w:lang w:eastAsia="zh-CN"/>
        </w:rPr>
        <w:t>平台</w:t>
      </w:r>
      <w:r>
        <w:rPr>
          <w:rFonts w:hint="eastAsia" w:ascii="宋体" w:hAnsi="宋体" w:eastAsia="宋体" w:cs="宋体"/>
          <w:color w:val="000000" w:themeColor="text1"/>
          <w:sz w:val="21"/>
          <w:szCs w:val="21"/>
          <w:highlight w:val="none"/>
        </w:rPr>
        <w:t>信息推送服务支持补发。通过条件查询，</w:t>
      </w:r>
      <w:r>
        <w:rPr>
          <w:rFonts w:hint="eastAsia" w:ascii="宋体" w:hAnsi="宋体" w:eastAsia="宋体" w:cs="宋体"/>
          <w:color w:val="000000" w:themeColor="text1"/>
          <w:sz w:val="21"/>
          <w:szCs w:val="21"/>
          <w:highlight w:val="none"/>
          <w:lang w:eastAsia="zh-CN"/>
        </w:rPr>
        <w:t>可</w:t>
      </w:r>
      <w:r>
        <w:rPr>
          <w:rFonts w:hint="eastAsia" w:ascii="宋体" w:hAnsi="宋体" w:eastAsia="宋体" w:cs="宋体"/>
          <w:color w:val="000000" w:themeColor="text1"/>
          <w:sz w:val="21"/>
          <w:szCs w:val="21"/>
          <w:highlight w:val="none"/>
        </w:rPr>
        <w:t>查看信息发送的实时记录和历史记录以及信息批次的详情发送情况，</w:t>
      </w:r>
      <w:r>
        <w:rPr>
          <w:rFonts w:hint="eastAsia" w:ascii="宋体" w:hAnsi="宋体" w:eastAsia="宋体" w:cs="宋体"/>
          <w:color w:val="000000" w:themeColor="text1"/>
          <w:sz w:val="21"/>
          <w:szCs w:val="21"/>
          <w:highlight w:val="none"/>
          <w:lang w:eastAsia="zh-CN"/>
        </w:rPr>
        <w:t>并</w:t>
      </w:r>
      <w:r>
        <w:rPr>
          <w:rFonts w:hint="eastAsia" w:ascii="宋体" w:hAnsi="宋体" w:eastAsia="宋体" w:cs="宋体"/>
          <w:color w:val="000000" w:themeColor="text1"/>
          <w:sz w:val="21"/>
          <w:szCs w:val="21"/>
          <w:highlight w:val="none"/>
        </w:rPr>
        <w:t>对发送失败的信息进行自动补发一次或者手动补发。</w:t>
      </w:r>
    </w:p>
    <w:p>
      <w:pPr>
        <w:pStyle w:val="3"/>
        <w:spacing w:after="0"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r>
        <w:rPr>
          <w:rFonts w:hint="eastAsia" w:ascii="宋体" w:hAnsi="宋体" w:eastAsia="宋体" w:cs="宋体"/>
          <w:color w:val="000000" w:themeColor="text1"/>
          <w:sz w:val="21"/>
          <w:szCs w:val="21"/>
          <w:highlight w:val="none"/>
          <w:lang w:eastAsia="zh-CN"/>
        </w:rPr>
        <w:t>平台</w:t>
      </w:r>
      <w:r>
        <w:rPr>
          <w:rFonts w:hint="eastAsia" w:ascii="宋体" w:hAnsi="宋体" w:eastAsia="宋体" w:cs="宋体"/>
          <w:color w:val="000000" w:themeColor="text1"/>
          <w:sz w:val="21"/>
          <w:szCs w:val="21"/>
          <w:highlight w:val="none"/>
        </w:rPr>
        <w:t>信息推送服务支持审核及状态查询。要求必备信息内容审核机制（如一审、二审）及黑名单管控机制；通过条件查询，查看信息的一审、二审状态。</w:t>
      </w:r>
    </w:p>
    <w:p>
      <w:pPr>
        <w:pStyle w:val="3"/>
        <w:spacing w:after="0"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r>
        <w:rPr>
          <w:rFonts w:hint="eastAsia" w:ascii="宋体" w:hAnsi="宋体" w:eastAsia="宋体" w:cs="宋体"/>
          <w:color w:val="000000" w:themeColor="text1"/>
          <w:sz w:val="21"/>
          <w:szCs w:val="21"/>
          <w:highlight w:val="none"/>
          <w:lang w:eastAsia="zh-CN"/>
        </w:rPr>
        <w:t>平台</w:t>
      </w:r>
      <w:r>
        <w:rPr>
          <w:rFonts w:hint="eastAsia" w:ascii="宋体" w:hAnsi="宋体" w:eastAsia="宋体" w:cs="宋体"/>
          <w:color w:val="000000" w:themeColor="text1"/>
          <w:sz w:val="21"/>
          <w:szCs w:val="21"/>
          <w:highlight w:val="none"/>
        </w:rPr>
        <w:t>信息推送服务支持发送任务查询。通过条件查询，查看企业信息模块内所有提交的信息状态，</w:t>
      </w:r>
      <w:r>
        <w:rPr>
          <w:rFonts w:hint="eastAsia" w:ascii="宋体" w:hAnsi="宋体" w:eastAsia="宋体" w:cs="宋体"/>
          <w:color w:val="000000" w:themeColor="text1"/>
          <w:sz w:val="21"/>
          <w:szCs w:val="21"/>
          <w:highlight w:val="none"/>
          <w:lang w:eastAsia="zh-CN"/>
        </w:rPr>
        <w:t>提供发送报告，</w:t>
      </w:r>
      <w:r>
        <w:rPr>
          <w:rFonts w:hint="eastAsia" w:ascii="宋体" w:hAnsi="宋体" w:eastAsia="宋体" w:cs="宋体"/>
          <w:color w:val="000000" w:themeColor="text1"/>
          <w:sz w:val="21"/>
          <w:szCs w:val="21"/>
          <w:highlight w:val="none"/>
        </w:rPr>
        <w:t>包括查看任务发送状态，发送信息审批的审批意见，待批信息的撤销操作等。</w:t>
      </w:r>
    </w:p>
    <w:p>
      <w:pPr>
        <w:pStyle w:val="3"/>
        <w:spacing w:after="0"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r>
        <w:rPr>
          <w:rFonts w:hint="eastAsia" w:ascii="宋体" w:hAnsi="宋体" w:eastAsia="宋体" w:cs="宋体"/>
          <w:color w:val="000000" w:themeColor="text1"/>
          <w:sz w:val="21"/>
          <w:szCs w:val="21"/>
          <w:highlight w:val="none"/>
          <w:lang w:eastAsia="zh-CN"/>
        </w:rPr>
        <w:t>平台</w:t>
      </w:r>
      <w:r>
        <w:rPr>
          <w:rFonts w:hint="eastAsia" w:ascii="宋体" w:hAnsi="宋体" w:eastAsia="宋体" w:cs="宋体"/>
          <w:color w:val="000000" w:themeColor="text1"/>
          <w:sz w:val="21"/>
          <w:szCs w:val="21"/>
          <w:highlight w:val="none"/>
        </w:rPr>
        <w:t>信息推送服务支持发送任务统计，提供详细的发送统计</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按条件对不同操作员中所有下行信息进行统计、汇总。</w:t>
      </w:r>
    </w:p>
    <w:p>
      <w:pPr>
        <w:pStyle w:val="3"/>
        <w:spacing w:after="0"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r>
        <w:rPr>
          <w:rFonts w:hint="eastAsia" w:ascii="宋体" w:hAnsi="宋体" w:eastAsia="宋体" w:cs="宋体"/>
          <w:color w:val="000000" w:themeColor="text1"/>
          <w:sz w:val="21"/>
          <w:szCs w:val="21"/>
          <w:highlight w:val="none"/>
          <w:lang w:eastAsia="zh-CN"/>
        </w:rPr>
        <w:t>平台</w:t>
      </w:r>
      <w:r>
        <w:rPr>
          <w:rFonts w:hint="eastAsia" w:ascii="宋体" w:hAnsi="宋体" w:eastAsia="宋体" w:cs="宋体"/>
          <w:color w:val="000000" w:themeColor="text1"/>
          <w:sz w:val="21"/>
          <w:szCs w:val="21"/>
          <w:highlight w:val="none"/>
        </w:rPr>
        <w:t>信息推送服务支持上行记录查询，平台接收到的所有手机回复的信息记录，</w:t>
      </w:r>
      <w:r>
        <w:rPr>
          <w:rFonts w:hint="eastAsia" w:ascii="宋体" w:hAnsi="宋体" w:eastAsia="宋体" w:cs="宋体"/>
          <w:color w:val="000000" w:themeColor="text1"/>
          <w:sz w:val="21"/>
          <w:szCs w:val="21"/>
          <w:highlight w:val="none"/>
          <w:lang w:eastAsia="zh-CN"/>
        </w:rPr>
        <w:t>都可在平台</w:t>
      </w:r>
      <w:r>
        <w:rPr>
          <w:rFonts w:hint="eastAsia" w:ascii="宋体" w:hAnsi="宋体" w:eastAsia="宋体" w:cs="宋体"/>
          <w:color w:val="000000" w:themeColor="text1"/>
          <w:sz w:val="21"/>
          <w:szCs w:val="21"/>
          <w:highlight w:val="none"/>
        </w:rPr>
        <w:t>按条件进行查询、查看</w:t>
      </w:r>
      <w:r>
        <w:rPr>
          <w:rFonts w:hint="eastAsia" w:ascii="宋体" w:hAnsi="宋体" w:eastAsia="宋体" w:cs="宋体"/>
          <w:color w:val="000000" w:themeColor="text1"/>
          <w:sz w:val="21"/>
          <w:szCs w:val="21"/>
          <w:highlight w:val="none"/>
          <w:lang w:eastAsia="zh-CN"/>
        </w:rPr>
        <w:t>和</w:t>
      </w:r>
      <w:r>
        <w:rPr>
          <w:rFonts w:hint="eastAsia" w:ascii="宋体" w:hAnsi="宋体" w:eastAsia="宋体" w:cs="宋体"/>
          <w:color w:val="000000" w:themeColor="text1"/>
          <w:sz w:val="21"/>
          <w:szCs w:val="21"/>
          <w:highlight w:val="none"/>
        </w:rPr>
        <w:t>统计。</w:t>
      </w:r>
    </w:p>
    <w:p>
      <w:pPr>
        <w:pStyle w:val="3"/>
        <w:spacing w:after="0"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 w:val="21"/>
          <w:szCs w:val="21"/>
          <w:highlight w:val="none"/>
        </w:rPr>
        <w:t>10、</w:t>
      </w:r>
      <w:r>
        <w:rPr>
          <w:rFonts w:hint="eastAsia" w:ascii="宋体" w:hAnsi="宋体" w:eastAsia="宋体" w:cs="宋体"/>
          <w:color w:val="000000" w:themeColor="text1"/>
          <w:sz w:val="21"/>
          <w:szCs w:val="21"/>
          <w:highlight w:val="none"/>
          <w:lang w:eastAsia="zh-CN"/>
        </w:rPr>
        <w:t>平台</w:t>
      </w:r>
      <w:r>
        <w:rPr>
          <w:rFonts w:hint="eastAsia" w:ascii="宋体" w:hAnsi="宋体" w:eastAsia="宋体" w:cs="宋体"/>
          <w:color w:val="000000" w:themeColor="text1"/>
          <w:sz w:val="21"/>
          <w:szCs w:val="21"/>
          <w:highlight w:val="none"/>
        </w:rPr>
        <w:t>信息推送服务支持下行记录查询，平台发送的所有信息记录，</w:t>
      </w:r>
      <w:r>
        <w:rPr>
          <w:rFonts w:hint="eastAsia" w:ascii="宋体" w:hAnsi="宋体" w:eastAsia="宋体" w:cs="宋体"/>
          <w:color w:val="000000" w:themeColor="text1"/>
          <w:sz w:val="21"/>
          <w:szCs w:val="21"/>
          <w:highlight w:val="none"/>
          <w:lang w:eastAsia="zh-CN"/>
        </w:rPr>
        <w:t>都可在平台</w:t>
      </w:r>
      <w:r>
        <w:rPr>
          <w:rFonts w:hint="eastAsia" w:ascii="宋体" w:hAnsi="宋体" w:eastAsia="宋体" w:cs="宋体"/>
          <w:color w:val="000000" w:themeColor="text1"/>
          <w:sz w:val="21"/>
          <w:szCs w:val="21"/>
          <w:highlight w:val="none"/>
        </w:rPr>
        <w:t>按条件进行查询、查看</w:t>
      </w:r>
      <w:r>
        <w:rPr>
          <w:rFonts w:hint="eastAsia" w:ascii="宋体" w:hAnsi="宋体" w:eastAsia="宋体" w:cs="宋体"/>
          <w:color w:val="000000" w:themeColor="text1"/>
          <w:sz w:val="21"/>
          <w:szCs w:val="21"/>
          <w:highlight w:val="none"/>
          <w:lang w:eastAsia="zh-CN"/>
        </w:rPr>
        <w:t>和</w:t>
      </w:r>
      <w:r>
        <w:rPr>
          <w:rFonts w:hint="eastAsia" w:ascii="宋体" w:hAnsi="宋体" w:eastAsia="宋体" w:cs="宋体"/>
          <w:color w:val="000000" w:themeColor="text1"/>
          <w:sz w:val="21"/>
          <w:szCs w:val="21"/>
          <w:highlight w:val="none"/>
        </w:rPr>
        <w:t>统计。</w:t>
      </w:r>
    </w:p>
    <w:p>
      <w:pPr>
        <w:rPr>
          <w:rFonts w:ascii="宋体" w:hAnsi="宋体"/>
          <w:color w:val="000000" w:themeColor="text1"/>
          <w:szCs w:val="21"/>
          <w:highlight w:val="none"/>
          <w:lang w:val="zh-CN"/>
        </w:rPr>
      </w:pPr>
    </w:p>
    <w:p>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29929"/>
      <w:r>
        <w:rPr>
          <w:rFonts w:hint="eastAsia" w:ascii="宋体" w:hAnsi="宋体" w:eastAsia="宋体"/>
          <w:color w:val="000000" w:themeColor="text1"/>
          <w:kern w:val="0"/>
          <w:sz w:val="21"/>
          <w:szCs w:val="21"/>
          <w:highlight w:val="none"/>
        </w:rPr>
        <w:t>第三部分 报价须知</w:t>
      </w:r>
      <w:bookmarkEnd w:id="75"/>
    </w:p>
    <w:p>
      <w:pPr>
        <w:pStyle w:val="5"/>
        <w:numPr>
          <w:ilvl w:val="1"/>
          <w:numId w:val="0"/>
        </w:numPr>
        <w:spacing w:line="360" w:lineRule="auto"/>
        <w:jc w:val="center"/>
        <w:rPr>
          <w:rFonts w:ascii="宋体" w:hAnsi="宋体" w:eastAsia="宋体"/>
          <w:color w:val="000000" w:themeColor="text1"/>
          <w:sz w:val="21"/>
          <w:szCs w:val="21"/>
          <w:highlight w:val="none"/>
        </w:rPr>
      </w:pPr>
      <w:bookmarkStart w:id="76" w:name="_Toc26876"/>
      <w:bookmarkStart w:id="77" w:name="_Toc434832495"/>
      <w:r>
        <w:rPr>
          <w:rFonts w:hint="eastAsia" w:ascii="宋体" w:hAnsi="宋体" w:eastAsia="宋体"/>
          <w:color w:val="000000" w:themeColor="text1"/>
          <w:sz w:val="21"/>
          <w:szCs w:val="21"/>
          <w:highlight w:val="none"/>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ind w:left="26" w:firstLine="0"/>
              <w:rPr>
                <w:bCs/>
                <w:color w:val="000000" w:themeColor="text1"/>
                <w:highlight w:val="none"/>
              </w:rPr>
            </w:pPr>
            <w:r>
              <w:rPr>
                <w:rFonts w:hint="eastAsia"/>
                <w:b/>
                <w:color w:val="000000" w:themeColor="text1"/>
                <w:szCs w:val="21"/>
                <w:highlight w:val="none"/>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147"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rPr>
          <w:color w:val="000000" w:themeColor="text1"/>
          <w:highlight w:val="none"/>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rPr>
      </w:pPr>
      <w:bookmarkStart w:id="78" w:name="_Toc367780303"/>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br w:type="page"/>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Ａ  说  明</w:t>
      </w:r>
      <w:bookmarkEnd w:id="78"/>
    </w:p>
    <w:p>
      <w:pPr>
        <w:pStyle w:val="6"/>
        <w:spacing w:line="360" w:lineRule="auto"/>
        <w:rPr>
          <w:rFonts w:ascii="宋体" w:hAnsi="宋体"/>
          <w:color w:val="000000" w:themeColor="text1"/>
          <w:sz w:val="21"/>
          <w:szCs w:val="21"/>
          <w:highlight w:val="none"/>
        </w:rPr>
      </w:pPr>
      <w:bookmarkStart w:id="79" w:name="_Toc367780304"/>
      <w:bookmarkStart w:id="80" w:name="_Toc3709"/>
      <w:r>
        <w:rPr>
          <w:rFonts w:ascii="宋体" w:hAnsi="宋体"/>
          <w:color w:val="000000" w:themeColor="text1"/>
          <w:sz w:val="21"/>
          <w:szCs w:val="21"/>
          <w:highlight w:val="none"/>
        </w:rPr>
        <w:t>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本谈判文件仅适用于本次竞争性谈判邀请函中所叙述的</w:t>
      </w:r>
      <w:r>
        <w:rPr>
          <w:rFonts w:hint="eastAsia" w:ascii="宋体" w:hAnsi="宋体"/>
          <w:color w:val="000000" w:themeColor="text1"/>
          <w:szCs w:val="21"/>
          <w:highlight w:val="none"/>
          <w:lang w:eastAsia="zh-CN"/>
        </w:rPr>
        <w:t>实时客户服务及智能通知项目</w:t>
      </w:r>
      <w:r>
        <w:rPr>
          <w:rFonts w:hint="eastAsia" w:ascii="宋体" w:hAnsi="宋体"/>
          <w:bCs/>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本谈判文件有关条款由</w:t>
      </w:r>
      <w:r>
        <w:rPr>
          <w:rFonts w:hint="eastAsia" w:ascii="宋体" w:hAnsi="宋体" w:cs="Tahoma"/>
          <w:color w:val="000000" w:themeColor="text1"/>
          <w:szCs w:val="21"/>
          <w:highlight w:val="none"/>
        </w:rPr>
        <w:t>代理采购机构</w:t>
      </w:r>
      <w:r>
        <w:rPr>
          <w:rFonts w:hint="eastAsia" w:ascii="宋体" w:hAnsi="宋体"/>
          <w:bCs/>
          <w:color w:val="000000" w:themeColor="text1"/>
          <w:szCs w:val="21"/>
          <w:highlight w:val="none"/>
        </w:rPr>
        <w:t>负责解释。</w:t>
      </w:r>
    </w:p>
    <w:p>
      <w:pPr>
        <w:pStyle w:val="6"/>
        <w:spacing w:line="360" w:lineRule="auto"/>
        <w:rPr>
          <w:rFonts w:ascii="宋体" w:hAnsi="宋体"/>
          <w:color w:val="000000" w:themeColor="text1"/>
          <w:sz w:val="21"/>
          <w:szCs w:val="21"/>
          <w:highlight w:val="none"/>
        </w:rPr>
      </w:pPr>
      <w:bookmarkStart w:id="81" w:name="_Toc15552"/>
      <w:bookmarkStart w:id="82" w:name="_Toc367780305"/>
      <w:r>
        <w:rPr>
          <w:rFonts w:ascii="宋体" w:hAnsi="宋体"/>
          <w:color w:val="000000" w:themeColor="text1"/>
          <w:sz w:val="21"/>
          <w:szCs w:val="21"/>
          <w:highlight w:val="none"/>
        </w:rPr>
        <w:t>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定义</w:t>
      </w:r>
      <w:bookmarkEnd w:id="81"/>
      <w:bookmarkEnd w:id="82"/>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“代理采购机构”系指</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“供应商”系指符合谈判文件合格供应商资格要求，并按谈判文件规定提交谈判响应文件的供应商。</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“采购人”系指</w:t>
      </w:r>
      <w:r>
        <w:rPr>
          <w:rFonts w:hint="eastAsia" w:ascii="宋体" w:hAnsi="宋体"/>
          <w:bCs/>
          <w:color w:val="000000" w:themeColor="text1"/>
          <w:szCs w:val="21"/>
          <w:highlight w:val="none"/>
          <w:lang w:eastAsia="zh-CN"/>
        </w:rPr>
        <w:t>深圳市俏悦科技有限公司</w:t>
      </w:r>
      <w:r>
        <w:rPr>
          <w:rFonts w:hint="eastAsia" w:ascii="宋体" w:hAnsi="宋体"/>
          <w:bCs/>
          <w:color w:val="000000" w:themeColor="text1"/>
          <w:szCs w:val="21"/>
          <w:highlight w:val="none"/>
        </w:rPr>
        <w:t>，即项目采购用户方。</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货物</w:t>
      </w:r>
      <w:r>
        <w:rPr>
          <w:rFonts w:ascii="宋体" w:hAnsi="宋体"/>
          <w:bCs/>
          <w:color w:val="000000" w:themeColor="text1"/>
          <w:szCs w:val="21"/>
          <w:highlight w:val="none"/>
        </w:rPr>
        <w:t>”</w:t>
      </w:r>
      <w:r>
        <w:rPr>
          <w:rFonts w:hint="eastAsia" w:ascii="宋体" w:hAnsi="宋体"/>
          <w:bCs/>
          <w:color w:val="000000" w:themeColor="text1"/>
          <w:szCs w:val="21"/>
          <w:highlight w:val="none"/>
        </w:rPr>
        <w:t>系指投标供应商根据谈判文件规定，须向采购人提供的货物、材料、备品备件、工具、使用手册及有关技术资料等。</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“天”是指日历天。</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“工作日”系指国家规定除法定节假日以外的以日</w:t>
      </w:r>
      <w:r>
        <w:rPr>
          <w:rFonts w:ascii="宋体" w:hAnsi="宋体"/>
          <w:bCs/>
          <w:color w:val="000000" w:themeColor="text1"/>
          <w:szCs w:val="21"/>
          <w:highlight w:val="none"/>
        </w:rPr>
        <w:t>为计算单位的工作时间</w:t>
      </w:r>
      <w:r>
        <w:rPr>
          <w:rFonts w:hint="eastAsia" w:ascii="宋体" w:hAnsi="宋体"/>
          <w:bCs/>
          <w:color w:val="000000" w:themeColor="text1"/>
          <w:szCs w:val="21"/>
          <w:highlight w:val="none"/>
        </w:rPr>
        <w:t>。</w:t>
      </w:r>
    </w:p>
    <w:p>
      <w:pPr>
        <w:pStyle w:val="6"/>
        <w:spacing w:line="360" w:lineRule="auto"/>
        <w:rPr>
          <w:rFonts w:ascii="宋体" w:hAnsi="宋体"/>
          <w:color w:val="000000" w:themeColor="text1"/>
          <w:sz w:val="21"/>
          <w:szCs w:val="21"/>
          <w:highlight w:val="none"/>
        </w:rPr>
      </w:pPr>
      <w:bookmarkStart w:id="83" w:name="_Toc10706"/>
      <w:bookmarkStart w:id="84" w:name="_Toc367780306"/>
      <w:r>
        <w:rPr>
          <w:rFonts w:ascii="宋体" w:hAnsi="宋体"/>
          <w:color w:val="000000" w:themeColor="text1"/>
          <w:sz w:val="21"/>
          <w:szCs w:val="21"/>
          <w:highlight w:val="none"/>
        </w:rPr>
        <w:t>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3.2</w:t>
      </w:r>
      <w:r>
        <w:rPr>
          <w:rFonts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3.6    </w:t>
      </w:r>
      <w:r>
        <w:rPr>
          <w:rFonts w:ascii="宋体" w:hAnsi="宋体"/>
          <w:bCs/>
          <w:color w:val="000000" w:themeColor="text1"/>
          <w:szCs w:val="21"/>
          <w:highlight w:val="none"/>
        </w:rPr>
        <w:t>专门面向中小微企业采购的项目，只能由中小企业或微型企业参加。</w:t>
      </w:r>
    </w:p>
    <w:p>
      <w:pPr>
        <w:pStyle w:val="6"/>
        <w:spacing w:line="360" w:lineRule="auto"/>
        <w:rPr>
          <w:rFonts w:ascii="宋体" w:hAnsi="宋体"/>
          <w:color w:val="000000" w:themeColor="text1"/>
          <w:sz w:val="21"/>
          <w:szCs w:val="21"/>
          <w:highlight w:val="none"/>
        </w:rPr>
      </w:pPr>
      <w:bookmarkStart w:id="85" w:name="_Toc15997"/>
      <w:bookmarkStart w:id="86" w:name="_Toc367780307"/>
      <w:r>
        <w:rPr>
          <w:rFonts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87" w:name="_Toc367780308"/>
      <w:bookmarkStart w:id="88" w:name="_Toc25224"/>
      <w:r>
        <w:rPr>
          <w:rFonts w:hint="eastAsia" w:ascii="宋体" w:hAnsi="宋体" w:eastAsia="宋体"/>
          <w:color w:val="000000" w:themeColor="text1"/>
          <w:sz w:val="21"/>
          <w:szCs w:val="21"/>
          <w:highlight w:val="none"/>
        </w:rPr>
        <w:t>Ｂ谈判文件说明</w:t>
      </w:r>
      <w:bookmarkEnd w:id="87"/>
      <w:bookmarkEnd w:id="88"/>
    </w:p>
    <w:p>
      <w:pPr>
        <w:pStyle w:val="6"/>
        <w:spacing w:line="360" w:lineRule="auto"/>
        <w:rPr>
          <w:rFonts w:ascii="宋体" w:hAnsi="宋体"/>
          <w:color w:val="000000" w:themeColor="text1"/>
          <w:sz w:val="21"/>
          <w:szCs w:val="21"/>
          <w:highlight w:val="none"/>
        </w:rPr>
      </w:pPr>
      <w:bookmarkStart w:id="89" w:name="_Toc367780309"/>
      <w:bookmarkStart w:id="90" w:name="_Toc12086"/>
      <w:r>
        <w:rPr>
          <w:rFonts w:ascii="宋体" w:hAnsi="宋体"/>
          <w:color w:val="000000" w:themeColor="text1"/>
          <w:sz w:val="21"/>
          <w:szCs w:val="21"/>
          <w:highlight w:val="none"/>
        </w:rPr>
        <w:t>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5.2</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谈判文件以中文编印。</w:t>
      </w:r>
    </w:p>
    <w:p>
      <w:pPr>
        <w:pStyle w:val="6"/>
        <w:spacing w:line="360" w:lineRule="auto"/>
        <w:rPr>
          <w:rFonts w:ascii="宋体" w:hAnsi="宋体"/>
          <w:color w:val="000000" w:themeColor="text1"/>
          <w:sz w:val="21"/>
          <w:szCs w:val="21"/>
          <w:highlight w:val="none"/>
        </w:rPr>
      </w:pPr>
      <w:bookmarkStart w:id="91" w:name="_Toc367780310"/>
      <w:bookmarkStart w:id="92" w:name="_Toc16878"/>
      <w:r>
        <w:rPr>
          <w:rFonts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6.1</w:t>
      </w:r>
      <w:r>
        <w:rPr>
          <w:rFonts w:ascii="宋体" w:hAnsi="宋体"/>
          <w:bCs/>
          <w:color w:val="000000" w:themeColor="text1"/>
          <w:szCs w:val="21"/>
          <w:highlight w:val="none"/>
        </w:rPr>
        <w:tab/>
      </w:r>
      <w:r>
        <w:rPr>
          <w:rFonts w:hint="eastAsia" w:ascii="宋体" w:hAnsi="宋体"/>
          <w:bCs/>
          <w:color w:val="000000" w:themeColor="text1"/>
          <w:szCs w:val="21"/>
          <w:highlight w:val="none"/>
        </w:rPr>
        <w:t>澄清是指代理采购机构对谈判文件中的遗漏、词义表述不清或对比较复杂的事项进行说明，回答供应商提出的各种问题。</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代理采购机构对澄清要求的书面答复是谈判文件的组成部分。</w:t>
      </w:r>
    </w:p>
    <w:p>
      <w:pPr>
        <w:pStyle w:val="6"/>
        <w:spacing w:line="360" w:lineRule="auto"/>
        <w:rPr>
          <w:rFonts w:ascii="宋体" w:hAnsi="宋体"/>
          <w:color w:val="000000" w:themeColor="text1"/>
          <w:sz w:val="21"/>
          <w:szCs w:val="21"/>
          <w:highlight w:val="none"/>
        </w:rPr>
      </w:pPr>
      <w:bookmarkStart w:id="93" w:name="_Toc30189"/>
      <w:bookmarkStart w:id="94" w:name="_Toc367780311"/>
      <w:r>
        <w:rPr>
          <w:rFonts w:ascii="宋体" w:hAnsi="宋体"/>
          <w:color w:val="000000" w:themeColor="text1"/>
          <w:sz w:val="21"/>
          <w:szCs w:val="21"/>
          <w:highlight w:val="none"/>
        </w:rPr>
        <w:t>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7.1</w:t>
      </w:r>
      <w:r>
        <w:rPr>
          <w:rFonts w:ascii="宋体" w:hAnsi="宋体"/>
          <w:bCs/>
          <w:color w:val="000000" w:themeColor="text1"/>
          <w:szCs w:val="21"/>
          <w:highlight w:val="none"/>
        </w:rPr>
        <w:tab/>
      </w:r>
      <w:r>
        <w:rPr>
          <w:rFonts w:hint="eastAsia" w:ascii="宋体" w:hAnsi="宋体"/>
          <w:bCs/>
          <w:color w:val="000000" w:themeColor="text1"/>
          <w:szCs w:val="21"/>
          <w:highlight w:val="none"/>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7.2</w:t>
      </w:r>
      <w:r>
        <w:rPr>
          <w:rFonts w:ascii="宋体" w:hAnsi="宋体"/>
          <w:bCs/>
          <w:color w:val="000000" w:themeColor="text1"/>
          <w:szCs w:val="21"/>
          <w:highlight w:val="none"/>
        </w:rPr>
        <w:tab/>
      </w:r>
      <w:r>
        <w:rPr>
          <w:rFonts w:hint="eastAsia" w:ascii="宋体" w:hAnsi="宋体"/>
          <w:bCs/>
          <w:color w:val="000000" w:themeColor="text1"/>
          <w:szCs w:val="21"/>
          <w:highlight w:val="none"/>
        </w:rPr>
        <w:t>为使供应商在准备谈判文件时有合理的时间考虑谈判文件的修改，代理采购机构可酌情推迟谈判时间，并以书面形式通知已购买谈判文件的每一供应商。</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谈判文件的修改书将构成谈判文件的一部分，对供应商有约束力。</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95" w:name="_Toc21034"/>
      <w:bookmarkStart w:id="96" w:name="_Toc367780312"/>
      <w:r>
        <w:rPr>
          <w:rFonts w:hint="eastAsia" w:ascii="宋体" w:hAnsi="宋体" w:eastAsia="宋体"/>
          <w:color w:val="000000" w:themeColor="text1"/>
          <w:sz w:val="21"/>
          <w:szCs w:val="21"/>
          <w:highlight w:val="none"/>
        </w:rPr>
        <w:t>Ｃ谈判文件的编制</w:t>
      </w:r>
      <w:bookmarkEnd w:id="95"/>
      <w:bookmarkEnd w:id="96"/>
    </w:p>
    <w:p>
      <w:pPr>
        <w:pStyle w:val="6"/>
        <w:spacing w:line="360" w:lineRule="auto"/>
        <w:rPr>
          <w:rFonts w:ascii="宋体" w:hAnsi="宋体"/>
          <w:color w:val="000000" w:themeColor="text1"/>
          <w:sz w:val="21"/>
          <w:szCs w:val="21"/>
          <w:highlight w:val="none"/>
        </w:rPr>
      </w:pPr>
      <w:bookmarkStart w:id="97" w:name="_Toc367780313"/>
      <w:bookmarkStart w:id="98" w:name="_Toc24246"/>
      <w:r>
        <w:rPr>
          <w:rFonts w:hint="eastAsia" w:ascii="宋体" w:hAnsi="宋体"/>
          <w:color w:val="000000" w:themeColor="text1"/>
          <w:sz w:val="21"/>
          <w:szCs w:val="21"/>
          <w:highlight w:val="none"/>
        </w:rPr>
        <w:t>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8.1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供应商应仔细阅读谈判文件的所有内容，按谈判文件的要求编制谈判文件，并保证所提供的全部资料的真实性，以使其投标对谈判文件提出的要求和条件做出实质性响应，否则，其投标将被拒绝。</w:t>
      </w:r>
    </w:p>
    <w:p>
      <w:pPr>
        <w:pStyle w:val="6"/>
        <w:spacing w:line="360" w:lineRule="auto"/>
        <w:rPr>
          <w:rFonts w:ascii="宋体" w:hAnsi="宋体"/>
          <w:color w:val="000000" w:themeColor="text1"/>
          <w:sz w:val="21"/>
          <w:szCs w:val="21"/>
          <w:highlight w:val="none"/>
        </w:rPr>
      </w:pPr>
      <w:bookmarkStart w:id="99" w:name="_Toc30586"/>
      <w:bookmarkStart w:id="100" w:name="_Toc367780314"/>
      <w:r>
        <w:rPr>
          <w:rFonts w:ascii="宋体" w:hAnsi="宋体"/>
          <w:color w:val="000000" w:themeColor="text1"/>
          <w:sz w:val="21"/>
          <w:szCs w:val="21"/>
          <w:highlight w:val="none"/>
        </w:rPr>
        <w:t>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9.2</w:t>
      </w:r>
      <w:r>
        <w:rPr>
          <w:rFonts w:ascii="宋体" w:hAnsi="宋体"/>
          <w:bCs/>
          <w:color w:val="000000" w:themeColor="text1"/>
          <w:szCs w:val="21"/>
          <w:highlight w:val="none"/>
        </w:rPr>
        <w:tab/>
      </w:r>
      <w:r>
        <w:rPr>
          <w:rFonts w:hint="eastAsia" w:ascii="宋体" w:hAnsi="宋体"/>
          <w:bCs/>
          <w:color w:val="000000" w:themeColor="text1"/>
          <w:szCs w:val="21"/>
          <w:highlight w:val="none"/>
        </w:rPr>
        <w:t>除在谈判文件的技术规格中另有规定外，计量单位应使用中华人民共和国法定计量单位（国际单位制和国家选定的其他计量单位）。</w:t>
      </w:r>
    </w:p>
    <w:p>
      <w:pPr>
        <w:pStyle w:val="6"/>
        <w:spacing w:line="360" w:lineRule="auto"/>
        <w:rPr>
          <w:rFonts w:ascii="宋体" w:hAnsi="宋体"/>
          <w:color w:val="000000" w:themeColor="text1"/>
          <w:sz w:val="21"/>
          <w:szCs w:val="21"/>
          <w:highlight w:val="none"/>
        </w:rPr>
      </w:pPr>
      <w:bookmarkStart w:id="101" w:name="_Toc367780315"/>
      <w:bookmarkStart w:id="102" w:name="_Toc19303"/>
      <w:r>
        <w:rPr>
          <w:rFonts w:ascii="宋体" w:hAnsi="宋体"/>
          <w:color w:val="000000" w:themeColor="text1"/>
          <w:sz w:val="21"/>
          <w:szCs w:val="21"/>
          <w:highlight w:val="none"/>
        </w:rPr>
        <w:t>10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10.1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谈判文件包括：</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资格审查文件（含附件）</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rPr>
      </w:pPr>
      <w:r>
        <w:rPr>
          <w:rFonts w:hint="eastAsia" w:ascii="宋体" w:hAnsi="宋体"/>
          <w:bCs/>
          <w:color w:val="000000" w:themeColor="text1"/>
          <w:szCs w:val="21"/>
          <w:highlight w:val="none"/>
        </w:rPr>
        <w:t>上述文件及表格为供应商必须提交的文件，各供应商可以根据实际情况增加内容，但不得擅自减少有关内容。</w:t>
      </w:r>
    </w:p>
    <w:p>
      <w:pPr>
        <w:pStyle w:val="6"/>
        <w:spacing w:line="360" w:lineRule="auto"/>
        <w:rPr>
          <w:rFonts w:ascii="宋体" w:hAnsi="宋体"/>
          <w:color w:val="000000" w:themeColor="text1"/>
          <w:sz w:val="21"/>
          <w:szCs w:val="21"/>
          <w:highlight w:val="none"/>
        </w:rPr>
      </w:pPr>
      <w:bookmarkStart w:id="103" w:name="_Toc10404"/>
      <w:bookmarkStart w:id="104" w:name="_Toc367780316"/>
      <w:r>
        <w:rPr>
          <w:rFonts w:ascii="宋体" w:hAnsi="宋体"/>
          <w:color w:val="000000" w:themeColor="text1"/>
          <w:sz w:val="21"/>
          <w:szCs w:val="21"/>
          <w:highlight w:val="none"/>
        </w:rPr>
        <w:t>11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11.1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11.2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供应商应完整地填写谈判文件提供的各种表格，若谈判为工程类或服务类项目的，谈判响应文件中涉及货物的技术参数等可不填写。</w:t>
      </w:r>
    </w:p>
    <w:p>
      <w:pPr>
        <w:pStyle w:val="6"/>
        <w:spacing w:line="360" w:lineRule="auto"/>
        <w:rPr>
          <w:rFonts w:ascii="宋体" w:hAnsi="宋体"/>
          <w:color w:val="000000" w:themeColor="text1"/>
          <w:sz w:val="21"/>
          <w:szCs w:val="21"/>
          <w:highlight w:val="none"/>
        </w:rPr>
      </w:pPr>
      <w:bookmarkStart w:id="105" w:name="_Toc367780317"/>
      <w:bookmarkStart w:id="106" w:name="_Toc10959"/>
      <w:r>
        <w:rPr>
          <w:rFonts w:hint="eastAsia" w:ascii="宋体" w:hAnsi="宋体"/>
          <w:color w:val="000000" w:themeColor="text1"/>
          <w:sz w:val="21"/>
          <w:szCs w:val="21"/>
          <w:highlight w:val="none"/>
        </w:rPr>
        <w:t>12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12.1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供应商应当提供的资格证明文件包括:</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12.2   供应商提交的资格证明文件应能够证明其有资格参加谈判，并说明被确定为成交供应商后的合同履行能力：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1)供应商满足谈判文件商务要求中列出的资格要求；</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2)供应商已具备履行合同所需的财务、技术和服务能力；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3)供应商有能力按谈判文件中合同条款和技术要求所规定履行的由卖方应履行的义务。</w:t>
      </w:r>
    </w:p>
    <w:p>
      <w:pPr>
        <w:numPr>
          <w:ilvl w:val="1"/>
          <w:numId w:val="12"/>
        </w:numPr>
        <w:adjustRightInd w:val="0"/>
        <w:snapToGrid w:val="0"/>
        <w:spacing w:line="360" w:lineRule="auto"/>
        <w:ind w:left="709" w:hanging="709"/>
        <w:rPr>
          <w:rFonts w:ascii="宋体" w:hAnsi="宋体"/>
          <w:bCs/>
          <w:color w:val="000000" w:themeColor="text1"/>
          <w:szCs w:val="21"/>
          <w:highlight w:val="none"/>
        </w:rPr>
      </w:pPr>
      <w:r>
        <w:rPr>
          <w:rFonts w:hint="eastAsia" w:ascii="宋体" w:hAnsi="宋体"/>
          <w:bCs/>
          <w:color w:val="000000" w:themeColor="text1"/>
          <w:szCs w:val="21"/>
          <w:highlight w:val="none"/>
        </w:rPr>
        <w:t>供应商提交的资格证明文件不齐全，由此造成的谈判被拒绝的后果由供应商自负。</w:t>
      </w:r>
    </w:p>
    <w:p>
      <w:pPr>
        <w:numPr>
          <w:ilvl w:val="1"/>
          <w:numId w:val="12"/>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采购机构仍可追究供应商的法律责任。</w:t>
      </w:r>
    </w:p>
    <w:p>
      <w:pPr>
        <w:numPr>
          <w:ilvl w:val="1"/>
          <w:numId w:val="12"/>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就成交项目向采购人承担共同责任。</w:t>
      </w:r>
    </w:p>
    <w:p>
      <w:pPr>
        <w:pStyle w:val="6"/>
        <w:spacing w:line="360" w:lineRule="auto"/>
        <w:rPr>
          <w:rFonts w:ascii="宋体" w:hAnsi="宋体"/>
          <w:color w:val="000000" w:themeColor="text1"/>
          <w:sz w:val="21"/>
          <w:szCs w:val="21"/>
          <w:highlight w:val="none"/>
        </w:rPr>
      </w:pPr>
      <w:bookmarkStart w:id="107" w:name="_Toc367780318"/>
      <w:bookmarkStart w:id="108" w:name="_Toc10198"/>
      <w:r>
        <w:rPr>
          <w:rFonts w:hint="eastAsia" w:ascii="宋体" w:hAnsi="宋体"/>
          <w:color w:val="000000" w:themeColor="text1"/>
          <w:sz w:val="21"/>
          <w:szCs w:val="21"/>
          <w:highlight w:val="none"/>
        </w:rPr>
        <w:t>13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供应商提交的货物和服务的证明审核通过后，将成为谈判的重要依据。如供应商提交的证明文件不齐全、不真实、不合法，其将承担被拒绝参加谈判的风险。</w:t>
      </w:r>
    </w:p>
    <w:p>
      <w:pPr>
        <w:pStyle w:val="6"/>
        <w:spacing w:line="360" w:lineRule="auto"/>
        <w:rPr>
          <w:rFonts w:ascii="宋体" w:hAnsi="宋体"/>
          <w:color w:val="000000" w:themeColor="text1"/>
          <w:sz w:val="21"/>
          <w:szCs w:val="21"/>
          <w:highlight w:val="none"/>
        </w:rPr>
      </w:pPr>
      <w:bookmarkStart w:id="109" w:name="_Toc29337"/>
      <w:bookmarkStart w:id="110" w:name="_Toc367780319"/>
      <w:r>
        <w:rPr>
          <w:rFonts w:ascii="宋体" w:hAnsi="宋体"/>
          <w:color w:val="000000" w:themeColor="text1"/>
          <w:sz w:val="21"/>
          <w:szCs w:val="21"/>
          <w:highlight w:val="none"/>
        </w:rPr>
        <w:t>14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14.1</w:t>
      </w:r>
      <w:r>
        <w:rPr>
          <w:rFonts w:hint="eastAsia" w:ascii="宋体" w:hAnsi="宋体"/>
          <w:color w:val="000000" w:themeColor="text1"/>
          <w:szCs w:val="21"/>
          <w:highlight w:val="none"/>
        </w:rPr>
        <w:tab/>
      </w:r>
      <w:r>
        <w:rPr>
          <w:rFonts w:hint="eastAsia" w:ascii="宋体" w:hAnsi="宋体"/>
          <w:color w:val="000000" w:themeColor="text1"/>
          <w:szCs w:val="21"/>
          <w:highlight w:val="none"/>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14.2</w:t>
      </w:r>
      <w:r>
        <w:rPr>
          <w:rFonts w:hint="eastAsia" w:ascii="宋体" w:hAnsi="宋体"/>
          <w:color w:val="000000" w:themeColor="text1"/>
          <w:szCs w:val="21"/>
          <w:highlight w:val="none"/>
        </w:rPr>
        <w:tab/>
      </w:r>
      <w:r>
        <w:rPr>
          <w:rFonts w:hint="eastAsia" w:ascii="宋体" w:hAnsi="宋体"/>
          <w:bCs/>
          <w:color w:val="000000" w:themeColor="text1"/>
          <w:szCs w:val="21"/>
          <w:highlight w:val="none"/>
        </w:rPr>
        <w:t>供应商所报总价</w:t>
      </w:r>
      <w:r>
        <w:rPr>
          <w:rFonts w:hint="eastAsia" w:ascii="宋体" w:hAnsi="宋体"/>
          <w:color w:val="000000" w:themeColor="text1"/>
          <w:szCs w:val="21"/>
          <w:highlight w:val="none"/>
        </w:rPr>
        <w:t>应为包括</w:t>
      </w:r>
      <w:r>
        <w:rPr>
          <w:rFonts w:hint="eastAsia" w:ascii="宋体" w:hAnsi="宋体" w:cs="Tahoma"/>
          <w:bCs/>
          <w:color w:val="000000" w:themeColor="text1"/>
          <w:szCs w:val="21"/>
          <w:highlight w:val="none"/>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14.3</w:t>
      </w:r>
      <w:r>
        <w:rPr>
          <w:rFonts w:hint="eastAsia" w:ascii="宋体" w:hAnsi="宋体"/>
          <w:color w:val="000000" w:themeColor="text1"/>
          <w:szCs w:val="21"/>
          <w:highlight w:val="none"/>
        </w:rPr>
        <w:tab/>
      </w:r>
      <w:r>
        <w:rPr>
          <w:rFonts w:hint="eastAsia" w:ascii="宋体" w:hAnsi="宋体"/>
          <w:color w:val="000000" w:themeColor="text1"/>
          <w:szCs w:val="21"/>
          <w:highlight w:val="none"/>
        </w:rPr>
        <w:tab/>
      </w:r>
      <w:r>
        <w:rPr>
          <w:rFonts w:hint="eastAsia" w:ascii="宋体" w:hAnsi="宋体"/>
          <w:color w:val="000000" w:themeColor="text1"/>
          <w:szCs w:val="21"/>
          <w:highlight w:val="none"/>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color w:val="000000" w:themeColor="text1"/>
          <w:szCs w:val="21"/>
          <w:highlight w:val="none"/>
        </w:rPr>
        <w:t xml:space="preserve">14.4   </w:t>
      </w:r>
      <w:r>
        <w:rPr>
          <w:rFonts w:hint="eastAsia" w:ascii="宋体" w:hAnsi="宋体"/>
          <w:bCs/>
          <w:color w:val="000000" w:themeColor="text1"/>
          <w:szCs w:val="21"/>
          <w:highlight w:val="none"/>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14.5   供应商在谈判响应文件中如有任何遗漏，影响到谈判响应文件中规定的范围、质量、性能或限制了采购人的权利和供应商的义务，由此产生的费用由供应商负责。</w:t>
      </w:r>
    </w:p>
    <w:p>
      <w:pPr>
        <w:pStyle w:val="6"/>
        <w:spacing w:line="360" w:lineRule="auto"/>
        <w:rPr>
          <w:rFonts w:ascii="宋体" w:hAnsi="宋体"/>
          <w:color w:val="000000" w:themeColor="text1"/>
          <w:sz w:val="21"/>
          <w:szCs w:val="21"/>
          <w:highlight w:val="none"/>
        </w:rPr>
      </w:pPr>
      <w:bookmarkStart w:id="111" w:name="_Toc10108"/>
      <w:bookmarkStart w:id="112" w:name="_Toc367780320"/>
      <w:r>
        <w:rPr>
          <w:rFonts w:ascii="宋体" w:hAnsi="宋体"/>
          <w:color w:val="000000" w:themeColor="text1"/>
          <w:sz w:val="21"/>
          <w:szCs w:val="21"/>
          <w:highlight w:val="none"/>
        </w:rPr>
        <w:t>15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谈判保证金</w:t>
      </w:r>
      <w:bookmarkEnd w:id="111"/>
      <w:bookmarkEnd w:id="112"/>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谈判保证金为谈判响应文件的重要组成部分之一。</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投标供应商在投标时应按照谈判文件商务要求中规定的形式和金额提交投标保证金。</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4</w:t>
      </w:r>
      <w:r>
        <w:rPr>
          <w:rFonts w:ascii="宋体" w:hAnsi="宋体"/>
          <w:bCs/>
          <w:color w:val="000000" w:themeColor="text1"/>
          <w:szCs w:val="21"/>
          <w:highlight w:val="none"/>
        </w:rPr>
        <w:tab/>
      </w:r>
      <w:r>
        <w:rPr>
          <w:rFonts w:hint="eastAsia" w:ascii="宋体" w:hAnsi="宋体"/>
          <w:bCs/>
          <w:color w:val="000000" w:themeColor="text1"/>
          <w:szCs w:val="21"/>
          <w:highlight w:val="none"/>
        </w:rPr>
        <w:t>未成交的供应商的谈判保证金，采购代理机构</w:t>
      </w:r>
      <w:r>
        <w:rPr>
          <w:rFonts w:hint="eastAsia" w:ascii="宋体" w:hAnsi="宋体"/>
          <w:bCs/>
          <w:color w:val="000000" w:themeColor="text1"/>
          <w:highlight w:val="none"/>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5</w:t>
      </w:r>
      <w:r>
        <w:rPr>
          <w:rFonts w:ascii="宋体" w:hAnsi="宋体"/>
          <w:bCs/>
          <w:color w:val="000000" w:themeColor="text1"/>
          <w:szCs w:val="21"/>
          <w:highlight w:val="none"/>
        </w:rPr>
        <w:tab/>
      </w:r>
      <w:r>
        <w:rPr>
          <w:rFonts w:hint="eastAsia" w:ascii="宋体" w:hAnsi="宋体"/>
          <w:bCs/>
          <w:color w:val="000000" w:themeColor="text1"/>
          <w:szCs w:val="21"/>
          <w:highlight w:val="none"/>
        </w:rPr>
        <w:t>成交供应商的谈判保证金</w:t>
      </w:r>
      <w:r>
        <w:rPr>
          <w:rFonts w:ascii="宋体" w:hAnsi="宋体"/>
          <w:bCs/>
          <w:color w:val="000000" w:themeColor="text1"/>
          <w:szCs w:val="21"/>
          <w:highlight w:val="none"/>
        </w:rPr>
        <w:t>，</w:t>
      </w:r>
      <w:r>
        <w:rPr>
          <w:rFonts w:hint="eastAsia" w:ascii="宋体" w:hAnsi="宋体"/>
          <w:bCs/>
          <w:color w:val="000000" w:themeColor="text1"/>
          <w:szCs w:val="21"/>
          <w:highlight w:val="none"/>
        </w:rPr>
        <w:t>在签订合同，缴纳采购代理服务费后</w:t>
      </w:r>
      <w:r>
        <w:rPr>
          <w:rFonts w:hint="eastAsia" w:ascii="宋体" w:hAnsi="宋体"/>
          <w:bCs/>
          <w:color w:val="000000" w:themeColor="text1"/>
          <w:highlight w:val="none"/>
        </w:rPr>
        <w:t>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6</w:t>
      </w:r>
      <w:r>
        <w:rPr>
          <w:rFonts w:ascii="宋体" w:hAnsi="宋体"/>
          <w:bCs/>
          <w:color w:val="000000" w:themeColor="text1"/>
          <w:szCs w:val="21"/>
          <w:highlight w:val="none"/>
        </w:rPr>
        <w:tab/>
      </w:r>
      <w:r>
        <w:rPr>
          <w:rFonts w:hint="eastAsia" w:ascii="宋体" w:hAnsi="宋体"/>
          <w:bCs/>
          <w:color w:val="000000" w:themeColor="text1"/>
          <w:szCs w:val="21"/>
          <w:highlight w:val="none"/>
        </w:rPr>
        <w:t>谈判保证金用于保护本次谈判免遭因供应商的行为而蒙受的损失。发生以下情况之一，谈判保证金将被没收：</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1)供应商在谈判文件中规定的投标有效期内撤回其报价资料的；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2)成交供应商未能按谈判文件的有关规定交纳采购代理服务费的；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3)成交供应商未能按谈判文件的规定签订合同的；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4)成交供应商以他人名义参加谈判或者以其他方式弄虚作假，骗取成交的。</w:t>
      </w:r>
    </w:p>
    <w:p>
      <w:pPr>
        <w:pStyle w:val="6"/>
        <w:spacing w:line="360" w:lineRule="auto"/>
        <w:rPr>
          <w:rFonts w:ascii="宋体" w:hAnsi="宋体"/>
          <w:color w:val="000000" w:themeColor="text1"/>
          <w:sz w:val="21"/>
          <w:szCs w:val="21"/>
          <w:highlight w:val="none"/>
        </w:rPr>
      </w:pPr>
      <w:bookmarkStart w:id="113" w:name="_Toc367780321"/>
      <w:bookmarkStart w:id="114" w:name="_Toc31039"/>
      <w:r>
        <w:rPr>
          <w:rFonts w:ascii="宋体" w:hAnsi="宋体"/>
          <w:color w:val="000000" w:themeColor="text1"/>
          <w:sz w:val="21"/>
          <w:szCs w:val="21"/>
          <w:highlight w:val="none"/>
        </w:rPr>
        <w:t>16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6"/>
        <w:spacing w:line="360" w:lineRule="auto"/>
        <w:rPr>
          <w:rFonts w:ascii="宋体" w:hAnsi="宋体"/>
          <w:color w:val="000000" w:themeColor="text1"/>
          <w:sz w:val="21"/>
          <w:szCs w:val="21"/>
          <w:highlight w:val="none"/>
        </w:rPr>
      </w:pPr>
      <w:bookmarkStart w:id="115" w:name="_Toc25308"/>
      <w:bookmarkStart w:id="116" w:name="_Toc367780322"/>
      <w:r>
        <w:rPr>
          <w:rFonts w:ascii="宋体" w:hAnsi="宋体"/>
          <w:color w:val="000000" w:themeColor="text1"/>
          <w:sz w:val="21"/>
          <w:szCs w:val="21"/>
          <w:highlight w:val="none"/>
        </w:rPr>
        <w:t>17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hAnsi="宋体"/>
          <w:bCs/>
          <w:color w:val="000000" w:themeColor="text1"/>
          <w:szCs w:val="21"/>
          <w:highlight w:val="none"/>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17" w:name="_Toc367780323"/>
      <w:bookmarkStart w:id="118" w:name="_Toc14535"/>
      <w:r>
        <w:rPr>
          <w:rFonts w:hint="eastAsia" w:ascii="宋体" w:hAnsi="宋体" w:eastAsia="宋体"/>
          <w:color w:val="000000" w:themeColor="text1"/>
          <w:sz w:val="21"/>
          <w:szCs w:val="21"/>
          <w:highlight w:val="none"/>
        </w:rPr>
        <w:t>Ｄ谈判响应文件的递交</w:t>
      </w:r>
      <w:bookmarkEnd w:id="117"/>
      <w:bookmarkEnd w:id="118"/>
    </w:p>
    <w:p>
      <w:pPr>
        <w:pStyle w:val="6"/>
        <w:spacing w:line="360" w:lineRule="auto"/>
        <w:rPr>
          <w:rFonts w:ascii="宋体" w:hAnsi="宋体"/>
          <w:color w:val="000000" w:themeColor="text1"/>
          <w:sz w:val="21"/>
          <w:szCs w:val="21"/>
          <w:highlight w:val="none"/>
        </w:rPr>
      </w:pPr>
      <w:bookmarkStart w:id="119" w:name="_Toc12403"/>
      <w:bookmarkStart w:id="120" w:name="_Toc367780324"/>
      <w:r>
        <w:rPr>
          <w:rFonts w:ascii="宋体" w:hAnsi="宋体"/>
          <w:color w:val="000000" w:themeColor="text1"/>
          <w:sz w:val="21"/>
          <w:szCs w:val="21"/>
          <w:highlight w:val="none"/>
        </w:rPr>
        <w:t>18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color w:val="000000" w:themeColor="text1"/>
          <w:highlight w:val="none"/>
        </w:rPr>
        <w:tab/>
      </w:r>
      <w:r>
        <w:rPr>
          <w:rFonts w:hint="eastAsia" w:ascii="黑体" w:eastAsia="黑体"/>
          <w:bCs/>
          <w:color w:val="000000" w:themeColor="text1"/>
          <w:highlight w:val="none"/>
        </w:rPr>
        <w:t>详见第三部</w:t>
      </w:r>
      <w:r>
        <w:rPr>
          <w:rFonts w:hint="eastAsia" w:ascii="黑体" w:eastAsia="黑体"/>
          <w:bCs/>
          <w:color w:val="000000" w:themeColor="text1"/>
          <w:highlight w:val="none"/>
          <w:lang w:val="en-US" w:eastAsia="zh-CN"/>
        </w:rPr>
        <w:t>分</w:t>
      </w:r>
      <w:r>
        <w:rPr>
          <w:rFonts w:hint="eastAsia" w:ascii="黑体" w:eastAsia="黑体"/>
          <w:bCs/>
          <w:color w:val="000000" w:themeColor="text1"/>
          <w:highlight w:val="none"/>
        </w:rPr>
        <w:t>《报价须知〈投标人须知前附表〉》</w:t>
      </w:r>
      <w:r>
        <w:rPr>
          <w:rFonts w:hint="eastAsia" w:ascii="宋体" w:hAnsi="宋体"/>
          <w:color w:val="000000" w:themeColor="text1"/>
          <w:szCs w:val="21"/>
          <w:highlight w:val="none"/>
        </w:rPr>
        <w:t>。</w:t>
      </w:r>
    </w:p>
    <w:p>
      <w:pPr>
        <w:pStyle w:val="6"/>
        <w:spacing w:line="360" w:lineRule="auto"/>
        <w:rPr>
          <w:rFonts w:ascii="宋体" w:hAnsi="宋体"/>
          <w:color w:val="000000" w:themeColor="text1"/>
          <w:sz w:val="21"/>
          <w:szCs w:val="21"/>
          <w:highlight w:val="none"/>
        </w:rPr>
      </w:pPr>
      <w:bookmarkStart w:id="121" w:name="_Toc367780325"/>
      <w:bookmarkStart w:id="122" w:name="_Toc2068"/>
      <w:r>
        <w:rPr>
          <w:rFonts w:hint="eastAsia" w:ascii="宋体" w:hAnsi="宋体"/>
          <w:color w:val="000000" w:themeColor="text1"/>
          <w:sz w:val="21"/>
          <w:szCs w:val="21"/>
          <w:highlight w:val="none"/>
        </w:rPr>
        <w:t>19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代理采购机构于投标截止时间前30分钟开始接收谈判响应文件，并于谈判文件规定的谈判时间和谈判地点进行谈判。提前、逾期递交或递交不符合规定的谈判响应文件恕不接受。</w:t>
      </w:r>
    </w:p>
    <w:p>
      <w:pPr>
        <w:pStyle w:val="6"/>
        <w:spacing w:line="360" w:lineRule="auto"/>
        <w:rPr>
          <w:rFonts w:ascii="宋体" w:hAnsi="宋体"/>
          <w:color w:val="000000" w:themeColor="text1"/>
          <w:sz w:val="21"/>
          <w:szCs w:val="21"/>
          <w:highlight w:val="none"/>
        </w:rPr>
      </w:pPr>
      <w:bookmarkStart w:id="123" w:name="_Toc1136"/>
      <w:bookmarkStart w:id="124" w:name="_Toc367780326"/>
      <w:r>
        <w:rPr>
          <w:rFonts w:ascii="宋体" w:hAnsi="宋体"/>
          <w:color w:val="000000" w:themeColor="text1"/>
          <w:sz w:val="21"/>
          <w:szCs w:val="21"/>
          <w:highlight w:val="none"/>
        </w:rPr>
        <w:t>20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w:t>
      </w:r>
      <w:r>
        <w:rPr>
          <w:rFonts w:hint="eastAsia" w:ascii="宋体" w:hAnsi="宋体"/>
          <w:bCs/>
          <w:color w:val="000000" w:themeColor="text1"/>
          <w:szCs w:val="21"/>
          <w:highlight w:val="none"/>
        </w:rPr>
        <w:t>0</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代理采购机构将拒绝在谈判截止时间后送达的谈判响应文件。</w:t>
      </w:r>
    </w:p>
    <w:p>
      <w:pPr>
        <w:pStyle w:val="6"/>
        <w:spacing w:line="360" w:lineRule="auto"/>
        <w:rPr>
          <w:rFonts w:ascii="宋体" w:hAnsi="宋体"/>
          <w:color w:val="000000" w:themeColor="text1"/>
          <w:sz w:val="21"/>
          <w:szCs w:val="21"/>
          <w:highlight w:val="none"/>
        </w:rPr>
      </w:pPr>
      <w:bookmarkStart w:id="125" w:name="_Toc2066"/>
      <w:bookmarkStart w:id="126" w:name="_Toc367780327"/>
      <w:r>
        <w:rPr>
          <w:rFonts w:ascii="宋体" w:hAnsi="宋体"/>
          <w:color w:val="000000" w:themeColor="text1"/>
          <w:sz w:val="21"/>
          <w:szCs w:val="21"/>
          <w:highlight w:val="none"/>
        </w:rPr>
        <w:t>21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从谈判截止时间至谈判有效期期满之前，供应商不得撤回其报价资料，否则代理采购机构将按规定没收其谈判保证金。</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27" w:name="_Toc19384"/>
      <w:bookmarkStart w:id="128" w:name="_Toc367780328"/>
      <w:r>
        <w:rPr>
          <w:rFonts w:hint="eastAsia" w:ascii="宋体" w:hAnsi="宋体" w:eastAsia="宋体"/>
          <w:color w:val="000000" w:themeColor="text1"/>
          <w:sz w:val="21"/>
          <w:szCs w:val="21"/>
          <w:highlight w:val="none"/>
        </w:rPr>
        <w:t>Ｅ竞争性谈判采购程序</w:t>
      </w:r>
      <w:bookmarkEnd w:id="127"/>
      <w:bookmarkEnd w:id="128"/>
    </w:p>
    <w:p>
      <w:pPr>
        <w:pStyle w:val="6"/>
        <w:spacing w:line="360" w:lineRule="auto"/>
        <w:rPr>
          <w:rFonts w:ascii="宋体" w:hAnsi="宋体"/>
          <w:color w:val="000000" w:themeColor="text1"/>
          <w:sz w:val="21"/>
          <w:szCs w:val="21"/>
          <w:highlight w:val="none"/>
        </w:rPr>
      </w:pPr>
      <w:bookmarkStart w:id="129" w:name="_Toc11025"/>
      <w:bookmarkStart w:id="130" w:name="_Toc367780329"/>
      <w:r>
        <w:rPr>
          <w:rFonts w:ascii="宋体" w:hAnsi="宋体"/>
          <w:color w:val="000000" w:themeColor="text1"/>
          <w:sz w:val="21"/>
          <w:szCs w:val="21"/>
          <w:highlight w:val="none"/>
        </w:rPr>
        <w:t>22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22.1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22.2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竞争性谈判的第一次投报价格不作公开唱标。</w:t>
      </w:r>
    </w:p>
    <w:p>
      <w:pPr>
        <w:pStyle w:val="6"/>
        <w:spacing w:line="360" w:lineRule="auto"/>
        <w:rPr>
          <w:rFonts w:ascii="宋体" w:hAnsi="宋体"/>
          <w:color w:val="000000" w:themeColor="text1"/>
          <w:sz w:val="21"/>
          <w:szCs w:val="21"/>
          <w:highlight w:val="none"/>
        </w:rPr>
      </w:pPr>
      <w:bookmarkStart w:id="131" w:name="_Toc367780330"/>
      <w:bookmarkStart w:id="132" w:name="_Toc3160"/>
      <w:r>
        <w:rPr>
          <w:rFonts w:ascii="宋体" w:hAnsi="宋体"/>
          <w:color w:val="000000" w:themeColor="text1"/>
          <w:sz w:val="21"/>
          <w:szCs w:val="21"/>
          <w:highlight w:val="none"/>
        </w:rPr>
        <w:t>23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谈判由代理采购机构依法组建的谈判小组:</w:t>
      </w:r>
      <w:r>
        <w:rPr>
          <w:rFonts w:hint="eastAsia" w:ascii="黑体" w:eastAsia="黑体"/>
          <w:bCs/>
          <w:color w:val="000000" w:themeColor="text1"/>
          <w:highlight w:val="none"/>
        </w:rPr>
        <w:t>详见第三部</w:t>
      </w:r>
      <w:r>
        <w:rPr>
          <w:rFonts w:hint="eastAsia" w:ascii="黑体" w:eastAsia="黑体"/>
          <w:bCs/>
          <w:color w:val="000000" w:themeColor="text1"/>
          <w:highlight w:val="none"/>
          <w:lang w:val="en-US" w:eastAsia="zh-CN"/>
        </w:rPr>
        <w:t>分</w:t>
      </w:r>
      <w:r>
        <w:rPr>
          <w:rFonts w:hint="eastAsia" w:ascii="黑体" w:eastAsia="黑体"/>
          <w:bCs/>
          <w:color w:val="000000" w:themeColor="text1"/>
          <w:highlight w:val="none"/>
        </w:rPr>
        <w:t>《报价须知〈投标人须知前附表〉》</w:t>
      </w:r>
      <w:r>
        <w:rPr>
          <w:rFonts w:hint="eastAsia" w:ascii="宋体" w:hAnsi="宋体"/>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23.4</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6"/>
        <w:spacing w:line="360" w:lineRule="auto"/>
        <w:rPr>
          <w:rFonts w:ascii="宋体" w:hAnsi="宋体"/>
          <w:color w:val="000000" w:themeColor="text1"/>
          <w:sz w:val="21"/>
          <w:szCs w:val="21"/>
          <w:highlight w:val="none"/>
        </w:rPr>
      </w:pPr>
      <w:bookmarkStart w:id="133" w:name="_Toc12283"/>
      <w:bookmarkStart w:id="134" w:name="_Toc367780331"/>
      <w:r>
        <w:rPr>
          <w:rFonts w:ascii="宋体" w:hAnsi="宋体"/>
          <w:color w:val="000000" w:themeColor="text1"/>
          <w:sz w:val="21"/>
          <w:szCs w:val="21"/>
          <w:highlight w:val="none"/>
        </w:rPr>
        <w:t>2</w:t>
      </w: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在对谈判响应文件进行详细评审之前，谈判小组将依据谈判文件中规定的合格供应商应提交的“资格审查文件”文件是否通过符合性审查。如果确定供应商无资格履行合同，将拒绝其参加谈判。</w:t>
      </w:r>
    </w:p>
    <w:p>
      <w:pPr>
        <w:pStyle w:val="6"/>
        <w:spacing w:line="360" w:lineRule="auto"/>
        <w:rPr>
          <w:rFonts w:ascii="宋体" w:hAnsi="宋体"/>
          <w:color w:val="000000" w:themeColor="text1"/>
          <w:sz w:val="21"/>
          <w:szCs w:val="21"/>
          <w:highlight w:val="none"/>
        </w:rPr>
      </w:pPr>
      <w:bookmarkStart w:id="135" w:name="_Toc24155"/>
      <w:bookmarkStart w:id="136" w:name="_Toc367780332"/>
      <w:r>
        <w:rPr>
          <w:rFonts w:hint="eastAsia" w:ascii="宋体" w:hAnsi="宋体"/>
          <w:color w:val="000000" w:themeColor="text1"/>
          <w:sz w:val="21"/>
          <w:szCs w:val="21"/>
          <w:highlight w:val="none"/>
        </w:rPr>
        <w:t>25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25.1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6"/>
        <w:spacing w:line="360" w:lineRule="auto"/>
        <w:rPr>
          <w:rFonts w:ascii="宋体" w:hAnsi="宋体"/>
          <w:color w:val="000000" w:themeColor="text1"/>
          <w:sz w:val="21"/>
          <w:szCs w:val="21"/>
          <w:highlight w:val="none"/>
        </w:rPr>
      </w:pPr>
      <w:bookmarkStart w:id="137" w:name="_Toc367780333"/>
      <w:bookmarkStart w:id="138" w:name="_Toc30803"/>
      <w:r>
        <w:rPr>
          <w:rFonts w:ascii="宋体" w:hAnsi="宋体"/>
          <w:color w:val="000000" w:themeColor="text1"/>
          <w:sz w:val="21"/>
          <w:szCs w:val="21"/>
          <w:highlight w:val="none"/>
        </w:rPr>
        <w:t>2</w:t>
      </w:r>
      <w:r>
        <w:rPr>
          <w:rFonts w:hint="eastAsia"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26.2 </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color w:val="000000" w:themeColor="text1"/>
          <w:szCs w:val="21"/>
          <w:highlight w:val="none"/>
        </w:rPr>
        <w:t>26.3</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color w:val="000000" w:themeColor="text1"/>
          <w:highlight w:val="none"/>
        </w:rPr>
        <w:t>26.4</w:t>
      </w:r>
      <w:r>
        <w:rPr>
          <w:rFonts w:hint="eastAsia" w:hAnsi="宋体"/>
          <w:color w:val="000000" w:themeColor="text1"/>
          <w:highlight w:val="none"/>
        </w:rPr>
        <w:tab/>
      </w:r>
      <w:r>
        <w:rPr>
          <w:rFonts w:hint="eastAsia" w:hAnsi="宋体"/>
          <w:color w:val="000000" w:themeColor="text1"/>
          <w:highlight w:val="none"/>
        </w:rPr>
        <w:t>代理采购机构将在谈判时对供应商所作的解释和澄清作书面记录，并归档备查。</w:t>
      </w:r>
    </w:p>
    <w:p>
      <w:pPr>
        <w:pStyle w:val="6"/>
        <w:spacing w:line="360" w:lineRule="auto"/>
        <w:rPr>
          <w:rFonts w:ascii="宋体" w:hAnsi="宋体"/>
          <w:color w:val="000000" w:themeColor="text1"/>
          <w:sz w:val="21"/>
          <w:szCs w:val="21"/>
          <w:highlight w:val="none"/>
        </w:rPr>
      </w:pPr>
      <w:bookmarkStart w:id="139" w:name="_Toc367780334"/>
      <w:bookmarkStart w:id="140" w:name="_Toc10319"/>
      <w:r>
        <w:rPr>
          <w:rFonts w:ascii="宋体" w:hAnsi="宋体"/>
          <w:color w:val="000000" w:themeColor="text1"/>
          <w:sz w:val="21"/>
          <w:szCs w:val="21"/>
          <w:highlight w:val="none"/>
        </w:rPr>
        <w:t>27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实行科学评估、集体决策。</w:t>
      </w:r>
    </w:p>
    <w:p>
      <w:pPr>
        <w:pStyle w:val="6"/>
        <w:spacing w:line="360" w:lineRule="auto"/>
        <w:rPr>
          <w:rFonts w:ascii="宋体" w:hAnsi="宋体"/>
          <w:color w:val="000000" w:themeColor="text1"/>
          <w:sz w:val="21"/>
          <w:szCs w:val="21"/>
          <w:highlight w:val="none"/>
        </w:rPr>
      </w:pPr>
      <w:bookmarkStart w:id="141" w:name="_Toc367780335"/>
      <w:bookmarkStart w:id="142" w:name="_Toc5923"/>
      <w:r>
        <w:rPr>
          <w:rFonts w:ascii="宋体" w:hAnsi="宋体"/>
          <w:color w:val="000000" w:themeColor="text1"/>
          <w:sz w:val="21"/>
          <w:szCs w:val="21"/>
          <w:highlight w:val="none"/>
        </w:rPr>
        <w:t>28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28.1</w:t>
      </w:r>
      <w:r>
        <w:rPr>
          <w:rFonts w:hint="eastAsia" w:hAnsi="宋体"/>
          <w:bCs/>
          <w:color w:val="000000" w:themeColor="text1"/>
          <w:highlight w:val="none"/>
        </w:rPr>
        <w:tab/>
      </w:r>
      <w:r>
        <w:rPr>
          <w:rFonts w:hint="eastAsia" w:hAnsi="宋体"/>
          <w:color w:val="000000" w:themeColor="text1"/>
          <w:highlight w:val="none"/>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28.2</w:t>
      </w:r>
      <w:r>
        <w:rPr>
          <w:rFonts w:hint="eastAsia" w:hAnsi="宋体"/>
          <w:bCs/>
          <w:color w:val="000000" w:themeColor="text1"/>
          <w:highlight w:val="none"/>
        </w:rPr>
        <w:tab/>
      </w:r>
      <w:r>
        <w:rPr>
          <w:rFonts w:hint="eastAsia" w:hAnsi="宋体"/>
          <w:color w:val="000000" w:themeColor="text1"/>
          <w:highlight w:val="none"/>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 xml:space="preserve">28.3   </w:t>
      </w:r>
      <w:r>
        <w:rPr>
          <w:rFonts w:hint="eastAsia" w:hAnsi="宋体"/>
          <w:color w:val="000000" w:themeColor="text1"/>
          <w:highlight w:val="none"/>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6"/>
        <w:spacing w:line="360" w:lineRule="auto"/>
        <w:rPr>
          <w:rFonts w:ascii="宋体" w:hAnsi="宋体"/>
          <w:color w:val="000000" w:themeColor="text1"/>
          <w:sz w:val="21"/>
          <w:szCs w:val="21"/>
          <w:highlight w:val="none"/>
        </w:rPr>
      </w:pPr>
      <w:bookmarkStart w:id="143" w:name="_Toc367780336"/>
      <w:bookmarkStart w:id="144" w:name="_Toc9476"/>
      <w:r>
        <w:rPr>
          <w:rFonts w:hint="eastAsia" w:ascii="宋体" w:hAnsi="宋体"/>
          <w:color w:val="000000" w:themeColor="text1"/>
          <w:sz w:val="21"/>
          <w:szCs w:val="21"/>
          <w:highlight w:val="none"/>
        </w:rPr>
        <w:t>29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评审注意事项</w:t>
      </w:r>
      <w:bookmarkEnd w:id="143"/>
      <w:bookmarkEnd w:id="144"/>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29.1</w:t>
      </w:r>
      <w:r>
        <w:rPr>
          <w:rFonts w:hint="eastAsia" w:ascii="宋体" w:hAnsi="宋体"/>
          <w:color w:val="000000" w:themeColor="text1"/>
          <w:szCs w:val="21"/>
          <w:highlight w:val="none"/>
        </w:rPr>
        <w:tab/>
      </w:r>
      <w:r>
        <w:rPr>
          <w:rFonts w:hint="eastAsia" w:ascii="宋体" w:hAnsi="宋体"/>
          <w:color w:val="000000" w:themeColor="text1"/>
          <w:szCs w:val="21"/>
          <w:highlight w:val="none"/>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29.2</w:t>
      </w:r>
      <w:r>
        <w:rPr>
          <w:rFonts w:hint="eastAsia" w:ascii="宋体" w:hAnsi="宋体"/>
          <w:color w:val="000000" w:themeColor="text1"/>
          <w:szCs w:val="21"/>
          <w:highlight w:val="none"/>
        </w:rPr>
        <w:tab/>
      </w:r>
      <w:r>
        <w:rPr>
          <w:rFonts w:hint="eastAsia" w:ascii="宋体" w:hAnsi="宋体"/>
          <w:color w:val="000000" w:themeColor="text1"/>
          <w:szCs w:val="21"/>
          <w:highlight w:val="none"/>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29.3</w:t>
      </w:r>
      <w:r>
        <w:rPr>
          <w:rFonts w:hint="eastAsia" w:ascii="宋体" w:hAnsi="宋体"/>
          <w:color w:val="000000" w:themeColor="text1"/>
          <w:szCs w:val="21"/>
          <w:highlight w:val="none"/>
        </w:rPr>
        <w:tab/>
      </w:r>
      <w:r>
        <w:rPr>
          <w:rFonts w:hint="eastAsia" w:ascii="宋体" w:hAnsi="宋体"/>
          <w:color w:val="000000" w:themeColor="text1"/>
          <w:szCs w:val="21"/>
          <w:highlight w:val="none"/>
        </w:rPr>
        <w:t>为保证确定成交供应商的公正性，在评审过程中，谈判小组成员不得与供应商私下交换意见。在谈判工作结束后，凡与谈判情况有接触的任何人，不得也不应将评审情况扩散出谈判小组人员之外。</w:t>
      </w:r>
    </w:p>
    <w:p>
      <w:pPr>
        <w:pStyle w:val="6"/>
        <w:spacing w:line="360" w:lineRule="auto"/>
        <w:rPr>
          <w:rFonts w:ascii="宋体" w:hAnsi="宋体"/>
          <w:color w:val="000000" w:themeColor="text1"/>
          <w:sz w:val="21"/>
          <w:szCs w:val="21"/>
          <w:highlight w:val="none"/>
        </w:rPr>
      </w:pPr>
      <w:bookmarkStart w:id="145" w:name="_Toc10293"/>
      <w:bookmarkStart w:id="146" w:name="_Toc367780337"/>
      <w:r>
        <w:rPr>
          <w:rFonts w:hint="eastAsia" w:ascii="宋体" w:hAnsi="宋体"/>
          <w:color w:val="000000" w:themeColor="text1"/>
          <w:sz w:val="21"/>
          <w:szCs w:val="21"/>
          <w:highlight w:val="none"/>
        </w:rPr>
        <w:t>30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30.2   成交人确认后，成交结果将在指定媒体上公告：</w:t>
      </w:r>
      <w:r>
        <w:rPr>
          <w:rFonts w:hint="eastAsia" w:ascii="黑体" w:eastAsia="黑体"/>
          <w:bCs/>
          <w:color w:val="000000" w:themeColor="text1"/>
          <w:highlight w:val="none"/>
        </w:rPr>
        <w:t>详见第三部</w:t>
      </w:r>
      <w:r>
        <w:rPr>
          <w:rFonts w:hint="eastAsia" w:ascii="黑体" w:eastAsia="黑体"/>
          <w:bCs/>
          <w:color w:val="000000" w:themeColor="text1"/>
          <w:highlight w:val="none"/>
          <w:lang w:val="en-US" w:eastAsia="zh-CN"/>
        </w:rPr>
        <w:t>分</w:t>
      </w:r>
      <w:r>
        <w:rPr>
          <w:rFonts w:hint="eastAsia" w:ascii="黑体" w:eastAsia="黑体"/>
          <w:bCs/>
          <w:color w:val="000000" w:themeColor="text1"/>
          <w:highlight w:val="none"/>
        </w:rPr>
        <w:t>《报价须知〈投标人须知前附表〉》</w:t>
      </w:r>
      <w:r>
        <w:rPr>
          <w:rFonts w:hint="eastAsia" w:ascii="宋体" w:hAnsi="宋体"/>
          <w:color w:val="000000" w:themeColor="text1"/>
          <w:szCs w:val="21"/>
          <w:highlight w:val="none"/>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30.3   未成交供应商，</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不再以其它方式另行通知。</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30.4   成交通知书发出后，采购人改变成交结果，或者成交供应商放弃成交，应当承担相应的法律责任。</w:t>
      </w:r>
    </w:p>
    <w:p>
      <w:pPr>
        <w:pStyle w:val="6"/>
        <w:spacing w:line="360" w:lineRule="auto"/>
        <w:rPr>
          <w:rFonts w:ascii="宋体" w:hAnsi="宋体"/>
          <w:color w:val="000000" w:themeColor="text1"/>
          <w:sz w:val="21"/>
          <w:szCs w:val="21"/>
          <w:highlight w:val="none"/>
        </w:rPr>
      </w:pPr>
      <w:bookmarkStart w:id="147" w:name="_Toc9300"/>
      <w:bookmarkStart w:id="148" w:name="_Toc367780338"/>
      <w:r>
        <w:rPr>
          <w:rFonts w:hint="eastAsia" w:ascii="宋体" w:hAnsi="宋体"/>
          <w:color w:val="000000" w:themeColor="text1"/>
          <w:sz w:val="21"/>
          <w:szCs w:val="21"/>
          <w:highlight w:val="none"/>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31.5   投标供应商须对质疑或投诉内容的真实性承担责任。</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质疑函应当署名。质疑供应商为自然人的，应当由本人签字；质疑供应商为法人或其他组织的，应由法定代表人或者主要负责人签字并盖公章。</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49" w:name="_Toc367780339"/>
      <w:bookmarkStart w:id="150" w:name="_Toc14932"/>
      <w:r>
        <w:rPr>
          <w:rFonts w:hint="eastAsia" w:ascii="宋体" w:hAnsi="宋体" w:eastAsia="宋体"/>
          <w:color w:val="000000" w:themeColor="text1"/>
          <w:sz w:val="21"/>
          <w:szCs w:val="21"/>
          <w:highlight w:val="none"/>
        </w:rPr>
        <w:t>Ｆ  授予合同</w:t>
      </w:r>
      <w:bookmarkEnd w:id="149"/>
      <w:bookmarkEnd w:id="150"/>
    </w:p>
    <w:p>
      <w:pPr>
        <w:pStyle w:val="6"/>
        <w:spacing w:line="360" w:lineRule="auto"/>
        <w:rPr>
          <w:rFonts w:ascii="宋体" w:hAnsi="宋体"/>
          <w:color w:val="000000" w:themeColor="text1"/>
          <w:sz w:val="21"/>
          <w:szCs w:val="21"/>
          <w:highlight w:val="none"/>
        </w:rPr>
      </w:pPr>
      <w:bookmarkStart w:id="151" w:name="_Toc367780340"/>
      <w:bookmarkStart w:id="152" w:name="_Toc18149"/>
      <w:r>
        <w:rPr>
          <w:rFonts w:hint="eastAsia" w:ascii="宋体" w:hAnsi="宋体"/>
          <w:color w:val="000000" w:themeColor="text1"/>
          <w:sz w:val="21"/>
          <w:szCs w:val="21"/>
          <w:highlight w:val="none"/>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32</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谈判小组经评审认为所有供应商提供的货物或服务都不符合谈判文件要求的，或所有供应商的报价均超过了采购人的预算，且采购人不能支付的，有权否决所有报价资料。</w:t>
      </w:r>
    </w:p>
    <w:p>
      <w:pPr>
        <w:pStyle w:val="6"/>
        <w:spacing w:line="360" w:lineRule="auto"/>
        <w:rPr>
          <w:rFonts w:ascii="宋体" w:hAnsi="宋体"/>
          <w:color w:val="000000" w:themeColor="text1"/>
          <w:sz w:val="21"/>
          <w:szCs w:val="21"/>
          <w:highlight w:val="none"/>
        </w:rPr>
      </w:pPr>
      <w:bookmarkStart w:id="153" w:name="_Toc367780341"/>
      <w:bookmarkStart w:id="154" w:name="_Toc11376"/>
      <w:r>
        <w:rPr>
          <w:rFonts w:hint="eastAsia" w:ascii="宋体" w:hAnsi="宋体"/>
          <w:color w:val="000000" w:themeColor="text1"/>
          <w:sz w:val="21"/>
          <w:szCs w:val="21"/>
          <w:highlight w:val="none"/>
        </w:rPr>
        <w:t>33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3</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第32条规定之外，采购人将把合同授予此次谈判的成交供应商。</w:t>
      </w:r>
    </w:p>
    <w:p>
      <w:pPr>
        <w:pStyle w:val="6"/>
        <w:spacing w:line="360" w:lineRule="auto"/>
        <w:rPr>
          <w:rFonts w:ascii="宋体" w:hAnsi="宋体"/>
          <w:color w:val="000000" w:themeColor="text1"/>
          <w:sz w:val="21"/>
          <w:szCs w:val="21"/>
          <w:highlight w:val="none"/>
        </w:rPr>
      </w:pPr>
      <w:bookmarkStart w:id="155" w:name="_Toc13640"/>
      <w:bookmarkStart w:id="156" w:name="_Toc367780342"/>
      <w:r>
        <w:rPr>
          <w:rFonts w:hint="eastAsia" w:ascii="宋体" w:hAnsi="宋体"/>
          <w:color w:val="000000" w:themeColor="text1"/>
          <w:sz w:val="21"/>
          <w:szCs w:val="21"/>
          <w:highlight w:val="none"/>
        </w:rPr>
        <w:t>34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w:t>
      </w:r>
      <w:r>
        <w:rPr>
          <w:rFonts w:hint="eastAsia" w:ascii="宋体" w:hAnsi="宋体"/>
          <w:bCs/>
          <w:color w:val="000000" w:themeColor="text1"/>
          <w:szCs w:val="21"/>
          <w:highlight w:val="none"/>
        </w:rPr>
        <w:t>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rPr>
          <w:color w:val="000000" w:themeColor="text1"/>
          <w:sz w:val="24"/>
          <w:highlight w:val="none"/>
        </w:rPr>
      </w:pPr>
      <w:bookmarkStart w:id="158" w:name="_Toc7365"/>
      <w:bookmarkStart w:id="159" w:name="_Toc432682726"/>
      <w:bookmarkStart w:id="160" w:name="_Toc499041071"/>
      <w:bookmarkStart w:id="161" w:name="_Toc430771059"/>
      <w:r>
        <w:rPr>
          <w:color w:val="000000" w:themeColor="text1"/>
          <w:sz w:val="24"/>
          <w:highlight w:val="none"/>
        </w:rPr>
        <w:br w:type="page"/>
      </w:r>
    </w:p>
    <w:p>
      <w:pPr>
        <w:pStyle w:val="5"/>
        <w:numPr>
          <w:ilvl w:val="0"/>
          <w:numId w:val="0"/>
        </w:numPr>
        <w:jc w:val="center"/>
        <w:rPr>
          <w:color w:val="000000" w:themeColor="text1"/>
          <w:sz w:val="24"/>
          <w:highlight w:val="none"/>
        </w:rPr>
      </w:pPr>
      <w:r>
        <w:rPr>
          <w:color w:val="000000" w:themeColor="text1"/>
          <w:sz w:val="24"/>
          <w:highlight w:val="none"/>
        </w:rPr>
        <w:t>G</w:t>
      </w:r>
      <w:r>
        <w:rPr>
          <w:rFonts w:hint="eastAsia"/>
          <w:color w:val="000000" w:themeColor="text1"/>
          <w:sz w:val="24"/>
          <w:highlight w:val="none"/>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rPr>
      </w:pPr>
      <w:bookmarkStart w:id="162" w:name="_Toc430771060"/>
      <w:bookmarkStart w:id="163" w:name="_Toc430185803"/>
      <w:r>
        <w:rPr>
          <w:rFonts w:hint="eastAsia" w:ascii="宋体" w:hAnsi="宋体" w:eastAsia="宋体" w:cs="宋体"/>
          <w:color w:val="000000" w:themeColor="text1"/>
          <w:highlight w:val="none"/>
        </w:rPr>
        <w:t xml:space="preserve">35     </w:t>
      </w:r>
      <w:bookmarkStart w:id="164"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rPr>
      </w:pPr>
      <w:bookmarkStart w:id="165" w:name="_Toc430185804"/>
      <w:bookmarkStart w:id="166" w:name="_Toc430771061"/>
      <w:r>
        <w:rPr>
          <w:rFonts w:hint="eastAsia" w:ascii="宋体" w:hAnsi="宋体" w:eastAsia="宋体" w:cs="宋体"/>
          <w:color w:val="000000" w:themeColor="text1"/>
          <w:highlight w:val="none"/>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rPr>
      </w:pPr>
      <w:bookmarkStart w:id="167" w:name="_Toc430185805"/>
      <w:bookmarkStart w:id="168" w:name="_Toc430771062"/>
      <w:r>
        <w:rPr>
          <w:rFonts w:hint="eastAsia" w:ascii="宋体" w:hAnsi="宋体" w:eastAsia="宋体" w:cs="宋体"/>
          <w:color w:val="000000" w:themeColor="text1"/>
          <w:highlight w:val="none"/>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rPr>
      </w:pPr>
      <w:bookmarkStart w:id="169" w:name="_Toc430771063"/>
      <w:bookmarkStart w:id="170" w:name="_Toc430185806"/>
      <w:r>
        <w:rPr>
          <w:rFonts w:hint="eastAsia" w:ascii="宋体" w:hAnsi="宋体" w:eastAsia="宋体" w:cs="宋体"/>
          <w:color w:val="000000" w:themeColor="text1"/>
          <w:highlight w:val="none"/>
        </w:rPr>
        <w:t>38     根据《关于印发《政府采购促进中小企业发展管理</w:t>
      </w:r>
      <w:r>
        <w:rPr>
          <w:rFonts w:hint="eastAsia" w:ascii="宋体" w:hAnsi="宋体" w:cs="宋体"/>
          <w:color w:val="000000" w:themeColor="text1"/>
          <w:highlight w:val="none"/>
          <w:lang w:val="en-US" w:eastAsia="zh-CN"/>
        </w:rPr>
        <w:t>办法</w:t>
      </w:r>
      <w:r>
        <w:rPr>
          <w:rFonts w:hint="eastAsia" w:ascii="宋体" w:hAnsi="宋体" w:eastAsia="宋体" w:cs="宋体"/>
          <w:color w:val="000000" w:themeColor="text1"/>
          <w:highlight w:val="none"/>
        </w:rPr>
        <w:t>》的通知》（财库[2020]46号）的规定，投标人投标时需注意：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38.</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pStyle w:val="4"/>
        <w:numPr>
          <w:ilvl w:val="0"/>
          <w:numId w:val="0"/>
        </w:numPr>
        <w:spacing w:after="120" w:line="360" w:lineRule="auto"/>
        <w:jc w:val="center"/>
        <w:rPr>
          <w:rFonts w:ascii="宋体" w:hAnsi="宋体"/>
          <w:color w:val="000000" w:themeColor="text1"/>
          <w:sz w:val="21"/>
          <w:szCs w:val="21"/>
          <w:highlight w:val="none"/>
        </w:rPr>
      </w:pPr>
      <w:bookmarkStart w:id="171" w:name="_Toc5357"/>
      <w:r>
        <w:rPr>
          <w:rFonts w:hint="eastAsia" w:ascii="宋体" w:hAnsi="宋体"/>
          <w:color w:val="000000" w:themeColor="text1"/>
          <w:sz w:val="21"/>
          <w:szCs w:val="21"/>
          <w:highlight w:val="none"/>
        </w:rPr>
        <w:t>第四部分  合同书格式（参考范本）</w:t>
      </w:r>
      <w:bookmarkEnd w:id="157"/>
      <w:bookmarkEnd w:id="171"/>
    </w:p>
    <w:p>
      <w:pPr>
        <w:spacing w:line="360" w:lineRule="auto"/>
        <w:rPr>
          <w:rFonts w:ascii="宋体" w:hAnsi="宋体"/>
          <w:bCs/>
          <w:color w:val="000000" w:themeColor="text1"/>
          <w:szCs w:val="21"/>
          <w:highlight w:val="none"/>
        </w:rPr>
      </w:pP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甲方（采购人）：</w:t>
      </w: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乙方（成交供应商）：</w:t>
      </w:r>
    </w:p>
    <w:p>
      <w:pPr>
        <w:spacing w:line="480" w:lineRule="auto"/>
        <w:rPr>
          <w:rFonts w:ascii="宋体" w:hAnsi="宋体"/>
          <w:bCs/>
          <w:color w:val="000000" w:themeColor="text1"/>
          <w:szCs w:val="21"/>
          <w:highlight w:val="none"/>
        </w:rPr>
      </w:pPr>
      <w:r>
        <w:rPr>
          <w:rFonts w:ascii="宋体" w:hAnsi="宋体"/>
          <w:bCs/>
          <w:color w:val="000000" w:themeColor="text1"/>
          <w:szCs w:val="21"/>
          <w:highlight w:val="none"/>
        </w:rPr>
        <w:tab/>
      </w:r>
    </w:p>
    <w:p>
      <w:pPr>
        <w:spacing w:line="480" w:lineRule="auto"/>
        <w:rPr>
          <w:rFonts w:ascii="宋体" w:hAnsi="宋体"/>
          <w:bCs/>
          <w:color w:val="000000" w:themeColor="text1"/>
          <w:highlight w:val="none"/>
        </w:rPr>
      </w:pPr>
      <w:r>
        <w:rPr>
          <w:rFonts w:hint="eastAsia" w:ascii="宋体" w:hAnsi="宋体"/>
          <w:bCs/>
          <w:color w:val="000000" w:themeColor="text1"/>
          <w:szCs w:val="21"/>
          <w:highlight w:val="none"/>
        </w:rPr>
        <w:t xml:space="preserve">    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服务和验收</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48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rPr>
      </w:pP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罚款。</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作为违约金。</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 xml:space="preserve"> 本项目合同订立后，应提供至</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u w:val="single"/>
        </w:rPr>
        <w:t>、当地管理部门</w:t>
      </w:r>
      <w:r>
        <w:rPr>
          <w:rFonts w:hint="eastAsia" w:ascii="宋体" w:hAnsi="宋体"/>
          <w:bCs/>
          <w:color w:val="000000" w:themeColor="text1"/>
          <w:szCs w:val="21"/>
          <w:highlight w:val="none"/>
        </w:rPr>
        <w:t>备案；</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480" w:lineRule="auto"/>
        <w:ind w:left="752" w:leftChars="358" w:firstLine="420"/>
        <w:rPr>
          <w:rFonts w:ascii="宋体" w:hAnsi="宋体"/>
          <w:bCs/>
          <w:color w:val="000000" w:themeColor="text1"/>
          <w:szCs w:val="21"/>
          <w:highlight w:val="none"/>
        </w:rPr>
      </w:pPr>
    </w:p>
    <w:p>
      <w:pPr>
        <w:spacing w:line="480" w:lineRule="auto"/>
        <w:ind w:left="752" w:leftChars="358" w:firstLine="420"/>
        <w:rPr>
          <w:rFonts w:ascii="宋体" w:hAnsi="宋体"/>
          <w:bCs/>
          <w:color w:val="000000" w:themeColor="text1"/>
          <w:szCs w:val="21"/>
          <w:highlight w:val="none"/>
        </w:rPr>
      </w:pP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乙方：</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地址：</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帐号</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电话：</w:t>
      </w:r>
    </w:p>
    <w:p>
      <w:pPr>
        <w:tabs>
          <w:tab w:val="left" w:pos="1004"/>
        </w:tabs>
        <w:spacing w:line="48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pStyle w:val="4"/>
        <w:numPr>
          <w:ilvl w:val="0"/>
          <w:numId w:val="0"/>
        </w:numPr>
        <w:spacing w:after="120" w:line="360" w:lineRule="auto"/>
        <w:jc w:val="center"/>
        <w:rPr>
          <w:rFonts w:ascii="宋体" w:hAnsi="宋体"/>
          <w:color w:val="000000" w:themeColor="text1"/>
          <w:sz w:val="21"/>
          <w:szCs w:val="21"/>
          <w:highlight w:val="none"/>
        </w:rPr>
      </w:pPr>
      <w:bookmarkStart w:id="172" w:name="_Toc200414512"/>
      <w:bookmarkStart w:id="173" w:name="_Toc17031"/>
      <w:r>
        <w:rPr>
          <w:rFonts w:hint="eastAsia" w:ascii="宋体" w:hAnsi="宋体"/>
          <w:color w:val="000000" w:themeColor="text1"/>
          <w:sz w:val="21"/>
          <w:szCs w:val="21"/>
          <w:highlight w:val="none"/>
        </w:rPr>
        <w:t>第五部分  谈判文件格式</w:t>
      </w:r>
      <w:bookmarkEnd w:id="172"/>
      <w:bookmarkEnd w:id="173"/>
    </w:p>
    <w:p>
      <w:pPr>
        <w:pStyle w:val="5"/>
        <w:numPr>
          <w:ilvl w:val="1"/>
          <w:numId w:val="0"/>
        </w:numPr>
        <w:spacing w:line="360" w:lineRule="auto"/>
        <w:jc w:val="center"/>
        <w:rPr>
          <w:rFonts w:ascii="宋体" w:hAnsi="宋体" w:eastAsia="宋体"/>
          <w:color w:val="000000" w:themeColor="text1"/>
          <w:highlight w:val="none"/>
        </w:rPr>
      </w:pPr>
      <w:bookmarkStart w:id="174" w:name="_Toc20920"/>
      <w:bookmarkStart w:id="175" w:name="_Toc200414513"/>
      <w:r>
        <w:rPr>
          <w:rFonts w:hint="eastAsia" w:ascii="宋体" w:hAnsi="宋体" w:eastAsia="宋体"/>
          <w:color w:val="000000" w:themeColor="text1"/>
          <w:highlight w:val="none"/>
        </w:rPr>
        <w:t>封面格式</w:t>
      </w:r>
      <w:bookmarkEnd w:id="174"/>
      <w:bookmarkEnd w:id="175"/>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r>
        <w:rPr>
          <w:rFonts w:hint="eastAsia" w:ascii="宋体" w:hAnsi="宋体"/>
          <w:bCs/>
          <w:color w:val="000000" w:themeColor="text1"/>
          <w:highlight w:val="none"/>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rPr>
      </w:pPr>
      <w:r>
        <w:rPr>
          <w:rFonts w:hint="eastAsia" w:ascii="宋体" w:hAnsi="宋体"/>
          <w:bCs/>
          <w:color w:val="000000" w:themeColor="text1"/>
          <w:szCs w:val="24"/>
          <w:highlight w:val="none"/>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rPr>
      </w:pPr>
      <w:r>
        <w:rPr>
          <w:rFonts w:hint="eastAsia" w:ascii="宋体" w:hAnsi="宋体"/>
          <w:bCs/>
          <w:color w:val="000000" w:themeColor="text1"/>
          <w:szCs w:val="24"/>
          <w:highlight w:val="none"/>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p>
    <w:p>
      <w:pPr>
        <w:pStyle w:val="9"/>
        <w:spacing w:line="360" w:lineRule="auto"/>
        <w:jc w:val="center"/>
        <w:rPr>
          <w:rFonts w:ascii="宋体" w:hAnsi="宋体"/>
          <w:b/>
          <w:bCs/>
          <w:color w:val="000000" w:themeColor="text1"/>
          <w:sz w:val="44"/>
          <w:szCs w:val="44"/>
          <w:highlight w:val="none"/>
        </w:rPr>
      </w:pPr>
      <w:r>
        <w:rPr>
          <w:rFonts w:hint="eastAsia" w:ascii="宋体" w:hAnsi="宋体"/>
          <w:b/>
          <w:bCs/>
          <w:color w:val="000000" w:themeColor="text1"/>
          <w:sz w:val="44"/>
          <w:szCs w:val="44"/>
          <w:highlight w:val="none"/>
        </w:rPr>
        <w:t>谈判响应文件</w:t>
      </w:r>
    </w:p>
    <w:p>
      <w:pPr>
        <w:pStyle w:val="9"/>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（□正本、□副本）</w:t>
      </w:r>
    </w:p>
    <w:p>
      <w:pPr>
        <w:pStyle w:val="9"/>
        <w:spacing w:line="360" w:lineRule="auto"/>
        <w:jc w:val="center"/>
        <w:rPr>
          <w:rFonts w:ascii="宋体" w:hAnsi="宋体"/>
          <w:bCs/>
          <w:color w:val="000000" w:themeColor="text1"/>
          <w:szCs w:val="24"/>
          <w:highlight w:val="none"/>
        </w:rPr>
      </w:pPr>
    </w:p>
    <w:p>
      <w:pPr>
        <w:pStyle w:val="9"/>
        <w:spacing w:line="360" w:lineRule="auto"/>
        <w:jc w:val="center"/>
        <w:rPr>
          <w:rFonts w:ascii="宋体" w:hAnsi="宋体"/>
          <w:bCs/>
          <w:color w:val="000000" w:themeColor="text1"/>
          <w:szCs w:val="24"/>
          <w:highlight w:val="none"/>
        </w:rPr>
      </w:pPr>
    </w:p>
    <w:p>
      <w:pPr>
        <w:pStyle w:val="9"/>
        <w:spacing w:line="360" w:lineRule="auto"/>
        <w:rPr>
          <w:rFonts w:hint="eastAsia" w:ascii="宋体" w:hAnsi="宋体" w:eastAsia="宋体"/>
          <w:bCs/>
          <w:color w:val="000000" w:themeColor="text1"/>
          <w:szCs w:val="24"/>
          <w:highlight w:val="none"/>
          <w:lang w:eastAsia="zh-CN"/>
        </w:rPr>
      </w:pPr>
      <w:r>
        <w:rPr>
          <w:rFonts w:hint="eastAsia" w:ascii="宋体" w:hAnsi="宋体"/>
          <w:bCs/>
          <w:color w:val="000000" w:themeColor="text1"/>
          <w:szCs w:val="24"/>
          <w:highlight w:val="none"/>
        </w:rPr>
        <w:t>项目编号：</w:t>
      </w:r>
      <w:r>
        <w:rPr>
          <w:rFonts w:hint="eastAsia" w:ascii="宋体" w:hAnsi="宋体"/>
          <w:b/>
          <w:bCs/>
          <w:color w:val="000000" w:themeColor="text1"/>
          <w:szCs w:val="24"/>
          <w:highlight w:val="none"/>
          <w:u w:val="single"/>
          <w:lang w:eastAsia="zh-CN"/>
        </w:rPr>
        <w:t>YXZB-20240318</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项目名称：</w:t>
      </w:r>
      <w:r>
        <w:rPr>
          <w:rFonts w:hint="eastAsia" w:ascii="宋体" w:hAnsi="宋体" w:cs="宋体"/>
          <w:b/>
          <w:color w:val="000000" w:themeColor="text1"/>
          <w:szCs w:val="21"/>
          <w:highlight w:val="none"/>
          <w:u w:val="single"/>
        </w:rPr>
        <w:t xml:space="preserve">项目名称，由供应商填写               </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供应商名称（加盖公章）：</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供应商地址：</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法定代表人（负责人）或授权代理人（签字）</w:t>
      </w:r>
      <w:r>
        <w:rPr>
          <w:rFonts w:ascii="宋体" w:hAnsi="宋体"/>
          <w:bCs/>
          <w:color w:val="000000" w:themeColor="text1"/>
          <w:szCs w:val="24"/>
          <w:highlight w:val="none"/>
        </w:rPr>
        <w:t>：</w:t>
      </w:r>
    </w:p>
    <w:p>
      <w:pPr>
        <w:pStyle w:val="9"/>
        <w:spacing w:line="360" w:lineRule="auto"/>
        <w:rPr>
          <w:rFonts w:ascii="宋体" w:hAnsi="宋体"/>
          <w:bCs/>
          <w:color w:val="000000" w:themeColor="text1"/>
          <w:szCs w:val="24"/>
          <w:highlight w:val="none"/>
        </w:rPr>
      </w:pPr>
      <w:r>
        <w:rPr>
          <w:rFonts w:hint="eastAsia" w:ascii="宋体" w:hAnsi="宋体"/>
          <w:bCs/>
          <w:color w:val="000000" w:themeColor="text1"/>
          <w:szCs w:val="24"/>
          <w:highlight w:val="none"/>
        </w:rPr>
        <w:t>联系</w:t>
      </w:r>
      <w:r>
        <w:rPr>
          <w:rFonts w:ascii="宋体" w:hAnsi="宋体"/>
          <w:bCs/>
          <w:color w:val="000000" w:themeColor="text1"/>
          <w:szCs w:val="24"/>
          <w:highlight w:val="none"/>
        </w:rPr>
        <w:t>电话：</w:t>
      </w:r>
    </w:p>
    <w:p>
      <w:pPr>
        <w:pStyle w:val="9"/>
        <w:spacing w:line="360" w:lineRule="auto"/>
        <w:ind w:firstLineChars="200"/>
        <w:rPr>
          <w:rFonts w:ascii="宋体" w:hAnsi="宋体"/>
          <w:bCs/>
          <w:color w:val="000000" w:themeColor="text1"/>
          <w:szCs w:val="24"/>
          <w:highlight w:val="none"/>
          <w:u w:val="single"/>
        </w:rPr>
      </w:pPr>
      <w:r>
        <w:rPr>
          <w:rFonts w:hint="eastAsia" w:ascii="宋体" w:hAnsi="宋体"/>
          <w:bCs/>
          <w:color w:val="000000" w:themeColor="text1"/>
          <w:szCs w:val="24"/>
          <w:highlight w:val="none"/>
        </w:rPr>
        <w:t>传真：</w:t>
      </w:r>
    </w:p>
    <w:p>
      <w:pPr>
        <w:pStyle w:val="9"/>
        <w:spacing w:line="360" w:lineRule="auto"/>
        <w:rPr>
          <w:rFonts w:ascii="宋体" w:hAnsi="宋体"/>
          <w:bCs/>
          <w:color w:val="000000" w:themeColor="text1"/>
          <w:szCs w:val="24"/>
          <w:highlight w:val="none"/>
          <w:u w:val="single"/>
        </w:rPr>
      </w:pPr>
      <w:r>
        <w:rPr>
          <w:rFonts w:ascii="宋体" w:hAnsi="宋体"/>
          <w:bCs/>
          <w:color w:val="000000" w:themeColor="text1"/>
          <w:szCs w:val="24"/>
          <w:highlight w:val="none"/>
        </w:rPr>
        <w:t>邮编：</w:t>
      </w:r>
    </w:p>
    <w:p>
      <w:pPr>
        <w:pStyle w:val="9"/>
        <w:spacing w:line="360" w:lineRule="auto"/>
        <w:rPr>
          <w:rFonts w:ascii="宋体" w:hAnsi="宋体"/>
          <w:color w:val="000000" w:themeColor="text1"/>
          <w:highlight w:val="none"/>
        </w:rPr>
      </w:pPr>
      <w:r>
        <w:rPr>
          <w:rFonts w:hint="eastAsia" w:ascii="宋体" w:hAnsi="宋体"/>
          <w:bCs/>
          <w:color w:val="000000" w:themeColor="text1"/>
          <w:szCs w:val="24"/>
          <w:highlight w:val="none"/>
        </w:rPr>
        <w:t>编制日期：年月日</w:t>
      </w:r>
    </w:p>
    <w:p>
      <w:pPr>
        <w:tabs>
          <w:tab w:val="left" w:pos="1004"/>
          <w:tab w:val="left" w:pos="4267"/>
        </w:tabs>
        <w:spacing w:line="360" w:lineRule="auto"/>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sectPr>
          <w:pgSz w:w="11906" w:h="16838"/>
          <w:pgMar w:top="1247" w:right="1247" w:bottom="1247" w:left="1247"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1"/>
          <w:szCs w:val="21"/>
          <w:highlight w:val="none"/>
        </w:rPr>
      </w:pPr>
      <w:bookmarkStart w:id="176" w:name="_Toc200414514"/>
      <w:bookmarkStart w:id="177" w:name="_Toc3482"/>
      <w:r>
        <w:rPr>
          <w:rFonts w:hint="eastAsia" w:ascii="宋体" w:hAnsi="宋体" w:eastAsia="宋体"/>
          <w:color w:val="000000" w:themeColor="text1"/>
          <w:sz w:val="21"/>
          <w:szCs w:val="21"/>
          <w:highlight w:val="none"/>
        </w:rPr>
        <w:t xml:space="preserve">第一章  </w:t>
      </w:r>
      <w:bookmarkEnd w:id="176"/>
      <w:r>
        <w:rPr>
          <w:rFonts w:hint="eastAsia" w:ascii="宋体" w:hAnsi="宋体" w:eastAsia="宋体"/>
          <w:color w:val="000000" w:themeColor="text1"/>
          <w:sz w:val="21"/>
          <w:szCs w:val="21"/>
          <w:highlight w:val="none"/>
        </w:rPr>
        <w:t>资格性/符合性自查表</w:t>
      </w:r>
      <w:bookmarkEnd w:id="177"/>
    </w:p>
    <w:p>
      <w:pPr>
        <w:spacing w:line="360" w:lineRule="auto"/>
        <w:rPr>
          <w:rFonts w:ascii="宋体" w:hAnsi="宋体"/>
          <w:b/>
          <w:bCs/>
          <w:color w:val="000000" w:themeColor="text1"/>
          <w:szCs w:val="21"/>
          <w:highlight w:val="none"/>
        </w:rPr>
      </w:pPr>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350"/>
        <w:gridCol w:w="2186"/>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6"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86"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096" w:type="dxa"/>
            <w:vAlign w:val="center"/>
          </w:tcPr>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18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见谈判响应文件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项目周期</w:t>
            </w:r>
            <w:r>
              <w:rPr>
                <w:rFonts w:hint="eastAsia" w:ascii="宋体" w:hAnsi="宋体"/>
                <w:color w:val="000000" w:themeColor="text1"/>
                <w:szCs w:val="21"/>
                <w:highlight w:val="none"/>
              </w:rPr>
              <w:t>须满足要求</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18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color w:val="000000" w:themeColor="text1"/>
          <w:sz w:val="18"/>
          <w:szCs w:val="18"/>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文件为法定代表人（负责人）签署并由法定代表人（负责人）亲自递交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spacing w:line="360" w:lineRule="auto"/>
        <w:rPr>
          <w:rFonts w:ascii="宋体" w:hAnsi="宋体"/>
          <w:color w:val="000000" w:themeColor="text1"/>
          <w:sz w:val="18"/>
          <w:szCs w:val="18"/>
          <w:highlight w:val="none"/>
        </w:rPr>
        <w:sectPr>
          <w:headerReference r:id="rId7" w:type="default"/>
          <w:pgSz w:w="11906" w:h="16838"/>
          <w:pgMar w:top="1134" w:right="1418" w:bottom="1134" w:left="1134"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78" w:name="_Toc18751"/>
      <w:bookmarkStart w:id="179" w:name="_Toc200414515"/>
      <w:r>
        <w:rPr>
          <w:rFonts w:hint="eastAsia" w:ascii="宋体" w:hAnsi="宋体" w:eastAsia="宋体"/>
          <w:color w:val="000000" w:themeColor="text1"/>
          <w:sz w:val="28"/>
          <w:szCs w:val="28"/>
          <w:highlight w:val="none"/>
        </w:rPr>
        <w:t>（一）无重大违法记录声明函</w:t>
      </w:r>
      <w:bookmarkEnd w:id="178"/>
      <w:bookmarkEnd w:id="179"/>
    </w:p>
    <w:p>
      <w:pPr>
        <w:pStyle w:val="9"/>
        <w:spacing w:line="360" w:lineRule="auto"/>
        <w:ind w:left="420" w:firstLine="0"/>
        <w:rPr>
          <w:rFonts w:ascii="宋体" w:hAnsi="宋体"/>
          <w:color w:val="000000" w:themeColor="text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 年月 日</w:t>
      </w: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kern w:val="0"/>
          <w:sz w:val="28"/>
          <w:szCs w:val="28"/>
          <w:highlight w:val="none"/>
        </w:rPr>
      </w:pPr>
      <w:bookmarkStart w:id="180" w:name="_Toc200414516"/>
      <w:bookmarkStart w:id="181" w:name="_Toc1378"/>
      <w:r>
        <w:rPr>
          <w:rFonts w:hint="eastAsia" w:ascii="宋体" w:hAnsi="宋体" w:eastAsia="宋体"/>
          <w:color w:val="000000" w:themeColor="text1"/>
          <w:kern w:val="0"/>
          <w:sz w:val="28"/>
          <w:szCs w:val="28"/>
          <w:highlight w:val="none"/>
        </w:rPr>
        <w:t>（二）法定代表人（负责人）证明书</w:t>
      </w:r>
      <w:bookmarkEnd w:id="180"/>
      <w:bookmarkEnd w:id="181"/>
    </w:p>
    <w:p>
      <w:pPr>
        <w:pStyle w:val="9"/>
        <w:spacing w:line="360" w:lineRule="auto"/>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r>
        <w:rPr>
          <w:rFonts w:ascii="宋体"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9"/>
        <w:spacing w:line="360" w:lineRule="auto"/>
        <w:ind w:firstLine="0"/>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82" w:name="_Toc3320"/>
      <w:bookmarkStart w:id="183" w:name="_Toc200414517"/>
      <w:r>
        <w:rPr>
          <w:rFonts w:hint="eastAsia" w:ascii="宋体" w:hAnsi="宋体" w:eastAsia="宋体"/>
          <w:color w:val="000000" w:themeColor="text1"/>
          <w:sz w:val="28"/>
          <w:szCs w:val="28"/>
          <w:highlight w:val="none"/>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w:t>
      </w:r>
      <w:r>
        <w:rPr>
          <w:rFonts w:hint="eastAsia" w:ascii="宋体" w:hAnsi="宋体"/>
          <w:bCs/>
          <w:color w:val="000000" w:themeColor="text1"/>
          <w:kern w:val="0"/>
          <w:szCs w:val="21"/>
          <w:highlight w:val="none"/>
          <w:lang w:eastAsia="zh-CN"/>
        </w:rPr>
        <w:t>广东业信招标有限公司</w:t>
      </w:r>
      <w:r>
        <w:rPr>
          <w:rFonts w:hint="eastAsia" w:ascii="宋体" w:hAnsi="宋体"/>
          <w:bCs/>
          <w:color w:val="000000" w:themeColor="text1"/>
          <w:kern w:val="0"/>
          <w:szCs w:val="21"/>
          <w:highlight w:val="none"/>
        </w:rPr>
        <w:t>组织的</w:t>
      </w:r>
      <w:r>
        <w:rPr>
          <w:rFonts w:hint="eastAsia" w:ascii="宋体" w:hAnsi="宋体" w:cs="宋体"/>
          <w:b/>
          <w:color w:val="000000" w:themeColor="text1"/>
          <w:szCs w:val="21"/>
          <w:highlight w:val="none"/>
          <w:u w:val="single"/>
        </w:rPr>
        <w:t>项目名称，由供应商填写</w:t>
      </w:r>
      <w:r>
        <w:rPr>
          <w:rFonts w:hint="eastAsia" w:ascii="宋体" w:hAnsi="宋体"/>
          <w:bCs/>
          <w:color w:val="000000" w:themeColor="text1"/>
          <w:szCs w:val="21"/>
          <w:highlight w:val="none"/>
        </w:rPr>
        <w:t>谈判项目（项目编号:）</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    性别：   年龄：   职务：</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autoSpaceDE w:val="0"/>
        <w:autoSpaceDN w:val="0"/>
        <w:adjustRightInd w:val="0"/>
        <w:snapToGrid w:val="0"/>
        <w:spacing w:line="360" w:lineRule="auto"/>
        <w:ind w:firstLine="420" w:firstLineChars="200"/>
        <w:rPr>
          <w:rFonts w:ascii="宋体" w:hAnsi="宋体"/>
          <w:bCs/>
          <w:color w:val="000000" w:themeColor="text1"/>
          <w:kern w:val="0"/>
          <w:szCs w:val="2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84" w:name="_Toc200414522"/>
      <w:bookmarkStart w:id="185" w:name="_Toc26283"/>
      <w:r>
        <w:rPr>
          <w:rFonts w:hint="eastAsia" w:ascii="宋体" w:hAnsi="宋体" w:eastAsia="宋体"/>
          <w:color w:val="000000" w:themeColor="text1"/>
          <w:sz w:val="28"/>
          <w:szCs w:val="28"/>
          <w:highlight w:val="none"/>
        </w:rPr>
        <w:t>（四）</w:t>
      </w:r>
      <w:bookmarkEnd w:id="184"/>
      <w:r>
        <w:rPr>
          <w:rFonts w:hint="eastAsia" w:ascii="宋体" w:hAnsi="宋体" w:eastAsia="宋体"/>
          <w:color w:val="000000" w:themeColor="text1"/>
          <w:sz w:val="28"/>
          <w:szCs w:val="28"/>
          <w:highlight w:val="none"/>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8" w:type="default"/>
          <w:pgSz w:w="11906" w:h="16838"/>
          <w:pgMar w:top="1418" w:right="1474" w:bottom="1418" w:left="1474" w:header="851" w:footer="851" w:gutter="0"/>
          <w:cols w:space="720" w:num="1"/>
          <w:titlePg/>
          <w:docGrid w:linePitch="312" w:charSpace="0"/>
        </w:sectPr>
      </w:pPr>
    </w:p>
    <w:p>
      <w:pPr>
        <w:pStyle w:val="5"/>
        <w:numPr>
          <w:ilvl w:val="1"/>
          <w:numId w:val="0"/>
        </w:numPr>
        <w:spacing w:line="360" w:lineRule="auto"/>
        <w:ind w:firstLine="2249" w:firstLineChars="800"/>
        <w:rPr>
          <w:rFonts w:ascii="宋体" w:hAnsi="宋体" w:eastAsia="宋体"/>
          <w:color w:val="000000" w:themeColor="text1"/>
          <w:sz w:val="28"/>
          <w:szCs w:val="28"/>
          <w:highlight w:val="none"/>
        </w:rPr>
      </w:pPr>
      <w:bookmarkStart w:id="186" w:name="_Toc23266"/>
      <w:bookmarkStart w:id="187" w:name="_Toc200414524"/>
      <w:r>
        <w:rPr>
          <w:rFonts w:hint="eastAsia" w:ascii="宋体" w:hAnsi="宋体" w:eastAsia="宋体"/>
          <w:color w:val="000000" w:themeColor="text1"/>
          <w:sz w:val="28"/>
          <w:szCs w:val="28"/>
          <w:highlight w:val="none"/>
        </w:rPr>
        <w:t>第二章  谈判响应文件商务及技术部分</w:t>
      </w:r>
      <w:bookmarkEnd w:id="186"/>
      <w:bookmarkEnd w:id="187"/>
    </w:p>
    <w:p>
      <w:pPr>
        <w:pStyle w:val="5"/>
        <w:numPr>
          <w:ilvl w:val="1"/>
          <w:numId w:val="0"/>
        </w:numPr>
        <w:spacing w:line="360" w:lineRule="auto"/>
        <w:ind w:firstLine="3373" w:firstLineChars="1200"/>
        <w:rPr>
          <w:rFonts w:ascii="宋体" w:hAnsi="宋体" w:eastAsia="宋体"/>
          <w:color w:val="000000" w:themeColor="text1"/>
          <w:sz w:val="28"/>
          <w:szCs w:val="28"/>
          <w:highlight w:val="none"/>
        </w:rPr>
      </w:pPr>
      <w:bookmarkStart w:id="188" w:name="_Toc200414525"/>
      <w:bookmarkStart w:id="189" w:name="_Toc16952"/>
      <w:r>
        <w:rPr>
          <w:rFonts w:hint="eastAsia" w:ascii="宋体" w:hAnsi="宋体" w:eastAsia="宋体"/>
          <w:color w:val="000000" w:themeColor="text1"/>
          <w:sz w:val="28"/>
          <w:szCs w:val="28"/>
          <w:highlight w:val="none"/>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480" w:lineRule="auto"/>
        <w:ind w:firstLine="420"/>
        <w:rPr>
          <w:rFonts w:ascii="宋体" w:hAnsi="宋体"/>
          <w:b/>
          <w:bCs/>
          <w:color w:val="000000" w:themeColor="text1"/>
          <w:szCs w:val="21"/>
          <w:highlight w:val="none"/>
        </w:rPr>
      </w:pPr>
      <w:r>
        <w:rPr>
          <w:rFonts w:hint="eastAsia" w:ascii="宋体" w:hAnsi="宋体"/>
          <w:b/>
          <w:bCs/>
          <w:color w:val="000000" w:themeColor="text1"/>
          <w:szCs w:val="21"/>
          <w:highlight w:val="none"/>
        </w:rPr>
        <w:t>根据贵方就</w:t>
      </w:r>
      <w:r>
        <w:rPr>
          <w:rFonts w:hint="eastAsia" w:ascii="宋体" w:hAnsi="宋体" w:cs="宋体"/>
          <w:b/>
          <w:color w:val="000000" w:themeColor="text1"/>
          <w:szCs w:val="21"/>
          <w:highlight w:val="none"/>
          <w:u w:val="single"/>
        </w:rPr>
        <w:t xml:space="preserve">项目名称，由供应商填写      </w:t>
      </w:r>
      <w:r>
        <w:rPr>
          <w:rFonts w:hint="eastAsia" w:ascii="宋体" w:hAnsi="宋体"/>
          <w:b/>
          <w:bCs/>
          <w:color w:val="000000" w:themeColor="text1"/>
          <w:szCs w:val="21"/>
          <w:highlight w:val="none"/>
        </w:rPr>
        <w:t>的投标邀请（项目编号: ，我方正式响应谈判文件内容并提交谈判文件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
          <w:bCs/>
          <w:color w:val="000000" w:themeColor="text1"/>
          <w:szCs w:val="21"/>
          <w:highlight w:val="none"/>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rPr>
      </w:pPr>
      <w:r>
        <w:rPr>
          <w:rFonts w:hint="eastAsia" w:ascii="宋体" w:hAnsi="宋体"/>
          <w:b/>
          <w:bCs/>
          <w:color w:val="000000" w:themeColor="text1"/>
          <w:szCs w:val="21"/>
          <w:highlight w:val="none"/>
        </w:rPr>
        <w:t>据此函，签字代表宣布同意如下：</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2"/>
        <w:spacing w:line="480" w:lineRule="auto"/>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pPr>
        <w:pStyle w:val="22"/>
        <w:spacing w:line="360" w:lineRule="auto"/>
        <w:rPr>
          <w:rFonts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0" w:name="_Toc10353"/>
      <w:bookmarkStart w:id="191" w:name="_Toc200414526"/>
      <w:r>
        <w:rPr>
          <w:rFonts w:hint="eastAsia" w:ascii="宋体" w:hAnsi="宋体" w:eastAsia="宋体"/>
          <w:color w:val="000000" w:themeColor="text1"/>
          <w:sz w:val="28"/>
          <w:szCs w:val="28"/>
          <w:highlight w:val="none"/>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rPr>
          <w:rFonts w:ascii="宋体" w:hAnsi="宋体"/>
          <w:bCs/>
          <w:color w:val="000000" w:themeColor="text1"/>
          <w:szCs w:val="21"/>
          <w:highlight w:val="none"/>
          <w:u w:val="single"/>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项目周期</w:t>
            </w: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rPr>
            </w:pPr>
          </w:p>
        </w:tc>
        <w:tc>
          <w:tcPr>
            <w:tcW w:w="3713"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p>
          <w:p>
            <w:pPr>
              <w:spacing w:line="360" w:lineRule="auto"/>
              <w:rPr>
                <w:rFonts w:ascii="宋体" w:hAnsi="宋体"/>
                <w:bCs/>
                <w:color w:val="000000" w:themeColor="text1"/>
                <w:highlight w:val="none"/>
              </w:rPr>
            </w:pPr>
          </w:p>
        </w:tc>
        <w:tc>
          <w:tcPr>
            <w:tcW w:w="1501" w:type="dxa"/>
            <w:vAlign w:val="center"/>
          </w:tcPr>
          <w:p>
            <w:pPr>
              <w:spacing w:line="360" w:lineRule="auto"/>
              <w:jc w:val="center"/>
              <w:rPr>
                <w:rFonts w:ascii="宋体" w:hAnsi="宋体"/>
                <w:bCs/>
                <w:color w:val="000000" w:themeColor="text1"/>
                <w:highlight w:val="none"/>
                <w:u w:val="single"/>
              </w:rPr>
            </w:pPr>
          </w:p>
        </w:tc>
        <w:tc>
          <w:tcPr>
            <w:tcW w:w="1476" w:type="dxa"/>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2"/>
        <w:spacing w:line="360" w:lineRule="auto"/>
        <w:rPr>
          <w:rFonts w:hAnsi="宋体"/>
          <w:color w:val="000000" w:themeColor="text1"/>
          <w:highlight w:val="none"/>
        </w:rPr>
      </w:pPr>
    </w:p>
    <w:p>
      <w:pPr>
        <w:pStyle w:val="22"/>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2" w:name="_Toc200414527"/>
      <w:bookmarkStart w:id="193" w:name="_Toc10374"/>
      <w:r>
        <w:rPr>
          <w:rFonts w:hint="eastAsia" w:ascii="宋体" w:hAnsi="宋体" w:eastAsia="宋体"/>
          <w:color w:val="000000" w:themeColor="text1"/>
          <w:highlight w:val="none"/>
        </w:rPr>
        <w:t>附件三：谈判分项报价</w:t>
      </w:r>
      <w:r>
        <w:rPr>
          <w:rFonts w:ascii="宋体" w:hAnsi="宋体" w:eastAsia="宋体"/>
          <w:color w:val="000000" w:themeColor="text1"/>
          <w:highlight w:val="none"/>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rPr>
      </w:pPr>
      <w:r>
        <w:rPr>
          <w:rFonts w:hint="eastAsia" w:ascii="宋体" w:hAnsi="宋体"/>
          <w:color w:val="000000" w:themeColor="text1"/>
          <w:szCs w:val="21"/>
          <w:highlight w:val="none"/>
        </w:rPr>
        <w:t>项目名称：</w:t>
      </w:r>
    </w:p>
    <w:p>
      <w:pPr>
        <w:adjustRightInd w:val="0"/>
        <w:snapToGrid w:val="0"/>
        <w:spacing w:line="360" w:lineRule="auto"/>
        <w:ind w:firstLine="6615" w:firstLineChars="3150"/>
        <w:jc w:val="left"/>
        <w:rPr>
          <w:rFonts w:ascii="宋体" w:hAnsi="宋体"/>
          <w:bCs/>
          <w:color w:val="000000" w:themeColor="text1"/>
          <w:szCs w:val="21"/>
          <w:highlight w:val="none"/>
        </w:rPr>
      </w:pPr>
      <w:r>
        <w:rPr>
          <w:rFonts w:hint="eastAsia" w:ascii="宋体" w:hAnsi="宋体"/>
          <w:bCs/>
          <w:color w:val="000000" w:themeColor="text1"/>
          <w:szCs w:val="21"/>
          <w:highlight w:val="none"/>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服务时间</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单价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总价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税金</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技术服务费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培训费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质量保证期内的服务费用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（该表中无体现的费用但本项目有产生的其他费用）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报价总价</w:t>
            </w:r>
          </w:p>
        </w:tc>
        <w:tc>
          <w:tcPr>
            <w:tcW w:w="3208" w:type="dxa"/>
            <w:gridSpan w:val="3"/>
            <w:vAlign w:val="center"/>
          </w:tcPr>
          <w:p>
            <w:pPr>
              <w:pStyle w:val="9"/>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（大写）人民币</w:t>
            </w:r>
          </w:p>
        </w:tc>
        <w:tc>
          <w:tcPr>
            <w:tcW w:w="3204" w:type="dxa"/>
            <w:gridSpan w:val="3"/>
            <w:vAlign w:val="center"/>
          </w:tcPr>
          <w:p>
            <w:pPr>
              <w:pStyle w:val="9"/>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备注</w:t>
            </w:r>
          </w:p>
        </w:tc>
        <w:tc>
          <w:tcPr>
            <w:tcW w:w="6412" w:type="dxa"/>
            <w:gridSpan w:val="6"/>
            <w:vAlign w:val="center"/>
          </w:tcPr>
          <w:p>
            <w:pPr>
              <w:pStyle w:val="9"/>
              <w:snapToGrid w:val="0"/>
              <w:ind w:firstLine="0"/>
              <w:jc w:val="center"/>
              <w:rPr>
                <w:rFonts w:hint="eastAsia" w:ascii="宋体" w:hAnsi="宋体" w:eastAsia="宋体" w:cs="宋体"/>
                <w:bCs/>
                <w:color w:val="000000" w:themeColor="text1"/>
                <w:sz w:val="21"/>
                <w:szCs w:val="2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ind w:firstLine="6615" w:firstLineChars="3150"/>
        <w:jc w:val="left"/>
        <w:rPr>
          <w:rFonts w:ascii="宋体" w:hAnsi="宋体"/>
          <w:bCs/>
          <w:color w:val="000000" w:themeColor="text1"/>
          <w:szCs w:val="21"/>
          <w:highlight w:val="none"/>
        </w:rPr>
      </w:pPr>
    </w:p>
    <w:p>
      <w:pPr>
        <w:spacing w:line="460" w:lineRule="exact"/>
        <w:rPr>
          <w:rFonts w:ascii="宋体" w:hAnsi="宋体"/>
          <w:color w:val="000000" w:themeColor="text1"/>
          <w:highlight w:val="none"/>
        </w:rPr>
      </w:pPr>
      <w:r>
        <w:rPr>
          <w:rFonts w:hint="eastAsia" w:ascii="宋体" w:hAnsi="宋体"/>
          <w:color w:val="000000" w:themeColor="text1"/>
          <w:highlight w:val="none"/>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rPr>
      </w:pPr>
      <w:r>
        <w:rPr>
          <w:rFonts w:hint="eastAsia" w:ascii="宋体" w:hAnsi="宋体"/>
          <w:color w:val="000000" w:themeColor="text1"/>
          <w:highlight w:val="none"/>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rPr>
          <w:rFonts w:ascii="宋体" w:hAnsi="宋体"/>
          <w:color w:val="000000" w:themeColor="text1"/>
          <w:highlight w:val="none"/>
        </w:rPr>
      </w:pPr>
      <w:r>
        <w:rPr>
          <w:rFonts w:hint="eastAsia" w:ascii="宋体" w:hAnsi="宋体"/>
          <w:bCs/>
          <w:color w:val="000000" w:themeColor="text1"/>
          <w:szCs w:val="21"/>
          <w:highlight w:val="none"/>
        </w:rPr>
        <w:t>日期：年月日</w:t>
      </w:r>
      <w:bookmarkStart w:id="194" w:name="_Toc200414528"/>
    </w:p>
    <w:p>
      <w:pPr>
        <w:pStyle w:val="5"/>
        <w:numPr>
          <w:ilvl w:val="1"/>
          <w:numId w:val="0"/>
        </w:numPr>
        <w:spacing w:line="360" w:lineRule="auto"/>
        <w:jc w:val="center"/>
        <w:rPr>
          <w:rFonts w:ascii="宋体" w:hAnsi="宋体" w:eastAsia="宋体"/>
          <w:color w:val="000000" w:themeColor="text1"/>
          <w:sz w:val="28"/>
          <w:szCs w:val="28"/>
          <w:highlight w:val="none"/>
        </w:rPr>
      </w:pPr>
      <w:bookmarkStart w:id="195" w:name="_Toc14778"/>
      <w:r>
        <w:rPr>
          <w:rFonts w:hint="eastAsia" w:ascii="宋体" w:hAnsi="宋体" w:eastAsia="宋体"/>
          <w:color w:val="000000" w:themeColor="text1"/>
          <w:sz w:val="28"/>
          <w:szCs w:val="28"/>
          <w:highlight w:val="none"/>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w:t>
      </w:r>
      <w:r>
        <w:rPr>
          <w:rFonts w:hint="eastAsia" w:ascii="宋体" w:hAnsi="宋体"/>
          <w:bCs/>
          <w:color w:val="000000" w:themeColor="text1"/>
          <w:highlight w:val="none"/>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6" w:name="_Toc5299"/>
      <w:bookmarkStart w:id="197" w:name="_Toc200414529"/>
      <w:r>
        <w:rPr>
          <w:rFonts w:hint="eastAsia" w:ascii="宋体" w:hAnsi="宋体" w:eastAsia="宋体"/>
          <w:color w:val="000000" w:themeColor="text1"/>
          <w:sz w:val="28"/>
          <w:szCs w:val="28"/>
          <w:highlight w:val="none"/>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ind w:left="-271" w:leftChars="-129" w:right="-384" w:rightChars="-183"/>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pPr>
        <w:adjustRightInd w:val="0"/>
        <w:snapToGrid w:val="0"/>
        <w:spacing w:line="360" w:lineRule="auto"/>
        <w:ind w:left="567" w:leftChars="270" w:right="-384" w:rightChars="-183" w:firstLine="105" w:firstLineChars="5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rPr>
      </w:pPr>
    </w:p>
    <w:p>
      <w:pPr>
        <w:adjustRightInd w:val="0"/>
        <w:snapToGrid w:val="0"/>
        <w:spacing w:line="360" w:lineRule="auto"/>
        <w:ind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pPr>
        <w:pStyle w:val="9"/>
        <w:spacing w:line="360" w:lineRule="auto"/>
        <w:ind w:firstLine="0"/>
        <w:rPr>
          <w:rFonts w:ascii="宋体" w:hAnsi="宋体"/>
          <w:bCs/>
          <w:color w:val="000000" w:themeColor="text1"/>
          <w:szCs w:val="2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8" w:name="_Toc20283"/>
      <w:r>
        <w:rPr>
          <w:rFonts w:hint="eastAsia" w:ascii="宋体" w:hAnsi="宋体" w:eastAsia="宋体"/>
          <w:color w:val="000000" w:themeColor="text1"/>
          <w:sz w:val="28"/>
          <w:szCs w:val="28"/>
          <w:highlight w:val="none"/>
        </w:rPr>
        <w:t>附件六：同类业绩一览表</w:t>
      </w:r>
      <w:bookmarkEnd w:id="198"/>
    </w:p>
    <w:p>
      <w:pPr>
        <w:pStyle w:val="5"/>
        <w:widowControl/>
        <w:numPr>
          <w:ilvl w:val="1"/>
          <w:numId w:val="0"/>
        </w:numPr>
        <w:tabs>
          <w:tab w:val="left" w:pos="420"/>
        </w:tabs>
        <w:autoSpaceDE w:val="0"/>
        <w:autoSpaceDN w:val="0"/>
        <w:adjustRightInd w:val="0"/>
        <w:snapToGrid w:val="0"/>
        <w:spacing w:before="200" w:after="200" w:line="360" w:lineRule="auto"/>
        <w:textAlignment w:val="baseline"/>
        <w:rPr>
          <w:rFonts w:ascii="宋体" w:hAnsi="宋体" w:eastAsia="宋体"/>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p>
    <w:p>
      <w:pPr>
        <w:rPr>
          <w:color w:val="000000" w:themeColor="text1"/>
          <w:highlight w:val="none"/>
        </w:rPr>
      </w:pP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34"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rPr>
            </w:pPr>
          </w:p>
        </w:tc>
        <w:tc>
          <w:tcPr>
            <w:tcW w:w="1234" w:type="dxa"/>
            <w:vAlign w:val="center"/>
          </w:tcPr>
          <w:p>
            <w:pPr>
              <w:pStyle w:val="9"/>
              <w:snapToGrid w:val="0"/>
              <w:ind w:firstLine="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ind w:firstLine="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bl>
    <w:p>
      <w:pPr>
        <w:rPr>
          <w:color w:val="000000" w:themeColor="text1"/>
          <w:highlight w:val="none"/>
        </w:rPr>
      </w:pPr>
    </w:p>
    <w:p>
      <w:pPr>
        <w:pStyle w:val="9"/>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w:t>
      </w:r>
      <w:r>
        <w:rPr>
          <w:rFonts w:hint="eastAsia" w:ascii="宋体" w:hAnsi="宋体"/>
          <w:bCs/>
          <w:color w:val="000000" w:themeColor="text1"/>
          <w:highlight w:val="none"/>
        </w:rPr>
        <w:t>供应商</w:t>
      </w:r>
      <w:r>
        <w:rPr>
          <w:rFonts w:hint="eastAsia" w:hAnsi="宋体"/>
          <w:bCs/>
          <w:color w:val="000000" w:themeColor="text1"/>
          <w:highlight w:val="none"/>
        </w:rPr>
        <w:t>可自行划表填写，但必须体现以上内容。</w:t>
      </w:r>
    </w:p>
    <w:p>
      <w:pPr>
        <w:pStyle w:val="9"/>
        <w:snapToGrid w:val="0"/>
        <w:spacing w:line="360" w:lineRule="auto"/>
        <w:ind w:firstLine="0"/>
        <w:rPr>
          <w:rFonts w:hAnsi="宋体"/>
          <w:bCs/>
          <w:color w:val="000000" w:themeColor="text1"/>
          <w:highlight w:val="none"/>
        </w:rPr>
      </w:pPr>
    </w:p>
    <w:p>
      <w:pPr>
        <w:pStyle w:val="9"/>
        <w:snapToGrid w:val="0"/>
        <w:spacing w:line="360" w:lineRule="auto"/>
        <w:ind w:firstLine="0"/>
        <w:rPr>
          <w:rFonts w:hAnsi="宋体"/>
          <w:bCs/>
          <w:color w:val="000000" w:themeColor="text1"/>
          <w:highlight w:val="none"/>
        </w:rPr>
      </w:pPr>
    </w:p>
    <w:p>
      <w:pPr>
        <w:pStyle w:val="9"/>
        <w:snapToGrid w:val="0"/>
        <w:spacing w:line="360" w:lineRule="auto"/>
        <w:ind w:firstLine="0"/>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rPr>
          <w:color w:val="000000" w:themeColor="text1"/>
          <w:highlight w:val="none"/>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rPr>
        <w:t>日期： 年月 日</w:t>
      </w:r>
    </w:p>
    <w:p>
      <w:pPr>
        <w:pStyle w:val="5"/>
        <w:numPr>
          <w:ilvl w:val="0"/>
          <w:numId w:val="0"/>
        </w:numPr>
        <w:spacing w:line="400" w:lineRule="exact"/>
        <w:jc w:val="center"/>
        <w:rPr>
          <w:rFonts w:ascii="宋体" w:hAnsi="宋体" w:eastAsia="宋体" w:cs="宋体"/>
          <w:color w:val="000000" w:themeColor="text1"/>
          <w:sz w:val="28"/>
          <w:szCs w:val="28"/>
          <w:highlight w:val="none"/>
        </w:rPr>
      </w:pPr>
      <w:bookmarkStart w:id="199" w:name="_Toc6071"/>
      <w:bookmarkStart w:id="200" w:name="_Toc7149"/>
      <w:bookmarkStart w:id="201" w:name="_Toc4253"/>
      <w:bookmarkStart w:id="202" w:name="_Toc432695229"/>
      <w:bookmarkStart w:id="203" w:name="_Toc432682754"/>
      <w:bookmarkStart w:id="204" w:name="_Toc430771089"/>
      <w:bookmarkStart w:id="205" w:name="_Toc365967105"/>
      <w:bookmarkStart w:id="206" w:name="_Toc340507472"/>
      <w:bookmarkStart w:id="207" w:name="_Toc336681965"/>
      <w:bookmarkStart w:id="208" w:name="_Toc331512931"/>
      <w:bookmarkStart w:id="209" w:name="_Toc333237708"/>
      <w:bookmarkStart w:id="210" w:name="_Toc339362330"/>
      <w:bookmarkStart w:id="211" w:name="_Toc350438779"/>
      <w:bookmarkStart w:id="212" w:name="_Toc333935376"/>
      <w:bookmarkStart w:id="213" w:name="_Toc339019919"/>
      <w:bookmarkStart w:id="214" w:name="_Toc331684072"/>
      <w:bookmarkStart w:id="215" w:name="_Toc336681610"/>
      <w:bookmarkStart w:id="216" w:name="_Toc339020045"/>
      <w:bookmarkStart w:id="217" w:name="_Toc333238664"/>
      <w:bookmarkStart w:id="218" w:name="_Toc102451601"/>
      <w:bookmarkStart w:id="219" w:name="_Toc332206739"/>
      <w:bookmarkStart w:id="220" w:name="_Toc341348370"/>
      <w:bookmarkStart w:id="221" w:name="_Toc342296791"/>
      <w:bookmarkStart w:id="222" w:name="_Toc343248448"/>
      <w:bookmarkStart w:id="223" w:name="_Toc350756480"/>
      <w:bookmarkStart w:id="224" w:name="_Toc345312627"/>
      <w:bookmarkStart w:id="225" w:name="_Toc340672899"/>
      <w:bookmarkStart w:id="226" w:name="_Toc366072562"/>
      <w:bookmarkStart w:id="227" w:name="_Toc342398160"/>
      <w:bookmarkStart w:id="228" w:name="_Toc365985211"/>
      <w:bookmarkStart w:id="229" w:name="_Toc339020263"/>
      <w:bookmarkStart w:id="230" w:name="_Toc330460016"/>
      <w:bookmarkStart w:id="231" w:name="_Toc342312473"/>
      <w:bookmarkStart w:id="232" w:name="_Toc333935717"/>
      <w:bookmarkStart w:id="233" w:name="_Toc332270377"/>
      <w:bookmarkStart w:id="234" w:name="_Toc339441117"/>
      <w:bookmarkStart w:id="235" w:name="_Toc343247130"/>
      <w:bookmarkStart w:id="236" w:name="_Toc337632388"/>
      <w:bookmarkStart w:id="237" w:name="_Toc342060405"/>
      <w:bookmarkStart w:id="238" w:name="_Toc343612950"/>
      <w:bookmarkStart w:id="239" w:name="_Toc333237819"/>
      <w:bookmarkStart w:id="240" w:name="_Toc340677100"/>
      <w:bookmarkStart w:id="241" w:name="_Toc339020125"/>
      <w:r>
        <w:rPr>
          <w:rFonts w:hint="eastAsia" w:ascii="宋体" w:hAnsi="宋体" w:eastAsia="宋体" w:cs="宋体"/>
          <w:color w:val="000000" w:themeColor="text1"/>
          <w:sz w:val="28"/>
          <w:szCs w:val="28"/>
          <w:highlight w:val="none"/>
        </w:rPr>
        <w:t>附件七：中小微企业声明函</w:t>
      </w:r>
      <w:bookmarkEnd w:id="199"/>
      <w:bookmarkEnd w:id="200"/>
      <w:bookmarkEnd w:id="201"/>
      <w:bookmarkEnd w:id="202"/>
      <w:bookmarkEnd w:id="203"/>
      <w:bookmarkEnd w:id="204"/>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ind w:firstLine="0"/>
        <w:rPr>
          <w:color w:val="000000" w:themeColor="text1"/>
          <w:highlight w:val="none"/>
        </w:rPr>
      </w:pPr>
    </w:p>
    <w:p>
      <w:pPr>
        <w:pStyle w:val="9"/>
        <w:rPr>
          <w:color w:val="000000" w:themeColor="text1"/>
          <w:highlight w:val="none"/>
        </w:rPr>
      </w:pP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Pr>
        <w:pStyle w:val="5"/>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rPr>
      </w:pPr>
      <w:bookmarkStart w:id="242" w:name="_Toc14926"/>
      <w:bookmarkStart w:id="243" w:name="_Toc32373"/>
      <w:bookmarkStart w:id="244" w:name="_Toc20242"/>
      <w:bookmarkStart w:id="245" w:name="_Toc1719"/>
      <w:r>
        <w:rPr>
          <w:rFonts w:hint="eastAsia" w:ascii="宋体" w:hAnsi="宋体" w:eastAsia="宋体" w:cs="宋体"/>
          <w:color w:val="000000" w:themeColor="text1"/>
          <w:sz w:val="28"/>
          <w:szCs w:val="28"/>
          <w:highlight w:val="none"/>
        </w:rPr>
        <w:t>附件八：残疾人福利性单位声明函</w:t>
      </w:r>
      <w:bookmarkEnd w:id="242"/>
      <w:bookmarkEnd w:id="243"/>
      <w:bookmarkEnd w:id="244"/>
      <w:bookmarkEnd w:id="245"/>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 xml:space="preserve">供应商法定代表人（负责人）或授权代理人（签字）： </w:t>
      </w: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供应商名称（加盖公章）：</w:t>
      </w: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日期： 年月 日</w:t>
      </w: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246" w:name="_Toc200414534"/>
      <w:bookmarkStart w:id="247" w:name="_Toc3663"/>
      <w:r>
        <w:rPr>
          <w:rFonts w:hint="eastAsia" w:ascii="宋体" w:hAnsi="宋体" w:eastAsia="宋体"/>
          <w:color w:val="000000" w:themeColor="text1"/>
          <w:sz w:val="28"/>
          <w:szCs w:val="28"/>
          <w:highlight w:val="none"/>
        </w:rPr>
        <w:t>附件九：成交服务费承诺</w:t>
      </w:r>
      <w:bookmarkEnd w:id="246"/>
      <w:bookmarkEnd w:id="247"/>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）谈判项目（</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日期：年月日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248" w:name="_Toc12271"/>
      <w:bookmarkStart w:id="249" w:name="_Toc200414535"/>
      <w:r>
        <w:rPr>
          <w:rFonts w:hint="eastAsia" w:ascii="宋体" w:hAnsi="宋体" w:eastAsia="宋体"/>
          <w:color w:val="000000" w:themeColor="text1"/>
          <w:sz w:val="28"/>
          <w:szCs w:val="28"/>
          <w:highlight w:val="none"/>
        </w:rPr>
        <w:t>附件十：谈判供应商提交的其他资料</w:t>
      </w:r>
      <w:bookmarkEnd w:id="248"/>
      <w:bookmarkEnd w:id="249"/>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adjustRightInd w:val="0"/>
        <w:snapToGrid w:val="0"/>
        <w:spacing w:line="360" w:lineRule="auto"/>
        <w:jc w:val="left"/>
        <w:rPr>
          <w:rFonts w:ascii="宋体" w:hAnsi="宋体"/>
          <w:bCs/>
          <w:color w:val="000000" w:themeColor="text1"/>
          <w:szCs w:val="21"/>
          <w:highlight w:val="none"/>
          <w:u w:val="single"/>
        </w:rPr>
      </w:pPr>
    </w:p>
    <w:p>
      <w:pPr>
        <w:pStyle w:val="9"/>
        <w:spacing w:line="360" w:lineRule="auto"/>
        <w:rPr>
          <w:rFonts w:ascii="宋体" w:hAnsi="宋体"/>
          <w:color w:val="000000" w:themeColor="text1"/>
          <w:szCs w:val="21"/>
          <w:highlight w:val="none"/>
        </w:rPr>
      </w:pP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一、</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二、</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三、</w:t>
      </w:r>
      <w:r>
        <w:rPr>
          <w:rFonts w:ascii="宋体" w:hAnsi="宋体"/>
          <w:bCs/>
          <w:color w:val="000000" w:themeColor="text1"/>
          <w:szCs w:val="21"/>
          <w:highlight w:val="none"/>
        </w:rPr>
        <w:t>...</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四、</w:t>
      </w:r>
      <w:r>
        <w:rPr>
          <w:rFonts w:ascii="宋体" w:hAnsi="宋体"/>
          <w:bCs/>
          <w:color w:val="000000" w:themeColor="text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p>
      <w:pPr>
        <w:pStyle w:val="9"/>
        <w:spacing w:line="360" w:lineRule="auto"/>
        <w:rPr>
          <w:rFonts w:ascii="宋体"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52"/>
          <w:highlight w:val="none"/>
        </w:rPr>
      </w:pPr>
      <w:bookmarkStart w:id="250" w:name="_Toc16199"/>
      <w:bookmarkStart w:id="251" w:name="_Toc434832511"/>
      <w:r>
        <w:rPr>
          <w:rFonts w:hint="eastAsia" w:ascii="宋体" w:hAnsi="宋体" w:eastAsia="宋体"/>
          <w:color w:val="000000" w:themeColor="text1"/>
          <w:sz w:val="52"/>
          <w:highlight w:val="none"/>
        </w:rPr>
        <w:t>其 他 格 式</w:t>
      </w:r>
      <w:bookmarkEnd w:id="250"/>
      <w:bookmarkEnd w:id="251"/>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（以下文件勿装订在谈判文件内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pStyle w:val="9"/>
        <w:rPr>
          <w:rFonts w:hint="eastAsia" w:ascii="宋体" w:hAnsi="宋体"/>
          <w:b/>
          <w:color w:val="000000" w:themeColor="text1"/>
          <w:szCs w:val="21"/>
          <w:highlight w:val="none"/>
        </w:rPr>
      </w:pPr>
    </w:p>
    <w:p>
      <w:pPr>
        <w:pStyle w:val="9"/>
        <w:rPr>
          <w:rFonts w:hint="eastAsia" w:ascii="宋体" w:hAnsi="宋体"/>
          <w:b/>
          <w:color w:val="000000" w:themeColor="text1"/>
          <w:szCs w:val="21"/>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8"/>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rPr>
      </w:pPr>
    </w:p>
    <w:p>
      <w:pPr>
        <w:pStyle w:val="38"/>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8"/>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rPr>
          <w:rFonts w:ascii="宋体" w:hAnsi="宋体"/>
          <w:b/>
          <w:color w:val="000000" w:themeColor="text1"/>
          <w:szCs w:val="21"/>
          <w:highlight w:val="none"/>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2">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1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2"/>
  </w:num>
  <w:num w:numId="11">
    <w:abstractNumId w:val="10"/>
  </w:num>
  <w:num w:numId="12">
    <w:abstractNumId w:val="16"/>
  </w:num>
  <w:num w:numId="13">
    <w:abstractNumId w:val="11"/>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BB8"/>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1D4"/>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595B"/>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12"/>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4960"/>
    <w:rsid w:val="000C63CB"/>
    <w:rsid w:val="000C6B06"/>
    <w:rsid w:val="000C6E00"/>
    <w:rsid w:val="000D0D31"/>
    <w:rsid w:val="000D0E1F"/>
    <w:rsid w:val="000D0FA1"/>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35A"/>
    <w:rsid w:val="00144588"/>
    <w:rsid w:val="00144CD2"/>
    <w:rsid w:val="00144D40"/>
    <w:rsid w:val="00144F28"/>
    <w:rsid w:val="00145EED"/>
    <w:rsid w:val="00146D08"/>
    <w:rsid w:val="00146D6C"/>
    <w:rsid w:val="001473FF"/>
    <w:rsid w:val="001477D2"/>
    <w:rsid w:val="0015102E"/>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BF0"/>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97F9E"/>
    <w:rsid w:val="001A08D0"/>
    <w:rsid w:val="001A0BC3"/>
    <w:rsid w:val="001A27BA"/>
    <w:rsid w:val="001A436E"/>
    <w:rsid w:val="001A4393"/>
    <w:rsid w:val="001A4F87"/>
    <w:rsid w:val="001A559F"/>
    <w:rsid w:val="001A60B3"/>
    <w:rsid w:val="001A6293"/>
    <w:rsid w:val="001A6547"/>
    <w:rsid w:val="001A6E21"/>
    <w:rsid w:val="001A73F0"/>
    <w:rsid w:val="001A7BFB"/>
    <w:rsid w:val="001B0095"/>
    <w:rsid w:val="001B028E"/>
    <w:rsid w:val="001B04C9"/>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14CE"/>
    <w:rsid w:val="001D23E8"/>
    <w:rsid w:val="001D23E9"/>
    <w:rsid w:val="001D2C26"/>
    <w:rsid w:val="001D3124"/>
    <w:rsid w:val="001D3AC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3F65"/>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7ED"/>
    <w:rsid w:val="00257C70"/>
    <w:rsid w:val="0026034D"/>
    <w:rsid w:val="00260933"/>
    <w:rsid w:val="00260D78"/>
    <w:rsid w:val="00261034"/>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87F"/>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5C"/>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B90"/>
    <w:rsid w:val="00314CF5"/>
    <w:rsid w:val="00314F07"/>
    <w:rsid w:val="00315060"/>
    <w:rsid w:val="00315BFD"/>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5B2D"/>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3FA2"/>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2A9F"/>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3F4"/>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5EF2"/>
    <w:rsid w:val="0041742D"/>
    <w:rsid w:val="00417B32"/>
    <w:rsid w:val="00417E60"/>
    <w:rsid w:val="00417FDA"/>
    <w:rsid w:val="0042074E"/>
    <w:rsid w:val="00421014"/>
    <w:rsid w:val="00421D1B"/>
    <w:rsid w:val="004227BA"/>
    <w:rsid w:val="00423995"/>
    <w:rsid w:val="004239D2"/>
    <w:rsid w:val="0042565A"/>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4F10"/>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340"/>
    <w:rsid w:val="00450B7B"/>
    <w:rsid w:val="00450C30"/>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3994"/>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497"/>
    <w:rsid w:val="004D299F"/>
    <w:rsid w:val="004D339B"/>
    <w:rsid w:val="004D33D8"/>
    <w:rsid w:val="004D3503"/>
    <w:rsid w:val="004D36B1"/>
    <w:rsid w:val="004D38C6"/>
    <w:rsid w:val="004D3A27"/>
    <w:rsid w:val="004D4193"/>
    <w:rsid w:val="004D4C90"/>
    <w:rsid w:val="004D4E34"/>
    <w:rsid w:val="004D609D"/>
    <w:rsid w:val="004D642A"/>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1EC"/>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62F1"/>
    <w:rsid w:val="0055662F"/>
    <w:rsid w:val="0055710E"/>
    <w:rsid w:val="005572AD"/>
    <w:rsid w:val="0055746A"/>
    <w:rsid w:val="0056006A"/>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1F7"/>
    <w:rsid w:val="005A6641"/>
    <w:rsid w:val="005B0936"/>
    <w:rsid w:val="005B0CB9"/>
    <w:rsid w:val="005B0F5F"/>
    <w:rsid w:val="005B1085"/>
    <w:rsid w:val="005B1AEB"/>
    <w:rsid w:val="005B2F8F"/>
    <w:rsid w:val="005B4460"/>
    <w:rsid w:val="005B50C5"/>
    <w:rsid w:val="005B527D"/>
    <w:rsid w:val="005B595B"/>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3C9"/>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5AA"/>
    <w:rsid w:val="005F562C"/>
    <w:rsid w:val="005F5F4E"/>
    <w:rsid w:val="005F64D9"/>
    <w:rsid w:val="005F713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0CF"/>
    <w:rsid w:val="00611227"/>
    <w:rsid w:val="006112E2"/>
    <w:rsid w:val="006117F6"/>
    <w:rsid w:val="006118C1"/>
    <w:rsid w:val="00611A66"/>
    <w:rsid w:val="00611BCF"/>
    <w:rsid w:val="00611EEF"/>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FE9"/>
    <w:rsid w:val="00687F4B"/>
    <w:rsid w:val="00690627"/>
    <w:rsid w:val="00690F85"/>
    <w:rsid w:val="00691140"/>
    <w:rsid w:val="006915E5"/>
    <w:rsid w:val="00691C25"/>
    <w:rsid w:val="006938AC"/>
    <w:rsid w:val="00693BE4"/>
    <w:rsid w:val="006940AF"/>
    <w:rsid w:val="00694561"/>
    <w:rsid w:val="006945BF"/>
    <w:rsid w:val="0069541C"/>
    <w:rsid w:val="006959B3"/>
    <w:rsid w:val="00695B52"/>
    <w:rsid w:val="006962C2"/>
    <w:rsid w:val="006970C8"/>
    <w:rsid w:val="00697600"/>
    <w:rsid w:val="00697AC8"/>
    <w:rsid w:val="006A0399"/>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177"/>
    <w:rsid w:val="006B3F7E"/>
    <w:rsid w:val="006B4360"/>
    <w:rsid w:val="006B4F0B"/>
    <w:rsid w:val="006B589E"/>
    <w:rsid w:val="006B68AE"/>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0AE3"/>
    <w:rsid w:val="006D1694"/>
    <w:rsid w:val="006D1E29"/>
    <w:rsid w:val="006D240E"/>
    <w:rsid w:val="006D273C"/>
    <w:rsid w:val="006D2F6B"/>
    <w:rsid w:val="006D30EF"/>
    <w:rsid w:val="006D3D7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A2A"/>
    <w:rsid w:val="006F7F28"/>
    <w:rsid w:val="007000CD"/>
    <w:rsid w:val="0070086E"/>
    <w:rsid w:val="007010CA"/>
    <w:rsid w:val="007021AC"/>
    <w:rsid w:val="00702779"/>
    <w:rsid w:val="00704234"/>
    <w:rsid w:val="00704493"/>
    <w:rsid w:val="007048F6"/>
    <w:rsid w:val="00705405"/>
    <w:rsid w:val="0070543E"/>
    <w:rsid w:val="007060EA"/>
    <w:rsid w:val="007065D1"/>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5805"/>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2C46"/>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8E3"/>
    <w:rsid w:val="007D498B"/>
    <w:rsid w:val="007D49F7"/>
    <w:rsid w:val="007D5B3B"/>
    <w:rsid w:val="007D6EE2"/>
    <w:rsid w:val="007D6F3F"/>
    <w:rsid w:val="007E12D7"/>
    <w:rsid w:val="007E1E9D"/>
    <w:rsid w:val="007E2C26"/>
    <w:rsid w:val="007E3E42"/>
    <w:rsid w:val="007E409D"/>
    <w:rsid w:val="007E4715"/>
    <w:rsid w:val="007E47AF"/>
    <w:rsid w:val="007E4AC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DF6"/>
    <w:rsid w:val="00815E17"/>
    <w:rsid w:val="00815F6E"/>
    <w:rsid w:val="00816780"/>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65"/>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2D5"/>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235"/>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9F1"/>
    <w:rsid w:val="008C6F9C"/>
    <w:rsid w:val="008C705C"/>
    <w:rsid w:val="008C7288"/>
    <w:rsid w:val="008C73A0"/>
    <w:rsid w:val="008C77E8"/>
    <w:rsid w:val="008C780C"/>
    <w:rsid w:val="008C7C06"/>
    <w:rsid w:val="008D09AB"/>
    <w:rsid w:val="008D0FD1"/>
    <w:rsid w:val="008D192B"/>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229"/>
    <w:rsid w:val="00901304"/>
    <w:rsid w:val="0090136D"/>
    <w:rsid w:val="00902053"/>
    <w:rsid w:val="009028F9"/>
    <w:rsid w:val="009029A6"/>
    <w:rsid w:val="00902FB5"/>
    <w:rsid w:val="0090382D"/>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3AC"/>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1BCE"/>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07B7E"/>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19C7"/>
    <w:rsid w:val="00A72169"/>
    <w:rsid w:val="00A7253D"/>
    <w:rsid w:val="00A72E27"/>
    <w:rsid w:val="00A73548"/>
    <w:rsid w:val="00A73B50"/>
    <w:rsid w:val="00A73C38"/>
    <w:rsid w:val="00A73F34"/>
    <w:rsid w:val="00A74996"/>
    <w:rsid w:val="00A750C9"/>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6EC4"/>
    <w:rsid w:val="00A878F0"/>
    <w:rsid w:val="00A87BA3"/>
    <w:rsid w:val="00A87C01"/>
    <w:rsid w:val="00A90906"/>
    <w:rsid w:val="00A91764"/>
    <w:rsid w:val="00A93065"/>
    <w:rsid w:val="00A934D5"/>
    <w:rsid w:val="00A9363C"/>
    <w:rsid w:val="00A93DF6"/>
    <w:rsid w:val="00A94BA5"/>
    <w:rsid w:val="00A94C61"/>
    <w:rsid w:val="00A94D91"/>
    <w:rsid w:val="00A95E79"/>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203"/>
    <w:rsid w:val="00AB37A7"/>
    <w:rsid w:val="00AB499E"/>
    <w:rsid w:val="00AB4A95"/>
    <w:rsid w:val="00AB4B98"/>
    <w:rsid w:val="00AB5736"/>
    <w:rsid w:val="00AB585A"/>
    <w:rsid w:val="00AB65A3"/>
    <w:rsid w:val="00AB6B5D"/>
    <w:rsid w:val="00AB772F"/>
    <w:rsid w:val="00AC10F3"/>
    <w:rsid w:val="00AC1AA0"/>
    <w:rsid w:val="00AC1C40"/>
    <w:rsid w:val="00AC1EF2"/>
    <w:rsid w:val="00AC2053"/>
    <w:rsid w:val="00AC2AD2"/>
    <w:rsid w:val="00AC31F6"/>
    <w:rsid w:val="00AC3F69"/>
    <w:rsid w:val="00AC4CED"/>
    <w:rsid w:val="00AC58CA"/>
    <w:rsid w:val="00AC5B6B"/>
    <w:rsid w:val="00AC66C2"/>
    <w:rsid w:val="00AC7A05"/>
    <w:rsid w:val="00AC7C2F"/>
    <w:rsid w:val="00AD260D"/>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5358"/>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0A9A"/>
    <w:rsid w:val="00B81618"/>
    <w:rsid w:val="00B8185B"/>
    <w:rsid w:val="00B83059"/>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1FFC"/>
    <w:rsid w:val="00BC20CE"/>
    <w:rsid w:val="00BC28E2"/>
    <w:rsid w:val="00BC294C"/>
    <w:rsid w:val="00BC2AA4"/>
    <w:rsid w:val="00BC2E6B"/>
    <w:rsid w:val="00BC311C"/>
    <w:rsid w:val="00BC3181"/>
    <w:rsid w:val="00BC3BFE"/>
    <w:rsid w:val="00BC5328"/>
    <w:rsid w:val="00BC5444"/>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0B78"/>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0BEE"/>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3954"/>
    <w:rsid w:val="00C343C2"/>
    <w:rsid w:val="00C3589E"/>
    <w:rsid w:val="00C35D7F"/>
    <w:rsid w:val="00C375B0"/>
    <w:rsid w:val="00C40086"/>
    <w:rsid w:val="00C402D4"/>
    <w:rsid w:val="00C40459"/>
    <w:rsid w:val="00C40C9B"/>
    <w:rsid w:val="00C4275F"/>
    <w:rsid w:val="00C42C57"/>
    <w:rsid w:val="00C42C6A"/>
    <w:rsid w:val="00C42C87"/>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170"/>
    <w:rsid w:val="00C61DE6"/>
    <w:rsid w:val="00C63E97"/>
    <w:rsid w:val="00C64416"/>
    <w:rsid w:val="00C6492E"/>
    <w:rsid w:val="00C649DC"/>
    <w:rsid w:val="00C64B44"/>
    <w:rsid w:val="00C64E68"/>
    <w:rsid w:val="00C65106"/>
    <w:rsid w:val="00C66C47"/>
    <w:rsid w:val="00C6709C"/>
    <w:rsid w:val="00C67631"/>
    <w:rsid w:val="00C67E68"/>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A7E05"/>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B7386"/>
    <w:rsid w:val="00CC18B5"/>
    <w:rsid w:val="00CC1DDB"/>
    <w:rsid w:val="00CC2B18"/>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7B9"/>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5E6"/>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626"/>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360"/>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8CD"/>
    <w:rsid w:val="00DF395A"/>
    <w:rsid w:val="00DF3BF3"/>
    <w:rsid w:val="00DF42D6"/>
    <w:rsid w:val="00DF494C"/>
    <w:rsid w:val="00DF530B"/>
    <w:rsid w:val="00DF57A6"/>
    <w:rsid w:val="00DF6606"/>
    <w:rsid w:val="00DF7B7D"/>
    <w:rsid w:val="00DF7F12"/>
    <w:rsid w:val="00E00601"/>
    <w:rsid w:val="00E00808"/>
    <w:rsid w:val="00E01AA3"/>
    <w:rsid w:val="00E01FB2"/>
    <w:rsid w:val="00E02065"/>
    <w:rsid w:val="00E0216E"/>
    <w:rsid w:val="00E0267C"/>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52B8"/>
    <w:rsid w:val="00E25311"/>
    <w:rsid w:val="00E27005"/>
    <w:rsid w:val="00E275E0"/>
    <w:rsid w:val="00E27854"/>
    <w:rsid w:val="00E27AF7"/>
    <w:rsid w:val="00E30111"/>
    <w:rsid w:val="00E30379"/>
    <w:rsid w:val="00E30704"/>
    <w:rsid w:val="00E30FC4"/>
    <w:rsid w:val="00E31539"/>
    <w:rsid w:val="00E31D34"/>
    <w:rsid w:val="00E31E3C"/>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9B6"/>
    <w:rsid w:val="00E90A76"/>
    <w:rsid w:val="00E912DE"/>
    <w:rsid w:val="00E91309"/>
    <w:rsid w:val="00E92010"/>
    <w:rsid w:val="00E9248D"/>
    <w:rsid w:val="00E92F4C"/>
    <w:rsid w:val="00E945A6"/>
    <w:rsid w:val="00E95B3F"/>
    <w:rsid w:val="00E95B7B"/>
    <w:rsid w:val="00E95C50"/>
    <w:rsid w:val="00E95EA0"/>
    <w:rsid w:val="00E96D9D"/>
    <w:rsid w:val="00E96F99"/>
    <w:rsid w:val="00E97BAC"/>
    <w:rsid w:val="00EA164D"/>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3E70"/>
    <w:rsid w:val="00EB4636"/>
    <w:rsid w:val="00EB4F77"/>
    <w:rsid w:val="00EB5733"/>
    <w:rsid w:val="00EB7272"/>
    <w:rsid w:val="00EC1934"/>
    <w:rsid w:val="00EC2719"/>
    <w:rsid w:val="00EC5CFF"/>
    <w:rsid w:val="00ED06C9"/>
    <w:rsid w:val="00ED0BC6"/>
    <w:rsid w:val="00ED19EC"/>
    <w:rsid w:val="00ED29B3"/>
    <w:rsid w:val="00ED2E30"/>
    <w:rsid w:val="00ED395D"/>
    <w:rsid w:val="00ED45A0"/>
    <w:rsid w:val="00ED4C30"/>
    <w:rsid w:val="00ED5730"/>
    <w:rsid w:val="00ED6056"/>
    <w:rsid w:val="00ED63E0"/>
    <w:rsid w:val="00ED6998"/>
    <w:rsid w:val="00ED776B"/>
    <w:rsid w:val="00EE0486"/>
    <w:rsid w:val="00EE07E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55D3"/>
    <w:rsid w:val="00EF6A3C"/>
    <w:rsid w:val="00EF6C9B"/>
    <w:rsid w:val="00EF732B"/>
    <w:rsid w:val="00F0019E"/>
    <w:rsid w:val="00F00200"/>
    <w:rsid w:val="00F0111E"/>
    <w:rsid w:val="00F01441"/>
    <w:rsid w:val="00F01862"/>
    <w:rsid w:val="00F02238"/>
    <w:rsid w:val="00F034F9"/>
    <w:rsid w:val="00F04C12"/>
    <w:rsid w:val="00F0573A"/>
    <w:rsid w:val="00F05B39"/>
    <w:rsid w:val="00F05B98"/>
    <w:rsid w:val="00F05BCC"/>
    <w:rsid w:val="00F05BE0"/>
    <w:rsid w:val="00F07772"/>
    <w:rsid w:val="00F0795E"/>
    <w:rsid w:val="00F10C20"/>
    <w:rsid w:val="00F10D8B"/>
    <w:rsid w:val="00F1123A"/>
    <w:rsid w:val="00F11436"/>
    <w:rsid w:val="00F116C8"/>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6F3"/>
    <w:rsid w:val="00F50A7D"/>
    <w:rsid w:val="00F50CCB"/>
    <w:rsid w:val="00F52E12"/>
    <w:rsid w:val="00F5315B"/>
    <w:rsid w:val="00F53DA9"/>
    <w:rsid w:val="00F541A4"/>
    <w:rsid w:val="00F54E90"/>
    <w:rsid w:val="00F55CFD"/>
    <w:rsid w:val="00F5612E"/>
    <w:rsid w:val="00F57C87"/>
    <w:rsid w:val="00F601E6"/>
    <w:rsid w:val="00F6114C"/>
    <w:rsid w:val="00F61980"/>
    <w:rsid w:val="00F61BA1"/>
    <w:rsid w:val="00F622A9"/>
    <w:rsid w:val="00F63EAC"/>
    <w:rsid w:val="00F64252"/>
    <w:rsid w:val="00F644BE"/>
    <w:rsid w:val="00F64CC7"/>
    <w:rsid w:val="00F64E41"/>
    <w:rsid w:val="00F6505E"/>
    <w:rsid w:val="00F659A1"/>
    <w:rsid w:val="00F6620E"/>
    <w:rsid w:val="00F6661F"/>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3DA2"/>
    <w:rsid w:val="00F944C6"/>
    <w:rsid w:val="00F947FA"/>
    <w:rsid w:val="00F95030"/>
    <w:rsid w:val="00F95436"/>
    <w:rsid w:val="00F95921"/>
    <w:rsid w:val="00F959A8"/>
    <w:rsid w:val="00F95E22"/>
    <w:rsid w:val="00F96476"/>
    <w:rsid w:val="00F9753F"/>
    <w:rsid w:val="00FA020C"/>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472A"/>
    <w:rsid w:val="00FC5486"/>
    <w:rsid w:val="00FC5FDD"/>
    <w:rsid w:val="00FC6773"/>
    <w:rsid w:val="00FC67C9"/>
    <w:rsid w:val="00FC6E59"/>
    <w:rsid w:val="00FC7C02"/>
    <w:rsid w:val="00FD03C2"/>
    <w:rsid w:val="00FD1158"/>
    <w:rsid w:val="00FD1732"/>
    <w:rsid w:val="00FD29B7"/>
    <w:rsid w:val="00FD2B0D"/>
    <w:rsid w:val="00FD2D2C"/>
    <w:rsid w:val="00FD3149"/>
    <w:rsid w:val="00FD32B5"/>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925"/>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361B7E"/>
    <w:rsid w:val="06C61066"/>
    <w:rsid w:val="06D70337"/>
    <w:rsid w:val="06F227DE"/>
    <w:rsid w:val="071A41EC"/>
    <w:rsid w:val="07906ECF"/>
    <w:rsid w:val="0875303E"/>
    <w:rsid w:val="09880BF1"/>
    <w:rsid w:val="0A70684A"/>
    <w:rsid w:val="0A951F6E"/>
    <w:rsid w:val="0BFA53E6"/>
    <w:rsid w:val="0C7E1292"/>
    <w:rsid w:val="0C7F72BD"/>
    <w:rsid w:val="0D844120"/>
    <w:rsid w:val="0D9E60D7"/>
    <w:rsid w:val="0E333B63"/>
    <w:rsid w:val="0E5B4877"/>
    <w:rsid w:val="0F9A500F"/>
    <w:rsid w:val="1025513D"/>
    <w:rsid w:val="116077A0"/>
    <w:rsid w:val="11832341"/>
    <w:rsid w:val="11CA3ACF"/>
    <w:rsid w:val="11FB3784"/>
    <w:rsid w:val="12427DF1"/>
    <w:rsid w:val="12BA5DE6"/>
    <w:rsid w:val="13622204"/>
    <w:rsid w:val="13665E1A"/>
    <w:rsid w:val="13FF2FB9"/>
    <w:rsid w:val="14B52404"/>
    <w:rsid w:val="15E76A24"/>
    <w:rsid w:val="1665289F"/>
    <w:rsid w:val="16CB43D6"/>
    <w:rsid w:val="16F63EDD"/>
    <w:rsid w:val="17827F02"/>
    <w:rsid w:val="17B3596F"/>
    <w:rsid w:val="182E7070"/>
    <w:rsid w:val="183F1D1A"/>
    <w:rsid w:val="19F97358"/>
    <w:rsid w:val="1A553748"/>
    <w:rsid w:val="1A6754AF"/>
    <w:rsid w:val="1AE3378E"/>
    <w:rsid w:val="1AFA6EBD"/>
    <w:rsid w:val="1C3358E6"/>
    <w:rsid w:val="1C7B3169"/>
    <w:rsid w:val="1C933E4A"/>
    <w:rsid w:val="1CC9785C"/>
    <w:rsid w:val="1EB14821"/>
    <w:rsid w:val="206414C8"/>
    <w:rsid w:val="206977D9"/>
    <w:rsid w:val="20CA13E8"/>
    <w:rsid w:val="21A613C7"/>
    <w:rsid w:val="223733C1"/>
    <w:rsid w:val="224E294F"/>
    <w:rsid w:val="226C214F"/>
    <w:rsid w:val="22854FFE"/>
    <w:rsid w:val="22E31283"/>
    <w:rsid w:val="2348000B"/>
    <w:rsid w:val="2443398C"/>
    <w:rsid w:val="24A03125"/>
    <w:rsid w:val="25BB7DA5"/>
    <w:rsid w:val="27AA5D11"/>
    <w:rsid w:val="28F96905"/>
    <w:rsid w:val="2AA97BFA"/>
    <w:rsid w:val="2B065545"/>
    <w:rsid w:val="2BAE4F34"/>
    <w:rsid w:val="2CC827E0"/>
    <w:rsid w:val="2D655D46"/>
    <w:rsid w:val="2D812572"/>
    <w:rsid w:val="2F3435AD"/>
    <w:rsid w:val="2F831DFE"/>
    <w:rsid w:val="2FAF694F"/>
    <w:rsid w:val="3013700C"/>
    <w:rsid w:val="310E0365"/>
    <w:rsid w:val="313145D4"/>
    <w:rsid w:val="314027AE"/>
    <w:rsid w:val="31C07988"/>
    <w:rsid w:val="332A00E7"/>
    <w:rsid w:val="338A0C00"/>
    <w:rsid w:val="341D3752"/>
    <w:rsid w:val="34514DEA"/>
    <w:rsid w:val="34A5067E"/>
    <w:rsid w:val="34CC3D50"/>
    <w:rsid w:val="35645814"/>
    <w:rsid w:val="359441D9"/>
    <w:rsid w:val="36682807"/>
    <w:rsid w:val="37F86297"/>
    <w:rsid w:val="38077A24"/>
    <w:rsid w:val="39822E25"/>
    <w:rsid w:val="39A03CEF"/>
    <w:rsid w:val="39A33E38"/>
    <w:rsid w:val="39E30BB5"/>
    <w:rsid w:val="39F775D0"/>
    <w:rsid w:val="3AB70F8D"/>
    <w:rsid w:val="3ADC5258"/>
    <w:rsid w:val="3AED7D56"/>
    <w:rsid w:val="3B096D60"/>
    <w:rsid w:val="3B3D6F2F"/>
    <w:rsid w:val="3B636D7F"/>
    <w:rsid w:val="3BD261FC"/>
    <w:rsid w:val="3DA429BD"/>
    <w:rsid w:val="3E546CEB"/>
    <w:rsid w:val="3F657D6E"/>
    <w:rsid w:val="401C19E8"/>
    <w:rsid w:val="40B0300A"/>
    <w:rsid w:val="418827F6"/>
    <w:rsid w:val="421440A0"/>
    <w:rsid w:val="427914F2"/>
    <w:rsid w:val="42926285"/>
    <w:rsid w:val="42C85330"/>
    <w:rsid w:val="42DA0C6E"/>
    <w:rsid w:val="43AB748D"/>
    <w:rsid w:val="43C05366"/>
    <w:rsid w:val="44FA1BC9"/>
    <w:rsid w:val="450966EF"/>
    <w:rsid w:val="45412657"/>
    <w:rsid w:val="465877C4"/>
    <w:rsid w:val="476612EE"/>
    <w:rsid w:val="478B4272"/>
    <w:rsid w:val="47EA5B27"/>
    <w:rsid w:val="48582D55"/>
    <w:rsid w:val="48BD6E6E"/>
    <w:rsid w:val="48F15695"/>
    <w:rsid w:val="490F0E32"/>
    <w:rsid w:val="49782573"/>
    <w:rsid w:val="4A1C5E76"/>
    <w:rsid w:val="4B3A2F93"/>
    <w:rsid w:val="4BDB628F"/>
    <w:rsid w:val="4C803A6C"/>
    <w:rsid w:val="4CDF200B"/>
    <w:rsid w:val="4D2F1861"/>
    <w:rsid w:val="4D6D5E5C"/>
    <w:rsid w:val="4D8818A4"/>
    <w:rsid w:val="4DEA2773"/>
    <w:rsid w:val="4DF72F6D"/>
    <w:rsid w:val="4EB80AE3"/>
    <w:rsid w:val="4FBF2B30"/>
    <w:rsid w:val="50070AD0"/>
    <w:rsid w:val="51854483"/>
    <w:rsid w:val="5246001F"/>
    <w:rsid w:val="524A1ECB"/>
    <w:rsid w:val="5446679D"/>
    <w:rsid w:val="54491131"/>
    <w:rsid w:val="54E831A5"/>
    <w:rsid w:val="554A3B9B"/>
    <w:rsid w:val="55D22D52"/>
    <w:rsid w:val="56F07EC4"/>
    <w:rsid w:val="574C01D5"/>
    <w:rsid w:val="5A4159A9"/>
    <w:rsid w:val="5A633C89"/>
    <w:rsid w:val="5B457B15"/>
    <w:rsid w:val="5B696393"/>
    <w:rsid w:val="5B7B1804"/>
    <w:rsid w:val="5B7D7635"/>
    <w:rsid w:val="5BA1276A"/>
    <w:rsid w:val="5C475F9E"/>
    <w:rsid w:val="5C5872CD"/>
    <w:rsid w:val="5C704658"/>
    <w:rsid w:val="5CA31D78"/>
    <w:rsid w:val="5D684457"/>
    <w:rsid w:val="5DB617B5"/>
    <w:rsid w:val="5EAE747B"/>
    <w:rsid w:val="5F34520E"/>
    <w:rsid w:val="601C5B46"/>
    <w:rsid w:val="606A15ED"/>
    <w:rsid w:val="60FD6695"/>
    <w:rsid w:val="61A90ADF"/>
    <w:rsid w:val="62C81B46"/>
    <w:rsid w:val="6424211E"/>
    <w:rsid w:val="64C37BF6"/>
    <w:rsid w:val="64D14343"/>
    <w:rsid w:val="65D90B98"/>
    <w:rsid w:val="67F10FCD"/>
    <w:rsid w:val="68B03FED"/>
    <w:rsid w:val="6AFB752E"/>
    <w:rsid w:val="6BE5179C"/>
    <w:rsid w:val="6C2D63A9"/>
    <w:rsid w:val="6CF05300"/>
    <w:rsid w:val="6D0D797F"/>
    <w:rsid w:val="6D881C70"/>
    <w:rsid w:val="6E0C11B0"/>
    <w:rsid w:val="6E3C0C9C"/>
    <w:rsid w:val="6E661D1D"/>
    <w:rsid w:val="6FDD6381"/>
    <w:rsid w:val="71D55177"/>
    <w:rsid w:val="72FA47FF"/>
    <w:rsid w:val="75C630A2"/>
    <w:rsid w:val="7849732E"/>
    <w:rsid w:val="7AFE42AC"/>
    <w:rsid w:val="7B086438"/>
    <w:rsid w:val="7B4A52E9"/>
    <w:rsid w:val="7D4D5A35"/>
    <w:rsid w:val="7DA75CF8"/>
    <w:rsid w:val="7DF37ED1"/>
    <w:rsid w:val="7F930498"/>
    <w:rsid w:val="7FAA5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autoRedefine/>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84"/>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68"/>
    <w:autoRedefine/>
    <w:qFormat/>
    <w:uiPriority w:val="0"/>
    <w:pPr>
      <w:keepNext/>
      <w:keepLines/>
      <w:spacing w:before="260" w:after="260" w:line="416" w:lineRule="auto"/>
      <w:outlineLvl w:val="2"/>
    </w:pPr>
    <w:rPr>
      <w:b/>
      <w:bCs/>
      <w:sz w:val="32"/>
      <w:szCs w:val="32"/>
    </w:rPr>
  </w:style>
  <w:style w:type="paragraph" w:styleId="2">
    <w:name w:val="heading 4"/>
    <w:basedOn w:val="1"/>
    <w:next w:val="3"/>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6"/>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50"/>
    <w:autoRedefine/>
    <w:qFormat/>
    <w:uiPriority w:val="0"/>
    <w:pPr>
      <w:keepNext/>
      <w:keepLines/>
      <w:spacing w:before="240" w:after="64" w:line="320" w:lineRule="auto"/>
      <w:outlineLvl w:val="6"/>
    </w:pPr>
    <w:rPr>
      <w:b/>
      <w:sz w:val="24"/>
      <w:szCs w:val="20"/>
    </w:rPr>
  </w:style>
  <w:style w:type="paragraph" w:styleId="11">
    <w:name w:val="heading 8"/>
    <w:basedOn w:val="1"/>
    <w:next w:val="9"/>
    <w:link w:val="87"/>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51"/>
    <w:autoRedefine/>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360" w:lineRule="auto"/>
    </w:pPr>
    <w:rPr>
      <w:szCs w:val="20"/>
    </w:rPr>
  </w:style>
  <w:style w:type="paragraph" w:styleId="9">
    <w:name w:val="Normal Indent"/>
    <w:basedOn w:val="1"/>
    <w:link w:val="55"/>
    <w:autoRedefine/>
    <w:qFormat/>
    <w:uiPriority w:val="0"/>
    <w:pPr>
      <w:ind w:firstLine="420"/>
    </w:pPr>
    <w:rPr>
      <w:szCs w:val="20"/>
    </w:rPr>
  </w:style>
  <w:style w:type="paragraph" w:styleId="13">
    <w:name w:val="toc 7"/>
    <w:basedOn w:val="1"/>
    <w:next w:val="1"/>
    <w:autoRedefine/>
    <w:unhideWhenUsed/>
    <w:qFormat/>
    <w:uiPriority w:val="39"/>
    <w:pPr>
      <w:ind w:left="1260"/>
      <w:jc w:val="left"/>
    </w:pPr>
    <w:rPr>
      <w:rFonts w:ascii="Calibri" w:hAnsi="Calibri"/>
      <w:sz w:val="18"/>
      <w:szCs w:val="18"/>
    </w:rPr>
  </w:style>
  <w:style w:type="paragraph" w:styleId="14">
    <w:name w:val="caption"/>
    <w:basedOn w:val="1"/>
    <w:next w:val="1"/>
    <w:link w:val="74"/>
    <w:autoRedefine/>
    <w:qFormat/>
    <w:uiPriority w:val="0"/>
    <w:rPr>
      <w:rFonts w:ascii="Arial" w:hAnsi="Arial" w:eastAsia="黑体"/>
      <w:sz w:val="20"/>
      <w:szCs w:val="20"/>
    </w:rPr>
  </w:style>
  <w:style w:type="paragraph" w:styleId="15">
    <w:name w:val="Document Map"/>
    <w:basedOn w:val="1"/>
    <w:autoRedefine/>
    <w:semiHidden/>
    <w:qFormat/>
    <w:uiPriority w:val="0"/>
    <w:pPr>
      <w:shd w:val="clear" w:color="auto" w:fill="000080"/>
    </w:pPr>
  </w:style>
  <w:style w:type="paragraph" w:styleId="16">
    <w:name w:val="toa heading"/>
    <w:basedOn w:val="1"/>
    <w:next w:val="1"/>
    <w:autoRedefine/>
    <w:semiHidden/>
    <w:qFormat/>
    <w:uiPriority w:val="0"/>
    <w:pPr>
      <w:spacing w:before="120"/>
    </w:pPr>
    <w:rPr>
      <w:rFonts w:ascii="Arial" w:hAnsi="Arial"/>
      <w:sz w:val="24"/>
      <w:szCs w:val="20"/>
    </w:rPr>
  </w:style>
  <w:style w:type="paragraph" w:styleId="17">
    <w:name w:val="annotation text"/>
    <w:basedOn w:val="1"/>
    <w:link w:val="67"/>
    <w:autoRedefine/>
    <w:semiHidden/>
    <w:qFormat/>
    <w:uiPriority w:val="99"/>
    <w:pPr>
      <w:jc w:val="left"/>
    </w:pPr>
  </w:style>
  <w:style w:type="paragraph" w:styleId="18">
    <w:name w:val="Body Text 3"/>
    <w:basedOn w:val="1"/>
    <w:autoRedefine/>
    <w:qFormat/>
    <w:uiPriority w:val="0"/>
    <w:pPr>
      <w:spacing w:after="120"/>
    </w:pPr>
    <w:rPr>
      <w:sz w:val="16"/>
      <w:szCs w:val="16"/>
    </w:rPr>
  </w:style>
  <w:style w:type="paragraph" w:styleId="19">
    <w:name w:val="Body Text Indent"/>
    <w:basedOn w:val="1"/>
    <w:link w:val="60"/>
    <w:autoRedefine/>
    <w:qFormat/>
    <w:uiPriority w:val="99"/>
    <w:pPr>
      <w:ind w:firstLine="830" w:firstLineChars="352"/>
    </w:pPr>
    <w:rPr>
      <w:rFonts w:ascii="仿宋_GB2312" w:eastAsia="仿宋_GB2312"/>
      <w:sz w:val="32"/>
      <w:szCs w:val="20"/>
    </w:rPr>
  </w:style>
  <w:style w:type="paragraph" w:styleId="20">
    <w:name w:val="toc 5"/>
    <w:basedOn w:val="1"/>
    <w:next w:val="1"/>
    <w:autoRedefine/>
    <w:unhideWhenUsed/>
    <w:qFormat/>
    <w:uiPriority w:val="39"/>
    <w:pPr>
      <w:ind w:left="840"/>
      <w:jc w:val="left"/>
    </w:pPr>
    <w:rPr>
      <w:rFonts w:ascii="Calibri" w:hAnsi="Calibri"/>
      <w:sz w:val="18"/>
      <w:szCs w:val="18"/>
    </w:rPr>
  </w:style>
  <w:style w:type="paragraph" w:styleId="21">
    <w:name w:val="toc 3"/>
    <w:basedOn w:val="1"/>
    <w:next w:val="1"/>
    <w:autoRedefine/>
    <w:qFormat/>
    <w:uiPriority w:val="39"/>
    <w:pPr>
      <w:tabs>
        <w:tab w:val="left" w:pos="900"/>
        <w:tab w:val="left" w:pos="1080"/>
      </w:tabs>
      <w:ind w:left="100" w:leftChars="100"/>
    </w:pPr>
    <w:rPr>
      <w:rFonts w:ascii="宋体" w:hAnsi="宋体"/>
      <w:iCs/>
    </w:rPr>
  </w:style>
  <w:style w:type="paragraph" w:styleId="22">
    <w:name w:val="Plain Text"/>
    <w:basedOn w:val="1"/>
    <w:link w:val="64"/>
    <w:autoRedefine/>
    <w:qFormat/>
    <w:uiPriority w:val="0"/>
    <w:rPr>
      <w:rFonts w:ascii="宋体" w:hAnsi="Courier New" w:cs="Courier New"/>
      <w:szCs w:val="21"/>
    </w:rPr>
  </w:style>
  <w:style w:type="paragraph" w:styleId="23">
    <w:name w:val="toc 8"/>
    <w:basedOn w:val="1"/>
    <w:next w:val="1"/>
    <w:autoRedefine/>
    <w:qFormat/>
    <w:uiPriority w:val="39"/>
    <w:pPr>
      <w:ind w:left="1470"/>
      <w:jc w:val="left"/>
    </w:pPr>
    <w:rPr>
      <w:rFonts w:ascii="Calibri" w:hAnsi="Calibri"/>
      <w:sz w:val="18"/>
      <w:szCs w:val="18"/>
    </w:rPr>
  </w:style>
  <w:style w:type="paragraph" w:styleId="24">
    <w:name w:val="index 3"/>
    <w:basedOn w:val="1"/>
    <w:next w:val="1"/>
    <w:autoRedefine/>
    <w:semiHidden/>
    <w:qFormat/>
    <w:uiPriority w:val="0"/>
    <w:pPr>
      <w:ind w:left="400" w:leftChars="400"/>
    </w:pPr>
  </w:style>
  <w:style w:type="paragraph" w:styleId="25">
    <w:name w:val="Date"/>
    <w:basedOn w:val="1"/>
    <w:next w:val="1"/>
    <w:autoRedefine/>
    <w:qFormat/>
    <w:uiPriority w:val="0"/>
    <w:rPr>
      <w:rFonts w:ascii="宋体" w:hAnsi="Courier New"/>
      <w:b/>
      <w:sz w:val="48"/>
      <w:szCs w:val="20"/>
    </w:rPr>
  </w:style>
  <w:style w:type="paragraph" w:styleId="26">
    <w:name w:val="Body Text Indent 2"/>
    <w:basedOn w:val="1"/>
    <w:link w:val="89"/>
    <w:autoRedefine/>
    <w:qFormat/>
    <w:uiPriority w:val="0"/>
    <w:pPr>
      <w:spacing w:after="120" w:line="480" w:lineRule="auto"/>
      <w:ind w:left="420" w:leftChars="200"/>
    </w:pPr>
  </w:style>
  <w:style w:type="paragraph" w:styleId="27">
    <w:name w:val="Balloon Text"/>
    <w:basedOn w:val="1"/>
    <w:link w:val="59"/>
    <w:autoRedefine/>
    <w:semiHidden/>
    <w:qFormat/>
    <w:uiPriority w:val="0"/>
    <w:rPr>
      <w:sz w:val="18"/>
      <w:szCs w:val="18"/>
    </w:rPr>
  </w:style>
  <w:style w:type="paragraph" w:styleId="28">
    <w:name w:val="footer"/>
    <w:basedOn w:val="1"/>
    <w:link w:val="77"/>
    <w:autoRedefine/>
    <w:qFormat/>
    <w:uiPriority w:val="0"/>
    <w:pPr>
      <w:tabs>
        <w:tab w:val="center" w:pos="4153"/>
        <w:tab w:val="right" w:pos="8306"/>
      </w:tabs>
      <w:snapToGrid w:val="0"/>
      <w:jc w:val="left"/>
    </w:pPr>
    <w:rPr>
      <w:sz w:val="18"/>
      <w:szCs w:val="18"/>
    </w:rPr>
  </w:style>
  <w:style w:type="paragraph" w:styleId="29">
    <w:name w:val="header"/>
    <w:basedOn w:val="1"/>
    <w:link w:val="56"/>
    <w:autoRedefine/>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31">
    <w:name w:val="toc 4"/>
    <w:basedOn w:val="1"/>
    <w:next w:val="1"/>
    <w:autoRedefine/>
    <w:unhideWhenUsed/>
    <w:qFormat/>
    <w:uiPriority w:val="39"/>
    <w:pPr>
      <w:ind w:left="630"/>
      <w:jc w:val="left"/>
    </w:pPr>
    <w:rPr>
      <w:rFonts w:ascii="Calibri" w:hAnsi="Calibri"/>
      <w:sz w:val="18"/>
      <w:szCs w:val="18"/>
    </w:rPr>
  </w:style>
  <w:style w:type="paragraph" w:styleId="32">
    <w:name w:val="index heading"/>
    <w:basedOn w:val="1"/>
    <w:next w:val="33"/>
    <w:autoRedefine/>
    <w:semiHidden/>
    <w:qFormat/>
    <w:uiPriority w:val="0"/>
    <w:rPr>
      <w:szCs w:val="20"/>
    </w:rPr>
  </w:style>
  <w:style w:type="paragraph" w:styleId="33">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4">
    <w:name w:val="toc 6"/>
    <w:basedOn w:val="1"/>
    <w:next w:val="1"/>
    <w:autoRedefine/>
    <w:unhideWhenUsed/>
    <w:qFormat/>
    <w:uiPriority w:val="39"/>
    <w:pPr>
      <w:ind w:left="1050"/>
      <w:jc w:val="left"/>
    </w:pPr>
    <w:rPr>
      <w:rFonts w:ascii="Calibri" w:hAnsi="Calibri"/>
      <w:sz w:val="18"/>
      <w:szCs w:val="18"/>
    </w:rPr>
  </w:style>
  <w:style w:type="paragraph" w:styleId="35">
    <w:name w:val="Body Text Indent 3"/>
    <w:basedOn w:val="1"/>
    <w:autoRedefine/>
    <w:qFormat/>
    <w:uiPriority w:val="0"/>
    <w:pPr>
      <w:spacing w:line="360" w:lineRule="auto"/>
      <w:ind w:firstLine="420" w:firstLineChars="200"/>
    </w:pPr>
    <w:rPr>
      <w:szCs w:val="20"/>
    </w:rPr>
  </w:style>
  <w:style w:type="paragraph" w:styleId="36">
    <w:name w:val="toc 2"/>
    <w:basedOn w:val="1"/>
    <w:next w:val="1"/>
    <w:autoRedefine/>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autoRedefine/>
    <w:unhideWhenUsed/>
    <w:qFormat/>
    <w:uiPriority w:val="39"/>
    <w:pPr>
      <w:ind w:left="1680"/>
      <w:jc w:val="left"/>
    </w:pPr>
    <w:rPr>
      <w:rFonts w:ascii="Calibri" w:hAnsi="Calibri"/>
      <w:sz w:val="18"/>
      <w:szCs w:val="18"/>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autoRedefine/>
    <w:qFormat/>
    <w:uiPriority w:val="0"/>
    <w:pPr>
      <w:spacing w:before="240" w:after="60"/>
      <w:jc w:val="center"/>
      <w:outlineLvl w:val="0"/>
    </w:pPr>
    <w:rPr>
      <w:rFonts w:ascii="Arial" w:hAnsi="Arial"/>
      <w:b/>
      <w:bCs/>
      <w:sz w:val="32"/>
      <w:szCs w:val="32"/>
    </w:rPr>
  </w:style>
  <w:style w:type="paragraph" w:styleId="40">
    <w:name w:val="annotation subject"/>
    <w:basedOn w:val="17"/>
    <w:next w:val="17"/>
    <w:autoRedefine/>
    <w:semiHidden/>
    <w:qFormat/>
    <w:uiPriority w:val="0"/>
    <w:rPr>
      <w:b/>
      <w:bCs/>
    </w:rPr>
  </w:style>
  <w:style w:type="paragraph" w:styleId="41">
    <w:name w:val="Body Text First Indent"/>
    <w:basedOn w:val="3"/>
    <w:autoRedefine/>
    <w:qFormat/>
    <w:uiPriority w:val="0"/>
    <w:pPr>
      <w:spacing w:after="120" w:line="240" w:lineRule="auto"/>
      <w:ind w:firstLine="420" w:firstLineChars="100"/>
    </w:pPr>
    <w:rPr>
      <w:szCs w:val="24"/>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rFonts w:ascii="Tahoma" w:hAnsi="Tahoma" w:eastAsia="宋体"/>
      <w:b/>
      <w:bCs/>
      <w:spacing w:val="10"/>
      <w:sz w:val="24"/>
      <w:lang w:val="en-US" w:eastAsia="zh-CN" w:bidi="ar-SA"/>
    </w:rPr>
  </w:style>
  <w:style w:type="character" w:styleId="46">
    <w:name w:val="page number"/>
    <w:basedOn w:val="44"/>
    <w:autoRedefine/>
    <w:qFormat/>
    <w:uiPriority w:val="0"/>
  </w:style>
  <w:style w:type="character" w:styleId="47">
    <w:name w:val="Hyperlink"/>
    <w:autoRedefine/>
    <w:qFormat/>
    <w:uiPriority w:val="99"/>
    <w:rPr>
      <w:color w:val="0000FF"/>
      <w:u w:val="single"/>
    </w:rPr>
  </w:style>
  <w:style w:type="character" w:styleId="48">
    <w:name w:val="annotation reference"/>
    <w:autoRedefine/>
    <w:semiHidden/>
    <w:qFormat/>
    <w:uiPriority w:val="0"/>
    <w:rPr>
      <w:sz w:val="21"/>
      <w:szCs w:val="21"/>
    </w:rPr>
  </w:style>
  <w:style w:type="character" w:customStyle="1" w:styleId="49">
    <w:name w:val="已访问的超链接1"/>
    <w:autoRedefine/>
    <w:qFormat/>
    <w:uiPriority w:val="0"/>
    <w:rPr>
      <w:color w:val="800080"/>
      <w:u w:val="single"/>
    </w:rPr>
  </w:style>
  <w:style w:type="character" w:customStyle="1" w:styleId="50">
    <w:name w:val="标题 7 Char"/>
    <w:link w:val="10"/>
    <w:autoRedefine/>
    <w:qFormat/>
    <w:locked/>
    <w:uiPriority w:val="0"/>
    <w:rPr>
      <w:b/>
      <w:kern w:val="2"/>
      <w:sz w:val="24"/>
    </w:rPr>
  </w:style>
  <w:style w:type="character" w:customStyle="1" w:styleId="51">
    <w:name w:val="标题 9 Char"/>
    <w:link w:val="12"/>
    <w:autoRedefine/>
    <w:qFormat/>
    <w:locked/>
    <w:uiPriority w:val="0"/>
    <w:rPr>
      <w:rFonts w:ascii="Arial" w:hAnsi="Arial" w:eastAsia="黑体"/>
      <w:kern w:val="2"/>
      <w:sz w:val="21"/>
    </w:rPr>
  </w:style>
  <w:style w:type="character" w:customStyle="1" w:styleId="52">
    <w:name w:val="标题 3 Char1"/>
    <w:autoRedefine/>
    <w:qFormat/>
    <w:locked/>
    <w:uiPriority w:val="0"/>
    <w:rPr>
      <w:rFonts w:ascii="宋体" w:hAnsi="Times New Roman"/>
    </w:rPr>
  </w:style>
  <w:style w:type="character" w:customStyle="1" w:styleId="53">
    <w:name w:val="标题 4 Char"/>
    <w:link w:val="2"/>
    <w:autoRedefine/>
    <w:qFormat/>
    <w:locked/>
    <w:uiPriority w:val="0"/>
    <w:rPr>
      <w:rFonts w:ascii="Arial" w:hAnsi="Arial" w:eastAsia="黑体"/>
      <w:b/>
      <w:bCs/>
      <w:kern w:val="2"/>
      <w:sz w:val="28"/>
      <w:szCs w:val="28"/>
    </w:rPr>
  </w:style>
  <w:style w:type="character" w:customStyle="1" w:styleId="54">
    <w:name w:val="Char Char8"/>
    <w:autoRedefine/>
    <w:qFormat/>
    <w:uiPriority w:val="0"/>
    <w:rPr>
      <w:rFonts w:ascii="宋体" w:hAnsi="Courier New" w:eastAsia="宋体"/>
      <w:kern w:val="2"/>
      <w:sz w:val="21"/>
      <w:lang w:val="en-US" w:eastAsia="zh-CN" w:bidi="ar-SA"/>
    </w:rPr>
  </w:style>
  <w:style w:type="character" w:customStyle="1" w:styleId="55">
    <w:name w:val="正文缩进 Char"/>
    <w:link w:val="9"/>
    <w:autoRedefine/>
    <w:qFormat/>
    <w:uiPriority w:val="0"/>
    <w:rPr>
      <w:rFonts w:eastAsia="宋体"/>
      <w:kern w:val="2"/>
      <w:sz w:val="21"/>
      <w:lang w:val="en-US" w:eastAsia="zh-CN" w:bidi="ar-SA"/>
    </w:rPr>
  </w:style>
  <w:style w:type="character" w:customStyle="1" w:styleId="56">
    <w:name w:val="页眉 Char"/>
    <w:link w:val="29"/>
    <w:autoRedefine/>
    <w:qFormat/>
    <w:uiPriority w:val="0"/>
    <w:rPr>
      <w:rFonts w:hAnsi="宋体"/>
      <w:color w:val="000000"/>
      <w:kern w:val="2"/>
      <w:sz w:val="18"/>
      <w:szCs w:val="18"/>
    </w:rPr>
  </w:style>
  <w:style w:type="character" w:customStyle="1" w:styleId="57">
    <w:name w:val="正文 A Char Char"/>
    <w:link w:val="58"/>
    <w:autoRedefine/>
    <w:qFormat/>
    <w:uiPriority w:val="0"/>
    <w:rPr>
      <w:rFonts w:ascii="仿宋_GB2312" w:hAnsi="Heiti SC Light" w:eastAsia="仿宋_GB2312"/>
      <w:kern w:val="2"/>
      <w:sz w:val="24"/>
      <w:lang w:val="en-US" w:eastAsia="zh-CN" w:bidi="ar-SA"/>
    </w:rPr>
  </w:style>
  <w:style w:type="paragraph" w:customStyle="1" w:styleId="58">
    <w:name w:val="正文 A"/>
    <w:link w:val="57"/>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autoRedefine/>
    <w:semiHidden/>
    <w:qFormat/>
    <w:locked/>
    <w:uiPriority w:val="0"/>
    <w:rPr>
      <w:kern w:val="2"/>
      <w:sz w:val="18"/>
      <w:szCs w:val="18"/>
    </w:rPr>
  </w:style>
  <w:style w:type="character" w:customStyle="1" w:styleId="60">
    <w:name w:val="正文文本缩进 Char"/>
    <w:link w:val="19"/>
    <w:autoRedefine/>
    <w:qFormat/>
    <w:uiPriority w:val="99"/>
    <w:rPr>
      <w:rFonts w:ascii="仿宋_GB2312" w:eastAsia="仿宋_GB2312"/>
      <w:kern w:val="2"/>
      <w:sz w:val="32"/>
    </w:rPr>
  </w:style>
  <w:style w:type="character" w:customStyle="1" w:styleId="61">
    <w:name w:val="xl25 Char"/>
    <w:link w:val="62"/>
    <w:autoRedefine/>
    <w:qFormat/>
    <w:uiPriority w:val="0"/>
    <w:rPr>
      <w:rFonts w:ascii="宋体" w:hAnsi="宋体" w:eastAsia="宋体"/>
      <w:sz w:val="21"/>
      <w:szCs w:val="21"/>
      <w:lang w:val="en-US" w:eastAsia="zh-CN" w:bidi="ar-SA"/>
    </w:rPr>
  </w:style>
  <w:style w:type="paragraph" w:customStyle="1" w:styleId="62">
    <w:name w:val="xl25"/>
    <w:basedOn w:val="1"/>
    <w:link w:val="6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autoRedefine/>
    <w:qFormat/>
    <w:uiPriority w:val="0"/>
    <w:rPr>
      <w:sz w:val="18"/>
      <w:szCs w:val="18"/>
      <w:u w:val="none"/>
    </w:rPr>
  </w:style>
  <w:style w:type="character" w:customStyle="1" w:styleId="64">
    <w:name w:val="纯文本 Char"/>
    <w:link w:val="22"/>
    <w:autoRedefine/>
    <w:qFormat/>
    <w:uiPriority w:val="0"/>
    <w:rPr>
      <w:rFonts w:ascii="宋体" w:hAnsi="Courier New" w:eastAsia="宋体" w:cs="Courier New"/>
      <w:kern w:val="2"/>
      <w:sz w:val="21"/>
      <w:szCs w:val="21"/>
      <w:lang w:val="en-US" w:eastAsia="zh-CN" w:bidi="ar-SA"/>
    </w:rPr>
  </w:style>
  <w:style w:type="character" w:customStyle="1" w:styleId="65">
    <w:name w:val="标题 2 Char"/>
    <w:autoRedefine/>
    <w:qFormat/>
    <w:uiPriority w:val="0"/>
    <w:rPr>
      <w:rFonts w:ascii="Arial" w:hAnsi="Arial" w:eastAsia="黑体"/>
      <w:b/>
      <w:bCs/>
      <w:kern w:val="2"/>
      <w:sz w:val="32"/>
      <w:szCs w:val="32"/>
      <w:lang w:val="en-US" w:eastAsia="zh-CN" w:bidi="ar-SA"/>
    </w:rPr>
  </w:style>
  <w:style w:type="character" w:customStyle="1" w:styleId="66">
    <w:name w:val="纯文本 Char1"/>
    <w:autoRedefine/>
    <w:qFormat/>
    <w:uiPriority w:val="0"/>
    <w:rPr>
      <w:rFonts w:ascii="宋体" w:hAnsi="Courier New" w:eastAsia="宋体" w:cs="Times New Roman"/>
      <w:kern w:val="0"/>
      <w:sz w:val="20"/>
      <w:szCs w:val="20"/>
    </w:rPr>
  </w:style>
  <w:style w:type="character" w:customStyle="1" w:styleId="67">
    <w:name w:val="批注文字 Char"/>
    <w:link w:val="17"/>
    <w:autoRedefine/>
    <w:semiHidden/>
    <w:qFormat/>
    <w:uiPriority w:val="99"/>
    <w:rPr>
      <w:kern w:val="2"/>
      <w:sz w:val="21"/>
      <w:szCs w:val="24"/>
    </w:rPr>
  </w:style>
  <w:style w:type="character" w:customStyle="1" w:styleId="68">
    <w:name w:val="标题 3 Char"/>
    <w:link w:val="6"/>
    <w:autoRedefine/>
    <w:qFormat/>
    <w:uiPriority w:val="0"/>
    <w:rPr>
      <w:rFonts w:eastAsia="宋体"/>
      <w:b/>
      <w:bCs/>
      <w:kern w:val="2"/>
      <w:sz w:val="32"/>
      <w:szCs w:val="32"/>
      <w:lang w:val="en-US" w:eastAsia="zh-CN" w:bidi="ar-SA"/>
    </w:rPr>
  </w:style>
  <w:style w:type="character" w:customStyle="1" w:styleId="69">
    <w:name w:val="mark8"/>
    <w:autoRedefine/>
    <w:qFormat/>
    <w:uiPriority w:val="0"/>
    <w:rPr>
      <w:b/>
      <w:bCs/>
      <w:sz w:val="21"/>
      <w:szCs w:val="21"/>
    </w:rPr>
  </w:style>
  <w:style w:type="character" w:customStyle="1" w:styleId="70">
    <w:name w:val="列出段落 Char"/>
    <w:link w:val="71"/>
    <w:autoRedefine/>
    <w:qFormat/>
    <w:uiPriority w:val="0"/>
    <w:rPr>
      <w:rFonts w:ascii="Calibri" w:hAnsi="Calibri"/>
      <w:kern w:val="2"/>
      <w:sz w:val="21"/>
      <w:szCs w:val="22"/>
    </w:rPr>
  </w:style>
  <w:style w:type="paragraph" w:styleId="71">
    <w:name w:val="List Paragraph"/>
    <w:basedOn w:val="1"/>
    <w:link w:val="70"/>
    <w:autoRedefine/>
    <w:qFormat/>
    <w:uiPriority w:val="0"/>
    <w:pPr>
      <w:ind w:firstLine="420" w:firstLineChars="200"/>
    </w:pPr>
    <w:rPr>
      <w:rFonts w:ascii="Calibri" w:hAnsi="Calibri"/>
      <w:szCs w:val="22"/>
    </w:rPr>
  </w:style>
  <w:style w:type="character" w:customStyle="1" w:styleId="72">
    <w:name w:val="Char Char10"/>
    <w:autoRedefine/>
    <w:qFormat/>
    <w:uiPriority w:val="0"/>
    <w:rPr>
      <w:rFonts w:eastAsia="宋体"/>
      <w:kern w:val="2"/>
      <w:sz w:val="18"/>
      <w:szCs w:val="18"/>
      <w:lang w:val="en-US" w:eastAsia="zh-CN" w:bidi="ar-SA"/>
    </w:rPr>
  </w:style>
  <w:style w:type="character" w:customStyle="1" w:styleId="73">
    <w:name w:val="nine-11"/>
    <w:autoRedefine/>
    <w:qFormat/>
    <w:uiPriority w:val="0"/>
    <w:rPr>
      <w:rFonts w:hint="default"/>
      <w:sz w:val="18"/>
      <w:szCs w:val="18"/>
    </w:rPr>
  </w:style>
  <w:style w:type="character" w:customStyle="1" w:styleId="74">
    <w:name w:val="题注 Char"/>
    <w:link w:val="14"/>
    <w:autoRedefine/>
    <w:qFormat/>
    <w:uiPriority w:val="0"/>
    <w:rPr>
      <w:rFonts w:ascii="Arial" w:hAnsi="Arial" w:eastAsia="黑体" w:cs="Arial"/>
      <w:kern w:val="2"/>
    </w:rPr>
  </w:style>
  <w:style w:type="character" w:customStyle="1" w:styleId="75">
    <w:name w:val="mark"/>
    <w:basedOn w:val="44"/>
    <w:autoRedefine/>
    <w:qFormat/>
    <w:uiPriority w:val="0"/>
  </w:style>
  <w:style w:type="character" w:customStyle="1" w:styleId="76">
    <w:name w:val="Char Char3"/>
    <w:autoRedefine/>
    <w:qFormat/>
    <w:uiPriority w:val="0"/>
    <w:rPr>
      <w:rFonts w:eastAsia="宋体"/>
      <w:kern w:val="2"/>
      <w:sz w:val="18"/>
      <w:lang w:val="en-US" w:eastAsia="zh-CN" w:bidi="ar-SA"/>
    </w:rPr>
  </w:style>
  <w:style w:type="character" w:customStyle="1" w:styleId="77">
    <w:name w:val="页脚 Char"/>
    <w:link w:val="28"/>
    <w:autoRedefine/>
    <w:qFormat/>
    <w:uiPriority w:val="0"/>
    <w:rPr>
      <w:rFonts w:eastAsia="宋体"/>
      <w:kern w:val="2"/>
      <w:sz w:val="18"/>
      <w:szCs w:val="18"/>
      <w:lang w:val="en-US" w:eastAsia="zh-CN" w:bidi="ar-SA"/>
    </w:rPr>
  </w:style>
  <w:style w:type="character" w:customStyle="1" w:styleId="78">
    <w:name w:val="font31"/>
    <w:autoRedefine/>
    <w:qFormat/>
    <w:uiPriority w:val="0"/>
    <w:rPr>
      <w:rFonts w:hint="eastAsia" w:ascii="宋体" w:hAnsi="宋体" w:eastAsia="宋体" w:cs="宋体"/>
      <w:color w:val="000000"/>
      <w:sz w:val="20"/>
      <w:szCs w:val="20"/>
      <w:u w:val="none"/>
    </w:rPr>
  </w:style>
  <w:style w:type="character" w:customStyle="1" w:styleId="79">
    <w:name w:val="Font Style17"/>
    <w:autoRedefine/>
    <w:qFormat/>
    <w:uiPriority w:val="0"/>
    <w:rPr>
      <w:rFonts w:ascii="黑体" w:eastAsia="黑体" w:cs="黑体"/>
      <w:sz w:val="28"/>
      <w:szCs w:val="28"/>
    </w:rPr>
  </w:style>
  <w:style w:type="character" w:customStyle="1" w:styleId="80">
    <w:name w:val="标题 1 Char"/>
    <w:autoRedefine/>
    <w:qFormat/>
    <w:uiPriority w:val="0"/>
    <w:rPr>
      <w:rFonts w:ascii="Times New Roman" w:hAnsi="Times New Roman" w:eastAsia="宋体" w:cs="Times New Roman"/>
      <w:b/>
      <w:bCs/>
      <w:kern w:val="44"/>
      <w:sz w:val="44"/>
      <w:szCs w:val="44"/>
    </w:rPr>
  </w:style>
  <w:style w:type="character" w:customStyle="1" w:styleId="81">
    <w:name w:val="List Paragraph Char"/>
    <w:link w:val="82"/>
    <w:autoRedefine/>
    <w:qFormat/>
    <w:locked/>
    <w:uiPriority w:val="0"/>
    <w:rPr>
      <w:rFonts w:ascii="Calibri" w:hAnsi="Calibri"/>
      <w:kern w:val="2"/>
      <w:sz w:val="21"/>
      <w:szCs w:val="22"/>
    </w:rPr>
  </w:style>
  <w:style w:type="paragraph" w:customStyle="1" w:styleId="82">
    <w:name w:val="列出段落2"/>
    <w:basedOn w:val="1"/>
    <w:link w:val="81"/>
    <w:autoRedefine/>
    <w:qFormat/>
    <w:uiPriority w:val="0"/>
    <w:pPr>
      <w:ind w:firstLine="420" w:firstLineChars="200"/>
    </w:pPr>
    <w:rPr>
      <w:rFonts w:ascii="Calibri" w:hAnsi="Calibri"/>
      <w:szCs w:val="22"/>
    </w:rPr>
  </w:style>
  <w:style w:type="character" w:customStyle="1" w:styleId="83">
    <w:name w:val="标题 1 Char1"/>
    <w:link w:val="4"/>
    <w:autoRedefine/>
    <w:qFormat/>
    <w:locked/>
    <w:uiPriority w:val="0"/>
    <w:rPr>
      <w:b/>
      <w:bCs/>
      <w:kern w:val="44"/>
      <w:sz w:val="44"/>
      <w:szCs w:val="44"/>
    </w:rPr>
  </w:style>
  <w:style w:type="character" w:customStyle="1" w:styleId="84">
    <w:name w:val="标题 2 Char1"/>
    <w:link w:val="5"/>
    <w:autoRedefine/>
    <w:qFormat/>
    <w:locked/>
    <w:uiPriority w:val="0"/>
    <w:rPr>
      <w:rFonts w:ascii="Arial" w:hAnsi="Arial" w:eastAsia="黑体"/>
      <w:b/>
      <w:bCs/>
      <w:kern w:val="2"/>
      <w:sz w:val="32"/>
      <w:szCs w:val="32"/>
    </w:rPr>
  </w:style>
  <w:style w:type="character" w:customStyle="1" w:styleId="85">
    <w:name w:val="标题 5 Char"/>
    <w:link w:val="7"/>
    <w:autoRedefine/>
    <w:qFormat/>
    <w:locked/>
    <w:uiPriority w:val="0"/>
    <w:rPr>
      <w:b/>
      <w:sz w:val="28"/>
    </w:rPr>
  </w:style>
  <w:style w:type="character" w:customStyle="1" w:styleId="86">
    <w:name w:val="标题 6 Char"/>
    <w:link w:val="8"/>
    <w:autoRedefine/>
    <w:qFormat/>
    <w:locked/>
    <w:uiPriority w:val="0"/>
    <w:rPr>
      <w:rFonts w:ascii="Arial" w:hAnsi="Arial" w:eastAsia="黑体"/>
      <w:b/>
      <w:kern w:val="2"/>
      <w:sz w:val="24"/>
    </w:rPr>
  </w:style>
  <w:style w:type="character" w:customStyle="1" w:styleId="87">
    <w:name w:val="标题 8 Char"/>
    <w:link w:val="11"/>
    <w:autoRedefine/>
    <w:qFormat/>
    <w:locked/>
    <w:uiPriority w:val="0"/>
    <w:rPr>
      <w:rFonts w:ascii="Arial" w:hAnsi="Arial" w:eastAsia="黑体"/>
      <w:kern w:val="2"/>
      <w:sz w:val="24"/>
    </w:rPr>
  </w:style>
  <w:style w:type="character" w:customStyle="1" w:styleId="88">
    <w:name w:val="标题 Char"/>
    <w:link w:val="39"/>
    <w:autoRedefine/>
    <w:qFormat/>
    <w:uiPriority w:val="0"/>
    <w:rPr>
      <w:rFonts w:ascii="Arial" w:hAnsi="Arial" w:cs="Arial"/>
      <w:b/>
      <w:bCs/>
      <w:kern w:val="2"/>
      <w:sz w:val="32"/>
      <w:szCs w:val="32"/>
    </w:rPr>
  </w:style>
  <w:style w:type="character" w:customStyle="1" w:styleId="89">
    <w:name w:val="正文文本缩进 2 Char"/>
    <w:link w:val="26"/>
    <w:autoRedefine/>
    <w:qFormat/>
    <w:uiPriority w:val="0"/>
    <w:rPr>
      <w:kern w:val="2"/>
      <w:sz w:val="21"/>
      <w:szCs w:val="24"/>
    </w:rPr>
  </w:style>
  <w:style w:type="character" w:customStyle="1" w:styleId="90">
    <w:name w:val="表标题 Char Char"/>
    <w:link w:val="91"/>
    <w:autoRedefine/>
    <w:qFormat/>
    <w:uiPriority w:val="0"/>
    <w:rPr>
      <w:b/>
    </w:rPr>
  </w:style>
  <w:style w:type="paragraph" w:customStyle="1" w:styleId="91">
    <w:name w:val="表标题"/>
    <w:basedOn w:val="9"/>
    <w:link w:val="90"/>
    <w:autoRedefine/>
    <w:qFormat/>
    <w:uiPriority w:val="0"/>
    <w:pPr>
      <w:adjustRightInd w:val="0"/>
      <w:snapToGrid w:val="0"/>
      <w:spacing w:before="62" w:after="62"/>
      <w:ind w:firstLine="0"/>
      <w:jc w:val="center"/>
    </w:pPr>
    <w:rPr>
      <w:b/>
      <w:kern w:val="0"/>
      <w:sz w:val="20"/>
    </w:rPr>
  </w:style>
  <w:style w:type="paragraph" w:customStyle="1" w:styleId="9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autoRedefine/>
    <w:qFormat/>
    <w:uiPriority w:val="0"/>
    <w:pPr>
      <w:spacing w:beforeLines="50" w:afterLines="50"/>
    </w:pPr>
  </w:style>
  <w:style w:type="paragraph" w:customStyle="1" w:styleId="94">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autoRedefine/>
    <w:qFormat/>
    <w:uiPriority w:val="0"/>
    <w:pPr>
      <w:spacing w:line="560" w:lineRule="atLeast"/>
    </w:pPr>
    <w:rPr>
      <w:rFonts w:ascii="宋体"/>
      <w:bCs w:val="0"/>
      <w:sz w:val="44"/>
      <w:szCs w:val="20"/>
    </w:rPr>
  </w:style>
  <w:style w:type="paragraph" w:customStyle="1" w:styleId="98">
    <w:name w:val="Char3"/>
    <w:basedOn w:val="1"/>
    <w:autoRedefine/>
    <w:qFormat/>
    <w:uiPriority w:val="0"/>
  </w:style>
  <w:style w:type="paragraph" w:customStyle="1" w:styleId="99">
    <w:name w:val="表格"/>
    <w:basedOn w:val="1"/>
    <w:autoRedefine/>
    <w:qFormat/>
    <w:uiPriority w:val="0"/>
    <w:pPr>
      <w:jc w:val="center"/>
    </w:pPr>
    <w:rPr>
      <w:rFonts w:ascii="宋体"/>
      <w:b/>
      <w:szCs w:val="20"/>
    </w:rPr>
  </w:style>
  <w:style w:type="paragraph" w:customStyle="1" w:styleId="100">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101">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autoRedefine/>
    <w:qFormat/>
    <w:uiPriority w:val="0"/>
    <w:pPr>
      <w:widowControl/>
    </w:pPr>
    <w:rPr>
      <w:kern w:val="0"/>
      <w:szCs w:val="21"/>
    </w:rPr>
  </w:style>
  <w:style w:type="paragraph" w:customStyle="1" w:styleId="103">
    <w:name w:val="图框内的文字"/>
    <w:basedOn w:val="1"/>
    <w:autoRedefine/>
    <w:qFormat/>
    <w:uiPriority w:val="0"/>
    <w:pPr>
      <w:jc w:val="center"/>
    </w:pPr>
    <w:rPr>
      <w:position w:val="6"/>
      <w:szCs w:val="20"/>
    </w:rPr>
  </w:style>
  <w:style w:type="paragraph" w:customStyle="1" w:styleId="104">
    <w:name w:val="默认段落字体 Para Char"/>
    <w:basedOn w:val="1"/>
    <w:autoRedefine/>
    <w:qFormat/>
    <w:uiPriority w:val="0"/>
    <w:rPr>
      <w:rFonts w:ascii="宋体" w:hAnsi="宋体"/>
      <w:b/>
      <w:sz w:val="28"/>
      <w:szCs w:val="28"/>
    </w:rPr>
  </w:style>
  <w:style w:type="paragraph" w:customStyle="1" w:styleId="105">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autoRedefine/>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autoRedefine/>
    <w:qFormat/>
    <w:uiPriority w:val="0"/>
    <w:pPr>
      <w:spacing w:line="360" w:lineRule="auto"/>
      <w:ind w:firstLine="200" w:firstLineChars="200"/>
    </w:pPr>
    <w:rPr>
      <w:rFonts w:ascii="宋体" w:hAnsi="宋体" w:cs="宋体"/>
      <w:sz w:val="24"/>
    </w:rPr>
  </w:style>
  <w:style w:type="paragraph" w:customStyle="1" w:styleId="108">
    <w:name w:val="正文段落"/>
    <w:basedOn w:val="1"/>
    <w:autoRedefine/>
    <w:qFormat/>
    <w:uiPriority w:val="0"/>
    <w:pPr>
      <w:widowControl/>
      <w:spacing w:after="40" w:line="360" w:lineRule="auto"/>
      <w:ind w:firstLine="200" w:firstLineChars="200"/>
    </w:pPr>
    <w:rPr>
      <w:kern w:val="0"/>
      <w:sz w:val="24"/>
    </w:rPr>
  </w:style>
  <w:style w:type="paragraph" w:customStyle="1" w:styleId="109">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autoRedefine/>
    <w:qFormat/>
    <w:uiPriority w:val="0"/>
    <w:rPr>
      <w:rFonts w:ascii="宋体" w:hAnsi="宋体"/>
      <w:b/>
      <w:sz w:val="28"/>
      <w:szCs w:val="28"/>
    </w:rPr>
  </w:style>
  <w:style w:type="paragraph" w:customStyle="1" w:styleId="111">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autoRedefine/>
    <w:qFormat/>
    <w:uiPriority w:val="0"/>
    <w:rPr>
      <w:rFonts w:ascii="宋体" w:hAnsi="宋体"/>
      <w:b/>
      <w:sz w:val="28"/>
      <w:szCs w:val="28"/>
    </w:rPr>
  </w:style>
  <w:style w:type="paragraph" w:customStyle="1" w:styleId="113">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4"/>
    <w:autoRedefine/>
    <w:qFormat/>
    <w:uiPriority w:val="0"/>
    <w:pPr>
      <w:jc w:val="center"/>
    </w:pPr>
    <w:rPr>
      <w:b/>
      <w:color w:val="000000"/>
      <w:sz w:val="24"/>
      <w:szCs w:val="21"/>
    </w:rPr>
  </w:style>
  <w:style w:type="paragraph" w:customStyle="1" w:styleId="11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4"/>
    <w:autoRedefine/>
    <w:qFormat/>
    <w:uiPriority w:val="0"/>
    <w:pPr>
      <w:ind w:left="-132" w:leftChars="-64" w:right="-105" w:rightChars="-50" w:hanging="2"/>
      <w:jc w:val="center"/>
    </w:pPr>
    <w:rPr>
      <w:b/>
      <w:color w:val="FF0000"/>
      <w:szCs w:val="21"/>
      <w:lang w:val="en-GB"/>
    </w:rPr>
  </w:style>
  <w:style w:type="paragraph" w:customStyle="1" w:styleId="117">
    <w:name w:val="表格文字"/>
    <w:basedOn w:val="1"/>
    <w:next w:val="1"/>
    <w:autoRedefine/>
    <w:qFormat/>
    <w:uiPriority w:val="0"/>
    <w:pPr>
      <w:spacing w:before="25" w:after="25"/>
      <w:jc w:val="left"/>
    </w:pPr>
    <w:rPr>
      <w:bCs/>
      <w:spacing w:val="10"/>
      <w:kern w:val="0"/>
      <w:sz w:val="24"/>
      <w:szCs w:val="20"/>
    </w:rPr>
  </w:style>
  <w:style w:type="paragraph" w:customStyle="1" w:styleId="118">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autoRedefine/>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autoRedefine/>
    <w:qFormat/>
    <w:uiPriority w:val="0"/>
    <w:rPr>
      <w:sz w:val="28"/>
    </w:rPr>
  </w:style>
  <w:style w:type="paragraph" w:customStyle="1" w:styleId="125">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2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autoRedefine/>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2"/>
    <w:autoRedefine/>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autoRedefine/>
    <w:qFormat/>
    <w:uiPriority w:val="0"/>
    <w:pPr>
      <w:numPr>
        <w:ilvl w:val="0"/>
        <w:numId w:val="2"/>
      </w:numPr>
    </w:pPr>
    <w:rPr>
      <w:sz w:val="24"/>
    </w:rPr>
  </w:style>
  <w:style w:type="paragraph" w:customStyle="1" w:styleId="133">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autoRedefine/>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autoRedefine/>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autoRedefine/>
    <w:qFormat/>
    <w:uiPriority w:val="0"/>
    <w:pPr>
      <w:ind w:firstLine="420" w:firstLineChars="200"/>
    </w:pPr>
    <w:rPr>
      <w:rFonts w:ascii="Calibri" w:hAnsi="Calibri" w:cs="黑体"/>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autoRedefine/>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autoRedefine/>
    <w:qFormat/>
    <w:uiPriority w:val="0"/>
    <w:rPr>
      <w:rFonts w:ascii="Arial" w:hAnsi="Arial" w:cs="Arial"/>
      <w:sz w:val="20"/>
      <w:szCs w:val="20"/>
    </w:rPr>
  </w:style>
  <w:style w:type="paragraph" w:customStyle="1" w:styleId="144">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autoRedefine/>
    <w:qFormat/>
    <w:uiPriority w:val="34"/>
    <w:pPr>
      <w:ind w:firstLine="420" w:firstLineChars="200"/>
    </w:pPr>
  </w:style>
  <w:style w:type="paragraph" w:customStyle="1" w:styleId="146">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autoRedefine/>
    <w:qFormat/>
    <w:uiPriority w:val="0"/>
    <w:pPr>
      <w:numPr>
        <w:ilvl w:val="0"/>
        <w:numId w:val="4"/>
      </w:numPr>
      <w:spacing w:line="360" w:lineRule="auto"/>
    </w:pPr>
    <w:rPr>
      <w:rFonts w:ascii="宋体"/>
    </w:rPr>
  </w:style>
  <w:style w:type="table" w:customStyle="1" w:styleId="148">
    <w:name w:val="网格型1"/>
    <w:basedOn w:val="4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autoRedefine/>
    <w:semiHidden/>
    <w:qFormat/>
    <w:uiPriority w:val="99"/>
    <w:rPr>
      <w:color w:val="808080"/>
    </w:rPr>
  </w:style>
  <w:style w:type="paragraph" w:customStyle="1" w:styleId="150">
    <w:name w:val="样式 样式 标题 4Alt+41.1.1.1 Heading 4bulletblbbH44h4H41h41H42... + 自动..."/>
    <w:basedOn w:val="1"/>
    <w:autoRedefine/>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D0E12-2433-44C2-949B-B53EDC223FB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19911</Words>
  <Characters>21320</Characters>
  <Lines>197</Lines>
  <Paragraphs>55</Paragraphs>
  <TotalTime>23</TotalTime>
  <ScaleCrop>false</ScaleCrop>
  <LinksUpToDate>false</LinksUpToDate>
  <CharactersWithSpaces>26163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2017-11-24T01:18:00Z</dcterms:created>
  <dc:creator>ibm</dc:creator>
  <cp:lastModifiedBy>Administrator</cp:lastModifiedBy>
  <cp:lastPrinted>2016-12-28T09:38:00Z</cp:lastPrinted>
  <dcterms:modified xsi:type="dcterms:W3CDTF">2024-03-27T09:03:48Z</dcterms:modified>
  <dc:title>第三部分  政府采购规范文本</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1336FF3EE494483195ED1726A60A5518</vt:lpwstr>
  </property>
</Properties>
</file>