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14:textFill>
            <w14:solidFill>
              <w14:schemeClr w14:val="tx1"/>
            </w14:solidFill>
          </w14:textFill>
        </w:rPr>
      </w:pPr>
      <w:bookmarkStart w:id="0" w:name="_Toc491658631"/>
    </w:p>
    <w:p>
      <w:pPr>
        <w:pStyle w:val="23"/>
        <w:widowControl/>
        <w:adjustRightInd w:val="0"/>
        <w:snapToGrid w:val="0"/>
        <w:spacing w:line="360" w:lineRule="auto"/>
        <w:jc w:val="left"/>
        <w:rPr>
          <w:rFonts w:ascii="黑体" w:eastAsia="黑体"/>
          <w:bCs/>
          <w:color w:val="000000" w:themeColor="text1"/>
          <w:sz w:val="32"/>
          <w14:textFill>
            <w14:solidFill>
              <w14:schemeClr w14:val="tx1"/>
            </w14:solidFill>
          </w14:textFill>
        </w:rPr>
      </w:pPr>
      <w:r>
        <w:rPr>
          <w:rFonts w:hint="eastAsia" w:ascii="黑体" w:eastAsia="黑体"/>
          <w:bCs/>
          <w:color w:val="000000" w:themeColor="text1"/>
          <w:sz w:val="32"/>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14:textFill>
            <w14:solidFill>
              <w14:schemeClr w14:val="tx1"/>
            </w14:solidFill>
          </w14:textFill>
        </w:rPr>
      </w:pPr>
    </w:p>
    <w:p>
      <w:pPr>
        <w:pStyle w:val="23"/>
        <w:widowControl/>
        <w:adjustRightInd w:val="0"/>
        <w:snapToGrid w:val="0"/>
        <w:spacing w:line="360" w:lineRule="auto"/>
        <w:jc w:val="center"/>
        <w:rPr>
          <w:rFonts w:hint="eastAsia" w:ascii="黑体" w:eastAsia="黑体"/>
          <w:bCs/>
          <w:color w:val="000000" w:themeColor="text1"/>
          <w:sz w:val="72"/>
          <w14:textFill>
            <w14:solidFill>
              <w14:schemeClr w14:val="tx1"/>
            </w14:solidFill>
          </w14:textFill>
        </w:rPr>
      </w:pPr>
      <w:r>
        <w:rPr>
          <w:rFonts w:hint="eastAsia" w:ascii="黑体" w:eastAsia="黑体"/>
          <w:bCs/>
          <w:color w:val="000000" w:themeColor="text1"/>
          <w:sz w:val="72"/>
          <w14:textFill>
            <w14:solidFill>
              <w14:schemeClr w14:val="tx1"/>
            </w14:solidFill>
          </w14:textFill>
        </w:rPr>
        <w:t>招  标  文  件</w:t>
      </w:r>
    </w:p>
    <w:p>
      <w:pPr>
        <w:pStyle w:val="23"/>
        <w:widowControl/>
        <w:adjustRightInd w:val="0"/>
        <w:snapToGrid w:val="0"/>
        <w:spacing w:line="360" w:lineRule="auto"/>
        <w:jc w:val="center"/>
        <w:rPr>
          <w:rFonts w:hint="eastAsia" w:ascii="黑体" w:eastAsia="黑体"/>
          <w:bCs/>
          <w:color w:val="000000" w:themeColor="text1"/>
          <w:sz w:val="32"/>
          <w:szCs w:val="32"/>
          <w:lang w:eastAsia="zh-CN"/>
          <w14:textFill>
            <w14:solidFill>
              <w14:schemeClr w14:val="tx1"/>
            </w14:solidFill>
          </w14:textFill>
        </w:rPr>
      </w:pPr>
      <w:r>
        <w:rPr>
          <w:rFonts w:hint="eastAsia" w:ascii="黑体" w:eastAsia="黑体"/>
          <w:bCs/>
          <w:color w:val="000000" w:themeColor="text1"/>
          <w:sz w:val="48"/>
          <w:szCs w:val="48"/>
          <w:lang w:eastAsia="zh-CN"/>
          <w14:textFill>
            <w14:solidFill>
              <w14:schemeClr w14:val="tx1"/>
            </w14:solidFill>
          </w14:textFill>
        </w:rPr>
        <w:t>（</w:t>
      </w:r>
      <w:r>
        <w:rPr>
          <w:rFonts w:hint="eastAsia" w:ascii="黑体" w:eastAsia="黑体"/>
          <w:bCs/>
          <w:color w:val="000000" w:themeColor="text1"/>
          <w:sz w:val="48"/>
          <w:szCs w:val="48"/>
          <w:lang w:val="en-US" w:eastAsia="zh-CN"/>
          <w14:textFill>
            <w14:solidFill>
              <w14:schemeClr w14:val="tx1"/>
            </w14:solidFill>
          </w14:textFill>
        </w:rPr>
        <w:t>论证版</w:t>
      </w:r>
      <w:r>
        <w:rPr>
          <w:rFonts w:hint="eastAsia" w:ascii="黑体" w:eastAsia="黑体"/>
          <w:bCs/>
          <w:color w:val="000000" w:themeColor="text1"/>
          <w:sz w:val="48"/>
          <w:szCs w:val="48"/>
          <w:lang w:eastAsia="zh-CN"/>
          <w14:textFill>
            <w14:solidFill>
              <w14:schemeClr w14:val="tx1"/>
            </w14:solidFill>
          </w14:textFill>
        </w:rPr>
        <w:t>）</w:t>
      </w:r>
    </w:p>
    <w:p>
      <w:pPr>
        <w:pStyle w:val="23"/>
        <w:widowControl/>
        <w:adjustRightInd w:val="0"/>
        <w:snapToGrid w:val="0"/>
        <w:spacing w:line="360" w:lineRule="auto"/>
        <w:jc w:val="center"/>
        <w:rPr>
          <w:rFonts w:ascii="黑体" w:hAnsi="黑体" w:eastAsia="黑体"/>
          <w:bCs/>
          <w:color w:val="000000" w:themeColor="text1"/>
          <w:sz w:val="24"/>
          <w:szCs w:val="24"/>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14:textFill>
            <w14:solidFill>
              <w14:schemeClr w14:val="tx1"/>
            </w14:solidFill>
          </w14:textFill>
        </w:rPr>
      </w:pPr>
      <w:bookmarkStart w:id="2015" w:name="_GoBack"/>
      <w:bookmarkEnd w:id="2015"/>
    </w:p>
    <w:p>
      <w:pPr>
        <w:pStyle w:val="23"/>
        <w:widowControl/>
        <w:adjustRightInd w:val="0"/>
        <w:snapToGrid w:val="0"/>
        <w:spacing w:line="360" w:lineRule="auto"/>
        <w:rPr>
          <w:rFonts w:ascii="黑体" w:eastAsia="黑体"/>
          <w:bCs/>
          <w:color w:val="000000" w:themeColor="text1"/>
          <w:sz w:val="18"/>
          <w:szCs w:val="18"/>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18"/>
          <w:szCs w:val="18"/>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18"/>
          <w:szCs w:val="18"/>
          <w14:textFill>
            <w14:solidFill>
              <w14:schemeClr w14:val="tx1"/>
            </w14:solidFill>
          </w14:textFill>
        </w:rPr>
      </w:pPr>
    </w:p>
    <w:tbl>
      <w:tblPr>
        <w:tblStyle w:val="48"/>
        <w:tblW w:w="8753" w:type="dxa"/>
        <w:jc w:val="center"/>
        <w:tblLayout w:type="fixed"/>
        <w:tblCellMar>
          <w:top w:w="0" w:type="dxa"/>
          <w:left w:w="108" w:type="dxa"/>
          <w:bottom w:w="0" w:type="dxa"/>
          <w:right w:w="108" w:type="dxa"/>
        </w:tblCellMar>
      </w:tblPr>
      <w:tblGrid>
        <w:gridCol w:w="1951"/>
        <w:gridCol w:w="284"/>
        <w:gridCol w:w="6518"/>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6518" w:type="dxa"/>
            <w:vAlign w:val="center"/>
          </w:tcPr>
          <w:p>
            <w:pPr>
              <w:pStyle w:val="23"/>
              <w:widowControl/>
              <w:adjustRightInd w:val="0"/>
              <w:snapToGrid w:val="0"/>
              <w:spacing w:line="360" w:lineRule="auto"/>
              <w:jc w:val="left"/>
              <w:rPr>
                <w:rFonts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YXCG-20240228</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6518" w:type="dxa"/>
            <w:vAlign w:val="center"/>
          </w:tcPr>
          <w:p>
            <w:pPr>
              <w:pStyle w:val="23"/>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阳江农村商业银行股份有限公司保安服务采购项目</w:t>
            </w:r>
          </w:p>
        </w:tc>
      </w:tr>
      <w:tr>
        <w:tblPrEx>
          <w:tblCellMar>
            <w:top w:w="0" w:type="dxa"/>
            <w:left w:w="108" w:type="dxa"/>
            <w:bottom w:w="0" w:type="dxa"/>
            <w:right w:w="108" w:type="dxa"/>
          </w:tblCellMar>
        </w:tblPrEx>
        <w:trPr>
          <w:trHeight w:val="510"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招标人</w:t>
            </w:r>
          </w:p>
        </w:tc>
        <w:tc>
          <w:tcPr>
            <w:tcW w:w="284" w:type="dxa"/>
          </w:tcPr>
          <w:p>
            <w:pPr>
              <w:pStyle w:val="23"/>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6518" w:type="dxa"/>
            <w:vAlign w:val="center"/>
          </w:tcPr>
          <w:p>
            <w:pPr>
              <w:pStyle w:val="23"/>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阳江农村商业银行股份有限公司</w:t>
            </w:r>
          </w:p>
        </w:tc>
      </w:tr>
      <w:tr>
        <w:tblPrEx>
          <w:tblCellMar>
            <w:top w:w="0" w:type="dxa"/>
            <w:left w:w="108" w:type="dxa"/>
            <w:bottom w:w="0" w:type="dxa"/>
            <w:right w:w="108" w:type="dxa"/>
          </w:tblCellMar>
        </w:tblPrEx>
        <w:trPr>
          <w:trHeight w:val="682"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招标代理机构</w:t>
            </w:r>
          </w:p>
        </w:tc>
        <w:tc>
          <w:tcPr>
            <w:tcW w:w="284" w:type="dxa"/>
          </w:tcPr>
          <w:p>
            <w:pPr>
              <w:pStyle w:val="23"/>
              <w:widowControl/>
              <w:adjustRightInd w:val="0"/>
              <w:snapToGrid w:val="0"/>
              <w:spacing w:line="360" w:lineRule="auto"/>
              <w:jc w:val="left"/>
              <w:rPr>
                <w:rFonts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w:t>
            </w:r>
          </w:p>
        </w:tc>
        <w:tc>
          <w:tcPr>
            <w:tcW w:w="6518" w:type="dxa"/>
            <w:vAlign w:val="center"/>
          </w:tcPr>
          <w:p>
            <w:pPr>
              <w:pStyle w:val="23"/>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广东业信采购招标有限公司</w:t>
            </w:r>
          </w:p>
        </w:tc>
      </w:tr>
    </w:tbl>
    <w:p>
      <w:pPr>
        <w:pStyle w:val="23"/>
        <w:widowControl/>
        <w:adjustRightInd w:val="0"/>
        <w:snapToGrid w:val="0"/>
        <w:spacing w:line="360" w:lineRule="auto"/>
        <w:jc w:val="center"/>
        <w:rPr>
          <w:rFonts w:ascii="黑体" w:eastAsia="黑体"/>
          <w:bCs/>
          <w:color w:val="000000" w:themeColor="text1"/>
          <w:sz w:val="24"/>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24"/>
          <w14:textFill>
            <w14:solidFill>
              <w14:schemeClr w14:val="tx1"/>
            </w14:solidFill>
          </w14:textFill>
        </w:rPr>
      </w:pPr>
      <w:r>
        <w:rPr>
          <w:rFonts w:hint="eastAsia" w:ascii="黑体" w:eastAsia="黑体"/>
          <w:bCs/>
          <w:color w:val="000000" w:themeColor="text1"/>
          <w:sz w:val="24"/>
          <w14:textFill>
            <w14:solidFill>
              <w14:schemeClr w14:val="tx1"/>
            </w14:solidFill>
          </w14:textFill>
        </w:rPr>
        <w:t>二○二四年三月</w:t>
      </w:r>
    </w:p>
    <w:p>
      <w:pPr>
        <w:spacing w:before="120" w:beforeLines="50" w:after="120" w:afterLines="50" w:line="360" w:lineRule="atLeast"/>
        <w:jc w:val="center"/>
        <w:rPr>
          <w:rFonts w:ascii="宋体" w:hAnsi="宋体"/>
          <w:b/>
          <w:color w:val="000000" w:themeColor="text1"/>
          <w:sz w:val="36"/>
          <w14:textFill>
            <w14:solidFill>
              <w14:schemeClr w14:val="tx1"/>
            </w14:solidFill>
          </w14:textFill>
        </w:rPr>
      </w:pPr>
    </w:p>
    <w:p>
      <w:pPr>
        <w:spacing w:before="120" w:beforeLines="50" w:after="120" w:afterLines="50" w:line="360" w:lineRule="atLeast"/>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14:textFill>
            <w14:solidFill>
              <w14:schemeClr w14:val="tx1"/>
            </w14:solidFill>
          </w14:textFill>
        </w:rPr>
        <w:t>，招标代理机构</w:t>
      </w:r>
      <w:r>
        <w:rPr>
          <w:rFonts w:ascii="宋体" w:hAnsi="宋体"/>
          <w:color w:val="000000" w:themeColor="text1"/>
          <w:szCs w:val="21"/>
          <w14:textFill>
            <w14:solidFill>
              <w14:schemeClr w14:val="tx1"/>
            </w14:solidFill>
          </w14:textFill>
        </w:rPr>
        <w:t>恕不接收。因此，请供应商适当提前到达</w:t>
      </w:r>
      <w:r>
        <w:rPr>
          <w:rFonts w:hint="eastAsia" w:ascii="宋体" w:hAnsi="宋体"/>
          <w:color w:val="000000" w:themeColor="text1"/>
          <w:szCs w:val="21"/>
          <w14:textFill>
            <w14:solidFill>
              <w14:schemeClr w14:val="tx1"/>
            </w14:solidFill>
          </w14:textFill>
        </w:rPr>
        <w:t>开标</w:t>
      </w:r>
      <w:r>
        <w:rPr>
          <w:rFonts w:ascii="宋体" w:hAnsi="宋体"/>
          <w:color w:val="000000" w:themeColor="text1"/>
          <w:szCs w:val="21"/>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b/>
          <w:color w:val="000000" w:themeColor="text1"/>
          <w:szCs w:val="21"/>
          <w:u w:val="single"/>
          <w14:textFill>
            <w14:solidFill>
              <w14:schemeClr w14:val="tx1"/>
            </w14:solidFill>
          </w14:textFill>
        </w:rPr>
        <w:t>招标文件中标有“★”的</w:t>
      </w:r>
      <w:r>
        <w:rPr>
          <w:rFonts w:hint="eastAsia" w:ascii="宋体" w:hAnsi="宋体"/>
          <w:b/>
          <w:color w:val="000000" w:themeColor="text1"/>
          <w:szCs w:val="21"/>
          <w:u w:val="single"/>
          <w14:textFill>
            <w14:solidFill>
              <w14:schemeClr w14:val="tx1"/>
            </w14:solidFill>
          </w14:textFill>
        </w:rPr>
        <w:t>条款</w:t>
      </w:r>
      <w:r>
        <w:rPr>
          <w:rFonts w:ascii="宋体" w:hAnsi="宋体"/>
          <w:b/>
          <w:color w:val="000000" w:themeColor="text1"/>
          <w:szCs w:val="21"/>
          <w:u w:val="single"/>
          <w14:textFill>
            <w14:solidFill>
              <w14:schemeClr w14:val="tx1"/>
            </w14:solidFill>
          </w14:textFill>
        </w:rPr>
        <w:t>，</w:t>
      </w:r>
      <w:r>
        <w:rPr>
          <w:rFonts w:hint="eastAsia" w:ascii="宋体" w:hAnsi="宋体"/>
          <w:b/>
          <w:color w:val="000000" w:themeColor="text1"/>
          <w:szCs w:val="21"/>
          <w:u w:val="single"/>
          <w14:textFill>
            <w14:solidFill>
              <w14:schemeClr w14:val="tx1"/>
            </w14:solidFill>
          </w14:textFill>
        </w:rPr>
        <w:t>供应商</w:t>
      </w:r>
      <w:r>
        <w:rPr>
          <w:rFonts w:ascii="宋体" w:hAnsi="宋体"/>
          <w:b/>
          <w:color w:val="000000" w:themeColor="text1"/>
          <w:szCs w:val="21"/>
          <w:u w:val="single"/>
          <w14:textFill>
            <w14:solidFill>
              <w14:schemeClr w14:val="tx1"/>
            </w14:solidFill>
          </w14:textFill>
        </w:rPr>
        <w:t>必须一一响应</w:t>
      </w:r>
      <w:r>
        <w:rPr>
          <w:rFonts w:ascii="宋体" w:hAnsi="宋体"/>
          <w:color w:val="000000" w:themeColor="text1"/>
          <w:szCs w:val="21"/>
          <w14:textFill>
            <w14:solidFill>
              <w14:schemeClr w14:val="tx1"/>
            </w14:solidFill>
          </w14:textFill>
        </w:rPr>
        <w:t>。</w:t>
      </w:r>
      <w:r>
        <w:rPr>
          <w:rFonts w:ascii="宋体" w:hAnsi="宋体"/>
          <w:b/>
          <w:color w:val="000000" w:themeColor="text1"/>
          <w:szCs w:val="21"/>
          <w:u w:val="single"/>
          <w14:textFill>
            <w14:solidFill>
              <w14:schemeClr w14:val="tx1"/>
            </w14:solidFill>
          </w14:textFill>
        </w:rPr>
        <w:t>若有一项带“★”的指标要求未响应或不满足，</w:t>
      </w:r>
      <w:r>
        <w:rPr>
          <w:rFonts w:hint="eastAsia" w:ascii="宋体" w:hAnsi="宋体"/>
          <w:b/>
          <w:color w:val="000000" w:themeColor="text1"/>
          <w:szCs w:val="21"/>
          <w:u w:val="single"/>
          <w14:textFill>
            <w14:solidFill>
              <w14:schemeClr w14:val="tx1"/>
            </w14:solidFill>
          </w14:textFill>
        </w:rPr>
        <w:t>其投标</w:t>
      </w:r>
      <w:r>
        <w:rPr>
          <w:rFonts w:ascii="宋体" w:hAnsi="宋体"/>
          <w:b/>
          <w:color w:val="000000" w:themeColor="text1"/>
          <w:szCs w:val="21"/>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请正确填写《开标一览表》，</w:t>
      </w:r>
      <w:r>
        <w:rPr>
          <w:rFonts w:hint="eastAsia" w:ascii="宋体" w:hAnsi="宋体"/>
          <w:color w:val="000000" w:themeColor="text1"/>
          <w:szCs w:val="21"/>
          <w14:textFill>
            <w14:solidFill>
              <w14:schemeClr w14:val="tx1"/>
            </w14:solidFill>
          </w14:textFill>
        </w:rPr>
        <w:t>如</w:t>
      </w:r>
      <w:r>
        <w:rPr>
          <w:rFonts w:ascii="宋体" w:hAnsi="宋体"/>
          <w:color w:val="000000" w:themeColor="text1"/>
          <w:szCs w:val="21"/>
          <w14:textFill>
            <w14:solidFill>
              <w14:schemeClr w14:val="tx1"/>
            </w14:solidFill>
          </w14:textFill>
        </w:rPr>
        <w:t>含有</w:t>
      </w:r>
      <w:r>
        <w:rPr>
          <w:rFonts w:hint="eastAsia" w:ascii="宋体" w:hAnsi="宋体"/>
          <w:color w:val="000000" w:themeColor="text1"/>
          <w:szCs w:val="21"/>
          <w14:textFill>
            <w14:solidFill>
              <w14:schemeClr w14:val="tx1"/>
            </w14:solidFill>
          </w14:textFill>
        </w:rPr>
        <w:t>包组</w:t>
      </w:r>
      <w:r>
        <w:rPr>
          <w:rFonts w:ascii="宋体" w:hAnsi="宋体"/>
          <w:color w:val="000000" w:themeColor="text1"/>
          <w:szCs w:val="21"/>
          <w14:textFill>
            <w14:solidFill>
              <w14:schemeClr w14:val="tx1"/>
            </w14:solidFill>
          </w14:textFill>
        </w:rPr>
        <w:t>的投标项目</w:t>
      </w:r>
      <w:r>
        <w:rPr>
          <w:rFonts w:hint="eastAsia" w:ascii="宋体" w:hAnsi="宋体"/>
          <w:color w:val="000000" w:themeColor="text1"/>
          <w:szCs w:val="21"/>
          <w14:textFill>
            <w14:solidFill>
              <w14:schemeClr w14:val="tx1"/>
            </w14:solidFill>
          </w14:textFill>
        </w:rPr>
        <w:t>建议</w:t>
      </w:r>
      <w:r>
        <w:rPr>
          <w:rFonts w:ascii="宋体" w:hAnsi="宋体"/>
          <w:color w:val="000000" w:themeColor="text1"/>
          <w:szCs w:val="21"/>
          <w14:textFill>
            <w14:solidFill>
              <w14:schemeClr w14:val="tx1"/>
            </w14:solidFill>
          </w14:textFill>
        </w:rPr>
        <w:t>分开报价，</w:t>
      </w:r>
      <w:r>
        <w:rPr>
          <w:rFonts w:hint="eastAsia" w:ascii="宋体" w:hAnsi="宋体"/>
          <w:color w:val="000000" w:themeColor="text1"/>
          <w:szCs w:val="21"/>
          <w14:textFill>
            <w14:solidFill>
              <w14:schemeClr w14:val="tx1"/>
            </w14:solidFill>
          </w14:textFill>
        </w:rPr>
        <w:t>报价要求详见招标文件《开标一览表》</w:t>
      </w:r>
      <w:r>
        <w:rPr>
          <w:rFonts w:ascii="宋体" w:hAnsi="宋体"/>
          <w:color w:val="000000" w:themeColor="text1"/>
          <w:szCs w:val="21"/>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请仔细检查《投标函》、《开标一览表》、</w:t>
      </w:r>
      <w:r>
        <w:rPr>
          <w:rFonts w:hint="eastAsia" w:ascii="宋体" w:hAnsi="宋体"/>
          <w:color w:val="000000" w:themeColor="text1"/>
          <w:szCs w:val="21"/>
          <w14:textFill>
            <w14:solidFill>
              <w14:schemeClr w14:val="tx1"/>
            </w14:solidFill>
          </w14:textFill>
        </w:rPr>
        <w:t>《法定代表人（负责人）证明书》、</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法定代表人（负责人）</w:t>
      </w:r>
      <w:r>
        <w:rPr>
          <w:rFonts w:ascii="宋体" w:hAnsi="宋体"/>
          <w:color w:val="000000" w:themeColor="text1"/>
          <w:szCs w:val="21"/>
          <w14:textFill>
            <w14:solidFill>
              <w14:schemeClr w14:val="tx1"/>
            </w14:solidFill>
          </w14:textFill>
        </w:rPr>
        <w:t>授权书》等重要格式文件是否有按要求盖公章或签名</w:t>
      </w:r>
      <w:r>
        <w:rPr>
          <w:rFonts w:hint="eastAsia" w:ascii="宋体" w:hAnsi="宋体" w:cs="Tahoma"/>
          <w:b/>
          <w:bCs/>
          <w:color w:val="000000" w:themeColor="text1"/>
          <w:szCs w:val="21"/>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建议将投标文件按</w:t>
      </w:r>
      <w:r>
        <w:rPr>
          <w:rFonts w:hint="eastAsia" w:ascii="宋体" w:hAnsi="宋体"/>
          <w:color w:val="000000" w:themeColor="text1"/>
          <w:szCs w:val="21"/>
          <w14:textFill>
            <w14:solidFill>
              <w14:schemeClr w14:val="tx1"/>
            </w14:solidFill>
          </w14:textFill>
        </w:rPr>
        <w:t>目录格式</w:t>
      </w:r>
      <w:r>
        <w:rPr>
          <w:rFonts w:ascii="宋体" w:hAnsi="宋体"/>
          <w:color w:val="000000" w:themeColor="text1"/>
          <w:szCs w:val="21"/>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投标人请注意区分投标保证金及招标代理服务费收款</w:t>
      </w:r>
      <w:r>
        <w:rPr>
          <w:rFonts w:hint="eastAsia" w:ascii="宋体" w:hAnsi="宋体"/>
          <w:b/>
          <w:color w:val="000000" w:themeColor="text1"/>
          <w14:textFill>
            <w14:solidFill>
              <w14:schemeClr w14:val="tx1"/>
            </w14:solidFill>
          </w14:textFill>
        </w:rPr>
        <w:t>账号</w:t>
      </w:r>
      <w:r>
        <w:rPr>
          <w:rFonts w:hint="eastAsia" w:ascii="宋体" w:hAnsi="宋体"/>
          <w:b/>
          <w:color w:val="000000" w:themeColor="text1"/>
          <w:szCs w:val="21"/>
          <w14:textFill>
            <w14:solidFill>
              <w14:schemeClr w14:val="tx1"/>
            </w14:solidFill>
          </w14:textFill>
        </w:rPr>
        <w:t>的区别</w:t>
      </w:r>
      <w:r>
        <w:rPr>
          <w:rFonts w:hint="eastAsia" w:ascii="宋体" w:hAnsi="宋体"/>
          <w:color w:val="000000" w:themeColor="text1"/>
          <w:szCs w:val="21"/>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我司</w:t>
      </w:r>
      <w:r>
        <w:rPr>
          <w:rFonts w:ascii="宋体" w:hAnsi="宋体"/>
          <w:color w:val="000000" w:themeColor="text1"/>
          <w:szCs w:val="21"/>
          <w14:textFill>
            <w14:solidFill>
              <w14:schemeClr w14:val="tx1"/>
            </w14:solidFill>
          </w14:textFill>
        </w:rPr>
        <w:t>为</w:t>
      </w:r>
      <w:r>
        <w:rPr>
          <w:rFonts w:hint="eastAsia" w:ascii="宋体" w:hAnsi="宋体"/>
          <w:color w:val="000000" w:themeColor="text1"/>
          <w:szCs w:val="21"/>
          <w14:textFill>
            <w14:solidFill>
              <w14:schemeClr w14:val="tx1"/>
            </w14:solidFill>
          </w14:textFill>
        </w:rPr>
        <w:t>招标代理机构</w:t>
      </w:r>
      <w:r>
        <w:rPr>
          <w:rFonts w:ascii="宋体" w:hAnsi="宋体"/>
          <w:color w:val="000000" w:themeColor="text1"/>
          <w:szCs w:val="21"/>
          <w14:textFill>
            <w14:solidFill>
              <w14:schemeClr w14:val="tx1"/>
            </w14:solidFill>
          </w14:textFill>
        </w:rPr>
        <w:t>，不对供应商购买招标文件时提交的相关资料的真伪做出判断，如供应商发现相关资料被盗用或复制，建议遵循法律途径解决，追究侵权者责任。对一家供应商递交两份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14:textFill>
            <w14:solidFill>
              <w14:schemeClr w14:val="tx1"/>
            </w14:solidFill>
          </w14:textFill>
        </w:rPr>
        <w:t>不同</w:t>
      </w:r>
      <w:r>
        <w:rPr>
          <w:rFonts w:ascii="宋体" w:hAnsi="宋体"/>
          <w:color w:val="000000" w:themeColor="text1"/>
          <w:szCs w:val="2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方案</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评标委员会</w:t>
      </w:r>
      <w:r>
        <w:rPr>
          <w:rFonts w:ascii="宋体" w:hAnsi="宋体"/>
          <w:color w:val="000000" w:themeColor="text1"/>
          <w:szCs w:val="21"/>
          <w14:textFill>
            <w14:solidFill>
              <w14:schemeClr w14:val="tx1"/>
            </w14:solidFill>
          </w14:textFill>
        </w:rPr>
        <w:t>将</w:t>
      </w:r>
      <w:r>
        <w:rPr>
          <w:rFonts w:hint="eastAsia" w:ascii="宋体" w:hAnsi="宋体"/>
          <w:color w:val="000000" w:themeColor="text1"/>
          <w:szCs w:val="21"/>
          <w14:textFill>
            <w14:solidFill>
              <w14:schemeClr w14:val="tx1"/>
            </w14:solidFill>
          </w14:textFill>
        </w:rPr>
        <w:t>对其投标</w:t>
      </w:r>
      <w:r>
        <w:rPr>
          <w:rFonts w:ascii="宋体" w:hAnsi="宋体"/>
          <w:color w:val="000000" w:themeColor="text1"/>
          <w:szCs w:val="21"/>
          <w14:textFill>
            <w14:solidFill>
              <w14:schemeClr w14:val="tx1"/>
            </w14:solidFill>
          </w14:textFill>
        </w:rPr>
        <w:t>按无效投标处理</w:t>
      </w:r>
      <w:r>
        <w:rPr>
          <w:rFonts w:hint="eastAsia" w:ascii="宋体" w:hAnsi="宋体"/>
          <w:color w:val="000000" w:themeColor="text1"/>
          <w:szCs w:val="21"/>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14:textFill>
            <w14:solidFill>
              <w14:schemeClr w14:val="tx1"/>
            </w14:solidFill>
          </w14:textFill>
        </w:rPr>
      </w:pPr>
      <w:r>
        <w:rPr>
          <w:rFonts w:hint="eastAsia" w:hAnsi="宋体" w:cs="仿宋_GB2312"/>
          <w:b/>
          <w:bCs/>
          <w:color w:val="000000" w:themeColor="text1"/>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ab/>
      </w:r>
      <w:r>
        <w:rPr>
          <w:rFonts w:ascii="宋体" w:hAnsi="宋体"/>
          <w:bCs/>
          <w:color w:val="000000" w:themeColor="text1"/>
          <w:szCs w:val="21"/>
          <w14:textFill>
            <w14:solidFill>
              <w14:schemeClr w14:val="tx1"/>
            </w14:solidFill>
          </w14:textFill>
        </w:rPr>
        <w:tab/>
      </w: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目   录</w:t>
      </w:r>
    </w:p>
    <w:p>
      <w:pPr>
        <w:pStyle w:val="2"/>
        <w:numPr>
          <w:ilvl w:val="0"/>
          <w:numId w:val="0"/>
        </w:numPr>
        <w:spacing w:beforeLines="0" w:line="240" w:lineRule="auto"/>
        <w:rPr>
          <w:color w:val="000000" w:themeColor="text1"/>
          <w14:textFill>
            <w14:solidFill>
              <w14:schemeClr w14:val="tx1"/>
            </w14:solidFill>
          </w14:textFill>
        </w:rPr>
      </w:pPr>
    </w:p>
    <w:p>
      <w:pPr>
        <w:pStyle w:val="31"/>
        <w:tabs>
          <w:tab w:val="right" w:leader="dot" w:pos="8959"/>
          <w:tab w:val="clear" w:pos="8949"/>
        </w:tabs>
        <w:rPr>
          <w:color w:val="000000" w:themeColor="text1"/>
          <w14:textFill>
            <w14:solidFill>
              <w14:schemeClr w14:val="tx1"/>
            </w14:solidFill>
          </w14:textFill>
        </w:rPr>
      </w:pPr>
      <w:r>
        <w:rPr>
          <w:b w:val="0"/>
          <w:bCs w:val="0"/>
          <w:caps w:val="0"/>
          <w:color w:val="000000" w:themeColor="text1"/>
          <w14:textFill>
            <w14:solidFill>
              <w14:schemeClr w14:val="tx1"/>
            </w14:solidFill>
          </w14:textFill>
        </w:rPr>
        <w:fldChar w:fldCharType="begin"/>
      </w:r>
      <w:r>
        <w:rPr>
          <w:b w:val="0"/>
          <w:bCs w:val="0"/>
          <w:caps w:val="0"/>
          <w:color w:val="000000" w:themeColor="text1"/>
          <w14:textFill>
            <w14:solidFill>
              <w14:schemeClr w14:val="tx1"/>
            </w14:solidFill>
          </w14:textFill>
        </w:rPr>
        <w:instrText xml:space="preserve"> TOC \o "1-3" \h \z \u </w:instrText>
      </w:r>
      <w:r>
        <w:rPr>
          <w:b w:val="0"/>
          <w:bCs w:val="0"/>
          <w:caps w:val="0"/>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"_Toc8402"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第一部分 投标邀请函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959"/>
          <w:tab w:val="clear" w:pos="8949"/>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"_Toc13740"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第二部分 采购项目内容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_Toc13740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"_Toc25037" </w:instrText>
      </w:r>
      <w:r>
        <w:rPr>
          <w:color w:val="000000" w:themeColor="text1"/>
          <w14:textFill>
            <w14:solidFill>
              <w14:schemeClr w14:val="tx1"/>
            </w14:solidFill>
          </w14:textFill>
        </w:rPr>
        <w:fldChar w:fldCharType="separate"/>
      </w:r>
      <w:r>
        <w:rPr>
          <w:color w:val="000000" w:themeColor="text1"/>
          <w:kern w:val="0"/>
          <w14:textFill>
            <w14:solidFill>
              <w14:schemeClr w14:val="tx1"/>
            </w14:solidFill>
          </w14:textFill>
        </w:rPr>
        <w:t xml:space="preserve">A  </w:t>
      </w:r>
      <w:r>
        <w:rPr>
          <w:rFonts w:hint="eastAsia"/>
          <w:color w:val="000000" w:themeColor="text1"/>
          <w:kern w:val="0"/>
          <w14:textFill>
            <w14:solidFill>
              <w14:schemeClr w14:val="tx1"/>
            </w14:solidFill>
          </w14:textFill>
        </w:rPr>
        <w:t>商务要求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_Toc25037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"_Toc5836" </w:instrText>
      </w:r>
      <w:r>
        <w:rPr>
          <w:color w:val="000000" w:themeColor="text1"/>
          <w14:textFill>
            <w14:solidFill>
              <w14:schemeClr w14:val="tx1"/>
            </w14:solidFill>
          </w14:textFill>
        </w:rPr>
        <w:fldChar w:fldCharType="separate"/>
      </w:r>
      <w:r>
        <w:rPr>
          <w:rFonts w:hint="eastAsia" w:hAnsi="黑体" w:cs="黑体"/>
          <w:color w:val="000000" w:themeColor="text1"/>
          <w:kern w:val="0"/>
          <w14:textFill>
            <w14:solidFill>
              <w14:schemeClr w14:val="tx1"/>
            </w14:solidFill>
          </w14:textFill>
        </w:rPr>
        <w:t>B  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_Toc5836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959"/>
          <w:tab w:val="clear" w:pos="8949"/>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"_Toc8027"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第三部分 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_Toc8027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"_Toc21496"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投标人须知前附表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_Toc21496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"_Toc15473"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Ａ说明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_Toc15473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"_Toc23686"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适用范围和资金来源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_Toc23686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"_Toc27258"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_Toc27258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"_Toc17909"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合格的投标人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_Toc17909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"_Toc29618"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投标费用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_Toc29618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"_Toc31074"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Ｂ招标文件说明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_Toc31074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"_Toc3399"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5 </w:t>
      </w:r>
      <w:r>
        <w:rPr>
          <w:rFonts w:hint="eastAsia"/>
          <w:color w:val="000000" w:themeColor="text1"/>
          <w14:textFill>
            <w14:solidFill>
              <w14:schemeClr w14:val="tx1"/>
            </w14:solidFill>
          </w14:textFill>
        </w:rPr>
        <w:t>招标文件的构成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_Toc3399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"_Toc11687"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6 </w:t>
      </w:r>
      <w:r>
        <w:rPr>
          <w:rFonts w:hint="eastAsia"/>
          <w:color w:val="000000" w:themeColor="text1"/>
          <w14:textFill>
            <w14:solidFill>
              <w14:schemeClr w14:val="tx1"/>
            </w14:solidFill>
          </w14:textFill>
        </w:rPr>
        <w:t>招标文件的澄清、修改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_Toc11687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"_Toc6029"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Ｃ投标文件的编制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_Toc6029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"_Toc6969"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7 </w:t>
      </w:r>
      <w:r>
        <w:rPr>
          <w:rFonts w:hint="eastAsia"/>
          <w:color w:val="000000" w:themeColor="text1"/>
          <w14:textFill>
            <w14:solidFill>
              <w14:schemeClr w14:val="tx1"/>
            </w14:solidFill>
          </w14:textFill>
        </w:rPr>
        <w:t>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_Toc6969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"_Toc9417"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8 </w:t>
      </w:r>
      <w:r>
        <w:rPr>
          <w:rFonts w:hint="eastAsia"/>
          <w:color w:val="000000" w:themeColor="text1"/>
          <w14:textFill>
            <w14:solidFill>
              <w14:schemeClr w14:val="tx1"/>
            </w14:solidFill>
          </w14:textFill>
        </w:rPr>
        <w:t>投标语言及计量单位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9 </w:t>
      </w:r>
      <w:r>
        <w:rPr>
          <w:rFonts w:hint="eastAsia"/>
          <w:color w:val="000000" w:themeColor="text1"/>
          <w14:textFill>
            <w14:solidFill>
              <w14:schemeClr w14:val="tx1"/>
            </w14:solidFill>
          </w14:textFill>
        </w:rPr>
        <w:t>投标文件的构成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"_Toc9056"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10 </w:t>
      </w:r>
      <w:r>
        <w:rPr>
          <w:rFonts w:hint="eastAsia"/>
          <w:color w:val="000000" w:themeColor="text1"/>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_Toc9056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"_Toc32451"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11 </w:t>
      </w:r>
      <w:r>
        <w:rPr>
          <w:rFonts w:hint="eastAsia"/>
          <w:color w:val="000000" w:themeColor="text1"/>
          <w14:textFill>
            <w14:solidFill>
              <w14:schemeClr w14:val="tx1"/>
            </w14:solidFill>
          </w14:textFill>
        </w:rPr>
        <w:t>资格证明文件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_Toc32451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"_Toc11882"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12 </w:t>
      </w:r>
      <w:r>
        <w:rPr>
          <w:rFonts w:hint="eastAsia"/>
          <w:color w:val="000000" w:themeColor="text1"/>
          <w14:textFill>
            <w14:solidFill>
              <w14:schemeClr w14:val="tx1"/>
            </w14:solidFill>
          </w14:textFill>
        </w:rPr>
        <w:t>货物和服务的证明文件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"_Toc27382"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13 </w:t>
      </w:r>
      <w:r>
        <w:rPr>
          <w:rFonts w:hint="eastAsia"/>
          <w:color w:val="000000" w:themeColor="text1"/>
          <w14:textFill>
            <w14:solidFill>
              <w14:schemeClr w14:val="tx1"/>
            </w14:solidFill>
          </w14:textFill>
        </w:rPr>
        <w:t>投标报价与投标货币</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_Toc27382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"_Toc24572"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14 </w:t>
      </w:r>
      <w:r>
        <w:rPr>
          <w:rFonts w:hint="eastAsia"/>
          <w:color w:val="000000" w:themeColor="text1"/>
          <w14:textFill>
            <w14:solidFill>
              <w14:schemeClr w14:val="tx1"/>
            </w14:solidFill>
          </w14:textFill>
        </w:rPr>
        <w:t>投标保证金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_Toc24572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"_Toc6489"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15 </w:t>
      </w:r>
      <w:r>
        <w:rPr>
          <w:rFonts w:hint="eastAsia"/>
          <w:color w:val="000000" w:themeColor="text1"/>
          <w14:textFill>
            <w14:solidFill>
              <w14:schemeClr w14:val="tx1"/>
            </w14:solidFill>
          </w14:textFill>
        </w:rPr>
        <w:t>投标有效期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_Toc6489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"_Toc6823"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16 </w:t>
      </w:r>
      <w:r>
        <w:rPr>
          <w:rFonts w:hint="eastAsia"/>
          <w:color w:val="000000" w:themeColor="text1"/>
          <w14:textFill>
            <w14:solidFill>
              <w14:schemeClr w14:val="tx1"/>
            </w14:solidFill>
          </w14:textFill>
        </w:rPr>
        <w:t>投标文件的签署及规定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_Toc6823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"_Toc11259"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Ｄ投标文件的递交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_Toc11259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"_Toc4095"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17 </w:t>
      </w:r>
      <w:r>
        <w:rPr>
          <w:rFonts w:hint="eastAsia"/>
          <w:color w:val="000000" w:themeColor="text1"/>
          <w14:textFill>
            <w14:solidFill>
              <w14:schemeClr w14:val="tx1"/>
            </w14:solidFill>
          </w14:textFill>
        </w:rPr>
        <w:t>投标文件的密封和标记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_Toc4095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"_Toc30732"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18 </w:t>
      </w:r>
      <w:r>
        <w:rPr>
          <w:rFonts w:hint="eastAsia"/>
          <w:color w:val="000000" w:themeColor="text1"/>
          <w14:textFill>
            <w14:solidFill>
              <w14:schemeClr w14:val="tx1"/>
            </w14:solidFill>
          </w14:textFill>
        </w:rPr>
        <w:t>递交投标文件的时间、地点及截止时间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_Toc30732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"_Toc6793"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19 </w:t>
      </w:r>
      <w:r>
        <w:rPr>
          <w:rFonts w:hint="eastAsia"/>
          <w:color w:val="000000" w:themeColor="text1"/>
          <w14:textFill>
            <w14:solidFill>
              <w14:schemeClr w14:val="tx1"/>
            </w14:solidFill>
          </w14:textFill>
        </w:rPr>
        <w:t>迟交的投标文件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_Toc6793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"_Toc7764"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20 </w:t>
      </w:r>
      <w:r>
        <w:rPr>
          <w:rFonts w:hint="eastAsia"/>
          <w:color w:val="000000" w:themeColor="text1"/>
          <w14:textFill>
            <w14:solidFill>
              <w14:schemeClr w14:val="tx1"/>
            </w14:solidFill>
          </w14:textFill>
        </w:rPr>
        <w:t>投标文件的修改和撤回</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_Toc7764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"_Toc8097"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Ｅ开标和评标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_Toc8097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"_Toc19040"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21 </w:t>
      </w:r>
      <w:r>
        <w:rPr>
          <w:rFonts w:hint="eastAsia"/>
          <w:color w:val="000000" w:themeColor="text1"/>
          <w14:textFill>
            <w14:solidFill>
              <w14:schemeClr w14:val="tx1"/>
            </w14:solidFill>
          </w14:textFill>
        </w:rPr>
        <w:t>开标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_Toc19040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22 </w:t>
      </w:r>
      <w:r>
        <w:rPr>
          <w:rFonts w:hint="eastAsia"/>
          <w:color w:val="000000" w:themeColor="text1"/>
          <w14:textFill>
            <w14:solidFill>
              <w14:schemeClr w14:val="tx1"/>
            </w14:solidFill>
          </w14:textFill>
        </w:rPr>
        <w:t>评标委员会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"_Toc14124"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23 </w:t>
      </w:r>
      <w:r>
        <w:rPr>
          <w:rFonts w:hint="eastAsia"/>
          <w:color w:val="000000" w:themeColor="text1"/>
          <w14:textFill>
            <w14:solidFill>
              <w14:schemeClr w14:val="tx1"/>
            </w14:solidFill>
          </w14:textFill>
        </w:rPr>
        <w:t>对投标文件的初审和响应性的确定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_Toc14124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"_Toc23197"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24 </w:t>
      </w:r>
      <w:r>
        <w:rPr>
          <w:rFonts w:hint="eastAsia"/>
          <w:color w:val="000000" w:themeColor="text1"/>
          <w14:textFill>
            <w14:solidFill>
              <w14:schemeClr w14:val="tx1"/>
            </w14:solidFill>
          </w14:textFill>
        </w:rPr>
        <w:t>投标报价的审核</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_Toc23197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"_Toc25117"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25 </w:t>
      </w:r>
      <w:r>
        <w:rPr>
          <w:rFonts w:hint="eastAsia"/>
          <w:color w:val="000000" w:themeColor="text1"/>
          <w14:textFill>
            <w14:solidFill>
              <w14:schemeClr w14:val="tx1"/>
            </w14:solidFill>
          </w14:textFill>
        </w:rPr>
        <w:t>询标及投标文件的澄清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"_Toc21270"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26 </w:t>
      </w:r>
      <w:r>
        <w:rPr>
          <w:rFonts w:hint="eastAsia"/>
          <w:color w:val="000000" w:themeColor="text1"/>
          <w14:textFill>
            <w14:solidFill>
              <w14:schemeClr w14:val="tx1"/>
            </w14:solidFill>
          </w14:textFill>
        </w:rPr>
        <w:t>评标原则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_Toc21270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"_Toc4847"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27 </w:t>
      </w:r>
      <w:r>
        <w:rPr>
          <w:rFonts w:hint="eastAsia"/>
          <w:color w:val="000000" w:themeColor="text1"/>
          <w14:textFill>
            <w14:solidFill>
              <w14:schemeClr w14:val="tx1"/>
            </w14:solidFill>
          </w14:textFill>
        </w:rPr>
        <w:t>评标标准和办法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_Toc4847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"_Toc24450"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28 </w:t>
      </w:r>
      <w:r>
        <w:rPr>
          <w:rFonts w:hint="eastAsia"/>
          <w:color w:val="000000" w:themeColor="text1"/>
          <w14:textFill>
            <w14:solidFill>
              <w14:schemeClr w14:val="tx1"/>
            </w14:solidFill>
          </w14:textFill>
        </w:rPr>
        <w:t>评标注意事项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_Toc24450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"_Toc18467"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29 </w:t>
      </w:r>
      <w:r>
        <w:rPr>
          <w:rFonts w:hint="eastAsia"/>
          <w:color w:val="000000" w:themeColor="text1"/>
          <w14:textFill>
            <w14:solidFill>
              <w14:schemeClr w14:val="tx1"/>
            </w14:solidFill>
          </w14:textFill>
        </w:rPr>
        <w:t>接受和拒绝投标的权利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_Toc18467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"_Toc2853"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30 </w:t>
      </w:r>
      <w:r>
        <w:rPr>
          <w:rFonts w:hint="eastAsia"/>
          <w:color w:val="000000" w:themeColor="text1"/>
          <w14:textFill>
            <w14:solidFill>
              <w14:schemeClr w14:val="tx1"/>
            </w14:solidFill>
          </w14:textFill>
        </w:rPr>
        <w:t>发布中标结果公告和发放中标通知书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"_Toc21408"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31 </w:t>
      </w:r>
      <w:r>
        <w:rPr>
          <w:rFonts w:hint="eastAsia"/>
          <w:color w:val="000000" w:themeColor="text1"/>
          <w14:textFill>
            <w14:solidFill>
              <w14:schemeClr w14:val="tx1"/>
            </w14:solidFill>
          </w14:textFill>
        </w:rPr>
        <w:t>投标人对中标结果的质疑、投诉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_Toc21408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"_Toc27927"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Ｆ  授予合同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_Toc27927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"_Toc4524"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32 </w:t>
      </w:r>
      <w:r>
        <w:rPr>
          <w:rFonts w:hint="eastAsia"/>
          <w:color w:val="000000" w:themeColor="text1"/>
          <w14:textFill>
            <w14:solidFill>
              <w14:schemeClr w14:val="tx1"/>
            </w14:solidFill>
          </w14:textFill>
        </w:rPr>
        <w:t>合同授予标准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_Toc4524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"_Toc13290"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33 </w:t>
      </w:r>
      <w:r>
        <w:rPr>
          <w:rFonts w:hint="eastAsia"/>
          <w:color w:val="000000" w:themeColor="text1"/>
          <w14:textFill>
            <w14:solidFill>
              <w14:schemeClr w14:val="tx1"/>
            </w14:solidFill>
          </w14:textFill>
        </w:rPr>
        <w:t>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_Toc13290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"_Toc13421"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G、评标细则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_Toc13421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959"/>
          <w:tab w:val="clear" w:pos="8949"/>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"_Toc30624"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第四部分  采购项目合同（参考范本）</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_Toc30624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8959"/>
          <w:tab w:val="clear" w:pos="8949"/>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"_Toc12419"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第五部分投标文件格式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_Toc12419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"_Toc19545"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资格审查封面格式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_Toc19545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"_Toc31623"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第一章 </w:t>
      </w:r>
      <w:r>
        <w:rPr>
          <w:rFonts w:hint="eastAsia"/>
          <w:color w:val="000000" w:themeColor="text1"/>
          <w14:textFill>
            <w14:solidFill>
              <w14:schemeClr w14:val="tx1"/>
            </w14:solidFill>
          </w14:textFill>
        </w:rPr>
        <w:t>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_Toc31623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"_Toc9052"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资格性自查表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_Toc9052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"_Toc4977"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（一）资格审查文件要求提交的有效证明文件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_Toc4977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"_Toc13666" </w:instrText>
      </w:r>
      <w:r>
        <w:rPr>
          <w:color w:val="000000" w:themeColor="text1"/>
          <w14:textFill>
            <w14:solidFill>
              <w14:schemeClr w14:val="tx1"/>
            </w14:solidFill>
          </w14:textFill>
        </w:rPr>
        <w:fldChar w:fldCharType="separate"/>
      </w:r>
      <w:r>
        <w:rPr>
          <w:rFonts w:hint="eastAsia" w:hAnsi="黑体"/>
          <w:color w:val="000000" w:themeColor="text1"/>
          <w14:textFill>
            <w14:solidFill>
              <w14:schemeClr w14:val="tx1"/>
            </w14:solidFill>
          </w14:textFill>
        </w:rPr>
        <w:t>（二）无重大违法记录声明函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_Toc13666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"_Toc15920"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第二章 </w:t>
      </w:r>
      <w:r>
        <w:rPr>
          <w:rFonts w:hint="eastAsia"/>
          <w:color w:val="000000" w:themeColor="text1"/>
          <w14:textFill>
            <w14:solidFill>
              <w14:schemeClr w14:val="tx1"/>
            </w14:solidFill>
          </w14:textFill>
        </w:rPr>
        <w:t>投标文件商务及技术部分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_Toc15920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"_Toc18514"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商务及技术封面格式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_Toc18514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"_Toc11000"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符合性自查表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_Toc11000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"_Toc29649"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评审项目投标资料表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_Toc29649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"_Toc11030"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（一）法定代表人（负责人）证明书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_Toc11030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"_Toc25422"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（二）法定代表人（负责人）授权书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_Toc25422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"_Toc9796"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附件一：投标函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_Toc9796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"_Toc18803"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附件二：开标一览表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_Toc18803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"_Toc20191"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附件三：</w:t>
      </w:r>
      <w:r>
        <w:rPr>
          <w:color w:val="000000" w:themeColor="text1"/>
          <w14:textFill>
            <w14:solidFill>
              <w14:schemeClr w14:val="tx1"/>
            </w14:solidFill>
          </w14:textFill>
        </w:rPr>
        <w:t>投标</w:t>
      </w:r>
      <w:r>
        <w:rPr>
          <w:rFonts w:hint="eastAsia"/>
          <w:color w:val="000000" w:themeColor="text1"/>
          <w14:textFill>
            <w14:solidFill>
              <w14:schemeClr w14:val="tx1"/>
            </w14:solidFill>
          </w14:textFill>
        </w:rPr>
        <w:t>分项报价</w:t>
      </w:r>
      <w:r>
        <w:rPr>
          <w:color w:val="000000" w:themeColor="text1"/>
          <w14:textFill>
            <w14:solidFill>
              <w14:schemeClr w14:val="tx1"/>
            </w14:solidFill>
          </w14:textFill>
        </w:rPr>
        <w:t>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_Toc20191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"_Toc6182"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附件四：商务条款偏离一览表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_Toc6182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"_Toc31839"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附件五：技术条款偏离一览表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_Toc31839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"_Toc27002"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附件七：中标服务费承诺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_Toc27002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"_Toc1797"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附件八：投标人提交的其它商务和技术资料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8"/>
        <w:tabs>
          <w:tab w:val="right" w:leader="dot" w:pos="8959"/>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"_Toc10561"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其 他 格 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_Toc10561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"_Toc5540"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投标保证金退付书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_Toc5540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rPr>
          <w:color w:val="000000" w:themeColor="text1"/>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14:textFill>
            <w14:solidFill>
              <w14:schemeClr w14:val="tx1"/>
            </w14:solidFill>
          </w14:textFill>
        </w:rPr>
        <w:fldChar w:fldCharType="end"/>
      </w:r>
    </w:p>
    <w:bookmarkEnd w:id="0"/>
    <w:p>
      <w:pPr>
        <w:pStyle w:val="2"/>
        <w:numPr>
          <w:ilvl w:val="0"/>
          <w:numId w:val="0"/>
        </w:numPr>
        <w:spacing w:beforeLines="0"/>
        <w:rPr>
          <w:color w:val="000000" w:themeColor="text1"/>
          <w14:textFill>
            <w14:solidFill>
              <w14:schemeClr w14:val="tx1"/>
            </w14:solidFill>
          </w14:textFill>
        </w:rPr>
      </w:pPr>
      <w:bookmarkStart w:id="1" w:name="_Toc350756403"/>
      <w:bookmarkStart w:id="2" w:name="_Toc336681537"/>
      <w:bookmarkStart w:id="3" w:name="_Toc339019828"/>
      <w:bookmarkStart w:id="4" w:name="_Toc330459945"/>
      <w:bookmarkStart w:id="5" w:name="_Toc349143546"/>
      <w:bookmarkStart w:id="6" w:name="_Toc350438702"/>
      <w:bookmarkStart w:id="7" w:name="_Toc8402"/>
      <w:bookmarkStart w:id="8" w:name="_Toc340672830"/>
      <w:bookmarkStart w:id="9" w:name="_Toc340507403"/>
      <w:bookmarkStart w:id="10" w:name="_Toc342060322"/>
      <w:bookmarkStart w:id="11" w:name="_Toc349127583"/>
      <w:bookmarkStart w:id="12" w:name="_Toc339019954"/>
      <w:bookmarkStart w:id="13" w:name="_Toc333935278"/>
      <w:bookmarkStart w:id="14" w:name="_Toc339020186"/>
      <w:bookmarkStart w:id="15" w:name="_Toc339020048"/>
      <w:bookmarkStart w:id="16" w:name="_Toc345513762"/>
      <w:bookmarkStart w:id="17" w:name="_Toc332270305"/>
      <w:bookmarkStart w:id="18" w:name="_Toc332206657"/>
      <w:bookmarkStart w:id="19" w:name="_Toc337632315"/>
      <w:bookmarkStart w:id="20" w:name="_Toc339362257"/>
      <w:bookmarkStart w:id="21" w:name="_Toc331512856"/>
      <w:bookmarkStart w:id="22" w:name="_Toc366072457"/>
      <w:bookmarkStart w:id="23" w:name="_Toc333237723"/>
      <w:bookmarkStart w:id="24" w:name="_Toc336681892"/>
      <w:bookmarkStart w:id="25" w:name="_Toc365985108"/>
      <w:bookmarkStart w:id="26" w:name="_Toc342296708"/>
      <w:bookmarkStart w:id="27" w:name="_Toc333237612"/>
      <w:bookmarkStart w:id="28" w:name="_Toc365967002"/>
      <w:bookmarkStart w:id="29" w:name="_Toc26494"/>
      <w:bookmarkStart w:id="30" w:name="_Toc341348291"/>
      <w:bookmarkStart w:id="31" w:name="_Toc340677031"/>
      <w:bookmarkStart w:id="32" w:name="_Toc333935619"/>
      <w:bookmarkStart w:id="33" w:name="_Toc333238571"/>
      <w:bookmarkStart w:id="34" w:name="_Toc331683994"/>
      <w:bookmarkStart w:id="35" w:name="_Toc339441044"/>
      <w:bookmarkStart w:id="36" w:name="_Toc500860978"/>
      <w:r>
        <w:rPr>
          <w:rFonts w:hint="eastAsia"/>
          <w:color w:val="000000" w:themeColor="text1"/>
          <w14:textFill>
            <w14:solidFill>
              <w14:schemeClr w14:val="tx1"/>
            </w14:solidFill>
          </w14:textFill>
        </w:rPr>
        <w:t>第一</w:t>
      </w:r>
      <w:bookmarkStart w:id="37" w:name="_Hlt23321731"/>
      <w:bookmarkEnd w:id="37"/>
      <w:r>
        <w:rPr>
          <w:rFonts w:hint="eastAsia"/>
          <w:color w:val="000000" w:themeColor="text1"/>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widowControl/>
        <w:tabs>
          <w:tab w:val="left" w:pos="502"/>
          <w:tab w:val="left" w:pos="5145"/>
        </w:tabs>
        <w:adjustRightInd w:val="0"/>
        <w:snapToGrid w:val="0"/>
        <w:spacing w:line="400" w:lineRule="exact"/>
        <w:ind w:left="105" w:leftChars="50" w:firstLine="420" w:firstLineChars="200"/>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广东业信采购招标有限公司（以下简称“招标代理机构”）受阳江农村商业银行股份有限公司（以下简称</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招标人</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）的委托，就阳江农村商业银行股份有限公司保安服务采购项目进行公开招标(项目编号:YXCG-20240228)，欢迎符合条件的投标人参加。有关事项如下：</w:t>
      </w:r>
    </w:p>
    <w:p>
      <w:pPr>
        <w:widowControl/>
        <w:tabs>
          <w:tab w:val="left" w:pos="502"/>
        </w:tabs>
        <w:adjustRightInd w:val="0"/>
        <w:snapToGrid w:val="0"/>
        <w:spacing w:line="400" w:lineRule="exact"/>
        <w:rPr>
          <w:rFonts w:ascii="Tahoma" w:hAnsi="Tahoma" w:cs="Tahoma"/>
          <w:b/>
          <w:bCs/>
          <w:color w:val="000000" w:themeColor="text1"/>
          <w:szCs w:val="21"/>
          <w14:textFill>
            <w14:solidFill>
              <w14:schemeClr w14:val="tx1"/>
            </w14:solidFill>
          </w14:textFill>
        </w:rPr>
      </w:pPr>
      <w:r>
        <w:rPr>
          <w:rFonts w:hint="eastAsia" w:ascii="宋体" w:hAnsi="宋体" w:cs="Tahoma"/>
          <w:b/>
          <w:bCs/>
          <w:color w:val="000000" w:themeColor="text1"/>
          <w14:textFill>
            <w14:solidFill>
              <w14:schemeClr w14:val="tx1"/>
            </w14:solidFill>
          </w14:textFill>
        </w:rPr>
        <w:t>一、</w:t>
      </w:r>
      <w:r>
        <w:rPr>
          <w:rFonts w:hint="eastAsia" w:ascii="Tahoma" w:hAnsi="Tahoma" w:cs="Tahoma"/>
          <w:b/>
          <w:bCs/>
          <w:color w:val="000000" w:themeColor="text1"/>
          <w:szCs w:val="21"/>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400" w:lineRule="exact"/>
        <w:ind w:left="1785" w:leftChars="200" w:hanging="1365" w:hangingChars="65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项目名称：阳江农村商业银行股份有限公司保安服务采购项目</w:t>
      </w:r>
    </w:p>
    <w:p>
      <w:pPr>
        <w:widowControl/>
        <w:numPr>
          <w:ilvl w:val="0"/>
          <w:numId w:val="20"/>
        </w:numPr>
        <w:tabs>
          <w:tab w:val="left" w:pos="735"/>
          <w:tab w:val="clear" w:pos="528"/>
        </w:tabs>
        <w:adjustRightInd w:val="0"/>
        <w:snapToGrid w:val="0"/>
        <w:spacing w:line="400" w:lineRule="exact"/>
        <w:ind w:left="420" w:leftChars="200" w:firstLine="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 YXCG-20240228</w:t>
      </w:r>
    </w:p>
    <w:p>
      <w:pPr>
        <w:widowControl/>
        <w:numPr>
          <w:ilvl w:val="0"/>
          <w:numId w:val="20"/>
        </w:numPr>
        <w:tabs>
          <w:tab w:val="left" w:pos="735"/>
          <w:tab w:val="clear" w:pos="528"/>
        </w:tabs>
        <w:adjustRightInd w:val="0"/>
        <w:snapToGrid w:val="0"/>
        <w:spacing w:line="400" w:lineRule="exact"/>
        <w:ind w:left="735" w:leftChars="200" w:hanging="315" w:hangingChars="15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投标报价上限：人民币</w:t>
      </w:r>
      <w:r>
        <w:rPr>
          <w:rFonts w:hint="eastAsia" w:ascii="宋体" w:hAnsi="宋体" w:cs="宋体"/>
          <w:color w:val="000000" w:themeColor="text1"/>
          <w14:textFill>
            <w14:solidFill>
              <w14:schemeClr w14:val="tx1"/>
            </w14:solidFill>
          </w14:textFill>
        </w:rPr>
        <w:t>5875200.00</w:t>
      </w:r>
      <w:r>
        <w:rPr>
          <w:rFonts w:hint="eastAsia" w:ascii="宋体" w:hAnsi="宋体"/>
          <w:bCs/>
          <w:color w:val="000000" w:themeColor="text1"/>
          <w14:textFill>
            <w14:solidFill>
              <w14:schemeClr w14:val="tx1"/>
            </w14:solidFill>
          </w14:textFill>
        </w:rPr>
        <w:t>元（超出该上限的投标报价将作为无效投标处理）</w:t>
      </w:r>
    </w:p>
    <w:p>
      <w:pPr>
        <w:widowControl/>
        <w:numPr>
          <w:ilvl w:val="0"/>
          <w:numId w:val="20"/>
        </w:numPr>
        <w:tabs>
          <w:tab w:val="left" w:pos="735"/>
          <w:tab w:val="clear" w:pos="528"/>
        </w:tabs>
        <w:adjustRightInd w:val="0"/>
        <w:snapToGrid w:val="0"/>
        <w:spacing w:line="400" w:lineRule="exact"/>
        <w:ind w:left="735" w:leftChars="200" w:hanging="315" w:hangingChars="15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中标单位数量：2家</w:t>
      </w:r>
    </w:p>
    <w:tbl>
      <w:tblPr>
        <w:tblStyle w:val="48"/>
        <w:tblW w:w="46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366"/>
        <w:gridCol w:w="995"/>
        <w:gridCol w:w="1689"/>
        <w:gridCol w:w="1354"/>
        <w:gridCol w:w="953"/>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98" w:type="pct"/>
            <w:vAlign w:val="center"/>
          </w:tcPr>
          <w:p>
            <w:pPr>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754" w:type="pct"/>
            <w:vAlign w:val="center"/>
          </w:tcPr>
          <w:p>
            <w:pPr>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服务区域</w:t>
            </w:r>
          </w:p>
        </w:tc>
        <w:tc>
          <w:tcPr>
            <w:tcW w:w="549" w:type="pct"/>
            <w:vAlign w:val="center"/>
          </w:tcPr>
          <w:p>
            <w:pPr>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人数</w:t>
            </w:r>
          </w:p>
        </w:tc>
        <w:tc>
          <w:tcPr>
            <w:tcW w:w="932" w:type="pct"/>
            <w:vAlign w:val="center"/>
          </w:tcPr>
          <w:p>
            <w:pPr>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含税服务费用单价最高限价</w:t>
            </w:r>
          </w:p>
        </w:tc>
        <w:tc>
          <w:tcPr>
            <w:tcW w:w="747" w:type="pct"/>
            <w:vAlign w:val="center"/>
          </w:tcPr>
          <w:p>
            <w:pPr>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最高限价合计（3年）</w:t>
            </w:r>
          </w:p>
        </w:tc>
        <w:tc>
          <w:tcPr>
            <w:tcW w:w="526" w:type="pct"/>
            <w:vAlign w:val="center"/>
          </w:tcPr>
          <w:p>
            <w:pPr>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中标人数量</w:t>
            </w:r>
          </w:p>
        </w:tc>
        <w:tc>
          <w:tcPr>
            <w:tcW w:w="991" w:type="pct"/>
            <w:vAlign w:val="center"/>
          </w:tcPr>
          <w:p>
            <w:pPr>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服务期（具体以合同签订为准）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98"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75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总行、</w:t>
            </w:r>
            <w:r>
              <w:rPr>
                <w:rFonts w:hint="eastAsia" w:ascii="宋体" w:hAnsi="宋体" w:cs="宋体"/>
                <w:color w:val="000000" w:themeColor="text1"/>
                <w14:textFill>
                  <w14:solidFill>
                    <w14:schemeClr w14:val="tx1"/>
                  </w14:solidFill>
                </w14:textFill>
              </w:rPr>
              <w:t>江城及海陵片区</w:t>
            </w:r>
          </w:p>
        </w:tc>
        <w:tc>
          <w:tcPr>
            <w:tcW w:w="54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32人</w:t>
            </w:r>
          </w:p>
        </w:tc>
        <w:tc>
          <w:tcPr>
            <w:tcW w:w="93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人民币3200元/人/月</w:t>
            </w:r>
          </w:p>
        </w:tc>
        <w:tc>
          <w:tcPr>
            <w:tcW w:w="74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368.64万元</w:t>
            </w:r>
          </w:p>
        </w:tc>
        <w:tc>
          <w:tcPr>
            <w:tcW w:w="526"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1家</w:t>
            </w:r>
          </w:p>
        </w:tc>
        <w:tc>
          <w:tcPr>
            <w:tcW w:w="99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498"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75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阳东片区</w:t>
            </w:r>
          </w:p>
        </w:tc>
        <w:tc>
          <w:tcPr>
            <w:tcW w:w="54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19人</w:t>
            </w:r>
          </w:p>
        </w:tc>
        <w:tc>
          <w:tcPr>
            <w:tcW w:w="93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人民币3200元/人/月</w:t>
            </w:r>
          </w:p>
        </w:tc>
        <w:tc>
          <w:tcPr>
            <w:tcW w:w="74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218.88万元</w:t>
            </w:r>
          </w:p>
        </w:tc>
        <w:tc>
          <w:tcPr>
            <w:tcW w:w="526"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1家</w:t>
            </w:r>
          </w:p>
        </w:tc>
        <w:tc>
          <w:tcPr>
            <w:tcW w:w="99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三年</w:t>
            </w:r>
          </w:p>
        </w:tc>
      </w:tr>
    </w:tbl>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w:t>
      </w:r>
    </w:p>
    <w:p>
      <w:pPr>
        <w:spacing w:line="360" w:lineRule="auto"/>
        <w:ind w:firstLine="211" w:firstLineChars="100"/>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1）本项目中标2家，第一中标候选人负责招标人</w:t>
      </w:r>
      <w:r>
        <w:rPr>
          <w:rFonts w:hint="eastAsia" w:ascii="宋体" w:hAnsi="宋体" w:cs="宋体"/>
          <w:b/>
          <w:bCs/>
          <w:color w:val="000000" w:themeColor="text1"/>
          <w:lang w:val="en-US" w:eastAsia="zh-CN"/>
          <w14:textFill>
            <w14:solidFill>
              <w14:schemeClr w14:val="tx1"/>
            </w14:solidFill>
          </w14:textFill>
        </w:rPr>
        <w:t>总行、</w:t>
      </w:r>
      <w:r>
        <w:rPr>
          <w:rFonts w:hint="eastAsia" w:ascii="宋体" w:hAnsi="宋体" w:cs="宋体"/>
          <w:b/>
          <w:bCs/>
          <w:color w:val="000000" w:themeColor="text1"/>
          <w14:textFill>
            <w14:solidFill>
              <w14:schemeClr w14:val="tx1"/>
            </w14:solidFill>
          </w14:textFill>
        </w:rPr>
        <w:t>江城和海陵片区保安服务、第二中标候选人负责阳东片区保安服务。每个片区具体以招标人根据实际情况配置的服务人员数量和服务人员具体工作时间结算相应服务费。</w:t>
      </w:r>
    </w:p>
    <w:p>
      <w:pPr>
        <w:spacing w:line="360" w:lineRule="auto"/>
        <w:ind w:firstLine="211" w:firstLineChars="100"/>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2）采购保安人数：第一中标单位不超过32人,(其中总行白天、兼夜间值班4人，江城片区21人、海陵片区7人)。第二中标单位是阳东片区不超过19人。两片区共控制人数不超过51人(具体招标人数以实际需求为准、详细网点人员见附件)。</w:t>
      </w:r>
    </w:p>
    <w:p>
      <w:pPr>
        <w:widowControl/>
        <w:numPr>
          <w:ilvl w:val="0"/>
          <w:numId w:val="20"/>
        </w:numPr>
        <w:tabs>
          <w:tab w:val="left" w:pos="735"/>
          <w:tab w:val="clear" w:pos="528"/>
        </w:tabs>
        <w:adjustRightInd w:val="0"/>
        <w:snapToGrid w:val="0"/>
        <w:spacing w:line="400" w:lineRule="exact"/>
        <w:ind w:left="736" w:leftChars="200" w:hanging="316" w:hangingChars="150"/>
        <w:rPr>
          <w:rFonts w:ascii="宋体" w:hAnsi="宋体"/>
          <w:b/>
          <w:bCs/>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数  量</w:t>
      </w:r>
      <w:r>
        <w:rPr>
          <w:rFonts w:hint="eastAsia" w:ascii="宋体" w:hAnsi="宋体"/>
          <w:bCs/>
          <w:color w:val="000000" w:themeColor="text1"/>
          <w14:textFill>
            <w14:solidFill>
              <w14:schemeClr w14:val="tx1"/>
            </w14:solidFill>
          </w14:textFill>
        </w:rPr>
        <w:t>：一项</w:t>
      </w:r>
    </w:p>
    <w:p>
      <w:pPr>
        <w:widowControl/>
        <w:numPr>
          <w:ilvl w:val="0"/>
          <w:numId w:val="20"/>
        </w:numPr>
        <w:tabs>
          <w:tab w:val="left" w:pos="735"/>
          <w:tab w:val="clear" w:pos="528"/>
        </w:tabs>
        <w:adjustRightInd w:val="0"/>
        <w:snapToGrid w:val="0"/>
        <w:spacing w:line="400" w:lineRule="exact"/>
        <w:ind w:left="736" w:leftChars="200" w:hanging="316" w:hangingChars="15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服务期：</w:t>
      </w:r>
      <w:r>
        <w:rPr>
          <w:rFonts w:hint="eastAsia" w:ascii="宋体" w:hAnsi="宋体"/>
          <w:color w:val="000000" w:themeColor="text1"/>
          <w:szCs w:val="21"/>
          <w14:textFill>
            <w14:solidFill>
              <w14:schemeClr w14:val="tx1"/>
            </w14:solidFill>
          </w14:textFill>
        </w:rPr>
        <w:t>服务期限为3年，具体以合同签订为准。在服务期间，合同采用一年一签方式，招标人每季度对服务质量进行评估，</w:t>
      </w:r>
      <w:r>
        <w:rPr>
          <w:rFonts w:hint="eastAsia" w:ascii="宋体" w:hAnsi="宋体" w:cs="宋体"/>
          <w:color w:val="000000" w:themeColor="text1"/>
          <w14:textFill>
            <w14:solidFill>
              <w14:schemeClr w14:val="tx1"/>
            </w14:solidFill>
          </w14:textFill>
        </w:rPr>
        <w:t>如中标人同一年度出现两个季度没有通过招标人考核的，招标人有权提前解除合同，且剩余服务期限不再履行；如</w:t>
      </w:r>
      <w:r>
        <w:rPr>
          <w:rFonts w:hint="eastAsia" w:ascii="宋体" w:hAnsi="宋体"/>
          <w:color w:val="000000" w:themeColor="text1"/>
          <w:szCs w:val="21"/>
          <w14:textFill>
            <w14:solidFill>
              <w14:schemeClr w14:val="tx1"/>
            </w14:solidFill>
          </w14:textFill>
        </w:rPr>
        <w:t>考核合格将续签次年合同</w:t>
      </w:r>
      <w:r>
        <w:rPr>
          <w:rFonts w:hint="eastAsia"/>
          <w:color w:val="000000" w:themeColor="text1"/>
          <w:szCs w:val="20"/>
          <w14:textFill>
            <w14:solidFill>
              <w14:schemeClr w14:val="tx1"/>
            </w14:solidFill>
          </w14:textFill>
        </w:rPr>
        <w:t>。</w:t>
      </w:r>
      <w:r>
        <w:rPr>
          <w:color w:val="000000" w:themeColor="text1"/>
          <w:szCs w:val="20"/>
          <w14:textFill>
            <w14:solidFill>
              <w14:schemeClr w14:val="tx1"/>
            </w14:solidFill>
          </w14:textFill>
        </w:rPr>
        <w:t>（</w:t>
      </w:r>
      <w:r>
        <w:rPr>
          <w:rFonts w:hint="eastAsia"/>
          <w:color w:val="000000" w:themeColor="text1"/>
          <w:szCs w:val="20"/>
          <w14:textFill>
            <w14:solidFill>
              <w14:schemeClr w14:val="tx1"/>
            </w14:solidFill>
          </w14:textFill>
        </w:rPr>
        <w:t>少于</w:t>
      </w:r>
      <w:r>
        <w:rPr>
          <w:color w:val="000000" w:themeColor="text1"/>
          <w:szCs w:val="20"/>
          <w14:textFill>
            <w14:solidFill>
              <w14:schemeClr w14:val="tx1"/>
            </w14:solidFill>
          </w14:textFill>
        </w:rPr>
        <w:t>该</w:t>
      </w:r>
      <w:r>
        <w:rPr>
          <w:rFonts w:hint="eastAsia"/>
          <w:color w:val="000000" w:themeColor="text1"/>
          <w:szCs w:val="20"/>
          <w14:textFill>
            <w14:solidFill>
              <w14:schemeClr w14:val="tx1"/>
            </w14:solidFill>
          </w14:textFill>
        </w:rPr>
        <w:t>服务期</w:t>
      </w:r>
      <w:r>
        <w:rPr>
          <w:color w:val="000000" w:themeColor="text1"/>
          <w:szCs w:val="20"/>
          <w14:textFill>
            <w14:solidFill>
              <w14:schemeClr w14:val="tx1"/>
            </w14:solidFill>
          </w14:textFill>
        </w:rPr>
        <w:t>将作为无效投标处理）</w:t>
      </w:r>
    </w:p>
    <w:p>
      <w:pPr>
        <w:widowControl/>
        <w:numPr>
          <w:ilvl w:val="0"/>
          <w:numId w:val="20"/>
        </w:numPr>
        <w:tabs>
          <w:tab w:val="left" w:pos="315"/>
          <w:tab w:val="left" w:pos="735"/>
          <w:tab w:val="clear" w:pos="528"/>
        </w:tabs>
        <w:adjustRightInd w:val="0"/>
        <w:snapToGrid w:val="0"/>
        <w:spacing w:line="400" w:lineRule="exact"/>
        <w:ind w:left="420" w:leftChars="200" w:firstLine="0"/>
        <w:rPr>
          <w:rFonts w:ascii="宋体" w:hAnsi="宋体"/>
          <w:bCs/>
          <w:color w:val="000000" w:themeColor="text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项目招标方式：公开招标</w:t>
      </w:r>
    </w:p>
    <w:p>
      <w:pPr>
        <w:widowControl/>
        <w:tabs>
          <w:tab w:val="left" w:pos="502"/>
        </w:tabs>
        <w:adjustRightInd w:val="0"/>
        <w:snapToGrid w:val="0"/>
        <w:spacing w:line="400" w:lineRule="exact"/>
        <w:rPr>
          <w:rFonts w:ascii="宋体" w:hAnsi="宋体" w:cs="Tahoma"/>
          <w:b/>
          <w:bCs/>
          <w:color w:val="000000" w:themeColor="text1"/>
          <w14:textFill>
            <w14:solidFill>
              <w14:schemeClr w14:val="tx1"/>
            </w14:solidFill>
          </w14:textFill>
        </w:rPr>
      </w:pPr>
      <w:r>
        <w:rPr>
          <w:rFonts w:hint="eastAsia" w:ascii="宋体" w:hAnsi="宋体" w:cs="Tahoma"/>
          <w:b/>
          <w:bCs/>
          <w:color w:val="000000" w:themeColor="text1"/>
          <w14:textFill>
            <w14:solidFill>
              <w14:schemeClr w14:val="tx1"/>
            </w14:solidFill>
          </w14:textFill>
        </w:rPr>
        <w:t>二、投标人资格要求为：</w:t>
      </w:r>
    </w:p>
    <w:p>
      <w:pPr>
        <w:widowControl/>
        <w:tabs>
          <w:tab w:val="left" w:pos="420"/>
        </w:tabs>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1.投标人应具有独立法人资格（如为法人企业的分支机构，则须提供该法人企业的书面授权</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，依法取得营业执照，营业执照处于有效期。</w:t>
      </w:r>
    </w:p>
    <w:p>
      <w:pPr>
        <w:widowControl/>
        <w:tabs>
          <w:tab w:val="left" w:pos="420"/>
        </w:tabs>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2.投标人为分支机构或外省、自治区、直辖市提供保安服务的，应当在阳江市公安局治安管理部门备案。</w:t>
      </w:r>
    </w:p>
    <w:p>
      <w:pPr>
        <w:widowControl/>
        <w:tabs>
          <w:tab w:val="left" w:pos="420"/>
        </w:tabs>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3.投标人应具备公安机关核发的有效期内的《保安服务许可证》（如国家另有规定，则适用其规定）。</w:t>
      </w:r>
    </w:p>
    <w:p>
      <w:pPr>
        <w:widowControl/>
        <w:tabs>
          <w:tab w:val="left" w:pos="420"/>
        </w:tabs>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4.本项目不接受联合体投标。</w:t>
      </w:r>
    </w:p>
    <w:p>
      <w:pPr>
        <w:widowControl/>
        <w:tabs>
          <w:tab w:val="left" w:pos="420"/>
        </w:tabs>
        <w:adjustRightInd w:val="0"/>
        <w:snapToGrid w:val="0"/>
        <w:spacing w:line="400" w:lineRule="exact"/>
        <w:ind w:firstLine="420" w:firstLineChars="200"/>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5.投标人企业目前没有处于被有权机关吊销营业执照、吊销资质、停业整顿、取消投标资格、纳入失信主体或者财产被接管、冻结、进入破产程序等状况。</w:t>
      </w:r>
      <w:r>
        <w:rPr>
          <w:rFonts w:hint="eastAsia" w:ascii="宋体" w:hAnsi="宋体"/>
          <w:b/>
          <w:bCs/>
          <w:color w:val="000000" w:themeColor="text1"/>
          <w:szCs w:val="21"/>
          <w14:textFill>
            <w14:solidFill>
              <w14:schemeClr w14:val="tx1"/>
            </w14:solidFill>
          </w14:textFill>
        </w:rPr>
        <w:t>（提供承诺函，格式自拟）</w:t>
      </w:r>
    </w:p>
    <w:p>
      <w:pPr>
        <w:widowControl/>
        <w:tabs>
          <w:tab w:val="left" w:pos="420"/>
        </w:tabs>
        <w:adjustRightInd w:val="0"/>
        <w:snapToGrid w:val="0"/>
        <w:spacing w:line="400" w:lineRule="exact"/>
        <w:ind w:firstLine="420" w:firstLineChars="200"/>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6.投标人无论在何地受到暂停（取消）在当地投标资格的处罚，只要在处罚期内的，都无资格参加投标。</w:t>
      </w:r>
      <w:r>
        <w:rPr>
          <w:rFonts w:hint="eastAsia" w:ascii="宋体" w:hAnsi="宋体"/>
          <w:b/>
          <w:bCs/>
          <w:color w:val="000000" w:themeColor="text1"/>
          <w:szCs w:val="21"/>
          <w14:textFill>
            <w14:solidFill>
              <w14:schemeClr w14:val="tx1"/>
            </w14:solidFill>
          </w14:textFill>
        </w:rPr>
        <w:t>（提供承诺函，格式自拟）</w:t>
      </w:r>
    </w:p>
    <w:p>
      <w:pPr>
        <w:widowControl/>
        <w:tabs>
          <w:tab w:val="left" w:pos="420"/>
        </w:tabs>
        <w:adjustRightInd w:val="0"/>
        <w:snapToGrid w:val="0"/>
        <w:spacing w:line="400" w:lineRule="exact"/>
        <w:ind w:firstLine="420" w:firstLineChars="200"/>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投标人企业在近三年内（自本招标公告发布之日起往前顺推）没有骗取中标、围标串标、提供虚假投标材料、严重违约、重大安全生产事故（若有则以行政主管部门或司法、仲裁机构等出具的认定文件为准）等不良纪录。</w:t>
      </w:r>
      <w:r>
        <w:rPr>
          <w:rFonts w:hint="eastAsia" w:ascii="宋体" w:hAnsi="宋体"/>
          <w:b/>
          <w:bCs/>
          <w:color w:val="000000" w:themeColor="text1"/>
          <w:szCs w:val="21"/>
          <w14:textFill>
            <w14:solidFill>
              <w14:schemeClr w14:val="tx1"/>
            </w14:solidFill>
          </w14:textFill>
        </w:rPr>
        <w:t>（提供承诺函，格式自拟）</w:t>
      </w:r>
    </w:p>
    <w:p>
      <w:pPr>
        <w:widowControl/>
        <w:tabs>
          <w:tab w:val="left" w:pos="420"/>
        </w:tabs>
        <w:adjustRightInd w:val="0"/>
        <w:snapToGrid w:val="0"/>
        <w:spacing w:line="400" w:lineRule="exact"/>
        <w:ind w:firstLine="420" w:firstLineChars="200"/>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与招标人存在利害关系可能影响招标公正性的法人、其他组织或者个人，不得参加投标。单位负责人为同一人或者存在控股、管理关系的不同单位，不得参加同一标段投标或者未划分标段的同一招标项目投标。否则，相关投标均无效。</w:t>
      </w:r>
      <w:r>
        <w:rPr>
          <w:rFonts w:hint="eastAsia" w:ascii="宋体" w:hAnsi="宋体"/>
          <w:b/>
          <w:bCs/>
          <w:color w:val="000000" w:themeColor="text1"/>
          <w:szCs w:val="21"/>
          <w14:textFill>
            <w14:solidFill>
              <w14:schemeClr w14:val="tx1"/>
            </w14:solidFill>
          </w14:textFill>
        </w:rPr>
        <w:t>（提供承诺函，格式自拟）</w:t>
      </w:r>
    </w:p>
    <w:p>
      <w:pPr>
        <w:widowControl/>
        <w:tabs>
          <w:tab w:val="left" w:pos="420"/>
        </w:tabs>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9.投标人</w:t>
      </w:r>
      <w:r>
        <w:rPr>
          <w:rFonts w:hint="eastAsia" w:hAnsi="宋体"/>
          <w:color w:val="000000" w:themeColor="text1"/>
          <w:szCs w:val="21"/>
          <w14:textFill>
            <w14:solidFill>
              <w14:schemeClr w14:val="tx1"/>
            </w14:solidFill>
          </w14:textFill>
        </w:rPr>
        <w:t>须</w:t>
      </w:r>
      <w:r>
        <w:rPr>
          <w:rFonts w:hint="eastAsia" w:hAnsi="宋体" w:cs="宋体"/>
          <w:color w:val="000000" w:themeColor="text1"/>
          <w:szCs w:val="21"/>
          <w14:textFill>
            <w14:solidFill>
              <w14:schemeClr w14:val="tx1"/>
            </w14:solidFill>
          </w14:textFill>
        </w:rPr>
        <w:t>在招标代理机构登记并购买招标文件。</w:t>
      </w:r>
    </w:p>
    <w:p>
      <w:pPr>
        <w:widowControl/>
        <w:tabs>
          <w:tab w:val="left" w:pos="502"/>
        </w:tabs>
        <w:adjustRightInd w:val="0"/>
        <w:snapToGrid w:val="0"/>
        <w:spacing w:line="400" w:lineRule="exact"/>
        <w:rPr>
          <w:rFonts w:ascii="Tahoma" w:hAnsi="Tahoma" w:cs="Tahoma"/>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三、</w:t>
      </w:r>
      <w:r>
        <w:rPr>
          <w:rFonts w:ascii="Tahoma" w:hAnsi="Tahoma" w:cs="Tahoma"/>
          <w:b/>
          <w:bCs/>
          <w:color w:val="000000" w:themeColor="text1"/>
          <w:szCs w:val="21"/>
          <w14:textFill>
            <w14:solidFill>
              <w14:schemeClr w14:val="tx1"/>
            </w14:solidFill>
          </w14:textFill>
        </w:rPr>
        <w:t>招标文件的公示</w:t>
      </w:r>
    </w:p>
    <w:p>
      <w:pPr>
        <w:spacing w:line="4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Arial"/>
          <w:color w:val="000000" w:themeColor="text1"/>
          <w14:textFill>
            <w14:solidFill>
              <w14:schemeClr w14:val="tx1"/>
            </w14:solidFill>
          </w14:textFill>
        </w:rPr>
        <w:t>招标文件公示时</w:t>
      </w:r>
      <w:r>
        <w:rPr>
          <w:rFonts w:hint="eastAsia" w:ascii="宋体" w:hAnsi="宋体" w:cs="宋体"/>
          <w:bCs/>
          <w:color w:val="000000" w:themeColor="text1"/>
          <w14:textFill>
            <w14:solidFill>
              <w14:schemeClr w14:val="tx1"/>
            </w14:solidFill>
          </w14:textFill>
        </w:rPr>
        <w:t>间及下载：2024年3月6日至2024年3月13日。</w:t>
      </w:r>
    </w:p>
    <w:p>
      <w:pPr>
        <w:spacing w:line="400" w:lineRule="exact"/>
        <w:ind w:left="420" w:leftChars="200"/>
        <w:rPr>
          <w:rFonts w:ascii="宋体" w:hAnsi="宋体" w:cs="宋体"/>
          <w:color w:val="000000" w:themeColor="text1"/>
          <w:kern w:val="0"/>
          <w:szCs w:val="21"/>
          <w14:textFill>
            <w14:solidFill>
              <w14:schemeClr w14:val="tx1"/>
            </w14:solidFill>
          </w14:textFill>
        </w:rPr>
      </w:pPr>
      <w:r>
        <w:rPr>
          <w:rFonts w:hint="eastAsia" w:ascii="宋体" w:hAnsi="宋体"/>
          <w:bCs/>
          <w:color w:val="000000" w:themeColor="text1"/>
          <w14:textFill>
            <w14:solidFill>
              <w14:schemeClr w14:val="tx1"/>
            </w14:solidFill>
          </w14:textFill>
        </w:rPr>
        <w:t>2．</w:t>
      </w:r>
      <w:r>
        <w:rPr>
          <w:rFonts w:ascii="宋体" w:hAnsi="宋体"/>
          <w:bCs/>
          <w:color w:val="000000" w:themeColor="text1"/>
          <w14:textFill>
            <w14:solidFill>
              <w14:schemeClr w14:val="tx1"/>
            </w14:solidFill>
          </w14:textFill>
        </w:rPr>
        <w:t>根据《广东省实施〈中华人民共和国政府采购法〉办法》第三十五条的规定，投标人认为采购文件的内容损害其权益</w:t>
      </w:r>
      <w:r>
        <w:rPr>
          <w:rFonts w:ascii="宋体" w:hAnsi="宋体" w:cs="宋体"/>
          <w:color w:val="000000" w:themeColor="text1"/>
          <w:kern w:val="0"/>
          <w:szCs w:val="21"/>
          <w14:textFill>
            <w14:solidFill>
              <w14:schemeClr w14:val="tx1"/>
            </w14:solidFill>
          </w14:textFill>
        </w:rPr>
        <w:t>的，可以在公示期间或者自期满之日起七个工作日内以书面形式向</w:t>
      </w:r>
      <w:r>
        <w:rPr>
          <w:rFonts w:hint="eastAsia" w:ascii="宋体" w:hAnsi="宋体" w:cs="宋体"/>
          <w:color w:val="000000" w:themeColor="text1"/>
          <w:kern w:val="0"/>
          <w:szCs w:val="21"/>
          <w14:textFill>
            <w14:solidFill>
              <w14:schemeClr w14:val="tx1"/>
            </w14:solidFill>
          </w14:textFill>
        </w:rPr>
        <w:t>招标人</w:t>
      </w:r>
      <w:r>
        <w:rPr>
          <w:rFonts w:ascii="宋体" w:hAnsi="宋体" w:cs="宋体"/>
          <w:color w:val="000000" w:themeColor="text1"/>
          <w:kern w:val="0"/>
          <w:szCs w:val="21"/>
          <w14:textFill>
            <w14:solidFill>
              <w14:schemeClr w14:val="tx1"/>
            </w14:solidFill>
          </w14:textFill>
        </w:rPr>
        <w:t>或</w:t>
      </w:r>
      <w:r>
        <w:rPr>
          <w:rFonts w:hint="eastAsia" w:ascii="宋体" w:hAnsi="宋体" w:cs="宋体"/>
          <w:color w:val="000000" w:themeColor="text1"/>
          <w:kern w:val="0"/>
          <w:szCs w:val="21"/>
          <w14:textFill>
            <w14:solidFill>
              <w14:schemeClr w14:val="tx1"/>
            </w14:solidFill>
          </w14:textFill>
        </w:rPr>
        <w:t>招标代理机构</w:t>
      </w:r>
      <w:r>
        <w:rPr>
          <w:rFonts w:ascii="宋体" w:hAnsi="宋体" w:cs="宋体"/>
          <w:color w:val="000000" w:themeColor="text1"/>
          <w:kern w:val="0"/>
          <w:szCs w:val="21"/>
          <w14:textFill>
            <w14:solidFill>
              <w14:schemeClr w14:val="tx1"/>
            </w14:solidFill>
          </w14:textFill>
        </w:rPr>
        <w:t>提出质疑。质疑函应当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投标人的法定代表人（负责人）</w:t>
      </w:r>
      <w:r>
        <w:rPr>
          <w:rFonts w:ascii="宋体" w:hAnsi="宋体" w:cs="宋体"/>
          <w:color w:val="000000" w:themeColor="text1"/>
          <w:kern w:val="0"/>
          <w:szCs w:val="21"/>
          <w14:textFill>
            <w14:solidFill>
              <w14:schemeClr w14:val="tx1"/>
            </w14:solidFill>
          </w14:textFill>
        </w:rPr>
        <w:t>或</w:t>
      </w:r>
      <w:r>
        <w:rPr>
          <w:rFonts w:hint="eastAsia" w:ascii="宋体" w:hAnsi="宋体" w:cs="宋体"/>
          <w:color w:val="000000" w:themeColor="text1"/>
          <w:kern w:val="0"/>
          <w:szCs w:val="21"/>
          <w14:textFill>
            <w14:solidFill>
              <w14:schemeClr w14:val="tx1"/>
            </w14:solidFill>
          </w14:textFill>
        </w:rPr>
        <w:t>授权代理人</w:t>
      </w:r>
      <w:r>
        <w:rPr>
          <w:rFonts w:ascii="宋体" w:hAnsi="宋体" w:cs="宋体"/>
          <w:color w:val="000000" w:themeColor="text1"/>
          <w:kern w:val="0"/>
          <w:szCs w:val="21"/>
          <w14:textFill>
            <w14:solidFill>
              <w14:schemeClr w14:val="tx1"/>
            </w14:solidFill>
          </w14:textFill>
        </w:rPr>
        <w:t>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，留有联系人及联系电话并提供营业执照复印件、法定代表人（负责人）证明书、授权委托书、</w:t>
      </w:r>
      <w:r>
        <w:rPr>
          <w:rFonts w:hint="eastAsia" w:ascii="宋体" w:hAnsi="宋体" w:cs="宋体"/>
          <w:bCs/>
          <w:color w:val="000000" w:themeColor="text1"/>
          <w:szCs w:val="21"/>
          <w14:textFill>
            <w14:solidFill>
              <w14:schemeClr w14:val="tx1"/>
            </w14:solidFill>
          </w14:textFill>
        </w:rPr>
        <w:t>法定代表人（负责人）身份证复印件、授权代理人身份证复印件</w:t>
      </w:r>
      <w:r>
        <w:rPr>
          <w:rFonts w:hint="eastAsia" w:ascii="宋体" w:hAnsi="宋体" w:cs="宋体"/>
          <w:color w:val="000000" w:themeColor="text1"/>
          <w:kern w:val="0"/>
          <w:szCs w:val="21"/>
          <w14:textFill>
            <w14:solidFill>
              <w14:schemeClr w14:val="tx1"/>
            </w14:solidFill>
          </w14:textFill>
        </w:rPr>
        <w:t>，并与招标代理机构工作人员做好确认工作，未被确认的质疑将作为无效质疑，招标人</w:t>
      </w:r>
      <w:r>
        <w:rPr>
          <w:rFonts w:ascii="宋体" w:hAnsi="宋体" w:cs="宋体"/>
          <w:color w:val="000000" w:themeColor="text1"/>
          <w:kern w:val="0"/>
          <w:szCs w:val="21"/>
          <w14:textFill>
            <w14:solidFill>
              <w14:schemeClr w14:val="tx1"/>
            </w14:solidFill>
          </w14:textFill>
        </w:rPr>
        <w:t>或</w:t>
      </w:r>
      <w:r>
        <w:rPr>
          <w:rFonts w:hint="eastAsia" w:ascii="宋体" w:hAnsi="宋体" w:cs="宋体"/>
          <w:color w:val="000000" w:themeColor="text1"/>
          <w:kern w:val="0"/>
          <w:szCs w:val="21"/>
          <w14:textFill>
            <w14:solidFill>
              <w14:schemeClr w14:val="tx1"/>
            </w14:solidFill>
          </w14:textFill>
        </w:rPr>
        <w:t>招标代理机构可不予作答。</w:t>
      </w:r>
    </w:p>
    <w:p>
      <w:pPr>
        <w:widowControl/>
        <w:numPr>
          <w:ilvl w:val="0"/>
          <w:numId w:val="22"/>
        </w:numPr>
        <w:tabs>
          <w:tab w:val="left" w:pos="502"/>
        </w:tabs>
        <w:adjustRightInd w:val="0"/>
        <w:snapToGrid w:val="0"/>
        <w:spacing w:line="400" w:lineRule="exact"/>
        <w:rPr>
          <w:rFonts w:ascii="Tahoma" w:hAnsi="Tahoma" w:cs="Tahoma"/>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购买招标文件的时间、地点、方式及招标文件售价</w:t>
      </w:r>
    </w:p>
    <w:p>
      <w:pPr>
        <w:widowControl/>
        <w:tabs>
          <w:tab w:val="left" w:pos="735"/>
        </w:tabs>
        <w:adjustRightInd w:val="0"/>
        <w:snapToGrid w:val="0"/>
        <w:spacing w:line="400" w:lineRule="exact"/>
        <w:ind w:left="210" w:left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1.购买招标文件</w:t>
      </w:r>
      <w:r>
        <w:rPr>
          <w:rFonts w:hint="eastAsia" w:ascii="宋体" w:hAnsi="宋体" w:cs="宋体"/>
          <w:bCs/>
          <w:color w:val="000000" w:themeColor="text1"/>
          <w14:textFill>
            <w14:solidFill>
              <w14:schemeClr w14:val="tx1"/>
            </w14:solidFill>
          </w14:textFill>
        </w:rPr>
        <w:t>时间：2024年3月6日至2024年3月13日，上午9:00～12:00，下午2:30～5:30（节假日除外）（北</w:t>
      </w:r>
      <w:r>
        <w:rPr>
          <w:rFonts w:hint="eastAsia" w:ascii="宋体" w:hAnsi="宋体" w:cs="宋体"/>
          <w:color w:val="000000" w:themeColor="text1"/>
          <w14:textFill>
            <w14:solidFill>
              <w14:schemeClr w14:val="tx1"/>
            </w14:solidFill>
          </w14:textFill>
        </w:rPr>
        <w:t>京时间）。</w:t>
      </w:r>
    </w:p>
    <w:p>
      <w:pPr>
        <w:widowControl/>
        <w:tabs>
          <w:tab w:val="left" w:pos="735"/>
        </w:tabs>
        <w:adjustRightInd w:val="0"/>
        <w:snapToGrid w:val="0"/>
        <w:spacing w:line="400" w:lineRule="exact"/>
        <w:ind w:left="210" w:left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2.购买招标文件地点：阳江市江城区猫山四街33号A座2楼</w:t>
      </w:r>
      <w:r>
        <w:rPr>
          <w:rFonts w:hint="eastAsia" w:ascii="宋体" w:hAnsi="宋体" w:cs="宋体"/>
          <w:color w:val="000000" w:themeColor="text1"/>
          <w:szCs w:val="21"/>
          <w14:textFill>
            <w14:solidFill>
              <w14:schemeClr w14:val="tx1"/>
            </w14:solidFill>
          </w14:textFill>
        </w:rPr>
        <w:t>205室。</w:t>
      </w:r>
    </w:p>
    <w:p>
      <w:pPr>
        <w:widowControl/>
        <w:tabs>
          <w:tab w:val="left" w:pos="735"/>
        </w:tabs>
        <w:adjustRightInd w:val="0"/>
        <w:snapToGrid w:val="0"/>
        <w:spacing w:line="400" w:lineRule="exact"/>
        <w:ind w:left="210" w:leftChars="100"/>
        <w:rPr>
          <w:rFonts w:ascii="宋体" w:hAnsi="宋体" w:cs="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3.招标文件售价：</w:t>
      </w:r>
      <w:r>
        <w:rPr>
          <w:rFonts w:hint="eastAsia" w:ascii="宋体" w:hAnsi="宋体" w:cs="宋体"/>
          <w:bCs/>
          <w:color w:val="000000" w:themeColor="text1"/>
          <w:szCs w:val="21"/>
          <w14:textFill>
            <w14:solidFill>
              <w14:schemeClr w14:val="tx1"/>
            </w14:solidFill>
          </w14:textFill>
        </w:rPr>
        <w:t>招标文件每套人民币300元，售后不退</w:t>
      </w:r>
      <w:r>
        <w:rPr>
          <w:rFonts w:hint="eastAsia" w:ascii="宋体" w:hAnsi="宋体" w:cs="宋体"/>
          <w:bCs/>
          <w:color w:val="000000" w:themeColor="text1"/>
          <w14:textFill>
            <w14:solidFill>
              <w14:schemeClr w14:val="tx1"/>
            </w14:solidFill>
          </w14:textFill>
        </w:rPr>
        <w:t>。</w:t>
      </w:r>
    </w:p>
    <w:p>
      <w:pPr>
        <w:widowControl/>
        <w:tabs>
          <w:tab w:val="left" w:pos="735"/>
        </w:tabs>
        <w:adjustRightInd w:val="0"/>
        <w:snapToGrid w:val="0"/>
        <w:spacing w:line="400" w:lineRule="exact"/>
        <w:ind w:left="420" w:leftChars="100" w:hanging="210" w:hanging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4.招标文件获取方式：现场发售。</w:t>
      </w:r>
    </w:p>
    <w:p>
      <w:pPr>
        <w:widowControl/>
        <w:tabs>
          <w:tab w:val="left" w:pos="735"/>
        </w:tabs>
        <w:adjustRightInd w:val="0"/>
        <w:snapToGrid w:val="0"/>
        <w:spacing w:line="400" w:lineRule="exact"/>
        <w:ind w:left="420" w:leftChars="100" w:hanging="210" w:hangingChars="1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14:textFill>
            <w14:solidFill>
              <w14:schemeClr w14:val="tx1"/>
            </w14:solidFill>
          </w14:textFill>
        </w:rPr>
        <w:t>5.</w:t>
      </w:r>
      <w:r>
        <w:rPr>
          <w:rFonts w:hint="eastAsia" w:ascii="宋体" w:hAnsi="宋体" w:cs="宋体"/>
          <w:bCs/>
          <w:color w:val="000000" w:themeColor="text1"/>
          <w:szCs w:val="21"/>
          <w14:textFill>
            <w14:solidFill>
              <w14:schemeClr w14:val="tx1"/>
            </w14:solidFill>
          </w14:textFill>
        </w:rPr>
        <w:t>购买招标文件必须携带:</w:t>
      </w:r>
    </w:p>
    <w:p>
      <w:pPr>
        <w:widowControl/>
        <w:tabs>
          <w:tab w:val="left" w:pos="735"/>
        </w:tabs>
        <w:adjustRightInd w:val="0"/>
        <w:snapToGrid w:val="0"/>
        <w:spacing w:line="400" w:lineRule="exact"/>
        <w:ind w:left="659" w:leftChars="164" w:hanging="315" w:hangingChars="1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法定代表人（负责人）证明书原件、法定代表人（负责人）授权委托书原件、法定代表人（负责人）身份证复印件、授权代理人身份证复印件、营业执照副本复印件和相关资质证书复印件及《购买标书登记表》加盖公章到指定地址购买。</w:t>
      </w:r>
      <w:r>
        <w:rPr>
          <w:rFonts w:hint="eastAsia" w:ascii="宋体" w:hAnsi="宋体" w:cs="宋体"/>
          <w:b/>
          <w:bCs/>
          <w:color w:val="000000" w:themeColor="text1"/>
          <w14:textFill>
            <w14:solidFill>
              <w14:schemeClr w14:val="tx1"/>
            </w14:solidFill>
          </w14:textFill>
        </w:rPr>
        <w:t>报名时投标单位的资料与以上报名条件不符合、不齐全、复印件不清晰或未盖红色公章的将不予受理</w:t>
      </w:r>
      <w:r>
        <w:rPr>
          <w:rFonts w:hint="eastAsia" w:ascii="宋体" w:hAnsi="宋体" w:cs="宋体"/>
          <w:bCs/>
          <w:color w:val="000000" w:themeColor="text1"/>
          <w14:textFill>
            <w14:solidFill>
              <w14:schemeClr w14:val="tx1"/>
            </w14:solidFill>
          </w14:textFill>
        </w:rPr>
        <w:t>。</w:t>
      </w:r>
    </w:p>
    <w:p>
      <w:pPr>
        <w:widowControl/>
        <w:tabs>
          <w:tab w:val="left" w:pos="735"/>
        </w:tabs>
        <w:adjustRightInd w:val="0"/>
        <w:snapToGrid w:val="0"/>
        <w:spacing w:line="400" w:lineRule="exact"/>
        <w:ind w:left="660" w:leftChars="164" w:hanging="316" w:hangingChars="150"/>
        <w:rPr>
          <w:rFonts w:ascii="宋体" w:hAnsi="宋体" w:cs="宋体"/>
          <w:b/>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2）供应商须提供未被“信用中国”网站(www.creditchina.gov.cn)记录重大税收违法案件当事人名单或政府采购严重违法失信行为记录名单；未被“中国执行信息公开网”（www</w:t>
      </w:r>
      <w:r>
        <w:rPr>
          <w:rFonts w:ascii="宋体" w:hAnsi="宋体" w:cs="宋体"/>
          <w:b/>
          <w:bCs/>
          <w:color w:val="000000" w:themeColor="text1"/>
          <w14:textFill>
            <w14:solidFill>
              <w14:schemeClr w14:val="tx1"/>
            </w14:solidFill>
          </w14:textFill>
        </w:rPr>
        <w:t>.zxgk.court.gov.cn</w:t>
      </w:r>
      <w:r>
        <w:rPr>
          <w:rFonts w:hint="eastAsia" w:ascii="宋体" w:hAnsi="宋体" w:cs="宋体"/>
          <w:b/>
          <w:bCs/>
          <w:color w:val="000000" w:themeColor="text1"/>
          <w14:textFill>
            <w14:solidFill>
              <w14:schemeClr w14:val="tx1"/>
            </w14:solidFill>
          </w14:textFill>
        </w:rPr>
        <w:t>）记录为失信被执行人、限制消费人员；或不处于中国政府采购网(www.ccgp.gov.cn)“政府采购严重违法失信行为信息记录”中的禁止参加政府采购活动期间的截图。（证明文件须加盖投标人公章）（以招标代理机构或招标人查询结果为准，如相关失信记录已失效，供应商需提供相关证明资料）。</w:t>
      </w:r>
    </w:p>
    <w:p>
      <w:pPr>
        <w:widowControl/>
        <w:numPr>
          <w:ilvl w:val="0"/>
          <w:numId w:val="22"/>
        </w:numPr>
        <w:tabs>
          <w:tab w:val="left" w:pos="502"/>
        </w:tabs>
        <w:adjustRightInd w:val="0"/>
        <w:snapToGrid w:val="0"/>
        <w:spacing w:line="40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投标截止时间、开标时间及地点</w:t>
      </w:r>
    </w:p>
    <w:p>
      <w:pPr>
        <w:widowControl/>
        <w:tabs>
          <w:tab w:val="left" w:pos="735"/>
        </w:tabs>
        <w:adjustRightInd w:val="0"/>
        <w:snapToGrid w:val="0"/>
        <w:spacing w:line="400" w:lineRule="exact"/>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1.递交投标文件时间：2024年3月27日</w:t>
      </w:r>
      <w:r>
        <w:rPr>
          <w:rFonts w:hint="eastAsia" w:ascii="宋体" w:hAnsi="宋体" w:cs="宋体"/>
          <w:color w:val="000000" w:themeColor="text1"/>
          <w:lang w:val="en-US" w:eastAsia="zh-CN"/>
          <w14:textFill>
            <w14:solidFill>
              <w14:schemeClr w14:val="tx1"/>
            </w14:solidFill>
          </w14:textFill>
        </w:rPr>
        <w:t>9</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0</w:t>
      </w:r>
      <w:r>
        <w:rPr>
          <w:rFonts w:hint="eastAsia" w:ascii="宋体" w:hAnsi="宋体" w:cs="宋体"/>
          <w:color w:val="000000" w:themeColor="text1"/>
          <w14:textFill>
            <w14:solidFill>
              <w14:schemeClr w14:val="tx1"/>
            </w14:solidFill>
          </w14:textFill>
        </w:rPr>
        <w:t>0-</w:t>
      </w:r>
      <w:r>
        <w:rPr>
          <w:rFonts w:hint="eastAsia" w:ascii="宋体" w:hAnsi="宋体" w:cs="宋体"/>
          <w:color w:val="000000" w:themeColor="text1"/>
          <w:lang w:val="en-US" w:eastAsia="zh-CN"/>
          <w14:textFill>
            <w14:solidFill>
              <w14:schemeClr w14:val="tx1"/>
            </w14:solidFill>
          </w14:textFill>
        </w:rPr>
        <w:t>9</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cs="宋体"/>
          <w:color w:val="000000" w:themeColor="text1"/>
          <w14:textFill>
            <w14:solidFill>
              <w14:schemeClr w14:val="tx1"/>
            </w14:solidFill>
          </w14:textFill>
        </w:rPr>
        <w:t>0 (北京时间)。</w:t>
      </w:r>
    </w:p>
    <w:p>
      <w:pPr>
        <w:widowControl/>
        <w:tabs>
          <w:tab w:val="left" w:pos="735"/>
        </w:tabs>
        <w:adjustRightInd w:val="0"/>
        <w:snapToGrid w:val="0"/>
        <w:spacing w:line="40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2.投标截止时间、开标时间：2024年3月27日</w:t>
      </w:r>
      <w:r>
        <w:rPr>
          <w:rFonts w:hint="eastAsia" w:ascii="宋体" w:hAnsi="宋体" w:cs="宋体"/>
          <w:color w:val="000000" w:themeColor="text1"/>
          <w:lang w:val="en-US" w:eastAsia="zh-CN"/>
          <w14:textFill>
            <w14:solidFill>
              <w14:schemeClr w14:val="tx1"/>
            </w14:solidFill>
          </w14:textFill>
        </w:rPr>
        <w:t>9</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cs="宋体"/>
          <w:color w:val="000000" w:themeColor="text1"/>
          <w14:textFill>
            <w14:solidFill>
              <w14:schemeClr w14:val="tx1"/>
            </w14:solidFill>
          </w14:textFill>
        </w:rPr>
        <w:t>0(北京时间)。</w:t>
      </w:r>
    </w:p>
    <w:p>
      <w:pPr>
        <w:widowControl/>
        <w:tabs>
          <w:tab w:val="left" w:pos="735"/>
        </w:tabs>
        <w:adjustRightInd w:val="0"/>
        <w:snapToGrid w:val="0"/>
        <w:spacing w:line="40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3.递交投标文件地点、开标地点：阳江市江城区猫山四街33号A座2楼开标室。</w:t>
      </w:r>
    </w:p>
    <w:p>
      <w:pPr>
        <w:widowControl/>
        <w:tabs>
          <w:tab w:val="left" w:pos="735"/>
        </w:tabs>
        <w:adjustRightInd w:val="0"/>
        <w:snapToGrid w:val="0"/>
        <w:spacing w:line="40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六、招标人、招标代理机构的名称、地址和联系方式</w:t>
      </w:r>
    </w:p>
    <w:p>
      <w:pPr>
        <w:widowControl/>
        <w:tabs>
          <w:tab w:val="left" w:pos="630"/>
        </w:tabs>
        <w:adjustRightInd w:val="0"/>
        <w:snapToGrid w:val="0"/>
        <w:spacing w:line="400" w:lineRule="exact"/>
        <w:ind w:firstLine="315" w:firstLineChars="150"/>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1．招标人联系方式：</w:t>
      </w:r>
    </w:p>
    <w:p>
      <w:pPr>
        <w:tabs>
          <w:tab w:val="left" w:pos="735"/>
          <w:tab w:val="left" w:pos="4680"/>
        </w:tabs>
        <w:adjustRightInd w:val="0"/>
        <w:snapToGrid w:val="0"/>
        <w:spacing w:line="400" w:lineRule="exact"/>
        <w:ind w:firstLine="630" w:firstLineChars="300"/>
        <w:rPr>
          <w:rFonts w:ascii="宋体" w:hAnsi="宋体" w:cs="宋体"/>
          <w:color w:val="000000" w:themeColor="text1"/>
          <w:kern w:val="28"/>
          <w:szCs w:val="21"/>
          <w14:textFill>
            <w14:solidFill>
              <w14:schemeClr w14:val="tx1"/>
            </w14:solidFill>
          </w14:textFill>
        </w:rPr>
      </w:pPr>
      <w:r>
        <w:rPr>
          <w:rFonts w:hint="eastAsia" w:ascii="宋体" w:hAnsi="宋体" w:cs="宋体"/>
          <w:color w:val="000000" w:themeColor="text1"/>
          <w:kern w:val="28"/>
          <w:szCs w:val="21"/>
          <w14:textFill>
            <w14:solidFill>
              <w14:schemeClr w14:val="tx1"/>
            </w14:solidFill>
          </w14:textFill>
        </w:rPr>
        <w:t>名称：阳江农村商业银行股份有限公司</w:t>
      </w:r>
    </w:p>
    <w:p>
      <w:pPr>
        <w:tabs>
          <w:tab w:val="left" w:pos="735"/>
          <w:tab w:val="left" w:pos="4680"/>
        </w:tabs>
        <w:adjustRightInd w:val="0"/>
        <w:snapToGrid w:val="0"/>
        <w:spacing w:line="400" w:lineRule="exact"/>
        <w:ind w:firstLine="630" w:firstLineChars="300"/>
        <w:rPr>
          <w:rFonts w:ascii="宋体" w:hAnsi="宋体" w:cs="宋体"/>
          <w:color w:val="000000" w:themeColor="text1"/>
          <w:kern w:val="28"/>
          <w:szCs w:val="21"/>
          <w14:textFill>
            <w14:solidFill>
              <w14:schemeClr w14:val="tx1"/>
            </w14:solidFill>
          </w14:textFill>
        </w:rPr>
      </w:pPr>
      <w:r>
        <w:rPr>
          <w:rFonts w:hint="eastAsia" w:ascii="宋体" w:hAnsi="宋体" w:cs="宋体"/>
          <w:color w:val="000000" w:themeColor="text1"/>
          <w:kern w:val="28"/>
          <w:szCs w:val="21"/>
          <w14:textFill>
            <w14:solidFill>
              <w14:schemeClr w14:val="tx1"/>
            </w14:solidFill>
          </w14:textFill>
        </w:rPr>
        <w:t>地址：阳江市江城区金山路3号美仑广场2幢、3幢1-2层、5幢1-3号铺、5-9号铺、201号铺</w:t>
      </w:r>
    </w:p>
    <w:p>
      <w:pPr>
        <w:tabs>
          <w:tab w:val="left" w:pos="735"/>
          <w:tab w:val="left" w:pos="4680"/>
        </w:tabs>
        <w:adjustRightInd w:val="0"/>
        <w:snapToGrid w:val="0"/>
        <w:spacing w:line="400" w:lineRule="exact"/>
        <w:ind w:firstLine="630" w:firstLineChars="300"/>
        <w:rPr>
          <w:rFonts w:ascii="宋体" w:hAnsi="宋体" w:cs="宋体"/>
          <w:color w:val="000000" w:themeColor="text1"/>
          <w:kern w:val="28"/>
          <w:szCs w:val="21"/>
          <w14:textFill>
            <w14:solidFill>
              <w14:schemeClr w14:val="tx1"/>
            </w14:solidFill>
          </w14:textFill>
        </w:rPr>
      </w:pPr>
      <w:r>
        <w:rPr>
          <w:rFonts w:hint="eastAsia" w:ascii="宋体" w:hAnsi="宋体" w:cs="宋体"/>
          <w:color w:val="000000" w:themeColor="text1"/>
          <w:kern w:val="28"/>
          <w:szCs w:val="21"/>
          <w14:textFill>
            <w14:solidFill>
              <w14:schemeClr w14:val="tx1"/>
            </w14:solidFill>
          </w14:textFill>
        </w:rPr>
        <w:t>联系人：李小姐</w:t>
      </w:r>
    </w:p>
    <w:p>
      <w:pPr>
        <w:tabs>
          <w:tab w:val="left" w:pos="735"/>
          <w:tab w:val="left" w:pos="4680"/>
        </w:tabs>
        <w:adjustRightInd w:val="0"/>
        <w:snapToGrid w:val="0"/>
        <w:spacing w:line="400" w:lineRule="exact"/>
        <w:ind w:firstLine="630" w:firstLineChars="300"/>
        <w:rPr>
          <w:rFonts w:ascii="宋体" w:hAnsi="宋体" w:cs="宋体"/>
          <w:color w:val="000000" w:themeColor="text1"/>
          <w:kern w:val="28"/>
          <w:szCs w:val="21"/>
          <w14:textFill>
            <w14:solidFill>
              <w14:schemeClr w14:val="tx1"/>
            </w14:solidFill>
          </w14:textFill>
        </w:rPr>
      </w:pPr>
      <w:r>
        <w:rPr>
          <w:rFonts w:hint="eastAsia" w:ascii="宋体" w:hAnsi="宋体" w:cs="宋体"/>
          <w:color w:val="000000" w:themeColor="text1"/>
          <w:kern w:val="28"/>
          <w:szCs w:val="21"/>
          <w14:textFill>
            <w14:solidFill>
              <w14:schemeClr w14:val="tx1"/>
            </w14:solidFill>
          </w14:textFill>
        </w:rPr>
        <w:t>联系电话：0662-</w:t>
      </w:r>
      <w:r>
        <w:rPr>
          <w:rFonts w:ascii="宋体" w:hAnsi="宋体" w:cs="宋体"/>
          <w:color w:val="000000" w:themeColor="text1"/>
          <w:kern w:val="28"/>
          <w:szCs w:val="21"/>
          <w14:textFill>
            <w14:solidFill>
              <w14:schemeClr w14:val="tx1"/>
            </w14:solidFill>
          </w14:textFill>
        </w:rPr>
        <w:t>3999625</w:t>
      </w:r>
    </w:p>
    <w:p>
      <w:pPr>
        <w:tabs>
          <w:tab w:val="left" w:pos="735"/>
          <w:tab w:val="left" w:pos="4680"/>
        </w:tabs>
        <w:adjustRightInd w:val="0"/>
        <w:snapToGrid w:val="0"/>
        <w:spacing w:line="400" w:lineRule="exact"/>
        <w:ind w:firstLine="315" w:firstLineChars="150"/>
        <w:rPr>
          <w:rFonts w:ascii="宋体" w:hAnsi="宋体" w:cs="宋体"/>
          <w:color w:val="000000" w:themeColor="text1"/>
          <w:kern w:val="28"/>
          <w:szCs w:val="21"/>
          <w14:textFill>
            <w14:solidFill>
              <w14:schemeClr w14:val="tx1"/>
            </w14:solidFill>
          </w14:textFill>
        </w:rPr>
      </w:pPr>
      <w:r>
        <w:rPr>
          <w:rFonts w:hint="eastAsia" w:ascii="宋体" w:hAnsi="宋体" w:cs="宋体"/>
          <w:color w:val="000000" w:themeColor="text1"/>
          <w:kern w:val="28"/>
          <w:szCs w:val="21"/>
          <w14:textFill>
            <w14:solidFill>
              <w14:schemeClr w14:val="tx1"/>
            </w14:solidFill>
          </w14:textFill>
        </w:rPr>
        <w:t>2．</w:t>
      </w:r>
      <w:r>
        <w:rPr>
          <w:rFonts w:hint="eastAsia" w:ascii="宋体" w:hAnsi="宋体" w:cs="宋体"/>
          <w:color w:val="000000" w:themeColor="text1"/>
          <w14:textFill>
            <w14:solidFill>
              <w14:schemeClr w14:val="tx1"/>
            </w14:solidFill>
          </w14:textFill>
        </w:rPr>
        <w:t>招标代理机构联系方式：</w:t>
      </w:r>
    </w:p>
    <w:p>
      <w:pPr>
        <w:widowControl/>
        <w:tabs>
          <w:tab w:val="left" w:pos="735"/>
        </w:tabs>
        <w:adjustRightInd w:val="0"/>
        <w:snapToGrid w:val="0"/>
        <w:spacing w:line="400" w:lineRule="exact"/>
        <w:ind w:firstLine="630" w:firstLineChars="3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    称：广东业信采购招标有限公司</w:t>
      </w:r>
    </w:p>
    <w:p>
      <w:pPr>
        <w:widowControl/>
        <w:tabs>
          <w:tab w:val="left" w:pos="735"/>
        </w:tabs>
        <w:adjustRightInd w:val="0"/>
        <w:snapToGrid w:val="0"/>
        <w:spacing w:line="400" w:lineRule="exact"/>
        <w:ind w:firstLine="630" w:firstLineChars="3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    址：阳江市江城区猫山四街33号A座2楼</w:t>
      </w:r>
    </w:p>
    <w:p>
      <w:pPr>
        <w:widowControl/>
        <w:tabs>
          <w:tab w:val="left" w:pos="735"/>
        </w:tabs>
        <w:adjustRightInd w:val="0"/>
        <w:snapToGrid w:val="0"/>
        <w:spacing w:line="400" w:lineRule="exact"/>
        <w:ind w:firstLine="630" w:firstLineChars="3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 系 人：冯国辉</w:t>
      </w:r>
    </w:p>
    <w:p>
      <w:pPr>
        <w:widowControl/>
        <w:tabs>
          <w:tab w:val="left" w:pos="735"/>
        </w:tabs>
        <w:adjustRightInd w:val="0"/>
        <w:snapToGrid w:val="0"/>
        <w:spacing w:line="400" w:lineRule="exact"/>
        <w:ind w:firstLine="630" w:firstLineChars="3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联系电话：0662-3167266</w:t>
      </w:r>
    </w:p>
    <w:p>
      <w:pPr>
        <w:widowControl/>
        <w:tabs>
          <w:tab w:val="left" w:pos="735"/>
        </w:tabs>
        <w:adjustRightInd w:val="0"/>
        <w:snapToGrid w:val="0"/>
        <w:spacing w:line="400" w:lineRule="exact"/>
        <w:ind w:firstLine="630" w:firstLineChars="3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传    真：0662-2669666</w:t>
      </w:r>
    </w:p>
    <w:p>
      <w:pPr>
        <w:tabs>
          <w:tab w:val="left" w:pos="4680"/>
        </w:tabs>
        <w:adjustRightInd w:val="0"/>
        <w:snapToGrid w:val="0"/>
        <w:spacing w:line="400" w:lineRule="exact"/>
        <w:ind w:firstLine="630" w:firstLineChars="300"/>
        <w:rPr>
          <w:rFonts w:ascii="宋体" w:hAnsi="宋体" w:cs="宋体"/>
          <w:b/>
          <w:color w:val="000000" w:themeColor="text1"/>
          <w:spacing w:val="20"/>
          <w:szCs w:val="21"/>
          <w14:textFill>
            <w14:solidFill>
              <w14:schemeClr w14:val="tx1"/>
            </w14:solidFill>
          </w14:textFill>
        </w:rPr>
      </w:pPr>
      <w:r>
        <w:rPr>
          <w:rFonts w:hint="eastAsia" w:ascii="宋体" w:hAnsi="宋体" w:cs="宋体"/>
          <w:color w:val="000000" w:themeColor="text1"/>
          <w14:textFill>
            <w14:solidFill>
              <w14:schemeClr w14:val="tx1"/>
            </w14:solidFill>
          </w14:textFill>
        </w:rPr>
        <w:t>网    址：</w:t>
      </w:r>
      <w:r>
        <w:rPr>
          <w:rFonts w:hint="eastAsia" w:ascii="宋体" w:hAnsi="宋体" w:cs="宋体"/>
          <w:bCs/>
          <w:color w:val="000000" w:themeColor="text1"/>
          <w14:textFill>
            <w14:solidFill>
              <w14:schemeClr w14:val="tx1"/>
            </w14:solidFill>
          </w14:textFill>
        </w:rPr>
        <w:t>http://www.yjcg.cc</w:t>
      </w:r>
    </w:p>
    <w:p>
      <w:pPr>
        <w:widowControl/>
        <w:tabs>
          <w:tab w:val="left" w:pos="4769"/>
        </w:tabs>
        <w:adjustRightInd w:val="0"/>
        <w:snapToGrid w:val="0"/>
        <w:spacing w:line="400" w:lineRule="exact"/>
        <w:ind w:left="105" w:leftChars="50" w:firstLine="420" w:firstLineChars="200"/>
        <w:jc w:val="right"/>
        <w:rPr>
          <w:rFonts w:ascii="宋体" w:hAnsi="宋体" w:cs="宋体"/>
          <w:bCs/>
          <w:color w:val="000000" w:themeColor="text1"/>
          <w14:textFill>
            <w14:solidFill>
              <w14:schemeClr w14:val="tx1"/>
            </w14:solidFill>
          </w14:textFill>
        </w:rPr>
      </w:pPr>
    </w:p>
    <w:p>
      <w:pPr>
        <w:widowControl/>
        <w:tabs>
          <w:tab w:val="left" w:pos="4769"/>
        </w:tabs>
        <w:adjustRightInd w:val="0"/>
        <w:snapToGrid w:val="0"/>
        <w:spacing w:line="400" w:lineRule="exact"/>
        <w:ind w:left="105" w:leftChars="50" w:firstLine="420" w:firstLineChars="200"/>
        <w:jc w:val="righ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广东业信采购招标有限公司</w:t>
      </w:r>
    </w:p>
    <w:p>
      <w:pPr>
        <w:widowControl/>
        <w:tabs>
          <w:tab w:val="left" w:pos="4769"/>
        </w:tabs>
        <w:adjustRightInd w:val="0"/>
        <w:snapToGrid w:val="0"/>
        <w:spacing w:line="400" w:lineRule="exact"/>
        <w:ind w:left="105" w:leftChars="50" w:firstLine="420" w:firstLineChars="200"/>
        <w:jc w:val="right"/>
        <w:rPr>
          <w:rFonts w:ascii="宋体" w:hAnsi="宋体" w:cs="宋体"/>
          <w:color w:val="000000" w:themeColor="text1"/>
          <w14:textFill>
            <w14:solidFill>
              <w14:schemeClr w14:val="tx1"/>
            </w14:solidFill>
          </w14:textFill>
        </w:rPr>
      </w:pPr>
      <w:bookmarkStart w:id="38" w:name="_Toc342296709"/>
      <w:bookmarkStart w:id="39" w:name="_Toc342060323"/>
      <w:bookmarkStart w:id="40" w:name="_Toc332270306"/>
      <w:bookmarkStart w:id="41" w:name="_Toc333237613"/>
      <w:bookmarkStart w:id="42" w:name="_Toc366072458"/>
      <w:bookmarkStart w:id="43" w:name="_Toc340672831"/>
      <w:bookmarkStart w:id="44" w:name="_Toc339020049"/>
      <w:bookmarkStart w:id="45" w:name="_Toc341348292"/>
      <w:bookmarkStart w:id="46" w:name="_Toc331683995"/>
      <w:bookmarkStart w:id="47" w:name="_Toc337632316"/>
      <w:bookmarkStart w:id="48" w:name="_Toc339441045"/>
      <w:bookmarkStart w:id="49" w:name="_Toc333237724"/>
      <w:bookmarkStart w:id="50" w:name="_Toc339362258"/>
      <w:bookmarkStart w:id="51" w:name="_Toc349143547"/>
      <w:bookmarkStart w:id="52" w:name="_Toc333238572"/>
      <w:bookmarkStart w:id="53" w:name="_Toc340507404"/>
      <w:bookmarkStart w:id="54" w:name="_Toc333935620"/>
      <w:bookmarkStart w:id="55" w:name="_Toc336681893"/>
      <w:bookmarkStart w:id="56" w:name="_Toc339019829"/>
      <w:bookmarkStart w:id="57" w:name="_Toc331512857"/>
      <w:bookmarkStart w:id="58" w:name="_Toc333935279"/>
      <w:bookmarkStart w:id="59" w:name="_Toc365985109"/>
      <w:bookmarkStart w:id="60" w:name="_Toc345513763"/>
      <w:bookmarkStart w:id="61" w:name="_Toc349127584"/>
      <w:bookmarkStart w:id="62" w:name="_Toc350756404"/>
      <w:bookmarkStart w:id="63" w:name="_Toc332206658"/>
      <w:bookmarkStart w:id="64" w:name="_Toc365967003"/>
      <w:bookmarkStart w:id="65" w:name="_Toc330459946"/>
      <w:bookmarkStart w:id="66" w:name="_Toc336681538"/>
      <w:bookmarkStart w:id="67" w:name="_Toc339020187"/>
      <w:bookmarkStart w:id="68" w:name="_Toc340677032"/>
      <w:bookmarkStart w:id="69" w:name="_Toc350438703"/>
      <w:bookmarkStart w:id="70" w:name="_Toc339019955"/>
      <w:r>
        <w:rPr>
          <w:rFonts w:hint="eastAsia" w:ascii="宋体" w:hAnsi="宋体" w:cs="宋体"/>
          <w:color w:val="000000" w:themeColor="text1"/>
          <w:lang w:val="en-US" w:eastAsia="zh-CN"/>
          <w14:textFill>
            <w14:solidFill>
              <w14:schemeClr w14:val="tx1"/>
            </w14:solidFill>
          </w14:textFill>
        </w:rPr>
        <w:t>2024</w:t>
      </w:r>
      <w:r>
        <w:rPr>
          <w:rFonts w:hint="eastAsia" w:ascii="宋体" w:hAnsi="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cs="宋体"/>
          <w:color w:val="000000" w:themeColor="text1"/>
          <w14:textFill>
            <w14:solidFill>
              <w14:schemeClr w14:val="tx1"/>
            </w14:solidFill>
          </w14:textFill>
        </w:rPr>
        <w:t>日</w:t>
      </w:r>
    </w:p>
    <w:p>
      <w:pPr>
        <w:rPr>
          <w:color w:val="000000" w:themeColor="text1"/>
          <w14:textFill>
            <w14:solidFill>
              <w14:schemeClr w14:val="tx1"/>
            </w14:solidFill>
          </w14:textFill>
        </w:rPr>
      </w:pPr>
      <w:bookmarkStart w:id="71" w:name="_Toc25309"/>
      <w:r>
        <w:rPr>
          <w:rFonts w:hint="eastAsia"/>
          <w:color w:val="000000" w:themeColor="text1"/>
          <w14:textFill>
            <w14:solidFill>
              <w14:schemeClr w14:val="tx1"/>
            </w14:solidFill>
          </w14:textFill>
        </w:rPr>
        <w:br w:type="page"/>
      </w:r>
    </w:p>
    <w:p>
      <w:pPr>
        <w:pStyle w:val="2"/>
        <w:numPr>
          <w:ilvl w:val="0"/>
          <w:numId w:val="0"/>
        </w:numPr>
        <w:spacing w:beforeLines="0" w:after="120" w:afterLines="50" w:line="390" w:lineRule="exact"/>
        <w:ind w:hanging="3"/>
        <w:rPr>
          <w:color w:val="000000" w:themeColor="text1"/>
          <w14:textFill>
            <w14:solidFill>
              <w14:schemeClr w14:val="tx1"/>
            </w14:solidFill>
          </w14:textFill>
        </w:rPr>
      </w:pPr>
      <w:bookmarkStart w:id="72" w:name="_Toc13740"/>
      <w:r>
        <w:rPr>
          <w:rFonts w:hint="eastAsia"/>
          <w:color w:val="000000" w:themeColor="text1"/>
          <w14:textFill>
            <w14:solidFill>
              <w14:schemeClr w14:val="tx1"/>
            </w14:solidFill>
          </w14:textFill>
        </w:rPr>
        <w:t xml:space="preserve">第二部分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3" w:name="_Hlt23321722"/>
      <w:bookmarkEnd w:id="73"/>
      <w:bookmarkStart w:id="74" w:name="_Toc333935280"/>
      <w:bookmarkStart w:id="75" w:name="_Toc333237725"/>
      <w:bookmarkStart w:id="76" w:name="_Toc75570886"/>
      <w:bookmarkStart w:id="77" w:name="_Toc330459949"/>
      <w:bookmarkStart w:id="78" w:name="_Toc333935621"/>
      <w:bookmarkStart w:id="79" w:name="_Toc333238573"/>
      <w:bookmarkStart w:id="80" w:name="_Toc333237614"/>
      <w:r>
        <w:rPr>
          <w:rFonts w:hint="eastAsia"/>
          <w:color w:val="000000" w:themeColor="text1"/>
          <w14:textFill>
            <w14:solidFill>
              <w14:schemeClr w14:val="tx1"/>
            </w14:solidFill>
          </w14:textFill>
        </w:rPr>
        <w:t>采购项目内容</w:t>
      </w:r>
      <w:bookmarkEnd w:id="71"/>
      <w:bookmarkEnd w:id="72"/>
    </w:p>
    <w:bookmarkEnd w:id="74"/>
    <w:bookmarkEnd w:id="75"/>
    <w:bookmarkEnd w:id="76"/>
    <w:bookmarkEnd w:id="77"/>
    <w:bookmarkEnd w:id="78"/>
    <w:bookmarkEnd w:id="79"/>
    <w:bookmarkEnd w:id="80"/>
    <w:p>
      <w:pPr>
        <w:pStyle w:val="3"/>
        <w:numPr>
          <w:ilvl w:val="0"/>
          <w:numId w:val="0"/>
        </w:numPr>
        <w:spacing w:before="360" w:beforeLines="150" w:after="0" w:line="360" w:lineRule="auto"/>
        <w:rPr>
          <w:color w:val="000000" w:themeColor="text1"/>
          <w:kern w:val="0"/>
          <w:sz w:val="24"/>
          <w14:textFill>
            <w14:solidFill>
              <w14:schemeClr w14:val="tx1"/>
            </w14:solidFill>
          </w14:textFill>
        </w:rPr>
      </w:pPr>
      <w:bookmarkStart w:id="81" w:name="_Toc20604"/>
      <w:bookmarkStart w:id="82" w:name="_Toc25037"/>
      <w:bookmarkStart w:id="83" w:name="_Toc339441054"/>
      <w:bookmarkStart w:id="84" w:name="_Toc350756417"/>
      <w:bookmarkStart w:id="85" w:name="_Toc332206675"/>
      <w:bookmarkStart w:id="86" w:name="_Toc331512865"/>
      <w:bookmarkStart w:id="87" w:name="_Toc333237644"/>
      <w:bookmarkStart w:id="88" w:name="_Toc332270313"/>
      <w:bookmarkStart w:id="89" w:name="_Toc342060341"/>
      <w:bookmarkStart w:id="90" w:name="_Toc350438716"/>
      <w:bookmarkStart w:id="91" w:name="_Toc365985146"/>
      <w:bookmarkStart w:id="92" w:name="_Toc349143556"/>
      <w:bookmarkStart w:id="93" w:name="_Toc339020062"/>
      <w:bookmarkStart w:id="94" w:name="_Toc345513834"/>
      <w:bookmarkStart w:id="95" w:name="_Toc365967040"/>
      <w:bookmarkStart w:id="96" w:name="_Toc340677037"/>
      <w:bookmarkStart w:id="97" w:name="_Toc336681547"/>
      <w:bookmarkStart w:id="98" w:name="_Toc331684005"/>
      <w:bookmarkStart w:id="99" w:name="_Toc339362267"/>
      <w:bookmarkStart w:id="100" w:name="_Toc337632325"/>
      <w:bookmarkStart w:id="101" w:name="_Toc336681902"/>
      <w:bookmarkStart w:id="102" w:name="_Toc349127593"/>
      <w:bookmarkStart w:id="103" w:name="_Toc333237755"/>
      <w:bookmarkStart w:id="104" w:name="_Toc333935313"/>
      <w:bookmarkStart w:id="105" w:name="_Toc341348305"/>
      <w:bookmarkStart w:id="106" w:name="_Toc330459952"/>
      <w:bookmarkStart w:id="107" w:name="_Toc333935654"/>
      <w:bookmarkStart w:id="108" w:name="_Toc333238600"/>
      <w:bookmarkStart w:id="109" w:name="_Toc340507409"/>
      <w:bookmarkStart w:id="110" w:name="_Toc342296727"/>
      <w:bookmarkStart w:id="111" w:name="_Toc366072495"/>
      <w:bookmarkStart w:id="112" w:name="_Toc340672836"/>
      <w:bookmarkStart w:id="113" w:name="_Toc339020200"/>
      <w:bookmarkStart w:id="114" w:name="_Toc339019982"/>
      <w:bookmarkStart w:id="115" w:name="_Toc339019856"/>
      <w:r>
        <w:rPr>
          <w:color w:val="000000" w:themeColor="text1"/>
          <w:kern w:val="0"/>
          <w:sz w:val="24"/>
          <w14:textFill>
            <w14:solidFill>
              <w14:schemeClr w14:val="tx1"/>
            </w14:solidFill>
          </w14:textFill>
        </w:rPr>
        <w:t xml:space="preserve">A  </w:t>
      </w:r>
      <w:r>
        <w:rPr>
          <w:rFonts w:hint="eastAsia"/>
          <w:color w:val="000000" w:themeColor="text1"/>
          <w:kern w:val="0"/>
          <w:sz w:val="24"/>
          <w14:textFill>
            <w14:solidFill>
              <w14:schemeClr w14:val="tx1"/>
            </w14:solidFill>
          </w14:textFill>
        </w:rPr>
        <w:t>商务要求</w:t>
      </w:r>
      <w:bookmarkEnd w:id="81"/>
      <w:bookmarkEnd w:id="82"/>
    </w:p>
    <w:tbl>
      <w:tblPr>
        <w:tblStyle w:val="48"/>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20"/>
        <w:gridCol w:w="2203"/>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220"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w:t>
            </w:r>
          </w:p>
        </w:tc>
        <w:tc>
          <w:tcPr>
            <w:tcW w:w="660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投标人投标资格要求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详见第一</w:t>
            </w:r>
            <w:r>
              <w:rPr>
                <w:rFonts w:hint="eastAsia" w:ascii="宋体" w:hAnsi="宋体" w:cs="宋体"/>
                <w:color w:val="000000" w:themeColor="text1"/>
                <w:szCs w:val="21"/>
                <w:lang w:eastAsia="zh-CN"/>
                <w14:textFill>
                  <w14:solidFill>
                    <w14:schemeClr w14:val="tx1"/>
                  </w14:solidFill>
                </w14:textFill>
              </w:rPr>
              <w:t>部分</w:t>
            </w:r>
            <w:r>
              <w:rPr>
                <w:rFonts w:hint="eastAsia" w:ascii="宋体" w:hAnsi="宋体" w:cs="宋体"/>
                <w:color w:val="000000" w:themeColor="text1"/>
                <w:szCs w:val="21"/>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服务期</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详见第一</w:t>
            </w:r>
            <w:r>
              <w:rPr>
                <w:rFonts w:hint="eastAsia" w:ascii="宋体" w:hAnsi="宋体" w:cs="宋体"/>
                <w:color w:val="000000" w:themeColor="text1"/>
                <w:szCs w:val="21"/>
                <w:lang w:eastAsia="zh-CN"/>
                <w14:textFill>
                  <w14:solidFill>
                    <w14:schemeClr w14:val="tx1"/>
                  </w14:solidFill>
                </w14:textFill>
              </w:rPr>
              <w:t>部分</w:t>
            </w:r>
            <w:r>
              <w:rPr>
                <w:rFonts w:hint="eastAsia" w:ascii="宋体" w:hAnsi="宋体" w:cs="宋体"/>
                <w:color w:val="000000" w:themeColor="text1"/>
                <w:szCs w:val="21"/>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投标报价包括</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保安</w:t>
            </w:r>
            <w:r>
              <w:rPr>
                <w:rFonts w:hint="eastAsia" w:ascii="宋体" w:hAnsi="宋体" w:cs="宋体"/>
                <w:color w:val="000000" w:themeColor="text1"/>
                <w:szCs w:val="21"/>
                <w14:textFill>
                  <w14:solidFill>
                    <w14:schemeClr w14:val="tx1"/>
                  </w14:solidFill>
                </w14:textFill>
              </w:rPr>
              <w:t xml:space="preserve">员工资、各类补贴（含高温补贴、食宿补贴）、节日福利、劳务管理费、服装、基本装备、保险、利润、税金等费用以及为完成本项目所产生的其他所有可预见和不可预见费用。如出现任何遗漏内容需产生额外费用，均由投标人自行承担，招标人将不再另支付任何费用，双方另有约定的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合同签订要求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35"/>
              </w:tabs>
              <w:adjustRightInd w:val="0"/>
              <w:snapToGrid w:val="0"/>
              <w:spacing w:line="3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中标通知书发出后30天日内签订。合同采取一年一签的形式，如中标人同一年度出现两个季度没有通过招标人考核的，招标人有权提前解除合同，且不再与中标人签订次年合同。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服务地点</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35"/>
              </w:tabs>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阳江农商银行各营业网点。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付款方式</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服务费每月按实际提供的服务人员数量结算，每月7日前，中标人开具上月总服务费用且符合招标人要求的发票并寄送（或送达）给招标人，招标人将在收到发票后10个工作日内以银行转账方式向中标人支付服务费用。</w:t>
            </w:r>
          </w:p>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2.招标人实际支付服务费用=当月应付服务费用</w:t>
            </w:r>
          </w:p>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3.中标人须向招标人提供依法纳税的服务费发票；</w:t>
            </w:r>
          </w:p>
          <w:p>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4.收款方、出具发票方、合同中标人均必须与中标人名称一致。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220"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投标保证金</w:t>
            </w:r>
          </w:p>
          <w:p>
            <w:pPr>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（应当以支票、汇票、本票或者金融机构、担保机构出具的保函等非现金形式提交）。</w:t>
            </w:r>
          </w:p>
          <w:p>
            <w:pPr>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提交主体：必须以投标人自身名义提交，</w:t>
            </w:r>
            <w:r>
              <w:rPr>
                <w:rFonts w:hint="eastAsia" w:ascii="宋体" w:hAnsi="宋体" w:cs="宋体"/>
                <w:color w:val="000000" w:themeColor="text1"/>
                <w:szCs w:val="21"/>
                <w14:textFill>
                  <w14:solidFill>
                    <w14:schemeClr w14:val="tx1"/>
                  </w14:solidFill>
                </w14:textFill>
              </w:rPr>
              <w:t>应注明“</w:t>
            </w:r>
            <w:r>
              <w:rPr>
                <w:rFonts w:hint="eastAsia" w:ascii="宋体" w:hAnsi="宋体" w:cs="宋体"/>
                <w:b/>
                <w:color w:val="000000" w:themeColor="text1"/>
                <w:szCs w:val="21"/>
                <w14:textFill>
                  <w14:solidFill>
                    <w14:schemeClr w14:val="tx1"/>
                  </w14:solidFill>
                </w14:textFill>
              </w:rPr>
              <w:t>（项目编号）投标保证金</w:t>
            </w:r>
            <w:r>
              <w:rPr>
                <w:rFonts w:hint="eastAsia" w:ascii="宋体" w:hAnsi="宋体" w:cs="宋体"/>
                <w:color w:val="000000" w:themeColor="text1"/>
                <w:szCs w:val="21"/>
                <w14:textFill>
                  <w14:solidFill>
                    <w14:schemeClr w14:val="tx1"/>
                  </w14:solidFill>
                </w14:textFill>
              </w:rPr>
              <w:t>”。</w:t>
            </w:r>
          </w:p>
        </w:tc>
        <w:tc>
          <w:tcPr>
            <w:tcW w:w="220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保证金数额</w:t>
            </w:r>
          </w:p>
        </w:tc>
        <w:tc>
          <w:tcPr>
            <w:tcW w:w="440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人民币陆万元整（￥60000.00元）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开户名称</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widowControl/>
              <w:spacing w:line="300" w:lineRule="exact"/>
              <w:jc w:val="center"/>
              <w:rPr>
                <w:rFonts w:ascii="宋体" w:hAnsi="宋体" w:cs="宋体"/>
                <w:color w:val="000000" w:themeColor="text1"/>
                <w:szCs w:val="21"/>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账    号</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widowControl/>
              <w:spacing w:line="300" w:lineRule="exact"/>
              <w:jc w:val="center"/>
              <w:rPr>
                <w:rFonts w:ascii="宋体" w:hAnsi="宋体" w:cs="宋体"/>
                <w:color w:val="000000" w:themeColor="text1"/>
                <w:szCs w:val="21"/>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开户银行</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22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themeColor="text1"/>
                <w:szCs w:val="21"/>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交纳时间</w:t>
            </w:r>
          </w:p>
        </w:tc>
        <w:tc>
          <w:tcPr>
            <w:tcW w:w="440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投标保证金作为投标人投标的组成部分，与投标文件一同递交。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220"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中标服务费</w:t>
            </w:r>
          </w:p>
          <w:p>
            <w:pPr>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（以银行转账、电汇方式提交）</w:t>
            </w: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收费标准：</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参考发改价格[2011]534号文的规定</w:t>
            </w:r>
            <w:r>
              <w:rPr>
                <w:rFonts w:hint="eastAsia" w:ascii="宋体" w:hAnsi="宋体" w:cs="宋体"/>
                <w:color w:val="000000" w:themeColor="text1"/>
                <w:szCs w:val="21"/>
                <w14:textFill>
                  <w14:solidFill>
                    <w14:schemeClr w14:val="tx1"/>
                  </w14:solidFill>
                </w14:textFill>
              </w:rPr>
              <w:t>，招标代理服务费按差额定率累进法计算。招标代理服务费用不足7000元的按7000元计算，以收费标准计算招标代理费用超过</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0000元的，按标准总费用*80%计算。中标服务费由中标供应商在领取中标通知书前以银行转账方式一次性支付。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开户名称</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账    号</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220"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szCs w:val="21"/>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开户银行</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中国农业银行股份有限公司阳江江城支行</w:t>
            </w:r>
          </w:p>
        </w:tc>
      </w:tr>
    </w:tbl>
    <w:p>
      <w:pPr>
        <w:adjustRightInd w:val="0"/>
        <w:snapToGrid w:val="0"/>
        <w:spacing w:line="360" w:lineRule="auto"/>
        <w:rPr>
          <w:rFonts w:ascii="宋体" w:hAnsi="宋体"/>
          <w:bCs/>
          <w:color w:val="000000" w:themeColor="text1"/>
          <w14:textFill>
            <w14:solidFill>
              <w14:schemeClr w14:val="tx1"/>
            </w14:solidFill>
          </w14:textFill>
        </w:rPr>
      </w:pPr>
    </w:p>
    <w:p>
      <w:pPr>
        <w:rPr>
          <w:rFonts w:hAnsi="黑体" w:cs="黑体"/>
          <w:color w:val="000000" w:themeColor="text1"/>
          <w:kern w:val="0"/>
          <w:sz w:val="24"/>
          <w14:textFill>
            <w14:solidFill>
              <w14:schemeClr w14:val="tx1"/>
            </w14:solidFill>
          </w14:textFill>
        </w:rPr>
      </w:pPr>
      <w:bookmarkStart w:id="116" w:name="_Toc31324"/>
      <w:r>
        <w:rPr>
          <w:rFonts w:hint="eastAsia" w:hAnsi="黑体" w:cs="黑体"/>
          <w:color w:val="000000" w:themeColor="text1"/>
          <w:kern w:val="0"/>
          <w:sz w:val="24"/>
          <w14:textFill>
            <w14:solidFill>
              <w14:schemeClr w14:val="tx1"/>
            </w14:solidFill>
          </w14:textFill>
        </w:rPr>
        <w:br w:type="page"/>
      </w:r>
    </w:p>
    <w:p>
      <w:pPr>
        <w:pStyle w:val="3"/>
        <w:numPr>
          <w:ilvl w:val="0"/>
          <w:numId w:val="0"/>
        </w:numPr>
        <w:spacing w:before="360" w:beforeLines="150" w:after="0" w:line="360" w:lineRule="auto"/>
        <w:rPr>
          <w:rFonts w:hAnsi="黑体" w:cs="黑体"/>
          <w:color w:val="000000" w:themeColor="text1"/>
          <w:kern w:val="0"/>
          <w:sz w:val="24"/>
          <w14:textFill>
            <w14:solidFill>
              <w14:schemeClr w14:val="tx1"/>
            </w14:solidFill>
          </w14:textFill>
        </w:rPr>
      </w:pPr>
      <w:bookmarkStart w:id="117" w:name="_Toc5836"/>
      <w:r>
        <w:rPr>
          <w:rFonts w:hint="eastAsia" w:hAnsi="黑体" w:cs="黑体"/>
          <w:color w:val="000000" w:themeColor="text1"/>
          <w:kern w:val="0"/>
          <w:sz w:val="24"/>
          <w14:textFill>
            <w14:solidFill>
              <w14:schemeClr w14:val="tx1"/>
            </w14:solidFill>
          </w14:textFill>
        </w:rPr>
        <w:t>B  技术要求</w:t>
      </w:r>
      <w:bookmarkEnd w:id="116"/>
      <w:bookmarkEnd w:id="117"/>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一、采购概况</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项目拟采购保安人员到招标人指定的营业场所提供保安服务。保安员的主要任务是负责所服务单位办公场所、营业场所及其主要目标的安全，维护办公及客户区的秩序，防抢劫、防盗窃、防诈骗、防火灾、防爆破、防破坏，保护招标人员工及客户的人身、财产的安全等。</w:t>
      </w:r>
    </w:p>
    <w:p>
      <w:pPr>
        <w:widowControl/>
        <w:spacing w:line="360" w:lineRule="auto"/>
        <w:rPr>
          <w:rFonts w:ascii="宋体" w:hAnsi="宋体" w:cs="宋体"/>
          <w:b/>
          <w:color w:val="000000" w:themeColor="text1"/>
          <w:szCs w:val="21"/>
          <w:lang w:bidi="ar"/>
          <w14:textFill>
            <w14:solidFill>
              <w14:schemeClr w14:val="tx1"/>
            </w14:solidFill>
          </w14:textFill>
        </w:rPr>
      </w:pPr>
      <w:r>
        <w:rPr>
          <w:rFonts w:hint="eastAsia" w:ascii="宋体" w:hAnsi="宋体" w:cs="宋体"/>
          <w:color w:val="000000" w:themeColor="text1"/>
          <w14:textFill>
            <w14:solidFill>
              <w14:schemeClr w14:val="tx1"/>
            </w14:solidFill>
          </w14:textFill>
        </w:rPr>
        <w:t>二、</w:t>
      </w:r>
      <w:r>
        <w:rPr>
          <w:rFonts w:hint="eastAsia" w:ascii="宋体" w:hAnsi="宋体" w:cs="宋体"/>
          <w:b/>
          <w:color w:val="000000" w:themeColor="text1"/>
          <w:szCs w:val="21"/>
          <w14:textFill>
            <w14:solidFill>
              <w14:schemeClr w14:val="tx1"/>
            </w14:solidFill>
          </w14:textFill>
        </w:rPr>
        <w:t>项目基本要求</w:t>
      </w:r>
      <w:r>
        <w:rPr>
          <w:rFonts w:hint="eastAsia" w:ascii="宋体" w:hAnsi="宋体" w:cs="宋体"/>
          <w:b/>
          <w:color w:val="000000" w:themeColor="text1"/>
          <w:szCs w:val="21"/>
          <w:lang w:bidi="ar"/>
          <w14:textFill>
            <w14:solidFill>
              <w14:schemeClr w14:val="tx1"/>
            </w14:solidFill>
          </w14:textFill>
        </w:rPr>
        <w:t xml:space="preserve"> </w:t>
      </w:r>
    </w:p>
    <w:p>
      <w:pPr>
        <w:tabs>
          <w:tab w:val="left" w:pos="425"/>
          <w:tab w:val="left" w:pos="72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1.为保证保安员质量，中标人必须保证外包保安员薪酬待遇不得低于阳江市区银行业金融机构的平均水平，否则招标人有权解除合同。</w:t>
      </w:r>
    </w:p>
    <w:p>
      <w:pPr>
        <w:tabs>
          <w:tab w:val="left" w:pos="425"/>
          <w:tab w:val="left" w:pos="72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2.招标人各网点如遇有临时性加班时或总行特殊情况需要保安员值勤，加班费由中标人自行负责支付，每月中标人须安排保安员休假4天。</w:t>
      </w:r>
    </w:p>
    <w:p>
      <w:pPr>
        <w:tabs>
          <w:tab w:val="left" w:pos="425"/>
          <w:tab w:val="left" w:pos="72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3.保安员的休假由中标人负责安排，但必须保证招标人辖内所有正常营业的网点要有保安员在岗上班，如需更换或临时变更保安员的，要向招标人安保部门报备后才可以更换。</w:t>
      </w:r>
    </w:p>
    <w:p>
      <w:pPr>
        <w:tabs>
          <w:tab w:val="left" w:pos="425"/>
          <w:tab w:val="left" w:pos="72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4.中标人所管本辖区保安队长或巡查组人员每月不少于一次对招标人全部网点的保安员进行督查，并在网点保安人员巡查登记部做好记录。</w:t>
      </w:r>
    </w:p>
    <w:p>
      <w:pPr>
        <w:tabs>
          <w:tab w:val="left" w:pos="72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5.中标人所管本辖区保安队长每月不少于一次到招标人安保部门进行非现场录像查检全部网点的保安员工作执行情况，并在网点保安人员巡查登记部做好记录。</w:t>
      </w:r>
    </w:p>
    <w:p>
      <w:pPr>
        <w:tabs>
          <w:tab w:val="left" w:pos="425"/>
          <w:tab w:val="left" w:pos="72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6.中标人对本辖区保安员每季度不少于一次在岗培训或安全教育学习，并留有现场相片和签名记录提供本行留底。</w:t>
      </w:r>
    </w:p>
    <w:p>
      <w:pPr>
        <w:tabs>
          <w:tab w:val="left" w:pos="425"/>
          <w:tab w:val="left" w:pos="72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7.工作期间，保安员在工作期间中途不得离开服务网点工作区域，若遇到特殊情况的，须向网点负责人请假同意后方可临时离开。</w:t>
      </w:r>
    </w:p>
    <w:p>
      <w:pPr>
        <w:tabs>
          <w:tab w:val="left" w:pos="425"/>
          <w:tab w:val="left" w:pos="720"/>
        </w:tabs>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8.中标人需对所有保安员的服装全部进行统一配置，服装样式需经招标人确认。</w:t>
      </w:r>
    </w:p>
    <w:p>
      <w:pPr>
        <w:tabs>
          <w:tab w:val="left" w:pos="425"/>
          <w:tab w:val="left" w:pos="72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9.中标人需按要求提供所负责区域保安员的个人资料，经招标人安全保卫部及人力资源部审核同意后方可使用。中标人选派的服务人员，如不符合资格、素质及服务要求的，招标人有权要求更换人员。</w:t>
      </w:r>
    </w:p>
    <w:p>
      <w:pPr>
        <w:tabs>
          <w:tab w:val="left" w:pos="425"/>
          <w:tab w:val="left" w:pos="72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10.在期限内</w:t>
      </w:r>
      <w:r>
        <w:rPr>
          <w:rFonts w:hint="eastAsia" w:ascii="宋体" w:hAnsi="宋体" w:cs="宋体"/>
          <w:color w:val="000000" w:themeColor="text1"/>
          <w:szCs w:val="21"/>
          <w14:textFill>
            <w14:solidFill>
              <w14:schemeClr w14:val="tx1"/>
            </w14:solidFill>
          </w14:textFill>
        </w:rPr>
        <w:t>若遇网点搬迁或其他情况等保安人员</w:t>
      </w:r>
      <w:r>
        <w:rPr>
          <w:rFonts w:hint="eastAsia" w:ascii="宋体" w:hAnsi="宋体" w:cs="宋体"/>
          <w:color w:val="000000" w:themeColor="text1"/>
          <w:szCs w:val="21"/>
          <w:shd w:val="clear" w:color="auto" w:fill="FFFFFF"/>
          <w14:textFill>
            <w14:solidFill>
              <w14:schemeClr w14:val="tx1"/>
            </w14:solidFill>
          </w14:textFill>
        </w:rPr>
        <w:t>增减</w:t>
      </w:r>
      <w:r>
        <w:rPr>
          <w:rFonts w:hint="eastAsia" w:ascii="宋体" w:hAnsi="宋体" w:cs="宋体"/>
          <w:color w:val="000000" w:themeColor="text1"/>
          <w:szCs w:val="21"/>
          <w14:textFill>
            <w14:solidFill>
              <w14:schemeClr w14:val="tx1"/>
            </w14:solidFill>
          </w14:textFill>
        </w:rPr>
        <w:t>有所变动，按网点的实际在岗上班人员结算为准。</w:t>
      </w:r>
    </w:p>
    <w:p>
      <w:pPr>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11.招标人自行委派的保安人员由招标人自行负责管理，若该部分人员因特殊情况需中标人临时增配保安人员的，中标人应按要求积极配合安排，招标人按每人每日平均服务费用(每月按30天计) 向中标人折算计付额外费用。中标人需将相应费用发放到临时增配的保安人员，否则招标人有权解除合同。</w:t>
      </w:r>
    </w:p>
    <w:p>
      <w:pPr>
        <w:widowControl/>
        <w:spacing w:line="360" w:lineRule="auto"/>
        <w:rPr>
          <w:rFonts w:ascii="宋体" w:hAnsi="宋体" w:cs="宋体"/>
          <w:b/>
          <w:color w:val="000000" w:themeColor="text1"/>
          <w:szCs w:val="21"/>
          <w:lang w:bidi="ar"/>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三、项目服务需求</w:t>
      </w:r>
    </w:p>
    <w:p>
      <w:pPr>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1.服务要求</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人须选聘符合招标人要求的保安员到招标人指定的营业场所提供保安服务。保安员的主要任务是负责所服务单位办公场所、营业场所及其主要目标的安全，维护办公及客户区的秩序，防抢劫、防盗窃、防诈骗、防火灾、防爆破、防破坏等，保护招标人员工及客户的人身、财产的安全。</w:t>
      </w:r>
    </w:p>
    <w:p>
      <w:pPr>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2.服务人员的基本要求</w:t>
      </w:r>
    </w:p>
    <w:p>
      <w:pPr>
        <w:spacing w:line="360" w:lineRule="auto"/>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(1）网点保安员年龄应在18周岁以上、55周岁以下，综合素质较高的可放宽至60周岁，没有高度近视、染红头发及有纹身等不良的现象，</w:t>
      </w:r>
      <w:r>
        <w:rPr>
          <w:rFonts w:hint="eastAsia" w:ascii="宋体" w:hAnsi="宋体" w:cs="宋体"/>
          <w:b/>
          <w:color w:val="000000" w:themeColor="text1"/>
          <w:szCs w:val="21"/>
          <w14:textFill>
            <w14:solidFill>
              <w14:schemeClr w14:val="tx1"/>
            </w14:solidFill>
          </w14:textFill>
        </w:rPr>
        <w:t>其中招标人江城支行保安员、总行大楼保安员、阳东支行保安员年龄必须安排在18周岁以上、45周岁以下，身高1.7米以上，退伍军人优先。办公区域保安员年龄必须符合《保安服务管理条例》规定。</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（2）拥护和遵守中华人民共和国宪法和法律的。</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（3）通过市级人民政府公安机关或经授权的单位组织的考试、审查合格，取得保安员证。</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（4）符合《保安服务管理条例》的规定，品行良好，无犯罪前科、社会劣迹和不良嗜好，部队转业、复员或具备相关工作经验者优先。具有良好的职业道德，遵纪守法，敬业爱岗，工作责任心强。</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（5）具有较好的语言表达和沟通能力，有较强的服务意识、观察及应对能力。</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（6）具有县级以上医疗机构出具的体检证明，身体健康，男性身高在168cm以上，女性身高在160cm以上，初中以上文化程度的。</w:t>
      </w:r>
    </w:p>
    <w:p>
      <w:pPr>
        <w:spacing w:line="360" w:lineRule="auto"/>
        <w:ind w:right="108"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3.有下列情形之⼀的，不予聘⽤：</w:t>
      </w:r>
    </w:p>
    <w:p>
      <w:pPr>
        <w:spacing w:line="360" w:lineRule="auto"/>
        <w:ind w:right="108"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（1）受过刑事处罚或者涉嫌违法犯罪尚未查清的；</w:t>
      </w:r>
    </w:p>
    <w:p>
      <w:pPr>
        <w:spacing w:line="360" w:lineRule="auto"/>
        <w:ind w:right="108"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（2）曾被收容教养、收容教育或有吸毒史的；</w:t>
      </w:r>
    </w:p>
    <w:p>
      <w:pPr>
        <w:spacing w:line="360" w:lineRule="auto"/>
        <w:ind w:right="108"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（3）被国家机关、事业单位开除公职或者辞退的；</w:t>
      </w:r>
    </w:p>
    <w:p>
      <w:pPr>
        <w:spacing w:line="360" w:lineRule="auto"/>
        <w:ind w:right="108"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（4）曾违反公安机关警务辅助⼈员管理规定被解聘的；</w:t>
      </w:r>
    </w:p>
    <w:p>
      <w:pPr>
        <w:spacing w:line="360" w:lineRule="auto"/>
        <w:ind w:right="108"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（5）其他不适合从事保安⼈员⼯作的情形。</w:t>
      </w:r>
    </w:p>
    <w:p>
      <w:pPr>
        <w:widowControl/>
        <w:spacing w:line="360" w:lineRule="auto"/>
        <w:rPr>
          <w:rFonts w:ascii="宋体" w:hAnsi="宋体" w:cs="宋体"/>
          <w:b/>
          <w:color w:val="000000" w:themeColor="text1"/>
          <w:szCs w:val="21"/>
          <w:lang w:bidi="ar"/>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四、人员基本工作内容</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1.项目负责人：包括但不限于： </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（1）主持召开班务会议，及时准确地传达上级的工作安排，带领全体保安人员，做好日常安保等工作。 </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（2）负责对日常班务的处理，检查纠正保安人员工作中的违规行为以及对保安工作提出的改进建议。 </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（3）负责对全体保安人员考勤和考核工作，对不称职者上报领导处理。 </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（4）负责对全体保安人员的岗位培训和军体训练、消防培训、演练和相关记录的整理，提高防卫能力。 </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（5）完成上级交办的其他工作。</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2.保安员： 包括但不限于： </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（1）负责维护管辖区域内治安秩序，预防和查处安全事故；做好安全保卫工作。</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（2）对来访人员进行询问如遇引导员正忙时应协助引导员对来访进行登记及电话通报。</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（3）对在门口与银行工作无关的人员和车辆应礼貌地要求其离开，对劝告不理不采的人员可按相关规定进行处理，无法处理的应报告相关领导。</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（4）值勤时保安员应对进入营业大厅的人员要密切注视其动向；客户存、取数额较大款项时，应密切注视，加强巡视，以防不测。对要到二楼以上办事的客户应主动协助引导员通报接洽人。</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（5）值勤时保安员应提高警惕，不做与工作无关的事情，若有其他事因应得到批准后在有人替换的情况下方可离开岗位。</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（6）对在办公场所周边、营业大厅内张望、逗留时间较长、形迹可疑、或扰乱、破坏营业秩序的人员，应及时进行询问、劝阻或制止。</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（7）完成上级交办的其他工作。</w:t>
      </w:r>
    </w:p>
    <w:p>
      <w:pPr>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3.主要职责</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（1）安全</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保护营业大堂、自助银行等区域银行和客户的财产、设备及人身安全；做好银行人员为ATM机加钞时的安全警戒；协助押运人员作好款箱进出及现金调运的安全防范工作;</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时刻保持高度警惕，关注可疑情况和可疑人员，每十五分钟对大堂、自助银行、贵宾室和大门外进行一次巡视；根据银行工作人员的要求，做好大额存取现客户的护卫工作。</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（2）秩序</w:t>
      </w:r>
    </w:p>
    <w:p>
      <w:pPr>
        <w:numPr>
          <w:ilvl w:val="255"/>
          <w:numId w:val="0"/>
        </w:num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维护营业现场良好工作秩序；帮助和引导客户到相应柜台、自助机具办理业务；提醒客户遵守“一米线”和银行的其他规定；礼貌、策略地制止客户在营业大厅的不文明行为；维持门前交通秩序，引导客户车辆停放；对可疑人员和停靠车辆进行盘查。发现机具设备不能正常运行、设施物品损坏等情况应立即报告和处理。</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（3）文明</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规定着装上岗，包括制服、帽子、领带、武装带、皮鞋，保持仪容整洁；站立巡视，适当就坐调节体力，站有站相、坐有坐相，保持良好警姿；坚守岗位，不迟到、早退，有事须请假不擅离岗位，不做与本职工作无关的事情；严禁酒后上岗，不在工作区域用餐、吸烟；岗位上不大声喧哗，不与人聊闲天；</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（4）处理突发事件</w:t>
      </w:r>
    </w:p>
    <w:p>
      <w:pPr>
        <w:numPr>
          <w:ilvl w:val="255"/>
          <w:numId w:val="0"/>
        </w:numPr>
        <w:spacing w:line="360" w:lineRule="auto"/>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遇突发（案情〉事件，应迅速作出准确的反应和判断，避免人员伤亡和财产损失；及时向保卫部门和网点负责人汇报，防止事态扩大。若网点遇到突发事件，中标人在接到招标人的通知后须组织不少于4名保安应急人员在5分钟内出发，尽最快速度到达现场维护秩序</w:t>
      </w:r>
      <w:r>
        <w:rPr>
          <w:rFonts w:hint="eastAsia" w:ascii="宋体" w:hAnsi="宋体" w:cs="宋体"/>
          <w:color w:val="000000" w:themeColor="text1"/>
          <w:szCs w:val="21"/>
          <w:lang w:eastAsia="zh-CN"/>
          <w14:textFill>
            <w14:solidFill>
              <w14:schemeClr w14:val="tx1"/>
            </w14:solidFill>
          </w14:textFill>
        </w:rPr>
        <w:t>。</w:t>
      </w:r>
    </w:p>
    <w:p>
      <w:pPr>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4.服务人员职业规范及稳定性要求</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着装规范：保安员在执勤时必须按季节要求和规定穿着制式服装，着装时要佩带帽徽、领花、肩章、领带、扎腰带，穿皮鞋或与服装样式相衬的便鞋，不得穿凉鞋和拖鞋，更不得赤脚。不得将制服和便服或冬夏服混穿。应佩戴防卫器械执勤，防卫器械应系在腰带上，不得隐藏在衣服内，不得随意摆弄防卫器械。中标人选派到服务地点的服务人员要遵守招标人服务行为规范，保持衣着整洁，言谈举止大方，服务文明热情，维护招标人的信誉，不得有任何损害招标人的言行。</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（2）培训要求：保安员的培训包括岗前培训与在岗持续培训。保安员岗前培训与在岗培训由中标人负责，每季度不少于一次对保安员进行在岗培训，招标人安保部门负责监督考核，对不符合要求的，不能使用。</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劳动关系管理：中标人与保安员建立劳动关系、支付薪酬和缴纳社保，中标人应按国家规定，与保安员签署劳动合同并购买五险（养老保险、医疗保险、生育保险、失业保险、工伤保险）和人身意外伤亡保险。中标人必须依法为聘用人员完善相关劳动聘用手续和支付社保等相关劳动聘用费用，所聘用人员在工作期间发生的伤亡事故及劳动人事纠纷均与招标人无关。中标人应向招标人提供服务人员的劳动合同、购买社保等情况，以便招标人控制风险。中标人所聘用保安员不能对外宣称为招标人员工，不能借用招标人名义对外进行工作，不能借用招标人名义对外进行工作身份宣传等，否则招标人有权追偿由此造成的一切损失。项目服务期间，中标人选派的服务人员，如不符合资格、素质及服务要求的，招标人有权要求更换人员。服务人员如出现违反招标人规章制度或监管部门等要求的，中标人应立即进行处理，并按招标人要求更换服务人员。如对招标人造成损失的，中标人应负责赔偿。</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中标人应保证选派到招标人服务的保安人员相对稳定，每季度人员流动率不得超过5%（流动率=变动人数÷总人数），派驻网点临时顶班人员不能超过1个月，若同一网点连续2个月后没有派驻固定保安人员，中标人对招标人发出网点保安人员工作不稳定的告知书，中标人应立即进行整改，若未能按要求整改的，招标人有权提前与中标人解除合同，一切责任后果由中标人负责。</w:t>
      </w:r>
    </w:p>
    <w:p>
      <w:pPr>
        <w:widowControl/>
        <w:spacing w:line="360" w:lineRule="auto"/>
        <w:rPr>
          <w:rFonts w:ascii="宋体" w:hAnsi="宋体"/>
          <w:b/>
          <w:bCs/>
          <w:color w:val="000000" w:themeColor="text1"/>
          <w:szCs w:val="21"/>
          <w:lang w:bidi="ar"/>
          <w14:textFill>
            <w14:solidFill>
              <w14:schemeClr w14:val="tx1"/>
            </w14:solidFill>
          </w14:textFill>
        </w:rPr>
      </w:pPr>
      <w:r>
        <w:rPr>
          <w:rFonts w:hint="eastAsia" w:ascii="宋体" w:hAnsi="宋体"/>
          <w:b/>
          <w:bCs/>
          <w:color w:val="000000" w:themeColor="text1"/>
          <w:szCs w:val="21"/>
          <w14:textFill>
            <w14:solidFill>
              <w14:schemeClr w14:val="tx1"/>
            </w14:solidFill>
          </w14:textFill>
        </w:rPr>
        <w:t>五、服务地点、岗位设置、数量及工作时间</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招标人保安岗位设置及区域分布情况表</w:t>
      </w:r>
    </w:p>
    <w:p>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1.总行值班</w:t>
      </w: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人</w:t>
      </w:r>
      <w:r>
        <w:rPr>
          <w:rFonts w:ascii="宋体" w:hAnsi="宋体" w:cs="宋体"/>
          <w:b/>
          <w:color w:val="000000" w:themeColor="text1"/>
          <w:szCs w:val="21"/>
          <w14:textFill>
            <w14:solidFill>
              <w14:schemeClr w14:val="tx1"/>
            </w14:solidFill>
          </w14:textFill>
        </w:rPr>
        <w:t>、江</w:t>
      </w:r>
      <w:r>
        <w:rPr>
          <w:rFonts w:hint="eastAsia" w:ascii="宋体" w:hAnsi="宋体" w:cs="宋体"/>
          <w:b/>
          <w:color w:val="000000" w:themeColor="text1"/>
          <w:szCs w:val="21"/>
          <w14:textFill>
            <w14:solidFill>
              <w14:schemeClr w14:val="tx1"/>
            </w14:solidFill>
          </w14:textFill>
        </w:rPr>
        <w:t>城片区2</w:t>
      </w: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人</w:t>
      </w:r>
      <w:r>
        <w:rPr>
          <w:rFonts w:ascii="宋体" w:hAnsi="宋体" w:cs="宋体"/>
          <w:b/>
          <w:color w:val="000000" w:themeColor="text1"/>
          <w:szCs w:val="21"/>
          <w14:textFill>
            <w14:solidFill>
              <w14:schemeClr w14:val="tx1"/>
            </w14:solidFill>
          </w14:textFill>
        </w:rPr>
        <w:t>、海陵</w:t>
      </w:r>
      <w:r>
        <w:rPr>
          <w:rFonts w:hint="eastAsia" w:ascii="宋体" w:hAnsi="宋体" w:cs="宋体"/>
          <w:b/>
          <w:color w:val="000000" w:themeColor="text1"/>
          <w:szCs w:val="21"/>
          <w14:textFill>
            <w14:solidFill>
              <w14:schemeClr w14:val="tx1"/>
            </w14:solidFill>
          </w14:textFill>
        </w:rPr>
        <w:t>片区</w:t>
      </w:r>
      <w:r>
        <w:rPr>
          <w:rFonts w:ascii="宋体" w:hAnsi="宋体" w:cs="宋体"/>
          <w:b/>
          <w:color w:val="000000" w:themeColor="text1"/>
          <w:szCs w:val="21"/>
          <w14:textFill>
            <w14:solidFill>
              <w14:schemeClr w14:val="tx1"/>
            </w14:solidFill>
          </w14:textFill>
        </w:rPr>
        <w:t>7</w:t>
      </w:r>
      <w:r>
        <w:rPr>
          <w:rFonts w:hint="eastAsia" w:ascii="宋体" w:hAnsi="宋体" w:cs="宋体"/>
          <w:b/>
          <w:color w:val="000000" w:themeColor="text1"/>
          <w:szCs w:val="21"/>
          <w14:textFill>
            <w14:solidFill>
              <w14:schemeClr w14:val="tx1"/>
            </w14:solidFill>
          </w14:textFill>
        </w:rPr>
        <w:t>人，</w:t>
      </w:r>
      <w:r>
        <w:rPr>
          <w:rFonts w:ascii="宋体" w:hAnsi="宋体" w:cs="宋体"/>
          <w:b/>
          <w:color w:val="000000" w:themeColor="text1"/>
          <w:szCs w:val="21"/>
          <w14:textFill>
            <w14:solidFill>
              <w14:schemeClr w14:val="tx1"/>
            </w14:solidFill>
          </w14:textFill>
        </w:rPr>
        <w:t>共32人。</w:t>
      </w:r>
    </w:p>
    <w:p>
      <w:pPr>
        <w:spacing w:line="360" w:lineRule="auto"/>
        <w:rPr>
          <w:rFonts w:ascii="宋体" w:hAnsi="宋体"/>
          <w:b/>
          <w:bCs/>
          <w:color w:val="000000" w:themeColor="text1"/>
          <w:szCs w:val="21"/>
          <w:u w:val="single"/>
          <w14:textFill>
            <w14:solidFill>
              <w14:schemeClr w14:val="tx1"/>
            </w14:solidFill>
          </w14:textFill>
        </w:rPr>
      </w:pPr>
      <w:r>
        <w:rPr>
          <w:rFonts w:ascii="宋体" w:hAnsi="宋体" w:cs="宋体"/>
          <w:b/>
          <w:bCs/>
          <w:color w:val="000000" w:themeColor="text1"/>
          <w:szCs w:val="21"/>
          <w14:textFill>
            <w14:solidFill>
              <w14:schemeClr w14:val="tx1"/>
            </w14:solidFill>
          </w14:textFill>
        </w:rPr>
        <w:t>1</w:t>
      </w:r>
      <w:r>
        <w:rPr>
          <w:rFonts w:hint="eastAsia" w:ascii="宋体" w:hAnsi="宋体" w:cs="宋体"/>
          <w:b/>
          <w:bCs/>
          <w:color w:val="000000" w:themeColor="text1"/>
          <w:szCs w:val="21"/>
          <w14:textFill>
            <w14:solidFill>
              <w14:schemeClr w14:val="tx1"/>
            </w14:solidFill>
          </w14:textFill>
        </w:rPr>
        <w:t>）总行值班</w:t>
      </w:r>
      <w:r>
        <w:rPr>
          <w:rFonts w:ascii="宋体" w:hAnsi="宋体" w:cs="宋体"/>
          <w:b/>
          <w:bCs/>
          <w:color w:val="000000" w:themeColor="text1"/>
          <w:szCs w:val="21"/>
          <w14:textFill>
            <w14:solidFill>
              <w14:schemeClr w14:val="tx1"/>
            </w14:solidFill>
          </w14:textFill>
        </w:rPr>
        <w:t>4</w:t>
      </w:r>
      <w:r>
        <w:rPr>
          <w:rFonts w:hint="eastAsia" w:ascii="宋体" w:hAnsi="宋体" w:cs="宋体"/>
          <w:b/>
          <w:bCs/>
          <w:color w:val="000000" w:themeColor="text1"/>
          <w:szCs w:val="21"/>
          <w14:textFill>
            <w14:solidFill>
              <w14:schemeClr w14:val="tx1"/>
            </w14:solidFill>
          </w14:textFill>
        </w:rPr>
        <w:t>人</w:t>
      </w:r>
    </w:p>
    <w:tbl>
      <w:tblPr>
        <w:tblStyle w:val="48"/>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027"/>
        <w:gridCol w:w="1800"/>
        <w:gridCol w:w="1434"/>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服务地点</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岗位</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岗位数量（人）</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总行大楼值班</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办公大楼前门及夜间值班</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负责办公大楼24小时</w:t>
            </w:r>
            <w:r>
              <w:rPr>
                <w:rFonts w:hint="eastAsia" w:ascii="宋体" w:hAnsi="宋体" w:cs="宋体"/>
                <w:color w:val="000000" w:themeColor="text1"/>
                <w:szCs w:val="21"/>
                <w14:textFill>
                  <w14:solidFill>
                    <w14:schemeClr w14:val="tx1"/>
                  </w14:solidFill>
                </w14:textFill>
              </w:rPr>
              <w:t>白天、夜间</w:t>
            </w:r>
            <w:r>
              <w:rPr>
                <w:rFonts w:ascii="宋体" w:hAnsi="宋体" w:cs="宋体"/>
                <w:color w:val="000000" w:themeColor="text1"/>
                <w:szCs w:val="21"/>
                <w14:textFill>
                  <w14:solidFill>
                    <w14:schemeClr w14:val="tx1"/>
                  </w14:solidFill>
                </w14:textFill>
              </w:rPr>
              <w:t>在岗</w:t>
            </w:r>
            <w:r>
              <w:rPr>
                <w:rFonts w:hint="eastAsia" w:ascii="宋体" w:hAnsi="宋体" w:cs="宋体"/>
                <w:color w:val="000000" w:themeColor="text1"/>
                <w:szCs w:val="21"/>
                <w14:textFill>
                  <w14:solidFill>
                    <w14:schemeClr w14:val="tx1"/>
                  </w14:solidFill>
                </w14:textFill>
              </w:rPr>
              <w:t>上</w:t>
            </w:r>
            <w:r>
              <w:rPr>
                <w:rFonts w:hint="eastAsia" w:ascii="宋体" w:hAnsi="宋体"/>
                <w:color w:val="000000" w:themeColor="text1"/>
                <w:szCs w:val="21"/>
                <w14:textFill>
                  <w14:solidFill>
                    <w14:schemeClr w14:val="tx1"/>
                  </w14:solidFill>
                </w14:textFill>
              </w:rPr>
              <w:t>班</w:t>
            </w:r>
            <w:r>
              <w:rPr>
                <w:rFonts w:ascii="宋体" w:hAnsi="宋体"/>
                <w:color w:val="000000" w:themeColor="text1"/>
                <w:szCs w:val="21"/>
                <w14:textFill>
                  <w14:solidFill>
                    <w14:schemeClr w14:val="tx1"/>
                  </w14:solidFill>
                </w14:textFill>
              </w:rPr>
              <w:t>。</w:t>
            </w:r>
          </w:p>
        </w:tc>
      </w:tr>
    </w:tbl>
    <w:p>
      <w:pPr>
        <w:spacing w:line="315" w:lineRule="atLeast"/>
        <w:ind w:firstLine="420"/>
        <w:rPr>
          <w:rFonts w:ascii="宋体" w:hAnsi="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）江城片区2</w:t>
      </w: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人</w:t>
      </w:r>
    </w:p>
    <w:tbl>
      <w:tblPr>
        <w:tblStyle w:val="48"/>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027"/>
        <w:gridCol w:w="1800"/>
        <w:gridCol w:w="1434"/>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服务地点</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岗位</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岗位数量（人）</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总行营业部</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lang w:bidi="ar"/>
                <w14:textFill>
                  <w14:solidFill>
                    <w14:schemeClr w14:val="tx1"/>
                  </w14:solidFill>
                </w14:textFill>
              </w:rPr>
              <w:t>2</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江城支行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其中1人后门值夜班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lang w:bidi="ar"/>
                <w14:textFill>
                  <w14:solidFill>
                    <w14:schemeClr w14:val="tx1"/>
                  </w14:solidFill>
                </w14:textFill>
              </w:rPr>
              <w:t>3</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城东支行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lang w:bidi="ar"/>
                <w14:textFill>
                  <w14:solidFill>
                    <w14:schemeClr w14:val="tx1"/>
                  </w14:solidFill>
                </w14:textFill>
              </w:rPr>
              <w:t>4</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景湖支行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lang w:bidi="ar"/>
                <w14:textFill>
                  <w14:solidFill>
                    <w14:schemeClr w14:val="tx1"/>
                  </w14:solidFill>
                </w14:textFill>
              </w:rPr>
              <w:t>5</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城北支行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lang w:bidi="ar"/>
                <w14:textFill>
                  <w14:solidFill>
                    <w14:schemeClr w14:val="tx1"/>
                  </w14:solidFill>
                </w14:textFill>
              </w:rPr>
              <w:t>6</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金山支行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lang w:bidi="ar"/>
                <w14:textFill>
                  <w14:solidFill>
                    <w14:schemeClr w14:val="tx1"/>
                  </w14:solidFill>
                </w14:textFill>
              </w:rPr>
              <w:t>7</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银湾支行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lang w:bidi="ar"/>
                <w14:textFill>
                  <w14:solidFill>
                    <w14:schemeClr w14:val="tx1"/>
                  </w14:solidFill>
                </w14:textFill>
              </w:rPr>
              <w:t>8</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城西支行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lang w:bidi="ar"/>
                <w14:textFill>
                  <w14:solidFill>
                    <w14:schemeClr w14:val="tx1"/>
                  </w14:solidFill>
                </w14:textFill>
              </w:rPr>
              <w:t>9</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沿江支行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lang w:bidi="ar"/>
                <w14:textFill>
                  <w14:solidFill>
                    <w14:schemeClr w14:val="tx1"/>
                  </w14:solidFill>
                </w14:textFill>
              </w:rPr>
              <w:t>10</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麻演支行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lang w:bidi="ar"/>
                <w14:textFill>
                  <w14:solidFill>
                    <w14:schemeClr w14:val="tx1"/>
                  </w14:solidFill>
                </w14:textFill>
              </w:rPr>
              <w:t>11</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金郊支行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lang w:bidi="ar"/>
                <w14:textFill>
                  <w14:solidFill>
                    <w14:schemeClr w14:val="tx1"/>
                  </w14:solidFill>
                </w14:textFill>
              </w:rPr>
              <w:t>12</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岗列支行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lang w:bidi="ar"/>
                <w14:textFill>
                  <w14:solidFill>
                    <w14:schemeClr w14:val="tx1"/>
                  </w14:solidFill>
                </w14:textFill>
              </w:rPr>
              <w:t>13</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城南支行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lang w:bidi="ar"/>
                <w14:textFill>
                  <w14:solidFill>
                    <w14:schemeClr w14:val="tx1"/>
                  </w14:solidFill>
                </w14:textFill>
              </w:rPr>
              <w:t>14</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高新支行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lang w:bidi="ar"/>
                <w14:textFill>
                  <w14:solidFill>
                    <w14:schemeClr w14:val="tx1"/>
                  </w14:solidFill>
                </w14:textFill>
              </w:rPr>
              <w:t>15</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平冈支行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lang w:bidi="ar"/>
                <w14:textFill>
                  <w14:solidFill>
                    <w14:schemeClr w14:val="tx1"/>
                  </w14:solidFill>
                </w14:textFill>
              </w:rPr>
              <w:t>16</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埠场支行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lang w:bidi="ar"/>
                <w14:textFill>
                  <w14:solidFill>
                    <w14:schemeClr w14:val="tx1"/>
                  </w14:solidFill>
                </w14:textFill>
              </w:rPr>
              <w:t>17</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白沙支行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lang w:bidi="ar"/>
                <w14:textFill>
                  <w14:solidFill>
                    <w14:schemeClr w14:val="tx1"/>
                  </w14:solidFill>
                </w14:textFill>
              </w:rPr>
              <w:t>18</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银岭支行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lang w:bidi="ar"/>
                <w14:textFill>
                  <w14:solidFill>
                    <w14:schemeClr w14:val="tx1"/>
                  </w14:solidFill>
                </w14:textFill>
              </w:rPr>
              <w:t>19</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双捷支行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lang w:bidi="ar"/>
                <w14:textFill>
                  <w14:solidFill>
                    <w14:schemeClr w14:val="tx1"/>
                  </w14:solidFill>
                </w14:textFill>
              </w:rPr>
              <w:t>20</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城西支行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539" w:type="dxa"/>
            <w:gridSpan w:val="3"/>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合计</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bl>
    <w:p>
      <w:pPr>
        <w:ind w:left="100"/>
        <w:rPr>
          <w:rFonts w:ascii="宋体" w:hAnsi="宋体" w:cs="宋体"/>
          <w:b/>
          <w:color w:val="000000" w:themeColor="text1"/>
          <w:szCs w:val="21"/>
          <w14:textFill>
            <w14:solidFill>
              <w14:schemeClr w14:val="tx1"/>
            </w14:solidFill>
          </w14:textFill>
        </w:rPr>
      </w:pPr>
    </w:p>
    <w:p>
      <w:pPr>
        <w:ind w:left="100"/>
        <w:rPr>
          <w:rFonts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）海陵片</w:t>
      </w:r>
      <w:r>
        <w:rPr>
          <w:rFonts w:ascii="宋体" w:hAnsi="宋体" w:cs="宋体"/>
          <w:b/>
          <w:color w:val="000000" w:themeColor="text1"/>
          <w:szCs w:val="21"/>
          <w14:textFill>
            <w14:solidFill>
              <w14:schemeClr w14:val="tx1"/>
            </w14:solidFill>
          </w14:textFill>
        </w:rPr>
        <w:t xml:space="preserve"> 共7人</w:t>
      </w:r>
    </w:p>
    <w:tbl>
      <w:tblPr>
        <w:tblStyle w:val="49"/>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3033"/>
        <w:gridCol w:w="1811"/>
        <w:gridCol w:w="1445"/>
        <w:gridCol w:w="2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44"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3033"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服务地点</w:t>
            </w:r>
          </w:p>
        </w:tc>
        <w:tc>
          <w:tcPr>
            <w:tcW w:w="1811"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岗位</w:t>
            </w:r>
          </w:p>
        </w:tc>
        <w:tc>
          <w:tcPr>
            <w:tcW w:w="1445"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岗位数量（人）</w:t>
            </w:r>
          </w:p>
        </w:tc>
        <w:tc>
          <w:tcPr>
            <w:tcW w:w="2667"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44"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3033" w:type="dxa"/>
            <w:vAlign w:val="center"/>
          </w:tcPr>
          <w:p>
            <w:pPr>
              <w:widowControl/>
              <w:autoSpaceDE w:val="0"/>
              <w:autoSpaceDN w:val="0"/>
              <w:adjustRightInd w:val="0"/>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海陵支行</w:t>
            </w:r>
          </w:p>
        </w:tc>
        <w:tc>
          <w:tcPr>
            <w:tcW w:w="1811"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45"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p>
        </w:tc>
        <w:tc>
          <w:tcPr>
            <w:tcW w:w="2667" w:type="dxa"/>
            <w:vAlign w:val="center"/>
          </w:tcPr>
          <w:p>
            <w:pPr>
              <w:widowControl/>
              <w:autoSpaceDE w:val="0"/>
              <w:autoSpaceDN w:val="0"/>
              <w:adjustRightInd w:val="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海陵支行营业部1人，其中大门口值班室</w:t>
            </w:r>
            <w:r>
              <w:rPr>
                <w:rFonts w:ascii="宋体" w:hAnsi="宋体" w:cs="宋体"/>
                <w:color w:val="000000" w:themeColor="text1"/>
                <w:szCs w:val="21"/>
                <w:lang w:bidi="ar"/>
                <w14:textFill>
                  <w14:solidFill>
                    <w14:schemeClr w14:val="tx1"/>
                  </w14:solidFill>
                </w14:textFill>
              </w:rPr>
              <w:t>3</w:t>
            </w:r>
            <w:r>
              <w:rPr>
                <w:rFonts w:hint="eastAsia" w:ascii="宋体" w:hAnsi="宋体" w:cs="宋体"/>
                <w:color w:val="000000" w:themeColor="text1"/>
                <w:szCs w:val="21"/>
                <w:lang w:bidi="ar"/>
                <w14:textFill>
                  <w14:solidFill>
                    <w14:schemeClr w14:val="tx1"/>
                  </w14:solidFill>
                </w14:textFill>
              </w:rPr>
              <w:t>人</w:t>
            </w:r>
            <w:r>
              <w:rPr>
                <w:rFonts w:ascii="宋体" w:hAnsi="宋体" w:cs="宋体"/>
                <w:color w:val="000000" w:themeColor="text1"/>
                <w:szCs w:val="21"/>
                <w14:textFill>
                  <w14:solidFill>
                    <w14:schemeClr w14:val="tx1"/>
                  </w14:solidFill>
                </w14:textFill>
              </w:rPr>
              <w:t>24小时在岗值班</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44"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p>
        </w:tc>
        <w:tc>
          <w:tcPr>
            <w:tcW w:w="3033" w:type="dxa"/>
            <w:vAlign w:val="center"/>
          </w:tcPr>
          <w:p>
            <w:pPr>
              <w:widowControl/>
              <w:autoSpaceDE w:val="0"/>
              <w:autoSpaceDN w:val="0"/>
              <w:adjustRightInd w:val="0"/>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闸坡支行</w:t>
            </w:r>
          </w:p>
        </w:tc>
        <w:tc>
          <w:tcPr>
            <w:tcW w:w="1811"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45"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667"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44"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p>
        </w:tc>
        <w:tc>
          <w:tcPr>
            <w:tcW w:w="3033" w:type="dxa"/>
            <w:vAlign w:val="center"/>
          </w:tcPr>
          <w:p>
            <w:pPr>
              <w:widowControl/>
              <w:autoSpaceDE w:val="0"/>
              <w:autoSpaceDN w:val="0"/>
              <w:adjustRightInd w:val="0"/>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白浦支行</w:t>
            </w:r>
          </w:p>
        </w:tc>
        <w:tc>
          <w:tcPr>
            <w:tcW w:w="1811"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45"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667"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44"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p>
        </w:tc>
        <w:tc>
          <w:tcPr>
            <w:tcW w:w="3033" w:type="dxa"/>
            <w:vAlign w:val="center"/>
          </w:tcPr>
          <w:p>
            <w:pPr>
              <w:widowControl/>
              <w:autoSpaceDE w:val="0"/>
              <w:autoSpaceDN w:val="0"/>
              <w:adjustRightInd w:val="0"/>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下朗支行</w:t>
            </w:r>
          </w:p>
        </w:tc>
        <w:tc>
          <w:tcPr>
            <w:tcW w:w="1811"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45"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667"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588" w:type="dxa"/>
            <w:gridSpan w:val="3"/>
            <w:vAlign w:val="center"/>
          </w:tcPr>
          <w:p>
            <w:pPr>
              <w:autoSpaceDE w:val="0"/>
              <w:autoSpaceDN w:val="0"/>
              <w:adjustRightInd w:val="0"/>
              <w:ind w:left="10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合计</w:t>
            </w:r>
          </w:p>
        </w:tc>
        <w:tc>
          <w:tcPr>
            <w:tcW w:w="1445" w:type="dxa"/>
            <w:vAlign w:val="center"/>
          </w:tcPr>
          <w:p>
            <w:pPr>
              <w:autoSpaceDE w:val="0"/>
              <w:autoSpaceDN w:val="0"/>
              <w:adjustRightInd w:val="0"/>
              <w:ind w:left="100"/>
              <w:jc w:val="center"/>
              <w:rPr>
                <w:rFonts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7</w:t>
            </w:r>
          </w:p>
        </w:tc>
        <w:tc>
          <w:tcPr>
            <w:tcW w:w="2667" w:type="dxa"/>
          </w:tcPr>
          <w:p>
            <w:pPr>
              <w:autoSpaceDE w:val="0"/>
              <w:autoSpaceDN w:val="0"/>
              <w:adjustRightInd w:val="0"/>
              <w:ind w:left="100"/>
              <w:rPr>
                <w:rFonts w:ascii="宋体" w:hAnsi="宋体" w:cs="宋体"/>
                <w:b/>
                <w:color w:val="000000" w:themeColor="text1"/>
                <w:szCs w:val="21"/>
                <w14:textFill>
                  <w14:solidFill>
                    <w14:schemeClr w14:val="tx1"/>
                  </w14:solidFill>
                </w14:textFill>
              </w:rPr>
            </w:pPr>
          </w:p>
        </w:tc>
      </w:tr>
    </w:tbl>
    <w:p>
      <w:pPr>
        <w:rPr>
          <w:rFonts w:ascii="宋体" w:hAnsi="宋体" w:cs="宋体"/>
          <w:b/>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r>
        <w:rPr>
          <w:rFonts w:ascii="宋体" w:hAnsi="宋体" w:cs="宋体"/>
          <w:b/>
          <w:color w:val="000000" w:themeColor="text1"/>
          <w:szCs w:val="21"/>
          <w14:textFill>
            <w14:solidFill>
              <w14:schemeClr w14:val="tx1"/>
            </w14:solidFill>
          </w14:textFill>
        </w:rPr>
        <w:t>阳东片区共19人</w:t>
      </w:r>
    </w:p>
    <w:tbl>
      <w:tblPr>
        <w:tblStyle w:val="48"/>
        <w:tblW w:w="9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030"/>
        <w:gridCol w:w="1815"/>
        <w:gridCol w:w="1487"/>
        <w:gridCol w:w="2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vAlign w:val="center"/>
          </w:tcPr>
          <w:p>
            <w:pPr>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序号</w:t>
            </w:r>
          </w:p>
        </w:tc>
        <w:tc>
          <w:tcPr>
            <w:tcW w:w="3030" w:type="dxa"/>
            <w:vAlign w:val="center"/>
          </w:tcPr>
          <w:p>
            <w:pPr>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服务地点</w:t>
            </w:r>
          </w:p>
        </w:tc>
        <w:tc>
          <w:tcPr>
            <w:tcW w:w="1815" w:type="dxa"/>
            <w:vAlign w:val="center"/>
          </w:tcPr>
          <w:p>
            <w:pPr>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岗位</w:t>
            </w:r>
          </w:p>
        </w:tc>
        <w:tc>
          <w:tcPr>
            <w:tcW w:w="1487" w:type="dxa"/>
            <w:vAlign w:val="center"/>
          </w:tcPr>
          <w:p>
            <w:pPr>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岗位数量</w:t>
            </w:r>
          </w:p>
          <w:p>
            <w:pPr>
              <w:jc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（人）</w:t>
            </w:r>
          </w:p>
        </w:tc>
        <w:tc>
          <w:tcPr>
            <w:tcW w:w="2653" w:type="dxa"/>
            <w:vAlign w:val="center"/>
          </w:tcPr>
          <w:p>
            <w:pPr>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c>
          <w:tcPr>
            <w:tcW w:w="303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新华</w:t>
            </w:r>
            <w:r>
              <w:rPr>
                <w:rFonts w:hint="eastAsia" w:ascii="宋体" w:hAnsi="宋体" w:cs="宋体"/>
                <w:color w:val="000000" w:themeColor="text1"/>
                <w:szCs w:val="21"/>
                <w14:textFill>
                  <w14:solidFill>
                    <w14:schemeClr w14:val="tx1"/>
                  </w14:solidFill>
                </w14:textFill>
              </w:rPr>
              <w:t>支行</w:t>
            </w:r>
          </w:p>
        </w:tc>
        <w:tc>
          <w:tcPr>
            <w:tcW w:w="1815"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c>
          <w:tcPr>
            <w:tcW w:w="2653" w:type="dxa"/>
            <w:vAlign w:val="center"/>
          </w:tcPr>
          <w:p>
            <w:pPr>
              <w:spacing w:line="320" w:lineRule="exact"/>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2</w:t>
            </w:r>
          </w:p>
        </w:tc>
        <w:tc>
          <w:tcPr>
            <w:tcW w:w="303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新江</w:t>
            </w:r>
            <w:r>
              <w:rPr>
                <w:rFonts w:hint="eastAsia" w:ascii="宋体" w:hAnsi="宋体" w:cs="宋体"/>
                <w:color w:val="000000" w:themeColor="text1"/>
                <w:szCs w:val="21"/>
                <w14:textFill>
                  <w14:solidFill>
                    <w14:schemeClr w14:val="tx1"/>
                  </w14:solidFill>
                </w14:textFill>
              </w:rPr>
              <w:t>支行</w:t>
            </w:r>
          </w:p>
        </w:tc>
        <w:tc>
          <w:tcPr>
            <w:tcW w:w="1815"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c>
          <w:tcPr>
            <w:tcW w:w="2653" w:type="dxa"/>
            <w:vAlign w:val="center"/>
          </w:tcPr>
          <w:p>
            <w:pPr>
              <w:spacing w:line="320" w:lineRule="exact"/>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3</w:t>
            </w:r>
          </w:p>
        </w:tc>
        <w:tc>
          <w:tcPr>
            <w:tcW w:w="303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东城</w:t>
            </w:r>
            <w:r>
              <w:rPr>
                <w:rFonts w:hint="eastAsia" w:ascii="宋体" w:hAnsi="宋体" w:cs="宋体"/>
                <w:color w:val="000000" w:themeColor="text1"/>
                <w:szCs w:val="21"/>
                <w14:textFill>
                  <w14:solidFill>
                    <w14:schemeClr w14:val="tx1"/>
                  </w14:solidFill>
                </w14:textFill>
              </w:rPr>
              <w:t>支行</w:t>
            </w:r>
          </w:p>
        </w:tc>
        <w:tc>
          <w:tcPr>
            <w:tcW w:w="1815"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20" w:lineRule="exact"/>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4</w:t>
            </w:r>
          </w:p>
        </w:tc>
        <w:tc>
          <w:tcPr>
            <w:tcW w:w="303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迎宾</w:t>
            </w:r>
            <w:r>
              <w:rPr>
                <w:rFonts w:hint="eastAsia" w:ascii="宋体" w:hAnsi="宋体" w:cs="宋体"/>
                <w:color w:val="000000" w:themeColor="text1"/>
                <w:szCs w:val="21"/>
                <w14:textFill>
                  <w14:solidFill>
                    <w14:schemeClr w14:val="tx1"/>
                  </w14:solidFill>
                </w14:textFill>
              </w:rPr>
              <w:t>支行</w:t>
            </w:r>
          </w:p>
        </w:tc>
        <w:tc>
          <w:tcPr>
            <w:tcW w:w="1815"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20" w:lineRule="exact"/>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5</w:t>
            </w:r>
          </w:p>
        </w:tc>
        <w:tc>
          <w:tcPr>
            <w:tcW w:w="303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红丰支行</w:t>
            </w:r>
          </w:p>
        </w:tc>
        <w:tc>
          <w:tcPr>
            <w:tcW w:w="1815"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c>
          <w:tcPr>
            <w:tcW w:w="2653" w:type="dxa"/>
            <w:vAlign w:val="center"/>
          </w:tcPr>
          <w:p>
            <w:pPr>
              <w:spacing w:line="320" w:lineRule="exact"/>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6</w:t>
            </w:r>
          </w:p>
        </w:tc>
        <w:tc>
          <w:tcPr>
            <w:tcW w:w="303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塘坪支行</w:t>
            </w:r>
          </w:p>
        </w:tc>
        <w:tc>
          <w:tcPr>
            <w:tcW w:w="1815"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c>
          <w:tcPr>
            <w:tcW w:w="2653" w:type="dxa"/>
            <w:vAlign w:val="center"/>
          </w:tcPr>
          <w:p>
            <w:pPr>
              <w:spacing w:line="320" w:lineRule="exact"/>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7</w:t>
            </w:r>
          </w:p>
        </w:tc>
        <w:tc>
          <w:tcPr>
            <w:tcW w:w="303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大八支行</w:t>
            </w:r>
          </w:p>
        </w:tc>
        <w:tc>
          <w:tcPr>
            <w:tcW w:w="1815"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c>
          <w:tcPr>
            <w:tcW w:w="2653" w:type="dxa"/>
            <w:vAlign w:val="center"/>
          </w:tcPr>
          <w:p>
            <w:pPr>
              <w:spacing w:line="320" w:lineRule="exact"/>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8</w:t>
            </w:r>
          </w:p>
        </w:tc>
        <w:tc>
          <w:tcPr>
            <w:tcW w:w="303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那龙支行</w:t>
            </w:r>
          </w:p>
        </w:tc>
        <w:tc>
          <w:tcPr>
            <w:tcW w:w="1815"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20" w:lineRule="exact"/>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9</w:t>
            </w:r>
          </w:p>
        </w:tc>
        <w:tc>
          <w:tcPr>
            <w:tcW w:w="303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合山支行</w:t>
            </w:r>
          </w:p>
        </w:tc>
        <w:tc>
          <w:tcPr>
            <w:tcW w:w="1815"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c>
          <w:tcPr>
            <w:tcW w:w="2653" w:type="dxa"/>
            <w:vAlign w:val="center"/>
          </w:tcPr>
          <w:p>
            <w:pPr>
              <w:spacing w:line="320" w:lineRule="exact"/>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10</w:t>
            </w:r>
          </w:p>
        </w:tc>
        <w:tc>
          <w:tcPr>
            <w:tcW w:w="303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镇南</w:t>
            </w:r>
            <w:r>
              <w:rPr>
                <w:rFonts w:hint="eastAsia" w:ascii="宋体" w:hAnsi="宋体" w:cs="宋体"/>
                <w:color w:val="000000" w:themeColor="text1"/>
                <w:szCs w:val="21"/>
                <w14:textFill>
                  <w14:solidFill>
                    <w14:schemeClr w14:val="tx1"/>
                  </w14:solidFill>
                </w14:textFill>
              </w:rPr>
              <w:t>支行</w:t>
            </w:r>
          </w:p>
        </w:tc>
        <w:tc>
          <w:tcPr>
            <w:tcW w:w="1815"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c>
          <w:tcPr>
            <w:tcW w:w="2653" w:type="dxa"/>
            <w:vAlign w:val="center"/>
          </w:tcPr>
          <w:p>
            <w:pPr>
              <w:spacing w:line="320" w:lineRule="exact"/>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11</w:t>
            </w:r>
          </w:p>
        </w:tc>
        <w:tc>
          <w:tcPr>
            <w:tcW w:w="303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北惯支行</w:t>
            </w:r>
          </w:p>
        </w:tc>
        <w:tc>
          <w:tcPr>
            <w:tcW w:w="1815"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c>
          <w:tcPr>
            <w:tcW w:w="2653" w:type="dxa"/>
            <w:vAlign w:val="center"/>
          </w:tcPr>
          <w:p>
            <w:pPr>
              <w:spacing w:line="320" w:lineRule="exact"/>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12</w:t>
            </w:r>
          </w:p>
        </w:tc>
        <w:tc>
          <w:tcPr>
            <w:tcW w:w="303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北平</w:t>
            </w:r>
            <w:r>
              <w:rPr>
                <w:rFonts w:hint="eastAsia" w:ascii="宋体" w:hAnsi="宋体" w:cs="宋体"/>
                <w:color w:val="000000" w:themeColor="text1"/>
                <w:szCs w:val="21"/>
                <w14:textFill>
                  <w14:solidFill>
                    <w14:schemeClr w14:val="tx1"/>
                  </w14:solidFill>
                </w14:textFill>
              </w:rPr>
              <w:t>支行</w:t>
            </w:r>
          </w:p>
        </w:tc>
        <w:tc>
          <w:tcPr>
            <w:tcW w:w="1815"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c>
          <w:tcPr>
            <w:tcW w:w="2653" w:type="dxa"/>
            <w:vAlign w:val="center"/>
          </w:tcPr>
          <w:p>
            <w:pPr>
              <w:spacing w:line="320" w:lineRule="exact"/>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r>
              <w:rPr>
                <w:rFonts w:ascii="宋体" w:hAnsi="宋体" w:cs="宋体"/>
                <w:bCs/>
                <w:color w:val="000000" w:themeColor="text1"/>
                <w:szCs w:val="21"/>
                <w14:textFill>
                  <w14:solidFill>
                    <w14:schemeClr w14:val="tx1"/>
                  </w14:solidFill>
                </w14:textFill>
              </w:rPr>
              <w:t>3</w:t>
            </w:r>
          </w:p>
        </w:tc>
        <w:tc>
          <w:tcPr>
            <w:tcW w:w="303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新洲支行</w:t>
            </w:r>
          </w:p>
        </w:tc>
        <w:tc>
          <w:tcPr>
            <w:tcW w:w="1815"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20" w:lineRule="exact"/>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r>
              <w:rPr>
                <w:rFonts w:ascii="宋体" w:hAnsi="宋体" w:cs="宋体"/>
                <w:bCs/>
                <w:color w:val="000000" w:themeColor="text1"/>
                <w:szCs w:val="21"/>
                <w14:textFill>
                  <w14:solidFill>
                    <w14:schemeClr w14:val="tx1"/>
                  </w14:solidFill>
                </w14:textFill>
              </w:rPr>
              <w:t>4</w:t>
            </w:r>
          </w:p>
        </w:tc>
        <w:tc>
          <w:tcPr>
            <w:tcW w:w="303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东平支行</w:t>
            </w:r>
          </w:p>
        </w:tc>
        <w:tc>
          <w:tcPr>
            <w:tcW w:w="1815"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20" w:lineRule="exact"/>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r>
              <w:rPr>
                <w:rFonts w:ascii="宋体" w:hAnsi="宋体" w:cs="宋体"/>
                <w:bCs/>
                <w:color w:val="000000" w:themeColor="text1"/>
                <w:szCs w:val="21"/>
                <w14:textFill>
                  <w14:solidFill>
                    <w14:schemeClr w14:val="tx1"/>
                  </w14:solidFill>
                </w14:textFill>
              </w:rPr>
              <w:t>5</w:t>
            </w:r>
          </w:p>
        </w:tc>
        <w:tc>
          <w:tcPr>
            <w:tcW w:w="303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龙井支行</w:t>
            </w:r>
          </w:p>
        </w:tc>
        <w:tc>
          <w:tcPr>
            <w:tcW w:w="1815"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20" w:lineRule="exact"/>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16</w:t>
            </w:r>
          </w:p>
        </w:tc>
        <w:tc>
          <w:tcPr>
            <w:tcW w:w="303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大沟支行</w:t>
            </w:r>
          </w:p>
        </w:tc>
        <w:tc>
          <w:tcPr>
            <w:tcW w:w="1815"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c>
          <w:tcPr>
            <w:tcW w:w="2653" w:type="dxa"/>
            <w:vAlign w:val="center"/>
          </w:tcPr>
          <w:p>
            <w:pPr>
              <w:spacing w:line="320" w:lineRule="exact"/>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r>
              <w:rPr>
                <w:rFonts w:ascii="宋体" w:hAnsi="宋体" w:cs="宋体"/>
                <w:bCs/>
                <w:color w:val="000000" w:themeColor="text1"/>
                <w:szCs w:val="21"/>
                <w14:textFill>
                  <w14:solidFill>
                    <w14:schemeClr w14:val="tx1"/>
                  </w14:solidFill>
                </w14:textFill>
              </w:rPr>
              <w:t>7</w:t>
            </w:r>
          </w:p>
        </w:tc>
        <w:tc>
          <w:tcPr>
            <w:tcW w:w="303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雅韶支行</w:t>
            </w:r>
          </w:p>
        </w:tc>
        <w:tc>
          <w:tcPr>
            <w:tcW w:w="1815"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c>
          <w:tcPr>
            <w:tcW w:w="2653" w:type="dxa"/>
            <w:vAlign w:val="center"/>
          </w:tcPr>
          <w:p>
            <w:pPr>
              <w:spacing w:line="320" w:lineRule="exact"/>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18</w:t>
            </w:r>
          </w:p>
        </w:tc>
        <w:tc>
          <w:tcPr>
            <w:tcW w:w="303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漠江支行</w:t>
            </w:r>
          </w:p>
        </w:tc>
        <w:tc>
          <w:tcPr>
            <w:tcW w:w="1815"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c>
          <w:tcPr>
            <w:tcW w:w="2653" w:type="dxa"/>
            <w:vAlign w:val="center"/>
          </w:tcPr>
          <w:p>
            <w:pPr>
              <w:spacing w:line="320" w:lineRule="exact"/>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19</w:t>
            </w:r>
          </w:p>
        </w:tc>
        <w:tc>
          <w:tcPr>
            <w:tcW w:w="3030"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东山支行</w:t>
            </w:r>
          </w:p>
        </w:tc>
        <w:tc>
          <w:tcPr>
            <w:tcW w:w="1815"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c>
          <w:tcPr>
            <w:tcW w:w="2653" w:type="dxa"/>
            <w:vAlign w:val="center"/>
          </w:tcPr>
          <w:p>
            <w:pPr>
              <w:spacing w:line="320" w:lineRule="exact"/>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565" w:type="dxa"/>
            <w:gridSpan w:val="3"/>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合计</w:t>
            </w:r>
          </w:p>
        </w:tc>
        <w:tc>
          <w:tcPr>
            <w:tcW w:w="1487" w:type="dxa"/>
            <w:vAlign w:val="center"/>
          </w:tcPr>
          <w:p>
            <w:pPr>
              <w:spacing w:line="320" w:lineRule="exact"/>
              <w:jc w:val="center"/>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19</w:t>
            </w:r>
          </w:p>
        </w:tc>
        <w:tc>
          <w:tcPr>
            <w:tcW w:w="2653" w:type="dxa"/>
            <w:vAlign w:val="center"/>
          </w:tcPr>
          <w:p>
            <w:pPr>
              <w:spacing w:line="320" w:lineRule="exact"/>
              <w:rPr>
                <w:rFonts w:ascii="宋体" w:hAnsi="宋体" w:cs="宋体"/>
                <w:bCs/>
                <w:color w:val="000000" w:themeColor="text1"/>
                <w:szCs w:val="21"/>
                <w14:textFill>
                  <w14:solidFill>
                    <w14:schemeClr w14:val="tx1"/>
                  </w14:solidFill>
                </w14:textFill>
              </w:rPr>
            </w:pPr>
          </w:p>
        </w:tc>
      </w:tr>
    </w:tbl>
    <w:p>
      <w:pPr>
        <w:snapToGrid w:val="0"/>
        <w:spacing w:line="360" w:lineRule="auto"/>
        <w:ind w:firstLine="420" w:firstLineChars="200"/>
        <w:rPr>
          <w:rFonts w:ascii="宋体" w:hAnsi="宋体"/>
          <w:bCs/>
          <w:color w:val="000000" w:themeColor="text1"/>
          <w:szCs w:val="21"/>
          <w14:textFill>
            <w14:solidFill>
              <w14:schemeClr w14:val="tx1"/>
            </w14:solidFill>
          </w14:textFill>
        </w:rPr>
      </w:pPr>
    </w:p>
    <w:p>
      <w:pPr>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w:t>
      </w:r>
      <w:r>
        <w:rPr>
          <w:rFonts w:ascii="宋体" w:hAnsi="宋体"/>
          <w:bCs/>
          <w:color w:val="000000" w:themeColor="text1"/>
          <w:szCs w:val="21"/>
          <w14:textFill>
            <w14:solidFill>
              <w14:schemeClr w14:val="tx1"/>
            </w14:solidFill>
          </w14:textFill>
        </w:rPr>
        <w:t>工作时间（具体时间以实际</w:t>
      </w:r>
      <w:r>
        <w:rPr>
          <w:rFonts w:hint="eastAsia" w:ascii="宋体" w:hAnsi="宋体"/>
          <w:color w:val="000000" w:themeColor="text1"/>
          <w:szCs w:val="21"/>
          <w14:textFill>
            <w14:solidFill>
              <w14:schemeClr w14:val="tx1"/>
            </w14:solidFill>
          </w14:textFill>
        </w:rPr>
        <w:t>营业时间</w:t>
      </w:r>
      <w:r>
        <w:rPr>
          <w:rFonts w:hint="eastAsia" w:ascii="宋体" w:hAnsi="宋体"/>
          <w:bCs/>
          <w:color w:val="000000" w:themeColor="text1"/>
          <w:szCs w:val="21"/>
          <w14:textFill>
            <w14:solidFill>
              <w14:schemeClr w14:val="tx1"/>
            </w14:solidFill>
          </w14:textFill>
        </w:rPr>
        <w:t>为准）：</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1）营业部上班时间：早上8：30至17：30（以实际下班时间为准）</w:t>
      </w:r>
      <w:r>
        <w:rPr>
          <w:rFonts w:hint="eastAsia" w:ascii="宋体" w:hAnsi="宋体"/>
          <w:color w:val="000000" w:themeColor="text1"/>
          <w:szCs w:val="21"/>
          <w14:textFill>
            <w14:solidFill>
              <w14:schemeClr w14:val="tx1"/>
            </w14:solidFill>
          </w14:textFill>
        </w:rPr>
        <w:t>。</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2）辖内网点上班时间：早上8：30至17：30（以实际下班时间为准）</w:t>
      </w:r>
      <w:r>
        <w:rPr>
          <w:rFonts w:hint="eastAsia" w:ascii="宋体" w:hAnsi="宋体"/>
          <w:color w:val="000000" w:themeColor="text1"/>
          <w:szCs w:val="21"/>
          <w14:textFill>
            <w14:solidFill>
              <w14:schemeClr w14:val="tx1"/>
            </w14:solidFill>
          </w14:textFill>
        </w:rPr>
        <w:t>。</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3）门卫岗的上班时间：实行24小时单人值班。</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保安队长负责安排个别轮休保安员的网点顶班工作。</w:t>
      </w:r>
    </w:p>
    <w:p>
      <w:pPr>
        <w:spacing w:line="360" w:lineRule="auto"/>
        <w:rPr>
          <w:rFonts w:ascii="Calibri" w:hAnsi="Calibri"/>
          <w:b/>
          <w:bCs/>
          <w:color w:val="000000" w:themeColor="text1"/>
          <w14:textFill>
            <w14:solidFill>
              <w14:schemeClr w14:val="tx1"/>
            </w14:solidFill>
          </w14:textFill>
        </w:rPr>
      </w:pPr>
      <w:r>
        <w:rPr>
          <w:rFonts w:hint="eastAsia" w:ascii="Calibri" w:hAnsi="Calibri"/>
          <w:b/>
          <w:bCs/>
          <w:color w:val="000000" w:themeColor="text1"/>
          <w14:textFill>
            <w14:solidFill>
              <w14:schemeClr w14:val="tx1"/>
            </w14:solidFill>
          </w14:textFill>
        </w:rPr>
        <w:t>六、违约责任和其他约定</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如果发生以下情况之一，招标人有权终止合同，要求</w:t>
      </w:r>
      <w:r>
        <w:rPr>
          <w:rFonts w:hint="eastAsia" w:ascii="宋体" w:hAnsi="宋体" w:cs="宋体"/>
          <w:color w:val="000000" w:themeColor="text1"/>
          <w:szCs w:val="21"/>
          <w14:textFill>
            <w14:solidFill>
              <w14:schemeClr w14:val="tx1"/>
            </w14:solidFill>
          </w14:textFill>
        </w:rPr>
        <w:t>中</w:t>
      </w:r>
      <w:r>
        <w:rPr>
          <w:rFonts w:hint="eastAsia" w:ascii="宋体" w:hAnsi="宋体" w:cs="宋体"/>
          <w:color w:val="000000" w:themeColor="text1"/>
          <w14:textFill>
            <w14:solidFill>
              <w14:schemeClr w14:val="tx1"/>
            </w14:solidFill>
          </w14:textFill>
        </w:rPr>
        <w:t>标人赔偿相应损失，且不退还履约保证金：</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中</w:t>
      </w:r>
      <w:r>
        <w:rPr>
          <w:rFonts w:hint="eastAsia" w:ascii="宋体" w:hAnsi="宋体" w:cs="宋体"/>
          <w:color w:val="000000" w:themeColor="text1"/>
          <w14:textFill>
            <w14:solidFill>
              <w14:schemeClr w14:val="tx1"/>
            </w14:solidFill>
          </w14:textFill>
        </w:rPr>
        <w:t>标人管理不到位，保安员违反法律、法规、规章制度等规定，造成严重后果的。</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中</w:t>
      </w:r>
      <w:r>
        <w:rPr>
          <w:rFonts w:hint="eastAsia" w:ascii="宋体" w:hAnsi="宋体" w:cs="宋体"/>
          <w:color w:val="000000" w:themeColor="text1"/>
          <w14:textFill>
            <w14:solidFill>
              <w14:schemeClr w14:val="tx1"/>
            </w14:solidFill>
          </w14:textFill>
        </w:rPr>
        <w:t>标人管理不到位，保安员责任心不强，造成招标人服务对象人身伤害或财物重大损失的。</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中</w:t>
      </w:r>
      <w:r>
        <w:rPr>
          <w:rFonts w:hint="eastAsia" w:ascii="宋体" w:hAnsi="宋体" w:cs="宋体"/>
          <w:color w:val="000000" w:themeColor="text1"/>
          <w14:textFill>
            <w14:solidFill>
              <w14:schemeClr w14:val="tx1"/>
            </w14:solidFill>
          </w14:textFill>
        </w:rPr>
        <w:t>标人未按规定人数配齐保安员或当班人数（岗数）少于约定的人数（岗数），经招标人要求整改仍然不改，超过3次的。</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4.在招标人随机抽查保安员相关资质证书时无法提供，经招标人要求整改提供仍然不提供，超过3次的。</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中</w:t>
      </w:r>
      <w:r>
        <w:rPr>
          <w:rFonts w:hint="eastAsia" w:ascii="宋体" w:hAnsi="宋体" w:cs="宋体"/>
          <w:color w:val="000000" w:themeColor="text1"/>
          <w14:textFill>
            <w14:solidFill>
              <w14:schemeClr w14:val="tx1"/>
            </w14:solidFill>
          </w14:textFill>
        </w:rPr>
        <w:t>标人如存在提供虚假资料或违反相关法律法规的行为，招标人可单方面解除合同。</w:t>
      </w:r>
    </w:p>
    <w:p>
      <w:pPr>
        <w:spacing w:line="360" w:lineRule="auto"/>
        <w:rPr>
          <w:rFonts w:ascii="Calibri" w:hAnsi="Calibri"/>
          <w:b/>
          <w:bCs/>
          <w:color w:val="000000" w:themeColor="text1"/>
          <w14:textFill>
            <w14:solidFill>
              <w14:schemeClr w14:val="tx1"/>
            </w14:solidFill>
          </w14:textFill>
        </w:rPr>
      </w:pPr>
      <w:r>
        <w:rPr>
          <w:rFonts w:hint="eastAsia" w:ascii="Calibri" w:hAnsi="Calibri"/>
          <w:b/>
          <w:bCs/>
          <w:color w:val="000000" w:themeColor="text1"/>
          <w14:textFill>
            <w14:solidFill>
              <w14:schemeClr w14:val="tx1"/>
            </w14:solidFill>
          </w14:textFill>
        </w:rPr>
        <w:t>七、考核方案</w:t>
      </w:r>
      <w:r>
        <w:rPr>
          <w:rFonts w:ascii="Calibri" w:hAnsi="Calibri"/>
          <w:b/>
          <w:bCs/>
          <w:color w:val="000000" w:themeColor="text1"/>
          <w14:textFill>
            <w14:solidFill>
              <w14:schemeClr w14:val="tx1"/>
            </w14:solidFill>
          </w14:textFill>
        </w:rPr>
        <w:t xml:space="preserve"> </w:t>
      </w:r>
    </w:p>
    <w:p>
      <w:pPr>
        <w:tabs>
          <w:tab w:val="left" w:pos="735"/>
        </w:tabs>
        <w:snapToGrid w:val="0"/>
        <w:spacing w:line="360" w:lineRule="auto"/>
        <w:ind w:firstLine="420" w:firstLineChars="200"/>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w:t>
      </w:r>
      <w:r>
        <w:rPr>
          <w:rFonts w:hint="eastAsia" w:ascii="宋体" w:hAnsi="宋体"/>
          <w:color w:val="000000" w:themeColor="text1"/>
          <w:szCs w:val="21"/>
          <w14:textFill>
            <w14:solidFill>
              <w14:schemeClr w14:val="tx1"/>
            </w14:solidFill>
          </w14:textFill>
        </w:rPr>
        <w:t>标人应注意日常工作的监管，招标人采取按季度定期方式对</w:t>
      </w:r>
      <w:r>
        <w:rPr>
          <w:rFonts w:hint="eastAsia" w:ascii="宋体" w:hAnsi="宋体" w:cs="宋体"/>
          <w:color w:val="000000" w:themeColor="text1"/>
          <w:szCs w:val="21"/>
          <w14:textFill>
            <w14:solidFill>
              <w14:schemeClr w14:val="tx1"/>
            </w14:solidFill>
          </w14:textFill>
        </w:rPr>
        <w:t>中</w:t>
      </w:r>
      <w:r>
        <w:rPr>
          <w:rFonts w:hint="eastAsia" w:ascii="宋体" w:hAnsi="宋体"/>
          <w:color w:val="000000" w:themeColor="text1"/>
          <w:szCs w:val="21"/>
          <w14:textFill>
            <w14:solidFill>
              <w14:schemeClr w14:val="tx1"/>
            </w14:solidFill>
          </w14:textFill>
        </w:rPr>
        <w:t>标人进行考核，以</w:t>
      </w:r>
      <w:r>
        <w:rPr>
          <w:rFonts w:ascii="宋体" w:hAnsi="宋体"/>
          <w:color w:val="000000" w:themeColor="text1"/>
          <w:szCs w:val="21"/>
          <w14:textFill>
            <w14:solidFill>
              <w14:schemeClr w14:val="tx1"/>
            </w14:solidFill>
          </w14:textFill>
        </w:rPr>
        <w:t>100分为标准，考核结果依次评定为满意和不满意二个档次，当季考核结果为81分以上的为满意，80分（含）以下</w:t>
      </w:r>
      <w:r>
        <w:rPr>
          <w:rFonts w:hint="eastAsia" w:ascii="宋体" w:hAnsi="宋体"/>
          <w:color w:val="000000" w:themeColor="text1"/>
          <w:szCs w:val="21"/>
          <w14:textFill>
            <w14:solidFill>
              <w14:schemeClr w14:val="tx1"/>
            </w14:solidFill>
          </w14:textFill>
        </w:rPr>
        <w:t>的为不满意。同一年度出现两个季度评定为不满意的，招标人有权终止采购合同，剩余服务期限不再履行。终止合同部分的保安服务，可由另一中标候选人按原招标文件、投标承诺与招标人签订合同，或通过招标方式重新选取其他较优者作为替换机构，合同期限自合同签订之日起至本项目服务期满之日止。服务期内两家中标候选人均不通过考核的，项目将重新组织招标。</w:t>
      </w:r>
      <w:r>
        <w:rPr>
          <w:rFonts w:hint="eastAsia" w:ascii="宋体" w:hAnsi="宋体" w:cs="宋体"/>
          <w:b/>
          <w:bCs/>
          <w:color w:val="000000" w:themeColor="text1"/>
          <w:szCs w:val="21"/>
          <w14:textFill>
            <w14:solidFill>
              <w14:schemeClr w14:val="tx1"/>
            </w14:solidFill>
          </w14:textFill>
        </w:rPr>
        <w:br w:type="page"/>
      </w:r>
    </w:p>
    <w:p>
      <w:pPr>
        <w:snapToGrid w:val="0"/>
        <w:ind w:left="420"/>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保安公司服务考核细则（参考版，招标人可根据实际需要调整）</w:t>
      </w:r>
    </w:p>
    <w:tbl>
      <w:tblPr>
        <w:tblStyle w:val="49"/>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673"/>
        <w:gridCol w:w="4714"/>
        <w:gridCol w:w="2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4"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考核项目</w:t>
            </w: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4714"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内容</w:t>
            </w:r>
          </w:p>
        </w:tc>
        <w:tc>
          <w:tcPr>
            <w:tcW w:w="2579"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保安公司</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服务职责</w:t>
            </w: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负责对保安人员进行岗前培训或应招标人要求和实际情况对保安人员进行在岗轮训工作。</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违反规定，每人每次扣</w:t>
            </w:r>
            <w:r>
              <w:rPr>
                <w:rFonts w:ascii="宋体" w:hAnsi="宋体"/>
                <w:color w:val="000000" w:themeColor="text1"/>
                <w:szCs w:val="21"/>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负责保安员的服装、警械、器材由统一配置，符合公安部门的要求。</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违反规定，每人每次扣</w:t>
            </w:r>
            <w:r>
              <w:rPr>
                <w:rFonts w:ascii="宋体" w:hAnsi="宋体"/>
                <w:color w:val="000000" w:themeColor="text1"/>
                <w:szCs w:val="21"/>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负责提供保安人员的个人资料复印件及一寸免冠相片，交招标人安全保卫部或人力资源部备案。</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违反规定，每人每次扣</w:t>
            </w:r>
            <w:r>
              <w:rPr>
                <w:rFonts w:ascii="宋体" w:hAnsi="宋体"/>
                <w:color w:val="000000" w:themeColor="text1"/>
                <w:szCs w:val="21"/>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建立和健全各项安全保卫制度，并对保安人员落实值班制度的情况进行监督和检查。</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违反规定，扣</w:t>
            </w:r>
            <w:r>
              <w:rPr>
                <w:rFonts w:ascii="宋体" w:hAnsi="宋体"/>
                <w:color w:val="000000" w:themeColor="text1"/>
                <w:szCs w:val="21"/>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负责对不称职的保安人员，进行教育批评，招标人认为无法履行现在职责的保安人员，应及时予以调换。</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违反规定，每次扣</w:t>
            </w:r>
            <w:r>
              <w:rPr>
                <w:rFonts w:ascii="宋体" w:hAnsi="宋体"/>
                <w:color w:val="000000" w:themeColor="text1"/>
                <w:szCs w:val="21"/>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负责保安员因事假、病假请假后调整其他保安员上岗。</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违反规定，每次扣</w:t>
            </w:r>
            <w:r>
              <w:rPr>
                <w:rFonts w:ascii="宋体" w:hAnsi="宋体"/>
                <w:color w:val="000000" w:themeColor="text1"/>
                <w:szCs w:val="21"/>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负责缴交保安员五险一金并按规定时间及时支付保安人员工资。</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违反规定，每人每次扣</w:t>
            </w:r>
            <w:r>
              <w:rPr>
                <w:rFonts w:ascii="宋体" w:hAnsi="宋体"/>
                <w:color w:val="000000" w:themeColor="text1"/>
                <w:szCs w:val="21"/>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负责协助配合招标人在非营业时间确因安全工作需要派驻保安人员到场执行工作任务。</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违反规定，每次扣</w:t>
            </w:r>
            <w:r>
              <w:rPr>
                <w:rFonts w:ascii="宋体" w:hAnsi="宋体"/>
                <w:color w:val="000000" w:themeColor="text1"/>
                <w:szCs w:val="21"/>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保安队长</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工作职责</w:t>
            </w: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定期或不定期向招标人安全保卫部汇报保安员工作情况，重大问题要及时向安全保卫部报告。</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违反规定，每次扣</w:t>
            </w:r>
            <w:r>
              <w:rPr>
                <w:rFonts w:ascii="宋体" w:hAnsi="宋体"/>
                <w:color w:val="000000" w:themeColor="text1"/>
                <w:szCs w:val="21"/>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4714"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负责各营业网点保安员的请、休假及顶班工作。</w:t>
            </w:r>
          </w:p>
        </w:tc>
        <w:tc>
          <w:tcPr>
            <w:tcW w:w="2579"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违反规定，每次扣</w:t>
            </w:r>
            <w:r>
              <w:rPr>
                <w:rFonts w:ascii="宋体" w:hAnsi="宋体"/>
                <w:color w:val="000000" w:themeColor="text1"/>
                <w:szCs w:val="21"/>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对招标人安全保卫部提出不称职的保安员调换建议，应及时处理。</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违反规定，每次扣</w:t>
            </w:r>
            <w:r>
              <w:rPr>
                <w:rFonts w:ascii="宋体" w:hAnsi="宋体"/>
                <w:color w:val="000000" w:themeColor="text1"/>
                <w:szCs w:val="21"/>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保安员工作职责和要求</w:t>
            </w: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维护招标人办公、营业场所门前的治安，做好门前的车辆停放工作，确保车辆停放有序。</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违反规定，每人每次扣</w:t>
            </w:r>
            <w:r>
              <w:rPr>
                <w:rFonts w:ascii="宋体" w:hAnsi="宋体"/>
                <w:color w:val="000000" w:themeColor="text1"/>
                <w:szCs w:val="21"/>
                <w14:textFill>
                  <w14:solidFill>
                    <w14:schemeClr w14:val="tx1"/>
                  </w14:solidFill>
                </w14:textFill>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ind w:firstLine="420"/>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听从网点负责人工作安排，做好大额存取款客户的护送工作和柜员机及周边环境的巡查工作。</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违反规定，每人每次扣</w:t>
            </w:r>
            <w:r>
              <w:rPr>
                <w:rFonts w:ascii="宋体" w:hAnsi="宋体"/>
                <w:color w:val="000000" w:themeColor="text1"/>
                <w:szCs w:val="21"/>
                <w14:textFill>
                  <w14:solidFill>
                    <w14:schemeClr w14:val="tx1"/>
                  </w14:solidFill>
                </w14:textFill>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上岗时按规定穿着制服，携带保安器械，做到仪容及着装整齐，用语礼貌，仪表端正。</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违反规定，每人每次扣</w:t>
            </w:r>
            <w:r>
              <w:rPr>
                <w:rFonts w:ascii="宋体" w:hAnsi="宋体"/>
                <w:color w:val="000000" w:themeColor="text1"/>
                <w:szCs w:val="21"/>
                <w14:textFill>
                  <w14:solidFill>
                    <w14:schemeClr w14:val="tx1"/>
                  </w14:solidFill>
                </w14:textFill>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依法维护招标人办公、营业场所秩序，预防和制止违法犯罪活动，保护本行员工和客户的合法权益不受侵害。</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违反规定，每人每次扣</w:t>
            </w:r>
            <w:r>
              <w:rPr>
                <w:rFonts w:ascii="宋体" w:hAnsi="宋体"/>
                <w:color w:val="000000" w:themeColor="text1"/>
                <w:szCs w:val="21"/>
                <w14:textFill>
                  <w14:solidFill>
                    <w14:schemeClr w14:val="tx1"/>
                  </w14:solidFill>
                </w14:textFill>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不得参与与本职工作无关的事务，严禁替客户办理各项银行业务，严禁打听、偷窥或泄漏客户的有关资料和不得接受任何新闻媒体的采访</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违反规定，每人每次扣</w:t>
            </w:r>
            <w:r>
              <w:rPr>
                <w:rFonts w:ascii="宋体" w:hAnsi="宋体"/>
                <w:color w:val="000000" w:themeColor="text1"/>
                <w:szCs w:val="21"/>
                <w14:textFill>
                  <w14:solidFill>
                    <w14:schemeClr w14:val="tx1"/>
                  </w14:solidFill>
                </w14:textFill>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不得参与“黄、赌、毒”及各类违法乱纪活动，不准利用工作之便，做出有损招标人的行为；严禁粗暴无礼，打骂客户，侮辱他人。</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违反规定，每人每次扣</w:t>
            </w:r>
            <w:r>
              <w:rPr>
                <w:rFonts w:ascii="宋体" w:hAnsi="宋体"/>
                <w:color w:val="000000" w:themeColor="text1"/>
                <w:szCs w:val="21"/>
                <w14:textFill>
                  <w14:solidFill>
                    <w14:schemeClr w14:val="tx1"/>
                  </w14:solidFill>
                </w14:textFill>
              </w:rPr>
              <w:t>1分</w:t>
            </w:r>
          </w:p>
        </w:tc>
      </w:tr>
    </w:tbl>
    <w:p>
      <w:pPr>
        <w:pStyle w:val="5"/>
        <w:ind w:firstLine="0"/>
        <w:rPr>
          <w:rFonts w:hAnsi="宋体"/>
          <w:b/>
          <w:bCs/>
          <w:color w:val="000000" w:themeColor="text1"/>
          <w:spacing w:val="120"/>
          <w:sz w:val="24"/>
          <w14:textFill>
            <w14:solidFill>
              <w14:schemeClr w14:val="tx1"/>
            </w14:solidFill>
          </w14:textFill>
        </w:rPr>
      </w:pPr>
    </w:p>
    <w:p>
      <w:pPr>
        <w:pStyle w:val="5"/>
        <w:rPr>
          <w:rFonts w:hAnsi="宋体"/>
          <w:b/>
          <w:bCs/>
          <w:color w:val="000000" w:themeColor="text1"/>
          <w:spacing w:val="120"/>
          <w:sz w:val="24"/>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pStyle w:val="2"/>
        <w:numPr>
          <w:ilvl w:val="0"/>
          <w:numId w:val="0"/>
        </w:numPr>
        <w:spacing w:beforeLines="0" w:line="240" w:lineRule="auto"/>
        <w:rPr>
          <w:color w:val="000000" w:themeColor="text1"/>
          <w14:textFill>
            <w14:solidFill>
              <w14:schemeClr w14:val="tx1"/>
            </w14:solidFill>
          </w14:textFill>
        </w:rPr>
      </w:pPr>
      <w:bookmarkStart w:id="118" w:name="_Toc8027"/>
      <w:bookmarkStart w:id="119" w:name="_Toc11958"/>
      <w:r>
        <w:rPr>
          <w:rFonts w:hint="eastAsia"/>
          <w:color w:val="000000" w:themeColor="text1"/>
          <w14:textFill>
            <w14:solidFill>
              <w14:schemeClr w14:val="tx1"/>
            </w14:solidFill>
          </w14:textFill>
        </w:rPr>
        <w:t>第三部分 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8"/>
      <w:bookmarkEnd w:id="119"/>
    </w:p>
    <w:p>
      <w:pPr>
        <w:pStyle w:val="3"/>
        <w:numPr>
          <w:ilvl w:val="0"/>
          <w:numId w:val="0"/>
        </w:numPr>
        <w:rPr>
          <w:color w:val="000000" w:themeColor="text1"/>
          <w:szCs w:val="21"/>
          <w14:textFill>
            <w14:solidFill>
              <w14:schemeClr w14:val="tx1"/>
            </w14:solidFill>
          </w14:textFill>
        </w:rPr>
      </w:pPr>
      <w:bookmarkStart w:id="120" w:name="_Toc456272919"/>
      <w:bookmarkStart w:id="121" w:name="_Toc456648358"/>
      <w:bookmarkStart w:id="122" w:name="_Toc21496"/>
      <w:bookmarkStart w:id="123" w:name="_Toc434832495"/>
      <w:bookmarkStart w:id="124" w:name="_Toc7465"/>
      <w:r>
        <w:rPr>
          <w:rFonts w:hint="eastAsia"/>
          <w:color w:val="000000" w:themeColor="text1"/>
          <w:szCs w:val="21"/>
          <w14:textFill>
            <w14:solidFill>
              <w14:schemeClr w14:val="tx1"/>
            </w14:solidFill>
          </w14:textFill>
        </w:rPr>
        <w:t>投标人须知前附表</w:t>
      </w:r>
      <w:bookmarkEnd w:id="120"/>
      <w:bookmarkEnd w:id="121"/>
      <w:bookmarkEnd w:id="122"/>
      <w:bookmarkEnd w:id="123"/>
      <w:bookmarkEnd w:id="124"/>
    </w:p>
    <w:tbl>
      <w:tblPr>
        <w:tblStyle w:val="4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  目</w:t>
            </w:r>
          </w:p>
        </w:tc>
        <w:tc>
          <w:tcPr>
            <w:tcW w:w="6904"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lang w:val="en-GB"/>
                <w14:textFill>
                  <w14:solidFill>
                    <w14:schemeClr w14:val="tx1"/>
                  </w14:solidFill>
                </w14:textFill>
              </w:rPr>
            </w:pPr>
            <w:r>
              <w:rPr>
                <w:rFonts w:hint="eastAsia"/>
                <w:color w:val="000000" w:themeColor="text1"/>
                <w14:textFill>
                  <w14:solidFill>
                    <w14:schemeClr w14:val="tx1"/>
                  </w14:solidFill>
                </w14:textFill>
              </w:rPr>
              <w:t>评标委员会</w:t>
            </w: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评标委员会根据政府采购等相关法律法规组成，评审专家根据相关法律法规及法律程序，依据本次采购活动的特点和需要在政府指定的专家库中随机抽取产生,</w:t>
            </w:r>
            <w:r>
              <w:rPr>
                <w:rFonts w:hint="eastAsia" w:ascii="宋体"/>
                <w:b/>
                <w:bCs/>
                <w:color w:val="000000" w:themeColor="text1"/>
                <w14:textFill>
                  <w14:solidFill>
                    <w14:schemeClr w14:val="tx1"/>
                  </w14:solidFill>
                </w14:textFill>
              </w:rPr>
              <w:t>专家数量共</w:t>
            </w:r>
            <w:r>
              <w:rPr>
                <w:rFonts w:hint="eastAsia" w:ascii="宋体"/>
                <w:b/>
                <w:bCs/>
                <w:color w:val="000000" w:themeColor="text1"/>
                <w:u w:val="single"/>
                <w14:textFill>
                  <w14:solidFill>
                    <w14:schemeClr w14:val="tx1"/>
                  </w14:solidFill>
                </w14:textFill>
              </w:rPr>
              <w:t xml:space="preserve"> 5</w:t>
            </w:r>
            <w:r>
              <w:rPr>
                <w:rFonts w:ascii="宋体"/>
                <w:b/>
                <w:bCs/>
                <w:color w:val="000000" w:themeColor="text1"/>
                <w:u w:val="single"/>
                <w14:textFill>
                  <w14:solidFill>
                    <w14:schemeClr w14:val="tx1"/>
                  </w14:solidFill>
                </w14:textFill>
              </w:rPr>
              <w:t xml:space="preserve"> </w:t>
            </w:r>
            <w:r>
              <w:rPr>
                <w:rFonts w:hint="eastAsia" w:ascii="宋体"/>
                <w:b/>
                <w:bCs/>
                <w:color w:val="000000" w:themeColor="text1"/>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共提供4份投标资料，分别封装：</w:t>
            </w:r>
            <w:r>
              <w:rPr>
                <w:rFonts w:hint="eastAsia" w:ascii="宋体" w:hAnsi="宋体"/>
                <w:b/>
                <w:bCs/>
                <w:color w:val="000000" w:themeColor="text1"/>
                <w:szCs w:val="21"/>
                <w14:textFill>
                  <w14:solidFill>
                    <w14:schemeClr w14:val="tx1"/>
                  </w14:solidFill>
                </w14:textFill>
              </w:rPr>
              <w:br w:type="textWrapping"/>
            </w:r>
          </w:p>
          <w:p>
            <w:pPr>
              <w:tabs>
                <w:tab w:val="left" w:pos="528"/>
                <w:tab w:val="left" w:pos="783"/>
              </w:tabs>
              <w:spacing w:line="400" w:lineRule="exact"/>
              <w:jc w:val="center"/>
              <w:rPr>
                <w:rFonts w:ascii="宋体" w:hAnsi="宋体"/>
                <w:b/>
                <w:color w:val="000000" w:themeColor="text1"/>
                <w:szCs w:val="21"/>
                <w:shd w:val="pct10" w:color="auto" w:fill="FFFFFF"/>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1、资格审查文件。</w:t>
            </w:r>
            <w:r>
              <w:rPr>
                <w:rFonts w:hint="eastAsia"/>
                <w:color w:val="000000" w:themeColor="text1"/>
                <w14:textFill>
                  <w14:solidFill>
                    <w14:schemeClr w14:val="tx1"/>
                  </w14:solidFill>
                </w14:textFill>
              </w:rPr>
              <w:t>（内含</w:t>
            </w:r>
            <w:r>
              <w:rPr>
                <w:rFonts w:hint="eastAsia"/>
                <w:color w:val="000000" w:themeColor="text1"/>
                <w:u w:val="single"/>
                <w14:textFill>
                  <w14:solidFill>
                    <w14:schemeClr w14:val="tx1"/>
                  </w14:solidFill>
                </w14:textFill>
              </w:rPr>
              <w:t xml:space="preserve"> 1 </w:t>
            </w:r>
            <w:r>
              <w:rPr>
                <w:rFonts w:hint="eastAsia"/>
                <w:color w:val="000000" w:themeColor="text1"/>
                <w14:textFill>
                  <w14:solidFill>
                    <w14:schemeClr w14:val="tx1"/>
                  </w14:solidFill>
                </w14:textFill>
              </w:rPr>
              <w:t>正</w:t>
            </w:r>
            <w:r>
              <w:rPr>
                <w:rFonts w:hint="eastAsia"/>
                <w:color w:val="000000" w:themeColor="text1"/>
                <w:u w:val="single"/>
                <w14:textFill>
                  <w14:solidFill>
                    <w14:schemeClr w14:val="tx1"/>
                  </w14:solidFill>
                </w14:textFill>
              </w:rPr>
              <w:t xml:space="preserve"> 4 </w:t>
            </w:r>
            <w:r>
              <w:rPr>
                <w:rFonts w:hint="eastAsia"/>
                <w:color w:val="000000" w:themeColor="text1"/>
                <w14:textFill>
                  <w14:solidFill>
                    <w14:schemeClr w14:val="tx1"/>
                  </w14:solidFill>
                </w14:textFill>
              </w:rPr>
              <w:t>副，</w:t>
            </w:r>
            <w:r>
              <w:rPr>
                <w:rFonts w:hint="eastAsia" w:ascii="宋体" w:hAnsi="宋体"/>
                <w:bCs/>
                <w:color w:val="000000" w:themeColor="text1"/>
                <w:szCs w:val="21"/>
                <w14:textFill>
                  <w14:solidFill>
                    <w14:schemeClr w14:val="tx1"/>
                  </w14:solidFill>
                </w14:textFill>
              </w:rPr>
              <w:t>独立装订成册</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2、商务及技术文件。</w:t>
            </w:r>
            <w:r>
              <w:rPr>
                <w:rFonts w:hint="eastAsia"/>
                <w:color w:val="000000" w:themeColor="text1"/>
                <w14:textFill>
                  <w14:solidFill>
                    <w14:schemeClr w14:val="tx1"/>
                  </w14:solidFill>
                </w14:textFill>
              </w:rPr>
              <w:t>（内含</w:t>
            </w:r>
            <w:r>
              <w:rPr>
                <w:rFonts w:hint="eastAsia"/>
                <w:color w:val="000000" w:themeColor="text1"/>
                <w:u w:val="single"/>
                <w14:textFill>
                  <w14:solidFill>
                    <w14:schemeClr w14:val="tx1"/>
                  </w14:solidFill>
                </w14:textFill>
              </w:rPr>
              <w:t xml:space="preserve"> 1 </w:t>
            </w:r>
            <w:r>
              <w:rPr>
                <w:rFonts w:hint="eastAsia"/>
                <w:color w:val="000000" w:themeColor="text1"/>
                <w14:textFill>
                  <w14:solidFill>
                    <w14:schemeClr w14:val="tx1"/>
                  </w14:solidFill>
                </w14:textFill>
              </w:rPr>
              <w:t>正</w:t>
            </w:r>
            <w:r>
              <w:rPr>
                <w:rFonts w:hint="eastAsia"/>
                <w:color w:val="000000" w:themeColor="text1"/>
                <w:u w:val="single"/>
                <w14:textFill>
                  <w14:solidFill>
                    <w14:schemeClr w14:val="tx1"/>
                  </w14:solidFill>
                </w14:textFill>
              </w:rPr>
              <w:t xml:space="preserve"> 4 </w:t>
            </w:r>
            <w:r>
              <w:rPr>
                <w:rFonts w:hint="eastAsia"/>
                <w:color w:val="000000" w:themeColor="text1"/>
                <w14:textFill>
                  <w14:solidFill>
                    <w14:schemeClr w14:val="tx1"/>
                  </w14:solidFill>
                </w14:textFill>
              </w:rPr>
              <w:t>副，</w:t>
            </w:r>
            <w:r>
              <w:rPr>
                <w:rFonts w:hint="eastAsia" w:ascii="宋体" w:hAnsi="宋体"/>
                <w:bCs/>
                <w:color w:val="000000" w:themeColor="text1"/>
                <w:szCs w:val="21"/>
                <w14:textFill>
                  <w14:solidFill>
                    <w14:schemeClr w14:val="tx1"/>
                  </w14:solidFill>
                </w14:textFill>
              </w:rPr>
              <w:t>独立装订成册</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numPr>
                <w:ilvl w:val="0"/>
                <w:numId w:val="23"/>
              </w:numPr>
              <w:tabs>
                <w:tab w:val="left" w:pos="528"/>
                <w:tab w:val="left" w:pos="783"/>
              </w:tabs>
              <w:spacing w:line="400" w:lineRule="exact"/>
              <w:jc w:val="lef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开标信封。</w:t>
            </w:r>
            <w:r>
              <w:rPr>
                <w:rFonts w:hint="eastAsia"/>
                <w:color w:val="000000" w:themeColor="text1"/>
                <w14:textFill>
                  <w14:solidFill>
                    <w14:schemeClr w14:val="tx1"/>
                  </w14:solidFill>
                </w14:textFill>
              </w:rPr>
              <w:t>（内含“开标一览表”、“投标保证金”、“分项报价表”、“保证金退付书”、“法定代表人（负责人）证明书”和“法定代表人（负责人）授权书”。）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4、</w:t>
            </w:r>
            <w:r>
              <w:rPr>
                <w:rFonts w:hint="eastAsia"/>
                <w:b/>
                <w:bCs/>
                <w:color w:val="000000" w:themeColor="text1"/>
                <w14:textFill>
                  <w14:solidFill>
                    <w14:schemeClr w14:val="tx1"/>
                  </w14:solidFill>
                </w14:textFill>
              </w:rPr>
              <w:t>投标文件电子版。</w:t>
            </w:r>
            <w:r>
              <w:rPr>
                <w:rFonts w:hint="eastAsia"/>
                <w:color w:val="000000" w:themeColor="text1"/>
                <w14:textFill>
                  <w14:solidFill>
                    <w14:schemeClr w14:val="tx1"/>
                  </w14:solidFill>
                </w14:textFill>
              </w:rPr>
              <w:t>（以光盘或U盘提供，内含PDF及可编辑的投标文件电子版1份，</w:t>
            </w:r>
            <w:r>
              <w:rPr>
                <w:rFonts w:hint="eastAsia"/>
                <w:color w:val="000000" w:themeColor="text1"/>
                <w:szCs w:val="21"/>
                <w14:textFill>
                  <w14:solidFill>
                    <w14:schemeClr w14:val="tx1"/>
                  </w14:solidFill>
                </w14:textFill>
              </w:rPr>
              <w:t>在封面上注明“公司名称-</w:t>
            </w:r>
            <w:r>
              <w:rPr>
                <w:rFonts w:hint="eastAsia"/>
                <w:color w:val="000000" w:themeColor="text1"/>
                <w14:textFill>
                  <w14:solidFill>
                    <w14:schemeClr w14:val="tx1"/>
                  </w14:solidFill>
                </w14:textFill>
              </w:rPr>
              <w:t>投标文件电子版</w:t>
            </w:r>
            <w:r>
              <w:rPr>
                <w:rFonts w:hint="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所有投标资料</w:t>
            </w:r>
            <w:r>
              <w:rPr>
                <w:rFonts w:hint="eastAsia" w:ascii="宋体"/>
                <w:bCs/>
                <w:color w:val="000000" w:themeColor="text1"/>
                <w:szCs w:val="21"/>
                <w14:textFill>
                  <w14:solidFill>
                    <w14:schemeClr w14:val="tx1"/>
                  </w14:solidFill>
                </w14:textFill>
              </w:rPr>
              <w:t>分别</w:t>
            </w:r>
            <w:r>
              <w:rPr>
                <w:rFonts w:hint="eastAsia" w:ascii="宋体" w:hAnsi="宋体"/>
                <w:bCs/>
                <w:color w:val="000000" w:themeColor="text1"/>
                <w:szCs w:val="21"/>
                <w14:textFill>
                  <w14:solidFill>
                    <w14:schemeClr w14:val="tx1"/>
                  </w14:solidFill>
                </w14:textFill>
              </w:rPr>
              <w:t>密封在不透明的外层封装中，</w:t>
            </w:r>
            <w:r>
              <w:rPr>
                <w:rFonts w:hint="eastAsia"/>
                <w:color w:val="000000" w:themeColor="text1"/>
                <w:szCs w:val="21"/>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14:textFill>
                  <w14:solidFill>
                    <w14:schemeClr w14:val="tx1"/>
                  </w14:solidFill>
                </w14:textFill>
              </w:rPr>
            </w:pP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每一密封封装上均注明“于</w:t>
            </w:r>
            <w:r>
              <w:rPr>
                <w:rFonts w:hint="eastAsia" w:ascii="宋体"/>
                <w:bCs/>
                <w:color w:val="000000" w:themeColor="text1"/>
                <w:u w:val="single"/>
                <w14:textFill>
                  <w14:solidFill>
                    <w14:schemeClr w14:val="tx1"/>
                  </w14:solidFill>
                </w14:textFill>
              </w:rPr>
              <w:t xml:space="preserve">     （投标截止时间）   </w:t>
            </w:r>
            <w:r>
              <w:rPr>
                <w:rFonts w:hint="eastAsia" w:ascii="宋体"/>
                <w:bCs/>
                <w:color w:val="000000" w:themeColor="text1"/>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14:textFill>
                  <w14:solidFill>
                    <w14:schemeClr w14:val="tx1"/>
                  </w14:solidFill>
                </w14:textFill>
              </w:rPr>
            </w:pP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投标人未按上述规定对投标文件进行密封和加写标记，</w:t>
            </w:r>
            <w:r>
              <w:rPr>
                <w:rFonts w:hint="eastAsia" w:ascii="宋体" w:hAnsi="宋体"/>
                <w:color w:val="000000" w:themeColor="text1"/>
                <w14:textFill>
                  <w14:solidFill>
                    <w14:schemeClr w14:val="tx1"/>
                  </w14:solidFill>
                </w14:textFill>
              </w:rPr>
              <w:t>招标代理机构有权予以拒收，并退回给投标人。电报、电话、传真</w:t>
            </w:r>
            <w:r>
              <w:rPr>
                <w:rFonts w:hint="eastAsia" w:ascii="宋体"/>
                <w:bCs/>
                <w:color w:val="000000" w:themeColor="text1"/>
                <w14:textFill>
                  <w14:solidFill>
                    <w14:schemeClr w14:val="tx1"/>
                  </w14:solidFill>
                </w14:textFill>
              </w:rPr>
              <w:t>等非纸质形式</w:t>
            </w:r>
            <w:r>
              <w:rPr>
                <w:rFonts w:hint="eastAsia" w:ascii="宋体" w:hAnsi="宋体"/>
                <w:color w:val="000000" w:themeColor="text1"/>
                <w14:textFill>
                  <w14:solidFill>
                    <w14:schemeClr w14:val="tx1"/>
                  </w14:solidFill>
                </w14:textFill>
              </w:rPr>
              <w:t>的投标概不接受</w:t>
            </w:r>
            <w:r>
              <w:rPr>
                <w:rFonts w:hint="eastAsia" w:ascii="宋体"/>
                <w:bCs/>
                <w:color w:val="000000" w:themeColor="text1"/>
                <w14:textFill>
                  <w14:solidFill>
                    <w14:schemeClr w14:val="tx1"/>
                  </w14:solidFill>
                </w14:textFill>
              </w:rPr>
              <w:t>。</w:t>
            </w:r>
            <w:r>
              <w:rPr>
                <w:b/>
                <w:bCs/>
                <w:color w:val="000000" w:themeColor="text1"/>
                <w:szCs w:val="21"/>
                <w14:textFill>
                  <w14:solidFill>
                    <w14:schemeClr w14:val="tx1"/>
                  </w14:solidFill>
                </w14:textFill>
              </w:rPr>
              <w:t>所有投标文件密封袋的封口处应加盖投标人</w:t>
            </w:r>
            <w:r>
              <w:rPr>
                <w:rFonts w:hint="eastAsia"/>
                <w:b/>
                <w:bCs/>
                <w:color w:val="000000" w:themeColor="text1"/>
                <w:szCs w:val="21"/>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其他说明</w:t>
            </w:r>
          </w:p>
        </w:tc>
        <w:tc>
          <w:tcPr>
            <w:tcW w:w="6904" w:type="dxa"/>
            <w:gridSpan w:val="3"/>
            <w:tcBorders>
              <w:top w:val="single" w:color="auto" w:sz="4" w:space="0"/>
              <w:left w:val="single" w:color="auto" w:sz="4" w:space="0"/>
              <w:bottom w:val="single" w:color="auto" w:sz="4" w:space="0"/>
              <w:right w:val="single" w:color="auto" w:sz="4" w:space="0"/>
            </w:tcBorders>
            <w:vAlign w:val="center"/>
          </w:tcPr>
          <w:p>
            <w:pPr>
              <w:pStyle w:val="5"/>
              <w:tabs>
                <w:tab w:val="left" w:pos="26"/>
              </w:tabs>
              <w:spacing w:line="400" w:lineRule="exact"/>
              <w:ind w:left="26" w:firstLine="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1.招标文件中打“★”号条款必须实质性响应，负偏离（不满足要求）将导致投标无效。</w:t>
            </w:r>
          </w:p>
          <w:p>
            <w:pPr>
              <w:pStyle w:val="5"/>
              <w:tabs>
                <w:tab w:val="left" w:pos="26"/>
              </w:tabs>
              <w:spacing w:line="400" w:lineRule="exact"/>
              <w:ind w:left="26" w:firstLine="0"/>
              <w:jc w:val="both"/>
              <w:rPr>
                <w:bCs/>
                <w:color w:val="000000" w:themeColor="text1"/>
                <w14:textFill>
                  <w14:solidFill>
                    <w14:schemeClr w14:val="tx1"/>
                  </w14:solidFill>
                </w14:textFill>
              </w:rPr>
            </w:pPr>
            <w:r>
              <w:rPr>
                <w:rFonts w:hint="eastAsia"/>
                <w:b/>
                <w:color w:val="000000" w:themeColor="text1"/>
                <w:sz w:val="21"/>
                <w:szCs w:val="21"/>
                <w14:textFill>
                  <w14:solidFill>
                    <w14:schemeClr w14:val="tx1"/>
                  </w14:solidFill>
                </w14:textFill>
              </w:rPr>
              <w:t>2.招标文件中带“▲”为实质性参数要求响应,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信息公告媒体</w:t>
            </w:r>
          </w:p>
        </w:tc>
        <w:tc>
          <w:tcPr>
            <w:tcW w:w="3418" w:type="dxa"/>
            <w:gridSpan w:val="2"/>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中国政府采购网</w:t>
            </w:r>
          </w:p>
        </w:tc>
        <w:tc>
          <w:tcPr>
            <w:tcW w:w="348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广东业信采购招标有限公司网</w:t>
            </w:r>
          </w:p>
        </w:tc>
        <w:tc>
          <w:tcPr>
            <w:tcW w:w="348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"http://www.gdgpo.gov.cn" </w:instrText>
            </w:r>
            <w:r>
              <w:rPr>
                <w:color w:val="000000" w:themeColor="text1"/>
                <w14:textFill>
                  <w14:solidFill>
                    <w14:schemeClr w14:val="tx1"/>
                  </w14:solidFill>
                </w14:textFill>
              </w:rPr>
              <w:fldChar w:fldCharType="separate"/>
            </w:r>
            <w:r>
              <w:rPr>
                <w:rFonts w:ascii="宋体" w:hAnsi="宋体"/>
                <w:color w:val="000000" w:themeColor="text1"/>
                <w:szCs w:val="21"/>
                <w14:textFill>
                  <w14:solidFill>
                    <w14:schemeClr w14:val="tx1"/>
                  </w14:solidFill>
                </w14:textFill>
              </w:rPr>
              <w:t>http://www.gdgpo.</w:t>
            </w:r>
            <w:r>
              <w:rPr>
                <w:rFonts w:hint="eastAsia" w:ascii="宋体" w:hAnsi="宋体"/>
                <w:color w:val="000000" w:themeColor="text1"/>
                <w:szCs w:val="21"/>
                <w14:textFill>
                  <w14:solidFill>
                    <w14:schemeClr w14:val="tx1"/>
                  </w14:solidFill>
                </w14:textFill>
              </w:rPr>
              <w:t>com.</w:t>
            </w:r>
            <w:r>
              <w:rPr>
                <w:rFonts w:ascii="宋体" w:hAnsi="宋体"/>
                <w:color w:val="000000" w:themeColor="text1"/>
                <w:szCs w:val="21"/>
                <w14:textFill>
                  <w14:solidFill>
                    <w14:schemeClr w14:val="tx1"/>
                  </w14:solidFill>
                </w14:textFill>
              </w:rPr>
              <w:t>cn</w:t>
            </w:r>
            <w:r>
              <w:rPr>
                <w:rFonts w:ascii="宋体" w:hAnsi="宋体"/>
                <w:color w:val="000000" w:themeColor="text1"/>
                <w:szCs w:val="21"/>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p>
        </w:tc>
        <w:tc>
          <w:tcPr>
            <w:tcW w:w="348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http://www.yjcg.cc</w:t>
            </w:r>
          </w:p>
        </w:tc>
      </w:tr>
    </w:tbl>
    <w:p>
      <w:pPr>
        <w:pStyle w:val="5"/>
        <w:ind w:firstLine="0"/>
        <w:rPr>
          <w:color w:val="000000" w:themeColor="text1"/>
          <w:szCs w:val="21"/>
          <w14:textFill>
            <w14:solidFill>
              <w14:schemeClr w14:val="tx1"/>
            </w14:solidFill>
          </w14:textFill>
        </w:rPr>
      </w:pPr>
    </w:p>
    <w:p>
      <w:pPr>
        <w:pStyle w:val="5"/>
        <w:ind w:firstLine="0"/>
        <w:rPr>
          <w:color w:val="000000" w:themeColor="text1"/>
          <w:szCs w:val="21"/>
          <w14:textFill>
            <w14:solidFill>
              <w14:schemeClr w14:val="tx1"/>
            </w14:solidFill>
          </w14:textFill>
        </w:rPr>
      </w:pPr>
    </w:p>
    <w:p>
      <w:pPr>
        <w:pStyle w:val="3"/>
        <w:numPr>
          <w:ilvl w:val="0"/>
          <w:numId w:val="0"/>
        </w:numPr>
        <w:rPr>
          <w:color w:val="000000" w:themeColor="text1"/>
          <w:sz w:val="24"/>
          <w14:textFill>
            <w14:solidFill>
              <w14:schemeClr w14:val="tx1"/>
            </w14:solidFill>
          </w14:textFill>
        </w:rPr>
      </w:pPr>
      <w:bookmarkStart w:id="125" w:name="_Hlt21938665"/>
      <w:bookmarkEnd w:id="125"/>
      <w:bookmarkStart w:id="126" w:name="_Hlt21938668"/>
      <w:bookmarkEnd w:id="126"/>
      <w:bookmarkStart w:id="127" w:name="_Toc349143557"/>
      <w:bookmarkStart w:id="128" w:name="_Toc333935655"/>
      <w:bookmarkStart w:id="129" w:name="_Toc2807"/>
      <w:bookmarkStart w:id="130" w:name="_Toc339019857"/>
      <w:bookmarkStart w:id="131" w:name="_Toc336681548"/>
      <w:bookmarkStart w:id="132" w:name="_Toc337632326"/>
      <w:bookmarkStart w:id="133" w:name="_Toc339441055"/>
      <w:bookmarkStart w:id="134" w:name="_Toc331512866"/>
      <w:bookmarkStart w:id="135" w:name="_Toc333935314"/>
      <w:bookmarkStart w:id="136" w:name="_Toc336681903"/>
      <w:bookmarkStart w:id="137" w:name="_Toc330459953"/>
      <w:bookmarkStart w:id="138" w:name="_Toc340677038"/>
      <w:bookmarkStart w:id="139" w:name="_Toc503785396"/>
      <w:bookmarkStart w:id="140" w:name="_Toc342060342"/>
      <w:bookmarkStart w:id="141" w:name="_Toc350756418"/>
      <w:bookmarkStart w:id="142" w:name="_Toc342296728"/>
      <w:bookmarkStart w:id="143" w:name="_Toc365985147"/>
      <w:bookmarkStart w:id="144" w:name="_Toc339020063"/>
      <w:bookmarkStart w:id="145" w:name="_Toc497224194"/>
      <w:bookmarkStart w:id="146" w:name="_Toc333237756"/>
      <w:bookmarkStart w:id="147" w:name="_Toc349127594"/>
      <w:bookmarkStart w:id="148" w:name="_Toc15473"/>
      <w:bookmarkStart w:id="149" w:name="_Toc332206676"/>
      <w:bookmarkStart w:id="150" w:name="_Toc333238601"/>
      <w:bookmarkStart w:id="151" w:name="_Toc365967041"/>
      <w:bookmarkStart w:id="152" w:name="_Toc333237645"/>
      <w:bookmarkStart w:id="153" w:name="_Toc339020201"/>
      <w:bookmarkStart w:id="154" w:name="_Toc339019983"/>
      <w:bookmarkStart w:id="155" w:name="_Toc340672837"/>
      <w:bookmarkStart w:id="156" w:name="_Toc366072496"/>
      <w:bookmarkStart w:id="157" w:name="_Toc332270314"/>
      <w:bookmarkStart w:id="158" w:name="_Toc339362268"/>
      <w:bookmarkStart w:id="159" w:name="_Toc350438717"/>
      <w:bookmarkStart w:id="160" w:name="_Toc331684006"/>
      <w:bookmarkStart w:id="161" w:name="_Toc341348306"/>
      <w:bookmarkStart w:id="162" w:name="_Toc345513835"/>
      <w:bookmarkStart w:id="163" w:name="_Toc340507410"/>
      <w:r>
        <w:rPr>
          <w:rFonts w:hint="eastAsia"/>
          <w:color w:val="000000" w:themeColor="text1"/>
          <w:sz w:val="24"/>
          <w14:textFill>
            <w14:solidFill>
              <w14:schemeClr w14:val="tx1"/>
            </w14:solidFill>
          </w14:textFill>
        </w:rPr>
        <w:t>Ａ说明</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64" w:name="_Toc503785397"/>
      <w:bookmarkStart w:id="165" w:name="_Toc497224195"/>
      <w:bookmarkStart w:id="166" w:name="_Toc342296729"/>
      <w:bookmarkStart w:id="167" w:name="_Toc17161"/>
      <w:bookmarkStart w:id="168" w:name="_Toc332206677"/>
      <w:bookmarkStart w:id="169" w:name="_Toc340677039"/>
      <w:bookmarkStart w:id="170" w:name="_Toc339020064"/>
      <w:bookmarkStart w:id="171" w:name="_Toc333237757"/>
      <w:bookmarkStart w:id="172" w:name="_Toc333935656"/>
      <w:bookmarkStart w:id="173" w:name="_Toc23686"/>
      <w:bookmarkStart w:id="174" w:name="_Toc333935315"/>
      <w:bookmarkStart w:id="175" w:name="_Toc340672838"/>
      <w:bookmarkStart w:id="176" w:name="_Toc341348307"/>
      <w:bookmarkStart w:id="177" w:name="_Toc342060343"/>
      <w:bookmarkStart w:id="178" w:name="_Toc349143558"/>
      <w:bookmarkStart w:id="179" w:name="_Toc336681549"/>
      <w:bookmarkStart w:id="180" w:name="_Toc333237646"/>
      <w:bookmarkStart w:id="181" w:name="_Toc339441056"/>
      <w:bookmarkStart w:id="182" w:name="_Toc366072497"/>
      <w:bookmarkStart w:id="183" w:name="_Toc339362269"/>
      <w:bookmarkStart w:id="184" w:name="_Toc339020202"/>
      <w:bookmarkStart w:id="185" w:name="_Toc365985148"/>
      <w:bookmarkStart w:id="186" w:name="_Toc345513836"/>
      <w:bookmarkStart w:id="187" w:name="_Toc339019858"/>
      <w:bookmarkStart w:id="188" w:name="_Toc349127595"/>
      <w:bookmarkStart w:id="189" w:name="_Toc339019984"/>
      <w:bookmarkStart w:id="190" w:name="_Toc332270315"/>
      <w:bookmarkStart w:id="191" w:name="_Toc333238602"/>
      <w:bookmarkStart w:id="192" w:name="_Toc340507411"/>
      <w:bookmarkStart w:id="193" w:name="_Toc350756419"/>
      <w:bookmarkStart w:id="194" w:name="_Toc331684007"/>
      <w:bookmarkStart w:id="195" w:name="_Toc336681904"/>
      <w:bookmarkStart w:id="196" w:name="_Toc331512867"/>
      <w:bookmarkStart w:id="197" w:name="_Toc330459954"/>
      <w:bookmarkStart w:id="198" w:name="_Toc337632327"/>
      <w:bookmarkStart w:id="199" w:name="_Toc365967042"/>
      <w:bookmarkStart w:id="200" w:name="_Toc350438718"/>
      <w:r>
        <w:rPr>
          <w:rFonts w:hint="eastAsia"/>
          <w:color w:val="000000" w:themeColor="text1"/>
          <w14:textFill>
            <w14:solidFill>
              <w14:schemeClr w14:val="tx1"/>
            </w14:solidFill>
          </w14:textFill>
        </w:rPr>
        <w:t>适用范围</w:t>
      </w:r>
      <w:bookmarkEnd w:id="164"/>
      <w:bookmarkEnd w:id="165"/>
      <w:r>
        <w:rPr>
          <w:rFonts w:hint="eastAsia"/>
          <w:color w:val="000000" w:themeColor="text1"/>
          <w14:textFill>
            <w14:solidFill>
              <w14:schemeClr w14:val="tx1"/>
            </w14:solidFill>
          </w14:textFill>
        </w:rPr>
        <w:t>和资金来源</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bookmarkStart w:id="201" w:name="_Toc340507412"/>
      <w:bookmarkStart w:id="202" w:name="_Toc365967043"/>
      <w:bookmarkStart w:id="203" w:name="_Toc331684008"/>
      <w:bookmarkStart w:id="204" w:name="_Toc332206678"/>
      <w:bookmarkStart w:id="205" w:name="_Toc497224196"/>
      <w:bookmarkStart w:id="206" w:name="_Toc342296730"/>
      <w:bookmarkStart w:id="207" w:name="_Toc333935657"/>
      <w:bookmarkStart w:id="208" w:name="_Toc349127596"/>
      <w:bookmarkStart w:id="209" w:name="_Toc349143559"/>
      <w:bookmarkStart w:id="210" w:name="_Toc339020203"/>
      <w:bookmarkStart w:id="211" w:name="_Toc339019859"/>
      <w:bookmarkStart w:id="212" w:name="_Toc340677040"/>
      <w:bookmarkStart w:id="213" w:name="_Toc350756420"/>
      <w:bookmarkStart w:id="214" w:name="_Toc333237647"/>
      <w:bookmarkStart w:id="215" w:name="_Toc339019985"/>
      <w:bookmarkStart w:id="216" w:name="_Toc332270316"/>
      <w:bookmarkStart w:id="217" w:name="_Toc365985149"/>
      <w:bookmarkStart w:id="218" w:name="_Toc330459955"/>
      <w:bookmarkStart w:id="219" w:name="_Toc341348308"/>
      <w:bookmarkStart w:id="220" w:name="_Toc337632328"/>
      <w:bookmarkStart w:id="221" w:name="_Toc336681905"/>
      <w:bookmarkStart w:id="222" w:name="_Toc331512868"/>
      <w:bookmarkStart w:id="223" w:name="_Toc339362270"/>
      <w:bookmarkStart w:id="224" w:name="_Toc333238603"/>
      <w:bookmarkStart w:id="225" w:name="_Toc340672839"/>
      <w:bookmarkStart w:id="226" w:name="_Toc345513837"/>
      <w:bookmarkStart w:id="227" w:name="_Toc374454571"/>
      <w:bookmarkStart w:id="228" w:name="_Toc342060344"/>
      <w:bookmarkStart w:id="229" w:name="_Toc503785398"/>
      <w:bookmarkStart w:id="230" w:name="_Toc350438719"/>
      <w:bookmarkStart w:id="231" w:name="_Toc336681550"/>
      <w:bookmarkStart w:id="232" w:name="_Toc339020065"/>
      <w:bookmarkStart w:id="233" w:name="_Toc333935316"/>
      <w:bookmarkStart w:id="234" w:name="_Toc333237758"/>
      <w:bookmarkStart w:id="235" w:name="_Toc366072498"/>
      <w:bookmarkStart w:id="236" w:name="_Toc339441057"/>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2    本项目的招标人已分别获得一笔资金用于支付本次招标项下的所有合同款项。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3    本招标文件由招标代理机构负责解释。</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237" w:name="_Toc27258"/>
      <w:bookmarkStart w:id="238" w:name="_Toc20366"/>
      <w:r>
        <w:rPr>
          <w:rFonts w:hint="eastAsia"/>
          <w:color w:val="000000" w:themeColor="text1"/>
          <w14:textFill>
            <w14:solidFill>
              <w14:schemeClr w14:val="tx1"/>
            </w14:solidFill>
          </w14:textFill>
        </w:rPr>
        <w:t>定义</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“招标代理机构”系指组织本次招标的广东业信采购招标有限公司。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“投标人”系指</w:t>
      </w:r>
      <w:r>
        <w:rPr>
          <w:rFonts w:hint="eastAsia" w:ascii="宋体" w:hAnsi="宋体"/>
          <w:bCs/>
          <w:color w:val="000000" w:themeColor="text1"/>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“招标人”系指阳江农村商业银行股份有限公司，即项目采购用户方。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2.4</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货物</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系指投标人根据招标文件规定，须向招标人提供的设备、材料、备品备件、工具、使用手册、软件及有关技术资料等。</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“日”系指日历天。</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“工作日”系指国家规定除法定节假日以外的以日</w:t>
      </w:r>
      <w:r>
        <w:rPr>
          <w:rFonts w:ascii="宋体" w:hAnsi="宋体"/>
          <w:bCs/>
          <w:color w:val="000000" w:themeColor="text1"/>
          <w14:textFill>
            <w14:solidFill>
              <w14:schemeClr w14:val="tx1"/>
            </w14:solidFill>
          </w14:textFill>
        </w:rPr>
        <w:t>为计算单位的工作时间</w:t>
      </w:r>
      <w:r>
        <w:rPr>
          <w:rFonts w:hint="eastAsia" w:ascii="宋体" w:hAnsi="宋体"/>
          <w:bCs/>
          <w:color w:val="000000" w:themeColor="text1"/>
          <w14:textFill>
            <w14:solidFill>
              <w14:schemeClr w14:val="tx1"/>
            </w14:solidFill>
          </w14:textFill>
        </w:rPr>
        <w:t>。</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239" w:name="_Toc497224197"/>
      <w:bookmarkStart w:id="240" w:name="_Toc503785399"/>
      <w:bookmarkStart w:id="241" w:name="_Toc350756421"/>
      <w:bookmarkStart w:id="242" w:name="_Toc342060345"/>
      <w:bookmarkStart w:id="243" w:name="_Toc345513838"/>
      <w:bookmarkStart w:id="244" w:name="_Toc366072499"/>
      <w:bookmarkStart w:id="245" w:name="_Toc374454572"/>
      <w:bookmarkStart w:id="246" w:name="_Toc365967044"/>
      <w:bookmarkStart w:id="247" w:name="_Toc336681551"/>
      <w:bookmarkStart w:id="248" w:name="_Toc341348309"/>
      <w:bookmarkStart w:id="249" w:name="_Toc333935658"/>
      <w:bookmarkStart w:id="250" w:name="_Toc339020066"/>
      <w:bookmarkStart w:id="251" w:name="_Toc340507413"/>
      <w:bookmarkStart w:id="252" w:name="_Toc342296731"/>
      <w:bookmarkStart w:id="253" w:name="_Toc350438720"/>
      <w:bookmarkStart w:id="254" w:name="_Toc331684009"/>
      <w:bookmarkStart w:id="255" w:name="_Toc332206679"/>
      <w:bookmarkStart w:id="256" w:name="_Toc337632329"/>
      <w:bookmarkStart w:id="257" w:name="_Toc17909"/>
      <w:bookmarkStart w:id="258" w:name="_Toc330459956"/>
      <w:bookmarkStart w:id="259" w:name="_Toc340677041"/>
      <w:bookmarkStart w:id="260" w:name="_Toc339019860"/>
      <w:bookmarkStart w:id="261" w:name="_Toc339362271"/>
      <w:bookmarkStart w:id="262" w:name="_Toc333935317"/>
      <w:bookmarkStart w:id="263" w:name="_Toc336681906"/>
      <w:bookmarkStart w:id="264" w:name="_Toc332270317"/>
      <w:bookmarkStart w:id="265" w:name="_Toc333238604"/>
      <w:bookmarkStart w:id="266" w:name="_Toc365985150"/>
      <w:bookmarkStart w:id="267" w:name="_Toc333237759"/>
      <w:bookmarkStart w:id="268" w:name="_Toc333237648"/>
      <w:bookmarkStart w:id="269" w:name="_Toc339020204"/>
      <w:bookmarkStart w:id="270" w:name="_Toc331512869"/>
      <w:bookmarkStart w:id="271" w:name="_Toc349127597"/>
      <w:bookmarkStart w:id="272" w:name="_Toc339019986"/>
      <w:bookmarkStart w:id="273" w:name="_Toc349143560"/>
      <w:bookmarkStart w:id="274" w:name="_Toc339441058"/>
      <w:bookmarkStart w:id="275" w:name="_Toc340672840"/>
      <w:bookmarkStart w:id="276" w:name="_Toc8256"/>
      <w:r>
        <w:rPr>
          <w:rFonts w:hint="eastAsia"/>
          <w:color w:val="000000" w:themeColor="text1"/>
          <w14:textFill>
            <w14:solidFill>
              <w14:schemeClr w14:val="tx1"/>
            </w14:solidFill>
          </w14:textFill>
        </w:rPr>
        <w:t>合格的</w:t>
      </w:r>
      <w:bookmarkEnd w:id="239"/>
      <w:bookmarkEnd w:id="240"/>
      <w:r>
        <w:rPr>
          <w:rFonts w:hint="eastAsia"/>
          <w:color w:val="000000" w:themeColor="text1"/>
          <w14:textFill>
            <w14:solidFill>
              <w14:schemeClr w14:val="tx1"/>
            </w14:solidFill>
          </w14:textFill>
        </w:rPr>
        <w:t>投标人</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widowControl/>
        <w:tabs>
          <w:tab w:val="left" w:pos="502"/>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3.1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3.2</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3.3    </w:t>
      </w:r>
      <w:r>
        <w:rPr>
          <w:rFonts w:ascii="宋体" w:hAnsi="宋体"/>
          <w:bCs/>
          <w:color w:val="000000" w:themeColor="text1"/>
          <w:szCs w:val="21"/>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3.4     </w:t>
      </w:r>
      <w:r>
        <w:rPr>
          <w:rFonts w:ascii="宋体" w:hAnsi="宋体"/>
          <w:bCs/>
          <w:color w:val="000000" w:themeColor="text1"/>
          <w:szCs w:val="21"/>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3.5    </w:t>
      </w:r>
      <w:r>
        <w:rPr>
          <w:rFonts w:ascii="宋体" w:hAnsi="宋体"/>
          <w:bCs/>
          <w:color w:val="000000" w:themeColor="text1"/>
          <w:szCs w:val="21"/>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3.6    </w:t>
      </w:r>
      <w:r>
        <w:rPr>
          <w:bCs/>
          <w:color w:val="000000" w:themeColor="text1"/>
          <w:szCs w:val="21"/>
          <w14:textFill>
            <w14:solidFill>
              <w14:schemeClr w14:val="tx1"/>
            </w14:solidFill>
          </w14:textFill>
        </w:rPr>
        <w:t>专门面向中小微企业采购的项目，只能由中小企业或微型企业参加。</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277" w:name="_Toc339441059"/>
      <w:bookmarkStart w:id="278" w:name="_Toc332270318"/>
      <w:bookmarkStart w:id="279" w:name="_Toc336681907"/>
      <w:bookmarkStart w:id="280" w:name="_Toc339020067"/>
      <w:bookmarkStart w:id="281" w:name="_Toc333935318"/>
      <w:bookmarkStart w:id="282" w:name="_Toc365967045"/>
      <w:bookmarkStart w:id="283" w:name="_Toc503785400"/>
      <w:bookmarkStart w:id="284" w:name="_Toc339019987"/>
      <w:bookmarkStart w:id="285" w:name="_Toc350438721"/>
      <w:bookmarkStart w:id="286" w:name="_Toc337632330"/>
      <w:bookmarkStart w:id="287" w:name="_Toc339020205"/>
      <w:bookmarkStart w:id="288" w:name="_Toc365985151"/>
      <w:bookmarkStart w:id="289" w:name="_Toc341348310"/>
      <w:bookmarkStart w:id="290" w:name="_Toc497224198"/>
      <w:bookmarkStart w:id="291" w:name="_Toc340507414"/>
      <w:bookmarkStart w:id="292" w:name="_Toc340677042"/>
      <w:bookmarkStart w:id="293" w:name="_Toc333238605"/>
      <w:bookmarkStart w:id="294" w:name="_Toc330459957"/>
      <w:bookmarkStart w:id="295" w:name="_Toc342296732"/>
      <w:bookmarkStart w:id="296" w:name="_Toc339019861"/>
      <w:bookmarkStart w:id="297" w:name="_Toc29618"/>
      <w:bookmarkStart w:id="298" w:name="_Toc366072500"/>
      <w:bookmarkStart w:id="299" w:name="_Toc331684010"/>
      <w:bookmarkStart w:id="300" w:name="_Toc333935659"/>
      <w:bookmarkStart w:id="301" w:name="_Toc345513839"/>
      <w:bookmarkStart w:id="302" w:name="_Toc350756422"/>
      <w:bookmarkStart w:id="303" w:name="_Toc331512870"/>
      <w:bookmarkStart w:id="304" w:name="_Toc336681552"/>
      <w:bookmarkStart w:id="305" w:name="_Toc349143561"/>
      <w:bookmarkStart w:id="306" w:name="_Toc374454573"/>
      <w:bookmarkStart w:id="307" w:name="_Toc342060346"/>
      <w:bookmarkStart w:id="308" w:name="_Toc19991"/>
      <w:bookmarkStart w:id="309" w:name="_Toc333237649"/>
      <w:bookmarkStart w:id="310" w:name="_Toc332206680"/>
      <w:bookmarkStart w:id="311" w:name="_Toc333237760"/>
      <w:bookmarkStart w:id="312" w:name="_Toc340672841"/>
      <w:bookmarkStart w:id="313" w:name="_Toc349127598"/>
      <w:bookmarkStart w:id="314" w:name="_Toc339362272"/>
      <w:r>
        <w:rPr>
          <w:rFonts w:hint="eastAsia"/>
          <w:color w:val="000000" w:themeColor="text1"/>
          <w14:textFill>
            <w14:solidFill>
              <w14:schemeClr w14:val="tx1"/>
            </w14:solidFill>
          </w14:textFill>
        </w:rPr>
        <w:t>投标费用</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4.1</w:t>
      </w:r>
      <w:r>
        <w:rPr>
          <w:rFonts w:hint="eastAsia" w:ascii="宋体"/>
          <w:bCs/>
          <w:color w:val="000000" w:themeColor="text1"/>
          <w14:textFill>
            <w14:solidFill>
              <w14:schemeClr w14:val="tx1"/>
            </w14:solidFill>
          </w14:textFill>
        </w:rPr>
        <w:tab/>
      </w:r>
      <w:r>
        <w:rPr>
          <w:rFonts w:hint="eastAsia" w:hAnsi="宋体"/>
          <w:color w:val="000000" w:themeColor="text1"/>
          <w14:textFill>
            <w14:solidFill>
              <w14:schemeClr w14:val="tx1"/>
            </w14:solidFill>
          </w14:textFill>
        </w:rPr>
        <w:t>投标人应承担所有与准备和参加投标有关的费用。不论投标的结果如何，招标代理机构和招标人均无义务和责任承担这些费用</w:t>
      </w:r>
      <w:r>
        <w:rPr>
          <w:rFonts w:hint="eastAsia" w:ascii="宋体"/>
          <w:bCs/>
          <w:color w:val="000000" w:themeColor="text1"/>
          <w14:textFill>
            <w14:solidFill>
              <w14:schemeClr w14:val="tx1"/>
            </w14:solidFill>
          </w14:textFill>
        </w:rPr>
        <w:t>。</w:t>
      </w:r>
      <w:bookmarkStart w:id="315" w:name="_Toc333935319"/>
      <w:bookmarkStart w:id="316" w:name="_Toc339019862"/>
      <w:bookmarkStart w:id="317" w:name="_Toc340507415"/>
      <w:bookmarkStart w:id="318" w:name="_Toc333237761"/>
      <w:bookmarkStart w:id="319" w:name="_Toc349127599"/>
      <w:bookmarkStart w:id="320" w:name="_Toc374454574"/>
      <w:bookmarkStart w:id="321" w:name="_Toc339020206"/>
      <w:bookmarkStart w:id="322" w:name="_Toc337632331"/>
      <w:bookmarkStart w:id="323" w:name="_Toc333238606"/>
      <w:bookmarkStart w:id="324" w:name="_Toc365985152"/>
      <w:bookmarkStart w:id="325" w:name="_Toc349143562"/>
      <w:bookmarkStart w:id="326" w:name="_Toc339441060"/>
      <w:bookmarkStart w:id="327" w:name="_Toc366072501"/>
      <w:bookmarkStart w:id="328" w:name="_Toc333237650"/>
      <w:bookmarkStart w:id="329" w:name="_Toc345513840"/>
      <w:bookmarkStart w:id="330" w:name="_Toc336681908"/>
      <w:bookmarkStart w:id="331" w:name="_Toc339019988"/>
      <w:bookmarkStart w:id="332" w:name="_Toc340677043"/>
      <w:bookmarkStart w:id="333" w:name="_Toc340672842"/>
      <w:bookmarkStart w:id="334" w:name="_Toc339362273"/>
      <w:bookmarkStart w:id="335" w:name="_Toc331512871"/>
      <w:bookmarkStart w:id="336" w:name="_Toc333935660"/>
      <w:bookmarkStart w:id="337" w:name="_Toc365967046"/>
      <w:bookmarkStart w:id="338" w:name="_Toc350756423"/>
      <w:bookmarkStart w:id="339" w:name="_Toc497224199"/>
      <w:bookmarkStart w:id="340" w:name="_Toc332206681"/>
      <w:bookmarkStart w:id="341" w:name="_Toc342296733"/>
      <w:bookmarkStart w:id="342" w:name="_Toc332270319"/>
      <w:bookmarkStart w:id="343" w:name="_Toc339020068"/>
      <w:bookmarkStart w:id="344" w:name="_Toc330459958"/>
      <w:bookmarkStart w:id="345" w:name="_Toc336681553"/>
      <w:bookmarkStart w:id="346" w:name="_Toc342060347"/>
      <w:bookmarkStart w:id="347" w:name="_Toc331684011"/>
      <w:bookmarkStart w:id="348" w:name="_Toc503785401"/>
      <w:bookmarkStart w:id="349" w:name="_Toc341348311"/>
      <w:bookmarkStart w:id="350" w:name="_Toc350438722"/>
    </w:p>
    <w:p>
      <w:pPr>
        <w:pStyle w:val="3"/>
        <w:numPr>
          <w:ilvl w:val="0"/>
          <w:numId w:val="0"/>
        </w:numPr>
        <w:rPr>
          <w:color w:val="000000" w:themeColor="text1"/>
          <w:sz w:val="24"/>
          <w14:textFill>
            <w14:solidFill>
              <w14:schemeClr w14:val="tx1"/>
            </w14:solidFill>
          </w14:textFill>
        </w:rPr>
      </w:pPr>
      <w:bookmarkStart w:id="351" w:name="_Toc31074"/>
      <w:bookmarkStart w:id="352" w:name="_Toc7356"/>
      <w:r>
        <w:rPr>
          <w:rFonts w:hint="eastAsia"/>
          <w:color w:val="000000" w:themeColor="text1"/>
          <w:sz w:val="24"/>
          <w14:textFill>
            <w14:solidFill>
              <w14:schemeClr w14:val="tx1"/>
            </w14:solidFill>
          </w14:textFill>
        </w:rPr>
        <w:t>Ｂ招标文件说明</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353" w:name="_Toc333935661"/>
      <w:bookmarkStart w:id="354" w:name="_Toc331512872"/>
      <w:bookmarkStart w:id="355" w:name="_Toc341348312"/>
      <w:bookmarkStart w:id="356" w:name="_Toc331684012"/>
      <w:bookmarkStart w:id="357" w:name="_Toc333237651"/>
      <w:bookmarkStart w:id="358" w:name="_Toc365967047"/>
      <w:bookmarkStart w:id="359" w:name="_Toc339362274"/>
      <w:bookmarkStart w:id="360" w:name="_Toc330459959"/>
      <w:bookmarkStart w:id="361" w:name="_Toc350756424"/>
      <w:bookmarkStart w:id="362" w:name="_Toc3399"/>
      <w:bookmarkStart w:id="363" w:name="_Toc16516"/>
      <w:bookmarkStart w:id="364" w:name="_Toc349127600"/>
      <w:bookmarkStart w:id="365" w:name="_Toc332206682"/>
      <w:bookmarkStart w:id="366" w:name="_Toc497224200"/>
      <w:bookmarkStart w:id="367" w:name="_Toc339441061"/>
      <w:bookmarkStart w:id="368" w:name="_Toc366072502"/>
      <w:bookmarkStart w:id="369" w:name="_Toc345513841"/>
      <w:bookmarkStart w:id="370" w:name="_Toc365985153"/>
      <w:bookmarkStart w:id="371" w:name="_Toc340672843"/>
      <w:bookmarkStart w:id="372" w:name="_Toc349143563"/>
      <w:bookmarkStart w:id="373" w:name="_Toc333238607"/>
      <w:bookmarkStart w:id="374" w:name="_Toc333237762"/>
      <w:bookmarkStart w:id="375" w:name="_Toc339019989"/>
      <w:bookmarkStart w:id="376" w:name="_Toc350438723"/>
      <w:bookmarkStart w:id="377" w:name="_Toc340677044"/>
      <w:bookmarkStart w:id="378" w:name="_Toc336681554"/>
      <w:bookmarkStart w:id="379" w:name="_Toc333935320"/>
      <w:bookmarkStart w:id="380" w:name="_Toc337632332"/>
      <w:bookmarkStart w:id="381" w:name="_Toc340507416"/>
      <w:bookmarkStart w:id="382" w:name="_Toc339020069"/>
      <w:bookmarkStart w:id="383" w:name="_Toc332270320"/>
      <w:bookmarkStart w:id="384" w:name="_Toc503785402"/>
      <w:bookmarkStart w:id="385" w:name="_Toc336681909"/>
      <w:bookmarkStart w:id="386" w:name="_Toc339020207"/>
      <w:bookmarkStart w:id="387" w:name="_Toc342296734"/>
      <w:bookmarkStart w:id="388" w:name="_Toc374454575"/>
      <w:bookmarkStart w:id="389" w:name="_Toc339019863"/>
      <w:bookmarkStart w:id="390" w:name="_Toc342060348"/>
      <w:r>
        <w:rPr>
          <w:rFonts w:hint="eastAsia"/>
          <w:color w:val="000000" w:themeColor="text1"/>
          <w14:textFill>
            <w14:solidFill>
              <w14:schemeClr w14:val="tx1"/>
            </w14:solidFill>
          </w14:textFill>
        </w:rPr>
        <w:t>招标文件的构成</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5.1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5.2</w:t>
      </w:r>
      <w:r>
        <w:rPr>
          <w:rFonts w:hint="eastAsia" w:ascii="宋体"/>
          <w:bCs/>
          <w:color w:val="000000" w:themeColor="text1"/>
          <w14:textFill>
            <w14:solidFill>
              <w14:schemeClr w14:val="tx1"/>
            </w14:solidFill>
          </w14:textFill>
        </w:rPr>
        <w:t xml:space="preserve"> </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招标文件以中文编印。</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391" w:name="_Toc336681910"/>
      <w:bookmarkStart w:id="392" w:name="_Toc333237763"/>
      <w:bookmarkStart w:id="393" w:name="_Toc370388389"/>
      <w:bookmarkStart w:id="394" w:name="_Toc342060349"/>
      <w:bookmarkStart w:id="395" w:name="_Toc339362275"/>
      <w:bookmarkStart w:id="396" w:name="_Toc332270321"/>
      <w:bookmarkStart w:id="397" w:name="_Toc336681555"/>
      <w:bookmarkStart w:id="398" w:name="_Toc330459960"/>
      <w:bookmarkStart w:id="399" w:name="_Toc342296735"/>
      <w:bookmarkStart w:id="400" w:name="_Toc331684013"/>
      <w:bookmarkStart w:id="401" w:name="_Toc349127601"/>
      <w:bookmarkStart w:id="402" w:name="_Toc337632333"/>
      <w:bookmarkStart w:id="403" w:name="_Toc365967048"/>
      <w:bookmarkStart w:id="404" w:name="_Toc341348313"/>
      <w:bookmarkStart w:id="405" w:name="_Toc332206683"/>
      <w:bookmarkStart w:id="406" w:name="_Toc333237652"/>
      <w:bookmarkStart w:id="407" w:name="_Toc340672844"/>
      <w:bookmarkStart w:id="408" w:name="_Toc340677045"/>
      <w:bookmarkStart w:id="409" w:name="_Toc339019990"/>
      <w:bookmarkStart w:id="410" w:name="_Toc333238608"/>
      <w:bookmarkStart w:id="411" w:name="_Toc350438724"/>
      <w:bookmarkStart w:id="412" w:name="_Toc349143564"/>
      <w:bookmarkStart w:id="413" w:name="_Toc339019864"/>
      <w:bookmarkStart w:id="414" w:name="_Toc345513842"/>
      <w:bookmarkStart w:id="415" w:name="_Toc503785403"/>
      <w:bookmarkStart w:id="416" w:name="_Toc333935321"/>
      <w:bookmarkStart w:id="417" w:name="_Toc350756425"/>
      <w:bookmarkStart w:id="418" w:name="_Toc339441062"/>
      <w:bookmarkStart w:id="419" w:name="_Toc333935662"/>
      <w:bookmarkStart w:id="420" w:name="_Toc339020208"/>
      <w:bookmarkStart w:id="421" w:name="_Toc340507417"/>
      <w:bookmarkStart w:id="422" w:name="_Toc339020070"/>
      <w:bookmarkStart w:id="423" w:name="_Toc497224201"/>
      <w:bookmarkStart w:id="424" w:name="_Toc331512873"/>
      <w:bookmarkStart w:id="425" w:name="_Toc365985154"/>
      <w:bookmarkStart w:id="426" w:name="_Toc374454576"/>
      <w:bookmarkStart w:id="427" w:name="_Toc7542"/>
      <w:bookmarkStart w:id="428" w:name="_Toc11687"/>
      <w:bookmarkStart w:id="429" w:name="_Toc497224203"/>
      <w:bookmarkStart w:id="430" w:name="_Toc503785405"/>
      <w:bookmarkStart w:id="431" w:name="_Toc365985156"/>
      <w:bookmarkStart w:id="432" w:name="_Toc333238610"/>
      <w:bookmarkStart w:id="433" w:name="_Toc339362277"/>
      <w:bookmarkStart w:id="434" w:name="_Toc340507419"/>
      <w:bookmarkStart w:id="435" w:name="_Toc336681557"/>
      <w:bookmarkStart w:id="436" w:name="_Toc366072505"/>
      <w:bookmarkStart w:id="437" w:name="_Toc349127603"/>
      <w:bookmarkStart w:id="438" w:name="_Toc342296737"/>
      <w:bookmarkStart w:id="439" w:name="_Toc330459962"/>
      <w:bookmarkStart w:id="440" w:name="_Toc333935323"/>
      <w:bookmarkStart w:id="441" w:name="_Toc339441064"/>
      <w:bookmarkStart w:id="442" w:name="_Toc339019866"/>
      <w:bookmarkStart w:id="443" w:name="_Toc336681912"/>
      <w:bookmarkStart w:id="444" w:name="_Toc339020072"/>
      <w:bookmarkStart w:id="445" w:name="_Toc333237765"/>
      <w:bookmarkStart w:id="446" w:name="_Toc350438726"/>
      <w:bookmarkStart w:id="447" w:name="_Toc342060351"/>
      <w:bookmarkStart w:id="448" w:name="_Toc331512875"/>
      <w:bookmarkStart w:id="449" w:name="_Toc332206685"/>
      <w:bookmarkStart w:id="450" w:name="_Toc345513844"/>
      <w:bookmarkStart w:id="451" w:name="_Toc332270323"/>
      <w:bookmarkStart w:id="452" w:name="_Toc339019992"/>
      <w:bookmarkStart w:id="453" w:name="_Toc349143566"/>
      <w:bookmarkStart w:id="454" w:name="_Toc333237654"/>
      <w:bookmarkStart w:id="455" w:name="_Toc340677047"/>
      <w:bookmarkStart w:id="456" w:name="_Toc337632335"/>
      <w:bookmarkStart w:id="457" w:name="_Toc341348315"/>
      <w:bookmarkStart w:id="458" w:name="_Toc331684015"/>
      <w:bookmarkStart w:id="459" w:name="_Toc350756427"/>
      <w:bookmarkStart w:id="460" w:name="_Toc340672846"/>
      <w:bookmarkStart w:id="461" w:name="_Toc339020210"/>
      <w:bookmarkStart w:id="462" w:name="_Toc365967050"/>
      <w:bookmarkStart w:id="463" w:name="_Toc333935664"/>
      <w:r>
        <w:rPr>
          <w:rFonts w:hint="eastAsia"/>
          <w:color w:val="000000" w:themeColor="text1"/>
          <w14:textFill>
            <w14:solidFill>
              <w14:schemeClr w14:val="tx1"/>
            </w14:solidFill>
          </w14:textFill>
        </w:rPr>
        <w:t>招标文件的澄清</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hint="eastAsia"/>
          <w:color w:val="000000" w:themeColor="text1"/>
          <w14:textFill>
            <w14:solidFill>
              <w14:schemeClr w14:val="tx1"/>
            </w14:solidFill>
          </w14:textFill>
        </w:rPr>
        <w:t>、修改</w:t>
      </w:r>
      <w:bookmarkEnd w:id="426"/>
      <w:bookmarkEnd w:id="427"/>
      <w:bookmarkEnd w:id="428"/>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澄清或修改时间距投标截止时间不足15日的，招标人或招标代理机构在征得已获取招标文件的投标人同意并书面确认后，可不改变投标截止时间。</w:t>
      </w:r>
    </w:p>
    <w:p>
      <w:pPr>
        <w:pStyle w:val="3"/>
        <w:numPr>
          <w:ilvl w:val="0"/>
          <w:numId w:val="0"/>
        </w:numPr>
        <w:rPr>
          <w:color w:val="000000" w:themeColor="text1"/>
          <w:sz w:val="24"/>
          <w14:textFill>
            <w14:solidFill>
              <w14:schemeClr w14:val="tx1"/>
            </w14:solidFill>
          </w14:textFill>
        </w:rPr>
      </w:pPr>
      <w:bookmarkStart w:id="464" w:name="_Toc374454577"/>
      <w:r>
        <w:rPr>
          <w:color w:val="000000" w:themeColor="text1"/>
          <w:sz w:val="24"/>
          <w14:textFill>
            <w14:solidFill>
              <w14:schemeClr w14:val="tx1"/>
            </w14:solidFill>
          </w14:textFill>
        </w:rPr>
        <w:br w:type="page"/>
      </w:r>
      <w:bookmarkStart w:id="465" w:name="_Toc1905"/>
      <w:bookmarkStart w:id="466" w:name="_Toc6029"/>
      <w:r>
        <w:rPr>
          <w:rFonts w:hint="eastAsia"/>
          <w:color w:val="000000" w:themeColor="text1"/>
          <w:sz w:val="24"/>
          <w14:textFill>
            <w14:solidFill>
              <w14:schemeClr w14:val="tx1"/>
            </w14:solidFill>
          </w14:textFill>
        </w:rPr>
        <w:t>Ｃ投标文件的编</w:t>
      </w:r>
      <w:bookmarkEnd w:id="429"/>
      <w:bookmarkEnd w:id="430"/>
      <w:r>
        <w:rPr>
          <w:rFonts w:hint="eastAsia"/>
          <w:color w:val="000000" w:themeColor="text1"/>
          <w:sz w:val="24"/>
          <w14:textFill>
            <w14:solidFill>
              <w14:schemeClr w14:val="tx1"/>
            </w14:solidFill>
          </w14:textFill>
        </w:rPr>
        <w:t>制</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467" w:name="_Toc6969"/>
      <w:bookmarkStart w:id="468" w:name="_Toc366072506"/>
      <w:bookmarkStart w:id="469" w:name="_Toc365967051"/>
      <w:bookmarkStart w:id="470" w:name="_Toc497224204"/>
      <w:bookmarkStart w:id="471" w:name="_Toc332206686"/>
      <w:bookmarkStart w:id="472" w:name="_Toc333935665"/>
      <w:bookmarkStart w:id="473" w:name="_Toc333237655"/>
      <w:bookmarkStart w:id="474" w:name="_Toc331512876"/>
      <w:bookmarkStart w:id="475" w:name="_Toc349127604"/>
      <w:bookmarkStart w:id="476" w:name="_Toc339019993"/>
      <w:bookmarkStart w:id="477" w:name="_Toc350438727"/>
      <w:bookmarkStart w:id="478" w:name="_Toc339362278"/>
      <w:bookmarkStart w:id="479" w:name="_Toc339019867"/>
      <w:bookmarkStart w:id="480" w:name="_Toc342060352"/>
      <w:bookmarkStart w:id="481" w:name="_Toc340507420"/>
      <w:bookmarkStart w:id="482" w:name="_Toc340672847"/>
      <w:bookmarkStart w:id="483" w:name="_Toc336681558"/>
      <w:bookmarkStart w:id="484" w:name="_Toc330459963"/>
      <w:bookmarkStart w:id="485" w:name="_Toc350756428"/>
      <w:bookmarkStart w:id="486" w:name="_Toc333237766"/>
      <w:bookmarkStart w:id="487" w:name="_Toc336681913"/>
      <w:bookmarkStart w:id="488" w:name="_Toc374454578"/>
      <w:bookmarkStart w:id="489" w:name="_Toc331684016"/>
      <w:bookmarkStart w:id="490" w:name="_Toc503785406"/>
      <w:bookmarkStart w:id="491" w:name="_Toc340677048"/>
      <w:bookmarkStart w:id="492" w:name="_Toc337632336"/>
      <w:bookmarkStart w:id="493" w:name="_Toc339441065"/>
      <w:bookmarkStart w:id="494" w:name="_Toc365985157"/>
      <w:bookmarkStart w:id="495" w:name="_Toc333935324"/>
      <w:bookmarkStart w:id="496" w:name="_Toc345513845"/>
      <w:bookmarkStart w:id="497" w:name="_Toc342296738"/>
      <w:bookmarkStart w:id="498" w:name="_Toc339020073"/>
      <w:bookmarkStart w:id="499" w:name="_Toc341348316"/>
      <w:bookmarkStart w:id="500" w:name="_Toc332270324"/>
      <w:bookmarkStart w:id="501" w:name="_Toc333238611"/>
      <w:bookmarkStart w:id="502" w:name="_Toc349143567"/>
      <w:bookmarkStart w:id="503" w:name="_Toc31231"/>
      <w:bookmarkStart w:id="504" w:name="_Toc339020211"/>
      <w:r>
        <w:rPr>
          <w:rFonts w:hint="eastAsia"/>
          <w:color w:val="000000" w:themeColor="text1"/>
          <w14:textFill>
            <w14:solidFill>
              <w14:schemeClr w14:val="tx1"/>
            </w14:solidFill>
          </w14:textFill>
        </w:rPr>
        <w:t>要求</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505" w:name="_Toc503785407"/>
      <w:bookmarkStart w:id="506" w:name="_Toc333237656"/>
      <w:bookmarkStart w:id="507" w:name="_Toc336681559"/>
      <w:bookmarkStart w:id="508" w:name="_Toc331512877"/>
      <w:bookmarkStart w:id="509" w:name="_Toc350756429"/>
      <w:bookmarkStart w:id="510" w:name="_Toc331684017"/>
      <w:bookmarkStart w:id="511" w:name="_Toc342296739"/>
      <w:bookmarkStart w:id="512" w:name="_Toc9417"/>
      <w:bookmarkStart w:id="513" w:name="_Toc497224205"/>
      <w:bookmarkStart w:id="514" w:name="_Toc337632337"/>
      <w:bookmarkStart w:id="515" w:name="_Toc333935325"/>
      <w:bookmarkStart w:id="516" w:name="_Toc332270325"/>
      <w:bookmarkStart w:id="517" w:name="_Toc340677049"/>
      <w:bookmarkStart w:id="518" w:name="_Toc340507421"/>
      <w:bookmarkStart w:id="519" w:name="_Toc336681914"/>
      <w:bookmarkStart w:id="520" w:name="_Toc342060353"/>
      <w:bookmarkStart w:id="521" w:name="_Toc350438728"/>
      <w:bookmarkStart w:id="522" w:name="_Toc339020074"/>
      <w:bookmarkStart w:id="523" w:name="_Toc14340"/>
      <w:bookmarkStart w:id="524" w:name="_Toc341348317"/>
      <w:bookmarkStart w:id="525" w:name="_Toc366072507"/>
      <w:bookmarkStart w:id="526" w:name="_Toc339020212"/>
      <w:bookmarkStart w:id="527" w:name="_Toc374454579"/>
      <w:bookmarkStart w:id="528" w:name="_Toc339019994"/>
      <w:bookmarkStart w:id="529" w:name="_Toc339362279"/>
      <w:bookmarkStart w:id="530" w:name="_Toc333238612"/>
      <w:bookmarkStart w:id="531" w:name="_Toc333935666"/>
      <w:bookmarkStart w:id="532" w:name="_Toc349143568"/>
      <w:bookmarkStart w:id="533" w:name="_Toc365967052"/>
      <w:bookmarkStart w:id="534" w:name="_Toc365985158"/>
      <w:bookmarkStart w:id="535" w:name="_Toc330459964"/>
      <w:bookmarkStart w:id="536" w:name="_Toc345513846"/>
      <w:bookmarkStart w:id="537" w:name="_Toc332206687"/>
      <w:bookmarkStart w:id="538" w:name="_Toc340672848"/>
      <w:bookmarkStart w:id="539" w:name="_Toc333237767"/>
      <w:bookmarkStart w:id="540" w:name="_Toc349127605"/>
      <w:bookmarkStart w:id="541" w:name="_Toc339019868"/>
      <w:bookmarkStart w:id="542" w:name="_Toc339441066"/>
      <w:r>
        <w:rPr>
          <w:rFonts w:hint="eastAsia"/>
          <w:color w:val="000000" w:themeColor="text1"/>
          <w14:textFill>
            <w14:solidFill>
              <w14:schemeClr w14:val="tx1"/>
            </w14:solidFill>
          </w14:textFill>
        </w:rPr>
        <w:t>投标语言及计量单位</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8</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投标人提交的投标文件（包括资格证明文件）以及投标人与招标代理机构就有关投标的所有往来函电均应使用中文。投标人可以提交用其它语言打印的资料，但有关段落必须译成中文。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8</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 xml:space="preserve"> </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除在招标文件的技术规格中另有规定外，计量单位应使用中华人民共和国法定计量单位</w:t>
      </w:r>
      <w:r>
        <w:rPr>
          <w:rFonts w:hint="eastAsia"/>
          <w:bCs/>
          <w:color w:val="000000" w:themeColor="text1"/>
          <w14:textFill>
            <w14:solidFill>
              <w14:schemeClr w14:val="tx1"/>
            </w14:solidFill>
          </w14:textFill>
        </w:rPr>
        <w:t>（国际单位制和国家选定的其他计量单位）</w:t>
      </w:r>
      <w:r>
        <w:rPr>
          <w:rFonts w:hint="eastAsia" w:ascii="宋体"/>
          <w:bCs/>
          <w:color w:val="000000" w:themeColor="text1"/>
          <w14:textFill>
            <w14:solidFill>
              <w14:schemeClr w14:val="tx1"/>
            </w14:solidFill>
          </w14:textFill>
        </w:rPr>
        <w:t>。</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543" w:name="_Toc345513847"/>
      <w:bookmarkStart w:id="544" w:name="_Toc339362280"/>
      <w:bookmarkStart w:id="545" w:name="_Toc339019869"/>
      <w:bookmarkStart w:id="546" w:name="_Toc340507422"/>
      <w:bookmarkStart w:id="547" w:name="_Toc342296740"/>
      <w:bookmarkStart w:id="548" w:name="_Toc332270326"/>
      <w:bookmarkStart w:id="549" w:name="_Toc332206688"/>
      <w:bookmarkStart w:id="550" w:name="_Toc75"/>
      <w:bookmarkStart w:id="551" w:name="_Toc333238613"/>
      <w:bookmarkStart w:id="552" w:name="_Toc366072508"/>
      <w:bookmarkStart w:id="553" w:name="_Toc337632338"/>
      <w:bookmarkStart w:id="554" w:name="_Toc350756430"/>
      <w:bookmarkStart w:id="555" w:name="_Toc340672849"/>
      <w:bookmarkStart w:id="556" w:name="_Toc374454580"/>
      <w:bookmarkStart w:id="557" w:name="_Toc349143569"/>
      <w:bookmarkStart w:id="558" w:name="_Toc331684018"/>
      <w:bookmarkStart w:id="559" w:name="_Toc339441067"/>
      <w:bookmarkStart w:id="560" w:name="_Toc341348318"/>
      <w:bookmarkStart w:id="561" w:name="_Toc336681915"/>
      <w:bookmarkStart w:id="562" w:name="_Toc330459965"/>
      <w:bookmarkStart w:id="563" w:name="_Toc333935326"/>
      <w:bookmarkStart w:id="564" w:name="_Toc1880"/>
      <w:bookmarkStart w:id="565" w:name="_Toc331512878"/>
      <w:bookmarkStart w:id="566" w:name="_Toc365967053"/>
      <w:bookmarkStart w:id="567" w:name="_Toc336681560"/>
      <w:bookmarkStart w:id="568" w:name="_Toc349127606"/>
      <w:bookmarkStart w:id="569" w:name="_Toc333237657"/>
      <w:bookmarkStart w:id="570" w:name="_Toc340677050"/>
      <w:bookmarkStart w:id="571" w:name="_Toc497224206"/>
      <w:bookmarkStart w:id="572" w:name="_Toc333935667"/>
      <w:bookmarkStart w:id="573" w:name="_Toc503785408"/>
      <w:bookmarkStart w:id="574" w:name="_Toc342060354"/>
      <w:bookmarkStart w:id="575" w:name="_Toc365985159"/>
      <w:bookmarkStart w:id="576" w:name="_Toc350438729"/>
      <w:bookmarkStart w:id="577" w:name="_Toc339019995"/>
      <w:bookmarkStart w:id="578" w:name="_Toc333237768"/>
      <w:bookmarkStart w:id="579" w:name="_Toc339020075"/>
      <w:bookmarkStart w:id="580" w:name="_Toc339020213"/>
      <w:r>
        <w:rPr>
          <w:rFonts w:hint="eastAsia"/>
          <w:color w:val="000000" w:themeColor="text1"/>
          <w14:textFill>
            <w14:solidFill>
              <w14:schemeClr w14:val="tx1"/>
            </w14:solidFill>
          </w14:textFill>
        </w:rPr>
        <w:t>投标文件的构成</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pPr>
        <w:widowControl/>
        <w:tabs>
          <w:tab w:val="left" w:pos="753"/>
        </w:tabs>
        <w:adjustRightInd w:val="0"/>
        <w:snapToGrid w:val="0"/>
        <w:spacing w:line="360" w:lineRule="auto"/>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9</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14:textFill>
            <w14:solidFill>
              <w14:schemeClr w14:val="tx1"/>
            </w14:solidFill>
          </w14:textFill>
        </w:rPr>
      </w:pPr>
      <w:bookmarkStart w:id="581" w:name="_Toc503785409"/>
      <w:bookmarkStart w:id="582" w:name="_Toc497224207"/>
      <w:r>
        <w:rPr>
          <w:rFonts w:hint="eastAsia" w:ascii="宋体" w:hAnsi="宋体"/>
          <w:bCs/>
          <w:color w:val="000000" w:themeColor="text1"/>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第二章 商务和技术部分</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583" w:name="_Toc333237769"/>
      <w:bookmarkStart w:id="584" w:name="_Toc337632339"/>
      <w:bookmarkStart w:id="585" w:name="_Toc332270327"/>
      <w:bookmarkStart w:id="586" w:name="_Toc365967054"/>
      <w:bookmarkStart w:id="587" w:name="_Toc339020214"/>
      <w:bookmarkStart w:id="588" w:name="_Toc336681916"/>
      <w:bookmarkStart w:id="589" w:name="_Toc339020076"/>
      <w:bookmarkStart w:id="590" w:name="_Toc340677051"/>
      <w:bookmarkStart w:id="591" w:name="_Toc349127607"/>
      <w:bookmarkStart w:id="592" w:name="_Toc24042"/>
      <w:bookmarkStart w:id="593" w:name="_Toc332206689"/>
      <w:bookmarkStart w:id="594" w:name="_Toc339019870"/>
      <w:bookmarkStart w:id="595" w:name="_Toc9056"/>
      <w:bookmarkStart w:id="596" w:name="_Toc342296741"/>
      <w:bookmarkStart w:id="597" w:name="_Toc340672850"/>
      <w:bookmarkStart w:id="598" w:name="_Toc339362281"/>
      <w:bookmarkStart w:id="599" w:name="_Toc336681561"/>
      <w:bookmarkStart w:id="600" w:name="_Toc331684019"/>
      <w:bookmarkStart w:id="601" w:name="_Toc341348319"/>
      <w:bookmarkStart w:id="602" w:name="_Toc366072509"/>
      <w:bookmarkStart w:id="603" w:name="_Toc345513848"/>
      <w:bookmarkStart w:id="604" w:name="_Toc333237658"/>
      <w:bookmarkStart w:id="605" w:name="_Toc333935327"/>
      <w:bookmarkStart w:id="606" w:name="_Toc349143570"/>
      <w:bookmarkStart w:id="607" w:name="_Toc330459966"/>
      <w:bookmarkStart w:id="608" w:name="_Toc339019996"/>
      <w:bookmarkStart w:id="609" w:name="_Toc365985160"/>
      <w:bookmarkStart w:id="610" w:name="_Toc340507423"/>
      <w:bookmarkStart w:id="611" w:name="_Toc331512879"/>
      <w:bookmarkStart w:id="612" w:name="_Toc333238614"/>
      <w:bookmarkStart w:id="613" w:name="_Toc333935668"/>
      <w:bookmarkStart w:id="614" w:name="_Toc339441068"/>
      <w:bookmarkStart w:id="615" w:name="_Toc342060355"/>
      <w:bookmarkStart w:id="616" w:name="_Toc350756431"/>
      <w:bookmarkStart w:id="617" w:name="_Toc374454581"/>
      <w:bookmarkStart w:id="618" w:name="_Toc350438730"/>
      <w:r>
        <w:rPr>
          <w:rFonts w:hint="eastAsia"/>
          <w:color w:val="000000" w:themeColor="text1"/>
          <w14:textFill>
            <w14:solidFill>
              <w14:schemeClr w14:val="tx1"/>
            </w14:solidFill>
          </w14:textFill>
        </w:rPr>
        <w:t>投标文件格式</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pPr>
        <w:widowControl/>
        <w:tabs>
          <w:tab w:val="left" w:pos="753"/>
        </w:tabs>
        <w:adjustRightInd w:val="0"/>
        <w:snapToGrid w:val="0"/>
        <w:spacing w:before="240"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投标人应</w:t>
      </w:r>
      <w:r>
        <w:rPr>
          <w:rFonts w:hint="eastAsia" w:ascii="宋体" w:hAnsi="宋体"/>
          <w:bCs/>
          <w:color w:val="000000" w:themeColor="text1"/>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10.2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619" w:name="_Toc349127608"/>
      <w:bookmarkStart w:id="620" w:name="_Toc374454582"/>
      <w:bookmarkStart w:id="621" w:name="_Toc337632340"/>
      <w:bookmarkStart w:id="622" w:name="_Toc333935328"/>
      <w:bookmarkStart w:id="623" w:name="_Toc365967055"/>
      <w:bookmarkStart w:id="624" w:name="_Toc339020215"/>
      <w:bookmarkStart w:id="625" w:name="_Toc341348320"/>
      <w:bookmarkStart w:id="626" w:name="_Toc339362282"/>
      <w:bookmarkStart w:id="627" w:name="_Toc340672851"/>
      <w:bookmarkStart w:id="628" w:name="_Toc339441069"/>
      <w:bookmarkStart w:id="629" w:name="_Toc342296742"/>
      <w:bookmarkStart w:id="630" w:name="_Toc32451"/>
      <w:bookmarkStart w:id="631" w:name="_Toc332206690"/>
      <w:bookmarkStart w:id="632" w:name="_Toc342060356"/>
      <w:bookmarkStart w:id="633" w:name="_Toc350438731"/>
      <w:bookmarkStart w:id="634" w:name="_Toc336681917"/>
      <w:bookmarkStart w:id="635" w:name="_Toc333237659"/>
      <w:bookmarkStart w:id="636" w:name="_Toc350756432"/>
      <w:bookmarkStart w:id="637" w:name="_Toc345513849"/>
      <w:bookmarkStart w:id="638" w:name="_Toc330459967"/>
      <w:bookmarkStart w:id="639" w:name="_Toc349143571"/>
      <w:bookmarkStart w:id="640" w:name="_Toc339019871"/>
      <w:bookmarkStart w:id="641" w:name="_Toc339020077"/>
      <w:bookmarkStart w:id="642" w:name="_Toc336681562"/>
      <w:bookmarkStart w:id="643" w:name="_Toc333237770"/>
      <w:bookmarkStart w:id="644" w:name="_Toc340507424"/>
      <w:bookmarkStart w:id="645" w:name="_Toc10870"/>
      <w:bookmarkStart w:id="646" w:name="_Toc366072510"/>
      <w:bookmarkStart w:id="647" w:name="_Toc340677052"/>
      <w:bookmarkStart w:id="648" w:name="_Toc332270328"/>
      <w:bookmarkStart w:id="649" w:name="_Toc331684020"/>
      <w:bookmarkStart w:id="650" w:name="_Toc331512880"/>
      <w:bookmarkStart w:id="651" w:name="_Toc5003680"/>
      <w:bookmarkStart w:id="652" w:name="_Toc339019997"/>
      <w:bookmarkStart w:id="653" w:name="_Toc333238615"/>
      <w:bookmarkStart w:id="654" w:name="_Toc365985161"/>
      <w:bookmarkStart w:id="655" w:name="_Toc333935669"/>
      <w:r>
        <w:rPr>
          <w:rFonts w:hint="eastAsia"/>
          <w:color w:val="000000" w:themeColor="text1"/>
          <w14:textFill>
            <w14:solidFill>
              <w14:schemeClr w14:val="tx1"/>
            </w14:solidFill>
          </w14:textFill>
        </w:rPr>
        <w:t>资格证明文件</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11.1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投标人满足招标文件中列出的资格标准；</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招标人签订合同，就中标项目向招标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656" w:name="_Toc341348321"/>
      <w:bookmarkStart w:id="657" w:name="_Toc350438732"/>
      <w:bookmarkStart w:id="658" w:name="_Toc365967056"/>
      <w:bookmarkStart w:id="659" w:name="_Toc332270329"/>
      <w:bookmarkStart w:id="660" w:name="_Toc333237771"/>
      <w:bookmarkStart w:id="661" w:name="_Toc339362283"/>
      <w:bookmarkStart w:id="662" w:name="_Toc333237660"/>
      <w:bookmarkStart w:id="663" w:name="_Toc365985162"/>
      <w:bookmarkStart w:id="664" w:name="_Toc366072511"/>
      <w:bookmarkStart w:id="665" w:name="_Toc339019998"/>
      <w:bookmarkStart w:id="666" w:name="_Toc333935670"/>
      <w:bookmarkStart w:id="667" w:name="_Toc333238616"/>
      <w:bookmarkStart w:id="668" w:name="_Toc5003681"/>
      <w:bookmarkStart w:id="669" w:name="_Toc331684021"/>
      <w:bookmarkStart w:id="670" w:name="_Toc340672852"/>
      <w:bookmarkStart w:id="671" w:name="_Toc339019872"/>
      <w:bookmarkStart w:id="672" w:name="_Toc340507425"/>
      <w:bookmarkStart w:id="673" w:name="_Toc330459968"/>
      <w:bookmarkStart w:id="674" w:name="_Toc342296743"/>
      <w:bookmarkStart w:id="675" w:name="_Toc340677053"/>
      <w:bookmarkStart w:id="676" w:name="_Toc336681563"/>
      <w:bookmarkStart w:id="677" w:name="_Toc14904"/>
      <w:bookmarkStart w:id="678" w:name="_Toc345513850"/>
      <w:bookmarkStart w:id="679" w:name="_Toc339020216"/>
      <w:bookmarkStart w:id="680" w:name="_Toc11882"/>
      <w:bookmarkStart w:id="681" w:name="_Toc331512881"/>
      <w:bookmarkStart w:id="682" w:name="_Toc332206691"/>
      <w:bookmarkStart w:id="683" w:name="_Toc350756433"/>
      <w:bookmarkStart w:id="684" w:name="_Toc349127609"/>
      <w:bookmarkStart w:id="685" w:name="_Toc339441070"/>
      <w:bookmarkStart w:id="686" w:name="_Toc336681918"/>
      <w:bookmarkStart w:id="687" w:name="_Toc349143572"/>
      <w:bookmarkStart w:id="688" w:name="_Toc333935329"/>
      <w:bookmarkStart w:id="689" w:name="_Toc339020078"/>
      <w:bookmarkStart w:id="690" w:name="_Toc374454583"/>
      <w:bookmarkStart w:id="691" w:name="_Toc337632341"/>
      <w:bookmarkStart w:id="692" w:name="_Toc342060357"/>
      <w:r>
        <w:rPr>
          <w:rFonts w:hint="eastAsia"/>
          <w:color w:val="000000" w:themeColor="text1"/>
          <w14:textFill>
            <w14:solidFill>
              <w14:schemeClr w14:val="tx1"/>
            </w14:solidFill>
          </w14:textFill>
        </w:rPr>
        <w:t>货物和服务的证明文件</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12.1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投标人应提交其拟</w:t>
      </w:r>
      <w:r>
        <w:rPr>
          <w:rFonts w:hint="eastAsia" w:ascii="宋体" w:hAnsi="宋体"/>
          <w:bCs/>
          <w:color w:val="000000" w:themeColor="text1"/>
          <w:lang w:val="en-US" w:eastAsia="zh-CN"/>
          <w14:textFill>
            <w14:solidFill>
              <w14:schemeClr w14:val="tx1"/>
            </w14:solidFill>
          </w14:textFill>
        </w:rPr>
        <w:t>提供</w:t>
      </w:r>
      <w:r>
        <w:rPr>
          <w:rFonts w:hint="eastAsia" w:ascii="宋体" w:hAnsi="宋体"/>
          <w:bCs/>
          <w:color w:val="000000" w:themeColor="text1"/>
          <w14:textFill>
            <w14:solidFill>
              <w14:schemeClr w14:val="tx1"/>
            </w14:solidFill>
          </w14:textFill>
        </w:rPr>
        <w:t>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证明货物和服务与招标文件的要求相一致的文件，它可以是文字资料、图纸、手册和数据，包括：</w:t>
      </w:r>
    </w:p>
    <w:p>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货物主要技术指标和性能的详细说明。</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货物从招标人开始使用至招标要求中规定的周期内正常、连续地使用所必须的备件和专用工具清单，包括备件和专用工具的货源及现行价格。</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对照招标文件技术规格，逐条说明所提供货物和服务已对招标人的技术规格做出了实质性的响应，或申明与技术规格条文的偏差和例外。特别对于有具体参数要求的指标，投标人必须提供所投设备的具体参数值。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投标人在阐述上述第</w:t>
      </w:r>
      <w:r>
        <w:rPr>
          <w:rFonts w:hint="eastAsia" w:ascii="宋体" w:hAnsi="宋体"/>
          <w:color w:val="000000" w:themeColor="text1"/>
          <w14:textFill>
            <w14:solidFill>
              <w14:schemeClr w14:val="tx1"/>
            </w14:solidFill>
          </w14:textFill>
        </w:rPr>
        <w:t>12.2（3）</w:t>
      </w:r>
      <w:r>
        <w:rPr>
          <w:rFonts w:hint="eastAsia"/>
          <w:color w:val="000000" w:themeColor="text1"/>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12.4   评标委员会对投标人所提供的证明货物和服务的合格性的文件进行审查，审查不合格的投标将作为无效投标处理。</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693" w:name="_Toc341348322"/>
      <w:bookmarkStart w:id="694" w:name="_Toc27382"/>
      <w:bookmarkStart w:id="695" w:name="_Toc339019873"/>
      <w:bookmarkStart w:id="696" w:name="_Toc336681919"/>
      <w:bookmarkStart w:id="697" w:name="_Toc339441071"/>
      <w:bookmarkStart w:id="698" w:name="_Toc345513851"/>
      <w:bookmarkStart w:id="699" w:name="_Toc14388"/>
      <w:bookmarkStart w:id="700" w:name="_Toc332206692"/>
      <w:bookmarkStart w:id="701" w:name="_Toc333238617"/>
      <w:bookmarkStart w:id="702" w:name="_Toc331684022"/>
      <w:bookmarkStart w:id="703" w:name="_Toc339020217"/>
      <w:bookmarkStart w:id="704" w:name="_Toc366072512"/>
      <w:bookmarkStart w:id="705" w:name="_Toc339362284"/>
      <w:bookmarkStart w:id="706" w:name="_Toc342060358"/>
      <w:bookmarkStart w:id="707" w:name="_Toc374454584"/>
      <w:bookmarkStart w:id="708" w:name="_Toc503785411"/>
      <w:bookmarkStart w:id="709" w:name="_Toc333237661"/>
      <w:bookmarkStart w:id="710" w:name="_Toc342296744"/>
      <w:bookmarkStart w:id="711" w:name="_Toc340677054"/>
      <w:bookmarkStart w:id="712" w:name="_Toc333935671"/>
      <w:bookmarkStart w:id="713" w:name="_Toc331512882"/>
      <w:bookmarkStart w:id="714" w:name="_Toc339020079"/>
      <w:bookmarkStart w:id="715" w:name="_Toc340507426"/>
      <w:bookmarkStart w:id="716" w:name="_Toc349127610"/>
      <w:bookmarkStart w:id="717" w:name="_Toc340672853"/>
      <w:bookmarkStart w:id="718" w:name="_Toc336681564"/>
      <w:bookmarkStart w:id="719" w:name="_Toc349143573"/>
      <w:bookmarkStart w:id="720" w:name="_Toc337632342"/>
      <w:bookmarkStart w:id="721" w:name="_Toc365967057"/>
      <w:bookmarkStart w:id="722" w:name="_Toc330459969"/>
      <w:bookmarkStart w:id="723" w:name="_Toc333237772"/>
      <w:bookmarkStart w:id="724" w:name="_Toc332270330"/>
      <w:bookmarkStart w:id="725" w:name="_Toc333935330"/>
      <w:bookmarkStart w:id="726" w:name="_Toc339019999"/>
      <w:bookmarkStart w:id="727" w:name="_Toc497224209"/>
      <w:bookmarkStart w:id="728" w:name="_Toc365985163"/>
      <w:bookmarkStart w:id="729" w:name="_Toc350756434"/>
      <w:bookmarkStart w:id="730" w:name="_Toc350438733"/>
      <w:r>
        <w:rPr>
          <w:rFonts w:hint="eastAsia"/>
          <w:color w:val="000000" w:themeColor="text1"/>
          <w14:textFill>
            <w14:solidFill>
              <w14:schemeClr w14:val="tx1"/>
            </w14:solidFill>
          </w14:textFill>
        </w:rPr>
        <w:t>投标报价与投标货币</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13.1</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13.3</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13.6   投标人在投标文件中如有任何遗漏，影响到招标文件中规定的范围、质量、性能和项目的实施或限制了招标人的权利和投标人的义务，由此产生的费用由投标人负责。</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731" w:name="_Toc339020218"/>
      <w:bookmarkStart w:id="732" w:name="_Toc350756435"/>
      <w:bookmarkStart w:id="733" w:name="_Toc365985164"/>
      <w:bookmarkStart w:id="734" w:name="_Toc333935331"/>
      <w:bookmarkStart w:id="735" w:name="_Toc339441072"/>
      <w:bookmarkStart w:id="736" w:name="_Toc341348323"/>
      <w:bookmarkStart w:id="737" w:name="_Toc24572"/>
      <w:bookmarkStart w:id="738" w:name="_Toc336681565"/>
      <w:bookmarkStart w:id="739" w:name="_Toc340677055"/>
      <w:bookmarkStart w:id="740" w:name="_Toc339020080"/>
      <w:bookmarkStart w:id="741" w:name="_Toc332270331"/>
      <w:bookmarkStart w:id="742" w:name="_Toc20010"/>
      <w:bookmarkStart w:id="743" w:name="_Toc333237662"/>
      <w:bookmarkStart w:id="744" w:name="_Toc350438734"/>
      <w:bookmarkStart w:id="745" w:name="_Toc374454585"/>
      <w:bookmarkStart w:id="746" w:name="_Toc339019874"/>
      <w:bookmarkStart w:id="747" w:name="_Toc331684023"/>
      <w:bookmarkStart w:id="748" w:name="_Toc349127611"/>
      <w:bookmarkStart w:id="749" w:name="_Toc342060359"/>
      <w:bookmarkStart w:id="750" w:name="_Toc339362285"/>
      <w:bookmarkStart w:id="751" w:name="_Toc340672854"/>
      <w:bookmarkStart w:id="752" w:name="_Toc333238618"/>
      <w:bookmarkStart w:id="753" w:name="_Toc339020000"/>
      <w:bookmarkStart w:id="754" w:name="_Toc333237773"/>
      <w:bookmarkStart w:id="755" w:name="_Toc333935672"/>
      <w:bookmarkStart w:id="756" w:name="_Toc331512883"/>
      <w:bookmarkStart w:id="757" w:name="_Toc330459970"/>
      <w:bookmarkStart w:id="758" w:name="_Toc365967058"/>
      <w:bookmarkStart w:id="759" w:name="_Toc332206693"/>
      <w:bookmarkStart w:id="760" w:name="_Toc497224212"/>
      <w:bookmarkStart w:id="761" w:name="_Toc503785414"/>
      <w:bookmarkStart w:id="762" w:name="_Toc366072513"/>
      <w:bookmarkStart w:id="763" w:name="_Toc340507427"/>
      <w:bookmarkStart w:id="764" w:name="_Toc342296745"/>
      <w:bookmarkStart w:id="765" w:name="_Toc345513852"/>
      <w:bookmarkStart w:id="766" w:name="_Toc337632343"/>
      <w:bookmarkStart w:id="767" w:name="_Toc336681920"/>
      <w:bookmarkStart w:id="768" w:name="_Toc349143574"/>
      <w:r>
        <w:rPr>
          <w:rFonts w:hint="eastAsia"/>
          <w:color w:val="000000" w:themeColor="text1"/>
          <w14:textFill>
            <w14:solidFill>
              <w14:schemeClr w14:val="tx1"/>
            </w14:solidFill>
          </w14:textFill>
        </w:rPr>
        <w:t>投标保证金</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color w:val="000000" w:themeColor="text1"/>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14.3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投标保证金用于保护本次招标免遭因投标人的行为而蒙受的损失。</w:t>
      </w:r>
      <w:r>
        <w:rPr>
          <w:rFonts w:hint="eastAsia" w:ascii="宋体" w:hAnsi="宋体"/>
          <w:color w:val="000000" w:themeColor="text1"/>
          <w14:textFill>
            <w14:solidFill>
              <w14:schemeClr w14:val="tx1"/>
            </w14:solidFill>
          </w14:textFill>
        </w:rPr>
        <w:t>招标代理机构在因投标人的行为受到损害时，可根据第14.7条的规定，投标人的投标保证金不予退还。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凡未按本须知第14.2条规定随附有效投标保证金的投标</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未中标的投标人的投标保证金，招标代理机构应当自中标通知书发出之日起5个工作日内无息退还。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中标投标人的投标保证金</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在中标投标人付清中标服务费、签订合同之日起5个工作日内无息退</w:t>
      </w:r>
      <w:r>
        <w:rPr>
          <w:rFonts w:hint="eastAsia" w:ascii="宋体"/>
          <w:bCs/>
          <w:color w:val="000000" w:themeColor="text1"/>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（4）投标人提供虚假投标文件或虚假补充文件的。</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769" w:name="_Toc365985165"/>
      <w:bookmarkStart w:id="770" w:name="_Toc342296746"/>
      <w:bookmarkStart w:id="771" w:name="_Toc374454586"/>
      <w:bookmarkStart w:id="772" w:name="_Toc503785415"/>
      <w:bookmarkStart w:id="773" w:name="_Toc337632344"/>
      <w:bookmarkStart w:id="774" w:name="_Toc339441073"/>
      <w:bookmarkStart w:id="775" w:name="_Toc331512884"/>
      <w:bookmarkStart w:id="776" w:name="_Toc349143575"/>
      <w:bookmarkStart w:id="777" w:name="_Toc333237774"/>
      <w:bookmarkStart w:id="778" w:name="_Toc333237663"/>
      <w:bookmarkStart w:id="779" w:name="_Toc340507428"/>
      <w:bookmarkStart w:id="780" w:name="_Toc350756436"/>
      <w:bookmarkStart w:id="781" w:name="_Toc340677056"/>
      <w:bookmarkStart w:id="782" w:name="_Toc6489"/>
      <w:bookmarkStart w:id="783" w:name="_Toc332270332"/>
      <w:bookmarkStart w:id="784" w:name="_Toc339362286"/>
      <w:bookmarkStart w:id="785" w:name="_Toc21882"/>
      <w:bookmarkStart w:id="786" w:name="_Toc345513853"/>
      <w:bookmarkStart w:id="787" w:name="_Toc350438735"/>
      <w:bookmarkStart w:id="788" w:name="_Toc339020081"/>
      <w:bookmarkStart w:id="789" w:name="_Toc332206694"/>
      <w:bookmarkStart w:id="790" w:name="_Toc497224213"/>
      <w:bookmarkStart w:id="791" w:name="_Toc330459971"/>
      <w:bookmarkStart w:id="792" w:name="_Toc333238619"/>
      <w:bookmarkStart w:id="793" w:name="_Toc333935673"/>
      <w:bookmarkStart w:id="794" w:name="_Toc339020219"/>
      <w:bookmarkStart w:id="795" w:name="_Toc365967059"/>
      <w:bookmarkStart w:id="796" w:name="_Toc366072514"/>
      <w:bookmarkStart w:id="797" w:name="_Toc341348324"/>
      <w:bookmarkStart w:id="798" w:name="_Toc331684024"/>
      <w:bookmarkStart w:id="799" w:name="_Toc342060360"/>
      <w:bookmarkStart w:id="800" w:name="_Toc339020001"/>
      <w:bookmarkStart w:id="801" w:name="_Toc336681921"/>
      <w:bookmarkStart w:id="802" w:name="_Toc340672855"/>
      <w:bookmarkStart w:id="803" w:name="_Toc339019875"/>
      <w:bookmarkStart w:id="804" w:name="_Toc333935332"/>
      <w:bookmarkStart w:id="805" w:name="_Toc336681566"/>
      <w:bookmarkStart w:id="806" w:name="_Toc349127612"/>
      <w:r>
        <w:rPr>
          <w:rFonts w:hint="eastAsia"/>
          <w:color w:val="000000" w:themeColor="text1"/>
          <w14:textFill>
            <w14:solidFill>
              <w14:schemeClr w14:val="tx1"/>
            </w14:solidFill>
          </w14:textFill>
        </w:rPr>
        <w:t>投标有效期</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在特殊情况下，招标代理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807" w:name="_Toc339020002"/>
      <w:bookmarkStart w:id="808" w:name="_Toc340672856"/>
      <w:bookmarkStart w:id="809" w:name="_Toc339362287"/>
      <w:bookmarkStart w:id="810" w:name="_Toc366072515"/>
      <w:bookmarkStart w:id="811" w:name="_Toc333935674"/>
      <w:bookmarkStart w:id="812" w:name="_Toc342060361"/>
      <w:bookmarkStart w:id="813" w:name="_Toc342296747"/>
      <w:bookmarkStart w:id="814" w:name="_Toc339441074"/>
      <w:bookmarkStart w:id="815" w:name="_Toc336681567"/>
      <w:bookmarkStart w:id="816" w:name="_Toc350756437"/>
      <w:bookmarkStart w:id="817" w:name="_Toc339020220"/>
      <w:bookmarkStart w:id="818" w:name="_Toc336681922"/>
      <w:bookmarkStart w:id="819" w:name="_Toc339019876"/>
      <w:bookmarkStart w:id="820" w:name="_Toc332206695"/>
      <w:bookmarkStart w:id="821" w:name="_Toc330459972"/>
      <w:bookmarkStart w:id="822" w:name="_Toc339020082"/>
      <w:bookmarkStart w:id="823" w:name="_Toc345513854"/>
      <w:bookmarkStart w:id="824" w:name="_Toc365985166"/>
      <w:bookmarkStart w:id="825" w:name="_Toc340507429"/>
      <w:bookmarkStart w:id="826" w:name="_Toc14625"/>
      <w:bookmarkStart w:id="827" w:name="_Toc337632345"/>
      <w:bookmarkStart w:id="828" w:name="_Toc331684025"/>
      <w:bookmarkStart w:id="829" w:name="_Toc332270333"/>
      <w:bookmarkStart w:id="830" w:name="_Toc503785416"/>
      <w:bookmarkStart w:id="831" w:name="_Toc6823"/>
      <w:bookmarkStart w:id="832" w:name="_Toc365967060"/>
      <w:bookmarkStart w:id="833" w:name="_Toc497224214"/>
      <w:bookmarkStart w:id="834" w:name="_Toc349127613"/>
      <w:bookmarkStart w:id="835" w:name="_Toc340677057"/>
      <w:bookmarkStart w:id="836" w:name="_Toc333238620"/>
      <w:bookmarkStart w:id="837" w:name="_Toc333935333"/>
      <w:bookmarkStart w:id="838" w:name="_Toc333237664"/>
      <w:bookmarkStart w:id="839" w:name="_Toc331512885"/>
      <w:bookmarkStart w:id="840" w:name="_Toc333237775"/>
      <w:bookmarkStart w:id="841" w:name="_Toc111534389"/>
      <w:bookmarkStart w:id="842" w:name="_Toc349143576"/>
      <w:bookmarkStart w:id="843" w:name="_Toc374454587"/>
      <w:bookmarkStart w:id="844" w:name="_Toc350438736"/>
      <w:bookmarkStart w:id="845" w:name="_Toc341348325"/>
      <w:r>
        <w:rPr>
          <w:rFonts w:hint="eastAsia"/>
          <w:color w:val="000000" w:themeColor="text1"/>
          <w14:textFill>
            <w14:solidFill>
              <w14:schemeClr w14:val="tx1"/>
            </w14:solidFill>
          </w14:textFill>
        </w:rPr>
        <w:t>投标文件的签署及规定</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3"/>
        <w:numPr>
          <w:ilvl w:val="0"/>
          <w:numId w:val="0"/>
        </w:numPr>
        <w:rPr>
          <w:color w:val="000000" w:themeColor="text1"/>
          <w:sz w:val="24"/>
          <w14:textFill>
            <w14:solidFill>
              <w14:schemeClr w14:val="tx1"/>
            </w14:solidFill>
          </w14:textFill>
        </w:rPr>
      </w:pPr>
      <w:bookmarkStart w:id="846" w:name="_Toc349127614"/>
      <w:bookmarkStart w:id="847" w:name="_Toc350756438"/>
      <w:bookmarkStart w:id="848" w:name="_Toc342060362"/>
      <w:bookmarkStart w:id="849" w:name="_Toc349143577"/>
      <w:bookmarkStart w:id="850" w:name="_Toc340672857"/>
      <w:bookmarkStart w:id="851" w:name="_Toc365985167"/>
      <w:bookmarkStart w:id="852" w:name="_Toc340507430"/>
      <w:bookmarkStart w:id="853" w:name="_Toc331684026"/>
      <w:bookmarkStart w:id="854" w:name="_Toc339019877"/>
      <w:bookmarkStart w:id="855" w:name="_Toc111534390"/>
      <w:bookmarkStart w:id="856" w:name="_Toc339020083"/>
      <w:bookmarkStart w:id="857" w:name="_Toc341348326"/>
      <w:bookmarkStart w:id="858" w:name="_Toc350438737"/>
      <w:bookmarkStart w:id="859" w:name="_Toc330459973"/>
      <w:bookmarkStart w:id="860" w:name="_Toc340677058"/>
      <w:bookmarkStart w:id="861" w:name="_Toc374454588"/>
      <w:bookmarkStart w:id="862" w:name="_Toc366072516"/>
      <w:bookmarkStart w:id="863" w:name="_Toc339441075"/>
      <w:bookmarkStart w:id="864" w:name="_Toc345513855"/>
      <w:bookmarkStart w:id="865" w:name="_Toc333935334"/>
      <w:bookmarkStart w:id="866" w:name="_Toc497224215"/>
      <w:bookmarkStart w:id="867" w:name="_Toc332270334"/>
      <w:bookmarkStart w:id="868" w:name="_Toc332206696"/>
      <w:bookmarkStart w:id="869" w:name="_Toc331512886"/>
      <w:bookmarkStart w:id="870" w:name="_Toc333238621"/>
      <w:bookmarkStart w:id="871" w:name="_Toc336681568"/>
      <w:bookmarkStart w:id="872" w:name="_Toc339020221"/>
      <w:bookmarkStart w:id="873" w:name="_Toc337632346"/>
      <w:bookmarkStart w:id="874" w:name="_Toc503785417"/>
      <w:bookmarkStart w:id="875" w:name="_Toc342296748"/>
      <w:bookmarkStart w:id="876" w:name="_Toc336681923"/>
      <w:bookmarkStart w:id="877" w:name="_Toc333237665"/>
      <w:bookmarkStart w:id="878" w:name="_Toc339020003"/>
      <w:bookmarkStart w:id="879" w:name="_Toc365967061"/>
      <w:bookmarkStart w:id="880" w:name="_Toc333237776"/>
      <w:bookmarkStart w:id="881" w:name="_Toc339362288"/>
      <w:bookmarkStart w:id="882" w:name="_Toc333935675"/>
      <w:r>
        <w:rPr>
          <w:color w:val="000000" w:themeColor="text1"/>
          <w:sz w:val="24"/>
          <w14:textFill>
            <w14:solidFill>
              <w14:schemeClr w14:val="tx1"/>
            </w14:solidFill>
          </w14:textFill>
        </w:rPr>
        <w:br w:type="page"/>
      </w:r>
      <w:bookmarkStart w:id="883" w:name="_Toc25051"/>
      <w:bookmarkStart w:id="884" w:name="_Toc11259"/>
      <w:r>
        <w:rPr>
          <w:rFonts w:hint="eastAsia"/>
          <w:color w:val="000000" w:themeColor="text1"/>
          <w:sz w:val="24"/>
          <w14:textFill>
            <w14:solidFill>
              <w14:schemeClr w14:val="tx1"/>
            </w14:solidFill>
          </w14:textFill>
        </w:rPr>
        <w:t>Ｄ投标文件的递交</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pPr>
        <w:pStyle w:val="4"/>
        <w:numPr>
          <w:ilvl w:val="4"/>
          <w:numId w:val="24"/>
        </w:numPr>
        <w:tabs>
          <w:tab w:val="left" w:pos="251"/>
          <w:tab w:val="left" w:pos="720"/>
        </w:tabs>
        <w:spacing w:before="240" w:after="120"/>
        <w:ind w:left="751" w:leftChars="1" w:hangingChars="357"/>
        <w:rPr>
          <w:rFonts w:ascii="宋体" w:hAnsi="宋体"/>
          <w:color w:val="000000" w:themeColor="text1"/>
          <w14:textFill>
            <w14:solidFill>
              <w14:schemeClr w14:val="tx1"/>
            </w14:solidFill>
          </w14:textFill>
        </w:rPr>
      </w:pPr>
      <w:bookmarkStart w:id="885" w:name="_Toc111534391"/>
      <w:bookmarkStart w:id="886" w:name="_Toc503785418"/>
      <w:bookmarkStart w:id="887" w:name="_Toc340672858"/>
      <w:bookmarkStart w:id="888" w:name="_Toc339020222"/>
      <w:bookmarkStart w:id="889" w:name="_Toc339441076"/>
      <w:bookmarkStart w:id="890" w:name="_Toc339019878"/>
      <w:bookmarkStart w:id="891" w:name="_Toc339020084"/>
      <w:bookmarkStart w:id="892" w:name="_Toc331512887"/>
      <w:bookmarkStart w:id="893" w:name="_Toc497224216"/>
      <w:bookmarkStart w:id="894" w:name="_Toc331684027"/>
      <w:bookmarkStart w:id="895" w:name="_Toc366072517"/>
      <w:bookmarkStart w:id="896" w:name="_Toc349143578"/>
      <w:bookmarkStart w:id="897" w:name="_Toc341348327"/>
      <w:bookmarkStart w:id="898" w:name="_Toc337632347"/>
      <w:bookmarkStart w:id="899" w:name="_Toc339020004"/>
      <w:bookmarkStart w:id="900" w:name="_Toc374454589"/>
      <w:bookmarkStart w:id="901" w:name="_Toc333237777"/>
      <w:bookmarkStart w:id="902" w:name="_Toc332270335"/>
      <w:bookmarkStart w:id="903" w:name="_Toc350438738"/>
      <w:bookmarkStart w:id="904" w:name="_Toc342296749"/>
      <w:bookmarkStart w:id="905" w:name="_Toc340677059"/>
      <w:bookmarkStart w:id="906" w:name="_Toc342060363"/>
      <w:bookmarkStart w:id="907" w:name="_Toc350756439"/>
      <w:bookmarkStart w:id="908" w:name="_Toc333237666"/>
      <w:bookmarkStart w:id="909" w:name="_Toc330459974"/>
      <w:bookmarkStart w:id="910" w:name="_Toc333935676"/>
      <w:bookmarkStart w:id="911" w:name="_Toc336681924"/>
      <w:bookmarkStart w:id="912" w:name="_Toc336681569"/>
      <w:bookmarkStart w:id="913" w:name="_Toc365985168"/>
      <w:bookmarkStart w:id="914" w:name="_Toc345513856"/>
      <w:bookmarkStart w:id="915" w:name="_Toc333238622"/>
      <w:bookmarkStart w:id="916" w:name="_Toc340507431"/>
      <w:bookmarkStart w:id="917" w:name="_Toc349127615"/>
      <w:bookmarkStart w:id="918" w:name="_Toc333935335"/>
      <w:bookmarkStart w:id="919" w:name="_Toc332206697"/>
      <w:bookmarkStart w:id="920" w:name="_Toc365967062"/>
      <w:bookmarkStart w:id="921" w:name="_Toc339362289"/>
      <w:r>
        <w:rPr>
          <w:rFonts w:hint="eastAsia"/>
          <w:color w:val="000000" w:themeColor="text1"/>
          <w14:textFill>
            <w14:solidFill>
              <w14:schemeClr w14:val="tx1"/>
            </w14:solidFill>
          </w14:textFill>
        </w:rPr>
        <w:t xml:space="preserve">     </w:t>
      </w:r>
      <w:bookmarkStart w:id="922" w:name="_Toc4095"/>
      <w:bookmarkStart w:id="923" w:name="_Toc27470"/>
      <w:r>
        <w:rPr>
          <w:rFonts w:hint="eastAsia"/>
          <w:color w:val="000000" w:themeColor="text1"/>
          <w14:textFill>
            <w14:solidFill>
              <w14:schemeClr w14:val="tx1"/>
            </w14:solidFill>
          </w14:textFill>
        </w:rPr>
        <w:t>投标文件的密封和标记</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  </w:t>
      </w:r>
      <w:r>
        <w:rPr>
          <w:rFonts w:hint="eastAsia" w:ascii="黑体" w:eastAsia="黑体"/>
          <w:bCs/>
          <w:color w:val="000000" w:themeColor="text1"/>
          <w:kern w:val="2"/>
          <w:sz w:val="21"/>
          <w:szCs w:val="24"/>
          <w14:textFill>
            <w14:solidFill>
              <w14:schemeClr w14:val="tx1"/>
            </w14:solidFill>
          </w14:textFill>
        </w:rPr>
        <w:t>详见第三</w:t>
      </w:r>
      <w:r>
        <w:rPr>
          <w:rFonts w:hint="eastAsia" w:ascii="黑体" w:eastAsia="黑体"/>
          <w:bCs/>
          <w:color w:val="000000" w:themeColor="text1"/>
          <w:kern w:val="2"/>
          <w:sz w:val="21"/>
          <w:szCs w:val="24"/>
          <w:lang w:eastAsia="zh-CN"/>
          <w14:textFill>
            <w14:solidFill>
              <w14:schemeClr w14:val="tx1"/>
            </w14:solidFill>
          </w14:textFill>
        </w:rPr>
        <w:t>部分</w:t>
      </w:r>
      <w:r>
        <w:rPr>
          <w:rFonts w:hint="eastAsia" w:ascii="黑体" w:eastAsia="黑体"/>
          <w:bCs/>
          <w:color w:val="000000" w:themeColor="text1"/>
          <w:kern w:val="2"/>
          <w:sz w:val="21"/>
          <w:szCs w:val="24"/>
          <w14:textFill>
            <w14:solidFill>
              <w14:schemeClr w14:val="tx1"/>
            </w14:solidFill>
          </w14:textFill>
        </w:rPr>
        <w:t>《投标人须知〈投标人须知前附表〉》。</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924" w:name="_Toc336681570"/>
      <w:bookmarkStart w:id="925" w:name="_Toc333237667"/>
      <w:bookmarkStart w:id="926" w:name="_Toc333238623"/>
      <w:bookmarkStart w:id="927" w:name="_Toc330459975"/>
      <w:bookmarkStart w:id="928" w:name="_Toc340672859"/>
      <w:bookmarkStart w:id="929" w:name="_Toc331684028"/>
      <w:bookmarkStart w:id="930" w:name="_Toc2051"/>
      <w:bookmarkStart w:id="931" w:name="_Toc111534392"/>
      <w:bookmarkStart w:id="932" w:name="_Toc374454590"/>
      <w:bookmarkStart w:id="933" w:name="_Toc332270336"/>
      <w:bookmarkStart w:id="934" w:name="_Toc339441077"/>
      <w:bookmarkStart w:id="935" w:name="_Toc345513857"/>
      <w:bookmarkStart w:id="936" w:name="_Toc340507432"/>
      <w:bookmarkStart w:id="937" w:name="_Toc339020085"/>
      <w:bookmarkStart w:id="938" w:name="_Toc366072518"/>
      <w:bookmarkStart w:id="939" w:name="_Toc339362290"/>
      <w:bookmarkStart w:id="940" w:name="_Toc365967063"/>
      <w:bookmarkStart w:id="941" w:name="_Toc341348328"/>
      <w:bookmarkStart w:id="942" w:name="_Toc497224217"/>
      <w:bookmarkStart w:id="943" w:name="_Toc350438739"/>
      <w:bookmarkStart w:id="944" w:name="_Toc340677060"/>
      <w:bookmarkStart w:id="945" w:name="_Toc349143579"/>
      <w:bookmarkStart w:id="946" w:name="_Toc333237778"/>
      <w:bookmarkStart w:id="947" w:name="_Toc333935336"/>
      <w:bookmarkStart w:id="948" w:name="_Toc331512888"/>
      <w:bookmarkStart w:id="949" w:name="_Toc339019879"/>
      <w:bookmarkStart w:id="950" w:name="_Toc342060364"/>
      <w:bookmarkStart w:id="951" w:name="_Toc350756440"/>
      <w:bookmarkStart w:id="952" w:name="_Toc339020223"/>
      <w:bookmarkStart w:id="953" w:name="_Toc30732"/>
      <w:bookmarkStart w:id="954" w:name="_Toc336681925"/>
      <w:bookmarkStart w:id="955" w:name="_Toc333935677"/>
      <w:bookmarkStart w:id="956" w:name="_Toc349127616"/>
      <w:bookmarkStart w:id="957" w:name="_Toc503785419"/>
      <w:bookmarkStart w:id="958" w:name="_Toc365985169"/>
      <w:bookmarkStart w:id="959" w:name="_Toc342296750"/>
      <w:bookmarkStart w:id="960" w:name="_Toc337632348"/>
      <w:bookmarkStart w:id="961" w:name="_Toc339020005"/>
      <w:bookmarkStart w:id="962" w:name="_Toc332206698"/>
      <w:r>
        <w:rPr>
          <w:rFonts w:hint="eastAsia"/>
          <w:color w:val="000000" w:themeColor="text1"/>
          <w14:textFill>
            <w14:solidFill>
              <w14:schemeClr w14:val="tx1"/>
            </w14:solidFill>
          </w14:textFill>
        </w:rPr>
        <w:t>递交投标文件的时间、地点及截止时间</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18.1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18.2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投标文件需由专人送交。投标人须将密封和标记后的投标文件，按照招标文件中注明的开标地址于投标截止时间之前送交招标代理机构。</w:t>
      </w:r>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bookmarkStart w:id="963" w:name="_Toc340677061"/>
      <w:bookmarkStart w:id="964" w:name="_Toc336681571"/>
      <w:bookmarkStart w:id="965" w:name="_Toc349127617"/>
      <w:bookmarkStart w:id="966" w:name="_Toc342060365"/>
      <w:bookmarkStart w:id="967" w:name="_Toc339362291"/>
      <w:bookmarkStart w:id="968" w:name="_Toc332270337"/>
      <w:bookmarkStart w:id="969" w:name="_Toc333237779"/>
      <w:bookmarkStart w:id="970" w:name="_Toc340507433"/>
      <w:bookmarkStart w:id="971" w:name="_Toc330459976"/>
      <w:bookmarkStart w:id="972" w:name="_Toc339020086"/>
      <w:bookmarkStart w:id="973" w:name="_Toc332206699"/>
      <w:bookmarkStart w:id="974" w:name="_Toc366072519"/>
      <w:bookmarkStart w:id="975" w:name="_Toc337632349"/>
      <w:bookmarkStart w:id="976" w:name="_Toc374454591"/>
      <w:bookmarkStart w:id="977" w:name="_Toc339020006"/>
      <w:bookmarkStart w:id="978" w:name="_Toc333935337"/>
      <w:bookmarkStart w:id="979" w:name="_Toc503785420"/>
      <w:bookmarkStart w:id="980" w:name="_Toc333935678"/>
      <w:bookmarkStart w:id="981" w:name="_Toc339020224"/>
      <w:bookmarkStart w:id="982" w:name="_Toc331512889"/>
      <w:bookmarkStart w:id="983" w:name="_Toc339441078"/>
      <w:bookmarkStart w:id="984" w:name="_Toc336681926"/>
      <w:bookmarkStart w:id="985" w:name="_Toc333238624"/>
      <w:bookmarkStart w:id="986" w:name="_Toc339019880"/>
      <w:bookmarkStart w:id="987" w:name="_Toc497224218"/>
      <w:bookmarkStart w:id="988" w:name="_Toc331684029"/>
      <w:bookmarkStart w:id="989" w:name="_Toc365985170"/>
      <w:bookmarkStart w:id="990" w:name="_Toc340672860"/>
      <w:bookmarkStart w:id="991" w:name="_Toc350756441"/>
      <w:bookmarkStart w:id="992" w:name="_Toc341348329"/>
      <w:bookmarkStart w:id="993" w:name="_Toc365967064"/>
      <w:bookmarkStart w:id="994" w:name="_Toc345513858"/>
      <w:bookmarkStart w:id="995" w:name="_Toc333237668"/>
      <w:bookmarkStart w:id="996" w:name="_Toc350438740"/>
      <w:bookmarkStart w:id="997" w:name="_Toc349143580"/>
      <w:bookmarkStart w:id="998" w:name="_Toc342296751"/>
      <w:r>
        <w:rPr>
          <w:rFonts w:hint="eastAsia" w:ascii="宋体" w:hAnsi="宋体"/>
          <w:bCs/>
          <w:color w:val="000000" w:themeColor="text1"/>
          <w14:textFill>
            <w14:solidFill>
              <w14:schemeClr w14:val="tx1"/>
            </w14:solidFill>
          </w14:textFill>
        </w:rPr>
        <w:t>18.3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招标代理机构于投标截止时间前30分钟开始接收投标文件，并于招标文件“第一部分投标邀请函”规定的开标时间、开标地点公开开标。</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999" w:name="_Toc31463"/>
      <w:bookmarkStart w:id="1000" w:name="_Toc6793"/>
      <w:r>
        <w:rPr>
          <w:rFonts w:hint="eastAsia"/>
          <w:color w:val="000000" w:themeColor="text1"/>
          <w14:textFill>
            <w14:solidFill>
              <w14:schemeClr w14:val="tx1"/>
            </w14:solidFill>
          </w14:textFill>
        </w:rPr>
        <w:t>迟交的投标文件</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19</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招标代理机构将拒绝在投标截止时间后递交的任何投标文件。</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001" w:name="_Toc497224219"/>
      <w:bookmarkStart w:id="1002" w:name="_Toc503785421"/>
      <w:bookmarkStart w:id="1003" w:name="_Toc340672861"/>
      <w:bookmarkStart w:id="1004" w:name="_Toc349127618"/>
      <w:bookmarkStart w:id="1005" w:name="_Toc342296752"/>
      <w:bookmarkStart w:id="1006" w:name="_Toc345513859"/>
      <w:bookmarkStart w:id="1007" w:name="_Toc350438741"/>
      <w:bookmarkStart w:id="1008" w:name="_Toc337632350"/>
      <w:bookmarkStart w:id="1009" w:name="_Toc350756442"/>
      <w:bookmarkStart w:id="1010" w:name="_Toc10917"/>
      <w:bookmarkStart w:id="1011" w:name="_Toc7764"/>
      <w:bookmarkStart w:id="1012" w:name="_Toc330459977"/>
      <w:bookmarkStart w:id="1013" w:name="_Toc340677062"/>
      <w:bookmarkStart w:id="1014" w:name="_Toc342060366"/>
      <w:bookmarkStart w:id="1015" w:name="_Toc341348330"/>
      <w:bookmarkStart w:id="1016" w:name="_Toc339020007"/>
      <w:bookmarkStart w:id="1017" w:name="_Toc336681927"/>
      <w:bookmarkStart w:id="1018" w:name="_Toc333237669"/>
      <w:bookmarkStart w:id="1019" w:name="_Toc332270338"/>
      <w:bookmarkStart w:id="1020" w:name="_Toc332206700"/>
      <w:bookmarkStart w:id="1021" w:name="_Toc339020087"/>
      <w:bookmarkStart w:id="1022" w:name="_Toc339019881"/>
      <w:bookmarkStart w:id="1023" w:name="_Toc339441079"/>
      <w:bookmarkStart w:id="1024" w:name="_Toc333935338"/>
      <w:bookmarkStart w:id="1025" w:name="_Toc333238625"/>
      <w:bookmarkStart w:id="1026" w:name="_Toc366072520"/>
      <w:bookmarkStart w:id="1027" w:name="_Toc365985171"/>
      <w:bookmarkStart w:id="1028" w:name="_Toc349143581"/>
      <w:bookmarkStart w:id="1029" w:name="_Toc374454592"/>
      <w:bookmarkStart w:id="1030" w:name="_Toc336681572"/>
      <w:bookmarkStart w:id="1031" w:name="_Toc331512890"/>
      <w:bookmarkStart w:id="1032" w:name="_Toc333935679"/>
      <w:bookmarkStart w:id="1033" w:name="_Toc339020225"/>
      <w:bookmarkStart w:id="1034" w:name="_Toc340507434"/>
      <w:bookmarkStart w:id="1035" w:name="_Toc331684030"/>
      <w:bookmarkStart w:id="1036" w:name="_Toc365967065"/>
      <w:bookmarkStart w:id="1037" w:name="_Toc333237780"/>
      <w:bookmarkStart w:id="1038" w:name="_Toc339362292"/>
      <w:r>
        <w:rPr>
          <w:rFonts w:hint="eastAsia"/>
          <w:color w:val="000000" w:themeColor="text1"/>
          <w14:textFill>
            <w14:solidFill>
              <w14:schemeClr w14:val="tx1"/>
            </w14:solidFill>
          </w14:textFill>
        </w:rPr>
        <w:t>投标文件的修改和撤</w:t>
      </w:r>
      <w:bookmarkEnd w:id="1001"/>
      <w:bookmarkEnd w:id="1002"/>
      <w:r>
        <w:rPr>
          <w:rFonts w:hint="eastAsia"/>
          <w:color w:val="000000" w:themeColor="text1"/>
          <w14:textFill>
            <w14:solidFill>
              <w14:schemeClr w14:val="tx1"/>
            </w14:solidFill>
          </w14:textFill>
        </w:rPr>
        <w:t>回</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投标人在投标截止时间前，可以修改或撤回其投标文件。但必须在规定的投标截止时间之前以书面通知到招标代理机构，该通知须有投标人法定代表人（负责人）或其授权代表签字。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从投标截止时间至投标文件有效期期满之前，投标人不得撤回其投标文件，否则招标代理机构将按规定不予退还投标保证金。</w:t>
      </w:r>
    </w:p>
    <w:p>
      <w:pPr>
        <w:pStyle w:val="3"/>
        <w:numPr>
          <w:ilvl w:val="0"/>
          <w:numId w:val="0"/>
        </w:numPr>
        <w:rPr>
          <w:color w:val="000000" w:themeColor="text1"/>
          <w:sz w:val="24"/>
          <w14:textFill>
            <w14:solidFill>
              <w14:schemeClr w14:val="tx1"/>
            </w14:solidFill>
          </w14:textFill>
        </w:rPr>
      </w:pPr>
      <w:bookmarkStart w:id="1039" w:name="_Toc340677063"/>
      <w:bookmarkStart w:id="1040" w:name="_Toc336681928"/>
      <w:bookmarkStart w:id="1041" w:name="_Toc350438742"/>
      <w:bookmarkStart w:id="1042" w:name="_Toc333238626"/>
      <w:bookmarkStart w:id="1043" w:name="_Toc340672862"/>
      <w:bookmarkStart w:id="1044" w:name="_Toc339441080"/>
      <w:bookmarkStart w:id="1045" w:name="_Toc333935680"/>
      <w:bookmarkStart w:id="1046" w:name="_Toc339019882"/>
      <w:bookmarkStart w:id="1047" w:name="_Toc349127619"/>
      <w:bookmarkStart w:id="1048" w:name="_Toc333935339"/>
      <w:bookmarkStart w:id="1049" w:name="_Toc331684031"/>
      <w:bookmarkStart w:id="1050" w:name="_Toc332206701"/>
      <w:bookmarkStart w:id="1051" w:name="_Toc350756443"/>
      <w:bookmarkStart w:id="1052" w:name="_Toc345513860"/>
      <w:bookmarkStart w:id="1053" w:name="_Toc342060367"/>
      <w:bookmarkStart w:id="1054" w:name="_Toc374454593"/>
      <w:bookmarkStart w:id="1055" w:name="_Toc339362293"/>
      <w:bookmarkStart w:id="1056" w:name="_Toc341348331"/>
      <w:bookmarkStart w:id="1057" w:name="_Toc339020226"/>
      <w:bookmarkStart w:id="1058" w:name="_Toc342296753"/>
      <w:bookmarkStart w:id="1059" w:name="_Toc333237670"/>
      <w:bookmarkStart w:id="1060" w:name="_Toc330459978"/>
      <w:bookmarkStart w:id="1061" w:name="_Toc365985172"/>
      <w:bookmarkStart w:id="1062" w:name="_Toc503785422"/>
      <w:bookmarkStart w:id="1063" w:name="_Toc331512891"/>
      <w:bookmarkStart w:id="1064" w:name="_Toc340507435"/>
      <w:bookmarkStart w:id="1065" w:name="_Toc497224220"/>
      <w:bookmarkStart w:id="1066" w:name="_Toc339020088"/>
      <w:bookmarkStart w:id="1067" w:name="_Toc365967066"/>
      <w:bookmarkStart w:id="1068" w:name="_Toc333237781"/>
      <w:bookmarkStart w:id="1069" w:name="_Toc336681573"/>
      <w:bookmarkStart w:id="1070" w:name="_Toc339020008"/>
      <w:bookmarkStart w:id="1071" w:name="_Toc337632351"/>
      <w:bookmarkStart w:id="1072" w:name="_Toc349143582"/>
      <w:bookmarkStart w:id="1073" w:name="_Toc366072521"/>
      <w:bookmarkStart w:id="1074" w:name="_Toc332270339"/>
      <w:r>
        <w:rPr>
          <w:color w:val="000000" w:themeColor="text1"/>
          <w:sz w:val="24"/>
          <w14:textFill>
            <w14:solidFill>
              <w14:schemeClr w14:val="tx1"/>
            </w14:solidFill>
          </w14:textFill>
        </w:rPr>
        <w:br w:type="page"/>
      </w:r>
      <w:bookmarkStart w:id="1075" w:name="_Toc8097"/>
      <w:bookmarkStart w:id="1076" w:name="_Toc6109"/>
      <w:r>
        <w:rPr>
          <w:rFonts w:hint="eastAsia"/>
          <w:color w:val="000000" w:themeColor="text1"/>
          <w:sz w:val="24"/>
          <w14:textFill>
            <w14:solidFill>
              <w14:schemeClr w14:val="tx1"/>
            </w14:solidFill>
          </w14:textFill>
        </w:rPr>
        <w:t>Ｅ开标和评标</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077" w:name="_Toc332206702"/>
      <w:bookmarkStart w:id="1078" w:name="_Toc330459979"/>
      <w:bookmarkStart w:id="1079" w:name="_Toc350438743"/>
      <w:bookmarkStart w:id="1080" w:name="_Toc19040"/>
      <w:bookmarkStart w:id="1081" w:name="_Toc339019883"/>
      <w:bookmarkStart w:id="1082" w:name="_Toc342060368"/>
      <w:bookmarkStart w:id="1083" w:name="_Toc365985173"/>
      <w:bookmarkStart w:id="1084" w:name="_Toc342296754"/>
      <w:bookmarkStart w:id="1085" w:name="_Toc331512892"/>
      <w:bookmarkStart w:id="1086" w:name="_Toc337632352"/>
      <w:bookmarkStart w:id="1087" w:name="_Toc336681574"/>
      <w:bookmarkStart w:id="1088" w:name="_Toc339020089"/>
      <w:bookmarkStart w:id="1089" w:name="_Toc333237671"/>
      <w:bookmarkStart w:id="1090" w:name="_Toc365967067"/>
      <w:bookmarkStart w:id="1091" w:name="_Toc349143583"/>
      <w:bookmarkStart w:id="1092" w:name="_Toc332270340"/>
      <w:bookmarkStart w:id="1093" w:name="_Toc339441081"/>
      <w:bookmarkStart w:id="1094" w:name="_Toc333238627"/>
      <w:bookmarkStart w:id="1095" w:name="_Toc341348332"/>
      <w:bookmarkStart w:id="1096" w:name="_Toc350756444"/>
      <w:bookmarkStart w:id="1097" w:name="_Toc503785423"/>
      <w:bookmarkStart w:id="1098" w:name="_Toc497224221"/>
      <w:bookmarkStart w:id="1099" w:name="_Toc333935681"/>
      <w:bookmarkStart w:id="1100" w:name="_Toc340507436"/>
      <w:bookmarkStart w:id="1101" w:name="_Toc339020009"/>
      <w:bookmarkStart w:id="1102" w:name="_Toc22987"/>
      <w:bookmarkStart w:id="1103" w:name="_Toc349127620"/>
      <w:bookmarkStart w:id="1104" w:name="_Toc340672863"/>
      <w:bookmarkStart w:id="1105" w:name="_Toc345513861"/>
      <w:bookmarkStart w:id="1106" w:name="_Toc333237782"/>
      <w:bookmarkStart w:id="1107" w:name="_Toc374454594"/>
      <w:bookmarkStart w:id="1108" w:name="_Toc336681929"/>
      <w:bookmarkStart w:id="1109" w:name="_Toc340677064"/>
      <w:bookmarkStart w:id="1110" w:name="_Toc339362294"/>
      <w:bookmarkStart w:id="1111" w:name="_Toc339020227"/>
      <w:bookmarkStart w:id="1112" w:name="_Toc333935340"/>
      <w:bookmarkStart w:id="1113" w:name="_Toc366072522"/>
      <w:bookmarkStart w:id="1114" w:name="_Toc331684032"/>
      <w:r>
        <w:rPr>
          <w:rFonts w:hint="eastAsia"/>
          <w:color w:val="000000" w:themeColor="text1"/>
          <w14:textFill>
            <w14:solidFill>
              <w14:schemeClr w14:val="tx1"/>
            </w14:solidFill>
          </w14:textFill>
        </w:rPr>
        <w:t>开标</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1</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招标代理机构在招标文件中规定的时间和地点公开开标。开标会由招标代理机构主持。投标人代表均需按时参加开标会。参加开标的投标人代表应签名报到以证明其出席。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1</w:t>
      </w: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招标代理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21.4</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唱标结束后，招标代理机构将做唱标记录，并按规定在唱标记录上签字。</w:t>
      </w:r>
    </w:p>
    <w:p>
      <w:pPr>
        <w:pStyle w:val="4"/>
        <w:numPr>
          <w:ilvl w:val="4"/>
          <w:numId w:val="24"/>
        </w:numPr>
        <w:tabs>
          <w:tab w:val="left" w:pos="720"/>
        </w:tabs>
        <w:spacing w:before="240" w:after="120"/>
        <w:ind w:left="752" w:hanging="751" w:hangingChars="358"/>
        <w:rPr>
          <w:rFonts w:ascii="宋体" w:hAnsi="宋体"/>
          <w:color w:val="000000" w:themeColor="text1"/>
          <w14:textFill>
            <w14:solidFill>
              <w14:schemeClr w14:val="tx1"/>
            </w14:solidFill>
          </w14:textFill>
        </w:rPr>
      </w:pPr>
      <w:bookmarkStart w:id="1115" w:name="_Toc340677065"/>
      <w:bookmarkStart w:id="1116" w:name="_Toc331512893"/>
      <w:bookmarkStart w:id="1117" w:name="_Toc342296755"/>
      <w:bookmarkStart w:id="1118" w:name="_Toc337632353"/>
      <w:bookmarkStart w:id="1119" w:name="_Toc332270341"/>
      <w:bookmarkStart w:id="1120" w:name="_Toc339019884"/>
      <w:bookmarkStart w:id="1121" w:name="_Toc331684033"/>
      <w:bookmarkStart w:id="1122" w:name="_Toc333935341"/>
      <w:bookmarkStart w:id="1123" w:name="_Toc330459980"/>
      <w:bookmarkStart w:id="1124" w:name="_Toc336681930"/>
      <w:bookmarkStart w:id="1125" w:name="_Toc14957"/>
      <w:bookmarkStart w:id="1126" w:name="_Toc374454595"/>
      <w:bookmarkStart w:id="1127" w:name="_Toc341348333"/>
      <w:bookmarkStart w:id="1128" w:name="_Toc366072523"/>
      <w:bookmarkStart w:id="1129" w:name="_Toc333935682"/>
      <w:bookmarkStart w:id="1130" w:name="_Toc349127621"/>
      <w:bookmarkStart w:id="1131" w:name="_Toc350438744"/>
      <w:bookmarkStart w:id="1132" w:name="_Toc333237783"/>
      <w:bookmarkStart w:id="1133" w:name="_Toc503785424"/>
      <w:bookmarkStart w:id="1134" w:name="_Toc365985174"/>
      <w:bookmarkStart w:id="1135" w:name="_Toc497224222"/>
      <w:bookmarkStart w:id="1136" w:name="_Toc339020228"/>
      <w:bookmarkStart w:id="1137" w:name="_Toc345513862"/>
      <w:bookmarkStart w:id="1138" w:name="_Toc29"/>
      <w:bookmarkStart w:id="1139" w:name="_Toc332206703"/>
      <w:bookmarkStart w:id="1140" w:name="_Toc333238628"/>
      <w:bookmarkStart w:id="1141" w:name="_Toc339441082"/>
      <w:bookmarkStart w:id="1142" w:name="_Toc339020090"/>
      <w:bookmarkStart w:id="1143" w:name="_Toc342060369"/>
      <w:bookmarkStart w:id="1144" w:name="_Toc350756445"/>
      <w:bookmarkStart w:id="1145" w:name="_Toc339020010"/>
      <w:bookmarkStart w:id="1146" w:name="_Toc340672864"/>
      <w:bookmarkStart w:id="1147" w:name="_Toc340507437"/>
      <w:bookmarkStart w:id="1148" w:name="_Toc339362295"/>
      <w:bookmarkStart w:id="1149" w:name="_Toc336681575"/>
      <w:bookmarkStart w:id="1150" w:name="_Toc349143584"/>
      <w:bookmarkStart w:id="1151" w:name="_Toc365967068"/>
      <w:bookmarkStart w:id="1152" w:name="_Toc333237672"/>
      <w:r>
        <w:rPr>
          <w:rFonts w:hint="eastAsia"/>
          <w:color w:val="000000" w:themeColor="text1"/>
          <w14:textFill>
            <w14:solidFill>
              <w14:schemeClr w14:val="tx1"/>
            </w14:solidFill>
          </w14:textFill>
        </w:rPr>
        <w:t>评标委员会</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pPr>
        <w:pStyle w:val="5"/>
        <w:rPr>
          <w:color w:val="000000" w:themeColor="text1"/>
          <w14:textFill>
            <w14:solidFill>
              <w14:schemeClr w14:val="tx1"/>
            </w14:solidFill>
          </w14:textFill>
        </w:rPr>
      </w:pPr>
      <w:r>
        <w:rPr>
          <w:rFonts w:hint="eastAsia" w:ascii="黑体" w:eastAsia="黑体"/>
          <w:bCs/>
          <w:color w:val="000000" w:themeColor="text1"/>
          <w:kern w:val="2"/>
          <w:sz w:val="21"/>
          <w:szCs w:val="24"/>
          <w14:textFill>
            <w14:solidFill>
              <w14:schemeClr w14:val="tx1"/>
            </w14:solidFill>
          </w14:textFill>
        </w:rPr>
        <w:t>详见第三</w:t>
      </w:r>
      <w:r>
        <w:rPr>
          <w:rFonts w:hint="eastAsia" w:ascii="黑体" w:eastAsia="黑体"/>
          <w:bCs/>
          <w:color w:val="000000" w:themeColor="text1"/>
          <w:kern w:val="2"/>
          <w:sz w:val="21"/>
          <w:szCs w:val="24"/>
          <w:lang w:eastAsia="zh-CN"/>
          <w14:textFill>
            <w14:solidFill>
              <w14:schemeClr w14:val="tx1"/>
            </w14:solidFill>
          </w14:textFill>
        </w:rPr>
        <w:t>部分</w:t>
      </w:r>
      <w:r>
        <w:rPr>
          <w:rFonts w:hint="eastAsia" w:ascii="黑体" w:eastAsia="黑体"/>
          <w:bCs/>
          <w:color w:val="000000" w:themeColor="text1"/>
          <w:kern w:val="2"/>
          <w:sz w:val="21"/>
          <w:szCs w:val="24"/>
          <w14:textFill>
            <w14:solidFill>
              <w14:schemeClr w14:val="tx1"/>
            </w14:solidFill>
          </w14:textFill>
        </w:rPr>
        <w:t>《投标人须知〈投标人须知前附表〉》。</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153" w:name="_Toc331684034"/>
      <w:bookmarkStart w:id="1154" w:name="_Toc339019885"/>
      <w:bookmarkStart w:id="1155" w:name="_Toc333238629"/>
      <w:bookmarkStart w:id="1156" w:name="_Toc366072524"/>
      <w:bookmarkStart w:id="1157" w:name="_Toc333935342"/>
      <w:bookmarkStart w:id="1158" w:name="_Toc333237673"/>
      <w:bookmarkStart w:id="1159" w:name="_Toc345513863"/>
      <w:bookmarkStart w:id="1160" w:name="_Toc349143585"/>
      <w:bookmarkStart w:id="1161" w:name="_Toc336681576"/>
      <w:bookmarkStart w:id="1162" w:name="_Toc337632354"/>
      <w:bookmarkStart w:id="1163" w:name="_Toc333237784"/>
      <w:bookmarkStart w:id="1164" w:name="_Toc342060370"/>
      <w:bookmarkStart w:id="1165" w:name="_Toc332206704"/>
      <w:bookmarkStart w:id="1166" w:name="_Toc339020011"/>
      <w:bookmarkStart w:id="1167" w:name="_Toc339441083"/>
      <w:bookmarkStart w:id="1168" w:name="_Toc339362296"/>
      <w:bookmarkStart w:id="1169" w:name="_Toc339020229"/>
      <w:bookmarkStart w:id="1170" w:name="_Toc350756446"/>
      <w:bookmarkStart w:id="1171" w:name="_Toc340507438"/>
      <w:bookmarkStart w:id="1172" w:name="_Toc339020091"/>
      <w:bookmarkStart w:id="1173" w:name="_Toc340677066"/>
      <w:bookmarkStart w:id="1174" w:name="_Toc341348334"/>
      <w:bookmarkStart w:id="1175" w:name="_Toc332270342"/>
      <w:bookmarkStart w:id="1176" w:name="_Toc349127622"/>
      <w:bookmarkStart w:id="1177" w:name="_Toc365985175"/>
      <w:bookmarkStart w:id="1178" w:name="_Toc331512894"/>
      <w:bookmarkStart w:id="1179" w:name="_Toc497224223"/>
      <w:bookmarkStart w:id="1180" w:name="_Toc342296756"/>
      <w:bookmarkStart w:id="1181" w:name="_Toc340672865"/>
      <w:bookmarkStart w:id="1182" w:name="_Toc365967069"/>
      <w:bookmarkStart w:id="1183" w:name="_Toc7094"/>
      <w:bookmarkStart w:id="1184" w:name="_Toc14124"/>
      <w:bookmarkStart w:id="1185" w:name="_Toc333935683"/>
      <w:bookmarkStart w:id="1186" w:name="_Toc374454596"/>
      <w:bookmarkStart w:id="1187" w:name="_Toc350438745"/>
      <w:bookmarkStart w:id="1188" w:name="_Toc330459981"/>
      <w:bookmarkStart w:id="1189" w:name="_Toc336681931"/>
      <w:bookmarkStart w:id="1190" w:name="_Toc503785425"/>
      <w:r>
        <w:rPr>
          <w:rFonts w:hint="eastAsia"/>
          <w:color w:val="000000" w:themeColor="text1"/>
          <w14:textFill>
            <w14:solidFill>
              <w14:schemeClr w14:val="tx1"/>
            </w14:solidFill>
          </w14:textFill>
        </w:rPr>
        <w:t>对投标文件的初审和响应性的确定</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 xml:space="preserve">23.2   </w:t>
      </w:r>
      <w:r>
        <w:rPr>
          <w:rFonts w:hint="eastAsia" w:ascii="宋体" w:hAnsi="宋体"/>
          <w:color w:val="000000" w:themeColor="text1"/>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 xml:space="preserve">5 </w:t>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如果发现下列情况之一的，其投标将被拒绝而作无效投标处理：</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资格审查结果为不合格的；</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投标人未提交投标保证金或投标保证金金额不足或无效的；</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投标函</w:t>
      </w:r>
      <w:r>
        <w:rPr>
          <w:rFonts w:ascii="宋体" w:hAnsi="宋体"/>
          <w:bCs/>
          <w:color w:val="000000" w:themeColor="text1"/>
          <w14:textFill>
            <w14:solidFill>
              <w14:schemeClr w14:val="tx1"/>
            </w14:solidFill>
          </w14:textFill>
        </w:rPr>
        <w:t>未加盖</w:t>
      </w:r>
      <w:r>
        <w:rPr>
          <w:rFonts w:hint="eastAsia" w:ascii="宋体" w:hAnsi="宋体"/>
          <w:bCs/>
          <w:color w:val="000000" w:themeColor="text1"/>
          <w14:textFill>
            <w14:solidFill>
              <w14:schemeClr w14:val="tx1"/>
            </w14:solidFill>
          </w14:textFill>
        </w:rPr>
        <w:t>投标人</w:t>
      </w:r>
      <w:r>
        <w:rPr>
          <w:rFonts w:ascii="宋体" w:hAnsi="宋体"/>
          <w:bCs/>
          <w:color w:val="000000" w:themeColor="text1"/>
          <w14:textFill>
            <w14:solidFill>
              <w14:schemeClr w14:val="tx1"/>
            </w14:solidFill>
          </w14:textFill>
        </w:rPr>
        <w:t>公章</w:t>
      </w:r>
      <w:r>
        <w:rPr>
          <w:rFonts w:hint="eastAsia" w:ascii="宋体" w:hAnsi="宋体"/>
          <w:bCs/>
          <w:color w:val="000000" w:themeColor="text1"/>
          <w14:textFill>
            <w14:solidFill>
              <w14:schemeClr w14:val="tx1"/>
            </w14:solidFill>
          </w14:textFill>
        </w:rPr>
        <w:t>或</w:t>
      </w:r>
      <w:r>
        <w:rPr>
          <w:rFonts w:ascii="宋体" w:hAnsi="宋体"/>
          <w:bCs/>
          <w:color w:val="000000" w:themeColor="text1"/>
          <w14:textFill>
            <w14:solidFill>
              <w14:schemeClr w14:val="tx1"/>
            </w14:solidFill>
          </w14:textFill>
        </w:rPr>
        <w:t>未有</w:t>
      </w:r>
      <w:r>
        <w:rPr>
          <w:rFonts w:hint="eastAsia" w:ascii="宋体" w:hAnsi="宋体"/>
          <w:bCs/>
          <w:color w:val="000000" w:themeColor="text1"/>
          <w14:textFill>
            <w14:solidFill>
              <w14:schemeClr w14:val="tx1"/>
            </w14:solidFill>
          </w14:textFill>
        </w:rPr>
        <w:t>法定代表人（负责人）</w:t>
      </w:r>
      <w:r>
        <w:rPr>
          <w:rFonts w:ascii="宋体" w:hAnsi="宋体"/>
          <w:bCs/>
          <w:color w:val="000000" w:themeColor="text1"/>
          <w14:textFill>
            <w14:solidFill>
              <w14:schemeClr w14:val="tx1"/>
            </w14:solidFill>
          </w14:textFill>
        </w:rPr>
        <w:t>或者被授权人签名的；</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未按招标文件规定格式填写或者字迹模糊不清的；</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投标报价超出最高投标报价（预算价）上限的；</w:t>
      </w:r>
    </w:p>
    <w:p>
      <w:pPr>
        <w:numPr>
          <w:ilvl w:val="0"/>
          <w:numId w:val="28"/>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投标文件载明的招标项目完工期（服务期）超过招标文件规定的期限，或服务期不满足招标文件规定要求的； </w:t>
      </w:r>
    </w:p>
    <w:p>
      <w:pPr>
        <w:numPr>
          <w:ilvl w:val="0"/>
          <w:numId w:val="28"/>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投标有效期不足的；</w:t>
      </w:r>
    </w:p>
    <w:p>
      <w:pPr>
        <w:numPr>
          <w:ilvl w:val="0"/>
          <w:numId w:val="28"/>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投标文件附有招标人或招标代理机构不能接受的条件的；</w:t>
      </w:r>
    </w:p>
    <w:p>
      <w:pPr>
        <w:numPr>
          <w:ilvl w:val="0"/>
          <w:numId w:val="28"/>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招标文件规定的其他实质性要求的；</w:t>
      </w:r>
    </w:p>
    <w:p>
      <w:pPr>
        <w:numPr>
          <w:ilvl w:val="0"/>
          <w:numId w:val="28"/>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法律、法规规定的其他废标条款。</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191" w:name="_Toc340672866"/>
      <w:bookmarkStart w:id="1192" w:name="_Toc332270343"/>
      <w:bookmarkStart w:id="1193" w:name="_Toc374454597"/>
      <w:bookmarkStart w:id="1194" w:name="_Toc350438746"/>
      <w:bookmarkStart w:id="1195" w:name="_Toc333935684"/>
      <w:bookmarkStart w:id="1196" w:name="_Toc331512895"/>
      <w:bookmarkStart w:id="1197" w:name="_Toc342060371"/>
      <w:bookmarkStart w:id="1198" w:name="_Toc333935343"/>
      <w:bookmarkStart w:id="1199" w:name="_Toc332206705"/>
      <w:bookmarkStart w:id="1200" w:name="_Toc339020012"/>
      <w:bookmarkStart w:id="1201" w:name="_Toc333238630"/>
      <w:bookmarkStart w:id="1202" w:name="_Toc339020230"/>
      <w:bookmarkStart w:id="1203" w:name="_Toc340677067"/>
      <w:bookmarkStart w:id="1204" w:name="_Toc333237785"/>
      <w:bookmarkStart w:id="1205" w:name="_Toc339020092"/>
      <w:bookmarkStart w:id="1206" w:name="_Toc333237674"/>
      <w:bookmarkStart w:id="1207" w:name="_Toc19198"/>
      <w:bookmarkStart w:id="1208" w:name="_Toc349127623"/>
      <w:bookmarkStart w:id="1209" w:name="_Toc345513864"/>
      <w:bookmarkStart w:id="1210" w:name="_Toc337632355"/>
      <w:bookmarkStart w:id="1211" w:name="_Toc342296757"/>
      <w:bookmarkStart w:id="1212" w:name="_Toc339362297"/>
      <w:bookmarkStart w:id="1213" w:name="_Toc365967070"/>
      <w:bookmarkStart w:id="1214" w:name="_Toc341348335"/>
      <w:bookmarkStart w:id="1215" w:name="_Toc339441084"/>
      <w:bookmarkStart w:id="1216" w:name="_Toc339019886"/>
      <w:bookmarkStart w:id="1217" w:name="_Toc349143586"/>
      <w:bookmarkStart w:id="1218" w:name="_Toc336681577"/>
      <w:bookmarkStart w:id="1219" w:name="_Toc331684035"/>
      <w:bookmarkStart w:id="1220" w:name="_Toc366072525"/>
      <w:bookmarkStart w:id="1221" w:name="_Toc340507439"/>
      <w:bookmarkStart w:id="1222" w:name="_Toc350756447"/>
      <w:bookmarkStart w:id="1223" w:name="_Toc365985176"/>
      <w:bookmarkStart w:id="1224" w:name="_Toc330459982"/>
      <w:bookmarkStart w:id="1225" w:name="_Toc336681932"/>
      <w:bookmarkStart w:id="1226" w:name="_Toc23197"/>
      <w:r>
        <w:rPr>
          <w:rFonts w:hint="eastAsia"/>
          <w:color w:val="000000" w:themeColor="text1"/>
          <w14:textFill>
            <w14:solidFill>
              <w14:schemeClr w14:val="tx1"/>
            </w14:solidFill>
          </w14:textFill>
        </w:rPr>
        <w:t>投标报价的审核</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pPr>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24.1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还及投标人作无效投标处理。</w:t>
      </w:r>
    </w:p>
    <w:p>
      <w:pPr>
        <w:spacing w:line="360" w:lineRule="auto"/>
        <w:ind w:left="1233" w:hanging="1232" w:hangingChars="587"/>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24.2  </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（4）</w:t>
      </w:r>
      <w:r>
        <w:rPr>
          <w:rFonts w:hint="eastAsia" w:ascii="宋体" w:hAnsi="宋体"/>
          <w:bCs/>
          <w:color w:val="000000" w:themeColor="text1"/>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（5）</w:t>
      </w:r>
      <w:r>
        <w:rPr>
          <w:rFonts w:hint="eastAsia" w:ascii="宋体" w:hAnsi="宋体"/>
          <w:bCs/>
          <w:color w:val="000000" w:themeColor="text1"/>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227" w:name="_Toc340677068"/>
      <w:bookmarkStart w:id="1228" w:name="_Toc339020093"/>
      <w:bookmarkStart w:id="1229" w:name="_Toc349127624"/>
      <w:bookmarkStart w:id="1230" w:name="_Toc374454598"/>
      <w:bookmarkStart w:id="1231" w:name="_Toc365967071"/>
      <w:bookmarkStart w:id="1232" w:name="_Toc28080"/>
      <w:bookmarkStart w:id="1233" w:name="_Toc366072526"/>
      <w:bookmarkStart w:id="1234" w:name="_Toc333935344"/>
      <w:bookmarkStart w:id="1235" w:name="_Toc350756448"/>
      <w:bookmarkStart w:id="1236" w:name="_Toc340507440"/>
      <w:bookmarkStart w:id="1237" w:name="_Toc333935685"/>
      <w:bookmarkStart w:id="1238" w:name="_Toc342060372"/>
      <w:bookmarkStart w:id="1239" w:name="_Toc503785426"/>
      <w:bookmarkStart w:id="1240" w:name="_Toc339020231"/>
      <w:bookmarkStart w:id="1241" w:name="_Toc333238631"/>
      <w:bookmarkStart w:id="1242" w:name="_Toc340672867"/>
      <w:bookmarkStart w:id="1243" w:name="_Toc330459983"/>
      <w:bookmarkStart w:id="1244" w:name="_Toc336681578"/>
      <w:bookmarkStart w:id="1245" w:name="_Toc339020013"/>
      <w:bookmarkStart w:id="1246" w:name="_Toc365985177"/>
      <w:bookmarkStart w:id="1247" w:name="_Toc339019887"/>
      <w:bookmarkStart w:id="1248" w:name="_Toc331684036"/>
      <w:bookmarkStart w:id="1249" w:name="_Toc333237786"/>
      <w:bookmarkStart w:id="1250" w:name="_Toc497224224"/>
      <w:bookmarkStart w:id="1251" w:name="_Toc336681933"/>
      <w:bookmarkStart w:id="1252" w:name="_Toc349143587"/>
      <w:bookmarkStart w:id="1253" w:name="_Toc339362298"/>
      <w:bookmarkStart w:id="1254" w:name="_Toc25117"/>
      <w:bookmarkStart w:id="1255" w:name="_Toc332270344"/>
      <w:bookmarkStart w:id="1256" w:name="_Toc339441085"/>
      <w:bookmarkStart w:id="1257" w:name="_Toc345513865"/>
      <w:bookmarkStart w:id="1258" w:name="_Toc332206706"/>
      <w:bookmarkStart w:id="1259" w:name="_Toc342296758"/>
      <w:bookmarkStart w:id="1260" w:name="_Toc337632356"/>
      <w:bookmarkStart w:id="1261" w:name="_Toc333237675"/>
      <w:bookmarkStart w:id="1262" w:name="_Toc341348336"/>
      <w:bookmarkStart w:id="1263" w:name="_Toc350438747"/>
      <w:bookmarkStart w:id="1264" w:name="_Toc331512896"/>
      <w:r>
        <w:rPr>
          <w:rFonts w:hint="eastAsia"/>
          <w:color w:val="000000" w:themeColor="text1"/>
          <w14:textFill>
            <w14:solidFill>
              <w14:schemeClr w14:val="tx1"/>
            </w14:solidFill>
          </w14:textFill>
        </w:rPr>
        <w:t>询标及投标文件的澄清</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为了有助于对投标文件进行审查、评估和比较，评标委员会有权向投标人质疑，请投标人澄清其投标内容。投标人有责任按照招标代理机构通知的时间、地点指派专人进行答疑和澄清。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2</w:t>
      </w:r>
      <w:r>
        <w:rPr>
          <w:rFonts w:hint="eastAsia" w:ascii="宋体"/>
          <w:color w:val="000000" w:themeColor="text1"/>
          <w14:textFill>
            <w14:solidFill>
              <w14:schemeClr w14:val="tx1"/>
            </w14:solidFill>
          </w14:textFill>
        </w:rPr>
        <w:t>5</w:t>
      </w:r>
      <w:r>
        <w:rPr>
          <w:rFonts w:ascii="宋体"/>
          <w:color w:val="000000" w:themeColor="text1"/>
          <w14:textFill>
            <w14:solidFill>
              <w14:schemeClr w14:val="tx1"/>
            </w14:solidFill>
          </w14:textFill>
        </w:rPr>
        <w:t>.2</w:t>
      </w:r>
      <w:r>
        <w:rPr>
          <w:rFonts w:hint="eastAsia" w:ascii="宋体"/>
          <w:color w:val="000000" w:themeColor="text1"/>
          <w14:textFill>
            <w14:solidFill>
              <w14:schemeClr w14:val="tx1"/>
            </w14:solidFill>
          </w14:textFill>
        </w:rPr>
        <w:t xml:space="preserve"> </w:t>
      </w: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25.3</w:t>
      </w:r>
      <w:r>
        <w:rPr>
          <w:rFonts w:hint="eastAsia"/>
          <w:color w:val="000000" w:themeColor="text1"/>
          <w14:textFill>
            <w14:solidFill>
              <w14:schemeClr w14:val="tx1"/>
            </w14:solidFill>
          </w14:textFill>
        </w:rPr>
        <w:tab/>
      </w:r>
      <w:r>
        <w:rPr>
          <w:rFonts w:hint="eastAsia" w:cs="Arial Unicode MS"/>
          <w:color w:val="000000" w:themeColor="text1"/>
          <w14:textFill>
            <w14:solidFill>
              <w14:schemeClr w14:val="tx1"/>
            </w14:solidFill>
          </w14:textFill>
        </w:rPr>
        <w:t>除评标委员会主动要求询标外，从开标后至授予合同期间，任何投标人均不得就与其投标有关的任何问题与评标委员会联系。如果投标人希望递交其他资料给招标代理机构和评标委员会以提醒招标代理机构和评标委员会注意，则应以书面形式提交。</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265" w:name="_Toc339020094"/>
      <w:bookmarkStart w:id="1266" w:name="_Toc332206707"/>
      <w:bookmarkStart w:id="1267" w:name="_Toc365985178"/>
      <w:bookmarkStart w:id="1268" w:name="_Toc349143588"/>
      <w:bookmarkStart w:id="1269" w:name="_Toc333237676"/>
      <w:bookmarkStart w:id="1270" w:name="_Toc332270345"/>
      <w:bookmarkStart w:id="1271" w:name="_Toc333935345"/>
      <w:bookmarkStart w:id="1272" w:name="_Toc341348337"/>
      <w:bookmarkStart w:id="1273" w:name="_Toc331684037"/>
      <w:bookmarkStart w:id="1274" w:name="_Toc366072527"/>
      <w:bookmarkStart w:id="1275" w:name="_Toc21270"/>
      <w:bookmarkStart w:id="1276" w:name="_Toc337632357"/>
      <w:bookmarkStart w:id="1277" w:name="_Toc336681579"/>
      <w:bookmarkStart w:id="1278" w:name="_Toc365967072"/>
      <w:bookmarkStart w:id="1279" w:name="_Toc333935686"/>
      <w:bookmarkStart w:id="1280" w:name="_Toc374454599"/>
      <w:bookmarkStart w:id="1281" w:name="_Toc339362299"/>
      <w:bookmarkStart w:id="1282" w:name="_Toc340672868"/>
      <w:bookmarkStart w:id="1283" w:name="_Toc350438748"/>
      <w:bookmarkStart w:id="1284" w:name="_Toc333237787"/>
      <w:bookmarkStart w:id="1285" w:name="_Toc331512897"/>
      <w:bookmarkStart w:id="1286" w:name="_Toc330459984"/>
      <w:bookmarkStart w:id="1287" w:name="_Toc350756449"/>
      <w:bookmarkStart w:id="1288" w:name="_Toc336681934"/>
      <w:bookmarkStart w:id="1289" w:name="_Toc349127625"/>
      <w:bookmarkStart w:id="1290" w:name="_Toc342060373"/>
      <w:bookmarkStart w:id="1291" w:name="_Toc342296759"/>
      <w:bookmarkStart w:id="1292" w:name="_Toc333238632"/>
      <w:bookmarkStart w:id="1293" w:name="_Toc345513866"/>
      <w:bookmarkStart w:id="1294" w:name="_Toc339020014"/>
      <w:bookmarkStart w:id="1295" w:name="_Toc340677069"/>
      <w:bookmarkStart w:id="1296" w:name="_Toc339020232"/>
      <w:bookmarkStart w:id="1297" w:name="_Toc339019888"/>
      <w:bookmarkStart w:id="1298" w:name="_Toc339441086"/>
      <w:bookmarkStart w:id="1299" w:name="_Toc13865"/>
      <w:bookmarkStart w:id="1300" w:name="_Toc340507441"/>
      <w:r>
        <w:rPr>
          <w:rFonts w:hint="eastAsia"/>
          <w:color w:val="000000" w:themeColor="text1"/>
          <w14:textFill>
            <w14:solidFill>
              <w14:schemeClr w14:val="tx1"/>
            </w14:solidFill>
          </w14:textFill>
        </w:rPr>
        <w:t>评标原则</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26.2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26.3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实行科学评估、集体决策。</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301" w:name="_Toc365985179"/>
      <w:bookmarkStart w:id="1302" w:name="_Toc340672869"/>
      <w:bookmarkStart w:id="1303" w:name="_Toc366072528"/>
      <w:bookmarkStart w:id="1304" w:name="_Toc333237677"/>
      <w:bookmarkStart w:id="1305" w:name="_Toc339020233"/>
      <w:bookmarkStart w:id="1306" w:name="_Toc330459985"/>
      <w:bookmarkStart w:id="1307" w:name="_Toc339020095"/>
      <w:bookmarkStart w:id="1308" w:name="_Toc345513867"/>
      <w:bookmarkStart w:id="1309" w:name="_Toc333237788"/>
      <w:bookmarkStart w:id="1310" w:name="_Toc333935346"/>
      <w:bookmarkStart w:id="1311" w:name="_Toc350438749"/>
      <w:bookmarkStart w:id="1312" w:name="_Toc339362300"/>
      <w:bookmarkStart w:id="1313" w:name="_Toc349143589"/>
      <w:bookmarkStart w:id="1314" w:name="_Toc350756450"/>
      <w:bookmarkStart w:id="1315" w:name="_Toc337632358"/>
      <w:bookmarkStart w:id="1316" w:name="_Toc339020015"/>
      <w:bookmarkStart w:id="1317" w:name="_Toc342060374"/>
      <w:bookmarkStart w:id="1318" w:name="_Toc332206708"/>
      <w:bookmarkStart w:id="1319" w:name="_Toc340677070"/>
      <w:bookmarkStart w:id="1320" w:name="_Toc17536"/>
      <w:bookmarkStart w:id="1321" w:name="_Toc333238633"/>
      <w:bookmarkStart w:id="1322" w:name="_Toc336681935"/>
      <w:bookmarkStart w:id="1323" w:name="_Toc365967073"/>
      <w:bookmarkStart w:id="1324" w:name="_Toc331512898"/>
      <w:bookmarkStart w:id="1325" w:name="_Toc349127626"/>
      <w:bookmarkStart w:id="1326" w:name="_Toc333935687"/>
      <w:bookmarkStart w:id="1327" w:name="_Toc374454600"/>
      <w:bookmarkStart w:id="1328" w:name="_Toc339019889"/>
      <w:bookmarkStart w:id="1329" w:name="_Toc340507442"/>
      <w:bookmarkStart w:id="1330" w:name="_Toc331684038"/>
      <w:bookmarkStart w:id="1331" w:name="_Toc341348338"/>
      <w:bookmarkStart w:id="1332" w:name="_Toc332270346"/>
      <w:bookmarkStart w:id="1333" w:name="_Toc342296760"/>
      <w:bookmarkStart w:id="1334" w:name="_Toc336681580"/>
      <w:bookmarkStart w:id="1335" w:name="_Toc4847"/>
      <w:bookmarkStart w:id="1336" w:name="_Toc339441087"/>
      <w:r>
        <w:rPr>
          <w:rFonts w:hint="eastAsia"/>
          <w:color w:val="000000" w:themeColor="text1"/>
          <w14:textFill>
            <w14:solidFill>
              <w14:schemeClr w14:val="tx1"/>
            </w14:solidFill>
          </w14:textFill>
        </w:rPr>
        <w:t>评标标准和办法</w:t>
      </w:r>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p>
      <w:pPr>
        <w:pStyle w:val="23"/>
        <w:tabs>
          <w:tab w:val="left" w:pos="753"/>
        </w:tabs>
        <w:adjustRightInd w:val="0"/>
        <w:snapToGrid w:val="0"/>
        <w:spacing w:line="360" w:lineRule="auto"/>
        <w:ind w:left="751" w:leftChars="1" w:hanging="749" w:hangingChars="357"/>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27.1</w:t>
      </w:r>
      <w:r>
        <w:rPr>
          <w:rFonts w:hint="eastAsia" w:hAnsi="宋体"/>
          <w:bCs/>
          <w:color w:val="000000" w:themeColor="text1"/>
          <w14:textFill>
            <w14:solidFill>
              <w14:schemeClr w14:val="tx1"/>
            </w14:solidFill>
          </w14:textFill>
        </w:rPr>
        <w:tab/>
      </w:r>
      <w:r>
        <w:rPr>
          <w:rFonts w:hint="eastAsia" w:hAnsi="宋体"/>
          <w:bCs/>
          <w:color w:val="000000" w:themeColor="text1"/>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27</w:t>
      </w:r>
      <w:r>
        <w:rPr>
          <w:rFonts w:hAnsi="宋体"/>
          <w:bCs/>
          <w:color w:val="000000" w:themeColor="text1"/>
          <w14:textFill>
            <w14:solidFill>
              <w14:schemeClr w14:val="tx1"/>
            </w14:solidFill>
          </w14:textFill>
        </w:rPr>
        <w:t>.2</w:t>
      </w:r>
      <w:r>
        <w:rPr>
          <w:rFonts w:hint="eastAsia" w:hAnsi="宋体"/>
          <w:bCs/>
          <w:color w:val="000000" w:themeColor="text1"/>
          <w14:textFill>
            <w14:solidFill>
              <w14:schemeClr w14:val="tx1"/>
            </w14:solidFill>
          </w14:textFill>
        </w:rPr>
        <w:tab/>
      </w:r>
      <w:bookmarkStart w:id="1337" w:name="_Toc497707712"/>
      <w:bookmarkStart w:id="1338" w:name="_Toc500953375"/>
      <w:bookmarkStart w:id="1339" w:name="_Toc500861023"/>
      <w:r>
        <w:rPr>
          <w:rFonts w:hint="eastAsia" w:hAnsi="宋体"/>
          <w:bCs/>
          <w:color w:val="000000" w:themeColor="text1"/>
          <w14:textFill>
            <w14:solidFill>
              <w14:schemeClr w14:val="tx1"/>
            </w14:solidFill>
          </w14:textFill>
        </w:rPr>
        <w:t>采用计分法（综合评价法）来确定各投标人的排名。其操作程序为：</w:t>
      </w:r>
      <w:r>
        <w:rPr>
          <w:rFonts w:hint="eastAsia" w:hAnsi="宋体"/>
          <w:b/>
          <w:color w:val="000000" w:themeColor="text1"/>
          <w14:textFill>
            <w14:solidFill>
              <w14:schemeClr w14:val="tx1"/>
            </w14:solidFill>
          </w14:textFill>
        </w:rPr>
        <w:t>详见H评标细则。</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340" w:name="_Toc327367761"/>
      <w:bookmarkStart w:id="1341" w:name="_Toc24450"/>
      <w:bookmarkStart w:id="1342" w:name="_Toc13800"/>
      <w:bookmarkStart w:id="1343" w:name="_Toc366072529"/>
      <w:bookmarkStart w:id="1344" w:name="_Toc327368025"/>
      <w:bookmarkStart w:id="1345" w:name="_Toc339020234"/>
      <w:bookmarkStart w:id="1346" w:name="_Toc333935688"/>
      <w:bookmarkStart w:id="1347" w:name="_Toc336681581"/>
      <w:bookmarkStart w:id="1348" w:name="_Toc340507443"/>
      <w:bookmarkStart w:id="1349" w:name="_Toc339020016"/>
      <w:bookmarkStart w:id="1350" w:name="_Toc332206709"/>
      <w:bookmarkStart w:id="1351" w:name="_Toc339020096"/>
      <w:bookmarkStart w:id="1352" w:name="_Toc339019890"/>
      <w:bookmarkStart w:id="1353" w:name="_Toc341348339"/>
      <w:bookmarkStart w:id="1354" w:name="_Toc340677071"/>
      <w:bookmarkStart w:id="1355" w:name="_Toc331512899"/>
      <w:bookmarkStart w:id="1356" w:name="_Toc333935347"/>
      <w:bookmarkStart w:id="1357" w:name="_Toc339362301"/>
      <w:bookmarkStart w:id="1358" w:name="_Toc332270347"/>
      <w:bookmarkStart w:id="1359" w:name="_Toc342296761"/>
      <w:bookmarkStart w:id="1360" w:name="_Toc345513902"/>
      <w:bookmarkStart w:id="1361" w:name="_Toc333237678"/>
      <w:bookmarkStart w:id="1362" w:name="_Toc339441088"/>
      <w:bookmarkStart w:id="1363" w:name="_Toc342060375"/>
      <w:bookmarkStart w:id="1364" w:name="_Toc330459986"/>
      <w:bookmarkStart w:id="1365" w:name="_Toc337632359"/>
      <w:bookmarkStart w:id="1366" w:name="_Toc340672870"/>
      <w:bookmarkStart w:id="1367" w:name="_Toc333238634"/>
      <w:bookmarkStart w:id="1368" w:name="_Toc333237789"/>
      <w:bookmarkStart w:id="1369" w:name="_Toc331684039"/>
      <w:bookmarkStart w:id="1370" w:name="_Toc336681936"/>
      <w:r>
        <w:rPr>
          <w:rFonts w:hint="eastAsia"/>
          <w:color w:val="000000" w:themeColor="text1"/>
          <w14:textFill>
            <w14:solidFill>
              <w14:schemeClr w14:val="tx1"/>
            </w14:solidFill>
          </w14:textFill>
        </w:rPr>
        <w:t>评标注意事项</w:t>
      </w:r>
      <w:bookmarkEnd w:id="1340"/>
      <w:bookmarkEnd w:id="1341"/>
      <w:bookmarkEnd w:id="1342"/>
      <w:bookmarkEnd w:id="1343"/>
      <w:bookmarkEnd w:id="1344"/>
    </w:p>
    <w:bookmarkEnd w:id="36"/>
    <w:bookmarkEnd w:id="1337"/>
    <w:bookmarkEnd w:id="1338"/>
    <w:bookmarkEnd w:id="1339"/>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bookmarkStart w:id="1371" w:name="_Toc6397151"/>
      <w:bookmarkStart w:id="1372" w:name="_Toc500861027"/>
      <w:bookmarkStart w:id="1373" w:name="_Toc26066260"/>
      <w:bookmarkStart w:id="1374" w:name="_Toc6727972"/>
      <w:bookmarkStart w:id="1375" w:name="_Toc491658680"/>
      <w:r>
        <w:rPr>
          <w:rFonts w:hint="eastAsia" w:ascii="宋体" w:hAnsi="宋体"/>
          <w:bCs/>
          <w:color w:val="000000" w:themeColor="text1"/>
          <w14:textFill>
            <w14:solidFill>
              <w14:schemeClr w14:val="tx1"/>
            </w14:solidFill>
          </w14:textFill>
        </w:rPr>
        <w:t>28.1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28.2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28.3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在招标工作结束后，评标委员会成员和参与评标的有关工作人员不得透露与评标有关的情况。</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376" w:name="_Toc339362302"/>
      <w:bookmarkStart w:id="1377" w:name="_Toc350438751"/>
      <w:bookmarkStart w:id="1378" w:name="_Toc365967074"/>
      <w:bookmarkStart w:id="1379" w:name="_Toc332270348"/>
      <w:bookmarkStart w:id="1380" w:name="_Toc331684040"/>
      <w:bookmarkStart w:id="1381" w:name="_Toc331512900"/>
      <w:bookmarkStart w:id="1382" w:name="_Toc342296762"/>
      <w:bookmarkStart w:id="1383" w:name="_Toc330459987"/>
      <w:bookmarkStart w:id="1384" w:name="_Toc349143591"/>
      <w:bookmarkStart w:id="1385" w:name="_Toc366072530"/>
      <w:bookmarkStart w:id="1386" w:name="_Toc333935348"/>
      <w:bookmarkStart w:id="1387" w:name="_Toc340507444"/>
      <w:bookmarkStart w:id="1388" w:name="_Toc345513903"/>
      <w:bookmarkStart w:id="1389" w:name="_Toc341348340"/>
      <w:bookmarkStart w:id="1390" w:name="_Toc349127628"/>
      <w:bookmarkStart w:id="1391" w:name="_Toc340677072"/>
      <w:bookmarkStart w:id="1392" w:name="_Toc336681582"/>
      <w:bookmarkStart w:id="1393" w:name="_Toc339020235"/>
      <w:bookmarkStart w:id="1394" w:name="_Toc374454602"/>
      <w:bookmarkStart w:id="1395" w:name="_Toc332206710"/>
      <w:bookmarkStart w:id="1396" w:name="_Toc365985180"/>
      <w:bookmarkStart w:id="1397" w:name="_Toc333237790"/>
      <w:bookmarkStart w:id="1398" w:name="_Toc339020097"/>
      <w:bookmarkStart w:id="1399" w:name="_Toc339441089"/>
      <w:bookmarkStart w:id="1400" w:name="_Toc350756452"/>
      <w:bookmarkStart w:id="1401" w:name="_Toc339019891"/>
      <w:bookmarkStart w:id="1402" w:name="_Toc337632360"/>
      <w:bookmarkStart w:id="1403" w:name="_Toc20826"/>
      <w:bookmarkStart w:id="1404" w:name="_Toc336681937"/>
      <w:bookmarkStart w:id="1405" w:name="_Toc333237679"/>
      <w:bookmarkStart w:id="1406" w:name="_Toc342060376"/>
      <w:bookmarkStart w:id="1407" w:name="_Toc339020017"/>
      <w:bookmarkStart w:id="1408" w:name="_Toc333238635"/>
      <w:bookmarkStart w:id="1409" w:name="_Toc333935689"/>
      <w:bookmarkStart w:id="1410" w:name="_Toc340672871"/>
      <w:bookmarkStart w:id="1411" w:name="_Toc18467"/>
      <w:r>
        <w:rPr>
          <w:rFonts w:hint="eastAsia"/>
          <w:color w:val="000000" w:themeColor="text1"/>
          <w14:textFill>
            <w14:solidFill>
              <w14:schemeClr w14:val="tx1"/>
            </w14:solidFill>
          </w14:textFill>
        </w:rPr>
        <w:t>接受和拒绝投标的权利</w:t>
      </w:r>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29</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评标委员会经评审认为所有投标都不符合招标文件要求的，或所有投标报价均超过预算价且招标人无法支付的，有权否决所有投标。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29.2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如果招标时出现投标人不足四家或者没有合格投标人的情况，依照《中华人民共和国政府采购法》、《中华人民共和国招标投标法》、《政府采购货物和服务招标投标管理办法》及《广东省实施〈中华人民共和国招标投标法〉办法》等有关规定，招标代理机构将重新组织招标或采用政府采购管理部门依法批准的其他政府采购方式进行采购。</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412" w:name="_Toc8499"/>
      <w:bookmarkStart w:id="1413" w:name="_Toc366072531"/>
      <w:bookmarkStart w:id="1414" w:name="_Toc2853"/>
      <w:bookmarkStart w:id="1415" w:name="_Toc374454603"/>
      <w:r>
        <w:rPr>
          <w:rFonts w:hint="eastAsia"/>
          <w:color w:val="000000" w:themeColor="text1"/>
          <w14:textFill>
            <w14:solidFill>
              <w14:schemeClr w14:val="tx1"/>
            </w14:solidFill>
          </w14:textFill>
        </w:rPr>
        <w:t>发布中标结果公告和发放中标通知书</w:t>
      </w:r>
      <w:bookmarkEnd w:id="1412"/>
      <w:bookmarkEnd w:id="1413"/>
      <w:bookmarkEnd w:id="1414"/>
      <w:bookmarkEnd w:id="1415"/>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bookmarkStart w:id="1416" w:name="_Toc366072532"/>
      <w:r>
        <w:rPr>
          <w:rFonts w:hint="eastAsia" w:ascii="宋体" w:hAnsi="宋体"/>
          <w:color w:val="000000" w:themeColor="text1"/>
          <w:szCs w:val="21"/>
          <w14:textFill>
            <w14:solidFill>
              <w14:schemeClr w14:val="tx1"/>
            </w14:solidFill>
          </w14:textFill>
        </w:rPr>
        <w:t>30.1   招标人或其授权的评标委员会应按照评标报告中推荐的中标候选投标人排名顺序确定中标投标人。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30.2   中标投标人确认后，中标结果将于指定媒体上公告(</w:t>
      </w:r>
      <w:r>
        <w:rPr>
          <w:rFonts w:hint="eastAsia" w:ascii="黑体" w:eastAsia="黑体"/>
          <w:bCs/>
          <w:color w:val="000000" w:themeColor="text1"/>
          <w14:textFill>
            <w14:solidFill>
              <w14:schemeClr w14:val="tx1"/>
            </w14:solidFill>
          </w14:textFill>
        </w:rPr>
        <w:t>详见第三</w:t>
      </w:r>
      <w:r>
        <w:rPr>
          <w:rFonts w:hint="eastAsia" w:ascii="黑体" w:eastAsia="黑体"/>
          <w:bCs/>
          <w:color w:val="000000" w:themeColor="text1"/>
          <w:lang w:eastAsia="zh-CN"/>
          <w14:textFill>
            <w14:solidFill>
              <w14:schemeClr w14:val="tx1"/>
            </w14:solidFill>
          </w14:textFill>
        </w:rPr>
        <w:t>部分</w:t>
      </w:r>
      <w:r>
        <w:rPr>
          <w:rFonts w:hint="eastAsia" w:ascii="黑体" w:eastAsia="黑体"/>
          <w:bCs/>
          <w:color w:val="000000" w:themeColor="text1"/>
          <w14:textFill>
            <w14:solidFill>
              <w14:schemeClr w14:val="tx1"/>
            </w14:solidFill>
          </w14:textFill>
        </w:rPr>
        <w:t>《投标人须知〈投标人须知前附表〉》</w:t>
      </w:r>
      <w:r>
        <w:rPr>
          <w:rFonts w:hint="eastAsia" w:ascii="宋体" w:hAnsi="宋体"/>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。发布中标结果公告的同时，招标代理机构向中标投标人发出中标通知书。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30.3   未中标投标人，招标代理机构不再以其它方式另行通知。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30.4   中标通知书发出后，招标人改变中标结果，或者中标投标人放弃中标，应当承担相应的法律责任。</w:t>
      </w:r>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417" w:name="_Toc374454604"/>
      <w:bookmarkStart w:id="1418" w:name="_Toc14217"/>
      <w:bookmarkStart w:id="1419" w:name="_Toc21408"/>
      <w:r>
        <w:rPr>
          <w:rFonts w:hint="eastAsia"/>
          <w:color w:val="000000" w:themeColor="text1"/>
          <w14:textFill>
            <w14:solidFill>
              <w14:schemeClr w14:val="tx1"/>
            </w14:solidFill>
          </w14:textFill>
        </w:rPr>
        <w:t>投标人对中标结果的质疑、投诉</w:t>
      </w:r>
      <w:bookmarkEnd w:id="1416"/>
      <w:bookmarkEnd w:id="1417"/>
      <w:bookmarkEnd w:id="1418"/>
      <w:bookmarkEnd w:id="1419"/>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bookmarkStart w:id="1420" w:name="_Toc342060379"/>
      <w:bookmarkStart w:id="1421" w:name="_Toc333935692"/>
      <w:bookmarkStart w:id="1422" w:name="_Toc349143594"/>
      <w:bookmarkStart w:id="1423" w:name="_Toc342296765"/>
      <w:bookmarkStart w:id="1424" w:name="_Toc336681940"/>
      <w:bookmarkStart w:id="1425" w:name="_Toc333237793"/>
      <w:bookmarkStart w:id="1426" w:name="_Toc332270351"/>
      <w:bookmarkStart w:id="1427" w:name="_Toc331512903"/>
      <w:bookmarkStart w:id="1428" w:name="_Toc340677075"/>
      <w:bookmarkStart w:id="1429" w:name="_Toc340507447"/>
      <w:bookmarkStart w:id="1430" w:name="_Toc339019894"/>
      <w:bookmarkStart w:id="1431" w:name="_Toc340672874"/>
      <w:bookmarkStart w:id="1432" w:name="_Toc345513906"/>
      <w:bookmarkStart w:id="1433" w:name="_Toc365967077"/>
      <w:bookmarkStart w:id="1434" w:name="_Toc333935351"/>
      <w:bookmarkStart w:id="1435" w:name="_Toc341348343"/>
      <w:bookmarkStart w:id="1436" w:name="_Toc333238638"/>
      <w:bookmarkStart w:id="1437" w:name="_Toc337632363"/>
      <w:bookmarkStart w:id="1438" w:name="_Toc339362305"/>
      <w:bookmarkStart w:id="1439" w:name="_Toc332206713"/>
      <w:bookmarkStart w:id="1440" w:name="_Toc350756455"/>
      <w:bookmarkStart w:id="1441" w:name="_Toc336681585"/>
      <w:bookmarkStart w:id="1442" w:name="_Toc350438754"/>
      <w:bookmarkStart w:id="1443" w:name="_Toc331684043"/>
      <w:bookmarkStart w:id="1444" w:name="_Toc349127631"/>
      <w:bookmarkStart w:id="1445" w:name="_Toc339020020"/>
      <w:bookmarkStart w:id="1446" w:name="_Toc333237682"/>
      <w:bookmarkStart w:id="1447" w:name="_Toc339020100"/>
      <w:bookmarkStart w:id="1448" w:name="_Toc339441092"/>
      <w:bookmarkStart w:id="1449" w:name="_Toc330459990"/>
      <w:bookmarkStart w:id="1450" w:name="_Toc339020238"/>
      <w:bookmarkStart w:id="1451" w:name="_Toc365985183"/>
      <w:r>
        <w:rPr>
          <w:rFonts w:hint="eastAsia" w:ascii="宋体" w:hAnsi="宋体"/>
          <w:color w:val="000000" w:themeColor="text1"/>
          <w:szCs w:val="21"/>
          <w14:textFill>
            <w14:solidFill>
              <w14:schemeClr w14:val="tx1"/>
            </w14:solidFill>
          </w14:textFill>
        </w:rPr>
        <w:t>31.1</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投标人对中标公告有异议的，应当在中标结果公告发布之日起七个工作日内，以书面形式向招标人或招标代理机构提出质疑。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31.2   招标人或招标代理机构应当在收到投标投标人书面质疑后七个工作日内，对质疑内容作出答复。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31.3   投标人对招标人或招标代理机构的答复不满意或者招标人、招标代理机构未在规定时间内答复的，可以在答复期满后十五个工作日内按有关规定，向同级人民政府财政部门投诉。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31.6   质疑函应当署名。质疑投标人为自然人的，应当由本人签字；质疑投标人为法人或其他组织的，应由法定代表人（负责人）或者授权代理人签字并盖公章。</w:t>
      </w:r>
    </w:p>
    <w:p>
      <w:pPr>
        <w:pStyle w:val="3"/>
        <w:numPr>
          <w:ilvl w:val="0"/>
          <w:numId w:val="0"/>
        </w:numPr>
        <w:rPr>
          <w:color w:val="000000" w:themeColor="text1"/>
          <w:sz w:val="24"/>
          <w14:textFill>
            <w14:solidFill>
              <w14:schemeClr w14:val="tx1"/>
            </w14:solidFill>
          </w14:textFill>
        </w:rPr>
      </w:pPr>
      <w:bookmarkStart w:id="1452" w:name="_Toc374454605"/>
      <w:bookmarkStart w:id="1453" w:name="_Toc366072533"/>
      <w:r>
        <w:rPr>
          <w:color w:val="000000" w:themeColor="text1"/>
          <w:sz w:val="24"/>
          <w14:textFill>
            <w14:solidFill>
              <w14:schemeClr w14:val="tx1"/>
            </w14:solidFill>
          </w14:textFill>
        </w:rPr>
        <w:br w:type="page"/>
      </w:r>
      <w:bookmarkStart w:id="1454" w:name="_Toc23961"/>
      <w:bookmarkStart w:id="1455" w:name="_Toc27927"/>
      <w:r>
        <w:rPr>
          <w:rFonts w:hint="eastAsia"/>
          <w:color w:val="000000" w:themeColor="text1"/>
          <w:sz w:val="24"/>
          <w14:textFill>
            <w14:solidFill>
              <w14:schemeClr w14:val="tx1"/>
            </w14:solidFill>
          </w14:textFill>
        </w:rPr>
        <w:t>Ｆ  授予合同</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p>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456" w:name="_Toc332206714"/>
      <w:bookmarkStart w:id="1457" w:name="_Toc339020239"/>
      <w:bookmarkStart w:id="1458" w:name="_Toc340507448"/>
      <w:bookmarkStart w:id="1459" w:name="_Toc350438755"/>
      <w:bookmarkStart w:id="1460" w:name="_Toc350756456"/>
      <w:bookmarkStart w:id="1461" w:name="_Toc337632364"/>
      <w:bookmarkStart w:id="1462" w:name="_Toc331684044"/>
      <w:bookmarkStart w:id="1463" w:name="_Toc365985184"/>
      <w:bookmarkStart w:id="1464" w:name="_Toc480010727"/>
      <w:bookmarkStart w:id="1465" w:name="_Toc340677076"/>
      <w:bookmarkStart w:id="1466" w:name="_Toc345513907"/>
      <w:bookmarkStart w:id="1467" w:name="_Toc333237794"/>
      <w:bookmarkStart w:id="1468" w:name="_Toc340672875"/>
      <w:bookmarkStart w:id="1469" w:name="_Toc480020276"/>
      <w:bookmarkStart w:id="1470" w:name="_Toc500861016"/>
      <w:bookmarkStart w:id="1471" w:name="_Toc333935352"/>
      <w:bookmarkStart w:id="1472" w:name="_Toc332270352"/>
      <w:bookmarkStart w:id="1473" w:name="_Toc468157555"/>
      <w:bookmarkStart w:id="1474" w:name="_Toc333237683"/>
      <w:bookmarkStart w:id="1475" w:name="_Toc349143595"/>
      <w:bookmarkStart w:id="1476" w:name="_Toc480021072"/>
      <w:bookmarkStart w:id="1477" w:name="_Toc467987842"/>
      <w:bookmarkStart w:id="1478" w:name="_Toc333238639"/>
      <w:bookmarkStart w:id="1479" w:name="_Toc341348344"/>
      <w:bookmarkStart w:id="1480" w:name="_Toc31"/>
      <w:bookmarkStart w:id="1481" w:name="_Toc336681941"/>
      <w:bookmarkStart w:id="1482" w:name="_Toc336681586"/>
      <w:bookmarkStart w:id="1483" w:name="_Toc491658670"/>
      <w:bookmarkStart w:id="1484" w:name="_Toc339441093"/>
      <w:bookmarkStart w:id="1485" w:name="_Toc331512904"/>
      <w:bookmarkStart w:id="1486" w:name="_Toc349127632"/>
      <w:bookmarkStart w:id="1487" w:name="_Toc467236759"/>
      <w:bookmarkStart w:id="1488" w:name="_Toc339362306"/>
      <w:bookmarkStart w:id="1489" w:name="_Toc374454606"/>
      <w:bookmarkStart w:id="1490" w:name="_Toc479991601"/>
      <w:bookmarkStart w:id="1491" w:name="_Toc339019895"/>
      <w:bookmarkStart w:id="1492" w:name="_Toc365967078"/>
      <w:bookmarkStart w:id="1493" w:name="_Toc468606048"/>
      <w:bookmarkStart w:id="1494" w:name="_Toc330459991"/>
      <w:bookmarkStart w:id="1495" w:name="_Toc339020021"/>
      <w:bookmarkStart w:id="1496" w:name="_Toc342296766"/>
      <w:bookmarkStart w:id="1497" w:name="_Toc342060380"/>
      <w:bookmarkStart w:id="1498" w:name="_Toc366072534"/>
      <w:bookmarkStart w:id="1499" w:name="_Toc339020101"/>
      <w:bookmarkStart w:id="1500" w:name="_Toc333935693"/>
      <w:bookmarkStart w:id="1501" w:name="_Toc4524"/>
      <w:bookmarkStart w:id="1502" w:name="_Toc458262633"/>
      <w:bookmarkStart w:id="1503" w:name="_Toc454701400"/>
      <w:r>
        <w:rPr>
          <w:rFonts w:hint="eastAsia"/>
          <w:color w:val="000000" w:themeColor="text1"/>
          <w14:textFill>
            <w14:solidFill>
              <w14:schemeClr w14:val="tx1"/>
            </w14:solidFill>
          </w14:textFill>
        </w:rPr>
        <w:t>合同授予标准</w:t>
      </w:r>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p>
    <w:p>
      <w:pPr>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2</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按第30条规定，招标人将把合同授予此次招标的中标投标人。</w:t>
      </w:r>
    </w:p>
    <w:bookmarkEnd w:id="1502"/>
    <w:bookmarkEnd w:id="1503"/>
    <w:p>
      <w:pPr>
        <w:pStyle w:val="4"/>
        <w:numPr>
          <w:ilvl w:val="4"/>
          <w:numId w:val="24"/>
        </w:numPr>
        <w:tabs>
          <w:tab w:val="left" w:pos="720"/>
        </w:tabs>
        <w:spacing w:before="240" w:after="120"/>
        <w:ind w:left="2432" w:hanging="2432"/>
        <w:rPr>
          <w:color w:val="000000" w:themeColor="text1"/>
          <w14:textFill>
            <w14:solidFill>
              <w14:schemeClr w14:val="tx1"/>
            </w14:solidFill>
          </w14:textFill>
        </w:rPr>
      </w:pPr>
      <w:bookmarkStart w:id="1504" w:name="_Toc500861020"/>
      <w:bookmarkStart w:id="1505" w:name="_Toc10907"/>
      <w:bookmarkStart w:id="1506" w:name="_Toc349143596"/>
      <w:bookmarkStart w:id="1507" w:name="_Toc333935694"/>
      <w:bookmarkStart w:id="1508" w:name="_Toc339441094"/>
      <w:bookmarkStart w:id="1509" w:name="_Toc13290"/>
      <w:bookmarkStart w:id="1510" w:name="_Toc333935353"/>
      <w:bookmarkStart w:id="1511" w:name="_Toc458262635"/>
      <w:bookmarkStart w:id="1512" w:name="_Toc480020280"/>
      <w:bookmarkStart w:id="1513" w:name="_Toc365985185"/>
      <w:bookmarkStart w:id="1514" w:name="_Toc342060381"/>
      <w:bookmarkStart w:id="1515" w:name="_Toc341348345"/>
      <w:bookmarkStart w:id="1516" w:name="_Toc468606052"/>
      <w:bookmarkStart w:id="1517" w:name="_Toc330459992"/>
      <w:bookmarkStart w:id="1518" w:name="_Toc339362307"/>
      <w:bookmarkStart w:id="1519" w:name="_Toc337632365"/>
      <w:bookmarkStart w:id="1520" w:name="_Toc333237795"/>
      <w:bookmarkStart w:id="1521" w:name="_Toc339020240"/>
      <w:bookmarkStart w:id="1522" w:name="_Toc468157559"/>
      <w:bookmarkStart w:id="1523" w:name="_Toc491658674"/>
      <w:bookmarkStart w:id="1524" w:name="_Toc350438756"/>
      <w:bookmarkStart w:id="1525" w:name="_Toc339020102"/>
      <w:bookmarkStart w:id="1526" w:name="_Toc467987846"/>
      <w:bookmarkStart w:id="1527" w:name="_Toc331684045"/>
      <w:bookmarkStart w:id="1528" w:name="_Toc480021076"/>
      <w:bookmarkStart w:id="1529" w:name="_Toc340507449"/>
      <w:bookmarkStart w:id="1530" w:name="_Toc339020022"/>
      <w:bookmarkStart w:id="1531" w:name="_Toc332206715"/>
      <w:bookmarkStart w:id="1532" w:name="_Toc336681587"/>
      <w:bookmarkStart w:id="1533" w:name="_Toc374454607"/>
      <w:bookmarkStart w:id="1534" w:name="_Toc336681942"/>
      <w:bookmarkStart w:id="1535" w:name="_Toc340677077"/>
      <w:bookmarkStart w:id="1536" w:name="_Toc365967079"/>
      <w:bookmarkStart w:id="1537" w:name="_Toc479991605"/>
      <w:bookmarkStart w:id="1538" w:name="_Toc366072535"/>
      <w:bookmarkStart w:id="1539" w:name="_Toc342296767"/>
      <w:bookmarkStart w:id="1540" w:name="_Toc480010731"/>
      <w:bookmarkStart w:id="1541" w:name="_Toc332270353"/>
      <w:bookmarkStart w:id="1542" w:name="_Toc350756457"/>
      <w:bookmarkStart w:id="1543" w:name="_Toc331512905"/>
      <w:bookmarkStart w:id="1544" w:name="_Toc340672876"/>
      <w:bookmarkStart w:id="1545" w:name="_Toc467236763"/>
      <w:bookmarkStart w:id="1546" w:name="_Toc345513908"/>
      <w:bookmarkStart w:id="1547" w:name="_Toc333238640"/>
      <w:bookmarkStart w:id="1548" w:name="_Toc333237684"/>
      <w:bookmarkStart w:id="1549" w:name="_Toc339019896"/>
      <w:bookmarkStart w:id="1550" w:name="_Toc349127633"/>
      <w:bookmarkStart w:id="1551" w:name="_Toc454701402"/>
      <w:r>
        <w:rPr>
          <w:rFonts w:hint="eastAsia"/>
          <w:color w:val="000000" w:themeColor="text1"/>
          <w14:textFill>
            <w14:solidFill>
              <w14:schemeClr w14:val="tx1"/>
            </w14:solidFill>
          </w14:textFill>
        </w:rPr>
        <w:t>签订合同</w:t>
      </w:r>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bookmarkStart w:id="1552" w:name="_Toc379896705"/>
      <w:bookmarkStart w:id="1553" w:name="_Toc374093632"/>
      <w:bookmarkStart w:id="1554" w:name="_Toc373401413"/>
      <w:bookmarkStart w:id="1555" w:name="_Toc369700990"/>
      <w:bookmarkStart w:id="1556" w:name="_Toc370983962"/>
      <w:bookmarkStart w:id="1557" w:name="_Toc366681897"/>
      <w:bookmarkStart w:id="1558" w:name="_Toc378261823"/>
      <w:bookmarkStart w:id="1559" w:name="_Toc374454608"/>
      <w:bookmarkStart w:id="1560" w:name="_Toc367095382"/>
      <w:bookmarkStart w:id="1561" w:name="_Toc372209289"/>
      <w:bookmarkStart w:id="1562" w:name="_Toc370309169"/>
      <w:bookmarkStart w:id="1563" w:name="_Toc383069738"/>
      <w:bookmarkStart w:id="1564" w:name="_Toc377129068"/>
      <w:bookmarkStart w:id="1565" w:name="_Toc366072536"/>
      <w:bookmarkStart w:id="1566" w:name="_Toc339020023"/>
      <w:bookmarkStart w:id="1567" w:name="_Toc350756458"/>
      <w:bookmarkStart w:id="1568" w:name="_Toc330459993"/>
      <w:bookmarkStart w:id="1569" w:name="_Toc333935354"/>
      <w:bookmarkStart w:id="1570" w:name="_Toc332270354"/>
      <w:bookmarkStart w:id="1571" w:name="_Toc339019897"/>
      <w:bookmarkStart w:id="1572" w:name="_Toc333237796"/>
      <w:bookmarkStart w:id="1573" w:name="_Toc340507450"/>
      <w:bookmarkStart w:id="1574" w:name="_Toc339020103"/>
      <w:bookmarkStart w:id="1575" w:name="_Toc339020241"/>
      <w:bookmarkStart w:id="1576" w:name="_Toc350438757"/>
      <w:bookmarkStart w:id="1577" w:name="_Toc332206716"/>
      <w:bookmarkStart w:id="1578" w:name="_Toc349143597"/>
      <w:bookmarkStart w:id="1579" w:name="_Toc345513909"/>
      <w:bookmarkStart w:id="1580" w:name="_Toc340672877"/>
      <w:bookmarkStart w:id="1581" w:name="_Toc340677078"/>
      <w:bookmarkStart w:id="1582" w:name="_Toc337632366"/>
      <w:bookmarkStart w:id="1583" w:name="_Toc342296768"/>
      <w:bookmarkStart w:id="1584" w:name="_Toc336681588"/>
      <w:bookmarkStart w:id="1585" w:name="_Toc342060382"/>
      <w:bookmarkStart w:id="1586" w:name="_Toc333238641"/>
      <w:bookmarkStart w:id="1587" w:name="_Toc333935695"/>
      <w:bookmarkStart w:id="1588" w:name="_Toc336681943"/>
      <w:bookmarkStart w:id="1589" w:name="_Toc339441095"/>
      <w:bookmarkStart w:id="1590" w:name="_Toc339362308"/>
      <w:bookmarkStart w:id="1591" w:name="_Toc349127634"/>
      <w:bookmarkStart w:id="1592" w:name="_Toc331684046"/>
      <w:bookmarkStart w:id="1593" w:name="_Toc333237685"/>
      <w:bookmarkStart w:id="1594" w:name="_Toc341348346"/>
      <w:bookmarkStart w:id="1595" w:name="_Toc365985186"/>
      <w:bookmarkStart w:id="1596" w:name="_Toc331512906"/>
      <w:bookmarkStart w:id="1597" w:name="_Toc365967080"/>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3</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招标人应当按照招标文件和中标投标人投标文件的约定，与中标投标人签订书面合同。所签订的合同不得对招标文件和中标投标人投标文件作实质性修改。招标人不得向中标投标人提出任何不合理的要求，作为签订合同的条件，不得与中标投标人私下订立背离合同实质性内容的协议。</w:t>
      </w:r>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3</w:t>
      </w: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招标人应当自采购合同签订之日起七个工作日内，按照有关规定将采购合同副本报招标代理机构备案。</w:t>
      </w: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cs="Arial"/>
          <w:color w:val="000000" w:themeColor="text1"/>
          <w:szCs w:val="21"/>
          <w14:textFill>
            <w14:solidFill>
              <w14:schemeClr w14:val="tx1"/>
            </w14:solidFill>
          </w14:textFill>
        </w:rPr>
        <w:t xml:space="preserve">33.3   </w:t>
      </w:r>
      <w:r>
        <w:rPr>
          <w:rFonts w:hint="eastAsia" w:ascii="宋体" w:hAnsi="宋体"/>
          <w:bCs/>
          <w:color w:val="000000" w:themeColor="text1"/>
          <w14:textFill>
            <w14:solidFill>
              <w14:schemeClr w14:val="tx1"/>
            </w14:solidFill>
          </w14:textFill>
        </w:rPr>
        <w:t>中标人</w:t>
      </w:r>
      <w:r>
        <w:rPr>
          <w:rFonts w:ascii="宋体" w:hAnsi="宋体"/>
          <w:bCs/>
          <w:color w:val="000000" w:themeColor="text1"/>
          <w14:textFill>
            <w14:solidFill>
              <w14:schemeClr w14:val="tx1"/>
            </w14:solidFill>
          </w14:textFill>
        </w:rPr>
        <w:t>拒绝与</w:t>
      </w:r>
      <w:r>
        <w:rPr>
          <w:rFonts w:hint="eastAsia" w:ascii="宋体" w:hAnsi="宋体"/>
          <w:bCs/>
          <w:color w:val="000000" w:themeColor="text1"/>
          <w14:textFill>
            <w14:solidFill>
              <w14:schemeClr w14:val="tx1"/>
            </w14:solidFill>
          </w14:textFill>
        </w:rPr>
        <w:t>招标人</w:t>
      </w:r>
      <w:r>
        <w:rPr>
          <w:rFonts w:ascii="宋体" w:hAnsi="宋体"/>
          <w:bCs/>
          <w:color w:val="000000" w:themeColor="text1"/>
          <w14:textFill>
            <w14:solidFill>
              <w14:schemeClr w14:val="tx1"/>
            </w14:solidFill>
          </w14:textFill>
        </w:rPr>
        <w:t>签订合同的，</w:t>
      </w:r>
      <w:r>
        <w:rPr>
          <w:rFonts w:hint="eastAsia" w:ascii="宋体" w:hAnsi="宋体"/>
          <w:bCs/>
          <w:color w:val="000000" w:themeColor="text1"/>
          <w14:textFill>
            <w14:solidFill>
              <w14:schemeClr w14:val="tx1"/>
            </w14:solidFill>
          </w14:textFill>
        </w:rPr>
        <w:t>招标人</w:t>
      </w:r>
      <w:r>
        <w:rPr>
          <w:rFonts w:ascii="宋体" w:hAnsi="宋体"/>
          <w:bCs/>
          <w:color w:val="000000" w:themeColor="text1"/>
          <w14:textFill>
            <w14:solidFill>
              <w14:schemeClr w14:val="tx1"/>
            </w14:solidFill>
          </w14:textFill>
        </w:rPr>
        <w:t>可以按照评审报告推荐的</w:t>
      </w:r>
      <w:r>
        <w:rPr>
          <w:rFonts w:hint="eastAsia" w:ascii="宋体" w:hAnsi="宋体"/>
          <w:bCs/>
          <w:color w:val="000000" w:themeColor="text1"/>
          <w14:textFill>
            <w14:solidFill>
              <w14:schemeClr w14:val="tx1"/>
            </w14:solidFill>
          </w14:textFill>
        </w:rPr>
        <w:t>中标人</w:t>
      </w:r>
      <w:r>
        <w:rPr>
          <w:rFonts w:ascii="宋体" w:hAnsi="宋体"/>
          <w:bCs/>
          <w:color w:val="000000" w:themeColor="text1"/>
          <w14:textFill>
            <w14:solidFill>
              <w14:schemeClr w14:val="tx1"/>
            </w14:solidFill>
          </w14:textFill>
        </w:rPr>
        <w:t>候选人名单排序，确定下一候选人为</w:t>
      </w:r>
      <w:r>
        <w:rPr>
          <w:rFonts w:hint="eastAsia" w:ascii="宋体" w:hAnsi="宋体"/>
          <w:bCs/>
          <w:color w:val="000000" w:themeColor="text1"/>
          <w14:textFill>
            <w14:solidFill>
              <w14:schemeClr w14:val="tx1"/>
            </w14:solidFill>
          </w14:textFill>
        </w:rPr>
        <w:t>中标人</w:t>
      </w:r>
      <w:r>
        <w:rPr>
          <w:rFonts w:ascii="宋体" w:hAnsi="宋体"/>
          <w:bCs/>
          <w:color w:val="000000" w:themeColor="text1"/>
          <w14:textFill>
            <w14:solidFill>
              <w14:schemeClr w14:val="tx1"/>
            </w14:solidFill>
          </w14:textFill>
        </w:rPr>
        <w:t>，也可以重新开展采购活动</w:t>
      </w:r>
      <w:r>
        <w:rPr>
          <w:rFonts w:hint="eastAsia" w:ascii="宋体" w:hAnsi="宋体"/>
          <w:bCs/>
          <w:color w:val="000000" w:themeColor="text1"/>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p>
      <w:pPr>
        <w:pStyle w:val="3"/>
        <w:numPr>
          <w:ilvl w:val="0"/>
          <w:numId w:val="0"/>
        </w:numPr>
        <w:rPr>
          <w:color w:val="000000" w:themeColor="text1"/>
          <w:sz w:val="24"/>
          <w14:textFill>
            <w14:solidFill>
              <w14:schemeClr w14:val="tx1"/>
            </w14:solidFill>
          </w14:textFill>
        </w:rPr>
      </w:pPr>
      <w:bookmarkStart w:id="1598" w:name="_Toc17518"/>
      <w:bookmarkStart w:id="1599" w:name="_Toc13421"/>
      <w:bookmarkStart w:id="1600" w:name="_Toc467987849"/>
      <w:bookmarkStart w:id="1601" w:name="_Toc500861024"/>
      <w:bookmarkStart w:id="1602" w:name="_Toc480020283"/>
      <w:bookmarkStart w:id="1603" w:name="_Toc468606055"/>
      <w:bookmarkStart w:id="1604" w:name="_Toc480010734"/>
      <w:bookmarkStart w:id="1605" w:name="_Toc491658677"/>
      <w:bookmarkStart w:id="1606" w:name="_Toc468157562"/>
      <w:bookmarkStart w:id="1607" w:name="_Toc479991608"/>
      <w:bookmarkStart w:id="1608" w:name="_Toc467236766"/>
      <w:bookmarkStart w:id="1609" w:name="_Toc480021079"/>
      <w:r>
        <w:rPr>
          <w:rFonts w:hint="eastAsia"/>
          <w:color w:val="000000" w:themeColor="text1"/>
          <w:sz w:val="24"/>
          <w14:textFill>
            <w14:solidFill>
              <w14:schemeClr w14:val="tx1"/>
            </w14:solidFill>
          </w14:textFill>
        </w:rPr>
        <w:t>G、评标细则</w:t>
      </w:r>
      <w:bookmarkEnd w:id="1598"/>
      <w:bookmarkEnd w:id="1599"/>
    </w:p>
    <w:p>
      <w:pPr>
        <w:pStyle w:val="23"/>
        <w:widowControl/>
        <w:tabs>
          <w:tab w:val="left" w:pos="753"/>
        </w:tabs>
        <w:adjustRightInd w:val="0"/>
        <w:snapToGrid w:val="0"/>
        <w:spacing w:line="360" w:lineRule="auto"/>
        <w:ind w:left="752" w:hanging="751" w:hangingChars="358"/>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采用计分法（综合评价法）来确定各投标人的排名。其操作程序为：</w:t>
      </w:r>
    </w:p>
    <w:p>
      <w:pPr>
        <w:pStyle w:val="26"/>
        <w:numPr>
          <w:ilvl w:val="0"/>
          <w:numId w:val="29"/>
        </w:num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根据招标文件和评标原则，按下表（评价指标和权重表）所列评价指标和各评价指标的权重进行评标。</w:t>
      </w:r>
    </w:p>
    <w:p>
      <w:pPr>
        <w:pStyle w:val="26"/>
        <w:numPr>
          <w:ilvl w:val="0"/>
          <w:numId w:val="29"/>
        </w:numPr>
        <w:rPr>
          <w:rFonts w:ascii="宋体" w:hAnsi="宋体" w:eastAsia="宋体"/>
          <w:bCs/>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szCs w:val="21"/>
          <w14:textFill>
            <w14:solidFill>
              <w14:schemeClr w14:val="tx1"/>
            </w14:solidFill>
          </w14:textFill>
        </w:rPr>
        <w:t>经济价格标得分＝(评标基准价/投标报价)×价格指标权重×100。</w:t>
      </w:r>
    </w:p>
    <w:p>
      <w:pPr>
        <w:pStyle w:val="26"/>
        <w:numPr>
          <w:ilvl w:val="0"/>
          <w:numId w:val="29"/>
        </w:num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由评委独立地根据各项指标的评价标准，结合每个投标人的实际情况，分别就投标报价以外的各项指标对每个投标人独立打分。</w:t>
      </w:r>
    </w:p>
    <w:p>
      <w:pPr>
        <w:pStyle w:val="26"/>
        <w:numPr>
          <w:ilvl w:val="0"/>
          <w:numId w:val="29"/>
        </w:num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技术部分和商务部分得分结果为全部评委评价指标评分的算术平均值。</w:t>
      </w:r>
    </w:p>
    <w:p>
      <w:pPr>
        <w:pStyle w:val="26"/>
        <w:numPr>
          <w:ilvl w:val="0"/>
          <w:numId w:val="29"/>
        </w:num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将所有评价指标所得实际评价分数相加，即为该投标人的综合得分。</w:t>
      </w:r>
    </w:p>
    <w:p>
      <w:pPr>
        <w:pStyle w:val="26"/>
        <w:numPr>
          <w:ilvl w:val="0"/>
          <w:numId w:val="29"/>
        </w:numP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评标委员会将推荐综合得分最高的投标人为该项目的中标候选人。</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评价指标及权重：</w:t>
      </w:r>
    </w:p>
    <w:p>
      <w:pPr>
        <w:rPr>
          <w:color w:val="000000" w:themeColor="text1"/>
          <w14:textFill>
            <w14:solidFill>
              <w14:schemeClr w14:val="tx1"/>
            </w14:solidFill>
          </w14:textFill>
        </w:rPr>
      </w:pPr>
    </w:p>
    <w:tbl>
      <w:tblPr>
        <w:tblStyle w:val="48"/>
        <w:tblW w:w="8874" w:type="dxa"/>
        <w:jc w:val="center"/>
        <w:tblLayout w:type="fixed"/>
        <w:tblCellMar>
          <w:top w:w="0" w:type="dxa"/>
          <w:left w:w="0" w:type="dxa"/>
          <w:bottom w:w="0" w:type="dxa"/>
          <w:right w:w="0" w:type="dxa"/>
        </w:tblCellMar>
      </w:tblPr>
      <w:tblGrid>
        <w:gridCol w:w="2570"/>
        <w:gridCol w:w="2319"/>
        <w:gridCol w:w="2080"/>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评分项目</w:t>
            </w:r>
          </w:p>
        </w:tc>
        <w:tc>
          <w:tcPr>
            <w:tcW w:w="2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技术评分</w:t>
            </w:r>
          </w:p>
        </w:tc>
        <w:tc>
          <w:tcPr>
            <w:tcW w:w="2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分值</w:t>
            </w:r>
          </w:p>
        </w:tc>
        <w:tc>
          <w:tcPr>
            <w:tcW w:w="2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14:textFill>
                  <w14:solidFill>
                    <w14:schemeClr w14:val="tx1"/>
                  </w14:solidFill>
                </w14:textFill>
              </w:rPr>
            </w:pPr>
            <w:r>
              <w:rPr>
                <w:rFonts w:hint="eastAsia" w:ascii="宋体" w:hAnsi="宋体" w:cs="宋体"/>
                <w:color w:val="000000" w:themeColor="text1"/>
                <w14:textFill>
                  <w14:solidFill>
                    <w14:schemeClr w14:val="tx1"/>
                  </w14:solidFill>
                </w14:textFill>
              </w:rPr>
              <w:t>4</w:t>
            </w:r>
            <w:r>
              <w:rPr>
                <w:rFonts w:ascii="宋体" w:hAnsi="宋体" w:cs="宋体"/>
                <w:color w:val="000000" w:themeColor="text1"/>
                <w14:textFill>
                  <w14:solidFill>
                    <w14:schemeClr w14:val="tx1"/>
                  </w14:solidFill>
                </w14:textFill>
              </w:rPr>
              <w:t>0</w:t>
            </w:r>
            <w:r>
              <w:rPr>
                <w:rFonts w:hint="eastAsia" w:ascii="宋体" w:hAnsi="宋体" w:cs="宋体"/>
                <w:color w:val="000000" w:themeColor="text1"/>
                <w14:textFill>
                  <w14:solidFill>
                    <w14:schemeClr w14:val="tx1"/>
                  </w14:solidFill>
                </w14:textFill>
              </w:rPr>
              <w:t>分</w:t>
            </w:r>
          </w:p>
        </w:tc>
        <w:tc>
          <w:tcPr>
            <w:tcW w:w="2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14:textFill>
                  <w14:solidFill>
                    <w14:schemeClr w14:val="tx1"/>
                  </w14:solidFill>
                </w14:textFill>
              </w:rPr>
            </w:pPr>
            <w:r>
              <w:rPr>
                <w:rFonts w:ascii="宋体" w:hAnsi="宋体" w:cs="宋体"/>
                <w:color w:val="000000" w:themeColor="text1"/>
                <w14:textFill>
                  <w14:solidFill>
                    <w14:schemeClr w14:val="tx1"/>
                  </w14:solidFill>
                </w14:textFill>
              </w:rPr>
              <w:t>35</w:t>
            </w:r>
            <w:r>
              <w:rPr>
                <w:rFonts w:hint="eastAsia" w:ascii="宋体" w:hAnsi="宋体" w:cs="宋体"/>
                <w:color w:val="000000" w:themeColor="text1"/>
                <w14:textFill>
                  <w14:solidFill>
                    <w14:schemeClr w14:val="tx1"/>
                  </w14:solidFill>
                </w14:textFill>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14:textFill>
                  <w14:solidFill>
                    <w14:schemeClr w14:val="tx1"/>
                  </w14:solidFill>
                </w14:textFill>
              </w:rPr>
            </w:pPr>
            <w:r>
              <w:rPr>
                <w:rFonts w:ascii="宋体" w:hAnsi="宋体" w:cs="宋体"/>
                <w:color w:val="000000" w:themeColor="text1"/>
                <w14:textFill>
                  <w14:solidFill>
                    <w14:schemeClr w14:val="tx1"/>
                  </w14:solidFill>
                </w14:textFill>
              </w:rPr>
              <w:t>25</w:t>
            </w:r>
            <w:r>
              <w:rPr>
                <w:rFonts w:hint="eastAsia" w:ascii="宋体" w:hAnsi="宋体" w:cs="宋体"/>
                <w:color w:val="000000" w:themeColor="text1"/>
                <w14:textFill>
                  <w14:solidFill>
                    <w14:schemeClr w14:val="tx1"/>
                  </w14:solidFill>
                </w14:textFill>
              </w:rPr>
              <w:t>分</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技术评分细则：</w:t>
      </w:r>
    </w:p>
    <w:tbl>
      <w:tblPr>
        <w:tblStyle w:val="48"/>
        <w:tblW w:w="9375" w:type="dxa"/>
        <w:jc w:val="center"/>
        <w:shd w:val="clear" w:color="auto" w:fill="FFFFFF"/>
        <w:tblLayout w:type="fixed"/>
        <w:tblCellMar>
          <w:top w:w="0" w:type="dxa"/>
          <w:left w:w="0" w:type="dxa"/>
          <w:bottom w:w="0" w:type="dxa"/>
          <w:right w:w="0" w:type="dxa"/>
        </w:tblCellMar>
      </w:tblPr>
      <w:tblGrid>
        <w:gridCol w:w="685"/>
        <w:gridCol w:w="1333"/>
        <w:gridCol w:w="817"/>
        <w:gridCol w:w="6540"/>
      </w:tblGrid>
      <w:tr>
        <w:tblPrEx>
          <w:shd w:val="clear" w:color="auto" w:fill="FFFFFF"/>
          <w:tblCellMar>
            <w:top w:w="0" w:type="dxa"/>
            <w:left w:w="0" w:type="dxa"/>
            <w:bottom w:w="0" w:type="dxa"/>
            <w:right w:w="0" w:type="dxa"/>
          </w:tblCellMar>
        </w:tblPrEx>
        <w:trPr>
          <w:cantSplit/>
          <w:trHeight w:val="460" w:hRule="atLeast"/>
          <w:tblHeader/>
          <w:jc w:val="center"/>
        </w:trPr>
        <w:tc>
          <w:tcPr>
            <w:tcW w:w="6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评审内容</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3552" w:hRule="atLeast"/>
          <w:jc w:val="center"/>
        </w:trPr>
        <w:tc>
          <w:tcPr>
            <w:tcW w:w="6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服务方案</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根据投标人提供的服务方案（包括服务方案是否科学、合理，应对措施是否具体、有效，工作目标是否明确、可行，以及是否根据项目实际情况制订合理、可行且针对性强的具体服务方案等）进行评审：</w:t>
            </w:r>
          </w:p>
          <w:p>
            <w:pPr>
              <w:spacing w:line="3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14:textFill>
                  <w14:solidFill>
                    <w14:schemeClr w14:val="tx1"/>
                  </w14:solidFill>
                </w14:textFill>
              </w:rPr>
              <w:t>总体服务方案科学、合理、可行，针对性强，亮点多，应对措施具体、有效，能完全满足采购人的需求的，得7分；</w:t>
            </w:r>
          </w:p>
          <w:p>
            <w:pPr>
              <w:spacing w:line="3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14:textFill>
                  <w14:solidFill>
                    <w14:schemeClr w14:val="tx1"/>
                  </w14:solidFill>
                </w14:textFill>
              </w:rPr>
              <w:t>总体服务方案较科学、较合理、较可行，针对性较强，亮点较多，应对措施较具体、较有效，基本能满足采购人的需求的，得4分；</w:t>
            </w:r>
          </w:p>
          <w:p>
            <w:pPr>
              <w:spacing w:line="3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14:textFill>
                  <w14:solidFill>
                    <w14:schemeClr w14:val="tx1"/>
                  </w14:solidFill>
                </w14:textFill>
              </w:rPr>
              <w:t>总体服务方案一般，亮点一般，应对措施一般，基本能满足采购人的需求的，得2分；</w:t>
            </w:r>
          </w:p>
          <w:p>
            <w:pPr>
              <w:pStyle w:val="311"/>
              <w:spacing w:line="360" w:lineRule="exact"/>
              <w:ind w:left="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4</w:t>
            </w: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总体服务方案较差，不能满足采购人的需求的，得</w:t>
            </w:r>
            <w:r>
              <w:rPr>
                <w:rFonts w:hint="eastAsia" w:ascii="宋体" w:hAnsi="宋体" w:cs="宋体"/>
                <w:color w:val="000000" w:themeColor="text1"/>
                <w:sz w:val="21"/>
                <w:szCs w:val="21"/>
                <w14:textFill>
                  <w14:solidFill>
                    <w14:schemeClr w14:val="tx1"/>
                  </w14:solidFill>
                </w14:textFill>
              </w:rPr>
              <w:t xml:space="preserve"> </w:t>
            </w:r>
            <w:r>
              <w:rPr>
                <w:rFonts w:ascii="宋体" w:hAnsi="宋体" w:cs="宋体"/>
                <w:color w:val="000000" w:themeColor="text1"/>
                <w:sz w:val="21"/>
                <w:szCs w:val="21"/>
                <w14:textFill>
                  <w14:solidFill>
                    <w14:schemeClr w14:val="tx1"/>
                  </w14:solidFill>
                </w14:textFill>
              </w:rPr>
              <w:t>1分；</w:t>
            </w:r>
          </w:p>
          <w:p>
            <w:pPr>
              <w:spacing w:line="360" w:lineRule="exact"/>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2819" w:hRule="atLeast"/>
          <w:jc w:val="center"/>
        </w:trPr>
        <w:tc>
          <w:tcPr>
            <w:tcW w:w="6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exact"/>
              <w:jc w:val="center"/>
              <w:textAlignment w:val="top"/>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ascii="宋体" w:hAnsi="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服务质量及保障措施</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11"/>
              <w:spacing w:line="360" w:lineRule="exact"/>
              <w:ind w:left="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包括但不限于：①服务质量保障体系；②服务质量保障措施；</w:t>
            </w:r>
          </w:p>
          <w:p>
            <w:pPr>
              <w:pStyle w:val="311"/>
              <w:spacing w:line="360" w:lineRule="exact"/>
              <w:ind w:left="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服务质量保证体系及保障措施全面、可行性高，操作性强，</w:t>
            </w:r>
            <w:r>
              <w:rPr>
                <w:rFonts w:hint="eastAsia" w:ascii="宋体" w:hAnsi="宋体" w:cs="宋体"/>
                <w:color w:val="000000" w:themeColor="text1"/>
                <w14:textFill>
                  <w14:solidFill>
                    <w14:schemeClr w14:val="tx1"/>
                  </w14:solidFill>
                </w14:textFill>
              </w:rPr>
              <w:t>完全满足采购人的需求的，</w:t>
            </w:r>
            <w:r>
              <w:rPr>
                <w:rFonts w:ascii="宋体" w:hAnsi="宋体" w:cs="宋体"/>
                <w:color w:val="000000" w:themeColor="text1"/>
                <w:sz w:val="21"/>
                <w:szCs w:val="21"/>
                <w14:textFill>
                  <w14:solidFill>
                    <w14:schemeClr w14:val="tx1"/>
                  </w14:solidFill>
                </w14:textFill>
              </w:rPr>
              <w:t xml:space="preserve">得 7 </w:t>
            </w:r>
            <w:r>
              <w:rPr>
                <w:rFonts w:hint="eastAsia" w:ascii="宋体" w:hAnsi="宋体" w:cs="宋体"/>
                <w:color w:val="000000" w:themeColor="text1"/>
                <w:sz w:val="21"/>
                <w:szCs w:val="21"/>
                <w14:textFill>
                  <w14:solidFill>
                    <w14:schemeClr w14:val="tx1"/>
                  </w14:solidFill>
                </w14:textFill>
              </w:rPr>
              <w:t>分；</w:t>
            </w:r>
          </w:p>
          <w:p>
            <w:pPr>
              <w:pStyle w:val="311"/>
              <w:spacing w:line="360" w:lineRule="exact"/>
              <w:ind w:left="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服务质量保证体系及保障措施较为全面、可行性较高、操作性较好，</w:t>
            </w:r>
            <w:r>
              <w:rPr>
                <w:rFonts w:hint="eastAsia" w:ascii="宋体" w:hAnsi="宋体" w:cs="宋体"/>
                <w:color w:val="000000" w:themeColor="text1"/>
                <w:sz w:val="21"/>
                <w:szCs w:val="21"/>
                <w14:textFill>
                  <w14:solidFill>
                    <w14:schemeClr w14:val="tx1"/>
                  </w14:solidFill>
                </w14:textFill>
              </w:rPr>
              <w:t>较好地</w:t>
            </w:r>
            <w:r>
              <w:rPr>
                <w:rFonts w:hint="eastAsia" w:ascii="宋体" w:hAnsi="宋体" w:cs="宋体"/>
                <w:color w:val="000000" w:themeColor="text1"/>
                <w14:textFill>
                  <w14:solidFill>
                    <w14:schemeClr w14:val="tx1"/>
                  </w14:solidFill>
                </w14:textFill>
              </w:rPr>
              <w:t>满足采购人的需求的，</w:t>
            </w:r>
            <w:r>
              <w:rPr>
                <w:rFonts w:ascii="宋体" w:hAnsi="宋体" w:cs="宋体"/>
                <w:color w:val="000000" w:themeColor="text1"/>
                <w:sz w:val="21"/>
                <w:szCs w:val="21"/>
                <w14:textFill>
                  <w14:solidFill>
                    <w14:schemeClr w14:val="tx1"/>
                  </w14:solidFill>
                </w14:textFill>
              </w:rPr>
              <w:t>得</w:t>
            </w:r>
            <w:r>
              <w:rPr>
                <w:rFonts w:hint="eastAsia" w:ascii="宋体" w:hAnsi="宋体" w:cs="宋体"/>
                <w:color w:val="000000" w:themeColor="text1"/>
                <w:sz w:val="21"/>
                <w:szCs w:val="21"/>
                <w14:textFill>
                  <w14:solidFill>
                    <w14:schemeClr w14:val="tx1"/>
                  </w14:solidFill>
                </w14:textFill>
              </w:rPr>
              <w:t xml:space="preserve"> </w:t>
            </w:r>
            <w:r>
              <w:rPr>
                <w:rFonts w:ascii="宋体" w:hAnsi="宋体" w:cs="宋体"/>
                <w:color w:val="000000" w:themeColor="text1"/>
                <w:sz w:val="21"/>
                <w:szCs w:val="21"/>
                <w14:textFill>
                  <w14:solidFill>
                    <w14:schemeClr w14:val="tx1"/>
                  </w14:solidFill>
                </w14:textFill>
              </w:rPr>
              <w:t>4</w:t>
            </w:r>
            <w:r>
              <w:rPr>
                <w:rFonts w:hint="eastAsia" w:ascii="宋体" w:hAnsi="宋体" w:cs="宋体"/>
                <w:color w:val="000000" w:themeColor="text1"/>
                <w:sz w:val="21"/>
                <w:szCs w:val="21"/>
                <w14:textFill>
                  <w14:solidFill>
                    <w14:schemeClr w14:val="tx1"/>
                  </w14:solidFill>
                </w14:textFill>
              </w:rPr>
              <w:t xml:space="preserve"> 分；</w:t>
            </w:r>
          </w:p>
          <w:p>
            <w:pPr>
              <w:pStyle w:val="311"/>
              <w:spacing w:line="360" w:lineRule="exact"/>
              <w:ind w:left="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服务质量保证体系及保障措施清晰但不全面，具有一定的可行性和操作性，</w:t>
            </w:r>
            <w:r>
              <w:rPr>
                <w:rFonts w:hint="eastAsia" w:ascii="宋体" w:hAnsi="宋体" w:cs="宋体"/>
                <w:color w:val="000000" w:themeColor="text1"/>
                <w14:textFill>
                  <w14:solidFill>
                    <w14:schemeClr w14:val="tx1"/>
                  </w14:solidFill>
                </w14:textFill>
              </w:rPr>
              <w:t>基本能满足采购人的需求的，</w:t>
            </w:r>
            <w:r>
              <w:rPr>
                <w:rFonts w:ascii="宋体" w:hAnsi="宋体" w:cs="宋体"/>
                <w:color w:val="000000" w:themeColor="text1"/>
                <w:sz w:val="21"/>
                <w:szCs w:val="21"/>
                <w14:textFill>
                  <w14:solidFill>
                    <w14:schemeClr w14:val="tx1"/>
                  </w14:solidFill>
                </w14:textFill>
              </w:rPr>
              <w:t xml:space="preserve">得 2 </w:t>
            </w:r>
            <w:r>
              <w:rPr>
                <w:rFonts w:hint="eastAsia" w:ascii="宋体" w:hAnsi="宋体" w:cs="宋体"/>
                <w:color w:val="000000" w:themeColor="text1"/>
                <w:sz w:val="21"/>
                <w:szCs w:val="21"/>
                <w14:textFill>
                  <w14:solidFill>
                    <w14:schemeClr w14:val="tx1"/>
                  </w14:solidFill>
                </w14:textFill>
              </w:rPr>
              <w:t>分；</w:t>
            </w:r>
          </w:p>
          <w:p>
            <w:pPr>
              <w:pStyle w:val="311"/>
              <w:spacing w:line="360" w:lineRule="exact"/>
              <w:ind w:left="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4</w:t>
            </w: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服务质量保证体系及保障措施基本清晰、基本可行，不能满足采购人的需求的</w:t>
            </w: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 xml:space="preserve">得 1 </w:t>
            </w:r>
            <w:r>
              <w:rPr>
                <w:rFonts w:hint="eastAsia" w:ascii="宋体" w:hAnsi="宋体" w:cs="宋体"/>
                <w:color w:val="000000" w:themeColor="text1"/>
                <w:sz w:val="21"/>
                <w:szCs w:val="21"/>
                <w14:textFill>
                  <w14:solidFill>
                    <w14:schemeClr w14:val="tx1"/>
                  </w14:solidFill>
                </w14:textFill>
              </w:rPr>
              <w:t>分。</w:t>
            </w:r>
          </w:p>
          <w:p>
            <w:pPr>
              <w:pStyle w:val="311"/>
              <w:spacing w:line="360" w:lineRule="exact"/>
              <w:ind w:left="0"/>
              <w:rPr>
                <w:rFonts w:ascii="宋体" w:hAnsi="宋体" w:cs="宋体"/>
                <w:color w:val="000000" w:themeColor="text1"/>
                <w:sz w:val="21"/>
                <w:szCs w:val="21"/>
                <w14:textFill>
                  <w14:solidFill>
                    <w14:schemeClr w14:val="tx1"/>
                  </w14:solidFill>
                </w14:textFill>
              </w:rPr>
            </w:pPr>
            <w:r>
              <w:rPr>
                <w:rFonts w:ascii="宋体" w:hAnsi="宋体" w:cs="宋体"/>
                <w:b/>
                <w:bCs/>
                <w:color w:val="000000" w:themeColor="text1"/>
                <w:sz w:val="21"/>
                <w:szCs w:val="21"/>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353" w:hRule="atLeast"/>
          <w:jc w:val="center"/>
        </w:trPr>
        <w:tc>
          <w:tcPr>
            <w:tcW w:w="6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exact"/>
              <w:jc w:val="center"/>
              <w:textAlignment w:val="top"/>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工资的合理性（人员福利待遇）方案</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11"/>
              <w:spacing w:line="360" w:lineRule="exact"/>
              <w:ind w:left="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包括但不限于：①服务人员薪酬体系；②服务人员福利保障措施；</w:t>
            </w:r>
          </w:p>
          <w:p>
            <w:pPr>
              <w:pStyle w:val="311"/>
              <w:spacing w:line="360" w:lineRule="exact"/>
              <w:ind w:left="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方案</w:t>
            </w:r>
            <w:r>
              <w:rPr>
                <w:rFonts w:hint="eastAsia" w:ascii="宋体" w:hAnsi="宋体" w:cs="宋体"/>
                <w:color w:val="000000" w:themeColor="text1"/>
                <w:sz w:val="21"/>
                <w:szCs w:val="21"/>
                <w14:textFill>
                  <w14:solidFill>
                    <w14:schemeClr w14:val="tx1"/>
                  </w14:solidFill>
                </w14:textFill>
              </w:rPr>
              <w:t>详细</w:t>
            </w:r>
            <w:r>
              <w:rPr>
                <w:rFonts w:ascii="宋体" w:hAnsi="宋体" w:cs="宋体"/>
                <w:color w:val="000000" w:themeColor="text1"/>
                <w:sz w:val="21"/>
                <w:szCs w:val="21"/>
                <w14:textFill>
                  <w14:solidFill>
                    <w14:schemeClr w14:val="tx1"/>
                  </w14:solidFill>
                </w14:textFill>
              </w:rPr>
              <w:t xml:space="preserve">全面、可行性高，操作性强，得 7 </w:t>
            </w:r>
            <w:r>
              <w:rPr>
                <w:rFonts w:hint="eastAsia" w:ascii="宋体" w:hAnsi="宋体" w:cs="宋体"/>
                <w:color w:val="000000" w:themeColor="text1"/>
                <w:sz w:val="21"/>
                <w:szCs w:val="21"/>
                <w14:textFill>
                  <w14:solidFill>
                    <w14:schemeClr w14:val="tx1"/>
                  </w14:solidFill>
                </w14:textFill>
              </w:rPr>
              <w:t>分；</w:t>
            </w:r>
          </w:p>
          <w:p>
            <w:pPr>
              <w:pStyle w:val="311"/>
              <w:spacing w:line="360" w:lineRule="exact"/>
              <w:ind w:left="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 xml:space="preserve">方案较为全面、可行性较高、操作性较高，得 </w:t>
            </w:r>
            <w:r>
              <w:rPr>
                <w:rFonts w:hint="eastAsia" w:ascii="宋体" w:hAnsi="宋体" w:cs="宋体"/>
                <w:color w:val="000000" w:themeColor="text1"/>
                <w:sz w:val="21"/>
                <w:szCs w:val="21"/>
                <w14:textFill>
                  <w14:solidFill>
                    <w14:schemeClr w14:val="tx1"/>
                  </w14:solidFill>
                </w14:textFill>
              </w:rPr>
              <w:t>4分；</w:t>
            </w:r>
          </w:p>
          <w:p>
            <w:pPr>
              <w:pStyle w:val="311"/>
              <w:spacing w:line="360" w:lineRule="exact"/>
              <w:ind w:left="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方案清晰但不全面，具有一定的可行性和操作性，得</w:t>
            </w:r>
            <w:r>
              <w:rPr>
                <w:rFonts w:hint="eastAsia" w:ascii="宋体" w:hAnsi="宋体" w:cs="宋体"/>
                <w:color w:val="000000" w:themeColor="text1"/>
                <w:sz w:val="21"/>
                <w:szCs w:val="21"/>
                <w14:textFill>
                  <w14:solidFill>
                    <w14:schemeClr w14:val="tx1"/>
                  </w14:solidFill>
                </w14:textFill>
              </w:rPr>
              <w:t>2分；</w:t>
            </w:r>
          </w:p>
          <w:p>
            <w:pPr>
              <w:pStyle w:val="311"/>
              <w:spacing w:line="360" w:lineRule="exact"/>
              <w:ind w:left="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4</w:t>
            </w: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方案</w:t>
            </w:r>
            <w:r>
              <w:rPr>
                <w:rFonts w:hint="eastAsia" w:ascii="宋体" w:hAnsi="宋体" w:cs="宋体"/>
                <w:color w:val="000000" w:themeColor="text1"/>
                <w:sz w:val="21"/>
                <w:szCs w:val="21"/>
                <w14:textFill>
                  <w14:solidFill>
                    <w14:schemeClr w14:val="tx1"/>
                  </w14:solidFill>
                </w14:textFill>
              </w:rPr>
              <w:t>不</w:t>
            </w:r>
            <w:r>
              <w:rPr>
                <w:rFonts w:ascii="宋体" w:hAnsi="宋体" w:cs="宋体"/>
                <w:color w:val="000000" w:themeColor="text1"/>
                <w:sz w:val="21"/>
                <w:szCs w:val="21"/>
                <w14:textFill>
                  <w14:solidFill>
                    <w14:schemeClr w14:val="tx1"/>
                  </w14:solidFill>
                </w14:textFill>
              </w:rPr>
              <w:t xml:space="preserve">清晰、基本可行，得 1 </w:t>
            </w:r>
            <w:r>
              <w:rPr>
                <w:rFonts w:hint="eastAsia" w:ascii="宋体" w:hAnsi="宋体" w:cs="宋体"/>
                <w:color w:val="000000" w:themeColor="text1"/>
                <w:sz w:val="21"/>
                <w:szCs w:val="21"/>
                <w14:textFill>
                  <w14:solidFill>
                    <w14:schemeClr w14:val="tx1"/>
                  </w14:solidFill>
                </w14:textFill>
              </w:rPr>
              <w:t>分。</w:t>
            </w:r>
          </w:p>
          <w:p>
            <w:pPr>
              <w:widowControl/>
              <w:spacing w:line="360" w:lineRule="exact"/>
              <w:jc w:val="left"/>
              <w:rPr>
                <w:rFonts w:ascii="宋体" w:hAnsi="宋体" w:cs="仿宋"/>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640" w:hRule="atLeast"/>
          <w:jc w:val="center"/>
        </w:trPr>
        <w:tc>
          <w:tcPr>
            <w:tcW w:w="6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exact"/>
              <w:jc w:val="center"/>
              <w:textAlignment w:val="top"/>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ascii="宋体" w:hAnsi="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保安员培训及管理方案</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11"/>
              <w:spacing w:line="360" w:lineRule="exact"/>
              <w:ind w:left="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包括但不限于：①培训计划；②培训目标；③培训方式；④人员管理方案（录用与考核、协调关系、服务意识、量化管理及标准运作等）。</w:t>
            </w:r>
          </w:p>
          <w:p>
            <w:pPr>
              <w:pStyle w:val="311"/>
              <w:spacing w:line="360" w:lineRule="exact"/>
              <w:ind w:left="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方案描述详细、合理、可行性高，</w:t>
            </w:r>
            <w:r>
              <w:rPr>
                <w:rFonts w:hint="eastAsia" w:ascii="宋体" w:hAnsi="宋体" w:cs="宋体"/>
                <w:color w:val="000000" w:themeColor="text1"/>
                <w14:textFill>
                  <w14:solidFill>
                    <w14:schemeClr w14:val="tx1"/>
                  </w14:solidFill>
                </w14:textFill>
              </w:rPr>
              <w:t>完全满足采购人的需求的，</w:t>
            </w:r>
            <w:r>
              <w:rPr>
                <w:rFonts w:ascii="宋体" w:hAnsi="宋体" w:cs="宋体"/>
                <w:color w:val="000000" w:themeColor="text1"/>
                <w:sz w:val="21"/>
                <w:szCs w:val="21"/>
                <w14:textFill>
                  <w14:solidFill>
                    <w14:schemeClr w14:val="tx1"/>
                  </w14:solidFill>
                </w14:textFill>
              </w:rPr>
              <w:t xml:space="preserve">得 7 </w:t>
            </w:r>
            <w:r>
              <w:rPr>
                <w:rFonts w:hint="eastAsia" w:ascii="宋体" w:hAnsi="宋体" w:cs="宋体"/>
                <w:color w:val="000000" w:themeColor="text1"/>
                <w:sz w:val="21"/>
                <w:szCs w:val="21"/>
                <w14:textFill>
                  <w14:solidFill>
                    <w14:schemeClr w14:val="tx1"/>
                  </w14:solidFill>
                </w14:textFill>
              </w:rPr>
              <w:t>分；</w:t>
            </w:r>
          </w:p>
          <w:p>
            <w:pPr>
              <w:pStyle w:val="311"/>
              <w:spacing w:line="360" w:lineRule="exact"/>
              <w:ind w:left="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方案描述较为详细、合理、具有一定的可行性，</w:t>
            </w:r>
            <w:r>
              <w:rPr>
                <w:rFonts w:hint="eastAsia" w:ascii="宋体" w:hAnsi="宋体" w:cs="宋体"/>
                <w:color w:val="000000" w:themeColor="text1"/>
                <w14:textFill>
                  <w14:solidFill>
                    <w14:schemeClr w14:val="tx1"/>
                  </w14:solidFill>
                </w14:textFill>
              </w:rPr>
              <w:t>基本能满足采购人的需求的，</w:t>
            </w:r>
            <w:r>
              <w:rPr>
                <w:rFonts w:ascii="宋体" w:hAnsi="宋体" w:cs="宋体"/>
                <w:color w:val="000000" w:themeColor="text1"/>
                <w:sz w:val="21"/>
                <w:szCs w:val="21"/>
                <w14:textFill>
                  <w14:solidFill>
                    <w14:schemeClr w14:val="tx1"/>
                  </w14:solidFill>
                </w14:textFill>
              </w:rPr>
              <w:t xml:space="preserve">得 4 </w:t>
            </w:r>
            <w:r>
              <w:rPr>
                <w:rFonts w:hint="eastAsia" w:ascii="宋体" w:hAnsi="宋体" w:cs="宋体"/>
                <w:color w:val="000000" w:themeColor="text1"/>
                <w:sz w:val="21"/>
                <w:szCs w:val="21"/>
                <w14:textFill>
                  <w14:solidFill>
                    <w14:schemeClr w14:val="tx1"/>
                  </w14:solidFill>
                </w14:textFill>
              </w:rPr>
              <w:t>分；</w:t>
            </w:r>
          </w:p>
          <w:p>
            <w:pPr>
              <w:pStyle w:val="311"/>
              <w:spacing w:line="360" w:lineRule="exact"/>
              <w:ind w:left="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方案描述完整但不够详细、合理性较低，可行性较低，不能满足采购人的需求的</w:t>
            </w: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得 2分；</w:t>
            </w:r>
          </w:p>
          <w:p>
            <w:pPr>
              <w:widowControl/>
              <w:spacing w:line="360" w:lineRule="exact"/>
              <w:jc w:val="left"/>
              <w:rPr>
                <w:rFonts w:ascii="宋体" w:hAnsi="宋体" w:cs="仿宋"/>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不提供不得分。</w:t>
            </w:r>
          </w:p>
        </w:tc>
      </w:tr>
      <w:tr>
        <w:tblPrEx>
          <w:tblCellMar>
            <w:top w:w="0" w:type="dxa"/>
            <w:left w:w="0" w:type="dxa"/>
            <w:bottom w:w="0" w:type="dxa"/>
            <w:right w:w="0" w:type="dxa"/>
          </w:tblCellMar>
        </w:tblPrEx>
        <w:trPr>
          <w:cantSplit/>
          <w:trHeight w:val="640" w:hRule="atLeast"/>
          <w:jc w:val="center"/>
        </w:trPr>
        <w:tc>
          <w:tcPr>
            <w:tcW w:w="6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exact"/>
              <w:jc w:val="center"/>
              <w:textAlignment w:val="top"/>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p>
        </w:tc>
        <w:tc>
          <w:tcPr>
            <w:tcW w:w="1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11"/>
              <w:spacing w:line="360" w:lineRule="exact"/>
              <w:ind w:left="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突发事件应</w:t>
            </w:r>
          </w:p>
          <w:p>
            <w:pPr>
              <w:spacing w:line="36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急响应能力</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11"/>
              <w:spacing w:line="360" w:lineRule="exact"/>
              <w:ind w:left="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包括但不限于：①应对火灾、治安、反恐、生产安全突发事件处理预案；②突发事件的处理措施；③资源调配能力；</w:t>
            </w:r>
          </w:p>
          <w:p>
            <w:pPr>
              <w:pStyle w:val="311"/>
              <w:spacing w:line="360" w:lineRule="exact"/>
              <w:ind w:left="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方案描述详细、合理、可行性高，</w:t>
            </w:r>
            <w:r>
              <w:rPr>
                <w:rFonts w:hint="eastAsia" w:ascii="宋体" w:hAnsi="宋体" w:cs="宋体"/>
                <w:color w:val="000000" w:themeColor="text1"/>
                <w14:textFill>
                  <w14:solidFill>
                    <w14:schemeClr w14:val="tx1"/>
                  </w14:solidFill>
                </w14:textFill>
              </w:rPr>
              <w:t>完全满足采购人的需求的，</w:t>
            </w:r>
            <w:r>
              <w:rPr>
                <w:rFonts w:ascii="宋体" w:hAnsi="宋体" w:cs="宋体"/>
                <w:color w:val="000000" w:themeColor="text1"/>
                <w:sz w:val="21"/>
                <w:szCs w:val="21"/>
                <w14:textFill>
                  <w14:solidFill>
                    <w14:schemeClr w14:val="tx1"/>
                  </w14:solidFill>
                </w14:textFill>
              </w:rPr>
              <w:t xml:space="preserve">得 7 </w:t>
            </w:r>
            <w:r>
              <w:rPr>
                <w:rFonts w:hint="eastAsia" w:ascii="宋体" w:hAnsi="宋体" w:cs="宋体"/>
                <w:color w:val="000000" w:themeColor="text1"/>
                <w:sz w:val="21"/>
                <w:szCs w:val="21"/>
                <w14:textFill>
                  <w14:solidFill>
                    <w14:schemeClr w14:val="tx1"/>
                  </w14:solidFill>
                </w14:textFill>
              </w:rPr>
              <w:t>分；</w:t>
            </w:r>
          </w:p>
          <w:p>
            <w:pPr>
              <w:pStyle w:val="311"/>
              <w:spacing w:line="360" w:lineRule="exact"/>
              <w:ind w:left="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方案描述较为详细、合理、具有一定的可行性，</w:t>
            </w:r>
            <w:r>
              <w:rPr>
                <w:rFonts w:hint="eastAsia" w:ascii="宋体" w:hAnsi="宋体" w:cs="宋体"/>
                <w:color w:val="000000" w:themeColor="text1"/>
                <w14:textFill>
                  <w14:solidFill>
                    <w14:schemeClr w14:val="tx1"/>
                  </w14:solidFill>
                </w14:textFill>
              </w:rPr>
              <w:t>基本能满足采购人的需求的，</w:t>
            </w:r>
            <w:r>
              <w:rPr>
                <w:rFonts w:ascii="宋体" w:hAnsi="宋体" w:cs="宋体"/>
                <w:color w:val="000000" w:themeColor="text1"/>
                <w:sz w:val="21"/>
                <w:szCs w:val="21"/>
                <w14:textFill>
                  <w14:solidFill>
                    <w14:schemeClr w14:val="tx1"/>
                  </w14:solidFill>
                </w14:textFill>
              </w:rPr>
              <w:t xml:space="preserve">得 4 </w:t>
            </w:r>
            <w:r>
              <w:rPr>
                <w:rFonts w:hint="eastAsia" w:ascii="宋体" w:hAnsi="宋体" w:cs="宋体"/>
                <w:color w:val="000000" w:themeColor="text1"/>
                <w:sz w:val="21"/>
                <w:szCs w:val="21"/>
                <w14:textFill>
                  <w14:solidFill>
                    <w14:schemeClr w14:val="tx1"/>
                  </w14:solidFill>
                </w14:textFill>
              </w:rPr>
              <w:t>分；</w:t>
            </w:r>
          </w:p>
          <w:p>
            <w:pPr>
              <w:pStyle w:val="311"/>
              <w:spacing w:line="360" w:lineRule="exact"/>
              <w:ind w:left="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方案描述完整但不够详细、合理性低，可行性低，不能满足采购人的需求的</w:t>
            </w: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得 2</w:t>
            </w:r>
            <w:r>
              <w:rPr>
                <w:rFonts w:hint="eastAsia" w:ascii="宋体" w:hAnsi="宋体" w:cs="宋体"/>
                <w:color w:val="000000" w:themeColor="text1"/>
                <w:sz w:val="21"/>
                <w:szCs w:val="21"/>
                <w14:textFill>
                  <w14:solidFill>
                    <w14:schemeClr w14:val="tx1"/>
                  </w14:solidFill>
                </w14:textFill>
              </w:rPr>
              <w:t xml:space="preserve"> </w:t>
            </w:r>
            <w:r>
              <w:rPr>
                <w:rFonts w:ascii="宋体" w:hAnsi="宋体" w:cs="宋体"/>
                <w:color w:val="000000" w:themeColor="text1"/>
                <w:sz w:val="21"/>
                <w:szCs w:val="21"/>
                <w14:textFill>
                  <w14:solidFill>
                    <w14:schemeClr w14:val="tx1"/>
                  </w14:solidFill>
                </w14:textFill>
              </w:rPr>
              <w:t>分；</w:t>
            </w:r>
          </w:p>
          <w:p>
            <w:pPr>
              <w:widowControl/>
              <w:spacing w:line="360" w:lineRule="exact"/>
              <w:jc w:val="left"/>
              <w:rPr>
                <w:rFonts w:ascii="宋体" w:hAnsi="宋体"/>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640" w:hRule="atLeast"/>
          <w:jc w:val="center"/>
        </w:trPr>
        <w:tc>
          <w:tcPr>
            <w:tcW w:w="6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6</w:t>
            </w:r>
          </w:p>
        </w:tc>
        <w:tc>
          <w:tcPr>
            <w:tcW w:w="1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人员保障措施</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根据投标人提供的</w:t>
            </w:r>
            <w:r>
              <w:rPr>
                <w:rFonts w:hint="eastAsia" w:ascii="宋体" w:hAnsi="宋体" w:cs="宋体"/>
                <w:color w:val="000000" w:themeColor="text1"/>
                <w:szCs w:val="21"/>
                <w14:textFill>
                  <w14:solidFill>
                    <w14:schemeClr w14:val="tx1"/>
                  </w14:solidFill>
                </w14:textFill>
              </w:rPr>
              <w:t>人员储备计划、人员保障措施</w:t>
            </w:r>
            <w:r>
              <w:rPr>
                <w:rFonts w:hint="eastAsia" w:ascii="宋体" w:hAnsi="宋体" w:cs="宋体"/>
                <w:color w:val="000000" w:themeColor="text1"/>
                <w14:textFill>
                  <w14:solidFill>
                    <w14:schemeClr w14:val="tx1"/>
                  </w14:solidFill>
                </w14:textFill>
              </w:rPr>
              <w:t>进行评审：</w:t>
            </w:r>
          </w:p>
          <w:p>
            <w:pPr>
              <w:spacing w:line="3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ascii="宋体" w:hAnsi="宋体" w:cs="宋体"/>
                <w:bCs/>
                <w:color w:val="000000" w:themeColor="text1"/>
                <w:szCs w:val="21"/>
                <w14:textFill>
                  <w14:solidFill>
                    <w14:schemeClr w14:val="tx1"/>
                  </w14:solidFill>
                </w14:textFill>
              </w:rPr>
              <w:t>人员保障措施</w:t>
            </w:r>
            <w:r>
              <w:rPr>
                <w:rFonts w:hint="eastAsia" w:ascii="宋体" w:hAnsi="宋体" w:cs="宋体"/>
                <w:color w:val="000000" w:themeColor="text1"/>
                <w14:textFill>
                  <w14:solidFill>
                    <w14:schemeClr w14:val="tx1"/>
                  </w14:solidFill>
                </w14:textFill>
              </w:rPr>
              <w:t>详细合理，优于招标文件要求的，得</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分；</w:t>
            </w:r>
          </w:p>
          <w:p>
            <w:pPr>
              <w:spacing w:line="360" w:lineRule="exac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人员保障措施</w:t>
            </w:r>
            <w:r>
              <w:rPr>
                <w:rFonts w:hint="eastAsia" w:ascii="宋体" w:hAnsi="宋体" w:cs="宋体"/>
                <w:color w:val="000000" w:themeColor="text1"/>
                <w14:textFill>
                  <w14:solidFill>
                    <w14:schemeClr w14:val="tx1"/>
                  </w14:solidFill>
                </w14:textFill>
              </w:rPr>
              <w:t>基本合理，基本满足招标文件要求的，得</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分；</w:t>
            </w:r>
          </w:p>
          <w:p>
            <w:pPr>
              <w:spacing w:line="360" w:lineRule="exac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人员保障措施</w:t>
            </w:r>
            <w:r>
              <w:rPr>
                <w:rFonts w:hint="eastAsia" w:ascii="宋体" w:hAnsi="宋体" w:cs="宋体"/>
                <w:color w:val="000000" w:themeColor="text1"/>
                <w14:textFill>
                  <w14:solidFill>
                    <w14:schemeClr w14:val="tx1"/>
                  </w14:solidFill>
                </w14:textFill>
              </w:rPr>
              <w:t>欠合理，不能满足招标文件要求的，得1分；</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501" w:hRule="atLeast"/>
          <w:jc w:val="center"/>
        </w:trPr>
        <w:tc>
          <w:tcPr>
            <w:tcW w:w="201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合计</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rPr>
                <w:rFonts w:ascii="宋体" w:hAnsi="宋体" w:cs="宋体"/>
                <w:color w:val="000000" w:themeColor="text1"/>
                <w:szCs w:val="21"/>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商务</w:t>
      </w:r>
      <w:r>
        <w:rPr>
          <w:rFonts w:hint="eastAsia"/>
          <w:color w:val="000000" w:themeColor="text1"/>
          <w14:textFill>
            <w14:solidFill>
              <w14:schemeClr w14:val="tx1"/>
            </w14:solidFill>
          </w14:textFill>
        </w:rPr>
        <w:t>评</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细则</w:t>
      </w:r>
    </w:p>
    <w:tbl>
      <w:tblPr>
        <w:tblStyle w:val="48"/>
        <w:tblW w:w="9408"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350"/>
        <w:gridCol w:w="800"/>
        <w:gridCol w:w="6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4" w:hRule="atLeast"/>
        </w:trPr>
        <w:tc>
          <w:tcPr>
            <w:tcW w:w="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评审内容</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65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8" w:hRule="atLeast"/>
        </w:trPr>
        <w:tc>
          <w:tcPr>
            <w:tcW w:w="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同类项目业绩</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w:t>
            </w:r>
            <w:r>
              <w:rPr>
                <w:rFonts w:hint="eastAsia" w:ascii="宋体" w:hAnsi="宋体"/>
                <w:color w:val="000000" w:themeColor="text1"/>
                <w:szCs w:val="21"/>
                <w14:textFill>
                  <w14:solidFill>
                    <w14:schemeClr w14:val="tx1"/>
                  </w14:solidFill>
                </w14:textFill>
              </w:rPr>
              <w:t>分</w:t>
            </w:r>
          </w:p>
        </w:tc>
        <w:tc>
          <w:tcPr>
            <w:tcW w:w="65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投标人提供2021年1月1日</w:t>
            </w:r>
            <w:r>
              <w:rPr>
                <w:rFonts w:ascii="宋体" w:hAnsi="宋体" w:cs="宋体"/>
                <w:color w:val="000000" w:themeColor="text1"/>
                <w14:textFill>
                  <w14:solidFill>
                    <w14:schemeClr w14:val="tx1"/>
                  </w14:solidFill>
                </w14:textFill>
              </w:rPr>
              <w:t>至本项目公告发布之日前签署（以合</w:t>
            </w:r>
            <w:r>
              <w:rPr>
                <w:rFonts w:hint="eastAsia" w:ascii="宋体" w:hAnsi="宋体" w:cs="宋体"/>
                <w:color w:val="000000" w:themeColor="text1"/>
                <w14:textFill>
                  <w14:solidFill>
                    <w14:schemeClr w14:val="tx1"/>
                  </w14:solidFill>
                </w14:textFill>
              </w:rPr>
              <w:t>同签订时间为准）的同类项目经验进行评审：</w:t>
            </w:r>
          </w:p>
          <w:p>
            <w:pPr>
              <w:autoSpaceDE w:val="0"/>
              <w:autoSpaceDN w:val="0"/>
              <w:adjustRightInd w:val="0"/>
              <w:spacing w:line="36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1.具备金融行业同类项目业绩，每项得3分，最高15分。</w:t>
            </w:r>
          </w:p>
          <w:p>
            <w:pPr>
              <w:pStyle w:val="27"/>
              <w:autoSpaceDE w:val="0"/>
              <w:autoSpaceDN w:val="0"/>
              <w:adjustRightInd w:val="0"/>
              <w:spacing w:line="36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2.具备其他行业项目业绩，每项得2分，最高10分。</w:t>
            </w:r>
          </w:p>
          <w:p>
            <w:pPr>
              <w:spacing w:line="3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注：本项最高得15分。</w:t>
            </w:r>
          </w:p>
          <w:p>
            <w:pPr>
              <w:spacing w:line="360" w:lineRule="exact"/>
              <w:rPr>
                <w:rFonts w:ascii="宋体" w:hAnsi="宋体" w:cs="宋体"/>
                <w:color w:val="000000" w:themeColor="text1"/>
                <w14:textFill>
                  <w14:solidFill>
                    <w14:schemeClr w14:val="tx1"/>
                  </w14:solidFill>
                </w14:textFill>
              </w:rPr>
            </w:pPr>
            <w:r>
              <w:rPr>
                <w:rFonts w:ascii="宋体" w:hAnsi="宋体" w:cs="宋体"/>
                <w:b/>
                <w:bCs/>
                <w:color w:val="000000" w:themeColor="text1"/>
                <w14:textFill>
                  <w14:solidFill>
                    <w14:schemeClr w14:val="tx1"/>
                  </w14:solidFill>
                </w14:textFill>
              </w:rPr>
              <w:t>1</w:t>
            </w:r>
            <w:r>
              <w:rPr>
                <w:rFonts w:hint="eastAsia" w:ascii="宋体" w:hAnsi="宋体" w:cs="宋体"/>
                <w:b/>
                <w:bCs/>
                <w:color w:val="000000" w:themeColor="text1"/>
                <w14:textFill>
                  <w14:solidFill>
                    <w14:schemeClr w14:val="tx1"/>
                  </w14:solidFill>
                </w14:textFill>
              </w:rPr>
              <w:t>）</w:t>
            </w:r>
            <w:r>
              <w:rPr>
                <w:rFonts w:ascii="宋体" w:hAnsi="宋体" w:cs="宋体"/>
                <w:b/>
                <w:bCs/>
                <w:color w:val="000000" w:themeColor="text1"/>
                <w14:textFill>
                  <w14:solidFill>
                    <w14:schemeClr w14:val="tx1"/>
                  </w14:solidFill>
                </w14:textFill>
              </w:rPr>
              <w:t xml:space="preserve">同一个项目或同一个用户单位的业绩只计一次（不重复计分）。 </w:t>
            </w:r>
          </w:p>
          <w:p>
            <w:pPr>
              <w:spacing w:line="360" w:lineRule="exac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同类项目指的是：治安服务，或治安协管员服务，或交通协管员服务，或物业保安服务，或后勤保障保安服务等；</w:t>
            </w:r>
          </w:p>
          <w:p>
            <w:pPr>
              <w:snapToGrid w:val="0"/>
              <w:spacing w:line="360" w:lineRule="exact"/>
              <w:rPr>
                <w:rFonts w:ascii="宋体" w:hAnsi="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同类项目的验证依据为合同关键页（包括但不限于合同标的页、合同金额页、签章页，以合同金额为准）。证明材料不齐全或者未提供有效证明材料的业绩合同不计。不提供不得分</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64" w:hRule="atLeast"/>
        </w:trPr>
        <w:tc>
          <w:tcPr>
            <w:tcW w:w="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exact"/>
              <w:jc w:val="center"/>
              <w:rPr>
                <w:rFonts w:ascii="宋体" w:hAnsi="宋体" w:cs="仿宋"/>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客户满意度评价</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分</w:t>
            </w:r>
          </w:p>
        </w:tc>
        <w:tc>
          <w:tcPr>
            <w:tcW w:w="65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exac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投标人承接过同类项目客户满意度评价为满意或优秀等好评评价，每提供</w:t>
            </w:r>
            <w:r>
              <w:rPr>
                <w:rFonts w:ascii="宋体" w:hAnsi="宋体" w:cs="宋体"/>
                <w:color w:val="000000" w:themeColor="text1"/>
                <w:szCs w:val="21"/>
                <w:lang w:bidi="ar"/>
                <w14:textFill>
                  <w14:solidFill>
                    <w14:schemeClr w14:val="tx1"/>
                  </w14:solidFill>
                </w14:textFill>
              </w:rPr>
              <w:t xml:space="preserve">1个得1分，最多得 4 分。 </w:t>
            </w:r>
          </w:p>
          <w:p>
            <w:pPr>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注：</w:t>
            </w:r>
            <w:r>
              <w:rPr>
                <w:rFonts w:ascii="宋体" w:hAnsi="宋体" w:cs="宋体"/>
                <w:color w:val="000000" w:themeColor="text1"/>
                <w:szCs w:val="21"/>
                <w:lang w:bidi="ar"/>
                <w14:textFill>
                  <w14:solidFill>
                    <w14:schemeClr w14:val="tx1"/>
                  </w14:solidFill>
                </w14:textFill>
              </w:rPr>
              <w:t xml:space="preserve">提供项目合同及客户满意评价复印件或扫描件加盖公章（如客户满意度评价为评分的，则评分在 90 </w:t>
            </w:r>
            <w:r>
              <w:rPr>
                <w:rFonts w:hint="eastAsia" w:ascii="宋体" w:hAnsi="宋体" w:cs="宋体"/>
                <w:color w:val="000000" w:themeColor="text1"/>
                <w:szCs w:val="21"/>
                <w:lang w:bidi="ar"/>
                <w14:textFill>
                  <w14:solidFill>
                    <w14:schemeClr w14:val="tx1"/>
                  </w14:solidFill>
                </w14:textFill>
              </w:rPr>
              <w:t>分及以上符合要求）。</w:t>
            </w:r>
            <w:r>
              <w:rPr>
                <w:rFonts w:hint="eastAsia" w:ascii="宋体" w:hAnsi="宋体" w:cs="宋体"/>
                <w:b/>
                <w:bCs/>
                <w:color w:val="000000" w:themeColor="text1"/>
                <w:szCs w:val="21"/>
                <w:lang w:bidi="ar"/>
                <w14:textFill>
                  <w14:solidFill>
                    <w14:schemeClr w14:val="tx1"/>
                  </w14:solidFill>
                </w14:textFill>
              </w:rPr>
              <w:t>同一项目或同一个用户单位的评价意见只计一次（不重复计分）</w:t>
            </w:r>
            <w:r>
              <w:rPr>
                <w:rFonts w:hint="eastAsia" w:ascii="宋体" w:hAnsi="宋体" w:cs="宋体"/>
                <w:color w:val="000000" w:themeColor="text1"/>
                <w:szCs w:val="21"/>
                <w:lang w:bidi="ar"/>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6" w:hRule="atLeast"/>
        </w:trPr>
        <w:tc>
          <w:tcPr>
            <w:tcW w:w="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管理体系认证</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分</w:t>
            </w:r>
          </w:p>
        </w:tc>
        <w:tc>
          <w:tcPr>
            <w:tcW w:w="65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投标人具有质量管理体系认证证书、环境管理体系认证证书、职业健康安全管理体系认证证书，每项证书得</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分，最高得</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分。</w:t>
            </w:r>
          </w:p>
          <w:p>
            <w:pPr>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注：提供有效期内的证书复印件</w:t>
            </w:r>
            <w:r>
              <w:rPr>
                <w:rFonts w:hint="eastAsia" w:ascii="宋体" w:hAnsi="宋体"/>
                <w:b/>
                <w:bCs/>
                <w:color w:val="000000" w:themeColor="text1"/>
                <w14:textFill>
                  <w14:solidFill>
                    <w14:schemeClr w14:val="tx1"/>
                  </w14:solidFill>
                </w14:textFill>
              </w:rPr>
              <w:t>加</w:t>
            </w:r>
            <w:r>
              <w:rPr>
                <w:rFonts w:hint="eastAsia" w:ascii="宋体" w:hAnsi="宋体"/>
                <w:b/>
                <w:color w:val="000000" w:themeColor="text1"/>
                <w14:textFill>
                  <w14:solidFill>
                    <w14:schemeClr w14:val="tx1"/>
                  </w14:solidFill>
                </w14:textFill>
              </w:rPr>
              <w:t>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6" w:hRule="atLeast"/>
        </w:trPr>
        <w:tc>
          <w:tcPr>
            <w:tcW w:w="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拟投入本项目人员情况</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w:t>
            </w:r>
            <w:r>
              <w:rPr>
                <w:rFonts w:hint="eastAsia" w:ascii="宋体" w:hAnsi="宋体"/>
                <w:color w:val="000000" w:themeColor="text1"/>
                <w:szCs w:val="21"/>
                <w14:textFill>
                  <w14:solidFill>
                    <w14:schemeClr w14:val="tx1"/>
                  </w14:solidFill>
                </w14:textFill>
              </w:rPr>
              <w:t>分</w:t>
            </w:r>
          </w:p>
        </w:tc>
        <w:tc>
          <w:tcPr>
            <w:tcW w:w="65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exac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1.拟投入的项目经理：持有人力资源和社会保障厅颁发的“安全保护服务人员二级（或以上） 技师（原保安师）”资格证的，得3分；</w:t>
            </w:r>
          </w:p>
          <w:p>
            <w:pPr>
              <w:widowControl/>
              <w:spacing w:line="360" w:lineRule="exac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2.投标人投入的服务人员具有退伍证，每人得2分，最高得</w:t>
            </w:r>
            <w:r>
              <w:rPr>
                <w:rFonts w:ascii="宋体" w:hAnsi="宋体" w:cs="宋体"/>
                <w:color w:val="000000" w:themeColor="text1"/>
                <w:szCs w:val="21"/>
                <w:lang w:bidi="ar"/>
                <w14:textFill>
                  <w14:solidFill>
                    <w14:schemeClr w14:val="tx1"/>
                  </w14:solidFill>
                </w14:textFill>
              </w:rPr>
              <w:t>8</w:t>
            </w:r>
            <w:r>
              <w:rPr>
                <w:rFonts w:hint="eastAsia" w:ascii="宋体" w:hAnsi="宋体" w:cs="宋体"/>
                <w:color w:val="000000" w:themeColor="text1"/>
                <w:szCs w:val="21"/>
                <w:lang w:bidi="ar"/>
                <w14:textFill>
                  <w14:solidFill>
                    <w14:schemeClr w14:val="tx1"/>
                  </w14:solidFill>
                </w14:textFill>
              </w:rPr>
              <w:t>分。</w:t>
            </w:r>
          </w:p>
          <w:p>
            <w:pPr>
              <w:widowControl/>
              <w:spacing w:line="360" w:lineRule="exac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3</w:t>
            </w:r>
            <w:r>
              <w:rPr>
                <w:rFonts w:ascii="宋体" w:hAnsi="宋体" w:cs="宋体"/>
                <w:color w:val="000000" w:themeColor="text1"/>
                <w:szCs w:val="21"/>
                <w:lang w:bidi="ar"/>
                <w14:textFill>
                  <w14:solidFill>
                    <w14:schemeClr w14:val="tx1"/>
                  </w14:solidFill>
                </w14:textFill>
              </w:rPr>
              <w:t>.</w:t>
            </w:r>
            <w:r>
              <w:rPr>
                <w:rFonts w:ascii="宋体" w:hAnsi="宋体" w:cs="宋体"/>
                <w:color w:val="000000" w:themeColor="text1"/>
                <w:lang w:bidi="ar"/>
                <w14:textFill>
                  <w14:solidFill>
                    <w14:schemeClr w14:val="tx1"/>
                  </w14:solidFill>
                </w14:textFill>
              </w:rPr>
              <w:t xml:space="preserve"> 团队成员</w:t>
            </w:r>
            <w:r>
              <w:rPr>
                <w:rFonts w:hint="eastAsia" w:ascii="宋体" w:hAnsi="宋体" w:cs="宋体"/>
                <w:color w:val="000000" w:themeColor="text1"/>
                <w:szCs w:val="21"/>
                <w14:textFill>
                  <w14:solidFill>
                    <w14:schemeClr w14:val="tx1"/>
                  </w14:solidFill>
                </w14:textFill>
              </w:rPr>
              <w:t>具有公安部消防局颁发的消防设施操作员或建（构）筑物消防员证，得</w:t>
            </w:r>
            <w:r>
              <w:rPr>
                <w:rFonts w:ascii="宋体" w:hAnsi="宋体" w:cs="宋体"/>
                <w:color w:val="000000" w:themeColor="text1"/>
                <w:szCs w:val="21"/>
                <w14:textFill>
                  <w14:solidFill>
                    <w14:schemeClr w14:val="tx1"/>
                  </w14:solidFill>
                </w14:textFill>
              </w:rPr>
              <w:t>2分</w:t>
            </w:r>
            <w:r>
              <w:rPr>
                <w:rFonts w:hint="eastAsia" w:ascii="宋体" w:hAnsi="宋体" w:cs="宋体"/>
                <w:color w:val="000000" w:themeColor="text1"/>
                <w:szCs w:val="21"/>
                <w14:textFill>
                  <w14:solidFill>
                    <w14:schemeClr w14:val="tx1"/>
                  </w14:solidFill>
                </w14:textFill>
              </w:rPr>
              <w:t>。</w:t>
            </w:r>
          </w:p>
          <w:p>
            <w:pPr>
              <w:widowControl/>
              <w:spacing w:line="360" w:lineRule="exact"/>
              <w:rPr>
                <w:rFonts w:ascii="宋体" w:hAnsi="宋体" w:cs="宋体"/>
                <w:color w:val="000000" w:themeColor="text1"/>
                <w:szCs w:val="21"/>
                <w:lang w:bidi="ar"/>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注：提供人员证书和在投标公司近6个月内任意1个月的社保证明复印件加盖投标人公章，不提供不得分</w:t>
            </w:r>
            <w:r>
              <w:rPr>
                <w:rFonts w:hint="eastAsia" w:ascii="宋体" w:hAnsi="宋体" w:cs="宋体"/>
                <w:color w:val="000000" w:themeColor="text1"/>
                <w:szCs w:val="21"/>
                <w:lang w:bidi="ar"/>
                <w14:textFill>
                  <w14:solidFill>
                    <w14:schemeClr w14:val="tx1"/>
                  </w14:solidFill>
                </w14:textFill>
              </w:rPr>
              <w:t>。</w:t>
            </w:r>
          </w:p>
          <w:p>
            <w:pPr>
              <w:widowControl/>
              <w:spacing w:line="360" w:lineRule="exact"/>
              <w:rPr>
                <w:rFonts w:ascii="宋体" w:hAnsi="宋体" w:cs="宋体"/>
                <w:b/>
                <w:color w:val="000000" w:themeColor="text1"/>
                <w:szCs w:val="21"/>
                <w:lang w:bidi="ar"/>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中标后投标人需按投标文件承诺投入相关人员，否则招标人有权取消中标人资格或解除协议。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9" w:hRule="atLeast"/>
        </w:trPr>
        <w:tc>
          <w:tcPr>
            <w:tcW w:w="205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合计</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35</w:t>
            </w:r>
            <w:r>
              <w:rPr>
                <w:rFonts w:hint="eastAsia" w:ascii="宋体" w:hAnsi="宋体" w:cs="宋体"/>
                <w:color w:val="000000" w:themeColor="text1"/>
                <w:szCs w:val="21"/>
                <w14:textFill>
                  <w14:solidFill>
                    <w14:schemeClr w14:val="tx1"/>
                  </w14:solidFill>
                </w14:textFill>
              </w:rPr>
              <w:t>分</w:t>
            </w:r>
          </w:p>
        </w:tc>
        <w:tc>
          <w:tcPr>
            <w:tcW w:w="65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宋体" w:hAnsi="宋体" w:cs="宋体"/>
                <w:color w:val="000000" w:themeColor="text1"/>
                <w:szCs w:val="21"/>
                <w14:textFill>
                  <w14:solidFill>
                    <w14:schemeClr w14:val="tx1"/>
                  </w14:solidFill>
                </w14:textFill>
              </w:rPr>
            </w:pPr>
          </w:p>
        </w:tc>
      </w:tr>
    </w:tbl>
    <w:p>
      <w:pPr>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注：对照每项评价指标要求，投标文件完全不满足要求的，不得分。</w:t>
      </w:r>
    </w:p>
    <w:p>
      <w:pPr>
        <w:rPr>
          <w:rFonts w:ascii="宋体"/>
          <w:color w:val="000000" w:themeColor="text1"/>
          <w:szCs w:val="21"/>
          <w14:textFill>
            <w14:solidFill>
              <w14:schemeClr w14:val="tx1"/>
            </w14:solidFill>
          </w14:textFill>
        </w:rPr>
      </w:pPr>
    </w:p>
    <w:p>
      <w:pPr>
        <w:widowControl/>
        <w:tabs>
          <w:tab w:val="left" w:pos="753"/>
        </w:tabs>
        <w:adjustRightInd w:val="0"/>
        <w:snapToGrid w:val="0"/>
        <w:spacing w:line="360" w:lineRule="auto"/>
        <w:rPr>
          <w:rFonts w:ascii="宋体" w:hAnsi="宋体" w:cs="Arial"/>
          <w:color w:val="000000" w:themeColor="text1"/>
          <w:szCs w:val="21"/>
          <w14:textFill>
            <w14:solidFill>
              <w14:schemeClr w14:val="tx1"/>
            </w14:solidFill>
          </w14:textFill>
        </w:rPr>
        <w:sectPr>
          <w:footerReference r:id="rId10" w:type="first"/>
          <w:footerReference r:id="rId9" w:type="default"/>
          <w:pgSz w:w="11906" w:h="16838"/>
          <w:pgMar w:top="1418" w:right="1230" w:bottom="1418" w:left="1230" w:header="851" w:footer="851" w:gutter="0"/>
          <w:cols w:space="720" w:num="1"/>
          <w:docGrid w:linePitch="312" w:charSpace="0"/>
        </w:sectPr>
      </w:pPr>
    </w:p>
    <w:bookmarkEnd w:id="1600"/>
    <w:bookmarkEnd w:id="1601"/>
    <w:bookmarkEnd w:id="1602"/>
    <w:bookmarkEnd w:id="1603"/>
    <w:bookmarkEnd w:id="1604"/>
    <w:bookmarkEnd w:id="1605"/>
    <w:bookmarkEnd w:id="1606"/>
    <w:bookmarkEnd w:id="1607"/>
    <w:bookmarkEnd w:id="1608"/>
    <w:bookmarkEnd w:id="1609"/>
    <w:p>
      <w:pPr>
        <w:pStyle w:val="2"/>
        <w:numPr>
          <w:ilvl w:val="0"/>
          <w:numId w:val="0"/>
        </w:numPr>
        <w:spacing w:beforeLines="0"/>
        <w:rPr>
          <w:color w:val="000000" w:themeColor="text1"/>
          <w14:textFill>
            <w14:solidFill>
              <w14:schemeClr w14:val="tx1"/>
            </w14:solidFill>
          </w14:textFill>
        </w:rPr>
      </w:pPr>
      <w:bookmarkStart w:id="1610" w:name="_Hlt21939000"/>
      <w:bookmarkEnd w:id="1610"/>
      <w:bookmarkStart w:id="1611" w:name="_Toc339019898"/>
      <w:bookmarkStart w:id="1612" w:name="_Toc333238642"/>
      <w:bookmarkStart w:id="1613" w:name="_Toc331512907"/>
      <w:bookmarkStart w:id="1614" w:name="_Toc332270355"/>
      <w:bookmarkStart w:id="1615" w:name="_Toc341348347"/>
      <w:bookmarkStart w:id="1616" w:name="_Toc349127635"/>
      <w:bookmarkStart w:id="1617" w:name="_Toc337632367"/>
      <w:bookmarkStart w:id="1618" w:name="_Toc333935696"/>
      <w:bookmarkStart w:id="1619" w:name="_Toc339020242"/>
      <w:bookmarkStart w:id="1620" w:name="_Toc342060383"/>
      <w:bookmarkStart w:id="1621" w:name="_Toc339020104"/>
      <w:bookmarkStart w:id="1622" w:name="_Toc350756459"/>
      <w:bookmarkStart w:id="1623" w:name="_Toc330459994"/>
      <w:bookmarkStart w:id="1624" w:name="_Toc336681589"/>
      <w:bookmarkStart w:id="1625" w:name="_Toc340672878"/>
      <w:bookmarkStart w:id="1626" w:name="_Toc350438758"/>
      <w:bookmarkStart w:id="1627" w:name="_Toc365967081"/>
      <w:bookmarkStart w:id="1628" w:name="_Toc345513910"/>
      <w:bookmarkStart w:id="1629" w:name="_Toc340507451"/>
      <w:bookmarkStart w:id="1630" w:name="_Toc339020024"/>
      <w:bookmarkStart w:id="1631" w:name="_Toc342296769"/>
      <w:bookmarkStart w:id="1632" w:name="_Toc331684047"/>
      <w:bookmarkStart w:id="1633" w:name="_Toc339441096"/>
      <w:bookmarkStart w:id="1634" w:name="_Toc340677079"/>
      <w:bookmarkStart w:id="1635" w:name="_Toc339362309"/>
      <w:bookmarkStart w:id="1636" w:name="_Toc333237797"/>
      <w:bookmarkStart w:id="1637" w:name="_Toc365985187"/>
      <w:bookmarkStart w:id="1638" w:name="_Toc366072538"/>
      <w:bookmarkStart w:id="1639" w:name="_Toc332206717"/>
      <w:bookmarkStart w:id="1640" w:name="_Toc336681944"/>
      <w:bookmarkStart w:id="1641" w:name="_Toc333935355"/>
      <w:bookmarkStart w:id="1642" w:name="_Toc333237686"/>
      <w:bookmarkStart w:id="1643" w:name="_Toc349143598"/>
      <w:bookmarkStart w:id="1644" w:name="_Toc374454610"/>
      <w:bookmarkStart w:id="1645" w:name="_Toc30624"/>
      <w:bookmarkStart w:id="1646" w:name="_Toc31947"/>
      <w:r>
        <w:rPr>
          <w:rFonts w:hint="eastAsia"/>
          <w:color w:val="000000" w:themeColor="text1"/>
          <w14:textFill>
            <w14:solidFill>
              <w14:schemeClr w14:val="tx1"/>
            </w14:solidFill>
          </w14:textFill>
        </w:rPr>
        <w:t>第四部分  采购项目合同</w:t>
      </w:r>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Start w:id="1647" w:name="_Hlt97188170"/>
      <w:bookmarkEnd w:id="1647"/>
      <w:r>
        <w:rPr>
          <w:rFonts w:hint="eastAsia"/>
          <w:color w:val="000000" w:themeColor="text1"/>
          <w14:textFill>
            <w14:solidFill>
              <w14:schemeClr w14:val="tx1"/>
            </w14:solidFill>
          </w14:textFill>
        </w:rPr>
        <w:t>（参考范本）</w:t>
      </w:r>
      <w:bookmarkEnd w:id="1645"/>
      <w:bookmarkEnd w:id="1646"/>
    </w:p>
    <w:p>
      <w:pPr>
        <w:rPr>
          <w:bCs/>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宋体" w:hAnsi="宋体"/>
          <w:b/>
          <w:color w:val="000000" w:themeColor="text1"/>
          <w:sz w:val="30"/>
          <w:szCs w:val="30"/>
          <w14:textFill>
            <w14:solidFill>
              <w14:schemeClr w14:val="tx1"/>
            </w14:solidFill>
          </w14:textFill>
        </w:rPr>
      </w:pPr>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甲方（招标人）：</w:t>
      </w:r>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乙方（中标人）：</w:t>
      </w:r>
    </w:p>
    <w:p>
      <w:pPr>
        <w:spacing w:line="360" w:lineRule="auto"/>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ab/>
      </w:r>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根据《中华人民共和国民法典》、</w:t>
      </w:r>
      <w:r>
        <w:rPr>
          <w:rFonts w:ascii="宋体" w:hAnsi="宋体"/>
          <w:bCs/>
          <w:color w:val="000000" w:themeColor="text1"/>
          <w:szCs w:val="21"/>
          <w14:textFill>
            <w14:solidFill>
              <w14:schemeClr w14:val="tx1"/>
            </w14:solidFill>
          </w14:textFill>
        </w:rPr>
        <w:t>年月日</w:t>
      </w:r>
      <w:r>
        <w:rPr>
          <w:rFonts w:hint="eastAsia" w:ascii="宋体" w:hAnsi="宋体" w:cs="宋体"/>
          <w:color w:val="000000" w:themeColor="text1"/>
          <w:szCs w:val="21"/>
          <w:u w:val="single"/>
          <w14:textFill>
            <w14:solidFill>
              <w14:schemeClr w14:val="tx1"/>
            </w14:solidFill>
          </w14:textFill>
        </w:rPr>
        <w:t xml:space="preserve"> 阳江农村商业银行股份有限公司保安服务采购项目 </w:t>
      </w:r>
      <w:r>
        <w:rPr>
          <w:rFonts w:hint="eastAsia" w:ascii="宋体" w:hAnsi="宋体"/>
          <w:bCs/>
          <w:color w:val="000000" w:themeColor="text1"/>
          <w:szCs w:val="21"/>
          <w14:textFill>
            <w14:solidFill>
              <w14:schemeClr w14:val="tx1"/>
            </w14:solidFill>
          </w14:textFill>
        </w:rPr>
        <w:t>（项目编号:YXCG-20240228）招标结果和有关招、报价文件的要求，经双方协商，本着平等互利和诚实信用的原则，一致同意签订本合同如下：</w:t>
      </w:r>
    </w:p>
    <w:p>
      <w:pPr>
        <w:tabs>
          <w:tab w:val="left" w:pos="1004"/>
        </w:tabs>
        <w:spacing w:line="360" w:lineRule="auto"/>
        <w:ind w:right="31" w:rightChars="15"/>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一、项目的名称、单价、总价，项目所包含服务的范围</w:t>
      </w:r>
    </w:p>
    <w:p>
      <w:pPr>
        <w:tabs>
          <w:tab w:val="left" w:pos="1004"/>
        </w:tabs>
        <w:spacing w:line="360" w:lineRule="auto"/>
        <w:ind w:right="31" w:rightChars="15"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项目名称：</w:t>
      </w:r>
      <w:r>
        <w:rPr>
          <w:rFonts w:hint="eastAsia" w:ascii="宋体" w:hAnsi="宋体"/>
          <w:bCs/>
          <w:color w:val="000000" w:themeColor="text1"/>
          <w:szCs w:val="21"/>
          <w:u w:val="single"/>
          <w14:textFill>
            <w14:solidFill>
              <w14:schemeClr w14:val="tx1"/>
            </w14:solidFill>
          </w14:textFill>
        </w:rPr>
        <w:t>阳江农村商业银行股份有限公司保安服务采购项目</w:t>
      </w:r>
      <w:r>
        <w:rPr>
          <w:rFonts w:hint="eastAsia" w:ascii="宋体" w:hAnsi="宋体"/>
          <w:bCs/>
          <w:color w:val="000000" w:themeColor="text1"/>
          <w:szCs w:val="21"/>
          <w14:textFill>
            <w14:solidFill>
              <w14:schemeClr w14:val="tx1"/>
            </w14:solidFill>
          </w14:textFill>
        </w:rPr>
        <w:t>；</w:t>
      </w:r>
    </w:p>
    <w:p>
      <w:pPr>
        <w:tabs>
          <w:tab w:val="left" w:pos="1004"/>
        </w:tabs>
        <w:spacing w:line="360" w:lineRule="auto"/>
        <w:ind w:right="31" w:rightChars="15"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服务范围：</w:t>
      </w:r>
      <w:r>
        <w:rPr>
          <w:rFonts w:hint="eastAsia" w:ascii="宋体" w:hAnsi="宋体"/>
          <w:bCs/>
          <w:color w:val="000000" w:themeColor="text1"/>
          <w:szCs w:val="21"/>
          <w:u w:val="single"/>
          <w14:textFill>
            <w14:solidFill>
              <w14:schemeClr w14:val="tx1"/>
            </w14:solidFill>
          </w14:textFill>
        </w:rPr>
        <w:t xml:space="preserve"> 采购保安人员到甲方指定的营业场所提供保安服务 </w:t>
      </w:r>
      <w:r>
        <w:rPr>
          <w:rFonts w:hint="eastAsia" w:ascii="宋体" w:hAnsi="宋体"/>
          <w:bCs/>
          <w:color w:val="000000" w:themeColor="text1"/>
          <w:szCs w:val="21"/>
          <w14:textFill>
            <w14:solidFill>
              <w14:schemeClr w14:val="tx1"/>
            </w14:solidFill>
          </w14:textFill>
        </w:rPr>
        <w:t>；</w:t>
      </w:r>
    </w:p>
    <w:p>
      <w:pPr>
        <w:tabs>
          <w:tab w:val="left" w:pos="1004"/>
        </w:tabs>
        <w:spacing w:line="360" w:lineRule="auto"/>
        <w:ind w:right="31" w:rightChars="15"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3. 项目总价：</w:t>
      </w:r>
      <w:r>
        <w:rPr>
          <w:rFonts w:hint="eastAsia" w:ascii="宋体" w:hAnsi="宋体"/>
          <w:bCs/>
          <w:color w:val="000000" w:themeColor="text1"/>
          <w:szCs w:val="21"/>
          <w:u w:val="single"/>
          <w14:textFill>
            <w14:solidFill>
              <w14:schemeClr w14:val="tx1"/>
            </w14:solidFill>
          </w14:textFill>
        </w:rPr>
        <w:t xml:space="preserve">（小写）                               </w:t>
      </w:r>
    </w:p>
    <w:p>
      <w:pPr>
        <w:tabs>
          <w:tab w:val="left" w:pos="1004"/>
        </w:tabs>
        <w:spacing w:line="360" w:lineRule="auto"/>
        <w:ind w:right="31" w:rightChars="15"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 xml:space="preserve">（大写）                               </w:t>
      </w:r>
    </w:p>
    <w:p>
      <w:pPr>
        <w:tabs>
          <w:tab w:val="left" w:pos="1004"/>
        </w:tabs>
        <w:spacing w:line="360" w:lineRule="auto"/>
        <w:ind w:right="31" w:rightChars="15" w:firstLine="420" w:firstLineChars="200"/>
        <w:rPr>
          <w:rFonts w:ascii="宋体" w:hAnsi="宋体"/>
          <w:bCs/>
          <w:color w:val="000000" w:themeColor="text1"/>
          <w:szCs w:val="21"/>
          <w:u w:val="single"/>
          <w14:textFill>
            <w14:solidFill>
              <w14:schemeClr w14:val="tx1"/>
            </w14:solidFill>
          </w14:textFill>
        </w:rPr>
      </w:pPr>
      <w:r>
        <w:rPr>
          <w:rFonts w:hint="eastAsia" w:cs="宋体"/>
          <w:bCs/>
          <w:color w:val="000000" w:themeColor="text1"/>
          <w:szCs w:val="21"/>
          <w14:textFill>
            <w14:solidFill>
              <w14:schemeClr w14:val="tx1"/>
            </w14:solidFill>
          </w14:textFill>
        </w:rPr>
        <w:t>含税服务费用单价：</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r>
        <w:rPr>
          <w:rFonts w:ascii="宋体" w:hAnsi="宋体"/>
          <w:color w:val="000000" w:themeColor="text1"/>
          <w:szCs w:val="21"/>
          <w14:textFill>
            <w14:solidFill>
              <w14:schemeClr w14:val="tx1"/>
            </w14:solidFill>
          </w14:textFill>
        </w:rPr>
        <w:t>/人/月</w:t>
      </w:r>
    </w:p>
    <w:p>
      <w:pPr>
        <w:widowControl/>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包括：保安员工资、各类补贴（含高温补贴、食宿补贴）、节日福利、劳务管理费、服装、基本装备、保险、利润、税金等费用以及为完成本项目所产生的其他所有可预见和不可预见费用。如出现任何遗漏内容需产生额外费用，均由乙方自行承担，甲方将不再另支付任何费用，双方另有约定的除外。</w:t>
      </w:r>
    </w:p>
    <w:p>
      <w:pPr>
        <w:autoSpaceDE w:val="0"/>
        <w:autoSpaceDN w:val="0"/>
        <w:adjustRightIn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二、服务期、地点</w:t>
      </w:r>
    </w:p>
    <w:p>
      <w:pPr>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本项目的服务期：自</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日起至</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日止。在服务期内，合同采用一年一签方式，具体以合同签订为准。</w:t>
      </w:r>
    </w:p>
    <w:p>
      <w:pPr>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服务地点：阳江农商银行各营业网点。</w:t>
      </w:r>
    </w:p>
    <w:p>
      <w:pPr>
        <w:pStyle w:val="194"/>
        <w:widowControl/>
        <w:numPr>
          <w:ilvl w:val="0"/>
          <w:numId w:val="30"/>
        </w:numPr>
        <w:tabs>
          <w:tab w:val="left" w:pos="420"/>
          <w:tab w:val="left" w:pos="840"/>
        </w:tabs>
        <w:autoSpaceDE w:val="0"/>
        <w:autoSpaceDN w:val="0"/>
        <w:adjustRightInd w:val="0"/>
        <w:spacing w:line="360" w:lineRule="auto"/>
        <w:ind w:firstLineChars="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甲方权利义务</w:t>
      </w:r>
      <w:r>
        <w:rPr>
          <w:rFonts w:ascii="宋体" w:hAnsi="宋体" w:cs="宋体"/>
          <w:color w:val="000000" w:themeColor="text1"/>
          <w:szCs w:val="21"/>
          <w:lang w:bidi="ar"/>
          <w14:textFill>
            <w14:solidFill>
              <w14:schemeClr w14:val="tx1"/>
            </w14:solidFill>
          </w14:textFill>
        </w:rPr>
        <w:t xml:space="preserve"> </w:t>
      </w:r>
    </w:p>
    <w:p>
      <w:pPr>
        <w:widowControl/>
        <w:numPr>
          <w:ilvl w:val="0"/>
          <w:numId w:val="31"/>
        </w:numPr>
        <w:autoSpaceDE w:val="0"/>
        <w:autoSpaceDN w:val="0"/>
        <w:adjustRightIn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审定乙方拟定的保安管理制度及实施方案。</w:t>
      </w:r>
      <w:r>
        <w:rPr>
          <w:rFonts w:ascii="宋体" w:hAnsi="宋体" w:cs="宋体"/>
          <w:color w:val="000000" w:themeColor="text1"/>
          <w:szCs w:val="21"/>
          <w:lang w:bidi="ar"/>
          <w14:textFill>
            <w14:solidFill>
              <w14:schemeClr w14:val="tx1"/>
            </w14:solidFill>
          </w14:textFill>
        </w:rPr>
        <w:t xml:space="preserve"> </w:t>
      </w:r>
    </w:p>
    <w:p>
      <w:pPr>
        <w:widowControl/>
        <w:numPr>
          <w:ilvl w:val="0"/>
          <w:numId w:val="31"/>
        </w:numPr>
        <w:autoSpaceDE w:val="0"/>
        <w:autoSpaceDN w:val="0"/>
        <w:adjustRightInd w:val="0"/>
        <w:spacing w:line="360" w:lineRule="auto"/>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检查监督乙方管理工作的实施及制度的执行情况。</w:t>
      </w:r>
      <w:r>
        <w:rPr>
          <w:rFonts w:ascii="宋体" w:hAnsi="宋体" w:cs="宋体"/>
          <w:color w:val="000000" w:themeColor="text1"/>
          <w:szCs w:val="21"/>
          <w:lang w:bidi="ar"/>
          <w14:textFill>
            <w14:solidFill>
              <w14:schemeClr w14:val="tx1"/>
            </w14:solidFill>
          </w14:textFill>
        </w:rPr>
        <w:t xml:space="preserve"> </w:t>
      </w:r>
    </w:p>
    <w:p>
      <w:pPr>
        <w:widowControl/>
        <w:numPr>
          <w:ilvl w:val="0"/>
          <w:numId w:val="31"/>
        </w:numPr>
        <w:autoSpaceDE w:val="0"/>
        <w:autoSpaceDN w:val="0"/>
        <w:adjustRightInd w:val="0"/>
        <w:spacing w:line="360" w:lineRule="auto"/>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审定乙方提出的保安服务计划，甲方有权检查乙方有关本项目的财务报表及资料，对不合理的分配支出甲方有权提出调整意见。</w:t>
      </w:r>
      <w:r>
        <w:rPr>
          <w:rFonts w:ascii="宋体" w:hAnsi="宋体" w:cs="宋体"/>
          <w:color w:val="000000" w:themeColor="text1"/>
          <w:szCs w:val="21"/>
          <w:lang w:bidi="ar"/>
          <w14:textFill>
            <w14:solidFill>
              <w14:schemeClr w14:val="tx1"/>
            </w14:solidFill>
          </w14:textFill>
        </w:rPr>
        <w:t xml:space="preserve">  </w:t>
      </w:r>
    </w:p>
    <w:p>
      <w:pPr>
        <w:widowControl/>
        <w:numPr>
          <w:ilvl w:val="0"/>
          <w:numId w:val="31"/>
        </w:numPr>
        <w:autoSpaceDE w:val="0"/>
        <w:autoSpaceDN w:val="0"/>
        <w:adjustRightInd w:val="0"/>
        <w:spacing w:line="360" w:lineRule="auto"/>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有权提出更换不符合甲方使用要求的保安员，乙方应无条件接受甲方的要求，并在</w:t>
      </w:r>
      <w:r>
        <w:rPr>
          <w:rFonts w:ascii="宋体" w:hAnsi="宋体" w:cs="宋体"/>
          <w:color w:val="000000" w:themeColor="text1"/>
          <w:szCs w:val="21"/>
          <w:lang w:bidi="ar"/>
          <w14:textFill>
            <w14:solidFill>
              <w14:schemeClr w14:val="tx1"/>
            </w14:solidFill>
          </w14:textFill>
        </w:rPr>
        <w:t>2日内予以更换.</w:t>
      </w:r>
    </w:p>
    <w:p>
      <w:pPr>
        <w:widowControl/>
        <w:numPr>
          <w:ilvl w:val="0"/>
          <w:numId w:val="31"/>
        </w:numPr>
        <w:autoSpaceDE w:val="0"/>
        <w:autoSpaceDN w:val="0"/>
        <w:adjustRightInd w:val="0"/>
        <w:spacing w:line="360" w:lineRule="auto"/>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由甲方按实际需要要求乙方提供具有特殊专长的保安员及男女保安员的比例数量。</w:t>
      </w:r>
    </w:p>
    <w:p>
      <w:pPr>
        <w:widowControl/>
        <w:numPr>
          <w:ilvl w:val="0"/>
          <w:numId w:val="31"/>
        </w:numPr>
        <w:autoSpaceDE w:val="0"/>
        <w:autoSpaceDN w:val="0"/>
        <w:adjustRightInd w:val="0"/>
        <w:spacing w:line="360" w:lineRule="auto"/>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保安员的奖惩、请休假、撤换或辞退等须经甲方同意认可。如因保安员的请休假、撤换或辞退造成保安员人数空缺的，乙方须在</w:t>
      </w:r>
      <w:r>
        <w:rPr>
          <w:rFonts w:ascii="宋体" w:hAnsi="宋体" w:cs="宋体"/>
          <w:color w:val="000000" w:themeColor="text1"/>
          <w:szCs w:val="21"/>
          <w:lang w:bidi="ar"/>
          <w14:textFill>
            <w14:solidFill>
              <w14:schemeClr w14:val="tx1"/>
            </w14:solidFill>
          </w14:textFill>
        </w:rPr>
        <w:t>2日内予以补充。</w:t>
      </w:r>
    </w:p>
    <w:p>
      <w:pPr>
        <w:widowControl/>
        <w:numPr>
          <w:ilvl w:val="0"/>
          <w:numId w:val="31"/>
        </w:numPr>
        <w:autoSpaceDE w:val="0"/>
        <w:autoSpaceDN w:val="0"/>
        <w:adjustRightInd w:val="0"/>
        <w:spacing w:line="360" w:lineRule="auto"/>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招标文件规定、乙方投标文件承诺的甲方其他权利义务。</w:t>
      </w:r>
    </w:p>
    <w:p>
      <w:pPr>
        <w:widowControl/>
        <w:numPr>
          <w:ilvl w:val="0"/>
          <w:numId w:val="31"/>
        </w:numPr>
        <w:autoSpaceDE w:val="0"/>
        <w:autoSpaceDN w:val="0"/>
        <w:adjustRightInd w:val="0"/>
        <w:spacing w:line="360" w:lineRule="auto"/>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甲方有权按需要确定实际聘用人数，每月服务费按实际聘用人数结算，乙方应接受甲方的要求。</w:t>
      </w:r>
    </w:p>
    <w:p>
      <w:pPr>
        <w:widowControl/>
        <w:numPr>
          <w:ilvl w:val="0"/>
          <w:numId w:val="30"/>
        </w:numPr>
        <w:tabs>
          <w:tab w:val="left" w:pos="420"/>
        </w:tabs>
        <w:autoSpaceDE w:val="0"/>
        <w:autoSpaceDN w:val="0"/>
        <w:adjustRightInd w:val="0"/>
        <w:spacing w:line="360" w:lineRule="auto"/>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乙方权利义务</w:t>
      </w:r>
    </w:p>
    <w:p>
      <w:pPr>
        <w:numPr>
          <w:ilvl w:val="0"/>
          <w:numId w:val="32"/>
        </w:numPr>
        <w:autoSpaceDE w:val="0"/>
        <w:autoSpaceDN w:val="0"/>
        <w:adjustRightIn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根据有关法律法规及本合同的约定派出保安员，制订保安管理制度，在</w:t>
      </w:r>
      <w:r>
        <w:rPr>
          <w:rFonts w:ascii="宋体" w:hAnsi="宋体" w:cs="宋体"/>
          <w:color w:val="000000" w:themeColor="text1"/>
          <w:szCs w:val="21"/>
          <w14:textFill>
            <w14:solidFill>
              <w14:schemeClr w14:val="tx1"/>
            </w14:solidFill>
          </w14:textFill>
        </w:rPr>
        <w:t xml:space="preserve"> 3 </w:t>
      </w:r>
      <w:r>
        <w:rPr>
          <w:rFonts w:hint="eastAsia" w:ascii="宋体" w:hAnsi="宋体" w:cs="宋体"/>
          <w:color w:val="000000" w:themeColor="text1"/>
          <w:szCs w:val="21"/>
          <w14:textFill>
            <w14:solidFill>
              <w14:schemeClr w14:val="tx1"/>
            </w14:solidFill>
          </w14:textFill>
        </w:rPr>
        <w:t>个工作日内报送甲方审定。</w:t>
      </w:r>
    </w:p>
    <w:p>
      <w:pPr>
        <w:numPr>
          <w:ilvl w:val="0"/>
          <w:numId w:val="32"/>
        </w:numPr>
        <w:autoSpaceDE w:val="0"/>
        <w:autoSpaceDN w:val="0"/>
        <w:adjustRightIn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甲方对乙方的管理制度、方案、计划等，提出相关整改意见后，乙方应立即无条件执行，并按照要求进行整改。</w:t>
      </w:r>
    </w:p>
    <w:p>
      <w:pPr>
        <w:numPr>
          <w:ilvl w:val="0"/>
          <w:numId w:val="32"/>
        </w:numPr>
        <w:autoSpaceDE w:val="0"/>
        <w:autoSpaceDN w:val="0"/>
        <w:adjustRightIn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未经甲方书面同意，乙方不得将本项目的保安责任转让给第三方，未经甲方同意不允许乙方分包或转包甲方保安服务管理事宜。</w:t>
      </w:r>
    </w:p>
    <w:p>
      <w:pPr>
        <w:numPr>
          <w:ilvl w:val="0"/>
          <w:numId w:val="32"/>
        </w:numPr>
        <w:autoSpaceDE w:val="0"/>
        <w:autoSpaceDN w:val="0"/>
        <w:adjustRightIn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在保安日常管理过程中对无法解决的事故要即时向甲方反映。</w:t>
      </w:r>
    </w:p>
    <w:p>
      <w:pPr>
        <w:numPr>
          <w:ilvl w:val="0"/>
          <w:numId w:val="32"/>
        </w:numPr>
        <w:autoSpaceDE w:val="0"/>
        <w:autoSpaceDN w:val="0"/>
        <w:adjustRightIn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本合同终止时，乙方必须向甲方移交保安管理的全部档案资料，如甲方有需要，乙方应当协助甲方及接管方做好保安员的稳定和交接工作，不能因此而影响甲方的安全工作。</w:t>
      </w:r>
    </w:p>
    <w:p>
      <w:pPr>
        <w:numPr>
          <w:ilvl w:val="0"/>
          <w:numId w:val="32"/>
        </w:numPr>
        <w:autoSpaceDE w:val="0"/>
        <w:autoSpaceDN w:val="0"/>
        <w:adjustRightIn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乙方必须采用广东省劳动和社会保障厅印制的《广东省职工劳动合同》版本与保安员签订劳动合同，切实保障保安员的合法权益。并将所签合同副本交甲方存档，未能提供合同的，甲方有权拒收保安员。</w:t>
      </w:r>
    </w:p>
    <w:p>
      <w:pPr>
        <w:numPr>
          <w:ilvl w:val="0"/>
          <w:numId w:val="32"/>
        </w:numPr>
        <w:autoSpaceDE w:val="0"/>
        <w:autoSpaceDN w:val="0"/>
        <w:adjustRightIn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乙方须按照《中华人民共和国社会保险法》的相关规定，支付国家规定必须购买的社会保险费用。</w:t>
      </w:r>
    </w:p>
    <w:p>
      <w:pPr>
        <w:numPr>
          <w:ilvl w:val="0"/>
          <w:numId w:val="32"/>
        </w:numPr>
        <w:autoSpaceDE w:val="0"/>
        <w:autoSpaceDN w:val="0"/>
        <w:adjustRightIn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特殊情形下，甲方根据上级部门相关要求调整保安人员的勤务模式，乙方应无条件接受要求，并根据《劳动法》的相关规定，确定保安人员的工作时间和休息时间。</w:t>
      </w:r>
    </w:p>
    <w:p>
      <w:pPr>
        <w:numPr>
          <w:ilvl w:val="0"/>
          <w:numId w:val="32"/>
        </w:numPr>
        <w:autoSpaceDE w:val="0"/>
        <w:autoSpaceDN w:val="0"/>
        <w:adjustRightIn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若服务期内仍处于疫情期间，乙方提供的保安人员上岗前需按国家标准进行检测，检测合格的保安人员才能上岗</w:t>
      </w:r>
      <w:r>
        <w:rPr>
          <w:rFonts w:ascii="宋体" w:hAnsi="宋体" w:cs="宋体"/>
          <w:color w:val="000000" w:themeColor="text1"/>
          <w:szCs w:val="21"/>
          <w14:textFill>
            <w14:solidFill>
              <w14:schemeClr w14:val="tx1"/>
            </w14:solidFill>
          </w14:textFill>
        </w:rPr>
        <w:t>,检测费用由乙方承担。</w:t>
      </w:r>
    </w:p>
    <w:p>
      <w:pPr>
        <w:widowControl/>
        <w:numPr>
          <w:ilvl w:val="0"/>
          <w:numId w:val="30"/>
        </w:numPr>
        <w:tabs>
          <w:tab w:val="left" w:pos="420"/>
        </w:tabs>
        <w:autoSpaceDE w:val="0"/>
        <w:autoSpaceDN w:val="0"/>
        <w:adjustRightInd w:val="0"/>
        <w:spacing w:line="360" w:lineRule="auto"/>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项目基本要求</w:t>
      </w:r>
      <w:r>
        <w:rPr>
          <w:rFonts w:ascii="宋体" w:hAnsi="宋体" w:cs="宋体"/>
          <w:color w:val="000000" w:themeColor="text1"/>
          <w:szCs w:val="21"/>
          <w:lang w:bidi="ar"/>
          <w14:textFill>
            <w14:solidFill>
              <w14:schemeClr w14:val="tx1"/>
            </w14:solidFill>
          </w14:textFill>
        </w:rPr>
        <w:t xml:space="preserve"> </w:t>
      </w:r>
    </w:p>
    <w:p>
      <w:pPr>
        <w:numPr>
          <w:ilvl w:val="0"/>
          <w:numId w:val="33"/>
        </w:numPr>
        <w:tabs>
          <w:tab w:val="left" w:pos="425"/>
          <w:tab w:val="left" w:pos="72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为保证保安员质量，乙方必须保证外包保安员薪酬待遇不得低于阳江市区银行业金融机构的平均水平，否则甲方有权解除合同。</w:t>
      </w:r>
    </w:p>
    <w:p>
      <w:pPr>
        <w:numPr>
          <w:ilvl w:val="0"/>
          <w:numId w:val="33"/>
        </w:numPr>
        <w:tabs>
          <w:tab w:val="left" w:pos="425"/>
          <w:tab w:val="left" w:pos="72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甲方各网点如遇有临时性加班时或总行特殊情况需要保安员值勤，加班费由乙方自行负责支付，每月乙方须安排保安员休假4天。</w:t>
      </w:r>
    </w:p>
    <w:p>
      <w:pPr>
        <w:numPr>
          <w:ilvl w:val="0"/>
          <w:numId w:val="33"/>
        </w:numPr>
        <w:tabs>
          <w:tab w:val="left" w:pos="425"/>
          <w:tab w:val="left" w:pos="72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保安员的休假由乙方负责安排，但必须保证甲方辖内所有正常营业的网点要有保安员在岗上班，如需更换或临时变更保安员的，要向甲方安保部门报备后才可以更换。</w:t>
      </w:r>
    </w:p>
    <w:p>
      <w:pPr>
        <w:numPr>
          <w:ilvl w:val="0"/>
          <w:numId w:val="33"/>
        </w:numPr>
        <w:tabs>
          <w:tab w:val="left" w:pos="425"/>
          <w:tab w:val="left" w:pos="72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乙方所管本辖区保安队长或巡查组人员每月不少于一次对甲方全部网点的保安员进行督查，并在网点保安人员巡查登记部做好记录。</w:t>
      </w:r>
    </w:p>
    <w:p>
      <w:pPr>
        <w:numPr>
          <w:ilvl w:val="0"/>
          <w:numId w:val="33"/>
        </w:numPr>
        <w:tabs>
          <w:tab w:val="left" w:pos="72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乙方所管本辖区保安队长每月不少于一次到甲方安保部门进行非现场录像查检全部网点的保安员工作执行情况，并在网点保安人员巡查登记部做好记录。</w:t>
      </w:r>
    </w:p>
    <w:p>
      <w:pPr>
        <w:numPr>
          <w:ilvl w:val="0"/>
          <w:numId w:val="33"/>
        </w:numPr>
        <w:tabs>
          <w:tab w:val="left" w:pos="425"/>
          <w:tab w:val="left" w:pos="72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乙方对本辖区保安员每季度不少于一次在岗培训或安全教育学习，并留有现场相片和签名记录提供本行留底。</w:t>
      </w:r>
    </w:p>
    <w:p>
      <w:pPr>
        <w:numPr>
          <w:ilvl w:val="0"/>
          <w:numId w:val="33"/>
        </w:numPr>
        <w:tabs>
          <w:tab w:val="left" w:pos="425"/>
          <w:tab w:val="left" w:pos="72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工作期间，保安员在工作期间中途不得离开服务网点工作区域，若遇到特殊情况的，须向网点负责人请假同意后方可临时离开。</w:t>
      </w:r>
    </w:p>
    <w:p>
      <w:pPr>
        <w:numPr>
          <w:ilvl w:val="0"/>
          <w:numId w:val="33"/>
        </w:numPr>
        <w:tabs>
          <w:tab w:val="left" w:pos="425"/>
          <w:tab w:val="left" w:pos="720"/>
        </w:tabs>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乙方需对所有保安员的服装全部进行统一配置，服装样式需经甲方确认。</w:t>
      </w:r>
    </w:p>
    <w:p>
      <w:pPr>
        <w:numPr>
          <w:ilvl w:val="0"/>
          <w:numId w:val="33"/>
        </w:numPr>
        <w:tabs>
          <w:tab w:val="left" w:pos="425"/>
          <w:tab w:val="left" w:pos="72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乙方需按要求提供所负责区域保安员的个人资料，经甲方安全保卫部及人力资源部审核同意后方可使用。乙方选派的服务人员，如不符合资格、素质及服务要求的，甲方有权要求更换人员。</w:t>
      </w:r>
    </w:p>
    <w:p>
      <w:pPr>
        <w:numPr>
          <w:ilvl w:val="0"/>
          <w:numId w:val="33"/>
        </w:numPr>
        <w:tabs>
          <w:tab w:val="left" w:pos="425"/>
          <w:tab w:val="left" w:pos="72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在期限内</w:t>
      </w:r>
      <w:r>
        <w:rPr>
          <w:rFonts w:hint="eastAsia" w:ascii="宋体" w:hAnsi="宋体" w:cs="宋体"/>
          <w:color w:val="000000" w:themeColor="text1"/>
          <w:szCs w:val="21"/>
          <w14:textFill>
            <w14:solidFill>
              <w14:schemeClr w14:val="tx1"/>
            </w14:solidFill>
          </w14:textFill>
        </w:rPr>
        <w:t>若遇网点搬迁或其他情况等保安人员</w:t>
      </w:r>
      <w:r>
        <w:rPr>
          <w:rFonts w:hint="eastAsia" w:ascii="宋体" w:hAnsi="宋体" w:cs="宋体"/>
          <w:color w:val="000000" w:themeColor="text1"/>
          <w:szCs w:val="21"/>
          <w:shd w:val="clear" w:color="auto" w:fill="FFFFFF"/>
          <w14:textFill>
            <w14:solidFill>
              <w14:schemeClr w14:val="tx1"/>
            </w14:solidFill>
          </w14:textFill>
        </w:rPr>
        <w:t>增减</w:t>
      </w:r>
      <w:r>
        <w:rPr>
          <w:rFonts w:hint="eastAsia" w:ascii="宋体" w:hAnsi="宋体" w:cs="宋体"/>
          <w:color w:val="000000" w:themeColor="text1"/>
          <w:szCs w:val="21"/>
          <w14:textFill>
            <w14:solidFill>
              <w14:schemeClr w14:val="tx1"/>
            </w14:solidFill>
          </w14:textFill>
        </w:rPr>
        <w:t>有所变动，按网点的实际在岗上班人员结算为准。</w:t>
      </w:r>
    </w:p>
    <w:p>
      <w:pPr>
        <w:numPr>
          <w:ilvl w:val="0"/>
          <w:numId w:val="33"/>
        </w:num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甲方自行委派的保安人员由甲方自行负责管理，若该部分人员因特殊情况需乙方临时增配保安人员的，乙方应按要求积极配合安排，甲方按每人每日平均服务费用(每月按30天计) 向乙方折算计付额外费用。乙方需将相应费用发放到临时增配的保安人员，否则甲方有权解除合同</w:t>
      </w:r>
    </w:p>
    <w:p>
      <w:pPr>
        <w:widowControl/>
        <w:numPr>
          <w:ilvl w:val="0"/>
          <w:numId w:val="30"/>
        </w:numPr>
        <w:tabs>
          <w:tab w:val="left" w:pos="420"/>
        </w:tabs>
        <w:autoSpaceDE w:val="0"/>
        <w:autoSpaceDN w:val="0"/>
        <w:adjustRightInd w:val="0"/>
        <w:spacing w:line="360" w:lineRule="auto"/>
        <w:jc w:val="left"/>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项目服务需求</w:t>
      </w:r>
    </w:p>
    <w:p>
      <w:pPr>
        <w:numPr>
          <w:ilvl w:val="0"/>
          <w:numId w:val="34"/>
        </w:numPr>
        <w:autoSpaceDE w:val="0"/>
        <w:autoSpaceDN w:val="0"/>
        <w:adjustRightInd w:val="0"/>
        <w:spacing w:line="360" w:lineRule="auto"/>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服务要求</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须选聘符合甲方要求的保安员到甲方指定的营业场所提供保安服务。保安员的主要任务是负责所服务单位办公场所、营业场所及其主要目标的安全，维护办公及客户区的秩序，防抢劫、防盗窃、防诈骗、防火灾、防爆破、防破坏等，保护甲方员工及客户的人身、财产的安全。</w:t>
      </w:r>
    </w:p>
    <w:p>
      <w:pPr>
        <w:numPr>
          <w:ilvl w:val="0"/>
          <w:numId w:val="34"/>
        </w:numPr>
        <w:autoSpaceDE w:val="0"/>
        <w:autoSpaceDN w:val="0"/>
        <w:adjustRightInd w:val="0"/>
        <w:spacing w:line="360" w:lineRule="auto"/>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服务人员的基本要求</w:t>
      </w:r>
    </w:p>
    <w:p>
      <w:pPr>
        <w:spacing w:line="360" w:lineRule="auto"/>
        <w:rPr>
          <w:rFonts w:ascii="宋体" w:hAnsi="宋体" w:cs="宋体"/>
          <w:b/>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网点保安员年龄应在18周岁以上、55周岁以下，综合素质较高的可放宽至60周岁，没有高度近视、染红头发及有纹身等不良的现象，</w:t>
      </w:r>
      <w:r>
        <w:rPr>
          <w:rFonts w:hint="eastAsia" w:ascii="宋体" w:hAnsi="宋体" w:cs="宋体"/>
          <w:b/>
          <w:color w:val="000000" w:themeColor="text1"/>
          <w:szCs w:val="21"/>
          <w14:textFill>
            <w14:solidFill>
              <w14:schemeClr w14:val="tx1"/>
            </w14:solidFill>
          </w14:textFill>
        </w:rPr>
        <w:t>其中甲方江城支行保安员、总行大楼保安员、阳东支行保安员年龄必须安排在18周岁以上、45周岁以下，身高1.7米以上，退伍军人优先。办公区域保安员年龄必须符合《保安服务管理条例》规定。</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2.拥护和遵守中华人民共和国宪法和法律的。</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3.通过市级人民政府公安机关或经授权的单位组织的考试、审查合格，取得保安员证。</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4.符合《保安服务管理条例》的规定，品行良好，无犯罪前科、社会劣迹和不良嗜好，部队转业、复员或具备相关工作经验者优先。具有良好的职业道德，遵纪守法，敬业爱岗，工作责任心强。</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5.具有较好的语言表达和沟通能力，有较强的服务意识、观察及应对能力。</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6.具有县级以上医疗机构出具的体检证明，身体健康，男性身高在168cm以上，女性身高在160cm以上，初中以上文化程度的。</w:t>
      </w:r>
    </w:p>
    <w:p>
      <w:pPr>
        <w:spacing w:line="360" w:lineRule="auto"/>
        <w:ind w:right="10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7.有下列情形之⼀的，不予聘⽤：</w:t>
      </w:r>
    </w:p>
    <w:p>
      <w:pPr>
        <w:spacing w:line="360" w:lineRule="auto"/>
        <w:ind w:right="10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①受过刑事处罚或者涉嫌违法犯罪尚未查清的；</w:t>
      </w:r>
    </w:p>
    <w:p>
      <w:pPr>
        <w:spacing w:line="360" w:lineRule="auto"/>
        <w:ind w:right="10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②曾被收容教养、收容教育或有吸毒史的；</w:t>
      </w:r>
    </w:p>
    <w:p>
      <w:pPr>
        <w:spacing w:line="360" w:lineRule="auto"/>
        <w:ind w:right="10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③被国家机关、事业单位开除公职或者辞退的；</w:t>
      </w:r>
    </w:p>
    <w:p>
      <w:pPr>
        <w:spacing w:line="360" w:lineRule="auto"/>
        <w:ind w:right="10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④曾违反公安机关警务辅助⼈员管理规定被解聘的；</w:t>
      </w:r>
    </w:p>
    <w:p>
      <w:pPr>
        <w:spacing w:line="360" w:lineRule="auto"/>
        <w:ind w:right="10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⑤其他不适合从事保安⼈员⼯作的情形。</w:t>
      </w:r>
    </w:p>
    <w:p>
      <w:pPr>
        <w:widowControl/>
        <w:numPr>
          <w:ilvl w:val="0"/>
          <w:numId w:val="34"/>
        </w:numPr>
        <w:autoSpaceDE w:val="0"/>
        <w:autoSpaceDN w:val="0"/>
        <w:adjustRightInd w:val="0"/>
        <w:spacing w:line="360" w:lineRule="auto"/>
        <w:jc w:val="left"/>
        <w:rPr>
          <w:rFonts w:ascii="宋体" w:hAnsi="宋体"/>
          <w:bCs/>
          <w:color w:val="000000" w:themeColor="text1"/>
          <w:szCs w:val="21"/>
          <w:lang w:bidi="ar"/>
          <w14:textFill>
            <w14:solidFill>
              <w14:schemeClr w14:val="tx1"/>
            </w14:solidFill>
          </w14:textFill>
        </w:rPr>
      </w:pPr>
      <w:r>
        <w:rPr>
          <w:rFonts w:hint="eastAsia" w:ascii="宋体" w:hAnsi="宋体"/>
          <w:bCs/>
          <w:color w:val="000000" w:themeColor="text1"/>
          <w:szCs w:val="21"/>
          <w:lang w:bidi="ar"/>
          <w14:textFill>
            <w14:solidFill>
              <w14:schemeClr w14:val="tx1"/>
            </w14:solidFill>
          </w14:textFill>
        </w:rPr>
        <w:t>人员基本工作内容</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1.项目负责人：包括但不限于： </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（1）主持召开班务会议，及时准确地传达上级的工作安排，带领全体保安人员，做好日常安保等工作。 </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（2）负责对日常班务的处理，检查纠正保安人员工作中的违规行为以及对保安工作提出的改进建议。 </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（3）负责对全体保安人员考勤和考核工作，对不称职者上报领导处理。 </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（4）负责对全体保安人员的岗位培训和军体训练、消防培训、演练和相关记录的整理，提高防卫能力。 </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（5）完成上级交办的其他工作。</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2.保安员： 包括但不限于： </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（1）负责维护管辖区域内治安秩序，预防和查处安全事故；做好安全保卫工作。</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（2）对来访人员进行询问如遇引导员正忙时应协助引导员对来访进行登记及电话通报。</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（3）对在门口与银行工作无关的人员和车辆应礼貌地要求其离开，对劝告不理不采的人员可按相关规定进行处理，无法处理的应报告相关领导。</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（4）值勤时保安员应对进入营业大厅的人员要密切注视其动向；客户存、取数额较大款项时，应密切注视，加强巡视，以防不测。对要到二楼以上办事的客户应主动协助引导员通报接洽人。</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（5）值勤时保安员应提高警惕，不做与工作无关的事情，若有其他事因应得到批准后在有人替换的情况下方可离开岗位。</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（6）对在办公场所周边、营业大厅内张望、逗留时间较长、形迹可疑、或扰乱、破坏营业秩序的人员，应及时进行询问、劝阻或制止。</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（7）完成上级交办的其他工作。</w:t>
      </w:r>
    </w:p>
    <w:p>
      <w:p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（四）主要职责</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1.安全</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保护营业大堂、自助银行等区域银行和客户的财产、设备及人身安全；做好银行人员为ATM机加钞时的安全警戒；协助押运人员作好款箱进出及现金调运的安全防范工作;</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时刻保持高度警惕，关注可疑情况和可疑人员，每十五分钟对大堂、自助银行、贵宾室和大门外进行一次巡视；根据银行工作人员的要求，做好大额存取现客户的护卫工作。</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2.秩序</w:t>
      </w:r>
    </w:p>
    <w:p>
      <w:pPr>
        <w:numPr>
          <w:ilvl w:val="255"/>
          <w:numId w:val="0"/>
        </w:num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维护营业现场良好工作秩序；帮助和引导客户到相应柜台、自助机具办理业务；提醒客户遵守“一米线”和银行的其他规定；礼貌、策略地制止客户在营业大厅的不文明行为；维持门前交通秩序，引导客户车辆停放；对可疑人员和停靠车辆进行盘查。发现机具设备不能正常运行、设施物品损坏等情况应立即报告和处理。</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3.文明</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规定着装上岗，包括制服、帽子、领带、武装带、皮鞋，保持仪容整洁；站立巡视，适当就坐调节体力，站有站相、坐有坐相，保持良好警姿；坚守岗位，不迟到、早退，有事须请假不擅离岗位，不做与本职工作无关的事情；严禁酒后上岗，不在工作区域用餐、吸烟；岗位上不大声喧哗，不与人聊闲天；</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4.处理突发事件</w:t>
      </w:r>
    </w:p>
    <w:p>
      <w:pPr>
        <w:numPr>
          <w:ilvl w:val="255"/>
          <w:numId w:val="0"/>
        </w:num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遇突发（案情〉事件，应迅速作出准确的反应和判断，避免人员伤亡和财产损失；及时向乙方保卫部门和网点负责人汇报，防止事态扩大。若网点遇到突发事件，乙方在接到甲方的通知后须组织不少于4名保安应急人员在5分钟内出发，尽最快速度到达现场维护秩序。</w:t>
      </w:r>
    </w:p>
    <w:p>
      <w:p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（五）服务人员职业规范及稳定性要求</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着装规范：保安员在执勤时必须按季节要求和规定穿着制式服装，着装时要佩带帽徽、领花、肩章、领带、扎腰带，穿皮鞋或与服装样式相衬的便鞋，不得穿凉鞋和拖鞋，更不得赤脚。不得将制服和便服或冬夏服混穿。应佩戴防卫器械执勤，防卫器械应系在腰带上，不得隐藏在衣服内，不得随意摆弄防卫器械。乙方选派到服务地点的服务人员要遵守甲方服务行为规范，保持衣着整洁，言谈举止大方，服务文明热情，维护甲方的信誉，不得有任何损害甲方的言行。</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2.培训要求：保安员的培训包括岗前培训与在岗持续培训。保安员岗前培训与在岗培训由乙方负责，每季度不少于一次对保安员进行在岗培训，甲方安保部门负责监督考核，对不符合要求的，不能使用。</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劳动关系管理：乙方与保安员建立劳动关系、支付薪酬和缴纳社保，乙方应按国家规定，与保安员签署劳动合同并购买五险（养老保险、医疗保险、生育保险、失业保险、工伤保险）和人身意外伤亡保险。乙方必须依法为聘用人员完善相关劳动聘用手续和支付社保等相关劳动聘用费用，所聘用人员在工作期间发生的伤亡事故及劳动人事纠纷</w:t>
      </w:r>
      <w:r>
        <w:rPr>
          <w:rFonts w:hint="eastAsia" w:ascii="宋体" w:hAnsi="宋体" w:cs="宋体"/>
          <w:color w:val="000000" w:themeColor="text1"/>
          <w:szCs w:val="21"/>
          <w:lang w:val="en-US" w:eastAsia="zh-CN"/>
          <w14:textFill>
            <w14:solidFill>
              <w14:schemeClr w14:val="tx1"/>
            </w14:solidFill>
          </w14:textFill>
        </w:rPr>
        <w:t>均</w:t>
      </w:r>
      <w:r>
        <w:rPr>
          <w:rFonts w:hint="eastAsia" w:ascii="宋体" w:hAnsi="宋体" w:cs="宋体"/>
          <w:color w:val="000000" w:themeColor="text1"/>
          <w:szCs w:val="21"/>
          <w14:textFill>
            <w14:solidFill>
              <w14:schemeClr w14:val="tx1"/>
            </w14:solidFill>
          </w14:textFill>
        </w:rPr>
        <w:t>与甲方无关。乙方应向甲方提供服务人员的劳动合同、购买社保</w:t>
      </w:r>
      <w:r>
        <w:rPr>
          <w:rFonts w:hint="eastAsia" w:ascii="宋体" w:hAnsi="宋体" w:cs="宋体"/>
          <w:color w:val="000000" w:themeColor="text1"/>
          <w:szCs w:val="21"/>
          <w:lang w:val="en-US" w:eastAsia="zh-CN"/>
          <w14:textFill>
            <w14:solidFill>
              <w14:schemeClr w14:val="tx1"/>
            </w14:solidFill>
          </w14:textFill>
        </w:rPr>
        <w:t>等</w:t>
      </w:r>
      <w:r>
        <w:rPr>
          <w:rFonts w:hint="eastAsia" w:ascii="宋体" w:hAnsi="宋体" w:cs="宋体"/>
          <w:color w:val="000000" w:themeColor="text1"/>
          <w:szCs w:val="21"/>
          <w14:textFill>
            <w14:solidFill>
              <w14:schemeClr w14:val="tx1"/>
            </w14:solidFill>
          </w14:textFill>
        </w:rPr>
        <w:t>情况，以便甲方控制风险。乙方所聘用保安员不能对外宣称为甲方员工</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能借用甲方名义对外进行工作，不能借用甲方名义对外进行工作身份宣传等，否则甲方有权追偿由此造成的一切损失。项目服务期间，乙方选派的服务人员，如不符合资格、素质及服务要求的，甲方有权要求更换人员。服务人员如出现违反甲方规章制度或监管部门等要求的，乙方应立即进行处理，并按甲方要求更换服务人员。如对甲方造成损失的，乙方应负责赔偿。。</w:t>
      </w:r>
    </w:p>
    <w:p>
      <w:pPr>
        <w:widowControl/>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4.乙方应保证选派到甲方服务的</w:t>
      </w:r>
      <w:r>
        <w:rPr>
          <w:rFonts w:hint="eastAsia" w:ascii="宋体" w:hAnsi="宋体" w:cs="宋体"/>
          <w:color w:val="000000" w:themeColor="text1"/>
          <w:szCs w:val="21"/>
          <w:lang w:val="en-US" w:eastAsia="zh-CN"/>
          <w14:textFill>
            <w14:solidFill>
              <w14:schemeClr w14:val="tx1"/>
            </w14:solidFill>
          </w14:textFill>
        </w:rPr>
        <w:t>保安</w:t>
      </w:r>
      <w:r>
        <w:rPr>
          <w:rFonts w:hint="eastAsia" w:ascii="宋体" w:hAnsi="宋体" w:cs="宋体"/>
          <w:color w:val="000000" w:themeColor="text1"/>
          <w:szCs w:val="21"/>
          <w14:textFill>
            <w14:solidFill>
              <w14:schemeClr w14:val="tx1"/>
            </w14:solidFill>
          </w14:textFill>
        </w:rPr>
        <w:t>人员相对稳定，每季度人员流动率不得超过5%（流动率=变动人数÷总人数），派驻网点临时顶班人员不能超过1个月，若同一网点连续2个月后没有派驻固定保安人员，乙方对甲方发出网点保安人员工作不稳定的告知书，乙方应立即进行整改，若未能按要求整改的，</w:t>
      </w:r>
      <w:r>
        <w:rPr>
          <w:rFonts w:hint="eastAsia" w:ascii="宋体" w:hAnsi="宋体" w:cs="宋体"/>
          <w:color w:val="000000" w:themeColor="text1"/>
          <w:szCs w:val="21"/>
          <w:lang w:val="en-US" w:eastAsia="zh-CN"/>
          <w14:textFill>
            <w14:solidFill>
              <w14:schemeClr w14:val="tx1"/>
            </w14:solidFill>
          </w14:textFill>
        </w:rPr>
        <w:t>甲方</w:t>
      </w:r>
      <w:r>
        <w:rPr>
          <w:rFonts w:hint="eastAsia" w:ascii="宋体" w:hAnsi="宋体" w:cs="宋体"/>
          <w:color w:val="000000" w:themeColor="text1"/>
          <w:szCs w:val="21"/>
          <w14:textFill>
            <w14:solidFill>
              <w14:schemeClr w14:val="tx1"/>
            </w14:solidFill>
          </w14:textFill>
        </w:rPr>
        <w:t>有权提前与</w:t>
      </w:r>
      <w:r>
        <w:rPr>
          <w:rFonts w:hint="eastAsia" w:ascii="宋体" w:hAnsi="宋体" w:cs="宋体"/>
          <w:color w:val="000000" w:themeColor="text1"/>
          <w:szCs w:val="21"/>
          <w:lang w:val="en-US" w:eastAsia="zh-CN"/>
          <w14:textFill>
            <w14:solidFill>
              <w14:schemeClr w14:val="tx1"/>
            </w14:solidFill>
          </w14:textFill>
        </w:rPr>
        <w:t>乙方</w:t>
      </w:r>
      <w:r>
        <w:rPr>
          <w:rFonts w:hint="eastAsia" w:ascii="宋体" w:hAnsi="宋体" w:cs="宋体"/>
          <w:color w:val="000000" w:themeColor="text1"/>
          <w:szCs w:val="21"/>
          <w14:textFill>
            <w14:solidFill>
              <w14:schemeClr w14:val="tx1"/>
            </w14:solidFill>
          </w14:textFill>
        </w:rPr>
        <w:t>解除合同，一切责任后果由乙方负责。</w:t>
      </w:r>
    </w:p>
    <w:p>
      <w:pPr>
        <w:widowControl/>
        <w:spacing w:line="360" w:lineRule="auto"/>
        <w:rPr>
          <w:rFonts w:ascii="宋体" w:hAnsi="宋体" w:cs="宋体"/>
          <w:bCs/>
          <w:color w:val="000000" w:themeColor="text1"/>
          <w:szCs w:val="21"/>
          <w:lang w:bidi="ar"/>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（六）服务地点、岗位设置、数量及工作时间</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甲方保安岗位设置及区域分布情况表</w:t>
      </w:r>
    </w:p>
    <w:p>
      <w:pPr>
        <w:pStyle w:val="5"/>
        <w:spacing w:line="360" w:lineRule="auto"/>
        <w:ind w:firstLine="0"/>
        <w:rPr>
          <w:rFonts w:hAnsi="宋体" w:cs="宋体"/>
          <w:b/>
          <w:color w:val="000000" w:themeColor="text1"/>
          <w:sz w:val="21"/>
          <w:szCs w:val="21"/>
          <w14:textFill>
            <w14:solidFill>
              <w14:schemeClr w14:val="tx1"/>
            </w14:solidFill>
          </w14:textFill>
        </w:rPr>
      </w:pPr>
      <w:r>
        <w:rPr>
          <w:rFonts w:hint="eastAsia" w:hAnsi="宋体" w:cs="宋体"/>
          <w:b/>
          <w:color w:val="000000" w:themeColor="text1"/>
          <w:sz w:val="21"/>
          <w:szCs w:val="21"/>
          <w14:textFill>
            <w14:solidFill>
              <w14:schemeClr w14:val="tx1"/>
            </w14:solidFill>
          </w14:textFill>
        </w:rPr>
        <w:t>1.总行值班4人、江城片区21人、海陵片区7人，共32人。</w:t>
      </w:r>
    </w:p>
    <w:p>
      <w:pPr>
        <w:pStyle w:val="5"/>
        <w:spacing w:line="360" w:lineRule="auto"/>
        <w:ind w:firstLine="0"/>
        <w:rPr>
          <w:rFonts w:hAnsi="宋体" w:cs="宋体"/>
          <w:b/>
          <w:bCs/>
          <w:color w:val="000000" w:themeColor="text1"/>
          <w:sz w:val="21"/>
          <w:szCs w:val="21"/>
          <w:u w:val="single"/>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1）总行值班4人</w:t>
      </w:r>
    </w:p>
    <w:tbl>
      <w:tblPr>
        <w:tblStyle w:val="48"/>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027"/>
        <w:gridCol w:w="1800"/>
        <w:gridCol w:w="1434"/>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服务地点</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岗位</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岗位数量（人）</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总行大楼值班</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办公大楼前门及夜间值班</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负责办公大楼24小时白天、夜间在岗上班。</w:t>
            </w:r>
          </w:p>
        </w:tc>
      </w:tr>
    </w:tbl>
    <w:p>
      <w:pPr>
        <w:pStyle w:val="5"/>
        <w:rPr>
          <w:rFonts w:hAnsi="宋体" w:cs="宋体"/>
          <w:color w:val="000000" w:themeColor="text1"/>
          <w:sz w:val="21"/>
          <w:szCs w:val="21"/>
          <w14:textFill>
            <w14:solidFill>
              <w14:schemeClr w14:val="tx1"/>
            </w14:solidFill>
          </w14:textFill>
        </w:rPr>
      </w:pPr>
    </w:p>
    <w:p>
      <w:pPr>
        <w:pStyle w:val="17"/>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2）江城片区21人</w:t>
      </w:r>
    </w:p>
    <w:tbl>
      <w:tblPr>
        <w:tblStyle w:val="48"/>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027"/>
        <w:gridCol w:w="1800"/>
        <w:gridCol w:w="1434"/>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服务地点</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岗位</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岗位数量（人）</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总行营业部</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2</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江城支行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其中1人后门值夜班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3</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城东支行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4</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景湖支行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5</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城北支行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6</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金山支行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7</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银湾支行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8</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城西支行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9</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沿江支行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10</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麻演支行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11</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金郊支行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12</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岗列支行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13</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城南支行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14</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高新支行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15</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平冈支行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16</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埠场支行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17</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白沙支行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18</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银岭支行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19</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双捷支行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2" w:type="dxa"/>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20</w:t>
            </w:r>
          </w:p>
        </w:tc>
        <w:tc>
          <w:tcPr>
            <w:tcW w:w="3027"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城西支行</w:t>
            </w:r>
          </w:p>
        </w:tc>
        <w:tc>
          <w:tcPr>
            <w:tcW w:w="1800"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539" w:type="dxa"/>
            <w:gridSpan w:val="3"/>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合计</w:t>
            </w:r>
          </w:p>
        </w:tc>
        <w:tc>
          <w:tcPr>
            <w:tcW w:w="1434"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2701" w:type="dxa"/>
            <w:noWrap/>
            <w:vAlign w:val="center"/>
          </w:tcPr>
          <w:p>
            <w:pPr>
              <w:widowControl/>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bl>
    <w:p>
      <w:pPr>
        <w:pStyle w:val="17"/>
        <w:rPr>
          <w:rFonts w:ascii="宋体" w:hAnsi="宋体" w:cs="宋体"/>
          <w:b/>
          <w:color w:val="000000" w:themeColor="text1"/>
          <w:szCs w:val="21"/>
          <w14:textFill>
            <w14:solidFill>
              <w14:schemeClr w14:val="tx1"/>
            </w14:solidFill>
          </w14:textFill>
        </w:rPr>
      </w:pPr>
    </w:p>
    <w:p>
      <w:pPr>
        <w:pStyle w:val="1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3）海陵片 共7人</w:t>
      </w:r>
    </w:p>
    <w:tbl>
      <w:tblPr>
        <w:tblStyle w:val="49"/>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3033"/>
        <w:gridCol w:w="1811"/>
        <w:gridCol w:w="1445"/>
        <w:gridCol w:w="2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44"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3033"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服务地点</w:t>
            </w:r>
          </w:p>
        </w:tc>
        <w:tc>
          <w:tcPr>
            <w:tcW w:w="1811"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岗位</w:t>
            </w:r>
          </w:p>
        </w:tc>
        <w:tc>
          <w:tcPr>
            <w:tcW w:w="1445"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岗位数量（人）</w:t>
            </w:r>
          </w:p>
        </w:tc>
        <w:tc>
          <w:tcPr>
            <w:tcW w:w="2667"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44"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3033" w:type="dxa"/>
            <w:vAlign w:val="center"/>
          </w:tcPr>
          <w:p>
            <w:pPr>
              <w:widowControl/>
              <w:autoSpaceDE w:val="0"/>
              <w:autoSpaceDN w:val="0"/>
              <w:adjustRightInd w:val="0"/>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海陵支行</w:t>
            </w:r>
          </w:p>
        </w:tc>
        <w:tc>
          <w:tcPr>
            <w:tcW w:w="1811"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45"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667" w:type="dxa"/>
            <w:vAlign w:val="center"/>
          </w:tcPr>
          <w:p>
            <w:pPr>
              <w:widowControl/>
              <w:autoSpaceDE w:val="0"/>
              <w:autoSpaceDN w:val="0"/>
              <w:adjustRightInd w:val="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海陵支行营业部1人，其中大门口值班室3人</w:t>
            </w:r>
            <w:r>
              <w:rPr>
                <w:rFonts w:hint="eastAsia" w:ascii="宋体" w:hAnsi="宋体" w:cs="宋体"/>
                <w:color w:val="000000" w:themeColor="text1"/>
                <w:szCs w:val="21"/>
                <w14:textFill>
                  <w14:solidFill>
                    <w14:schemeClr w14:val="tx1"/>
                  </w14:solidFill>
                </w14:textFill>
              </w:rPr>
              <w:t>24小时在岗值班。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44"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3033" w:type="dxa"/>
            <w:vAlign w:val="center"/>
          </w:tcPr>
          <w:p>
            <w:pPr>
              <w:widowControl/>
              <w:autoSpaceDE w:val="0"/>
              <w:autoSpaceDN w:val="0"/>
              <w:adjustRightInd w:val="0"/>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闸坡支行</w:t>
            </w:r>
          </w:p>
        </w:tc>
        <w:tc>
          <w:tcPr>
            <w:tcW w:w="1811"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45"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667"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44"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3033" w:type="dxa"/>
            <w:vAlign w:val="center"/>
          </w:tcPr>
          <w:p>
            <w:pPr>
              <w:widowControl/>
              <w:autoSpaceDE w:val="0"/>
              <w:autoSpaceDN w:val="0"/>
              <w:adjustRightInd w:val="0"/>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白浦支行</w:t>
            </w:r>
          </w:p>
        </w:tc>
        <w:tc>
          <w:tcPr>
            <w:tcW w:w="1811"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45"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667"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44"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3033" w:type="dxa"/>
            <w:vAlign w:val="center"/>
          </w:tcPr>
          <w:p>
            <w:pPr>
              <w:widowControl/>
              <w:autoSpaceDE w:val="0"/>
              <w:autoSpaceDN w:val="0"/>
              <w:adjustRightInd w:val="0"/>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下朗支行</w:t>
            </w:r>
          </w:p>
        </w:tc>
        <w:tc>
          <w:tcPr>
            <w:tcW w:w="1811"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保安员</w:t>
            </w:r>
          </w:p>
        </w:tc>
        <w:tc>
          <w:tcPr>
            <w:tcW w:w="1445"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667" w:type="dxa"/>
            <w:vAlign w:val="center"/>
          </w:tcPr>
          <w:p>
            <w:pPr>
              <w:widowControl/>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588" w:type="dxa"/>
            <w:gridSpan w:val="3"/>
            <w:vAlign w:val="center"/>
          </w:tcPr>
          <w:p>
            <w:pPr>
              <w:pStyle w:val="17"/>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合计</w:t>
            </w:r>
          </w:p>
        </w:tc>
        <w:tc>
          <w:tcPr>
            <w:tcW w:w="1445" w:type="dxa"/>
            <w:vAlign w:val="center"/>
          </w:tcPr>
          <w:p>
            <w:pPr>
              <w:pStyle w:val="17"/>
              <w:autoSpaceDE w:val="0"/>
              <w:autoSpaceDN w:val="0"/>
              <w:adjustRightIn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7</w:t>
            </w:r>
          </w:p>
        </w:tc>
        <w:tc>
          <w:tcPr>
            <w:tcW w:w="2667" w:type="dxa"/>
          </w:tcPr>
          <w:p>
            <w:pPr>
              <w:pStyle w:val="17"/>
              <w:autoSpaceDE w:val="0"/>
              <w:autoSpaceDN w:val="0"/>
              <w:adjustRightInd w:val="0"/>
              <w:rPr>
                <w:rFonts w:ascii="宋体" w:hAnsi="宋体" w:cs="宋体"/>
                <w:b/>
                <w:color w:val="000000" w:themeColor="text1"/>
                <w:szCs w:val="21"/>
                <w14:textFill>
                  <w14:solidFill>
                    <w14:schemeClr w14:val="tx1"/>
                  </w14:solidFill>
                </w14:textFill>
              </w:rPr>
            </w:pPr>
          </w:p>
        </w:tc>
      </w:tr>
    </w:tbl>
    <w:p>
      <w:pPr>
        <w:pStyle w:val="17"/>
        <w:rPr>
          <w:rFonts w:ascii="宋体" w:hAnsi="宋体" w:cs="宋体"/>
          <w:b/>
          <w:color w:val="000000" w:themeColor="text1"/>
          <w:szCs w:val="21"/>
          <w14:textFill>
            <w14:solidFill>
              <w14:schemeClr w14:val="tx1"/>
            </w14:solidFill>
          </w14:textFill>
        </w:rPr>
      </w:pPr>
    </w:p>
    <w:p>
      <w:pPr>
        <w:pStyle w:val="17"/>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2.阳东片区共19人</w:t>
      </w:r>
    </w:p>
    <w:tbl>
      <w:tblPr>
        <w:tblStyle w:val="48"/>
        <w:tblW w:w="9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030"/>
        <w:gridCol w:w="1815"/>
        <w:gridCol w:w="1487"/>
        <w:gridCol w:w="2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序号</w:t>
            </w:r>
          </w:p>
        </w:tc>
        <w:tc>
          <w:tcPr>
            <w:tcW w:w="303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服务地点</w:t>
            </w:r>
          </w:p>
        </w:tc>
        <w:tc>
          <w:tcPr>
            <w:tcW w:w="1815"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岗位</w:t>
            </w:r>
          </w:p>
        </w:tc>
        <w:tc>
          <w:tcPr>
            <w:tcW w:w="1487"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岗位数量</w:t>
            </w:r>
          </w:p>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（人）</w:t>
            </w:r>
          </w:p>
        </w:tc>
        <w:tc>
          <w:tcPr>
            <w:tcW w:w="2653"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303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新华</w:t>
            </w:r>
            <w:r>
              <w:rPr>
                <w:rFonts w:hint="eastAsia" w:ascii="宋体" w:hAnsi="宋体" w:cs="宋体"/>
                <w:color w:val="000000" w:themeColor="text1"/>
                <w:szCs w:val="21"/>
                <w14:textFill>
                  <w14:solidFill>
                    <w14:schemeClr w14:val="tx1"/>
                  </w14:solidFill>
                </w14:textFill>
              </w:rPr>
              <w:t>支行</w:t>
            </w:r>
          </w:p>
        </w:tc>
        <w:tc>
          <w:tcPr>
            <w:tcW w:w="1815"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60" w:lineRule="auto"/>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p>
        </w:tc>
        <w:tc>
          <w:tcPr>
            <w:tcW w:w="303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新江</w:t>
            </w:r>
            <w:r>
              <w:rPr>
                <w:rFonts w:hint="eastAsia" w:ascii="宋体" w:hAnsi="宋体" w:cs="宋体"/>
                <w:color w:val="000000" w:themeColor="text1"/>
                <w:szCs w:val="21"/>
                <w14:textFill>
                  <w14:solidFill>
                    <w14:schemeClr w14:val="tx1"/>
                  </w14:solidFill>
                </w14:textFill>
              </w:rPr>
              <w:t>支行</w:t>
            </w:r>
          </w:p>
        </w:tc>
        <w:tc>
          <w:tcPr>
            <w:tcW w:w="1815"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60" w:lineRule="auto"/>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w:t>
            </w:r>
          </w:p>
        </w:tc>
        <w:tc>
          <w:tcPr>
            <w:tcW w:w="303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东城</w:t>
            </w:r>
            <w:r>
              <w:rPr>
                <w:rFonts w:hint="eastAsia" w:ascii="宋体" w:hAnsi="宋体" w:cs="宋体"/>
                <w:color w:val="000000" w:themeColor="text1"/>
                <w:szCs w:val="21"/>
                <w14:textFill>
                  <w14:solidFill>
                    <w14:schemeClr w14:val="tx1"/>
                  </w14:solidFill>
                </w14:textFill>
              </w:rPr>
              <w:t>支行</w:t>
            </w:r>
          </w:p>
        </w:tc>
        <w:tc>
          <w:tcPr>
            <w:tcW w:w="1815"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60" w:lineRule="auto"/>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w:t>
            </w:r>
          </w:p>
        </w:tc>
        <w:tc>
          <w:tcPr>
            <w:tcW w:w="303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迎宾</w:t>
            </w:r>
            <w:r>
              <w:rPr>
                <w:rFonts w:hint="eastAsia" w:ascii="宋体" w:hAnsi="宋体" w:cs="宋体"/>
                <w:color w:val="000000" w:themeColor="text1"/>
                <w:szCs w:val="21"/>
                <w14:textFill>
                  <w14:solidFill>
                    <w14:schemeClr w14:val="tx1"/>
                  </w14:solidFill>
                </w14:textFill>
              </w:rPr>
              <w:t>支行</w:t>
            </w:r>
          </w:p>
        </w:tc>
        <w:tc>
          <w:tcPr>
            <w:tcW w:w="1815"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60" w:lineRule="auto"/>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w:t>
            </w:r>
          </w:p>
        </w:tc>
        <w:tc>
          <w:tcPr>
            <w:tcW w:w="303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红丰支行</w:t>
            </w:r>
          </w:p>
        </w:tc>
        <w:tc>
          <w:tcPr>
            <w:tcW w:w="1815"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60" w:lineRule="auto"/>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w:t>
            </w:r>
          </w:p>
        </w:tc>
        <w:tc>
          <w:tcPr>
            <w:tcW w:w="303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塘坪支行</w:t>
            </w:r>
          </w:p>
        </w:tc>
        <w:tc>
          <w:tcPr>
            <w:tcW w:w="1815"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60" w:lineRule="auto"/>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7</w:t>
            </w:r>
          </w:p>
        </w:tc>
        <w:tc>
          <w:tcPr>
            <w:tcW w:w="303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大八支行</w:t>
            </w:r>
          </w:p>
        </w:tc>
        <w:tc>
          <w:tcPr>
            <w:tcW w:w="1815"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60" w:lineRule="auto"/>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8</w:t>
            </w:r>
          </w:p>
        </w:tc>
        <w:tc>
          <w:tcPr>
            <w:tcW w:w="303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那龙支行</w:t>
            </w:r>
          </w:p>
        </w:tc>
        <w:tc>
          <w:tcPr>
            <w:tcW w:w="1815"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60" w:lineRule="auto"/>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9</w:t>
            </w:r>
          </w:p>
        </w:tc>
        <w:tc>
          <w:tcPr>
            <w:tcW w:w="303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合山支行</w:t>
            </w:r>
          </w:p>
        </w:tc>
        <w:tc>
          <w:tcPr>
            <w:tcW w:w="1815"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60" w:lineRule="auto"/>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10</w:t>
            </w:r>
          </w:p>
        </w:tc>
        <w:tc>
          <w:tcPr>
            <w:tcW w:w="303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镇南</w:t>
            </w:r>
            <w:r>
              <w:rPr>
                <w:rFonts w:hint="eastAsia" w:ascii="宋体" w:hAnsi="宋体" w:cs="宋体"/>
                <w:color w:val="000000" w:themeColor="text1"/>
                <w:szCs w:val="21"/>
                <w14:textFill>
                  <w14:solidFill>
                    <w14:schemeClr w14:val="tx1"/>
                  </w14:solidFill>
                </w14:textFill>
              </w:rPr>
              <w:t>支行</w:t>
            </w:r>
          </w:p>
        </w:tc>
        <w:tc>
          <w:tcPr>
            <w:tcW w:w="1815"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60" w:lineRule="auto"/>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11</w:t>
            </w:r>
          </w:p>
        </w:tc>
        <w:tc>
          <w:tcPr>
            <w:tcW w:w="303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北惯支行</w:t>
            </w:r>
          </w:p>
        </w:tc>
        <w:tc>
          <w:tcPr>
            <w:tcW w:w="1815"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60" w:lineRule="auto"/>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12</w:t>
            </w:r>
          </w:p>
        </w:tc>
        <w:tc>
          <w:tcPr>
            <w:tcW w:w="303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北平</w:t>
            </w:r>
            <w:r>
              <w:rPr>
                <w:rFonts w:hint="eastAsia" w:ascii="宋体" w:hAnsi="宋体" w:cs="宋体"/>
                <w:color w:val="000000" w:themeColor="text1"/>
                <w:szCs w:val="21"/>
                <w14:textFill>
                  <w14:solidFill>
                    <w14:schemeClr w14:val="tx1"/>
                  </w14:solidFill>
                </w14:textFill>
              </w:rPr>
              <w:t>支行</w:t>
            </w:r>
          </w:p>
        </w:tc>
        <w:tc>
          <w:tcPr>
            <w:tcW w:w="1815"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60" w:lineRule="auto"/>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13</w:t>
            </w:r>
          </w:p>
        </w:tc>
        <w:tc>
          <w:tcPr>
            <w:tcW w:w="303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新洲支行</w:t>
            </w:r>
          </w:p>
        </w:tc>
        <w:tc>
          <w:tcPr>
            <w:tcW w:w="1815"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60" w:lineRule="auto"/>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14</w:t>
            </w:r>
          </w:p>
        </w:tc>
        <w:tc>
          <w:tcPr>
            <w:tcW w:w="303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东平支行</w:t>
            </w:r>
          </w:p>
        </w:tc>
        <w:tc>
          <w:tcPr>
            <w:tcW w:w="1815"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60" w:lineRule="auto"/>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15</w:t>
            </w:r>
          </w:p>
        </w:tc>
        <w:tc>
          <w:tcPr>
            <w:tcW w:w="303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龙井支行</w:t>
            </w:r>
          </w:p>
        </w:tc>
        <w:tc>
          <w:tcPr>
            <w:tcW w:w="1815"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60" w:lineRule="auto"/>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16</w:t>
            </w:r>
          </w:p>
        </w:tc>
        <w:tc>
          <w:tcPr>
            <w:tcW w:w="303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大沟支行</w:t>
            </w:r>
          </w:p>
        </w:tc>
        <w:tc>
          <w:tcPr>
            <w:tcW w:w="1815"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60" w:lineRule="auto"/>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17</w:t>
            </w:r>
          </w:p>
        </w:tc>
        <w:tc>
          <w:tcPr>
            <w:tcW w:w="303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雅韶支行</w:t>
            </w:r>
          </w:p>
        </w:tc>
        <w:tc>
          <w:tcPr>
            <w:tcW w:w="1815"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60" w:lineRule="auto"/>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18</w:t>
            </w:r>
          </w:p>
        </w:tc>
        <w:tc>
          <w:tcPr>
            <w:tcW w:w="303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漠江支行</w:t>
            </w:r>
          </w:p>
        </w:tc>
        <w:tc>
          <w:tcPr>
            <w:tcW w:w="1815"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60" w:lineRule="auto"/>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19</w:t>
            </w:r>
          </w:p>
        </w:tc>
        <w:tc>
          <w:tcPr>
            <w:tcW w:w="303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东山支行</w:t>
            </w:r>
          </w:p>
        </w:tc>
        <w:tc>
          <w:tcPr>
            <w:tcW w:w="1815"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保安员</w:t>
            </w:r>
          </w:p>
        </w:tc>
        <w:tc>
          <w:tcPr>
            <w:tcW w:w="1487"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53" w:type="dxa"/>
            <w:vAlign w:val="center"/>
          </w:tcPr>
          <w:p>
            <w:pPr>
              <w:spacing w:line="360" w:lineRule="auto"/>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5565" w:type="dxa"/>
            <w:gridSpan w:val="3"/>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合计</w:t>
            </w:r>
          </w:p>
        </w:tc>
        <w:tc>
          <w:tcPr>
            <w:tcW w:w="1487"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19</w:t>
            </w:r>
          </w:p>
        </w:tc>
        <w:tc>
          <w:tcPr>
            <w:tcW w:w="2653" w:type="dxa"/>
            <w:vAlign w:val="center"/>
          </w:tcPr>
          <w:p>
            <w:pPr>
              <w:spacing w:line="360" w:lineRule="auto"/>
              <w:rPr>
                <w:rFonts w:ascii="宋体" w:hAnsi="宋体" w:cs="宋体"/>
                <w:bCs/>
                <w:color w:val="000000" w:themeColor="text1"/>
                <w:szCs w:val="21"/>
                <w14:textFill>
                  <w14:solidFill>
                    <w14:schemeClr w14:val="tx1"/>
                  </w14:solidFill>
                </w14:textFill>
              </w:rPr>
            </w:pPr>
          </w:p>
        </w:tc>
      </w:tr>
    </w:tbl>
    <w:p>
      <w:pPr>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w:t>
      </w:r>
      <w:r>
        <w:rPr>
          <w:rFonts w:ascii="宋体" w:hAnsi="宋体"/>
          <w:bCs/>
          <w:color w:val="000000" w:themeColor="text1"/>
          <w:szCs w:val="21"/>
          <w14:textFill>
            <w14:solidFill>
              <w14:schemeClr w14:val="tx1"/>
            </w14:solidFill>
          </w14:textFill>
        </w:rPr>
        <w:t>工作时间（具体时间以实际</w:t>
      </w:r>
      <w:r>
        <w:rPr>
          <w:rFonts w:hint="eastAsia" w:ascii="宋体" w:hAnsi="宋体"/>
          <w:color w:val="000000" w:themeColor="text1"/>
          <w:szCs w:val="21"/>
          <w14:textFill>
            <w14:solidFill>
              <w14:schemeClr w14:val="tx1"/>
            </w14:solidFill>
          </w14:textFill>
        </w:rPr>
        <w:t>营业时间</w:t>
      </w:r>
      <w:r>
        <w:rPr>
          <w:rFonts w:hint="eastAsia" w:ascii="宋体" w:hAnsi="宋体"/>
          <w:bCs/>
          <w:color w:val="000000" w:themeColor="text1"/>
          <w:szCs w:val="21"/>
          <w14:textFill>
            <w14:solidFill>
              <w14:schemeClr w14:val="tx1"/>
            </w14:solidFill>
          </w14:textFill>
        </w:rPr>
        <w:t>为准）：</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1）营业部上班时间：早上8：30至17：30（以实际下班时间为准）。</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2）辖内网点上班时间：早上8：30至17：30（以实际下班时间为准）。</w:t>
      </w: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3）门卫岗的上班时间：实行24小时单人值班。</w:t>
      </w:r>
    </w:p>
    <w:p>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保安队长负责安排个别轮休保安员的网点顶班工作</w:t>
      </w:r>
    </w:p>
    <w:p>
      <w:p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七、违约责任和其他约定</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如果发生以下情况之一，甲方有权终止合同，要求</w:t>
      </w:r>
      <w:r>
        <w:rPr>
          <w:rFonts w:hint="eastAsia" w:ascii="宋体" w:hAnsi="宋体" w:cs="宋体"/>
          <w:color w:val="000000" w:themeColor="text1"/>
          <w:szCs w:val="21"/>
          <w14:textFill>
            <w14:solidFill>
              <w14:schemeClr w14:val="tx1"/>
            </w14:solidFill>
          </w14:textFill>
        </w:rPr>
        <w:t>乙方</w:t>
      </w:r>
      <w:r>
        <w:rPr>
          <w:rFonts w:hint="eastAsia" w:ascii="宋体" w:hAnsi="宋体" w:cs="宋体"/>
          <w:color w:val="000000" w:themeColor="text1"/>
          <w14:textFill>
            <w14:solidFill>
              <w14:schemeClr w14:val="tx1"/>
            </w14:solidFill>
          </w14:textFill>
        </w:rPr>
        <w:t>赔偿相应损失，且不退还履约保证金：</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乙方</w:t>
      </w:r>
      <w:r>
        <w:rPr>
          <w:rFonts w:hint="eastAsia" w:ascii="宋体" w:hAnsi="宋体" w:cs="宋体"/>
          <w:color w:val="000000" w:themeColor="text1"/>
          <w14:textFill>
            <w14:solidFill>
              <w14:schemeClr w14:val="tx1"/>
            </w14:solidFill>
          </w14:textFill>
        </w:rPr>
        <w:t>管理不到位，保安员违反法律、法规、规章制度等规定，造成严重后果的。</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乙方</w:t>
      </w:r>
      <w:r>
        <w:rPr>
          <w:rFonts w:hint="eastAsia" w:ascii="宋体" w:hAnsi="宋体" w:cs="宋体"/>
          <w:color w:val="000000" w:themeColor="text1"/>
          <w14:textFill>
            <w14:solidFill>
              <w14:schemeClr w14:val="tx1"/>
            </w14:solidFill>
          </w14:textFill>
        </w:rPr>
        <w:t>管理不到位，保安员责任心不强，造成甲方服务对象人身伤害或财物重大损失的。</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乙方</w:t>
      </w:r>
      <w:r>
        <w:rPr>
          <w:rFonts w:hint="eastAsia" w:ascii="宋体" w:hAnsi="宋体" w:cs="宋体"/>
          <w:color w:val="000000" w:themeColor="text1"/>
          <w14:textFill>
            <w14:solidFill>
              <w14:schemeClr w14:val="tx1"/>
            </w14:solidFill>
          </w14:textFill>
        </w:rPr>
        <w:t>未按规定人数配齐保安员或当班人数（岗数）少于约定的人数（岗数），经甲方要求整改仍然不改，超过3次的。</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4.在甲方随机抽查保安员相关资质证书时无法提供，经甲方要求整改提供仍然不提供，超过3次的。</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乙方</w:t>
      </w:r>
      <w:r>
        <w:rPr>
          <w:rFonts w:hint="eastAsia" w:ascii="宋体" w:hAnsi="宋体" w:cs="宋体"/>
          <w:color w:val="000000" w:themeColor="text1"/>
          <w14:textFill>
            <w14:solidFill>
              <w14:schemeClr w14:val="tx1"/>
            </w14:solidFill>
          </w14:textFill>
        </w:rPr>
        <w:t>如存在提供虚假资料或违反相关法律法规的行为，甲方可单方面解除合同。</w:t>
      </w:r>
    </w:p>
    <w:p>
      <w:pPr>
        <w:tabs>
          <w:tab w:val="left" w:pos="1004"/>
        </w:tabs>
        <w:spacing w:line="360" w:lineRule="auto"/>
        <w:ind w:right="31" w:rightChars="15"/>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八、付款方式</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1.服务费每月按实际提供的服务人员数量结算，每月7日前，乙方开具上月总服务费用且符合甲方要求的发票并寄送（或送达）给甲方，甲方将在收到发票后10个工作日内以银行转账方式向乙方支付服务费用。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2.甲方实际支付服务费用=当月应付服务费用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3.乙方须向甲方提供依法纳税的服务费发票；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4.收款方、出具发票方、合同乙方均必须与乙方名称一致。</w:t>
      </w:r>
    </w:p>
    <w:p>
      <w:pPr>
        <w:spacing w:line="360" w:lineRule="auto"/>
        <w:rPr>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九、</w:t>
      </w:r>
      <w:r>
        <w:rPr>
          <w:rFonts w:hint="eastAsia"/>
          <w:color w:val="000000" w:themeColor="text1"/>
          <w14:textFill>
            <w14:solidFill>
              <w14:schemeClr w14:val="tx1"/>
            </w14:solidFill>
          </w14:textFill>
        </w:rPr>
        <w:t>考核方案</w:t>
      </w:r>
      <w:r>
        <w:rPr>
          <w:color w:val="000000" w:themeColor="text1"/>
          <w14:textFill>
            <w14:solidFill>
              <w14:schemeClr w14:val="tx1"/>
            </w14:solidFill>
          </w14:textFill>
        </w:rPr>
        <w:t xml:space="preserve"> </w:t>
      </w:r>
    </w:p>
    <w:p>
      <w:pPr>
        <w:tabs>
          <w:tab w:val="left" w:pos="735"/>
        </w:tabs>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乙方应注意日常工作的监管，甲方采取按季度定期方式对乙方进行考核，以100分为标准，考核结果依次评定为满意和不满意二个档次，当季考核结果为81分以上的为满意，80分（含）以下 的为不满意。同一年度出现两个季度评定为不满意的，甲方有权终止采购合同</w:t>
      </w:r>
      <w:r>
        <w:rPr>
          <w:rFonts w:hint="eastAsia" w:ascii="宋体" w:hAnsi="宋体"/>
          <w:color w:val="000000" w:themeColor="text1"/>
          <w:szCs w:val="21"/>
          <w14:textFill>
            <w14:solidFill>
              <w14:schemeClr w14:val="tx1"/>
            </w14:solidFill>
          </w14:textFill>
        </w:rPr>
        <w:t>，剩余服务期限不再履行</w:t>
      </w:r>
      <w:r>
        <w:rPr>
          <w:rFonts w:hint="eastAsia" w:ascii="宋体" w:hAnsi="宋体" w:cs="宋体"/>
          <w:color w:val="000000" w:themeColor="text1"/>
          <w:szCs w:val="21"/>
          <w14:textFill>
            <w14:solidFill>
              <w14:schemeClr w14:val="tx1"/>
            </w14:solidFill>
          </w14:textFill>
        </w:rPr>
        <w:t>。终止合同部分的保安服务，可由另一中标候选人按原招标文件、投标承诺与甲方签订合同，或通过招标方式重新选取其他较优者作为替换机构，合同期限自合同签订之日起至本项目服务期满之日止。服务期内两家中标候选人均不通过考核的，项目将重新组织招标。</w:t>
      </w:r>
    </w:p>
    <w:p>
      <w:pPr>
        <w:tabs>
          <w:tab w:val="left" w:pos="735"/>
        </w:tabs>
        <w:snapToGrid w:val="0"/>
        <w:spacing w:line="360" w:lineRule="auto"/>
        <w:ind w:firstLine="420" w:firstLineChars="200"/>
        <w:rPr>
          <w:rFonts w:ascii="宋体" w:hAnsi="宋体" w:cs="宋体"/>
          <w:color w:val="000000" w:themeColor="text1"/>
          <w:szCs w:val="21"/>
          <w14:textFill>
            <w14:solidFill>
              <w14:schemeClr w14:val="tx1"/>
            </w14:solidFill>
          </w14:textFill>
        </w:rPr>
      </w:pPr>
    </w:p>
    <w:p>
      <w:pPr>
        <w:snapToGrid w:val="0"/>
        <w:ind w:left="420"/>
        <w:jc w:val="center"/>
        <w:rPr>
          <w:rFonts w:cs="宋体" w:asciiTheme="minorEastAsia" w:hAnsiTheme="minorEastAsia"/>
          <w:b/>
          <w:bCs/>
          <w:color w:val="000000" w:themeColor="text1"/>
          <w:szCs w:val="21"/>
          <w14:textFill>
            <w14:solidFill>
              <w14:schemeClr w14:val="tx1"/>
            </w14:solidFill>
          </w14:textFill>
        </w:rPr>
      </w:pPr>
      <w:r>
        <w:rPr>
          <w:rFonts w:hint="eastAsia" w:cs="宋体" w:asciiTheme="minorEastAsia" w:hAnsiTheme="minorEastAsia"/>
          <w:b/>
          <w:bCs/>
          <w:color w:val="000000" w:themeColor="text1"/>
          <w:szCs w:val="21"/>
          <w14:textFill>
            <w14:solidFill>
              <w14:schemeClr w14:val="tx1"/>
            </w14:solidFill>
          </w14:textFill>
        </w:rPr>
        <w:t>保安公司服务考核细则</w:t>
      </w:r>
    </w:p>
    <w:tbl>
      <w:tblPr>
        <w:tblStyle w:val="49"/>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673"/>
        <w:gridCol w:w="4714"/>
        <w:gridCol w:w="2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84"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考核项目</w:t>
            </w: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4714"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内容</w:t>
            </w:r>
          </w:p>
        </w:tc>
        <w:tc>
          <w:tcPr>
            <w:tcW w:w="2579"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保安公司</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服务职责</w:t>
            </w: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负责对保安人员进行岗前培训或应甲方要求和实际情况对保安人员进行在岗轮训工作。</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违反规定，每人每次扣</w:t>
            </w:r>
            <w:r>
              <w:rPr>
                <w:rFonts w:ascii="宋体" w:hAnsi="宋体"/>
                <w:color w:val="000000" w:themeColor="text1"/>
                <w:szCs w:val="21"/>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负责保安员的服装、警械、器材由统一配置，符合公安部门的要求。</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违反规定，每人每次扣</w:t>
            </w:r>
            <w:r>
              <w:rPr>
                <w:rFonts w:ascii="宋体" w:hAnsi="宋体"/>
                <w:color w:val="000000" w:themeColor="text1"/>
                <w:szCs w:val="21"/>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负责提供保安人员的个人资料复印件及一寸免冠相片，交甲方安全保卫部或人力资源部备案。</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违反规定，每人每次扣</w:t>
            </w:r>
            <w:r>
              <w:rPr>
                <w:rFonts w:ascii="宋体" w:hAnsi="宋体"/>
                <w:color w:val="000000" w:themeColor="text1"/>
                <w:szCs w:val="21"/>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建立和健全各项安全保卫制度，并对保安人员落实值班制度的情况进行监督和检查。</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违反规定，扣</w:t>
            </w:r>
            <w:r>
              <w:rPr>
                <w:rFonts w:ascii="宋体" w:hAnsi="宋体"/>
                <w:color w:val="000000" w:themeColor="text1"/>
                <w:szCs w:val="21"/>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负责对不称职的保安人员，进行教育批评，甲方认为无法履行现在职责的保安人员，应及时予以调换。</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违反规定，每次扣</w:t>
            </w:r>
            <w:r>
              <w:rPr>
                <w:rFonts w:ascii="宋体" w:hAnsi="宋体"/>
                <w:color w:val="000000" w:themeColor="text1"/>
                <w:szCs w:val="21"/>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负责保安员因事假、病假请假后调整其他保安员上岗。</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违反规定，每次扣</w:t>
            </w:r>
            <w:r>
              <w:rPr>
                <w:rFonts w:ascii="宋体" w:hAnsi="宋体"/>
                <w:color w:val="000000" w:themeColor="text1"/>
                <w:szCs w:val="21"/>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负责缴交保安员五险一金并按规定时间及时支付保安人员工资。</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违反规定，每人每次扣</w:t>
            </w:r>
            <w:r>
              <w:rPr>
                <w:rFonts w:ascii="宋体" w:hAnsi="宋体"/>
                <w:color w:val="000000" w:themeColor="text1"/>
                <w:szCs w:val="21"/>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负责协助配合甲方在非营业时间确因安全工作需要需派驻保安人员到场执行工作任务。</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违反规定，每次扣</w:t>
            </w:r>
            <w:r>
              <w:rPr>
                <w:rFonts w:ascii="宋体" w:hAnsi="宋体"/>
                <w:color w:val="000000" w:themeColor="text1"/>
                <w:szCs w:val="21"/>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保安队长</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工作职责</w:t>
            </w: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定期或不定期向甲方安全保卫部汇报保安员工作情况，重大问题要及时向安全保卫部报告。</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违反规定，每次扣</w:t>
            </w:r>
            <w:r>
              <w:rPr>
                <w:rFonts w:ascii="宋体" w:hAnsi="宋体"/>
                <w:color w:val="000000" w:themeColor="text1"/>
                <w:szCs w:val="21"/>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4714"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负责各营业网点保安员的请、休假及顶班工作。</w:t>
            </w:r>
          </w:p>
        </w:tc>
        <w:tc>
          <w:tcPr>
            <w:tcW w:w="2579"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违反规定，每次扣</w:t>
            </w:r>
            <w:r>
              <w:rPr>
                <w:rFonts w:ascii="宋体" w:hAnsi="宋体"/>
                <w:color w:val="000000" w:themeColor="text1"/>
                <w:szCs w:val="21"/>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对甲方安全保卫部提出不称职的保安员调换建议，应及时处理。</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违反规定，每次扣</w:t>
            </w:r>
            <w:r>
              <w:rPr>
                <w:rFonts w:ascii="宋体" w:hAnsi="宋体"/>
                <w:color w:val="000000" w:themeColor="text1"/>
                <w:szCs w:val="21"/>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保安员工作职责和要求</w:t>
            </w: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维护甲方办公、营业场所门前的治安，做好门前的车辆停放工作，确保车辆停放有序。</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违反规定，每人每次扣</w:t>
            </w:r>
            <w:r>
              <w:rPr>
                <w:rFonts w:ascii="宋体" w:hAnsi="宋体"/>
                <w:color w:val="000000" w:themeColor="text1"/>
                <w:szCs w:val="21"/>
                <w14:textFill>
                  <w14:solidFill>
                    <w14:schemeClr w14:val="tx1"/>
                  </w14:solidFill>
                </w14:textFill>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ind w:firstLine="420"/>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听从网点负责人工作安排，做好大额存取款客户的护送工作和柜员机及周边环境的巡查工作。</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违反规定，每人每次扣</w:t>
            </w:r>
            <w:r>
              <w:rPr>
                <w:rFonts w:ascii="宋体" w:hAnsi="宋体"/>
                <w:color w:val="000000" w:themeColor="text1"/>
                <w:szCs w:val="21"/>
                <w14:textFill>
                  <w14:solidFill>
                    <w14:schemeClr w14:val="tx1"/>
                  </w14:solidFill>
                </w14:textFill>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上岗时按规定穿着制服，携带保安器械，做到仪容及着装整齐，用语礼貌，仪表端正。</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违反规定，每人每次扣</w:t>
            </w:r>
            <w:r>
              <w:rPr>
                <w:rFonts w:ascii="宋体" w:hAnsi="宋体"/>
                <w:color w:val="000000" w:themeColor="text1"/>
                <w:szCs w:val="21"/>
                <w14:textFill>
                  <w14:solidFill>
                    <w14:schemeClr w14:val="tx1"/>
                  </w14:solidFill>
                </w14:textFill>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依法维护甲方办公、营业场所秩序，预防和制止违法犯罪活动，保护甲方员工和客户的合法权益不受侵害。</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违反规定，每人每次扣</w:t>
            </w:r>
            <w:r>
              <w:rPr>
                <w:rFonts w:ascii="宋体" w:hAnsi="宋体"/>
                <w:color w:val="000000" w:themeColor="text1"/>
                <w:szCs w:val="21"/>
                <w14:textFill>
                  <w14:solidFill>
                    <w14:schemeClr w14:val="tx1"/>
                  </w14:solidFill>
                </w14:textFill>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不得参与与本职工作无关的事务，严禁替客户办理各项银行业务，严禁打听、偷窥或泄漏客户的有关资料和不得接受任何新闻媒体的采访</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违反规定，每人每次扣</w:t>
            </w:r>
            <w:r>
              <w:rPr>
                <w:rFonts w:ascii="宋体" w:hAnsi="宋体"/>
                <w:color w:val="000000" w:themeColor="text1"/>
                <w:szCs w:val="21"/>
                <w14:textFill>
                  <w14:solidFill>
                    <w14:schemeClr w14:val="tx1"/>
                  </w14:solidFill>
                </w14:textFill>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p>
        </w:tc>
        <w:tc>
          <w:tcPr>
            <w:tcW w:w="673" w:type="dxa"/>
            <w:vAlign w:val="center"/>
          </w:tcPr>
          <w:p>
            <w:pPr>
              <w:autoSpaceDE w:val="0"/>
              <w:autoSpaceDN w:val="0"/>
              <w:adjustRightInd w:val="0"/>
              <w:spacing w:line="315" w:lineRule="atLeas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p>
        </w:tc>
        <w:tc>
          <w:tcPr>
            <w:tcW w:w="4714" w:type="dxa"/>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不得参与“黄、赌、毒”及各类违法乱纪活动，不准利用工作之便，做出有损甲方的行为；严禁粗暴无礼，打骂客户，侮辱他人。</w:t>
            </w:r>
          </w:p>
        </w:tc>
        <w:tc>
          <w:tcPr>
            <w:tcW w:w="2579" w:type="dxa"/>
            <w:vAlign w:val="center"/>
          </w:tcPr>
          <w:p>
            <w:pPr>
              <w:autoSpaceDE w:val="0"/>
              <w:autoSpaceDN w:val="0"/>
              <w:adjustRightInd w:val="0"/>
              <w:spacing w:line="315"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违反规定，每人每次扣</w:t>
            </w:r>
            <w:r>
              <w:rPr>
                <w:rFonts w:ascii="宋体" w:hAnsi="宋体"/>
                <w:color w:val="000000" w:themeColor="text1"/>
                <w:szCs w:val="21"/>
                <w14:textFill>
                  <w14:solidFill>
                    <w14:schemeClr w14:val="tx1"/>
                  </w14:solidFill>
                </w14:textFill>
              </w:rPr>
              <w:t>1分</w:t>
            </w:r>
          </w:p>
        </w:tc>
      </w:tr>
    </w:tbl>
    <w:p>
      <w:pPr>
        <w:tabs>
          <w:tab w:val="left" w:pos="945"/>
        </w:tabs>
        <w:adjustRightInd w:val="0"/>
        <w:snapToGrid w:val="0"/>
        <w:spacing w:line="360" w:lineRule="auto"/>
        <w:ind w:left="945" w:right="31" w:rightChars="15" w:hanging="945" w:hangingChars="450"/>
        <w:rPr>
          <w:rFonts w:ascii="宋体" w:hAnsi="宋体"/>
          <w:bCs/>
          <w:color w:val="000000" w:themeColor="text1"/>
          <w:szCs w:val="21"/>
          <w14:textFill>
            <w14:solidFill>
              <w14:schemeClr w14:val="tx1"/>
            </w14:solidFill>
          </w14:textFill>
        </w:rPr>
      </w:pPr>
    </w:p>
    <w:p>
      <w:pPr>
        <w:tabs>
          <w:tab w:val="left" w:pos="945"/>
        </w:tabs>
        <w:adjustRightInd w:val="0"/>
        <w:snapToGrid w:val="0"/>
        <w:spacing w:line="360" w:lineRule="auto"/>
        <w:ind w:left="945" w:right="31" w:rightChars="15" w:hanging="945" w:hangingChars="45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十、对服务异议的时间和办法</w:t>
      </w:r>
    </w:p>
    <w:p>
      <w:pPr>
        <w:tabs>
          <w:tab w:val="left" w:pos="1255"/>
        </w:tabs>
        <w:spacing w:line="360" w:lineRule="auto"/>
        <w:ind w:right="31" w:rightChars="15"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1.甲方在验收中，如果发现乙方所提供的服务质量或相关服务不合规定的，在</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日内向乙方提出书面异议；甲方怠于通知乙方的，视为乙方所提供的服务合乎规定。</w:t>
      </w:r>
    </w:p>
    <w:p>
      <w:pPr>
        <w:tabs>
          <w:tab w:val="left" w:pos="1255"/>
        </w:tabs>
        <w:spacing w:line="360" w:lineRule="auto"/>
        <w:ind w:right="31" w:rightChars="15"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乙方在接到甲方书面异议后，应在</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日历日内负责处理，否则，即视为默认甲方提出的异议和处理意见。</w:t>
      </w:r>
    </w:p>
    <w:p>
      <w:pPr>
        <w:tabs>
          <w:tab w:val="left" w:pos="1004"/>
        </w:tabs>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十一、不可抗力</w:t>
      </w:r>
    </w:p>
    <w:p>
      <w:pPr>
        <w:tabs>
          <w:tab w:val="left" w:pos="1004"/>
        </w:tabs>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个工作日内将有关当局出具的证明文件用专人递交、特快专递或挂号信寄给对方审阅确认。</w:t>
      </w:r>
    </w:p>
    <w:p>
      <w:pPr>
        <w:tabs>
          <w:tab w:val="left" w:pos="1004"/>
        </w:tabs>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十二、争议的解决</w:t>
      </w:r>
    </w:p>
    <w:p>
      <w:pPr>
        <w:tabs>
          <w:tab w:val="left" w:pos="1004"/>
        </w:tabs>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因服务期间质量问题发生争议，由法律及有关规章规定的技术单位进行质量鉴定，双方无条件服从该鉴定的结论。</w:t>
      </w:r>
    </w:p>
    <w:p>
      <w:pPr>
        <w:tabs>
          <w:tab w:val="left" w:pos="1004"/>
        </w:tabs>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2. </w:t>
      </w:r>
      <w:r>
        <w:rPr>
          <w:rFonts w:hint="eastAsia" w:ascii="宋体" w:hAnsi="宋体"/>
          <w:color w:val="000000" w:themeColor="text1"/>
          <w:szCs w:val="21"/>
          <w14:textFill>
            <w14:solidFill>
              <w14:schemeClr w14:val="tx1"/>
            </w14:solidFill>
          </w14:textFill>
        </w:rPr>
        <w:t>合同实施或与合同有关的一切争议应通过双方友好协商解决。如果友好协商不能解决，任何一方有权向甲方所在地人民法院提出诉讼。</w:t>
      </w:r>
    </w:p>
    <w:p>
      <w:pPr>
        <w:tabs>
          <w:tab w:val="left" w:pos="1004"/>
        </w:tabs>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十三、监督和管理</w:t>
      </w:r>
    </w:p>
    <w:p>
      <w:pPr>
        <w:tabs>
          <w:tab w:val="left" w:pos="1004"/>
        </w:tabs>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本项目合同订立后，应提供至</w:t>
      </w:r>
      <w:r>
        <w:rPr>
          <w:rFonts w:hint="eastAsia" w:ascii="宋体" w:hAnsi="宋体"/>
          <w:bCs/>
          <w:color w:val="000000" w:themeColor="text1"/>
          <w:szCs w:val="21"/>
          <w:u w:val="single"/>
          <w14:textFill>
            <w14:solidFill>
              <w14:schemeClr w14:val="tx1"/>
            </w14:solidFill>
          </w14:textFill>
        </w:rPr>
        <w:t>广东业信采购招标有限公司</w:t>
      </w:r>
      <w:r>
        <w:rPr>
          <w:rFonts w:hint="eastAsia" w:ascii="宋体" w:hAnsi="宋体"/>
          <w:bCs/>
          <w:color w:val="000000" w:themeColor="text1"/>
          <w:szCs w:val="21"/>
          <w14:textFill>
            <w14:solidFill>
              <w14:schemeClr w14:val="tx1"/>
            </w14:solidFill>
          </w14:textFill>
        </w:rPr>
        <w:t>备案；</w:t>
      </w:r>
    </w:p>
    <w:p>
      <w:pPr>
        <w:tabs>
          <w:tab w:val="left" w:pos="1004"/>
        </w:tabs>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十四、无效合同</w:t>
      </w:r>
    </w:p>
    <w:p>
      <w:pPr>
        <w:tabs>
          <w:tab w:val="left" w:pos="1004"/>
        </w:tabs>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甲乙双方如因违反国家法律、法规和有关采购规定，导致合同无效，责任由过错方承担。</w:t>
      </w:r>
    </w:p>
    <w:p>
      <w:pPr>
        <w:tabs>
          <w:tab w:val="left" w:pos="1004"/>
        </w:tabs>
        <w:spacing w:line="360" w:lineRule="auto"/>
        <w:rPr>
          <w:rFonts w:ascii="宋体" w:hAnsi="宋体"/>
          <w:bCs/>
          <w:color w:val="000000" w:themeColor="text1"/>
          <w:szCs w:val="21"/>
          <w14:textFill>
            <w14:solidFill>
              <w14:schemeClr w14:val="tx1"/>
            </w14:solidFill>
          </w14:textFill>
        </w:rPr>
      </w:pPr>
    </w:p>
    <w:p>
      <w:pPr>
        <w:tabs>
          <w:tab w:val="left" w:pos="1004"/>
        </w:tabs>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本合同一式</w:t>
      </w:r>
      <w:r>
        <w:rPr>
          <w:rFonts w:ascii="宋体" w:hAnsi="宋体"/>
          <w:bCs/>
          <w:color w:val="000000" w:themeColor="text1"/>
          <w:szCs w:val="21"/>
          <w14:textFill>
            <w14:solidFill>
              <w14:schemeClr w14:val="tx1"/>
            </w14:solidFill>
          </w14:textFill>
        </w:rPr>
        <w:t>__</w:t>
      </w:r>
      <w:r>
        <w:rPr>
          <w:rFonts w:hint="eastAsia" w:ascii="宋体" w:hAnsi="宋体"/>
          <w:bCs/>
          <w:color w:val="000000" w:themeColor="text1"/>
          <w:szCs w:val="21"/>
          <w14:textFill>
            <w14:solidFill>
              <w14:schemeClr w14:val="tx1"/>
            </w14:solidFill>
          </w14:textFill>
        </w:rPr>
        <w:t>份，甲乙双方各执_</w:t>
      </w:r>
      <w:r>
        <w:rPr>
          <w:rFonts w:ascii="宋体" w:hAnsi="宋体"/>
          <w:bCs/>
          <w:color w:val="000000" w:themeColor="text1"/>
          <w:szCs w:val="21"/>
          <w14:textFill>
            <w14:solidFill>
              <w14:schemeClr w14:val="tx1"/>
            </w14:solidFill>
          </w14:textFill>
        </w:rPr>
        <w:t>_</w:t>
      </w:r>
      <w:r>
        <w:rPr>
          <w:rFonts w:hint="eastAsia" w:ascii="宋体" w:hAnsi="宋体"/>
          <w:bCs/>
          <w:color w:val="000000" w:themeColor="text1"/>
          <w:szCs w:val="21"/>
          <w14:textFill>
            <w14:solidFill>
              <w14:schemeClr w14:val="tx1"/>
            </w14:solidFill>
          </w14:textFill>
        </w:rPr>
        <w:t>份。</w:t>
      </w:r>
    </w:p>
    <w:p>
      <w:pPr>
        <w:tabs>
          <w:tab w:val="left" w:pos="1004"/>
          <w:tab w:val="left" w:pos="4267"/>
        </w:tabs>
        <w:spacing w:line="360" w:lineRule="auto"/>
        <w:rPr>
          <w:rFonts w:ascii="宋体" w:hAnsi="宋体"/>
          <w:bCs/>
          <w:color w:val="000000" w:themeColor="text1"/>
          <w:szCs w:val="21"/>
          <w14:textFill>
            <w14:solidFill>
              <w14:schemeClr w14:val="tx1"/>
            </w14:solidFill>
          </w14:textFill>
        </w:rPr>
      </w:pPr>
    </w:p>
    <w:p>
      <w:pPr>
        <w:tabs>
          <w:tab w:val="left" w:pos="1004"/>
          <w:tab w:val="left" w:pos="4267"/>
        </w:tabs>
        <w:spacing w:line="360" w:lineRule="auto"/>
        <w:rPr>
          <w:rFonts w:ascii="宋体" w:hAnsi="宋体"/>
          <w:bCs/>
          <w:color w:val="000000" w:themeColor="text1"/>
          <w:szCs w:val="21"/>
          <w14:textFill>
            <w14:solidFill>
              <w14:schemeClr w14:val="tx1"/>
            </w14:solidFill>
          </w14:textFill>
        </w:rPr>
      </w:pPr>
    </w:p>
    <w:p>
      <w:pPr>
        <w:tabs>
          <w:tab w:val="left" w:pos="1004"/>
          <w:tab w:val="left" w:pos="4267"/>
        </w:tabs>
        <w:spacing w:line="360" w:lineRule="auto"/>
        <w:rPr>
          <w:rFonts w:ascii="宋体" w:hAnsi="宋体"/>
          <w:bCs/>
          <w:color w:val="000000" w:themeColor="text1"/>
          <w:szCs w:val="21"/>
          <w14:textFill>
            <w14:solidFill>
              <w14:schemeClr w14:val="tx1"/>
            </w14:solidFill>
          </w14:textFill>
        </w:rPr>
      </w:pPr>
    </w:p>
    <w:p>
      <w:pPr>
        <w:tabs>
          <w:tab w:val="left" w:pos="4260"/>
        </w:tabs>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甲方：  </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乙方：</w:t>
      </w:r>
    </w:p>
    <w:p>
      <w:pPr>
        <w:tabs>
          <w:tab w:val="left" w:pos="1004"/>
          <w:tab w:val="left" w:pos="4267"/>
        </w:tabs>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法定代表人：</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法定代表人：</w:t>
      </w:r>
    </w:p>
    <w:p>
      <w:pPr>
        <w:tabs>
          <w:tab w:val="left" w:pos="1004"/>
          <w:tab w:val="left" w:pos="4267"/>
        </w:tabs>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/委托代理人：</w:t>
      </w:r>
      <w:r>
        <w:rPr>
          <w:rFonts w:hint="eastAsia" w:ascii="宋体" w:hAnsi="宋体"/>
          <w:bCs/>
          <w:color w:val="000000" w:themeColor="text1"/>
          <w:szCs w:val="21"/>
          <w14:textFill>
            <w14:solidFill>
              <w14:schemeClr w14:val="tx1"/>
            </w14:solidFill>
          </w14:textFill>
        </w:rPr>
        <w:tab/>
      </w:r>
      <w:r>
        <w:rPr>
          <w:rFonts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委托代理人：</w:t>
      </w:r>
    </w:p>
    <w:p>
      <w:pPr>
        <w:tabs>
          <w:tab w:val="left" w:pos="4260"/>
        </w:tabs>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地址：</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地址：</w:t>
      </w:r>
    </w:p>
    <w:p>
      <w:pPr>
        <w:tabs>
          <w:tab w:val="left" w:pos="1004"/>
          <w:tab w:val="left" w:pos="4267"/>
        </w:tabs>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开户银行：</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开户银行：</w:t>
      </w:r>
    </w:p>
    <w:p>
      <w:pPr>
        <w:tabs>
          <w:tab w:val="left" w:pos="4260"/>
        </w:tabs>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帐号：</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帐号</w:t>
      </w:r>
    </w:p>
    <w:p>
      <w:pPr>
        <w:tabs>
          <w:tab w:val="left" w:pos="4260"/>
        </w:tabs>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电话：</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电话：</w:t>
      </w:r>
    </w:p>
    <w:p>
      <w:pPr>
        <w:tabs>
          <w:tab w:val="left" w:pos="1004"/>
          <w:tab w:val="left" w:pos="4253"/>
        </w:tabs>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日期:</w:t>
      </w:r>
    </w:p>
    <w:p>
      <w:pPr>
        <w:rPr>
          <w:color w:val="000000" w:themeColor="text1"/>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2"/>
        <w:numPr>
          <w:ilvl w:val="0"/>
          <w:numId w:val="0"/>
        </w:numPr>
        <w:spacing w:beforeLines="0"/>
        <w:rPr>
          <w:color w:val="000000" w:themeColor="text1"/>
          <w14:textFill>
            <w14:solidFill>
              <w14:schemeClr w14:val="tx1"/>
            </w14:solidFill>
          </w14:textFill>
        </w:rPr>
      </w:pPr>
      <w:bookmarkStart w:id="1648" w:name="_Toc332270356"/>
      <w:bookmarkStart w:id="1649" w:name="_Toc340677080"/>
      <w:bookmarkStart w:id="1650" w:name="_Toc340672879"/>
      <w:bookmarkStart w:id="1651" w:name="_Toc337632368"/>
      <w:bookmarkStart w:id="1652" w:name="_Toc339020243"/>
      <w:bookmarkStart w:id="1653" w:name="_Toc365967082"/>
      <w:bookmarkStart w:id="1654" w:name="_Toc339020105"/>
      <w:bookmarkStart w:id="1655" w:name="_Toc333238643"/>
      <w:bookmarkStart w:id="1656" w:name="_Toc330459995"/>
      <w:bookmarkStart w:id="1657" w:name="_Toc342296770"/>
      <w:bookmarkStart w:id="1658" w:name="_Toc333935356"/>
      <w:bookmarkStart w:id="1659" w:name="_Toc12419"/>
      <w:bookmarkStart w:id="1660" w:name="_Toc339441097"/>
      <w:bookmarkStart w:id="1661" w:name="_Toc500861025"/>
      <w:bookmarkStart w:id="1662" w:name="_Toc366072539"/>
      <w:bookmarkStart w:id="1663" w:name="_Toc342060384"/>
      <w:bookmarkStart w:id="1664" w:name="_Toc336681945"/>
      <w:bookmarkStart w:id="1665" w:name="_Toc339020025"/>
      <w:bookmarkStart w:id="1666" w:name="_Toc331512908"/>
      <w:bookmarkStart w:id="1667" w:name="_Toc332206718"/>
      <w:bookmarkStart w:id="1668" w:name="_Toc3363"/>
      <w:bookmarkStart w:id="1669" w:name="_Toc336681590"/>
      <w:bookmarkStart w:id="1670" w:name="_Toc349127636"/>
      <w:bookmarkStart w:id="1671" w:name="_Toc339362310"/>
      <w:bookmarkStart w:id="1672" w:name="_Toc491658678"/>
      <w:bookmarkStart w:id="1673" w:name="_Toc333935697"/>
      <w:bookmarkStart w:id="1674" w:name="_Toc333237687"/>
      <w:bookmarkStart w:id="1675" w:name="_Toc340507452"/>
      <w:bookmarkStart w:id="1676" w:name="_Toc331684048"/>
      <w:bookmarkStart w:id="1677" w:name="_Toc365985188"/>
      <w:bookmarkStart w:id="1678" w:name="_Toc350756460"/>
      <w:bookmarkStart w:id="1679" w:name="_Toc350438759"/>
      <w:bookmarkStart w:id="1680" w:name="_Toc345513911"/>
      <w:bookmarkStart w:id="1681" w:name="_Toc339019899"/>
      <w:bookmarkStart w:id="1682" w:name="_Toc341348348"/>
      <w:bookmarkStart w:id="1683" w:name="_Toc349143599"/>
      <w:bookmarkStart w:id="1684" w:name="_Toc333237798"/>
      <w:r>
        <w:rPr>
          <w:rFonts w:hint="eastAsia"/>
          <w:color w:val="000000" w:themeColor="text1"/>
          <w14:textFill>
            <w14:solidFill>
              <w14:schemeClr w14:val="tx1"/>
            </w14:solidFill>
          </w14:textFill>
        </w:rPr>
        <w:t>第五部分</w:t>
      </w:r>
      <w:bookmarkStart w:id="1685" w:name="_Hlt97188172"/>
      <w:bookmarkEnd w:id="1685"/>
      <w:r>
        <w:rPr>
          <w:rFonts w:hint="eastAsia"/>
          <w:color w:val="000000" w:themeColor="text1"/>
          <w14:textFill>
            <w14:solidFill>
              <w14:schemeClr w14:val="tx1"/>
            </w14:solidFill>
          </w14:textFill>
        </w:rPr>
        <w:t>投标文件格式</w:t>
      </w:r>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Start w:id="1686" w:name="_Hlt21938933"/>
      <w:bookmarkEnd w:id="1686"/>
    </w:p>
    <w:p>
      <w:pPr>
        <w:pStyle w:val="3"/>
        <w:numPr>
          <w:ilvl w:val="0"/>
          <w:numId w:val="0"/>
        </w:numPr>
        <w:rPr>
          <w:color w:val="000000" w:themeColor="text1"/>
          <w:sz w:val="24"/>
          <w14:textFill>
            <w14:solidFill>
              <w14:schemeClr w14:val="tx1"/>
            </w14:solidFill>
          </w14:textFill>
        </w:rPr>
      </w:pPr>
      <w:bookmarkStart w:id="1687" w:name="_Toc18699"/>
      <w:bookmarkStart w:id="1688" w:name="_Toc3840"/>
      <w:bookmarkStart w:id="1689" w:name="_Toc19545"/>
      <w:r>
        <w:rPr>
          <w:rFonts w:hint="eastAsia"/>
          <w:color w:val="000000" w:themeColor="text1"/>
          <w:sz w:val="24"/>
          <w14:textFill>
            <w14:solidFill>
              <w14:schemeClr w14:val="tx1"/>
            </w14:solidFill>
          </w14:textFill>
        </w:rPr>
        <w:t>资格审查封面格式</w:t>
      </w:r>
      <w:bookmarkEnd w:id="1687"/>
      <w:bookmarkEnd w:id="1688"/>
      <w:bookmarkEnd w:id="1689"/>
    </w:p>
    <w:p>
      <w:pPr>
        <w:pStyle w:val="5"/>
        <w:rPr>
          <w:rFonts w:hAnsi="宋体"/>
          <w:bCs/>
          <w:color w:val="000000" w:themeColor="text1"/>
          <w:sz w:val="21"/>
          <w14:textFill>
            <w14:solidFill>
              <w14:schemeClr w14:val="tx1"/>
            </w14:solidFill>
          </w14:textFill>
        </w:rPr>
      </w:pPr>
    </w:p>
    <w:p>
      <w:pPr>
        <w:pStyle w:val="5"/>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 xml:space="preserve">1、投标内容应当编有目录、页码，按页码排序并装订成册。  </w:t>
      </w:r>
    </w:p>
    <w:p>
      <w:pPr>
        <w:pStyle w:val="5"/>
        <w:spacing w:line="360" w:lineRule="auto"/>
        <w:rPr>
          <w:rFonts w:hAnsi="宋体"/>
          <w:b/>
          <w:color w:val="000000" w:themeColor="text1"/>
          <w:sz w:val="21"/>
          <w:szCs w:val="21"/>
          <w14:textFill>
            <w14:solidFill>
              <w14:schemeClr w14:val="tx1"/>
            </w14:solidFill>
          </w14:textFill>
        </w:rPr>
      </w:pPr>
      <w:r>
        <w:rPr>
          <w:rFonts w:hAnsi="宋体"/>
          <w:bCs/>
          <w:color w:val="000000" w:themeColor="text1"/>
          <w:sz w:val="21"/>
          <w14:textFill>
            <w14:solidFill>
              <w14:schemeClr w14:val="tx1"/>
            </w14:solidFill>
          </w14:textFill>
        </w:rPr>
        <w:t>2</w:t>
      </w:r>
      <w:r>
        <w:rPr>
          <w:rFonts w:hint="eastAsia" w:hAnsi="宋体"/>
          <w:bCs/>
          <w:color w:val="000000" w:themeColor="text1"/>
          <w:sz w:val="21"/>
          <w14:textFill>
            <w14:solidFill>
              <w14:schemeClr w14:val="tx1"/>
            </w14:solidFill>
          </w14:textFill>
        </w:rPr>
        <w:t>、文件的封面格式由投</w:t>
      </w:r>
      <w:r>
        <w:rPr>
          <w:rFonts w:hint="eastAsia" w:hAnsi="宋体"/>
          <w:bCs/>
          <w:color w:val="000000" w:themeColor="text1"/>
          <w:sz w:val="21"/>
          <w:szCs w:val="21"/>
          <w14:textFill>
            <w14:solidFill>
              <w14:schemeClr w14:val="tx1"/>
            </w14:solidFill>
          </w14:textFill>
        </w:rPr>
        <w:t>标人自拟</w:t>
      </w:r>
      <w:r>
        <w:rPr>
          <w:rFonts w:hint="eastAsia" w:hAnsi="宋体"/>
          <w:bCs/>
          <w:color w:val="000000" w:themeColor="text1"/>
          <w:sz w:val="21"/>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spacing w:line="440" w:lineRule="exact"/>
        <w:jc w:val="center"/>
        <w:rPr>
          <w:rFonts w:hAnsi="宋体"/>
          <w:bCs/>
          <w:color w:val="000000" w:themeColor="text1"/>
          <w:sz w:val="21"/>
          <w14:textFill>
            <w14:solidFill>
              <w14:schemeClr w14:val="tx1"/>
            </w14:solidFill>
          </w14:textFill>
        </w:rPr>
      </w:pPr>
    </w:p>
    <w:p>
      <w:pPr>
        <w:pStyle w:val="5"/>
        <w:spacing w:line="440" w:lineRule="exact"/>
        <w:jc w:val="center"/>
        <w:rPr>
          <w:rFonts w:hAnsi="宋体"/>
          <w:bCs/>
          <w:color w:val="000000" w:themeColor="text1"/>
          <w:sz w:val="21"/>
          <w14:textFill>
            <w14:solidFill>
              <w14:schemeClr w14:val="tx1"/>
            </w14:solidFill>
          </w14:textFill>
        </w:rPr>
      </w:pPr>
    </w:p>
    <w:p>
      <w:pPr>
        <w:pStyle w:val="5"/>
        <w:spacing w:line="440" w:lineRule="exact"/>
        <w:jc w:val="center"/>
        <w:rPr>
          <w:rFonts w:hAnsi="宋体"/>
          <w:bCs/>
          <w:color w:val="000000" w:themeColor="text1"/>
          <w:sz w:val="21"/>
          <w14:textFill>
            <w14:solidFill>
              <w14:schemeClr w14:val="tx1"/>
            </w14:solidFill>
          </w14:textFill>
        </w:rPr>
      </w:pPr>
    </w:p>
    <w:p>
      <w:pPr>
        <w:pStyle w:val="5"/>
        <w:spacing w:line="440" w:lineRule="exact"/>
        <w:jc w:val="center"/>
        <w:rPr>
          <w:rFonts w:hAnsi="宋体"/>
          <w:bCs/>
          <w:color w:val="000000" w:themeColor="text1"/>
          <w:sz w:val="21"/>
          <w14:textFill>
            <w14:solidFill>
              <w14:schemeClr w14:val="tx1"/>
            </w14:solidFill>
          </w14:textFill>
        </w:rPr>
      </w:pPr>
    </w:p>
    <w:p>
      <w:pPr>
        <w:pStyle w:val="5"/>
        <w:spacing w:line="360" w:lineRule="auto"/>
        <w:jc w:val="center"/>
        <w:rPr>
          <w:rFonts w:hAnsi="宋体"/>
          <w:bCs/>
          <w:color w:val="000000" w:themeColor="text1"/>
          <w:sz w:val="52"/>
          <w:szCs w:val="52"/>
          <w14:textFill>
            <w14:solidFill>
              <w14:schemeClr w14:val="tx1"/>
            </w14:solidFill>
          </w14:textFill>
        </w:rPr>
      </w:pPr>
      <w:r>
        <w:rPr>
          <w:rFonts w:hint="eastAsia" w:hAnsi="宋体"/>
          <w:b/>
          <w:bCs/>
          <w:color w:val="000000" w:themeColor="text1"/>
          <w:sz w:val="52"/>
          <w:szCs w:val="52"/>
          <w14:textFill>
            <w14:solidFill>
              <w14:schemeClr w14:val="tx1"/>
            </w14:solidFill>
          </w14:textFill>
        </w:rPr>
        <w:t>投标文件（□正本、□副本</w:t>
      </w:r>
      <w:r>
        <w:rPr>
          <w:rFonts w:hint="eastAsia" w:hAnsi="宋体"/>
          <w:bCs/>
          <w:color w:val="000000" w:themeColor="text1"/>
          <w:sz w:val="52"/>
          <w:szCs w:val="52"/>
          <w14:textFill>
            <w14:solidFill>
              <w14:schemeClr w14:val="tx1"/>
            </w14:solidFill>
          </w14:textFill>
        </w:rPr>
        <w:t>）</w:t>
      </w:r>
    </w:p>
    <w:p>
      <w:pPr>
        <w:pStyle w:val="5"/>
        <w:spacing w:line="360" w:lineRule="auto"/>
        <w:jc w:val="center"/>
        <w:rPr>
          <w:rFonts w:hAnsi="宋体"/>
          <w:bCs/>
          <w:color w:val="000000" w:themeColor="text1"/>
          <w:sz w:val="52"/>
          <w:szCs w:val="52"/>
          <w14:textFill>
            <w14:solidFill>
              <w14:schemeClr w14:val="tx1"/>
            </w14:solidFill>
          </w14:textFill>
        </w:rPr>
      </w:pPr>
      <w:r>
        <w:rPr>
          <w:rFonts w:hint="eastAsia" w:hAnsi="宋体"/>
          <w:b/>
          <w:color w:val="000000" w:themeColor="text1"/>
          <w:sz w:val="44"/>
          <w:szCs w:val="44"/>
          <w14:textFill>
            <w14:solidFill>
              <w14:schemeClr w14:val="tx1"/>
            </w14:solidFill>
          </w14:textFill>
        </w:rPr>
        <w:t>（资格审查文件）</w:t>
      </w:r>
    </w:p>
    <w:p>
      <w:pPr>
        <w:pStyle w:val="5"/>
        <w:spacing w:line="360" w:lineRule="auto"/>
        <w:jc w:val="center"/>
        <w:rPr>
          <w:rFonts w:hAnsi="宋体"/>
          <w:bCs/>
          <w:color w:val="000000" w:themeColor="text1"/>
          <w:sz w:val="52"/>
          <w:szCs w:val="52"/>
          <w14:textFill>
            <w14:solidFill>
              <w14:schemeClr w14:val="tx1"/>
            </w14:solidFill>
          </w14:textFill>
        </w:rPr>
      </w:pPr>
    </w:p>
    <w:p>
      <w:pPr>
        <w:pStyle w:val="5"/>
        <w:spacing w:line="360" w:lineRule="auto"/>
        <w:jc w:val="center"/>
        <w:rPr>
          <w:rFonts w:hAnsi="宋体"/>
          <w:bCs/>
          <w:color w:val="000000" w:themeColor="text1"/>
          <w:sz w:val="52"/>
          <w:szCs w:val="52"/>
          <w14:textFill>
            <w14:solidFill>
              <w14:schemeClr w14:val="tx1"/>
            </w14:solidFill>
          </w14:textFill>
        </w:rPr>
      </w:pPr>
    </w:p>
    <w:p>
      <w:pPr>
        <w:pStyle w:val="5"/>
        <w:spacing w:line="360" w:lineRule="auto"/>
        <w:jc w:val="center"/>
        <w:rPr>
          <w:rFonts w:hAnsi="宋体"/>
          <w:bCs/>
          <w:color w:val="000000" w:themeColor="text1"/>
          <w:sz w:val="52"/>
          <w:szCs w:val="52"/>
          <w14:textFill>
            <w14:solidFill>
              <w14:schemeClr w14:val="tx1"/>
            </w14:solidFill>
          </w14:textFill>
        </w:rPr>
      </w:pPr>
    </w:p>
    <w:p>
      <w:pPr>
        <w:pStyle w:val="5"/>
        <w:spacing w:line="360" w:lineRule="auto"/>
        <w:jc w:val="center"/>
        <w:rPr>
          <w:rFonts w:hAnsi="宋体"/>
          <w:bCs/>
          <w:color w:val="000000" w:themeColor="text1"/>
          <w:sz w:val="52"/>
          <w:szCs w:val="52"/>
          <w14:textFill>
            <w14:solidFill>
              <w14:schemeClr w14:val="tx1"/>
            </w14:solidFill>
          </w14:textFill>
        </w:rPr>
      </w:pPr>
    </w:p>
    <w:p>
      <w:pPr>
        <w:pStyle w:val="5"/>
        <w:spacing w:line="360" w:lineRule="auto"/>
        <w:jc w:val="center"/>
        <w:rPr>
          <w:rFonts w:hAnsi="宋体"/>
          <w:bCs/>
          <w:color w:val="000000" w:themeColor="text1"/>
          <w:sz w:val="52"/>
          <w:szCs w:val="52"/>
          <w14:textFill>
            <w14:solidFill>
              <w14:schemeClr w14:val="tx1"/>
            </w14:solidFill>
          </w14:textFill>
        </w:rPr>
      </w:pPr>
    </w:p>
    <w:p>
      <w:pPr>
        <w:pStyle w:val="5"/>
        <w:spacing w:line="440" w:lineRule="exact"/>
        <w:jc w:val="center"/>
        <w:rPr>
          <w:rFonts w:hAnsi="宋体"/>
          <w:bCs/>
          <w:color w:val="000000" w:themeColor="text1"/>
          <w:sz w:val="21"/>
          <w14:textFill>
            <w14:solidFill>
              <w14:schemeClr w14:val="tx1"/>
            </w14:solidFill>
          </w14:textFill>
        </w:rPr>
      </w:pPr>
    </w:p>
    <w:p>
      <w:pPr>
        <w:pStyle w:val="5"/>
        <w:spacing w:line="440" w:lineRule="exact"/>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项目编号：</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项目名称：</w:t>
      </w:r>
      <w:r>
        <w:rPr>
          <w:rFonts w:hint="eastAsia" w:hAnsi="宋体"/>
          <w:bCs/>
          <w:color w:val="000000" w:themeColor="text1"/>
          <w:sz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采购项目名称，由投标人填写</w:t>
      </w:r>
      <w:r>
        <w:rPr>
          <w:rFonts w:hint="eastAsia" w:hAnsi="宋体" w:cs="宋体"/>
          <w:b/>
          <w:color w:val="000000" w:themeColor="text1"/>
          <w:sz w:val="21"/>
          <w:szCs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投标人名称（公章）：</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投标人地址：</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法定代表人（负责人）或授权代理人（签字）</w:t>
      </w:r>
      <w:r>
        <w:rPr>
          <w:rFonts w:hAnsi="宋体"/>
          <w:bCs/>
          <w:color w:val="000000" w:themeColor="text1"/>
          <w:sz w:val="21"/>
          <w14:textFill>
            <w14:solidFill>
              <w14:schemeClr w14:val="tx1"/>
            </w14:solidFill>
          </w14:textFill>
        </w:rPr>
        <w:t>：</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联系</w:t>
      </w:r>
      <w:r>
        <w:rPr>
          <w:rFonts w:hAnsi="宋体"/>
          <w:bCs/>
          <w:color w:val="000000" w:themeColor="text1"/>
          <w:sz w:val="21"/>
          <w14:textFill>
            <w14:solidFill>
              <w14:schemeClr w14:val="tx1"/>
            </w14:solidFill>
          </w14:textFill>
        </w:rPr>
        <w:t>电话：</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14:textFill>
            <w14:solidFill>
              <w14:schemeClr w14:val="tx1"/>
            </w14:solidFill>
          </w14:textFill>
        </w:rPr>
        <w:t xml:space="preserve">   </w:t>
      </w:r>
      <w:r>
        <w:rPr>
          <w:rFonts w:hint="eastAsia" w:hAnsi="宋体"/>
          <w:bCs/>
          <w:color w:val="000000" w:themeColor="text1"/>
          <w:sz w:val="21"/>
          <w14:textFill>
            <w14:solidFill>
              <w14:schemeClr w14:val="tx1"/>
            </w14:solidFill>
          </w14:textFill>
        </w:rPr>
        <w:t>传真：</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Ansi="宋体"/>
          <w:bCs/>
          <w:color w:val="000000" w:themeColor="text1"/>
          <w:sz w:val="21"/>
          <w14:textFill>
            <w14:solidFill>
              <w14:schemeClr w14:val="tx1"/>
            </w14:solidFill>
          </w14:textFill>
        </w:rPr>
        <w:t>邮编：</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color w:val="000000" w:themeColor="text1"/>
          <w14:textFill>
            <w14:solidFill>
              <w14:schemeClr w14:val="tx1"/>
            </w14:solidFill>
          </w14:textFill>
        </w:rPr>
      </w:pPr>
      <w:r>
        <w:rPr>
          <w:rFonts w:hint="eastAsia" w:hAnsi="宋体"/>
          <w:bCs/>
          <w:color w:val="000000" w:themeColor="text1"/>
          <w:sz w:val="21"/>
          <w14:textFill>
            <w14:solidFill>
              <w14:schemeClr w14:val="tx1"/>
            </w14:solidFill>
          </w14:textFill>
        </w:rPr>
        <w:t>编制日期：</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年</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月</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日</w:t>
      </w: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pStyle w:val="3"/>
        <w:numPr>
          <w:ilvl w:val="7"/>
          <w:numId w:val="6"/>
        </w:numPr>
        <w:tabs>
          <w:tab w:val="clear" w:pos="720"/>
        </w:tabs>
        <w:spacing w:before="240" w:after="240" w:line="360" w:lineRule="exact"/>
        <w:ind w:left="0" w:firstLine="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bookmarkStart w:id="1690" w:name="_Toc4905"/>
      <w:bookmarkStart w:id="1691" w:name="_Toc31623"/>
      <w:bookmarkStart w:id="1692" w:name="_Toc31809"/>
      <w:r>
        <w:rPr>
          <w:rFonts w:hint="eastAsia"/>
          <w:color w:val="000000" w:themeColor="text1"/>
          <w:sz w:val="24"/>
          <w14:textFill>
            <w14:solidFill>
              <w14:schemeClr w14:val="tx1"/>
            </w14:solidFill>
          </w14:textFill>
        </w:rPr>
        <w:t>自查表</w:t>
      </w:r>
      <w:bookmarkEnd w:id="1690"/>
      <w:bookmarkEnd w:id="1691"/>
      <w:bookmarkEnd w:id="1692"/>
    </w:p>
    <w:p>
      <w:pPr>
        <w:pStyle w:val="3"/>
        <w:keepLines w:val="0"/>
        <w:numPr>
          <w:ilvl w:val="0"/>
          <w:numId w:val="0"/>
        </w:numPr>
        <w:tabs>
          <w:tab w:val="left" w:pos="4320"/>
        </w:tabs>
        <w:spacing w:before="240" w:after="60" w:line="360" w:lineRule="exact"/>
        <w:rPr>
          <w:rFonts w:ascii="宋体"/>
          <w:b/>
          <w:bCs w:val="0"/>
          <w:color w:val="000000" w:themeColor="text1"/>
          <w:szCs w:val="21"/>
          <w14:textFill>
            <w14:solidFill>
              <w14:schemeClr w14:val="tx1"/>
            </w14:solidFill>
          </w14:textFill>
        </w:rPr>
      </w:pPr>
      <w:bookmarkStart w:id="1693" w:name="_Toc15898"/>
      <w:r>
        <w:rPr>
          <w:rFonts w:hint="eastAsia" w:ascii="宋体"/>
          <w:b/>
          <w:bCs w:val="0"/>
          <w:color w:val="000000" w:themeColor="text1"/>
          <w:szCs w:val="21"/>
          <w14:textFill>
            <w14:solidFill>
              <w14:schemeClr w14:val="tx1"/>
            </w14:solidFill>
          </w14:textFill>
        </w:rPr>
        <w:t xml:space="preserve"> </w:t>
      </w:r>
      <w:bookmarkStart w:id="1694" w:name="_Toc9052"/>
      <w:bookmarkStart w:id="1695" w:name="_Toc16932"/>
      <w:r>
        <w:rPr>
          <w:rFonts w:hint="eastAsia" w:ascii="宋体"/>
          <w:b/>
          <w:bCs w:val="0"/>
          <w:color w:val="000000" w:themeColor="text1"/>
          <w:szCs w:val="21"/>
          <w14:textFill>
            <w14:solidFill>
              <w14:schemeClr w14:val="tx1"/>
            </w14:solidFill>
          </w14:textFill>
        </w:rPr>
        <w:t>资格性自查表</w:t>
      </w:r>
      <w:bookmarkEnd w:id="1693"/>
      <w:bookmarkEnd w:id="1694"/>
      <w:bookmarkEnd w:id="1695"/>
    </w:p>
    <w:p>
      <w:pPr>
        <w:jc w:val="center"/>
        <w:rPr>
          <w:rFonts w:ascii="宋体" w:hAnsi="宋体"/>
          <w:b/>
          <w:bCs/>
          <w:color w:val="000000" w:themeColor="text1"/>
          <w:szCs w:val="21"/>
          <w14:textFill>
            <w14:solidFill>
              <w14:schemeClr w14:val="tx1"/>
            </w14:solidFill>
          </w14:textFill>
        </w:rPr>
      </w:pPr>
    </w:p>
    <w:tbl>
      <w:tblPr>
        <w:tblStyle w:val="48"/>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900"/>
        <w:gridCol w:w="2880"/>
        <w:gridCol w:w="1857"/>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7" w:type="dxa"/>
            <w:gridSpan w:val="2"/>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评审内容</w:t>
            </w:r>
          </w:p>
        </w:tc>
        <w:tc>
          <w:tcPr>
            <w:tcW w:w="2880"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招标文件要求</w:t>
            </w:r>
          </w:p>
        </w:tc>
        <w:tc>
          <w:tcPr>
            <w:tcW w:w="1857"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自查结论</w:t>
            </w:r>
          </w:p>
          <w:p>
            <w:pPr>
              <w:tabs>
                <w:tab w:val="left" w:pos="480"/>
              </w:tabs>
              <w:ind w:left="480" w:hanging="48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337" w:type="dxa"/>
            <w:vMerge w:val="restart"/>
            <w:vAlign w:val="center"/>
          </w:tcPr>
          <w:p>
            <w:pPr>
              <w:tabs>
                <w:tab w:val="left" w:pos="480"/>
              </w:tabs>
              <w:ind w:left="480" w:hanging="480"/>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资格性检查</w:t>
            </w:r>
          </w:p>
        </w:tc>
        <w:tc>
          <w:tcPr>
            <w:tcW w:w="900" w:type="dxa"/>
            <w:vMerge w:val="restart"/>
            <w:vAlign w:val="center"/>
          </w:tcPr>
          <w:p>
            <w:pPr>
              <w:tabs>
                <w:tab w:val="left" w:pos="146"/>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投标人资格要求</w:t>
            </w:r>
          </w:p>
        </w:tc>
        <w:tc>
          <w:tcPr>
            <w:tcW w:w="288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投标人应具有独立法人资格（如为法人企业的分支机构，则须提供该法人企业的书面授权</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，依法取得营业执照，营业执照处于有效期</w:t>
            </w:r>
          </w:p>
        </w:tc>
        <w:tc>
          <w:tcPr>
            <w:tcW w:w="1857"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337" w:type="dxa"/>
            <w:vMerge w:val="continue"/>
            <w:vAlign w:val="center"/>
          </w:tcPr>
          <w:p>
            <w:pPr>
              <w:tabs>
                <w:tab w:val="left" w:pos="480"/>
              </w:tabs>
              <w:ind w:left="480" w:hanging="480"/>
              <w:rPr>
                <w:rFonts w:ascii="宋体" w:hAnsi="宋体"/>
                <w:color w:val="000000" w:themeColor="text1"/>
                <w:szCs w:val="21"/>
                <w14:textFill>
                  <w14:solidFill>
                    <w14:schemeClr w14:val="tx1"/>
                  </w14:solidFill>
                </w14:textFill>
              </w:rPr>
            </w:pPr>
          </w:p>
        </w:tc>
        <w:tc>
          <w:tcPr>
            <w:tcW w:w="900" w:type="dxa"/>
            <w:vMerge w:val="continue"/>
            <w:vAlign w:val="center"/>
          </w:tcPr>
          <w:p>
            <w:pPr>
              <w:tabs>
                <w:tab w:val="left" w:pos="146"/>
              </w:tabs>
              <w:rPr>
                <w:rFonts w:ascii="宋体" w:hAnsi="宋体"/>
                <w:color w:val="000000" w:themeColor="text1"/>
                <w:szCs w:val="21"/>
                <w14:textFill>
                  <w14:solidFill>
                    <w14:schemeClr w14:val="tx1"/>
                  </w14:solidFill>
                </w14:textFill>
              </w:rPr>
            </w:pPr>
          </w:p>
        </w:tc>
        <w:tc>
          <w:tcPr>
            <w:tcW w:w="2880"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投标人为分支机构或外省、自治区、直辖市提供保安服务的，应当在阳江市公安局治安管理部门备案</w:t>
            </w:r>
          </w:p>
        </w:tc>
        <w:tc>
          <w:tcPr>
            <w:tcW w:w="1857"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337" w:type="dxa"/>
            <w:vMerge w:val="continue"/>
            <w:vAlign w:val="center"/>
          </w:tcPr>
          <w:p>
            <w:pPr>
              <w:tabs>
                <w:tab w:val="left" w:pos="480"/>
              </w:tabs>
              <w:ind w:left="480" w:hanging="480"/>
              <w:rPr>
                <w:rFonts w:ascii="宋体" w:hAnsi="宋体"/>
                <w:color w:val="000000" w:themeColor="text1"/>
                <w:szCs w:val="21"/>
                <w14:textFill>
                  <w14:solidFill>
                    <w14:schemeClr w14:val="tx1"/>
                  </w14:solidFill>
                </w14:textFill>
              </w:rPr>
            </w:pPr>
          </w:p>
        </w:tc>
        <w:tc>
          <w:tcPr>
            <w:tcW w:w="900" w:type="dxa"/>
            <w:vMerge w:val="continue"/>
            <w:vAlign w:val="center"/>
          </w:tcPr>
          <w:p>
            <w:pPr>
              <w:tabs>
                <w:tab w:val="left" w:pos="146"/>
              </w:tabs>
              <w:rPr>
                <w:rFonts w:ascii="宋体" w:hAnsi="宋体"/>
                <w:color w:val="000000" w:themeColor="text1"/>
                <w:szCs w:val="21"/>
                <w14:textFill>
                  <w14:solidFill>
                    <w14:schemeClr w14:val="tx1"/>
                  </w14:solidFill>
                </w14:textFill>
              </w:rPr>
            </w:pPr>
          </w:p>
        </w:tc>
        <w:tc>
          <w:tcPr>
            <w:tcW w:w="2880"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投标人应具备公安机关核发的有效期内的《保安服务许可证》（如国家另有规定，则适用其规定）</w:t>
            </w:r>
          </w:p>
        </w:tc>
        <w:tc>
          <w:tcPr>
            <w:tcW w:w="1857"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337" w:type="dxa"/>
            <w:vMerge w:val="continue"/>
            <w:vAlign w:val="center"/>
          </w:tcPr>
          <w:p>
            <w:pPr>
              <w:tabs>
                <w:tab w:val="left" w:pos="480"/>
              </w:tabs>
              <w:ind w:left="480" w:hanging="480"/>
              <w:rPr>
                <w:rFonts w:ascii="宋体" w:hAnsi="宋体"/>
                <w:color w:val="000000" w:themeColor="text1"/>
                <w:szCs w:val="21"/>
                <w14:textFill>
                  <w14:solidFill>
                    <w14:schemeClr w14:val="tx1"/>
                  </w14:solidFill>
                </w14:textFill>
              </w:rPr>
            </w:pPr>
          </w:p>
        </w:tc>
        <w:tc>
          <w:tcPr>
            <w:tcW w:w="900" w:type="dxa"/>
            <w:vMerge w:val="continue"/>
            <w:vAlign w:val="center"/>
          </w:tcPr>
          <w:p>
            <w:pPr>
              <w:tabs>
                <w:tab w:val="left" w:pos="146"/>
              </w:tabs>
              <w:rPr>
                <w:rFonts w:ascii="宋体" w:hAnsi="宋体"/>
                <w:color w:val="000000" w:themeColor="text1"/>
                <w:szCs w:val="21"/>
                <w14:textFill>
                  <w14:solidFill>
                    <w14:schemeClr w14:val="tx1"/>
                  </w14:solidFill>
                </w14:textFill>
              </w:rPr>
            </w:pPr>
          </w:p>
        </w:tc>
        <w:tc>
          <w:tcPr>
            <w:tcW w:w="2880"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投标人企业目前没有处于被有权机关吊销营业执照、吊销资质、停业整顿、取消投标资格、纳入失信主体或者财产被接管、冻结、进入破产程序等状况。</w:t>
            </w:r>
            <w:r>
              <w:rPr>
                <w:rFonts w:hint="eastAsia" w:ascii="宋体" w:hAnsi="宋体"/>
                <w:b/>
                <w:bCs/>
                <w:color w:val="000000" w:themeColor="text1"/>
                <w:szCs w:val="21"/>
                <w14:textFill>
                  <w14:solidFill>
                    <w14:schemeClr w14:val="tx1"/>
                  </w14:solidFill>
                </w14:textFill>
              </w:rPr>
              <w:t>（提供承诺函，格式自拟）</w:t>
            </w:r>
          </w:p>
        </w:tc>
        <w:tc>
          <w:tcPr>
            <w:tcW w:w="1857"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337" w:type="dxa"/>
            <w:vMerge w:val="continue"/>
            <w:vAlign w:val="center"/>
          </w:tcPr>
          <w:p>
            <w:pPr>
              <w:tabs>
                <w:tab w:val="left" w:pos="480"/>
              </w:tabs>
              <w:ind w:left="480" w:hanging="480"/>
              <w:rPr>
                <w:rFonts w:ascii="宋体" w:hAnsi="宋体"/>
                <w:color w:val="000000" w:themeColor="text1"/>
                <w:szCs w:val="21"/>
                <w14:textFill>
                  <w14:solidFill>
                    <w14:schemeClr w14:val="tx1"/>
                  </w14:solidFill>
                </w14:textFill>
              </w:rPr>
            </w:pPr>
          </w:p>
        </w:tc>
        <w:tc>
          <w:tcPr>
            <w:tcW w:w="900" w:type="dxa"/>
            <w:vMerge w:val="continue"/>
            <w:vAlign w:val="center"/>
          </w:tcPr>
          <w:p>
            <w:pPr>
              <w:tabs>
                <w:tab w:val="left" w:pos="146"/>
              </w:tabs>
              <w:rPr>
                <w:rFonts w:ascii="宋体" w:hAnsi="宋体"/>
                <w:color w:val="000000" w:themeColor="text1"/>
                <w:szCs w:val="21"/>
                <w14:textFill>
                  <w14:solidFill>
                    <w14:schemeClr w14:val="tx1"/>
                  </w14:solidFill>
                </w14:textFill>
              </w:rPr>
            </w:pPr>
          </w:p>
        </w:tc>
        <w:tc>
          <w:tcPr>
            <w:tcW w:w="2880"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投标人无论在何地受到暂停（取消）在当地投标资格的处罚，只要在处罚期内的，都无资格参加投标。</w:t>
            </w:r>
            <w:r>
              <w:rPr>
                <w:rFonts w:hint="eastAsia" w:ascii="宋体" w:hAnsi="宋体"/>
                <w:b/>
                <w:bCs/>
                <w:color w:val="000000" w:themeColor="text1"/>
                <w:szCs w:val="21"/>
                <w14:textFill>
                  <w14:solidFill>
                    <w14:schemeClr w14:val="tx1"/>
                  </w14:solidFill>
                </w14:textFill>
              </w:rPr>
              <w:t>（提供承诺函，格式自拟）</w:t>
            </w:r>
          </w:p>
        </w:tc>
        <w:tc>
          <w:tcPr>
            <w:tcW w:w="1857"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337" w:type="dxa"/>
            <w:vMerge w:val="continue"/>
            <w:vAlign w:val="center"/>
          </w:tcPr>
          <w:p>
            <w:pPr>
              <w:tabs>
                <w:tab w:val="left" w:pos="480"/>
              </w:tabs>
              <w:ind w:left="480" w:hanging="480"/>
              <w:rPr>
                <w:rFonts w:ascii="宋体" w:hAnsi="宋体"/>
                <w:color w:val="000000" w:themeColor="text1"/>
                <w:szCs w:val="21"/>
                <w14:textFill>
                  <w14:solidFill>
                    <w14:schemeClr w14:val="tx1"/>
                  </w14:solidFill>
                </w14:textFill>
              </w:rPr>
            </w:pPr>
          </w:p>
        </w:tc>
        <w:tc>
          <w:tcPr>
            <w:tcW w:w="900" w:type="dxa"/>
            <w:vMerge w:val="continue"/>
            <w:vAlign w:val="center"/>
          </w:tcPr>
          <w:p>
            <w:pPr>
              <w:tabs>
                <w:tab w:val="left" w:pos="146"/>
              </w:tabs>
              <w:rPr>
                <w:rFonts w:ascii="宋体" w:hAnsi="宋体"/>
                <w:color w:val="000000" w:themeColor="text1"/>
                <w:szCs w:val="21"/>
                <w14:textFill>
                  <w14:solidFill>
                    <w14:schemeClr w14:val="tx1"/>
                  </w14:solidFill>
                </w14:textFill>
              </w:rPr>
            </w:pPr>
          </w:p>
        </w:tc>
        <w:tc>
          <w:tcPr>
            <w:tcW w:w="2880"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企业在近三年内（自本招标公告发布之日起往前顺推）没有骗取中标、围标串标、提供虚假投标材料、严重违约、重大安全生产事故（若有则以行政主管部门或司法、仲裁机构等出具的认定文件为准）等不良纪录。</w:t>
            </w:r>
            <w:r>
              <w:rPr>
                <w:rFonts w:hint="eastAsia" w:ascii="宋体" w:hAnsi="宋体"/>
                <w:b/>
                <w:bCs/>
                <w:color w:val="000000" w:themeColor="text1"/>
                <w:szCs w:val="21"/>
                <w14:textFill>
                  <w14:solidFill>
                    <w14:schemeClr w14:val="tx1"/>
                  </w14:solidFill>
                </w14:textFill>
              </w:rPr>
              <w:t>（提供承诺函，格式自拟）</w:t>
            </w:r>
          </w:p>
        </w:tc>
        <w:tc>
          <w:tcPr>
            <w:tcW w:w="1857"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jc w:val="center"/>
        </w:trPr>
        <w:tc>
          <w:tcPr>
            <w:tcW w:w="1337" w:type="dxa"/>
            <w:vMerge w:val="continue"/>
            <w:vAlign w:val="center"/>
          </w:tcPr>
          <w:p>
            <w:pPr>
              <w:tabs>
                <w:tab w:val="left" w:pos="480"/>
              </w:tabs>
              <w:ind w:left="480" w:hanging="480"/>
              <w:jc w:val="center"/>
              <w:rPr>
                <w:rFonts w:ascii="宋体" w:hAnsi="宋体"/>
                <w:color w:val="000000" w:themeColor="text1"/>
                <w:szCs w:val="21"/>
                <w14:textFill>
                  <w14:solidFill>
                    <w14:schemeClr w14:val="tx1"/>
                  </w14:solidFill>
                </w14:textFill>
              </w:rPr>
            </w:pPr>
          </w:p>
        </w:tc>
        <w:tc>
          <w:tcPr>
            <w:tcW w:w="900" w:type="dxa"/>
            <w:vMerge w:val="continue"/>
            <w:vAlign w:val="center"/>
          </w:tcPr>
          <w:p>
            <w:pPr>
              <w:tabs>
                <w:tab w:val="left" w:pos="146"/>
              </w:tabs>
              <w:ind w:left="146"/>
              <w:rPr>
                <w:rFonts w:ascii="宋体" w:hAnsi="宋体"/>
                <w:color w:val="000000" w:themeColor="text1"/>
                <w:szCs w:val="21"/>
                <w14:textFill>
                  <w14:solidFill>
                    <w14:schemeClr w14:val="tx1"/>
                  </w14:solidFill>
                </w14:textFill>
              </w:rPr>
            </w:pPr>
          </w:p>
        </w:tc>
        <w:tc>
          <w:tcPr>
            <w:tcW w:w="2880" w:type="dxa"/>
            <w:vAlign w:val="center"/>
          </w:tcPr>
          <w:p>
            <w:pPr>
              <w:widowControl/>
              <w:tabs>
                <w:tab w:val="left" w:pos="735"/>
              </w:tabs>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与招标人存在利害关系可能影响招标公正性的法人、其他组织或者个人，不得参加投标。单位负责人为同一人或者存在控股、管理关系的不同单位，不得参加同一标段投标或者未划分标段的同一招标项目投标。否则，相关投标均无效。</w:t>
            </w:r>
            <w:r>
              <w:rPr>
                <w:rFonts w:hint="eastAsia" w:ascii="宋体" w:hAnsi="宋体"/>
                <w:b/>
                <w:bCs/>
                <w:color w:val="000000" w:themeColor="text1"/>
                <w:szCs w:val="21"/>
                <w14:textFill>
                  <w14:solidFill>
                    <w14:schemeClr w14:val="tx1"/>
                  </w14:solidFill>
                </w14:textFill>
              </w:rPr>
              <w:t>（提供承诺函，格式自拟）</w:t>
            </w:r>
          </w:p>
        </w:tc>
        <w:tc>
          <w:tcPr>
            <w:tcW w:w="1857" w:type="dxa"/>
            <w:vAlign w:val="center"/>
          </w:tcPr>
          <w:p>
            <w:pPr>
              <w:tabs>
                <w:tab w:val="left" w:pos="480"/>
              </w:tabs>
              <w:ind w:left="-107" w:leftChars="-51" w:firstLine="106"/>
              <w:rPr>
                <w:rFonts w:ascii="宋体" w:hAnsi="宋体"/>
                <w:b/>
                <w:bCs/>
                <w:color w:val="000000" w:themeColor="text1"/>
                <w:szCs w:val="21"/>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337" w:type="dxa"/>
            <w:vMerge w:val="continue"/>
            <w:vAlign w:val="center"/>
          </w:tcPr>
          <w:p>
            <w:pPr>
              <w:tabs>
                <w:tab w:val="left" w:pos="480"/>
              </w:tabs>
              <w:ind w:left="480" w:hanging="480"/>
              <w:jc w:val="center"/>
              <w:rPr>
                <w:rFonts w:ascii="宋体" w:hAnsi="宋体"/>
                <w:color w:val="000000" w:themeColor="text1"/>
                <w:szCs w:val="21"/>
                <w14:textFill>
                  <w14:solidFill>
                    <w14:schemeClr w14:val="tx1"/>
                  </w14:solidFill>
                </w14:textFill>
              </w:rPr>
            </w:pPr>
          </w:p>
        </w:tc>
        <w:tc>
          <w:tcPr>
            <w:tcW w:w="900" w:type="dxa"/>
            <w:vAlign w:val="center"/>
          </w:tcPr>
          <w:p>
            <w:pPr>
              <w:tabs>
                <w:tab w:val="left" w:pos="146"/>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不接受联合体投标</w:t>
            </w:r>
          </w:p>
        </w:tc>
        <w:tc>
          <w:tcPr>
            <w:tcW w:w="2880" w:type="dxa"/>
            <w:vAlign w:val="center"/>
          </w:tcPr>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857" w:type="dxa"/>
            <w:vAlign w:val="center"/>
          </w:tcPr>
          <w:p>
            <w:pPr>
              <w:tabs>
                <w:tab w:val="left" w:pos="480"/>
              </w:tabs>
              <w:ind w:left="-107" w:leftChars="-51" w:firstLine="106"/>
              <w:rPr>
                <w:rFonts w:ascii="宋体" w:hAnsi="宋体"/>
                <w:b/>
                <w:bCs/>
                <w:color w:val="000000" w:themeColor="text1"/>
                <w:szCs w:val="21"/>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14:textFill>
            <w14:solidFill>
              <w14:schemeClr w14:val="tx1"/>
            </w14:solidFill>
          </w14:textFill>
        </w:rPr>
      </w:pPr>
    </w:p>
    <w:p>
      <w:pPr>
        <w:tabs>
          <w:tab w:val="center" w:pos="4483"/>
        </w:tabs>
        <w:ind w:left="525" w:leftChars="5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14:textFill>
            <w14:solidFill>
              <w14:schemeClr w14:val="tx1"/>
            </w14:solidFill>
          </w14:textFill>
        </w:rPr>
        <w:t>提交的资料字迹模糊不清而现场无法提供原件核实的</w:t>
      </w:r>
      <w:r>
        <w:rPr>
          <w:rFonts w:hint="eastAsia" w:ascii="宋体" w:hAnsi="宋体"/>
          <w:color w:val="000000" w:themeColor="text1"/>
          <w:szCs w:val="21"/>
          <w14:textFill>
            <w14:solidFill>
              <w14:schemeClr w14:val="tx1"/>
            </w14:solidFill>
          </w14:textFill>
        </w:rPr>
        <w:t>将会直接导致无效投标。</w:t>
      </w:r>
      <w:r>
        <w:rPr>
          <w:rFonts w:hint="eastAsia" w:ascii="宋体" w:hAnsi="宋体"/>
          <w:bCs/>
          <w:color w:val="000000" w:themeColor="text1"/>
          <w:szCs w:val="21"/>
          <w14:textFill>
            <w14:solidFill>
              <w14:schemeClr w14:val="tx1"/>
            </w14:solidFill>
          </w14:textFill>
        </w:rPr>
        <w:t>不能继续参与后续评标，有效投标人少于4家的将导致废标。废标后，除采购任务取消情形外，应当重新组织采购。</w:t>
      </w:r>
      <w:r>
        <w:rPr>
          <w:rFonts w:hint="eastAsia" w:ascii="宋体" w:hAnsi="宋体"/>
          <w:color w:val="000000" w:themeColor="text1"/>
          <w:szCs w:val="21"/>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w:t>
      </w:r>
    </w:p>
    <w:p>
      <w:pPr>
        <w:adjustRightInd w:val="0"/>
        <w:snapToGrid w:val="0"/>
        <w:spacing w:line="300" w:lineRule="auto"/>
        <w:rPr>
          <w:color w:val="000000" w:themeColor="text1"/>
          <w:szCs w:val="21"/>
          <w14:textFill>
            <w14:solidFill>
              <w14:schemeClr w14:val="tx1"/>
            </w14:solidFill>
          </w14:textFill>
        </w:rPr>
      </w:pP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00" w:lineRule="auto"/>
        <w:rPr>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tabs>
          <w:tab w:val="left" w:pos="1004"/>
          <w:tab w:val="left" w:pos="4267"/>
        </w:tabs>
        <w:spacing w:line="400" w:lineRule="exact"/>
        <w:rPr>
          <w:rFonts w:ascii="宋体" w:hAnsi="宋体"/>
          <w:bCs/>
          <w:color w:val="000000" w:themeColor="text1"/>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3"/>
        <w:numPr>
          <w:ilvl w:val="0"/>
          <w:numId w:val="0"/>
        </w:numPr>
        <w:rPr>
          <w:color w:val="000000" w:themeColor="text1"/>
          <w14:textFill>
            <w14:solidFill>
              <w14:schemeClr w14:val="tx1"/>
            </w14:solidFill>
          </w14:textFill>
        </w:rPr>
      </w:pPr>
      <w:bookmarkStart w:id="1696" w:name="_Toc21470"/>
      <w:bookmarkStart w:id="1697" w:name="_Toc14532"/>
      <w:bookmarkStart w:id="1698" w:name="_Toc4977"/>
      <w:r>
        <w:rPr>
          <w:rFonts w:hint="eastAsia"/>
          <w:color w:val="000000" w:themeColor="text1"/>
          <w14:textFill>
            <w14:solidFill>
              <w14:schemeClr w14:val="tx1"/>
            </w14:solidFill>
          </w14:textFill>
        </w:rPr>
        <w:t>（一）资格审查文件要求提交的有效证明文件</w:t>
      </w:r>
      <w:bookmarkEnd w:id="1696"/>
      <w:bookmarkEnd w:id="1697"/>
      <w:bookmarkEnd w:id="1698"/>
    </w:p>
    <w:p>
      <w:pPr>
        <w:adjustRightInd w:val="0"/>
        <w:snapToGrid w:val="0"/>
        <w:spacing w:line="360" w:lineRule="auto"/>
        <w:jc w:val="left"/>
        <w:rPr>
          <w:rFonts w:ascii="宋体" w:hAnsi="宋体"/>
          <w:bCs/>
          <w:color w:val="000000" w:themeColor="text1"/>
          <w14:textFill>
            <w14:solidFill>
              <w14:schemeClr w14:val="tx1"/>
            </w14:solidFill>
          </w14:textFill>
        </w:rPr>
      </w:pPr>
    </w:p>
    <w:p>
      <w:pPr>
        <w:adjustRightInd w:val="0"/>
        <w:snapToGrid w:val="0"/>
        <w:spacing w:line="360" w:lineRule="auto"/>
        <w:jc w:val="left"/>
        <w:rPr>
          <w:rFonts w:ascii="宋体" w:hAnsi="宋体"/>
          <w:b/>
          <w:bCs/>
          <w:cap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p>
    <w:p>
      <w:pPr>
        <w:pStyle w:val="5"/>
        <w:rPr>
          <w:color w:val="000000" w:themeColor="text1"/>
          <w14:textFill>
            <w14:solidFill>
              <w14:schemeClr w14:val="tx1"/>
            </w14:solidFill>
          </w14:textFill>
        </w:rPr>
      </w:pP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财务报表</w:t>
      </w:r>
      <w:r>
        <w:rPr>
          <w:rFonts w:hint="eastAsia" w:ascii="宋体" w:hAnsi="宋体"/>
          <w:color w:val="000000" w:themeColor="text1"/>
          <w:szCs w:val="21"/>
          <w14:textFill>
            <w14:solidFill>
              <w14:schemeClr w14:val="tx1"/>
            </w14:solidFill>
          </w14:textFill>
        </w:rPr>
        <w:t>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hAnsi="黑体"/>
          <w:color w:val="000000" w:themeColor="text1"/>
          <w:szCs w:val="21"/>
          <w14:textFill>
            <w14:solidFill>
              <w14:schemeClr w14:val="tx1"/>
            </w14:solidFill>
          </w14:textFill>
        </w:rPr>
        <w:t>无重大违法记录声明函</w:t>
      </w:r>
      <w:r>
        <w:rPr>
          <w:rFonts w:hint="eastAsia" w:ascii="宋体" w:hAnsi="宋体"/>
          <w:color w:val="000000" w:themeColor="text1"/>
          <w:szCs w:val="21"/>
          <w14:textFill>
            <w14:solidFill>
              <w14:schemeClr w14:val="tx1"/>
            </w14:solidFill>
          </w14:textFill>
        </w:rPr>
        <w:t>；</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w:t>
      </w:r>
    </w:p>
    <w:p>
      <w:pPr>
        <w:pStyle w:val="5"/>
        <w:rPr>
          <w:rFonts w:hAnsi="宋体"/>
          <w:bCs/>
          <w:color w:val="000000" w:themeColor="text1"/>
          <w:sz w:val="21"/>
          <w:szCs w:val="21"/>
          <w14:textFill>
            <w14:solidFill>
              <w14:schemeClr w14:val="tx1"/>
            </w14:solidFill>
          </w14:textFill>
        </w:rPr>
      </w:pPr>
    </w:p>
    <w:p>
      <w:pPr>
        <w:pStyle w:val="5"/>
        <w:rPr>
          <w:rFonts w:hAnsi="宋体"/>
          <w:bCs/>
          <w:color w:val="000000" w:themeColor="text1"/>
          <w:sz w:val="21"/>
          <w:szCs w:val="21"/>
          <w14:textFill>
            <w14:solidFill>
              <w14:schemeClr w14:val="tx1"/>
            </w14:solidFill>
          </w14:textFill>
        </w:rPr>
      </w:pPr>
    </w:p>
    <w:p>
      <w:pPr>
        <w:pStyle w:val="5"/>
        <w:rPr>
          <w:rFonts w:hAnsi="宋体"/>
          <w:bCs/>
          <w:color w:val="000000" w:themeColor="text1"/>
          <w:sz w:val="21"/>
          <w:szCs w:val="21"/>
          <w14:textFill>
            <w14:solidFill>
              <w14:schemeClr w14:val="tx1"/>
            </w14:solidFill>
          </w14:textFill>
        </w:rPr>
      </w:pPr>
    </w:p>
    <w:p>
      <w:pPr>
        <w:pStyle w:val="5"/>
        <w:rPr>
          <w:rFonts w:hAnsi="宋体"/>
          <w:bCs/>
          <w:color w:val="000000" w:themeColor="text1"/>
          <w:sz w:val="21"/>
          <w:szCs w:val="21"/>
          <w14:textFill>
            <w14:solidFill>
              <w14:schemeClr w14:val="tx1"/>
            </w14:solidFill>
          </w14:textFill>
        </w:rPr>
      </w:pPr>
    </w:p>
    <w:p>
      <w:pPr>
        <w:pStyle w:val="5"/>
        <w:rPr>
          <w:rFonts w:hAnsi="宋体"/>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提供招标文件要求的资格</w:t>
      </w:r>
      <w:r>
        <w:rPr>
          <w:rFonts w:hint="eastAsia" w:hAnsi="宋体"/>
          <w:color w:val="000000" w:themeColor="text1"/>
          <w:sz w:val="21"/>
          <w:szCs w:val="21"/>
          <w14:textFill>
            <w14:solidFill>
              <w14:schemeClr w14:val="tx1"/>
            </w14:solidFill>
          </w14:textFill>
        </w:rPr>
        <w:t>证明文件复印件加盖公章。</w:t>
      </w: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3"/>
        <w:numPr>
          <w:ilvl w:val="0"/>
          <w:numId w:val="0"/>
        </w:numPr>
        <w:rPr>
          <w:rFonts w:hAnsi="黑体"/>
          <w:color w:val="000000" w:themeColor="text1"/>
          <w:szCs w:val="21"/>
          <w14:textFill>
            <w14:solidFill>
              <w14:schemeClr w14:val="tx1"/>
            </w14:solidFill>
          </w14:textFill>
        </w:rPr>
      </w:pPr>
      <w:bookmarkStart w:id="1699" w:name="_Toc13666"/>
      <w:bookmarkStart w:id="1700" w:name="_Toc26718"/>
      <w:bookmarkStart w:id="1701" w:name="_Toc26194"/>
      <w:r>
        <w:rPr>
          <w:rFonts w:hint="eastAsia" w:hAnsi="黑体"/>
          <w:color w:val="000000" w:themeColor="text1"/>
          <w:szCs w:val="21"/>
          <w14:textFill>
            <w14:solidFill>
              <w14:schemeClr w14:val="tx1"/>
            </w14:solidFill>
          </w14:textFill>
        </w:rPr>
        <w:t>（二）无重大违法记录声明函</w:t>
      </w:r>
      <w:bookmarkEnd w:id="1699"/>
      <w:bookmarkEnd w:id="1700"/>
      <w:bookmarkEnd w:id="1701"/>
    </w:p>
    <w:p>
      <w:pPr>
        <w:pStyle w:val="5"/>
        <w:spacing w:line="360" w:lineRule="auto"/>
        <w:ind w:left="420" w:firstLine="0"/>
        <w:rPr>
          <w:color w:val="000000" w:themeColor="text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致广东业信采购招标有限公司：</w:t>
      </w:r>
    </w:p>
    <w:p>
      <w:pPr>
        <w:spacing w:line="360" w:lineRule="auto"/>
        <w:rPr>
          <w:rFonts w:ascii="宋体" w:hAnsi="宋体"/>
          <w:bCs/>
          <w:color w:val="000000" w:themeColor="text1"/>
          <w:u w:val="single"/>
          <w14:textFill>
            <w14:solidFill>
              <w14:schemeClr w14:val="tx1"/>
            </w14:solidFill>
          </w14:textFill>
        </w:rPr>
      </w:pPr>
      <w:r>
        <w:rPr>
          <w:rFonts w:hint="eastAsia"/>
          <w:color w:val="000000" w:themeColor="text1"/>
          <w:szCs w:val="21"/>
          <w14:textFill>
            <w14:solidFill>
              <w14:schemeClr w14:val="tx1"/>
            </w14:solidFill>
          </w14:textFill>
        </w:rPr>
        <w:t xml:space="preserve">    针对贵</w:t>
      </w:r>
      <w:r>
        <w:rPr>
          <w:rFonts w:hint="eastAsia" w:ascii="宋体" w:hAnsi="宋体"/>
          <w:color w:val="000000" w:themeColor="text1"/>
          <w:szCs w:val="21"/>
          <w14:textFill>
            <w14:solidFill>
              <w14:schemeClr w14:val="tx1"/>
            </w14:solidFill>
          </w14:textFill>
        </w:rPr>
        <w:t>方</w:t>
      </w:r>
      <w:r>
        <w:rPr>
          <w:rFonts w:hint="eastAsia"/>
          <w:color w:val="000000" w:themeColor="text1"/>
          <w:szCs w:val="21"/>
          <w14:textFill>
            <w14:solidFill>
              <w14:schemeClr w14:val="tx1"/>
            </w14:solidFill>
          </w14:textFill>
        </w:rPr>
        <w:t>组织的（项目名称：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）（项目编号：</w:t>
      </w:r>
      <w:r>
        <w:rPr>
          <w:rFonts w:hint="eastAsia" w:ascii="宋体" w:hAnsi="宋体"/>
          <w:bCs/>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特此声明。</w:t>
      </w: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spacing w:line="360" w:lineRule="auto"/>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投标人名称（公章）：</w:t>
      </w:r>
      <w:r>
        <w:rPr>
          <w:rFonts w:hint="eastAsia"/>
          <w:color w:val="000000" w:themeColor="text1"/>
          <w:szCs w:val="21"/>
          <w:u w:val="single"/>
          <w14:textFill>
            <w14:solidFill>
              <w14:schemeClr w14:val="tx1"/>
            </w14:solidFill>
          </w14:textFill>
        </w:rPr>
        <w:t xml:space="preserve">                        </w:t>
      </w:r>
    </w:p>
    <w:p>
      <w:pPr>
        <w:spacing w:line="360" w:lineRule="auto"/>
        <w:rPr>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3"/>
        <w:numPr>
          <w:ilvl w:val="7"/>
          <w:numId w:val="6"/>
        </w:numPr>
        <w:tabs>
          <w:tab w:val="clear" w:pos="720"/>
        </w:tabs>
        <w:ind w:left="720"/>
        <w:rPr>
          <w:color w:val="000000" w:themeColor="text1"/>
          <w14:textFill>
            <w14:solidFill>
              <w14:schemeClr w14:val="tx1"/>
            </w14:solidFill>
          </w14:textFill>
        </w:rPr>
      </w:pPr>
      <w:bookmarkStart w:id="1702" w:name="_Toc5256"/>
      <w:bookmarkStart w:id="1703" w:name="_Toc1167"/>
      <w:bookmarkStart w:id="1704" w:name="_Toc15920"/>
      <w:r>
        <w:rPr>
          <w:rFonts w:hint="eastAsia"/>
          <w:color w:val="000000" w:themeColor="text1"/>
          <w14:textFill>
            <w14:solidFill>
              <w14:schemeClr w14:val="tx1"/>
            </w14:solidFill>
          </w14:textFill>
        </w:rPr>
        <w:t>投标文件商务及技术部分</w:t>
      </w:r>
      <w:bookmarkEnd w:id="1702"/>
      <w:bookmarkEnd w:id="1703"/>
      <w:bookmarkEnd w:id="1704"/>
    </w:p>
    <w:p>
      <w:pPr>
        <w:pStyle w:val="3"/>
        <w:numPr>
          <w:ilvl w:val="0"/>
          <w:numId w:val="0"/>
        </w:numPr>
        <w:rPr>
          <w:color w:val="000000" w:themeColor="text1"/>
          <w:sz w:val="24"/>
          <w14:textFill>
            <w14:solidFill>
              <w14:schemeClr w14:val="tx1"/>
            </w14:solidFill>
          </w14:textFill>
        </w:rPr>
      </w:pPr>
      <w:bookmarkStart w:id="1705" w:name="_Toc16045"/>
      <w:bookmarkStart w:id="1706" w:name="_Toc18514"/>
      <w:r>
        <w:rPr>
          <w:rFonts w:hint="eastAsia"/>
          <w:color w:val="000000" w:themeColor="text1"/>
          <w:sz w:val="24"/>
          <w14:textFill>
            <w14:solidFill>
              <w14:schemeClr w14:val="tx1"/>
            </w14:solidFill>
          </w14:textFill>
        </w:rPr>
        <w:t>商务及技术封面格式</w:t>
      </w:r>
      <w:bookmarkEnd w:id="1705"/>
      <w:bookmarkEnd w:id="1706"/>
    </w:p>
    <w:p>
      <w:pPr>
        <w:pStyle w:val="5"/>
        <w:rPr>
          <w:rFonts w:hAnsi="宋体"/>
          <w:bCs/>
          <w:color w:val="000000" w:themeColor="text1"/>
          <w:sz w:val="21"/>
          <w14:textFill>
            <w14:solidFill>
              <w14:schemeClr w14:val="tx1"/>
            </w14:solidFill>
          </w14:textFill>
        </w:rPr>
      </w:pPr>
    </w:p>
    <w:p>
      <w:pPr>
        <w:pStyle w:val="5"/>
        <w:spacing w:line="360" w:lineRule="auto"/>
        <w:rPr>
          <w:rFonts w:hAnsi="宋体"/>
          <w:bCs/>
          <w:color w:val="000000" w:themeColor="text1"/>
          <w:sz w:val="21"/>
          <w14:textFill>
            <w14:solidFill>
              <w14:schemeClr w14:val="tx1"/>
            </w14:solidFill>
          </w14:textFill>
        </w:rPr>
      </w:pPr>
      <w:r>
        <w:rPr>
          <w:rFonts w:hAnsi="宋体"/>
          <w:bCs/>
          <w:color w:val="000000" w:themeColor="text1"/>
          <w:sz w:val="21"/>
          <w14:textFill>
            <w14:solidFill>
              <w14:schemeClr w14:val="tx1"/>
            </w14:solidFill>
          </w14:textFill>
        </w:rPr>
        <w:t>1</w:t>
      </w:r>
      <w:r>
        <w:rPr>
          <w:rFonts w:hint="eastAsia" w:hAnsi="宋体"/>
          <w:bCs/>
          <w:color w:val="000000" w:themeColor="text1"/>
          <w:sz w:val="21"/>
          <w14:textFill>
            <w14:solidFill>
              <w14:schemeClr w14:val="tx1"/>
            </w14:solidFill>
          </w14:textFill>
        </w:rPr>
        <w:t xml:space="preserve">、投标内容应当编有目录、页码，按页码排序并装订成册。   </w:t>
      </w:r>
    </w:p>
    <w:p>
      <w:pPr>
        <w:pStyle w:val="5"/>
        <w:spacing w:line="360" w:lineRule="auto"/>
        <w:rPr>
          <w:rFonts w:hAnsi="宋体"/>
          <w:b/>
          <w:color w:val="000000" w:themeColor="text1"/>
          <w:sz w:val="21"/>
          <w:szCs w:val="21"/>
          <w14:textFill>
            <w14:solidFill>
              <w14:schemeClr w14:val="tx1"/>
            </w14:solidFill>
          </w14:textFill>
        </w:rPr>
      </w:pPr>
      <w:r>
        <w:rPr>
          <w:rFonts w:hAnsi="宋体"/>
          <w:bCs/>
          <w:color w:val="000000" w:themeColor="text1"/>
          <w:sz w:val="21"/>
          <w14:textFill>
            <w14:solidFill>
              <w14:schemeClr w14:val="tx1"/>
            </w14:solidFill>
          </w14:textFill>
        </w:rPr>
        <w:t>2</w:t>
      </w:r>
      <w:r>
        <w:rPr>
          <w:rFonts w:hint="eastAsia" w:hAnsi="宋体"/>
          <w:bCs/>
          <w:color w:val="000000" w:themeColor="text1"/>
          <w:sz w:val="21"/>
          <w14:textFill>
            <w14:solidFill>
              <w14:schemeClr w14:val="tx1"/>
            </w14:solidFill>
          </w14:textFill>
        </w:rPr>
        <w:t>、文件的封面格式由投</w:t>
      </w:r>
      <w:r>
        <w:rPr>
          <w:rFonts w:hint="eastAsia" w:hAnsi="宋体"/>
          <w:bCs/>
          <w:color w:val="000000" w:themeColor="text1"/>
          <w:sz w:val="21"/>
          <w:szCs w:val="21"/>
          <w14:textFill>
            <w14:solidFill>
              <w14:schemeClr w14:val="tx1"/>
            </w14:solidFill>
          </w14:textFill>
        </w:rPr>
        <w:t>标人自拟</w:t>
      </w:r>
      <w:r>
        <w:rPr>
          <w:rFonts w:hint="eastAsia" w:hAnsi="宋体"/>
          <w:bCs/>
          <w:color w:val="000000" w:themeColor="text1"/>
          <w:sz w:val="21"/>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rPr>
          <w:rFonts w:hAnsi="宋体"/>
          <w:bCs/>
          <w:color w:val="000000" w:themeColor="text1"/>
          <w:sz w:val="21"/>
          <w14:textFill>
            <w14:solidFill>
              <w14:schemeClr w14:val="tx1"/>
            </w14:solidFill>
          </w14:textFill>
        </w:rPr>
      </w:pPr>
    </w:p>
    <w:p>
      <w:pPr>
        <w:pStyle w:val="5"/>
        <w:spacing w:line="440" w:lineRule="exact"/>
        <w:jc w:val="center"/>
        <w:rPr>
          <w:rFonts w:hAnsi="宋体"/>
          <w:bCs/>
          <w:color w:val="000000" w:themeColor="text1"/>
          <w:sz w:val="21"/>
          <w14:textFill>
            <w14:solidFill>
              <w14:schemeClr w14:val="tx1"/>
            </w14:solidFill>
          </w14:textFill>
        </w:rPr>
      </w:pPr>
    </w:p>
    <w:p>
      <w:pPr>
        <w:pStyle w:val="5"/>
        <w:spacing w:line="440" w:lineRule="exact"/>
        <w:ind w:firstLine="0"/>
        <w:jc w:val="both"/>
        <w:rPr>
          <w:rFonts w:hAnsi="宋体"/>
          <w:bCs/>
          <w:color w:val="000000" w:themeColor="text1"/>
          <w:sz w:val="21"/>
          <w14:textFill>
            <w14:solidFill>
              <w14:schemeClr w14:val="tx1"/>
            </w14:solidFill>
          </w14:textFill>
        </w:rPr>
      </w:pPr>
    </w:p>
    <w:p>
      <w:pPr>
        <w:pStyle w:val="5"/>
        <w:spacing w:line="440" w:lineRule="exact"/>
        <w:jc w:val="center"/>
        <w:rPr>
          <w:rFonts w:hAnsi="宋体"/>
          <w:bCs/>
          <w:color w:val="000000" w:themeColor="text1"/>
          <w:sz w:val="21"/>
          <w14:textFill>
            <w14:solidFill>
              <w14:schemeClr w14:val="tx1"/>
            </w14:solidFill>
          </w14:textFill>
        </w:rPr>
      </w:pPr>
    </w:p>
    <w:p>
      <w:pPr>
        <w:pStyle w:val="5"/>
        <w:spacing w:line="360" w:lineRule="auto"/>
        <w:jc w:val="center"/>
        <w:rPr>
          <w:rFonts w:hAnsi="宋体"/>
          <w:bCs/>
          <w:color w:val="000000" w:themeColor="text1"/>
          <w:sz w:val="52"/>
          <w:szCs w:val="52"/>
          <w14:textFill>
            <w14:solidFill>
              <w14:schemeClr w14:val="tx1"/>
            </w14:solidFill>
          </w14:textFill>
        </w:rPr>
      </w:pPr>
      <w:r>
        <w:rPr>
          <w:rFonts w:hint="eastAsia" w:hAnsi="宋体"/>
          <w:b/>
          <w:bCs/>
          <w:color w:val="000000" w:themeColor="text1"/>
          <w:sz w:val="52"/>
          <w:szCs w:val="52"/>
          <w14:textFill>
            <w14:solidFill>
              <w14:schemeClr w14:val="tx1"/>
            </w14:solidFill>
          </w14:textFill>
        </w:rPr>
        <w:t>投标文件（□正本、□副本</w:t>
      </w:r>
      <w:r>
        <w:rPr>
          <w:rFonts w:hint="eastAsia" w:hAnsi="宋体"/>
          <w:bCs/>
          <w:color w:val="000000" w:themeColor="text1"/>
          <w:sz w:val="52"/>
          <w:szCs w:val="52"/>
          <w14:textFill>
            <w14:solidFill>
              <w14:schemeClr w14:val="tx1"/>
            </w14:solidFill>
          </w14:textFill>
        </w:rPr>
        <w:t>）</w:t>
      </w:r>
    </w:p>
    <w:p>
      <w:pPr>
        <w:pStyle w:val="5"/>
        <w:spacing w:line="360" w:lineRule="auto"/>
        <w:jc w:val="center"/>
        <w:rPr>
          <w:rFonts w:hAnsi="宋体"/>
          <w:bCs/>
          <w:color w:val="000000" w:themeColor="text1"/>
          <w:sz w:val="52"/>
          <w:szCs w:val="52"/>
          <w14:textFill>
            <w14:solidFill>
              <w14:schemeClr w14:val="tx1"/>
            </w14:solidFill>
          </w14:textFill>
        </w:rPr>
      </w:pPr>
      <w:r>
        <w:rPr>
          <w:rFonts w:hint="eastAsia" w:hAnsi="宋体"/>
          <w:b/>
          <w:color w:val="000000" w:themeColor="text1"/>
          <w:sz w:val="44"/>
          <w:szCs w:val="44"/>
          <w14:textFill>
            <w14:solidFill>
              <w14:schemeClr w14:val="tx1"/>
            </w14:solidFill>
          </w14:textFill>
        </w:rPr>
        <w:t>（商务及技术文件）</w:t>
      </w:r>
    </w:p>
    <w:p>
      <w:pPr>
        <w:pStyle w:val="5"/>
        <w:spacing w:line="360" w:lineRule="auto"/>
        <w:jc w:val="center"/>
        <w:rPr>
          <w:rFonts w:hAnsi="宋体"/>
          <w:bCs/>
          <w:color w:val="000000" w:themeColor="text1"/>
          <w:sz w:val="52"/>
          <w:szCs w:val="52"/>
          <w14:textFill>
            <w14:solidFill>
              <w14:schemeClr w14:val="tx1"/>
            </w14:solidFill>
          </w14:textFill>
        </w:rPr>
      </w:pPr>
    </w:p>
    <w:p>
      <w:pPr>
        <w:pStyle w:val="5"/>
        <w:spacing w:line="360" w:lineRule="auto"/>
        <w:jc w:val="center"/>
        <w:rPr>
          <w:rFonts w:hAnsi="宋体"/>
          <w:bCs/>
          <w:color w:val="000000" w:themeColor="text1"/>
          <w:sz w:val="52"/>
          <w:szCs w:val="52"/>
          <w14:textFill>
            <w14:solidFill>
              <w14:schemeClr w14:val="tx1"/>
            </w14:solidFill>
          </w14:textFill>
        </w:rPr>
      </w:pPr>
    </w:p>
    <w:p>
      <w:pPr>
        <w:pStyle w:val="5"/>
        <w:spacing w:line="360" w:lineRule="auto"/>
        <w:jc w:val="center"/>
        <w:rPr>
          <w:rFonts w:hAnsi="宋体"/>
          <w:bCs/>
          <w:color w:val="000000" w:themeColor="text1"/>
          <w:sz w:val="52"/>
          <w:szCs w:val="52"/>
          <w14:textFill>
            <w14:solidFill>
              <w14:schemeClr w14:val="tx1"/>
            </w14:solidFill>
          </w14:textFill>
        </w:rPr>
      </w:pPr>
    </w:p>
    <w:p>
      <w:pPr>
        <w:pStyle w:val="5"/>
        <w:spacing w:line="360" w:lineRule="auto"/>
        <w:jc w:val="center"/>
        <w:rPr>
          <w:rFonts w:hAnsi="宋体"/>
          <w:bCs/>
          <w:color w:val="000000" w:themeColor="text1"/>
          <w:sz w:val="52"/>
          <w:szCs w:val="52"/>
          <w14:textFill>
            <w14:solidFill>
              <w14:schemeClr w14:val="tx1"/>
            </w14:solidFill>
          </w14:textFill>
        </w:rPr>
      </w:pPr>
    </w:p>
    <w:p>
      <w:pPr>
        <w:pStyle w:val="5"/>
        <w:spacing w:line="360" w:lineRule="auto"/>
        <w:jc w:val="center"/>
        <w:rPr>
          <w:rFonts w:hAnsi="宋体"/>
          <w:bCs/>
          <w:color w:val="000000" w:themeColor="text1"/>
          <w:sz w:val="52"/>
          <w:szCs w:val="52"/>
          <w14:textFill>
            <w14:solidFill>
              <w14:schemeClr w14:val="tx1"/>
            </w14:solidFill>
          </w14:textFill>
        </w:rPr>
      </w:pPr>
    </w:p>
    <w:p>
      <w:pPr>
        <w:pStyle w:val="5"/>
        <w:spacing w:line="440" w:lineRule="exact"/>
        <w:jc w:val="center"/>
        <w:rPr>
          <w:rFonts w:hAnsi="宋体"/>
          <w:bCs/>
          <w:color w:val="000000" w:themeColor="text1"/>
          <w:sz w:val="21"/>
          <w14:textFill>
            <w14:solidFill>
              <w14:schemeClr w14:val="tx1"/>
            </w14:solidFill>
          </w14:textFill>
        </w:rPr>
      </w:pPr>
    </w:p>
    <w:p>
      <w:pPr>
        <w:pStyle w:val="5"/>
        <w:spacing w:line="440" w:lineRule="exact"/>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项目编号：</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项目名称：</w:t>
      </w:r>
      <w:r>
        <w:rPr>
          <w:rFonts w:hint="eastAsia" w:hAnsi="宋体"/>
          <w:bCs/>
          <w:color w:val="000000" w:themeColor="text1"/>
          <w:sz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采购项目名称，由投标人填写</w:t>
      </w:r>
      <w:r>
        <w:rPr>
          <w:rFonts w:hint="eastAsia" w:hAnsi="宋体" w:cs="宋体"/>
          <w:b/>
          <w:color w:val="000000" w:themeColor="text1"/>
          <w:sz w:val="21"/>
          <w:szCs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投标人名称（公章）：</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投标人地址：</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法定代表人（负责人）或授权代理人（签字）</w:t>
      </w:r>
      <w:r>
        <w:rPr>
          <w:rFonts w:hAnsi="宋体"/>
          <w:bCs/>
          <w:color w:val="000000" w:themeColor="text1"/>
          <w:sz w:val="21"/>
          <w14:textFill>
            <w14:solidFill>
              <w14:schemeClr w14:val="tx1"/>
            </w14:solidFill>
          </w14:textFill>
        </w:rPr>
        <w:t>：</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联系</w:t>
      </w:r>
      <w:r>
        <w:rPr>
          <w:rFonts w:hAnsi="宋体"/>
          <w:bCs/>
          <w:color w:val="000000" w:themeColor="text1"/>
          <w:sz w:val="21"/>
          <w14:textFill>
            <w14:solidFill>
              <w14:schemeClr w14:val="tx1"/>
            </w14:solidFill>
          </w14:textFill>
        </w:rPr>
        <w:t>电话：</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14:textFill>
            <w14:solidFill>
              <w14:schemeClr w14:val="tx1"/>
            </w14:solidFill>
          </w14:textFill>
        </w:rPr>
        <w:t xml:space="preserve">   </w:t>
      </w:r>
      <w:r>
        <w:rPr>
          <w:rFonts w:hint="eastAsia" w:hAnsi="宋体"/>
          <w:bCs/>
          <w:color w:val="000000" w:themeColor="text1"/>
          <w:sz w:val="21"/>
          <w14:textFill>
            <w14:solidFill>
              <w14:schemeClr w14:val="tx1"/>
            </w14:solidFill>
          </w14:textFill>
        </w:rPr>
        <w:t>传真：</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rFonts w:hAnsi="宋体"/>
          <w:bCs/>
          <w:color w:val="000000" w:themeColor="text1"/>
          <w:sz w:val="21"/>
          <w:u w:val="single"/>
          <w14:textFill>
            <w14:solidFill>
              <w14:schemeClr w14:val="tx1"/>
            </w14:solidFill>
          </w14:textFill>
        </w:rPr>
      </w:pPr>
      <w:r>
        <w:rPr>
          <w:rFonts w:hAnsi="宋体"/>
          <w:bCs/>
          <w:color w:val="000000" w:themeColor="text1"/>
          <w:sz w:val="21"/>
          <w14:textFill>
            <w14:solidFill>
              <w14:schemeClr w14:val="tx1"/>
            </w14:solidFill>
          </w14:textFill>
        </w:rPr>
        <w:t>邮编：</w:t>
      </w:r>
      <w:r>
        <w:rPr>
          <w:rFonts w:hint="eastAsia" w:hAnsi="宋体"/>
          <w:bCs/>
          <w:color w:val="000000" w:themeColor="text1"/>
          <w:sz w:val="21"/>
          <w:u w:val="single"/>
          <w14:textFill>
            <w14:solidFill>
              <w14:schemeClr w14:val="tx1"/>
            </w14:solidFill>
          </w14:textFill>
        </w:rPr>
        <w:t xml:space="preserve">                               </w:t>
      </w:r>
    </w:p>
    <w:p>
      <w:pPr>
        <w:pStyle w:val="5"/>
        <w:spacing w:line="440" w:lineRule="exact"/>
        <w:rPr>
          <w:color w:val="000000" w:themeColor="text1"/>
          <w14:textFill>
            <w14:solidFill>
              <w14:schemeClr w14:val="tx1"/>
            </w14:solidFill>
          </w14:textFill>
        </w:rPr>
      </w:pPr>
      <w:r>
        <w:rPr>
          <w:rFonts w:hint="eastAsia" w:hAnsi="宋体"/>
          <w:bCs/>
          <w:color w:val="000000" w:themeColor="text1"/>
          <w:sz w:val="21"/>
          <w14:textFill>
            <w14:solidFill>
              <w14:schemeClr w14:val="tx1"/>
            </w14:solidFill>
          </w14:textFill>
        </w:rPr>
        <w:t>编制日期：</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年</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月</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日</w:t>
      </w: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ind w:firstLine="0"/>
        <w:rPr>
          <w:color w:val="000000" w:themeColor="text1"/>
          <w14:textFill>
            <w14:solidFill>
              <w14:schemeClr w14:val="tx1"/>
            </w14:solidFill>
          </w14:textFill>
        </w:rPr>
      </w:pPr>
    </w:p>
    <w:p>
      <w:pPr>
        <w:pStyle w:val="3"/>
        <w:keepLines w:val="0"/>
        <w:numPr>
          <w:ilvl w:val="0"/>
          <w:numId w:val="0"/>
        </w:numPr>
        <w:tabs>
          <w:tab w:val="left" w:pos="4320"/>
        </w:tabs>
        <w:spacing w:before="240" w:after="60" w:line="360" w:lineRule="exact"/>
        <w:rPr>
          <w:rFonts w:ascii="宋体"/>
          <w:b/>
          <w:bCs w:val="0"/>
          <w:color w:val="000000" w:themeColor="text1"/>
          <w:szCs w:val="21"/>
          <w14:textFill>
            <w14:solidFill>
              <w14:schemeClr w14:val="tx1"/>
            </w14:solidFill>
          </w14:textFill>
        </w:rPr>
      </w:pPr>
      <w:bookmarkStart w:id="1707" w:name="_Toc11000"/>
      <w:bookmarkStart w:id="1708" w:name="_Toc30005"/>
      <w:r>
        <w:rPr>
          <w:rFonts w:hint="eastAsia" w:ascii="宋体"/>
          <w:b/>
          <w:bCs w:val="0"/>
          <w:color w:val="000000" w:themeColor="text1"/>
          <w:szCs w:val="21"/>
          <w14:textFill>
            <w14:solidFill>
              <w14:schemeClr w14:val="tx1"/>
            </w14:solidFill>
          </w14:textFill>
        </w:rPr>
        <w:t>符合性自查表</w:t>
      </w:r>
      <w:bookmarkEnd w:id="1707"/>
      <w:bookmarkEnd w:id="1708"/>
    </w:p>
    <w:p>
      <w:pPr>
        <w:jc w:val="center"/>
        <w:rPr>
          <w:rFonts w:ascii="宋体" w:hAnsi="宋体"/>
          <w:b/>
          <w:bCs/>
          <w:color w:val="000000" w:themeColor="text1"/>
          <w:szCs w:val="21"/>
          <w14:textFill>
            <w14:solidFill>
              <w14:schemeClr w14:val="tx1"/>
            </w14:solidFill>
          </w14:textFill>
        </w:rPr>
      </w:pPr>
    </w:p>
    <w:tbl>
      <w:tblPr>
        <w:tblStyle w:val="48"/>
        <w:tblW w:w="9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自查结论</w:t>
            </w:r>
          </w:p>
          <w:p>
            <w:pPr>
              <w:tabs>
                <w:tab w:val="left" w:pos="480"/>
              </w:tabs>
              <w:ind w:left="480" w:hanging="48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（通过/不通过）</w:t>
            </w:r>
          </w:p>
        </w:tc>
        <w:tc>
          <w:tcPr>
            <w:tcW w:w="1986"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服务期须满足要求</w:t>
            </w:r>
          </w:p>
        </w:tc>
        <w:tc>
          <w:tcPr>
            <w:tcW w:w="1958"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14:textFill>
            <w14:solidFill>
              <w14:schemeClr w14:val="tx1"/>
            </w14:solidFill>
          </w14:textFill>
        </w:rPr>
      </w:pPr>
    </w:p>
    <w:p>
      <w:pPr>
        <w:tabs>
          <w:tab w:val="center" w:pos="4483"/>
        </w:tabs>
        <w:ind w:left="525" w:leftChars="5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14:textFill>
            <w14:solidFill>
              <w14:schemeClr w14:val="tx1"/>
            </w14:solidFill>
          </w14:textFill>
        </w:rPr>
        <w:t>提交的资料字迹模糊不清而现场无法提供原件核实的</w:t>
      </w:r>
      <w:r>
        <w:rPr>
          <w:rFonts w:hint="eastAsia" w:ascii="宋体" w:hAnsi="宋体"/>
          <w:color w:val="000000" w:themeColor="text1"/>
          <w:szCs w:val="21"/>
          <w14:textFill>
            <w14:solidFill>
              <w14:schemeClr w14:val="tx1"/>
            </w14:solidFill>
          </w14:textFill>
        </w:rPr>
        <w:t>将会直接导致无效投标。</w:t>
      </w:r>
      <w:r>
        <w:rPr>
          <w:rFonts w:hint="eastAsia" w:ascii="宋体" w:hAnsi="宋体"/>
          <w:bCs/>
          <w:color w:val="000000" w:themeColor="text1"/>
          <w:szCs w:val="21"/>
          <w14:textFill>
            <w14:solidFill>
              <w14:schemeClr w14:val="tx1"/>
            </w14:solidFill>
          </w14:textFill>
        </w:rPr>
        <w:t>不能继续参与后续评标，有效投标人少于4家的将导致废标。废标后，除采购任务取消情形外，应当重新组织采购。</w:t>
      </w:r>
      <w:r>
        <w:rPr>
          <w:rFonts w:hint="eastAsia" w:ascii="宋体" w:hAnsi="宋体"/>
          <w:color w:val="000000" w:themeColor="text1"/>
          <w:szCs w:val="21"/>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w:t>
      </w:r>
      <w:r>
        <w:rPr>
          <w:rFonts w:hint="eastAsia" w:ascii="宋体" w:hAnsi="宋体"/>
          <w:bCs/>
          <w:color w:val="000000" w:themeColor="text1"/>
          <w:szCs w:val="21"/>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00" w:lineRule="auto"/>
        <w:rPr>
          <w:color w:val="000000" w:themeColor="text1"/>
          <w:szCs w:val="21"/>
          <w14:textFill>
            <w14:solidFill>
              <w14:schemeClr w14:val="tx1"/>
            </w14:solidFill>
          </w14:textFill>
        </w:rPr>
      </w:pPr>
    </w:p>
    <w:p>
      <w:pPr>
        <w:adjustRightInd w:val="0"/>
        <w:snapToGrid w:val="0"/>
        <w:spacing w:line="300" w:lineRule="auto"/>
        <w:rPr>
          <w:color w:val="000000" w:themeColor="text1"/>
          <w:szCs w:val="21"/>
          <w14:textFill>
            <w14:solidFill>
              <w14:schemeClr w14:val="tx1"/>
            </w14:solidFill>
          </w14:textFill>
        </w:rPr>
      </w:pP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adjustRightInd w:val="0"/>
        <w:snapToGrid w:val="0"/>
        <w:spacing w:line="300" w:lineRule="auto"/>
        <w:rPr>
          <w:color w:val="000000" w:themeColor="text1"/>
          <w:sz w:val="24"/>
          <w14:textFill>
            <w14:solidFill>
              <w14:schemeClr w14:val="tx1"/>
            </w14:solidFill>
          </w14:textFill>
        </w:rPr>
      </w:pPr>
    </w:p>
    <w:p>
      <w:pPr>
        <w:rPr>
          <w:rFonts w:ascii="宋体"/>
          <w:b/>
          <w:color w:val="000000" w:themeColor="text1"/>
          <w:szCs w:val="21"/>
          <w14:textFill>
            <w14:solidFill>
              <w14:schemeClr w14:val="tx1"/>
            </w14:solidFill>
          </w14:textFill>
        </w:rPr>
      </w:pPr>
      <w:r>
        <w:rPr>
          <w:rFonts w:ascii="宋体"/>
          <w:b/>
          <w:color w:val="000000" w:themeColor="text1"/>
          <w:szCs w:val="21"/>
          <w14:textFill>
            <w14:solidFill>
              <w14:schemeClr w14:val="tx1"/>
            </w14:solidFill>
          </w14:textFill>
        </w:rPr>
        <w:br w:type="page"/>
      </w:r>
    </w:p>
    <w:p>
      <w:pPr>
        <w:pStyle w:val="3"/>
        <w:keepLines w:val="0"/>
        <w:numPr>
          <w:ilvl w:val="0"/>
          <w:numId w:val="0"/>
        </w:numPr>
        <w:tabs>
          <w:tab w:val="left" w:pos="4320"/>
        </w:tabs>
        <w:spacing w:before="240" w:after="60" w:line="480" w:lineRule="exact"/>
        <w:rPr>
          <w:rFonts w:ascii="宋体"/>
          <w:b/>
          <w:color w:val="000000" w:themeColor="text1"/>
          <w:szCs w:val="21"/>
          <w14:textFill>
            <w14:solidFill>
              <w14:schemeClr w14:val="tx1"/>
            </w14:solidFill>
          </w14:textFill>
        </w:rPr>
      </w:pPr>
      <w:r>
        <w:rPr>
          <w:rFonts w:ascii="宋体"/>
          <w:b/>
          <w:bCs w:val="0"/>
          <w:color w:val="000000" w:themeColor="text1"/>
          <w:szCs w:val="21"/>
          <w14:textFill>
            <w14:solidFill>
              <w14:schemeClr w14:val="tx1"/>
            </w14:solidFill>
          </w14:textFill>
        </w:rPr>
        <w:t xml:space="preserve">  </w:t>
      </w:r>
      <w:bookmarkStart w:id="1709" w:name="_Toc26704"/>
      <w:r>
        <w:rPr>
          <w:rFonts w:hint="eastAsia" w:ascii="宋体"/>
          <w:b/>
          <w:color w:val="000000" w:themeColor="text1"/>
          <w:szCs w:val="21"/>
          <w14:textFill>
            <w14:solidFill>
              <w14:schemeClr w14:val="tx1"/>
            </w14:solidFill>
          </w14:textFill>
        </w:rPr>
        <w:t xml:space="preserve"> </w:t>
      </w:r>
      <w:bookmarkStart w:id="1710" w:name="_Toc29649"/>
      <w:bookmarkStart w:id="1711" w:name="_Toc12328"/>
      <w:r>
        <w:rPr>
          <w:rFonts w:hint="eastAsia" w:ascii="宋体"/>
          <w:b/>
          <w:color w:val="000000" w:themeColor="text1"/>
          <w:szCs w:val="21"/>
          <w14:textFill>
            <w14:solidFill>
              <w14:schemeClr w14:val="tx1"/>
            </w14:solidFill>
          </w14:textFill>
        </w:rPr>
        <w:t>评审项目投标资料表</w:t>
      </w:r>
      <w:bookmarkEnd w:id="1709"/>
      <w:bookmarkEnd w:id="1710"/>
      <w:bookmarkEnd w:id="1711"/>
    </w:p>
    <w:p>
      <w:pPr>
        <w:jc w:val="center"/>
        <w:rPr>
          <w:rFonts w:ascii="宋体" w:hAnsi="宋体" w:eastAsia="黑体"/>
          <w:b/>
          <w:color w:val="000000" w:themeColor="text1"/>
          <w:kern w:val="44"/>
          <w:szCs w:val="21"/>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2"/>
              <w:jc w:val="both"/>
              <w:rPr>
                <w:rFonts w:ascii="宋体" w:hAnsi="宋体" w:eastAsia="宋体" w:cs="Times New Roman"/>
                <w:color w:val="000000" w:themeColor="text1"/>
                <w:sz w:val="21"/>
                <w:szCs w:val="21"/>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14:textFill>
            <w14:solidFill>
              <w14:schemeClr w14:val="tx1"/>
            </w14:solidFill>
          </w14:textFill>
        </w:rPr>
      </w:pPr>
    </w:p>
    <w:p>
      <w:pPr>
        <w:adjustRightInd w:val="0"/>
        <w:snapToGrid w:val="0"/>
        <w:spacing w:line="30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bookmarkEnd w:id="1371"/>
    <w:bookmarkEnd w:id="1372"/>
    <w:bookmarkEnd w:id="1373"/>
    <w:bookmarkEnd w:id="1374"/>
    <w:bookmarkEnd w:id="1375"/>
    <w:p>
      <w:pPr>
        <w:tabs>
          <w:tab w:val="center" w:pos="4483"/>
        </w:tabs>
        <w:rPr>
          <w:rFonts w:ascii="宋体" w:hAnsi="宋体"/>
          <w:bCs/>
          <w:color w:val="000000" w:themeColor="text1"/>
          <w:szCs w:val="21"/>
          <w14:textFill>
            <w14:solidFill>
              <w14:schemeClr w14:val="tx1"/>
            </w14:solidFill>
          </w14:textFill>
        </w:rPr>
      </w:pPr>
      <w:bookmarkStart w:id="1712" w:name="_Toc467236768"/>
      <w:bookmarkStart w:id="1713" w:name="_Toc480010736"/>
      <w:bookmarkStart w:id="1714" w:name="_Toc491658679"/>
      <w:bookmarkStart w:id="1715" w:name="_Toc500861026"/>
      <w:bookmarkStart w:id="1716" w:name="_Toc468606057"/>
      <w:bookmarkStart w:id="1717" w:name="_Toc467987851"/>
      <w:bookmarkStart w:id="1718" w:name="_Toc454701405"/>
      <w:bookmarkStart w:id="1719" w:name="_Toc468157564"/>
      <w:bookmarkStart w:id="1720" w:name="_Toc6397150"/>
      <w:bookmarkStart w:id="1721" w:name="_Toc6727971"/>
      <w:bookmarkStart w:id="1722" w:name="_Toc480021081"/>
      <w:bookmarkStart w:id="1723" w:name="_Toc479991610"/>
      <w:bookmarkStart w:id="1724" w:name="_Toc480020285"/>
      <w:bookmarkStart w:id="1725" w:name="_Toc458262638"/>
    </w:p>
    <w:p>
      <w:pPr>
        <w:pStyle w:val="3"/>
        <w:numPr>
          <w:ilvl w:val="0"/>
          <w:numId w:val="0"/>
        </w:numPr>
        <w:rPr>
          <w:color w:val="000000" w:themeColor="text1"/>
          <w14:textFill>
            <w14:solidFill>
              <w14:schemeClr w14:val="tx1"/>
            </w14:solidFill>
          </w14:textFill>
        </w:rPr>
      </w:pPr>
      <w:bookmarkStart w:id="1726" w:name="_Toc13455"/>
      <w:bookmarkStart w:id="1727" w:name="_Toc31772"/>
      <w:bookmarkStart w:id="1728" w:name="_Toc11030"/>
      <w:r>
        <w:rPr>
          <w:rFonts w:hint="eastAsia"/>
          <w:color w:val="000000" w:themeColor="text1"/>
          <w14:textFill>
            <w14:solidFill>
              <w14:schemeClr w14:val="tx1"/>
            </w14:solidFill>
          </w14:textFill>
        </w:rPr>
        <w:t>（一）法定代表人（负责人）证明书</w:t>
      </w:r>
      <w:bookmarkEnd w:id="1726"/>
      <w:bookmarkEnd w:id="1727"/>
      <w:bookmarkEnd w:id="1728"/>
    </w:p>
    <w:p>
      <w:pPr>
        <w:pStyle w:val="5"/>
        <w:rPr>
          <w:color w:val="000000" w:themeColor="text1"/>
          <w14:textFill>
            <w14:solidFill>
              <w14:schemeClr w14:val="tx1"/>
            </w14:solidFill>
          </w14:textFill>
        </w:rPr>
      </w:pP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单位法定代表人（负责人）姓名     </w:t>
      </w:r>
      <w:r>
        <w:rPr>
          <w:rFonts w:hint="eastAsia" w:ascii="宋体" w:hAnsi="宋体"/>
          <w:color w:val="000000" w:themeColor="text1"/>
          <w14:textFill>
            <w14:solidFill>
              <w14:schemeClr w14:val="tx1"/>
            </w14:solidFill>
          </w14:textFill>
        </w:rPr>
        <w:t>同志，现任</w:t>
      </w:r>
      <w:r>
        <w:rPr>
          <w:rFonts w:hint="eastAsia" w:ascii="宋体" w:hAnsi="宋体"/>
          <w:color w:val="000000" w:themeColor="text1"/>
          <w:u w:val="single"/>
          <w14:textFill>
            <w14:solidFill>
              <w14:schemeClr w14:val="tx1"/>
            </w14:solidFill>
          </w14:textFill>
        </w:rPr>
        <w:t xml:space="preserve">       投标人名称                  </w:t>
      </w:r>
      <w:r>
        <w:rPr>
          <w:rFonts w:hint="eastAsia" w:ascii="宋体" w:hAnsi="宋体"/>
          <w:color w:val="000000" w:themeColor="text1"/>
          <w14:textFill>
            <w14:solidFill>
              <w14:schemeClr w14:val="tx1"/>
            </w14:solidFill>
          </w14:textFill>
        </w:rPr>
        <w:t>的</w:t>
      </w:r>
      <w:r>
        <w:rPr>
          <w:rFonts w:hint="eastAsia" w:ascii="宋体" w:hAnsi="宋体"/>
          <w:color w:val="000000" w:themeColor="text1"/>
          <w:u w:val="single"/>
          <w14:textFill>
            <w14:solidFill>
              <w14:schemeClr w14:val="tx1"/>
            </w14:solidFill>
          </w14:textFill>
        </w:rPr>
        <w:t xml:space="preserve">   职务    </w:t>
      </w:r>
      <w:r>
        <w:rPr>
          <w:rFonts w:hint="eastAsia" w:ascii="宋体" w:hAnsi="宋体"/>
          <w:color w:val="000000" w:themeColor="text1"/>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560" w:lineRule="exact"/>
        <w:ind w:firstLine="420" w:firstLineChars="20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签发单位：</w:t>
      </w:r>
      <w:r>
        <w:rPr>
          <w:rFonts w:hint="eastAsia" w:ascii="宋体" w:hAnsi="宋体"/>
          <w:color w:val="000000" w:themeColor="text1"/>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spacing w:line="560" w:lineRule="exact"/>
        <w:ind w:firstLine="420" w:firstLineChars="200"/>
        <w:rPr>
          <w:rFonts w:ascii="宋体" w:hAnsi="宋体"/>
          <w:color w:val="000000" w:themeColor="text1"/>
          <w14:textFill>
            <w14:solidFill>
              <w14:schemeClr w14:val="tx1"/>
            </w14:solidFill>
          </w14:textFill>
        </w:rPr>
      </w:pP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附：代表人性别：</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年龄：</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岁    </w:t>
      </w:r>
    </w:p>
    <w:p>
      <w:pPr>
        <w:spacing w:line="480" w:lineRule="exact"/>
        <w:ind w:firstLine="420" w:firstLineChars="200"/>
        <w:rPr>
          <w:rFonts w:ascii="宋体" w:hAnsi="宋体"/>
          <w:color w:val="000000" w:themeColor="text1"/>
          <w14:textFill>
            <w14:solidFill>
              <w14:schemeClr w14:val="tx1"/>
            </w14:solidFill>
          </w14:textFill>
        </w:rPr>
      </w:pPr>
    </w:p>
    <w:p>
      <w:pPr>
        <w:spacing w:line="4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14:textFill>
            <w14:solidFill>
              <w14:schemeClr w14:val="tx1"/>
            </w14:solidFill>
          </w14:textFill>
        </w:rPr>
      </w:pPr>
    </w:p>
    <w:p>
      <w:pPr>
        <w:pStyle w:val="5"/>
        <w:rPr>
          <w:rFonts w:hAnsi="宋体"/>
          <w:color w:val="000000" w:themeColor="text1"/>
          <w:sz w:val="21"/>
          <w14:textFill>
            <w14:solidFill>
              <w14:schemeClr w14:val="tx1"/>
            </w14:solidFill>
          </w14:textFill>
        </w:rPr>
      </w:pPr>
    </w:p>
    <w:p>
      <w:pPr>
        <w:pStyle w:val="5"/>
        <w:rPr>
          <w:color w:val="000000" w:themeColor="text1"/>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0" t="0" r="12065" b="1079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3"/>
        <w:numPr>
          <w:ilvl w:val="0"/>
          <w:numId w:val="0"/>
        </w:numPr>
        <w:rPr>
          <w:color w:val="000000" w:themeColor="text1"/>
          <w14:textFill>
            <w14:solidFill>
              <w14:schemeClr w14:val="tx1"/>
            </w14:solidFill>
          </w14:textFill>
        </w:rPr>
      </w:pPr>
      <w:bookmarkStart w:id="1729" w:name="_Toc25422"/>
      <w:bookmarkStart w:id="1730" w:name="_Toc27194"/>
      <w:bookmarkStart w:id="1731" w:name="_Toc6277"/>
      <w:r>
        <w:rPr>
          <w:rFonts w:hint="eastAsia"/>
          <w:color w:val="000000" w:themeColor="text1"/>
          <w14:textFill>
            <w14:solidFill>
              <w14:schemeClr w14:val="tx1"/>
            </w14:solidFill>
          </w14:textFill>
        </w:rPr>
        <w:t>（二）法定代表人（负责人）授权书</w:t>
      </w:r>
      <w:bookmarkEnd w:id="1729"/>
      <w:bookmarkEnd w:id="1730"/>
      <w:bookmarkEnd w:id="1731"/>
    </w:p>
    <w:p>
      <w:pPr>
        <w:spacing w:line="360" w:lineRule="auto"/>
        <w:ind w:firstLine="420" w:firstLineChars="200"/>
        <w:rPr>
          <w:rFonts w:ascii="宋体" w:hAnsi="宋体"/>
          <w:bCs/>
          <w:color w:val="000000" w:themeColor="text1"/>
          <w:kern w:val="0"/>
          <w14:textFill>
            <w14:solidFill>
              <w14:schemeClr w14:val="tx1"/>
            </w14:solidFill>
          </w14:textFill>
        </w:rPr>
      </w:pPr>
    </w:p>
    <w:p>
      <w:pPr>
        <w:spacing w:line="360" w:lineRule="auto"/>
        <w:ind w:firstLine="420" w:firstLineChars="200"/>
        <w:rPr>
          <w:color w:val="000000" w:themeColor="text1"/>
          <w14:textFill>
            <w14:solidFill>
              <w14:schemeClr w14:val="tx1"/>
            </w14:solidFill>
          </w14:textFill>
        </w:rPr>
      </w:pPr>
      <w:r>
        <w:rPr>
          <w:rFonts w:hint="eastAsia" w:ascii="宋体" w:hAnsi="宋体"/>
          <w:bCs/>
          <w:color w:val="000000" w:themeColor="text1"/>
          <w:kern w:val="0"/>
          <w14:textFill>
            <w14:solidFill>
              <w14:schemeClr w14:val="tx1"/>
            </w14:solidFill>
          </w14:textFill>
        </w:rPr>
        <w:t>本授权委托书声明：我</w:t>
      </w:r>
      <w:r>
        <w:rPr>
          <w:rFonts w:hint="eastAsia" w:ascii="宋体" w:hAnsi="宋体"/>
          <w:bCs/>
          <w:color w:val="000000" w:themeColor="text1"/>
          <w:kern w:val="0"/>
          <w:u w:val="single"/>
          <w14:textFill>
            <w14:solidFill>
              <w14:schemeClr w14:val="tx1"/>
            </w14:solidFill>
          </w14:textFill>
        </w:rPr>
        <w:t xml:space="preserve">       （单位法定代表人（负责人）姓名）</w:t>
      </w:r>
      <w:r>
        <w:rPr>
          <w:rFonts w:hint="eastAsia" w:ascii="宋体" w:hAnsi="宋体"/>
          <w:bCs/>
          <w:color w:val="000000" w:themeColor="text1"/>
          <w:kern w:val="0"/>
          <w14:textFill>
            <w14:solidFill>
              <w14:schemeClr w14:val="tx1"/>
            </w14:solidFill>
          </w14:textFill>
        </w:rPr>
        <w:t xml:space="preserve"> 系</w:t>
      </w:r>
      <w:r>
        <w:rPr>
          <w:rFonts w:hint="eastAsia" w:ascii="宋体" w:hAnsi="宋体"/>
          <w:bCs/>
          <w:color w:val="000000" w:themeColor="text1"/>
          <w:kern w:val="0"/>
          <w:u w:val="single"/>
          <w14:textFill>
            <w14:solidFill>
              <w14:schemeClr w14:val="tx1"/>
            </w14:solidFill>
          </w14:textFill>
        </w:rPr>
        <w:t xml:space="preserve">       （投标人名称）</w:t>
      </w:r>
      <w:r>
        <w:rPr>
          <w:rFonts w:hint="eastAsia" w:ascii="宋体" w:hAnsi="宋体"/>
          <w:bCs/>
          <w:color w:val="000000" w:themeColor="text1"/>
          <w:kern w:val="0"/>
          <w14:textFill>
            <w14:solidFill>
              <w14:schemeClr w14:val="tx1"/>
            </w14:solidFill>
          </w14:textFill>
        </w:rPr>
        <w:t>的法定代表人（负责人），现授权委托</w:t>
      </w:r>
      <w:r>
        <w:rPr>
          <w:rFonts w:hint="eastAsia" w:ascii="宋体" w:hAnsi="宋体"/>
          <w:bCs/>
          <w:color w:val="000000" w:themeColor="text1"/>
          <w:kern w:val="0"/>
          <w:u w:val="single"/>
          <w14:textFill>
            <w14:solidFill>
              <w14:schemeClr w14:val="tx1"/>
            </w14:solidFill>
          </w14:textFill>
        </w:rPr>
        <w:t xml:space="preserve">                        （投标人名称）</w:t>
      </w:r>
      <w:r>
        <w:rPr>
          <w:rFonts w:hint="eastAsia" w:ascii="宋体" w:hAnsi="宋体"/>
          <w:bCs/>
          <w:color w:val="000000" w:themeColor="text1"/>
          <w:kern w:val="0"/>
          <w14:textFill>
            <w14:solidFill>
              <w14:schemeClr w14:val="tx1"/>
            </w14:solidFill>
          </w14:textFill>
        </w:rPr>
        <w:t>的</w:t>
      </w:r>
      <w:r>
        <w:rPr>
          <w:rFonts w:hint="eastAsia" w:ascii="宋体" w:hAnsi="宋体"/>
          <w:bCs/>
          <w:color w:val="000000" w:themeColor="text1"/>
          <w:kern w:val="0"/>
          <w:u w:val="single"/>
          <w14:textFill>
            <w14:solidFill>
              <w14:schemeClr w14:val="tx1"/>
            </w14:solidFill>
          </w14:textFill>
        </w:rPr>
        <w:t xml:space="preserve">            （代理人姓名）</w:t>
      </w:r>
      <w:r>
        <w:rPr>
          <w:rFonts w:hint="eastAsia" w:ascii="宋体" w:hAnsi="宋体"/>
          <w:bCs/>
          <w:color w:val="000000" w:themeColor="text1"/>
          <w:kern w:val="0"/>
          <w14:textFill>
            <w14:solidFill>
              <w14:schemeClr w14:val="tx1"/>
            </w14:solidFill>
          </w14:textFill>
        </w:rPr>
        <w:t>为我公司代理人，以本公司的名义参加广东业信采购招标有限公司组织的</w:t>
      </w:r>
      <w:r>
        <w:rPr>
          <w:rFonts w:hint="eastAsia"/>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招标（</w:t>
      </w:r>
      <w:r>
        <w:rPr>
          <w:rFonts w:hint="eastAsia"/>
          <w:color w:val="000000" w:themeColor="text1"/>
          <w:szCs w:val="21"/>
          <w14:textFill>
            <w14:solidFill>
              <w14:schemeClr w14:val="tx1"/>
            </w14:solidFill>
          </w14:textFill>
        </w:rPr>
        <w:t>项目编号：</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w:t>
      </w:r>
      <w:r>
        <w:rPr>
          <w:rFonts w:hint="eastAsia" w:ascii="宋体" w:hAnsi="宋体"/>
          <w:bCs/>
          <w:color w:val="000000" w:themeColor="text1"/>
          <w:kern w:val="0"/>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14:textFill>
            <w14:solidFill>
              <w14:schemeClr w14:val="tx1"/>
            </w14:solidFill>
          </w14:textFill>
        </w:rPr>
      </w:pP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w:t>
      </w:r>
      <w:r>
        <w:rPr>
          <w:rFonts w:hint="eastAsia" w:ascii="宋体" w:hAnsi="宋体"/>
          <w:bCs/>
          <w:color w:val="000000" w:themeColor="text1"/>
          <w:kern w:val="0"/>
          <w:u w:val="single"/>
          <w14:textFill>
            <w14:solidFill>
              <w14:schemeClr w14:val="tx1"/>
            </w14:solidFill>
          </w14:textFill>
        </w:rPr>
        <w:t xml:space="preserve">   </w:t>
      </w:r>
      <w:r>
        <w:rPr>
          <w:rFonts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性别：</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年龄：</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职务：</w:t>
      </w:r>
      <w:r>
        <w:rPr>
          <w:rFonts w:hint="eastAsia" w:ascii="宋体" w:hAnsi="宋体"/>
          <w:bCs/>
          <w:color w:val="000000" w:themeColor="text1"/>
          <w:kern w:val="0"/>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投标人：</w:t>
      </w:r>
      <w:r>
        <w:rPr>
          <w:rFonts w:hint="eastAsia" w:ascii="宋体" w:hAnsi="宋体"/>
          <w:bCs/>
          <w:color w:val="000000" w:themeColor="text1"/>
          <w:kern w:val="0"/>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法定代表人（负责人）：</w:t>
      </w:r>
      <w:r>
        <w:rPr>
          <w:rFonts w:hint="eastAsia" w:ascii="宋体" w:hAnsi="宋体"/>
          <w:bCs/>
          <w:color w:val="000000" w:themeColor="text1"/>
          <w:kern w:val="0"/>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14:textFill>
            <w14:solidFill>
              <w14:schemeClr w14:val="tx1"/>
            </w14:solidFill>
          </w14:textFill>
        </w:rPr>
      </w:pP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0" t="0" r="21590" b="2349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3"/>
        <w:numPr>
          <w:ilvl w:val="0"/>
          <w:numId w:val="0"/>
        </w:numPr>
        <w:rPr>
          <w:color w:val="000000" w:themeColor="text1"/>
          <w14:textFill>
            <w14:solidFill>
              <w14:schemeClr w14:val="tx1"/>
            </w14:solidFill>
          </w14:textFill>
        </w:rPr>
      </w:pPr>
      <w:bookmarkStart w:id="1732" w:name="_Toc342296782"/>
      <w:bookmarkStart w:id="1733" w:name="_Toc343247121"/>
      <w:bookmarkStart w:id="1734" w:name="_Toc333935708"/>
      <w:bookmarkStart w:id="1735" w:name="_Toc333935367"/>
      <w:bookmarkStart w:id="1736" w:name="_Toc341348361"/>
      <w:bookmarkStart w:id="1737" w:name="_Toc333237699"/>
      <w:bookmarkStart w:id="1738" w:name="_Toc342312464"/>
      <w:bookmarkStart w:id="1739" w:name="_Toc345312618"/>
      <w:bookmarkStart w:id="1740" w:name="_Toc342398151"/>
      <w:bookmarkStart w:id="1741" w:name="_Toc342060396"/>
      <w:bookmarkStart w:id="1742" w:name="_Toc339020036"/>
      <w:bookmarkStart w:id="1743" w:name="_Toc331512922"/>
      <w:bookmarkStart w:id="1744" w:name="_Toc331684063"/>
      <w:bookmarkStart w:id="1745" w:name="_Toc365967093"/>
      <w:bookmarkStart w:id="1746" w:name="_Toc343248439"/>
      <w:bookmarkStart w:id="1747" w:name="_Toc350438770"/>
      <w:bookmarkStart w:id="1748" w:name="_Toc340672890"/>
      <w:bookmarkStart w:id="1749" w:name="_Toc366072550"/>
      <w:bookmarkStart w:id="1750" w:name="_Toc350756471"/>
      <w:bookmarkStart w:id="1751" w:name="_Toc7784"/>
      <w:bookmarkStart w:id="1752" w:name="_Toc333238655"/>
      <w:bookmarkStart w:id="1753" w:name="_Toc339019910"/>
      <w:bookmarkStart w:id="1754" w:name="_Toc333237810"/>
      <w:bookmarkStart w:id="1755" w:name="_Toc332270368"/>
      <w:bookmarkStart w:id="1756" w:name="_Toc340677091"/>
      <w:bookmarkStart w:id="1757" w:name="_Toc9796"/>
      <w:bookmarkStart w:id="1758" w:name="_Toc339362321"/>
      <w:bookmarkStart w:id="1759" w:name="_Toc336681601"/>
      <w:bookmarkStart w:id="1760" w:name="_Toc332206730"/>
      <w:bookmarkStart w:id="1761" w:name="_Toc340507463"/>
      <w:bookmarkStart w:id="1762" w:name="_Toc365985199"/>
      <w:bookmarkStart w:id="1763" w:name="_Toc336681956"/>
      <w:bookmarkStart w:id="1764" w:name="_Toc337632379"/>
      <w:bookmarkStart w:id="1765" w:name="_Toc330460007"/>
      <w:bookmarkStart w:id="1766" w:name="_Toc339441108"/>
      <w:bookmarkStart w:id="1767" w:name="_Toc339020254"/>
      <w:bookmarkStart w:id="1768" w:name="_Toc339020116"/>
      <w:bookmarkStart w:id="1769" w:name="_Toc343612941"/>
      <w:r>
        <w:rPr>
          <w:rFonts w:hint="eastAsia"/>
          <w:color w:val="000000" w:themeColor="text1"/>
          <w14:textFill>
            <w14:solidFill>
              <w14:schemeClr w14:val="tx1"/>
            </w14:solidFill>
          </w14:textFill>
        </w:rPr>
        <w:t>附件一：投标</w:t>
      </w:r>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r>
        <w:rPr>
          <w:rFonts w:hint="eastAsia"/>
          <w:color w:val="000000" w:themeColor="text1"/>
          <w14:textFill>
            <w14:solidFill>
              <w14:schemeClr w14:val="tx1"/>
            </w14:solidFill>
          </w14:textFill>
        </w:rPr>
        <w:t>函</w:t>
      </w:r>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p>
    <w:p>
      <w:pPr>
        <w:widowControl/>
        <w:spacing w:line="400" w:lineRule="exact"/>
        <w:jc w:val="left"/>
        <w:rPr>
          <w:rFonts w:ascii="宋体" w:hAnsi="宋体" w:cs="宋体"/>
          <w:b/>
          <w:color w:val="000000" w:themeColor="text1"/>
          <w:kern w:val="0"/>
          <w:sz w:val="24"/>
          <w:u w:val="single"/>
          <w14:textFill>
            <w14:solidFill>
              <w14:schemeClr w14:val="tx1"/>
            </w14:solidFill>
          </w14:textFill>
        </w:rPr>
      </w:pPr>
      <w:r>
        <w:rPr>
          <w:rFonts w:ascii="宋体" w:hAnsi="宋体"/>
          <w:b/>
          <w:bCs/>
          <w:color w:val="000000" w:themeColor="text1"/>
          <w14:textFill>
            <w14:solidFill>
              <w14:schemeClr w14:val="tx1"/>
            </w14:solidFill>
          </w14:textFill>
        </w:rPr>
        <w:t>致</w:t>
      </w:r>
      <w:r>
        <w:rPr>
          <w:rFonts w:ascii="宋体" w:hAnsi="宋体"/>
          <w:b/>
          <w:bCs/>
          <w:color w:val="000000" w:themeColor="text1"/>
          <w:u w:val="single"/>
          <w14:textFill>
            <w14:solidFill>
              <w14:schemeClr w14:val="tx1"/>
            </w14:solidFill>
          </w14:textFill>
        </w:rPr>
        <w:t>（</w:t>
      </w:r>
      <w:r>
        <w:rPr>
          <w:rFonts w:hint="eastAsia" w:ascii="宋体" w:hAnsi="宋体"/>
          <w:b/>
          <w:bCs/>
          <w:color w:val="000000" w:themeColor="text1"/>
          <w:u w:val="single"/>
          <w14:textFill>
            <w14:solidFill>
              <w14:schemeClr w14:val="tx1"/>
            </w14:solidFill>
          </w14:textFill>
        </w:rPr>
        <w:t>招标人名称</w:t>
      </w:r>
      <w:r>
        <w:rPr>
          <w:rFonts w:ascii="宋体" w:hAnsi="宋体"/>
          <w:b/>
          <w:bCs/>
          <w:color w:val="000000" w:themeColor="text1"/>
          <w:u w:val="single"/>
          <w14:textFill>
            <w14:solidFill>
              <w14:schemeClr w14:val="tx1"/>
            </w14:solidFill>
          </w14:textFill>
        </w:rPr>
        <w:t>）           </w:t>
      </w:r>
      <w:r>
        <w:rPr>
          <w:rFonts w:ascii="宋体" w:hAnsi="宋体" w:cs="宋体"/>
          <w:b/>
          <w:color w:val="000000" w:themeColor="text1"/>
          <w:kern w:val="0"/>
          <w:sz w:val="24"/>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根据贵方就</w:t>
      </w:r>
      <w:r>
        <w:rPr>
          <w:rFonts w:hint="eastAsia" w:hAnsi="宋体" w:cs="宋体"/>
          <w:b/>
          <w:color w:val="000000" w:themeColor="text1"/>
          <w:szCs w:val="21"/>
          <w:u w:val="single"/>
          <w14:textFill>
            <w14:solidFill>
              <w14:schemeClr w14:val="tx1"/>
            </w14:solidFill>
          </w14:textFill>
        </w:rPr>
        <w:t>项目名称</w:t>
      </w:r>
      <w:r>
        <w:rPr>
          <w:rFonts w:hint="eastAsia" w:ascii="宋体" w:hAnsi="宋体" w:cs="宋体"/>
          <w:b/>
          <w:color w:val="000000" w:themeColor="text1"/>
          <w:szCs w:val="21"/>
          <w:u w:val="single"/>
          <w14:textFill>
            <w14:solidFill>
              <w14:schemeClr w14:val="tx1"/>
            </w14:solidFill>
          </w14:textFill>
        </w:rPr>
        <w:t xml:space="preserve">，由投标人填写    </w:t>
      </w:r>
      <w:r>
        <w:rPr>
          <w:rFonts w:hint="eastAsia" w:ascii="宋体" w:hAnsi="宋体"/>
          <w:b/>
          <w:bCs/>
          <w:color w:val="000000" w:themeColor="text1"/>
          <w14:textFill>
            <w14:solidFill>
              <w14:schemeClr w14:val="tx1"/>
            </w14:solidFill>
          </w14:textFill>
        </w:rPr>
        <w:t>的投标邀请（项目编号: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），我方正式响应投标并提交投标文件</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份正本和</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份副本，</w:t>
      </w:r>
      <w:r>
        <w:rPr>
          <w:rFonts w:hint="eastAsia" w:ascii="宋体" w:hAnsi="宋体"/>
          <w:b/>
          <w:color w:val="000000" w:themeColor="text1"/>
          <w:kern w:val="0"/>
          <w:szCs w:val="21"/>
          <w14:textFill>
            <w14:solidFill>
              <w14:schemeClr w14:val="tx1"/>
            </w14:solidFill>
          </w14:textFill>
        </w:rPr>
        <w:t>电子文件</w:t>
      </w:r>
      <w:r>
        <w:rPr>
          <w:rFonts w:hint="eastAsia" w:ascii="宋体" w:hAnsi="宋体"/>
          <w:b/>
          <w:color w:val="000000" w:themeColor="text1"/>
          <w:kern w:val="0"/>
          <w:szCs w:val="21"/>
          <w:u w:val="single"/>
          <w14:textFill>
            <w14:solidFill>
              <w14:schemeClr w14:val="tx1"/>
            </w14:solidFill>
          </w14:textFill>
        </w:rPr>
        <w:t xml:space="preserve">    </w:t>
      </w:r>
      <w:r>
        <w:rPr>
          <w:rFonts w:hint="eastAsia" w:ascii="宋体" w:hAnsi="宋体"/>
          <w:b/>
          <w:color w:val="000000" w:themeColor="text1"/>
          <w:kern w:val="0"/>
          <w:szCs w:val="21"/>
          <w14:textFill>
            <w14:solidFill>
              <w14:schemeClr w14:val="tx1"/>
            </w14:solidFill>
          </w14:textFill>
        </w:rPr>
        <w:t>份</w:t>
      </w:r>
      <w:r>
        <w:rPr>
          <w:rFonts w:hint="eastAsia" w:ascii="宋体" w:hAnsi="宋体"/>
          <w:b/>
          <w:bCs/>
          <w:color w:val="000000" w:themeColor="text1"/>
          <w14:textFill>
            <w14:solidFill>
              <w14:schemeClr w14:val="tx1"/>
            </w14:solidFill>
          </w14:textFill>
        </w:rPr>
        <w:t>。</w:t>
      </w:r>
    </w:p>
    <w:p>
      <w:pPr>
        <w:widowControl/>
        <w:tabs>
          <w:tab w:val="left" w:pos="840"/>
        </w:tabs>
        <w:adjustRightInd w:val="0"/>
        <w:snapToGrid w:val="0"/>
        <w:rPr>
          <w:rFonts w:ascii="宋体" w:hAnsi="宋体"/>
          <w:b/>
          <w:bCs/>
          <w:color w:val="000000" w:themeColor="text1"/>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以</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形式提交的投标保证金，金额为大写</w:t>
      </w:r>
      <w:r>
        <w:rPr>
          <w:rFonts w:hint="eastAsia" w:ascii="宋体"/>
          <w:b/>
          <w:color w:val="000000" w:themeColor="text1"/>
          <w14:textFill>
            <w14:solidFill>
              <w14:schemeClr w14:val="tx1"/>
            </w14:solidFill>
          </w14:textFill>
        </w:rPr>
        <w:t>人民币</w:t>
      </w:r>
      <w:r>
        <w:rPr>
          <w:rFonts w:hint="eastAsia" w:ascii="宋体"/>
          <w:b/>
          <w:color w:val="000000" w:themeColor="text1"/>
          <w:u w:val="single"/>
          <w14:textFill>
            <w14:solidFill>
              <w14:schemeClr w14:val="tx1"/>
            </w14:solidFill>
          </w14:textFill>
        </w:rPr>
        <w:t xml:space="preserve">             </w:t>
      </w:r>
      <w:r>
        <w:rPr>
          <w:rFonts w:hint="eastAsia" w:ascii="宋体"/>
          <w:b/>
          <w:color w:val="000000" w:themeColor="text1"/>
          <w14:textFill>
            <w14:solidFill>
              <w14:schemeClr w14:val="tx1"/>
            </w14:solidFill>
          </w14:textFill>
        </w:rPr>
        <w:t>（</w:t>
      </w:r>
      <w:r>
        <w:rPr>
          <w:rFonts w:hint="eastAsia" w:ascii="宋体"/>
          <w:b/>
          <w:bCs/>
          <w:color w:val="000000" w:themeColor="text1"/>
          <w14:textFill>
            <w14:solidFill>
              <w14:schemeClr w14:val="tx1"/>
            </w14:solidFill>
          </w14:textFill>
        </w:rPr>
        <w:t>￥</w:t>
      </w:r>
      <w:r>
        <w:rPr>
          <w:rFonts w:hint="eastAsia" w:ascii="宋体"/>
          <w:b/>
          <w:bCs/>
          <w:color w:val="000000" w:themeColor="text1"/>
          <w:u w:val="single"/>
          <w14:textFill>
            <w14:solidFill>
              <w14:schemeClr w14:val="tx1"/>
            </w14:solidFill>
          </w14:textFill>
        </w:rPr>
        <w:t xml:space="preserve">          </w:t>
      </w:r>
      <w:r>
        <w:rPr>
          <w:rFonts w:hint="eastAsia" w:ascii="宋体"/>
          <w:b/>
          <w:bCs/>
          <w:color w:val="000000" w:themeColor="text1"/>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据此函，签字代表宣布同意如下：</w:t>
      </w:r>
    </w:p>
    <w:p>
      <w:pPr>
        <w:widowControl/>
        <w:numPr>
          <w:ilvl w:val="0"/>
          <w:numId w:val="35"/>
        </w:numPr>
        <w:tabs>
          <w:tab w:val="left" w:pos="640"/>
        </w:tabs>
        <w:adjustRightInd w:val="0"/>
        <w:snapToGrid w:val="0"/>
        <w:spacing w:line="360" w:lineRule="auto"/>
        <w:ind w:left="428" w:leftChars="200" w:hanging="8"/>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所附投标价格表中规定的应提交和交付的投标总价为人民币：</w:t>
      </w:r>
      <w:r>
        <w:rPr>
          <w:rFonts w:hint="eastAsia" w:ascii="宋体" w:hAnsi="宋体"/>
          <w:color w:val="000000" w:themeColor="text1"/>
          <w:u w:val="single"/>
          <w14:textFill>
            <w14:solidFill>
              <w14:schemeClr w14:val="tx1"/>
            </w14:solidFill>
          </w14:textFill>
        </w:rPr>
        <w:t xml:space="preserve"> （用文字和数字表示的投标总价）  </w:t>
      </w:r>
      <w:r>
        <w:rPr>
          <w:rFonts w:hint="eastAsia" w:ascii="宋体" w:hAnsi="宋体"/>
          <w:color w:val="000000" w:themeColor="text1"/>
          <w14:textFill>
            <w14:solidFill>
              <w14:schemeClr w14:val="tx1"/>
            </w14:solidFill>
          </w14:textFill>
        </w:rPr>
        <w:t>。</w:t>
      </w:r>
    </w:p>
    <w:p>
      <w:pPr>
        <w:pStyle w:val="242"/>
        <w:numPr>
          <w:ilvl w:val="0"/>
          <w:numId w:val="0"/>
        </w:numPr>
        <w:tabs>
          <w:tab w:val="left" w:pos="640"/>
        </w:tabs>
        <w:spacing w:line="360" w:lineRule="auto"/>
        <w:ind w:left="428" w:leftChars="200" w:hanging="8"/>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2、为采购项目提供整体设计、规范编制或者项目管理、监理、检测等服务的供应商，不得再参加该采购项目的其他采购活动。</w:t>
      </w:r>
    </w:p>
    <w:p>
      <w:pPr>
        <w:pStyle w:val="242"/>
        <w:numPr>
          <w:ilvl w:val="0"/>
          <w:numId w:val="0"/>
        </w:numPr>
        <w:tabs>
          <w:tab w:val="left" w:pos="640"/>
        </w:tabs>
        <w:spacing w:line="360" w:lineRule="auto"/>
        <w:ind w:left="428" w:leftChars="200" w:hanging="8"/>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3、单位负责人为同一人或者存在直接控股、管理关系的不同供应商，不得参加同一合同项下的政府采购活动。</w:t>
      </w:r>
    </w:p>
    <w:p>
      <w:pPr>
        <w:widowControl/>
        <w:tabs>
          <w:tab w:val="left" w:pos="640"/>
        </w:tabs>
        <w:adjustRightInd w:val="0"/>
        <w:snapToGrid w:val="0"/>
        <w:spacing w:line="360" w:lineRule="auto"/>
        <w:ind w:left="428" w:leftChars="200" w:hanging="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4、本次投标所报内容完全按照招标文件要求填报，所有内容都是真实、准确的。</w:t>
      </w:r>
    </w:p>
    <w:p>
      <w:pPr>
        <w:widowControl/>
        <w:tabs>
          <w:tab w:val="left" w:pos="640"/>
        </w:tabs>
        <w:adjustRightInd w:val="0"/>
        <w:snapToGrid w:val="0"/>
        <w:spacing w:line="360" w:lineRule="auto"/>
        <w:ind w:left="428" w:leftChars="200" w:hanging="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5、投标人将按招标文件的规定履行全部合同责任和义务。</w:t>
      </w:r>
    </w:p>
    <w:p>
      <w:pPr>
        <w:widowControl/>
        <w:tabs>
          <w:tab w:val="left" w:pos="640"/>
        </w:tabs>
        <w:adjustRightInd w:val="0"/>
        <w:snapToGrid w:val="0"/>
        <w:spacing w:line="360" w:lineRule="auto"/>
        <w:ind w:left="428" w:leftChars="200" w:hanging="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6、投标人已详细审查全部招标文件，包括修改文件（如有的话）以及全部参考资料和有关附件。我们完全理解并同意放弃对这方面有不明及误解的权利。</w:t>
      </w:r>
    </w:p>
    <w:p>
      <w:pPr>
        <w:widowControl/>
        <w:tabs>
          <w:tab w:val="left" w:pos="640"/>
        </w:tabs>
        <w:adjustRightInd w:val="0"/>
        <w:snapToGrid w:val="0"/>
        <w:spacing w:line="360" w:lineRule="auto"/>
        <w:ind w:left="428" w:leftChars="200" w:hanging="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7、本次投标自开标日起有效期为90天。</w:t>
      </w:r>
    </w:p>
    <w:p>
      <w:pPr>
        <w:widowControl/>
        <w:tabs>
          <w:tab w:val="left" w:pos="640"/>
        </w:tabs>
        <w:adjustRightInd w:val="0"/>
        <w:snapToGrid w:val="0"/>
        <w:spacing w:line="360" w:lineRule="auto"/>
        <w:ind w:left="428" w:leftChars="200" w:hanging="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8、如果在规定的开标时间后，投标人在投标有效期内撤回投标文件，投标保证金将被贵</w:t>
      </w:r>
      <w:r>
        <w:rPr>
          <w:rFonts w:hint="eastAsia" w:ascii="宋体" w:hAnsi="宋体"/>
          <w:color w:val="000000" w:themeColor="text1"/>
          <w:szCs w:val="21"/>
          <w14:textFill>
            <w14:solidFill>
              <w14:schemeClr w14:val="tx1"/>
            </w14:solidFill>
          </w14:textFill>
        </w:rPr>
        <w:t>方</w:t>
      </w:r>
      <w:r>
        <w:rPr>
          <w:rFonts w:hint="eastAsia" w:ascii="宋体" w:hAnsi="宋体"/>
          <w:bCs/>
          <w:color w:val="000000" w:themeColor="text1"/>
          <w14:textFill>
            <w14:solidFill>
              <w14:schemeClr w14:val="tx1"/>
            </w14:solidFill>
          </w14:textFill>
        </w:rPr>
        <w:t>不予退还。</w:t>
      </w:r>
    </w:p>
    <w:p>
      <w:pPr>
        <w:widowControl/>
        <w:tabs>
          <w:tab w:val="left" w:pos="640"/>
        </w:tabs>
        <w:adjustRightInd w:val="0"/>
        <w:snapToGrid w:val="0"/>
        <w:spacing w:line="360" w:lineRule="auto"/>
        <w:ind w:left="428" w:leftChars="200" w:hanging="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9、投标人同意提供按照贵方可能要求与其投标有关的一切数据或资料，完全理解贵方不一定接受最低价的投标或收到的任何投标。</w:t>
      </w:r>
    </w:p>
    <w:p>
      <w:pPr>
        <w:widowControl/>
        <w:tabs>
          <w:tab w:val="left" w:pos="640"/>
        </w:tabs>
        <w:adjustRightInd w:val="0"/>
        <w:snapToGrid w:val="0"/>
        <w:spacing w:line="360" w:lineRule="auto"/>
        <w:ind w:left="428" w:leftChars="200" w:hanging="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10、与本投标有关的一切正式往来通讯请寄至投标文件封面指定地址、联系方式。</w:t>
      </w:r>
    </w:p>
    <w:p>
      <w:pPr>
        <w:adjustRightInd w:val="0"/>
        <w:snapToGrid w:val="0"/>
        <w:spacing w:line="400" w:lineRule="exact"/>
        <w:ind w:left="428" w:leftChars="200" w:hanging="8"/>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23"/>
        <w:spacing w:line="400" w:lineRule="exac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14:textFill>
            <w14:solidFill>
              <w14:schemeClr w14:val="tx1"/>
            </w14:solidFill>
          </w14:textFill>
        </w:rPr>
      </w:pPr>
    </w:p>
    <w:p>
      <w:pPr>
        <w:pStyle w:val="3"/>
        <w:numPr>
          <w:ilvl w:val="0"/>
          <w:numId w:val="0"/>
        </w:numPr>
        <w:spacing w:line="400" w:lineRule="exact"/>
        <w:rPr>
          <w:color w:val="000000" w:themeColor="text1"/>
          <w14:textFill>
            <w14:solidFill>
              <w14:schemeClr w14:val="tx1"/>
            </w14:solidFill>
          </w14:textFill>
        </w:rPr>
      </w:pPr>
      <w:bookmarkStart w:id="1770" w:name="_Hlt16935467"/>
      <w:bookmarkEnd w:id="1770"/>
      <w:bookmarkStart w:id="1771" w:name="_Toc333935368"/>
      <w:bookmarkStart w:id="1772" w:name="_Toc345312619"/>
      <w:bookmarkStart w:id="1773" w:name="_Toc336681602"/>
      <w:bookmarkStart w:id="1774" w:name="_Toc343248440"/>
      <w:bookmarkStart w:id="1775" w:name="_Toc333237811"/>
      <w:bookmarkStart w:id="1776" w:name="_Toc339020037"/>
      <w:bookmarkStart w:id="1777" w:name="_Toc343247122"/>
      <w:bookmarkStart w:id="1778" w:name="_Toc331684064"/>
      <w:bookmarkStart w:id="1779" w:name="_Toc10135"/>
      <w:bookmarkStart w:id="1780" w:name="_Toc341348362"/>
      <w:bookmarkStart w:id="1781" w:name="_Toc339362322"/>
      <w:bookmarkStart w:id="1782" w:name="_Toc339020117"/>
      <w:bookmarkStart w:id="1783" w:name="_Toc342312465"/>
      <w:bookmarkStart w:id="1784" w:name="_Toc332270369"/>
      <w:bookmarkStart w:id="1785" w:name="_Toc337632380"/>
      <w:bookmarkStart w:id="1786" w:name="_Toc365967094"/>
      <w:bookmarkStart w:id="1787" w:name="_Toc333237700"/>
      <w:bookmarkStart w:id="1788" w:name="_Toc343612942"/>
      <w:bookmarkStart w:id="1789" w:name="_Toc366072551"/>
      <w:bookmarkStart w:id="1790" w:name="_Toc350438771"/>
      <w:bookmarkStart w:id="1791" w:name="_Toc330460008"/>
      <w:bookmarkStart w:id="1792" w:name="_Toc339020255"/>
      <w:bookmarkStart w:id="1793" w:name="_Toc342398152"/>
      <w:bookmarkStart w:id="1794" w:name="_Toc340507464"/>
      <w:bookmarkStart w:id="1795" w:name="_Toc18803"/>
      <w:bookmarkStart w:id="1796" w:name="_Toc339441109"/>
      <w:bookmarkStart w:id="1797" w:name="_Toc333935709"/>
      <w:bookmarkStart w:id="1798" w:name="_Toc350756472"/>
      <w:bookmarkStart w:id="1799" w:name="_Toc340677092"/>
      <w:bookmarkStart w:id="1800" w:name="_Toc342296783"/>
      <w:bookmarkStart w:id="1801" w:name="_Toc340672891"/>
      <w:bookmarkStart w:id="1802" w:name="_Toc78816017"/>
      <w:bookmarkStart w:id="1803" w:name="_Toc342060397"/>
      <w:bookmarkStart w:id="1804" w:name="_Toc333238656"/>
      <w:bookmarkStart w:id="1805" w:name="_Toc332206731"/>
      <w:bookmarkStart w:id="1806" w:name="_Toc365985200"/>
      <w:bookmarkStart w:id="1807" w:name="_Toc331512923"/>
      <w:bookmarkStart w:id="1808" w:name="_Toc339019911"/>
      <w:bookmarkStart w:id="1809" w:name="_Toc336681957"/>
      <w:r>
        <w:rPr>
          <w:rFonts w:hint="eastAsia"/>
          <w:color w:val="000000" w:themeColor="text1"/>
          <w14:textFill>
            <w14:solidFill>
              <w14:schemeClr w14:val="tx1"/>
            </w14:solidFill>
          </w14:textFill>
        </w:rPr>
        <w:t>附件二：开标一览表</w:t>
      </w:r>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tc>
        <w:tc>
          <w:tcPr>
            <w:tcW w:w="2719" w:type="dxa"/>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投标总价</w:t>
            </w:r>
          </w:p>
        </w:tc>
        <w:tc>
          <w:tcPr>
            <w:tcW w:w="1673" w:type="dxa"/>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服务期</w:t>
            </w:r>
          </w:p>
        </w:tc>
        <w:tc>
          <w:tcPr>
            <w:tcW w:w="689"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14:textFill>
                  <w14:solidFill>
                    <w14:schemeClr w14:val="tx1"/>
                  </w14:solidFill>
                </w14:textFill>
              </w:rPr>
            </w:pPr>
          </w:p>
        </w:tc>
        <w:tc>
          <w:tcPr>
            <w:tcW w:w="2719" w:type="dxa"/>
            <w:vAlign w:val="center"/>
          </w:tcPr>
          <w:p>
            <w:pPr>
              <w:spacing w:line="2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大写：</w:t>
            </w:r>
          </w:p>
          <w:p>
            <w:pPr>
              <w:spacing w:line="260" w:lineRule="exact"/>
              <w:rPr>
                <w:rFonts w:ascii="宋体" w:hAnsi="宋体"/>
                <w:bCs/>
                <w:color w:val="000000" w:themeColor="text1"/>
                <w14:textFill>
                  <w14:solidFill>
                    <w14:schemeClr w14:val="tx1"/>
                  </w14:solidFill>
                </w14:textFill>
              </w:rPr>
            </w:pPr>
          </w:p>
          <w:p>
            <w:pPr>
              <w:spacing w:line="260" w:lineRule="exact"/>
              <w:rPr>
                <w:rFonts w:ascii="宋体" w:hAnsi="宋体"/>
                <w:bCs/>
                <w:color w:val="000000" w:themeColor="text1"/>
                <w14:textFill>
                  <w14:solidFill>
                    <w14:schemeClr w14:val="tx1"/>
                  </w14:solidFill>
                </w14:textFill>
              </w:rPr>
            </w:pPr>
          </w:p>
          <w:p>
            <w:pPr>
              <w:spacing w:line="2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小写：</w:t>
            </w:r>
          </w:p>
        </w:tc>
        <w:tc>
          <w:tcPr>
            <w:tcW w:w="1673" w:type="dxa"/>
            <w:vAlign w:val="center"/>
          </w:tcPr>
          <w:p>
            <w:pPr>
              <w:topLinePunct/>
              <w:jc w:val="left"/>
              <w:rPr>
                <w:rFonts w:ascii="宋体" w:hAnsi="宋体"/>
                <w:bCs/>
                <w:color w:val="000000" w:themeColor="text1"/>
                <w:u w:val="single"/>
                <w14:textFill>
                  <w14:solidFill>
                    <w14:schemeClr w14:val="tx1"/>
                  </w14:solidFill>
                </w14:textFill>
              </w:rPr>
            </w:pPr>
          </w:p>
        </w:tc>
        <w:tc>
          <w:tcPr>
            <w:tcW w:w="689" w:type="dxa"/>
            <w:vAlign w:val="center"/>
          </w:tcPr>
          <w:p>
            <w:pPr>
              <w:rPr>
                <w:rFonts w:ascii="宋体" w:hAnsi="宋体"/>
                <w:bCs/>
                <w:color w:val="000000" w:themeColor="text1"/>
                <w14:textFill>
                  <w14:solidFill>
                    <w14:schemeClr w14:val="tx1"/>
                  </w14:solidFill>
                </w14:textFill>
              </w:rPr>
            </w:pPr>
          </w:p>
        </w:tc>
      </w:tr>
    </w:tbl>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14:textFill>
            <w14:solidFill>
              <w14:schemeClr w14:val="tx1"/>
            </w14:solidFill>
          </w14:textFill>
        </w:rPr>
      </w:pPr>
      <w:r>
        <w:rPr>
          <w:rFonts w:hint="eastAsia"/>
          <w:bCs/>
          <w:color w:val="000000" w:themeColor="text1"/>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u w:val="single"/>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pStyle w:val="3"/>
        <w:numPr>
          <w:ilvl w:val="0"/>
          <w:numId w:val="0"/>
        </w:numPr>
        <w:spacing w:line="400" w:lineRule="exact"/>
        <w:rPr>
          <w:color w:val="000000" w:themeColor="text1"/>
          <w14:textFill>
            <w14:solidFill>
              <w14:schemeClr w14:val="tx1"/>
            </w14:solidFill>
          </w14:textFill>
        </w:rPr>
      </w:pPr>
      <w:bookmarkStart w:id="1810" w:name="_Toc333237701"/>
      <w:bookmarkStart w:id="1811" w:name="_Toc339020256"/>
      <w:bookmarkStart w:id="1812" w:name="_Toc343612943"/>
      <w:bookmarkStart w:id="1813" w:name="_Toc333935710"/>
      <w:bookmarkStart w:id="1814" w:name="_Toc340677093"/>
      <w:bookmarkStart w:id="1815" w:name="_Toc366072552"/>
      <w:bookmarkStart w:id="1816" w:name="_Toc332206732"/>
      <w:bookmarkStart w:id="1817" w:name="_Toc333237812"/>
      <w:bookmarkStart w:id="1818" w:name="_Toc333238657"/>
      <w:bookmarkStart w:id="1819" w:name="_Toc342398153"/>
      <w:bookmarkStart w:id="1820" w:name="_Toc365967095"/>
      <w:bookmarkStart w:id="1821" w:name="_Toc331512924"/>
      <w:bookmarkStart w:id="1822" w:name="_Toc343247123"/>
      <w:bookmarkStart w:id="1823" w:name="_Toc336681958"/>
      <w:bookmarkStart w:id="1824" w:name="_Toc331684065"/>
      <w:bookmarkStart w:id="1825" w:name="_Toc342312466"/>
      <w:bookmarkStart w:id="1826" w:name="_Toc339020118"/>
      <w:bookmarkStart w:id="1827" w:name="_Toc350756473"/>
      <w:bookmarkStart w:id="1828" w:name="_Toc336681603"/>
      <w:bookmarkStart w:id="1829" w:name="_Toc365985201"/>
      <w:bookmarkStart w:id="1830" w:name="_Toc333935369"/>
      <w:bookmarkStart w:id="1831" w:name="_Toc339362323"/>
      <w:bookmarkStart w:id="1832" w:name="_Toc345312620"/>
      <w:bookmarkStart w:id="1833" w:name="_Toc343248441"/>
      <w:bookmarkStart w:id="1834" w:name="_Toc341348363"/>
      <w:bookmarkStart w:id="1835" w:name="_Toc340672892"/>
      <w:bookmarkStart w:id="1836" w:name="_Toc20191"/>
      <w:bookmarkStart w:id="1837" w:name="_Toc342296784"/>
      <w:bookmarkStart w:id="1838" w:name="_Toc339441110"/>
      <w:bookmarkStart w:id="1839" w:name="_Toc350438772"/>
      <w:bookmarkStart w:id="1840" w:name="_Toc330460009"/>
      <w:bookmarkStart w:id="1841" w:name="_Toc342060398"/>
      <w:bookmarkStart w:id="1842" w:name="_Toc332270370"/>
      <w:bookmarkStart w:id="1843" w:name="_Toc337632381"/>
      <w:bookmarkStart w:id="1844" w:name="_Toc339019912"/>
      <w:bookmarkStart w:id="1845" w:name="_Toc30451"/>
      <w:bookmarkStart w:id="1846" w:name="_Toc339020038"/>
      <w:bookmarkStart w:id="1847" w:name="_Toc340507465"/>
      <w:r>
        <w:rPr>
          <w:rFonts w:hint="eastAsia"/>
          <w:color w:val="000000" w:themeColor="text1"/>
          <w14:textFill>
            <w14:solidFill>
              <w14:schemeClr w14:val="tx1"/>
            </w14:solidFill>
          </w14:textFill>
        </w:rPr>
        <w:t>附件三：</w:t>
      </w:r>
      <w:r>
        <w:rPr>
          <w:color w:val="000000" w:themeColor="text1"/>
          <w14:textFill>
            <w14:solidFill>
              <w14:schemeClr w14:val="tx1"/>
            </w14:solidFill>
          </w14:textFill>
        </w:rPr>
        <w:t>投标</w:t>
      </w:r>
      <w:r>
        <w:rPr>
          <w:rFonts w:hint="eastAsia"/>
          <w:color w:val="000000" w:themeColor="text1"/>
          <w14:textFill>
            <w14:solidFill>
              <w14:schemeClr w14:val="tx1"/>
            </w14:solidFill>
          </w14:textFill>
        </w:rPr>
        <w:t>分项报价</w:t>
      </w:r>
      <w:r>
        <w:rPr>
          <w:color w:val="000000" w:themeColor="text1"/>
          <w14:textFill>
            <w14:solidFill>
              <w14:schemeClr w14:val="tx1"/>
            </w14:solidFill>
          </w14:textFill>
        </w:rPr>
        <w:t>表</w:t>
      </w:r>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p>
    <w:p>
      <w:pPr>
        <w:adjustRightInd w:val="0"/>
        <w:snapToGrid w:val="0"/>
        <w:spacing w:line="360" w:lineRule="auto"/>
        <w:ind w:left="1050" w:leftChars="500" w:firstLine="6405" w:firstLineChars="3050"/>
        <w:jc w:val="left"/>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（单位：元）</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服务内容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服务时间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其他费用</w:t>
            </w:r>
          </w:p>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14:textFill>
                  <w14:solidFill>
                    <w14:schemeClr w14:val="tx1"/>
                  </w14:solidFill>
                </w14:textFill>
              </w:rPr>
            </w:pPr>
            <w:r>
              <w:rPr>
                <w:rFonts w:hint="eastAsia" w:hAnsi="宋体" w:cs="宋体"/>
                <w:bCs/>
                <w:color w:val="000000" w:themeColor="text1"/>
                <w:sz w:val="21"/>
                <w:szCs w:val="21"/>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000000" w:themeColor="text1"/>
                <w:sz w:val="21"/>
                <w:szCs w:val="21"/>
                <w14:textFill>
                  <w14:solidFill>
                    <w14:schemeClr w14:val="tx1"/>
                  </w14:solidFill>
                </w14:textFill>
              </w:rPr>
            </w:pPr>
            <w:r>
              <w:rPr>
                <w:rFonts w:hint="eastAsia" w:hAnsi="宋体" w:cs="宋体"/>
                <w:bCs/>
                <w:color w:val="000000" w:themeColor="text1"/>
                <w:sz w:val="21"/>
                <w:szCs w:val="21"/>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000000" w:themeColor="text1"/>
                <w:sz w:val="21"/>
                <w:szCs w:val="21"/>
                <w14:textFill>
                  <w14:solidFill>
                    <w14:schemeClr w14:val="tx1"/>
                  </w14:solidFill>
                </w14:textFill>
              </w:rPr>
            </w:pPr>
            <w:r>
              <w:rPr>
                <w:rFonts w:hint="eastAsia" w:hAnsi="宋体" w:cs="宋体"/>
                <w:bCs/>
                <w:color w:val="000000" w:themeColor="text1"/>
                <w:sz w:val="21"/>
                <w:szCs w:val="21"/>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14:textFill>
                  <w14:solidFill>
                    <w14:schemeClr w14:val="tx1"/>
                  </w14:solidFill>
                </w14:textFill>
              </w:rPr>
            </w:pPr>
            <w:r>
              <w:rPr>
                <w:rFonts w:hint="eastAsia" w:hAnsi="宋体" w:cs="宋体"/>
                <w:bCs/>
                <w:color w:val="000000" w:themeColor="text1"/>
                <w:sz w:val="21"/>
                <w:szCs w:val="21"/>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14:textFill>
                  <w14:solidFill>
                    <w14:schemeClr w14:val="tx1"/>
                  </w14:solidFill>
                </w14:textFill>
              </w:rPr>
            </w:pPr>
          </w:p>
        </w:tc>
      </w:tr>
    </w:tbl>
    <w:p>
      <w:pPr>
        <w:pStyle w:val="27"/>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注：如本表格式内容不能满足需要，投标人可自行划表填写。</w:t>
      </w:r>
    </w:p>
    <w:p>
      <w:pPr>
        <w:spacing w:line="360" w:lineRule="auto"/>
        <w:rPr>
          <w:color w:val="000000" w:themeColor="text1"/>
          <w14:textFill>
            <w14:solidFill>
              <w14:schemeClr w14:val="tx1"/>
            </w14:solidFill>
          </w14:textFill>
        </w:rPr>
      </w:pPr>
    </w:p>
    <w:p>
      <w:pPr>
        <w:pStyle w:val="27"/>
        <w:rPr>
          <w:color w:val="000000" w:themeColor="text1"/>
          <w14:textFill>
            <w14:solidFill>
              <w14:schemeClr w14:val="tx1"/>
            </w14:solidFill>
          </w14:textFill>
        </w:rPr>
      </w:pPr>
    </w:p>
    <w:p>
      <w:pPr>
        <w:pStyle w:val="27"/>
        <w:rPr>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adjustRightInd w:val="0"/>
        <w:snapToGrid w:val="0"/>
        <w:spacing w:line="400" w:lineRule="exact"/>
        <w:rPr>
          <w:rFonts w:ascii="宋体" w:hAnsi="宋体"/>
          <w:bCs/>
          <w:color w:val="000000" w:themeColor="text1"/>
          <w:u w:val="single"/>
          <w14:textFill>
            <w14:solidFill>
              <w14:schemeClr w14:val="tx1"/>
            </w14:solidFill>
          </w14:textFill>
        </w:rPr>
      </w:pPr>
    </w:p>
    <w:p>
      <w:pPr>
        <w:rPr>
          <w:color w:val="000000" w:themeColor="text1"/>
          <w14:textFill>
            <w14:solidFill>
              <w14:schemeClr w14:val="tx1"/>
            </w14:solidFill>
          </w14:textFill>
        </w:rPr>
      </w:pPr>
      <w:bookmarkStart w:id="1848" w:name="_Toc350756474"/>
      <w:bookmarkStart w:id="1849" w:name="_Toc336681604"/>
      <w:bookmarkStart w:id="1850" w:name="_Toc340677094"/>
      <w:bookmarkStart w:id="1851" w:name="_Toc340672893"/>
      <w:bookmarkStart w:id="1852" w:name="_Toc331684066"/>
      <w:bookmarkStart w:id="1853" w:name="_Toc340507466"/>
      <w:bookmarkStart w:id="1854" w:name="_Toc331512925"/>
      <w:bookmarkStart w:id="1855" w:name="_Toc365967096"/>
      <w:bookmarkStart w:id="1856" w:name="_Toc342296785"/>
      <w:bookmarkStart w:id="1857" w:name="_Toc342398154"/>
      <w:bookmarkStart w:id="1858" w:name="_Toc337632382"/>
      <w:bookmarkStart w:id="1859" w:name="_Toc339019913"/>
      <w:bookmarkStart w:id="1860" w:name="_Toc365985202"/>
      <w:bookmarkStart w:id="1861" w:name="_Toc343612944"/>
      <w:bookmarkStart w:id="1862" w:name="_Toc339020039"/>
      <w:bookmarkStart w:id="1863" w:name="_Toc345312621"/>
      <w:bookmarkStart w:id="1864" w:name="_Toc343247124"/>
      <w:bookmarkStart w:id="1865" w:name="_Toc333935370"/>
      <w:bookmarkStart w:id="1866" w:name="_Toc343248442"/>
      <w:bookmarkStart w:id="1867" w:name="_Toc333238658"/>
      <w:bookmarkStart w:id="1868" w:name="_Toc339441111"/>
      <w:bookmarkStart w:id="1869" w:name="_Toc336681959"/>
      <w:bookmarkStart w:id="1870" w:name="_Toc366072553"/>
      <w:bookmarkStart w:id="1871" w:name="_Toc333935711"/>
      <w:bookmarkStart w:id="1872" w:name="_Toc330460010"/>
      <w:bookmarkStart w:id="1873" w:name="_Toc333237702"/>
      <w:bookmarkStart w:id="1874" w:name="_Toc333237813"/>
      <w:bookmarkStart w:id="1875" w:name="_Toc339362324"/>
      <w:bookmarkStart w:id="1876" w:name="_Toc342312467"/>
      <w:bookmarkStart w:id="1877" w:name="_Toc341348364"/>
      <w:bookmarkStart w:id="1878" w:name="_Toc339020257"/>
      <w:bookmarkStart w:id="1879" w:name="_Toc342060399"/>
      <w:bookmarkStart w:id="1880" w:name="_Toc339020119"/>
      <w:bookmarkStart w:id="1881" w:name="_Toc332270371"/>
      <w:bookmarkStart w:id="1882" w:name="_Toc350438773"/>
      <w:bookmarkStart w:id="1883" w:name="_Toc332206733"/>
      <w:r>
        <w:rPr>
          <w:rFonts w:hint="eastAsia"/>
          <w:color w:val="000000" w:themeColor="text1"/>
          <w14:textFill>
            <w14:solidFill>
              <w14:schemeClr w14:val="tx1"/>
            </w14:solidFill>
          </w14:textFill>
        </w:rPr>
        <w:br w:type="page"/>
      </w:r>
    </w:p>
    <w:p>
      <w:pPr>
        <w:pStyle w:val="3"/>
        <w:numPr>
          <w:ilvl w:val="0"/>
          <w:numId w:val="0"/>
        </w:numPr>
        <w:spacing w:line="400" w:lineRule="exact"/>
        <w:rPr>
          <w:color w:val="000000" w:themeColor="text1"/>
          <w14:textFill>
            <w14:solidFill>
              <w14:schemeClr w14:val="tx1"/>
            </w14:solidFill>
          </w14:textFill>
        </w:rPr>
      </w:pPr>
      <w:bookmarkStart w:id="1884" w:name="_Toc6182"/>
      <w:bookmarkStart w:id="1885" w:name="_Toc21975"/>
      <w:r>
        <w:rPr>
          <w:rFonts w:hint="eastAsia"/>
          <w:color w:val="000000" w:themeColor="text1"/>
          <w14:textFill>
            <w14:solidFill>
              <w14:schemeClr w14:val="tx1"/>
            </w14:solidFill>
          </w14:textFill>
        </w:rPr>
        <w:t>附件四：商务条款偏离一览表</w:t>
      </w:r>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Ansi="宋体"/>
                <w:color w:val="000000" w:themeColor="text1"/>
                <w:szCs w:val="21"/>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偏离</w:t>
            </w:r>
          </w:p>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bl>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14:textFill>
            <w14:solidFill>
              <w14:schemeClr w14:val="tx1"/>
            </w14:solidFill>
          </w14:textFill>
        </w:rPr>
      </w:pPr>
    </w:p>
    <w:p>
      <w:pPr>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adjustRightInd w:val="0"/>
        <w:snapToGrid w:val="0"/>
        <w:spacing w:line="360" w:lineRule="auto"/>
        <w:rPr>
          <w:rFonts w:ascii="宋体" w:hAnsi="宋体"/>
          <w:bCs/>
          <w:color w:val="000000" w:themeColor="text1"/>
          <w:u w:val="singl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pPr>
        <w:pStyle w:val="3"/>
        <w:numPr>
          <w:ilvl w:val="0"/>
          <w:numId w:val="0"/>
        </w:numPr>
        <w:spacing w:line="400" w:lineRule="exact"/>
        <w:rPr>
          <w:color w:val="000000" w:themeColor="text1"/>
          <w14:textFill>
            <w14:solidFill>
              <w14:schemeClr w14:val="tx1"/>
            </w14:solidFill>
          </w14:textFill>
        </w:rPr>
      </w:pPr>
      <w:bookmarkStart w:id="1886" w:name="_Toc26930"/>
      <w:bookmarkStart w:id="1887" w:name="_Toc31839"/>
      <w:bookmarkStart w:id="1888" w:name="_Toc343248443"/>
      <w:bookmarkStart w:id="1889" w:name="_Toc345312622"/>
      <w:bookmarkStart w:id="1890" w:name="_Toc337632383"/>
      <w:bookmarkStart w:id="1891" w:name="_Toc343247125"/>
      <w:bookmarkStart w:id="1892" w:name="_Toc365967097"/>
      <w:bookmarkStart w:id="1893" w:name="_Toc336681605"/>
      <w:bookmarkStart w:id="1894" w:name="_Toc336681960"/>
      <w:bookmarkStart w:id="1895" w:name="_Toc339020120"/>
      <w:bookmarkStart w:id="1896" w:name="_Toc339362325"/>
      <w:bookmarkStart w:id="1897" w:name="_Toc342312468"/>
      <w:bookmarkStart w:id="1898" w:name="_Toc333935712"/>
      <w:bookmarkStart w:id="1899" w:name="_Toc340677095"/>
      <w:bookmarkStart w:id="1900" w:name="_Toc341348365"/>
      <w:bookmarkStart w:id="1901" w:name="_Toc340507467"/>
      <w:bookmarkStart w:id="1902" w:name="_Toc339441112"/>
      <w:bookmarkStart w:id="1903" w:name="_Toc333935371"/>
      <w:bookmarkStart w:id="1904" w:name="_Toc366072554"/>
      <w:bookmarkStart w:id="1905" w:name="_Toc331512926"/>
      <w:bookmarkStart w:id="1906" w:name="_Toc333237814"/>
      <w:bookmarkStart w:id="1907" w:name="_Toc343612945"/>
      <w:bookmarkStart w:id="1908" w:name="_Toc350438774"/>
      <w:bookmarkStart w:id="1909" w:name="_Toc332270372"/>
      <w:bookmarkStart w:id="1910" w:name="_Toc331684067"/>
      <w:bookmarkStart w:id="1911" w:name="_Toc340672894"/>
      <w:bookmarkStart w:id="1912" w:name="_Toc333238659"/>
      <w:bookmarkStart w:id="1913" w:name="_Toc365985203"/>
      <w:bookmarkStart w:id="1914" w:name="_Toc342398155"/>
      <w:bookmarkStart w:id="1915" w:name="_Toc339019914"/>
      <w:bookmarkStart w:id="1916" w:name="_Toc342296786"/>
      <w:bookmarkStart w:id="1917" w:name="_Toc342060400"/>
      <w:bookmarkStart w:id="1918" w:name="_Toc350756475"/>
      <w:bookmarkStart w:id="1919" w:name="_Toc339020040"/>
      <w:bookmarkStart w:id="1920" w:name="_Toc339020258"/>
      <w:bookmarkStart w:id="1921" w:name="_Toc332206734"/>
      <w:bookmarkStart w:id="1922" w:name="_Toc333237703"/>
      <w:bookmarkStart w:id="1923" w:name="_Toc330460011"/>
      <w:r>
        <w:rPr>
          <w:rFonts w:hint="eastAsia"/>
          <w:color w:val="000000" w:themeColor="text1"/>
          <w14:textFill>
            <w14:solidFill>
              <w14:schemeClr w14:val="tx1"/>
            </w14:solidFill>
          </w14:textFill>
        </w:rPr>
        <w:t>附件五：技术条款偏离一览表</w:t>
      </w:r>
      <w:bookmarkEnd w:id="1886"/>
      <w:bookmarkEnd w:id="1887"/>
    </w:p>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p>
      <w:pPr>
        <w:numPr>
          <w:ilvl w:val="0"/>
          <w:numId w:val="36"/>
        </w:numPr>
        <w:spacing w:line="360" w:lineRule="auto"/>
        <w:jc w:val="center"/>
        <w:rPr>
          <w:color w:val="000000" w:themeColor="text1"/>
          <w14:textFill>
            <w14:solidFill>
              <w14:schemeClr w14:val="tx1"/>
            </w14:solidFill>
          </w14:textFill>
        </w:rPr>
      </w:pPr>
      <w:bookmarkStart w:id="1924" w:name="_Toc342060404"/>
      <w:bookmarkStart w:id="1925" w:name="_Toc331684071"/>
      <w:bookmarkStart w:id="1926" w:name="_Toc339020124"/>
      <w:bookmarkStart w:id="1927" w:name="_Toc345312626"/>
      <w:bookmarkStart w:id="1928" w:name="_Toc432695228"/>
      <w:bookmarkStart w:id="1929" w:name="_Toc333237707"/>
      <w:bookmarkStart w:id="1930" w:name="_Toc366072561"/>
      <w:bookmarkStart w:id="1931" w:name="_Toc350438778"/>
      <w:bookmarkStart w:id="1932" w:name="_Toc337632387"/>
      <w:bookmarkStart w:id="1933" w:name="_Toc342398159"/>
      <w:bookmarkStart w:id="1934" w:name="_Toc336681609"/>
      <w:bookmarkStart w:id="1935" w:name="_Toc340672898"/>
      <w:bookmarkStart w:id="1936" w:name="_Toc341348369"/>
      <w:bookmarkStart w:id="1937" w:name="_Toc332206738"/>
      <w:bookmarkStart w:id="1938" w:name="_Toc330460015"/>
      <w:bookmarkStart w:id="1939" w:name="_Toc342312472"/>
      <w:bookmarkStart w:id="1940" w:name="_Toc333238663"/>
      <w:bookmarkStart w:id="1941" w:name="_Toc339441116"/>
      <w:bookmarkStart w:id="1942" w:name="_Toc339020044"/>
      <w:bookmarkStart w:id="1943" w:name="_Toc340507471"/>
      <w:bookmarkStart w:id="1944" w:name="_Toc350756479"/>
      <w:bookmarkStart w:id="1945" w:name="_Toc365985210"/>
      <w:bookmarkStart w:id="1946" w:name="_Toc331512930"/>
      <w:bookmarkStart w:id="1947" w:name="_Toc336681964"/>
      <w:bookmarkStart w:id="1948" w:name="_Toc339362329"/>
      <w:bookmarkStart w:id="1949" w:name="_Toc343612949"/>
      <w:bookmarkStart w:id="1950" w:name="_Toc339020262"/>
      <w:bookmarkStart w:id="1951" w:name="_Toc333237818"/>
      <w:bookmarkStart w:id="1952" w:name="_Toc365967104"/>
      <w:bookmarkStart w:id="1953" w:name="_Toc340677099"/>
      <w:bookmarkStart w:id="1954" w:name="_Toc333935716"/>
      <w:bookmarkStart w:id="1955" w:name="_Toc343248447"/>
      <w:bookmarkStart w:id="1956" w:name="_Toc333935375"/>
      <w:bookmarkStart w:id="1957" w:name="_Toc343247129"/>
      <w:bookmarkStart w:id="1958" w:name="_Toc342296790"/>
      <w:bookmarkStart w:id="1959" w:name="_Toc339019918"/>
      <w:bookmarkStart w:id="1960" w:name="_Toc332270376"/>
      <w:r>
        <w:rPr>
          <w:rFonts w:hint="eastAsia"/>
          <w:color w:val="000000" w:themeColor="text1"/>
          <w14:textFill>
            <w14:solidFill>
              <w14:schemeClr w14:val="tx1"/>
            </w14:solidFill>
          </w14:textFill>
        </w:rPr>
        <w:t>一般条款响应一览表</w:t>
      </w:r>
    </w:p>
    <w:p>
      <w:pPr>
        <w:pStyle w:val="17"/>
        <w:kinsoku w:val="0"/>
        <w:overflowPunct w:val="0"/>
        <w:spacing w:before="36"/>
        <w:ind w:left="500"/>
        <w:rPr>
          <w:color w:val="000000" w:themeColor="text1"/>
          <w14:textFill>
            <w14:solidFill>
              <w14:schemeClr w14:val="tx1"/>
            </w14:solidFill>
          </w14:textFill>
        </w:rPr>
      </w:pPr>
    </w:p>
    <w:tbl>
      <w:tblPr>
        <w:tblStyle w:val="4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9"/>
        <w:gridCol w:w="3229"/>
        <w:gridCol w:w="2086"/>
        <w:gridCol w:w="29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trPr>
        <w:tc>
          <w:tcPr>
            <w:tcW w:w="869" w:type="dxa"/>
            <w:tcBorders>
              <w:top w:val="single" w:color="auto" w:sz="12" w:space="0"/>
              <w:left w:val="single" w:color="auto" w:sz="12" w:space="0"/>
              <w:bottom w:val="single" w:color="auto" w:sz="6" w:space="0"/>
              <w:right w:val="single" w:color="auto" w:sz="6" w:space="0"/>
            </w:tcBorders>
            <w:shd w:val="clear" w:color="auto" w:fill="EEECE1"/>
            <w:vAlign w:val="center"/>
          </w:tcPr>
          <w:p>
            <w:pPr>
              <w:ind w:left="-109" w:leftChars="-52" w:right="-113" w:rightChars="-5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3229"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s="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原条款描述</w:t>
            </w:r>
          </w:p>
        </w:tc>
        <w:tc>
          <w:tcPr>
            <w:tcW w:w="2086"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s="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投标人响应描述</w:t>
            </w:r>
          </w:p>
        </w:tc>
        <w:tc>
          <w:tcPr>
            <w:tcW w:w="2925" w:type="dxa"/>
            <w:tcBorders>
              <w:top w:val="single" w:color="auto" w:sz="12" w:space="0"/>
              <w:left w:val="single" w:color="auto" w:sz="6" w:space="0"/>
              <w:bottom w:val="single" w:color="auto" w:sz="6" w:space="0"/>
              <w:right w:val="single" w:color="auto" w:sz="12" w:space="0"/>
            </w:tcBorders>
            <w:shd w:val="clear" w:color="auto" w:fill="EEECE1"/>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偏离情况说明</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12" w:space="0"/>
              <w:bottom w:val="single" w:color="auto" w:sz="6" w:space="0"/>
              <w:right w:val="single" w:color="auto" w:sz="6" w:space="0"/>
            </w:tcBorders>
            <w:vAlign w:val="center"/>
          </w:tcPr>
          <w:p>
            <w:pPr>
              <w:numPr>
                <w:ilvl w:val="0"/>
                <w:numId w:val="37"/>
              </w:numPr>
              <w:tabs>
                <w:tab w:val="left" w:pos="360"/>
                <w:tab w:val="clear" w:pos="426"/>
              </w:tabs>
              <w:ind w:hanging="354"/>
              <w:jc w:val="center"/>
              <w:rPr>
                <w:rFonts w:ascii="宋体" w:hAnsi="宋体" w:cs="宋体"/>
                <w:color w:val="000000" w:themeColor="text1"/>
                <w14:textFill>
                  <w14:solidFill>
                    <w14:schemeClr w14:val="tx1"/>
                  </w14:solidFill>
                </w14:textFill>
              </w:rPr>
            </w:pPr>
          </w:p>
        </w:tc>
        <w:tc>
          <w:tcPr>
            <w:tcW w:w="3229" w:type="dxa"/>
            <w:tcBorders>
              <w:top w:val="single" w:color="auto" w:sz="6" w:space="0"/>
              <w:left w:val="single" w:color="auto" w:sz="6" w:space="0"/>
              <w:bottom w:val="single" w:color="auto" w:sz="6" w:space="0"/>
              <w:right w:val="single" w:color="auto" w:sz="6" w:space="0"/>
            </w:tcBorders>
            <w:vAlign w:val="center"/>
          </w:tcPr>
          <w:p>
            <w:pPr>
              <w:pStyle w:val="23"/>
              <w:tabs>
                <w:tab w:val="left" w:pos="2340"/>
              </w:tabs>
              <w:rPr>
                <w:rFonts w:hAnsi="宋体" w:cs="宋体"/>
                <w:color w:val="000000" w:themeColor="text1"/>
                <w14:textFill>
                  <w14:solidFill>
                    <w14:schemeClr w14:val="tx1"/>
                  </w14:solidFill>
                </w14:textFill>
              </w:rPr>
            </w:pPr>
          </w:p>
        </w:tc>
        <w:tc>
          <w:tcPr>
            <w:tcW w:w="208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12" w:space="0"/>
              <w:bottom w:val="single" w:color="auto" w:sz="12" w:space="0"/>
              <w:right w:val="single" w:color="auto" w:sz="6" w:space="0"/>
            </w:tcBorders>
            <w:vAlign w:val="center"/>
          </w:tcPr>
          <w:p>
            <w:pPr>
              <w:numPr>
                <w:ilvl w:val="0"/>
                <w:numId w:val="37"/>
              </w:numPr>
              <w:tabs>
                <w:tab w:val="left" w:pos="360"/>
                <w:tab w:val="clear" w:pos="426"/>
              </w:tabs>
              <w:ind w:hanging="354"/>
              <w:jc w:val="center"/>
              <w:rPr>
                <w:rFonts w:ascii="宋体" w:hAnsi="宋体" w:cs="宋体"/>
                <w:color w:val="000000" w:themeColor="text1"/>
                <w14:textFill>
                  <w14:solidFill>
                    <w14:schemeClr w14:val="tx1"/>
                  </w14:solidFill>
                </w14:textFill>
              </w:rPr>
            </w:pPr>
          </w:p>
        </w:tc>
        <w:tc>
          <w:tcPr>
            <w:tcW w:w="3229" w:type="dxa"/>
            <w:tcBorders>
              <w:top w:val="single" w:color="auto" w:sz="6" w:space="0"/>
              <w:left w:val="single" w:color="auto" w:sz="6" w:space="0"/>
              <w:bottom w:val="single" w:color="auto" w:sz="12" w:space="0"/>
              <w:right w:val="single" w:color="auto" w:sz="6" w:space="0"/>
            </w:tcBorders>
            <w:vAlign w:val="center"/>
          </w:tcPr>
          <w:p>
            <w:pPr>
              <w:rPr>
                <w:rFonts w:ascii="宋体" w:hAnsi="宋体" w:cs="宋体"/>
                <w:snapToGrid w:val="0"/>
                <w:color w:val="000000" w:themeColor="text1"/>
                <w14:textFill>
                  <w14:solidFill>
                    <w14:schemeClr w14:val="tx1"/>
                  </w14:solidFill>
                </w14:textFill>
              </w:rPr>
            </w:pPr>
            <w:r>
              <w:rPr>
                <w:rFonts w:hint="eastAsia" w:ascii="宋体" w:hAnsi="宋体" w:cs="宋体"/>
                <w:snapToGrid w:val="0"/>
                <w:color w:val="000000" w:themeColor="text1"/>
                <w14:textFill>
                  <w14:solidFill>
                    <w14:schemeClr w14:val="tx1"/>
                  </w14:solidFill>
                </w14:textFill>
              </w:rPr>
              <w:t>……</w:t>
            </w:r>
          </w:p>
        </w:tc>
        <w:tc>
          <w:tcPr>
            <w:tcW w:w="2086"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s="宋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cs="宋体"/>
                <w:color w:val="000000" w:themeColor="text1"/>
                <w14:textFill>
                  <w14:solidFill>
                    <w14:schemeClr w14:val="tx1"/>
                  </w14:solidFill>
                </w14:textFill>
              </w:rPr>
            </w:pPr>
          </w:p>
        </w:tc>
      </w:tr>
    </w:tbl>
    <w:p>
      <w:pPr>
        <w:spacing w:after="120" w:line="340" w:lineRule="exact"/>
        <w:rPr>
          <w:color w:val="000000" w:themeColor="text1"/>
          <w14:textFill>
            <w14:solidFill>
              <w14:schemeClr w14:val="tx1"/>
            </w14:solidFill>
          </w14:textFill>
        </w:rPr>
      </w:pPr>
      <w:r>
        <w:rPr>
          <w:color w:val="000000" w:themeColor="text1"/>
          <w14:textFill>
            <w14:solidFill>
              <w14:schemeClr w14:val="tx1"/>
            </w14:solidFill>
          </w14:textFill>
        </w:rPr>
        <w:t>说明：</w:t>
      </w:r>
    </w:p>
    <w:p>
      <w:pPr>
        <w:spacing w:after="120" w:line="340" w:lineRule="exact"/>
        <w:rPr>
          <w:rFonts w:eastAsia="Times New Roman"/>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完全</w:t>
      </w:r>
      <w:r>
        <w:rPr>
          <w:color w:val="000000" w:themeColor="text1"/>
          <w14:textFill>
            <w14:solidFill>
              <w14:schemeClr w14:val="tx1"/>
            </w14:solidFill>
          </w14:textFill>
        </w:rPr>
        <w:t>响应：即指满足；偏离分为正偏离和负偏离，优于招标文件要求的为正偏离；劣于招标文件要求的为负偏离，即不满足。</w:t>
      </w:r>
    </w:p>
    <w:p>
      <w:pPr>
        <w:spacing w:after="120" w:line="340" w:lineRule="exact"/>
        <w:rPr>
          <w:rFonts w:eastAsia="Times New Roman"/>
          <w:color w:val="000000" w:themeColor="text1"/>
          <w14:textFill>
            <w14:solidFill>
              <w14:schemeClr w14:val="tx1"/>
            </w14:solidFill>
          </w14:textFill>
        </w:rPr>
      </w:pPr>
      <w:r>
        <w:rPr>
          <w:color w:val="000000" w:themeColor="text1"/>
          <w14:textFill>
            <w14:solidFill>
              <w14:schemeClr w14:val="tx1"/>
            </w14:solidFill>
          </w14:textFill>
        </w:rPr>
        <w:t>2、若不填写该表，则表示完全满足技术条款中</w:t>
      </w:r>
      <w:r>
        <w:rPr>
          <w:b/>
          <w:bCs/>
          <w:color w:val="000000" w:themeColor="text1"/>
          <w14:textFill>
            <w14:solidFill>
              <w14:schemeClr w14:val="tx1"/>
            </w14:solidFill>
          </w14:textFill>
        </w:rPr>
        <w:t>非</w:t>
      </w:r>
      <w:r>
        <w:rPr>
          <w:rFonts w:ascii="宋体"/>
          <w:b/>
          <w:bCs/>
          <w:color w:val="000000" w:themeColor="text1"/>
          <w:szCs w:val="21"/>
          <w14:textFill>
            <w14:solidFill>
              <w14:schemeClr w14:val="tx1"/>
            </w14:solidFill>
          </w14:textFill>
        </w:rPr>
        <w:t>★、</w:t>
      </w:r>
      <w:r>
        <w:rPr>
          <w:rFonts w:hAnsi="宋体"/>
          <w:b/>
          <w:bCs/>
          <w:color w:val="000000" w:themeColor="text1"/>
          <w:szCs w:val="21"/>
          <w:lang w:val="it-IT"/>
          <w14:textFill>
            <w14:solidFill>
              <w14:schemeClr w14:val="tx1"/>
            </w14:solidFill>
          </w14:textFill>
        </w:rPr>
        <w:t>▲条款</w:t>
      </w:r>
      <w:r>
        <w:rPr>
          <w:color w:val="000000" w:themeColor="text1"/>
          <w14:textFill>
            <w14:solidFill>
              <w14:schemeClr w14:val="tx1"/>
            </w14:solidFill>
          </w14:textFill>
        </w:rPr>
        <w:t>的要求。</w:t>
      </w:r>
    </w:p>
    <w:p>
      <w:pPr>
        <w:pStyle w:val="5"/>
        <w:ind w:firstLine="0"/>
        <w:rPr>
          <w:color w:val="000000" w:themeColor="text1"/>
          <w:spacing w:val="4"/>
          <w:u w:val="single"/>
          <w14:textFill>
            <w14:solidFill>
              <w14:schemeClr w14:val="tx1"/>
            </w14:solidFill>
          </w14:textFill>
        </w:rPr>
      </w:pPr>
    </w:p>
    <w:p>
      <w:pPr>
        <w:pStyle w:val="5"/>
        <w:ind w:firstLine="0"/>
        <w:rPr>
          <w:color w:val="000000" w:themeColor="text1"/>
          <w:spacing w:val="4"/>
          <w:u w:val="single"/>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spacing w:line="440" w:lineRule="exact"/>
        <w:rPr>
          <w:color w:val="000000" w:themeColor="text1"/>
          <w:spacing w:val="4"/>
          <w:u w:val="single"/>
          <w14:textFill>
            <w14:solidFill>
              <w14:schemeClr w14:val="tx1"/>
            </w14:solidFill>
          </w14:textFill>
        </w:rPr>
      </w:pPr>
      <w:r>
        <w:rPr>
          <w:rFonts w:hint="eastAsia" w:hAnsi="宋体"/>
          <w:bCs/>
          <w:color w:val="000000" w:themeColor="text1"/>
          <w14:textFill>
            <w14:solidFill>
              <w14:schemeClr w14:val="tx1"/>
            </w14:solidFill>
          </w14:textFill>
        </w:rPr>
        <w:t>日期：</w:t>
      </w:r>
      <w:r>
        <w:rPr>
          <w:rFonts w:hint="eastAsia" w:hAnsi="宋体"/>
          <w:bCs/>
          <w:color w:val="000000" w:themeColor="text1"/>
          <w:u w:val="single"/>
          <w14:textFill>
            <w14:solidFill>
              <w14:schemeClr w14:val="tx1"/>
            </w14:solidFill>
          </w14:textFill>
        </w:rPr>
        <w:t xml:space="preserve">        </w:t>
      </w:r>
      <w:r>
        <w:rPr>
          <w:rFonts w:hint="eastAsia" w:hAnsi="宋体"/>
          <w:bCs/>
          <w:color w:val="000000" w:themeColor="text1"/>
          <w14:textFill>
            <w14:solidFill>
              <w14:schemeClr w14:val="tx1"/>
            </w14:solidFill>
          </w14:textFill>
        </w:rPr>
        <w:t>年</w:t>
      </w:r>
      <w:r>
        <w:rPr>
          <w:rFonts w:hint="eastAsia" w:hAnsi="宋体"/>
          <w:bCs/>
          <w:color w:val="000000" w:themeColor="text1"/>
          <w:u w:val="single"/>
          <w14:textFill>
            <w14:solidFill>
              <w14:schemeClr w14:val="tx1"/>
            </w14:solidFill>
          </w14:textFill>
        </w:rPr>
        <w:t xml:space="preserve">     </w:t>
      </w:r>
      <w:r>
        <w:rPr>
          <w:rFonts w:hint="eastAsia" w:hAnsi="宋体"/>
          <w:bCs/>
          <w:color w:val="000000" w:themeColor="text1"/>
          <w14:textFill>
            <w14:solidFill>
              <w14:schemeClr w14:val="tx1"/>
            </w14:solidFill>
          </w14:textFill>
        </w:rPr>
        <w:t>月</w:t>
      </w:r>
      <w:r>
        <w:rPr>
          <w:rFonts w:hint="eastAsia" w:hAnsi="宋体"/>
          <w:bCs/>
          <w:color w:val="000000" w:themeColor="text1"/>
          <w:u w:val="single"/>
          <w14:textFill>
            <w14:solidFill>
              <w14:schemeClr w14:val="tx1"/>
            </w14:solidFill>
          </w14:textFill>
        </w:rPr>
        <w:t xml:space="preserve">     </w:t>
      </w:r>
      <w:r>
        <w:rPr>
          <w:rFonts w:hint="eastAsia" w:hAnsi="宋体"/>
          <w:bCs/>
          <w:color w:val="000000" w:themeColor="text1"/>
          <w14:textFill>
            <w14:solidFill>
              <w14:schemeClr w14:val="tx1"/>
            </w14:solidFill>
          </w14:textFill>
        </w:rPr>
        <w:t>日</w:t>
      </w:r>
    </w:p>
    <w:p>
      <w:pPr>
        <w:pStyle w:val="17"/>
        <w:kinsoku w:val="0"/>
        <w:overflowPunct w:val="0"/>
        <w:spacing w:before="15"/>
        <w:rPr>
          <w:rFonts w:ascii="Microsoft JhengHei" w:eastAsia="Microsoft JhengHei"/>
          <w:b/>
          <w:color w:val="000000" w:themeColor="text1"/>
          <w14:textFill>
            <w14:solidFill>
              <w14:schemeClr w14:val="tx1"/>
            </w14:solidFill>
          </w14:textFill>
        </w:rPr>
      </w:pPr>
      <w:r>
        <w:rPr>
          <w:rFonts w:ascii="Microsoft JhengHei" w:eastAsia="Microsoft JhengHei"/>
          <w:b/>
          <w:color w:val="000000" w:themeColor="text1"/>
          <w14:textFill>
            <w14:solidFill>
              <w14:schemeClr w14:val="tx1"/>
            </w14:solidFill>
          </w14:textFill>
        </w:rPr>
        <w:br w:type="page"/>
      </w:r>
    </w:p>
    <w:p>
      <w:pPr>
        <w:numPr>
          <w:ilvl w:val="0"/>
          <w:numId w:val="36"/>
        </w:numPr>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合同</w:t>
      </w:r>
      <w:r>
        <w:rPr>
          <w:rFonts w:hint="eastAsia"/>
          <w:color w:val="000000" w:themeColor="text1"/>
          <w14:textFill>
            <w14:solidFill>
              <w14:schemeClr w14:val="tx1"/>
            </w14:solidFill>
          </w14:textFill>
        </w:rPr>
        <w:t>条款</w:t>
      </w:r>
      <w:r>
        <w:rPr>
          <w:color w:val="000000" w:themeColor="text1"/>
          <w14:textFill>
            <w14:solidFill>
              <w14:schemeClr w14:val="tx1"/>
            </w14:solidFill>
          </w14:textFill>
        </w:rPr>
        <w:t>响应一览表</w:t>
      </w:r>
    </w:p>
    <w:p>
      <w:pPr>
        <w:pStyle w:val="17"/>
        <w:kinsoku w:val="0"/>
        <w:overflowPunct w:val="0"/>
        <w:spacing w:before="36"/>
        <w:ind w:left="500"/>
        <w:rPr>
          <w:color w:val="000000" w:themeColor="text1"/>
          <w14:textFill>
            <w14:solidFill>
              <w14:schemeClr w14:val="tx1"/>
            </w14:solidFill>
          </w14:textFill>
        </w:rPr>
      </w:pPr>
    </w:p>
    <w:tbl>
      <w:tblPr>
        <w:tblStyle w:val="4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9"/>
        <w:gridCol w:w="3229"/>
        <w:gridCol w:w="2086"/>
        <w:gridCol w:w="29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trPr>
        <w:tc>
          <w:tcPr>
            <w:tcW w:w="869" w:type="dxa"/>
            <w:tcBorders>
              <w:top w:val="single" w:color="auto" w:sz="12" w:space="0"/>
              <w:left w:val="single" w:color="auto" w:sz="12" w:space="0"/>
              <w:bottom w:val="single" w:color="auto" w:sz="6" w:space="0"/>
              <w:right w:val="single" w:color="auto" w:sz="6" w:space="0"/>
            </w:tcBorders>
            <w:shd w:val="clear" w:color="auto" w:fill="EEECE1"/>
            <w:vAlign w:val="center"/>
          </w:tcPr>
          <w:p>
            <w:pPr>
              <w:ind w:left="-109" w:leftChars="-52" w:right="-113" w:rightChars="-5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3229"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s="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原条款描述</w:t>
            </w:r>
          </w:p>
        </w:tc>
        <w:tc>
          <w:tcPr>
            <w:tcW w:w="2086"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s="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投标人响应描述</w:t>
            </w:r>
          </w:p>
        </w:tc>
        <w:tc>
          <w:tcPr>
            <w:tcW w:w="2925" w:type="dxa"/>
            <w:tcBorders>
              <w:top w:val="single" w:color="auto" w:sz="12" w:space="0"/>
              <w:left w:val="single" w:color="auto" w:sz="6" w:space="0"/>
              <w:bottom w:val="single" w:color="auto" w:sz="6" w:space="0"/>
              <w:right w:val="single" w:color="auto" w:sz="12" w:space="0"/>
            </w:tcBorders>
            <w:shd w:val="clear" w:color="auto" w:fill="EEECE1"/>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偏离情况说明</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12" w:space="0"/>
              <w:bottom w:val="single" w:color="auto" w:sz="6" w:space="0"/>
              <w:right w:val="single" w:color="auto" w:sz="6" w:space="0"/>
            </w:tcBorders>
            <w:vAlign w:val="center"/>
          </w:tcPr>
          <w:p>
            <w:pPr>
              <w:tabs>
                <w:tab w:val="left" w:pos="360"/>
              </w:tabs>
              <w:ind w:left="72"/>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3229" w:type="dxa"/>
            <w:tcBorders>
              <w:top w:val="single" w:color="auto" w:sz="6" w:space="0"/>
              <w:left w:val="single" w:color="auto" w:sz="6" w:space="0"/>
              <w:bottom w:val="single" w:color="auto" w:sz="6" w:space="0"/>
              <w:right w:val="single" w:color="auto" w:sz="6" w:space="0"/>
            </w:tcBorders>
            <w:vAlign w:val="center"/>
          </w:tcPr>
          <w:p>
            <w:pPr>
              <w:pStyle w:val="23"/>
              <w:tabs>
                <w:tab w:val="left" w:pos="2340"/>
              </w:tabs>
              <w:rPr>
                <w:rFonts w:hAnsi="宋体" w:cs="宋体"/>
                <w:color w:val="000000" w:themeColor="text1"/>
                <w14:textFill>
                  <w14:solidFill>
                    <w14:schemeClr w14:val="tx1"/>
                  </w14:solidFill>
                </w14:textFill>
              </w:rPr>
            </w:pPr>
          </w:p>
        </w:tc>
        <w:tc>
          <w:tcPr>
            <w:tcW w:w="208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12" w:space="0"/>
              <w:bottom w:val="single" w:color="auto" w:sz="12" w:space="0"/>
              <w:right w:val="single" w:color="auto" w:sz="6" w:space="0"/>
            </w:tcBorders>
            <w:vAlign w:val="center"/>
          </w:tcPr>
          <w:p>
            <w:pPr>
              <w:tabs>
                <w:tab w:val="left" w:pos="360"/>
              </w:tabs>
              <w:ind w:left="72"/>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3229" w:type="dxa"/>
            <w:tcBorders>
              <w:top w:val="single" w:color="auto" w:sz="6" w:space="0"/>
              <w:left w:val="single" w:color="auto" w:sz="6" w:space="0"/>
              <w:bottom w:val="single" w:color="auto" w:sz="12" w:space="0"/>
              <w:right w:val="single" w:color="auto" w:sz="6" w:space="0"/>
            </w:tcBorders>
            <w:vAlign w:val="center"/>
          </w:tcPr>
          <w:p>
            <w:pPr>
              <w:rPr>
                <w:rFonts w:ascii="宋体" w:hAnsi="宋体" w:cs="宋体"/>
                <w:snapToGrid w:val="0"/>
                <w:color w:val="000000" w:themeColor="text1"/>
                <w14:textFill>
                  <w14:solidFill>
                    <w14:schemeClr w14:val="tx1"/>
                  </w14:solidFill>
                </w14:textFill>
              </w:rPr>
            </w:pPr>
            <w:r>
              <w:rPr>
                <w:rFonts w:hint="eastAsia" w:ascii="宋体" w:hAnsi="宋体" w:cs="宋体"/>
                <w:snapToGrid w:val="0"/>
                <w:color w:val="000000" w:themeColor="text1"/>
                <w14:textFill>
                  <w14:solidFill>
                    <w14:schemeClr w14:val="tx1"/>
                  </w14:solidFill>
                </w14:textFill>
              </w:rPr>
              <w:t>……</w:t>
            </w:r>
          </w:p>
        </w:tc>
        <w:tc>
          <w:tcPr>
            <w:tcW w:w="2086"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s="宋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cs="宋体"/>
                <w:color w:val="000000" w:themeColor="text1"/>
                <w14:textFill>
                  <w14:solidFill>
                    <w14:schemeClr w14:val="tx1"/>
                  </w14:solidFill>
                </w14:textFill>
              </w:rPr>
            </w:pPr>
          </w:p>
        </w:tc>
      </w:tr>
    </w:tbl>
    <w:p>
      <w:pPr>
        <w:spacing w:after="120" w:line="340" w:lineRule="exact"/>
        <w:rPr>
          <w:color w:val="000000" w:themeColor="text1"/>
          <w14:textFill>
            <w14:solidFill>
              <w14:schemeClr w14:val="tx1"/>
            </w14:solidFill>
          </w14:textFill>
        </w:rPr>
      </w:pPr>
      <w:r>
        <w:rPr>
          <w:color w:val="000000" w:themeColor="text1"/>
          <w14:textFill>
            <w14:solidFill>
              <w14:schemeClr w14:val="tx1"/>
            </w14:solidFill>
          </w14:textFill>
        </w:rPr>
        <w:t>说明：</w:t>
      </w:r>
    </w:p>
    <w:p>
      <w:pPr>
        <w:spacing w:after="120" w:line="340" w:lineRule="exact"/>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完全</w:t>
      </w:r>
      <w:r>
        <w:rPr>
          <w:color w:val="000000" w:themeColor="text1"/>
          <w14:textFill>
            <w14:solidFill>
              <w14:schemeClr w14:val="tx1"/>
            </w14:solidFill>
          </w14:textFill>
        </w:rPr>
        <w:t>响应：即指满足；偏离分为正偏离和负偏离，优于招标文件要求的为正偏离；劣于招标文件要求的为负偏离，即不满足。</w:t>
      </w:r>
    </w:p>
    <w:p>
      <w:pPr>
        <w:spacing w:after="120" w:line="340" w:lineRule="exact"/>
        <w:rPr>
          <w:rFonts w:eastAsia="Times New Roman"/>
          <w:color w:val="000000" w:themeColor="text1"/>
          <w14:textFill>
            <w14:solidFill>
              <w14:schemeClr w14:val="tx1"/>
            </w14:solidFill>
          </w14:textFill>
        </w:rPr>
      </w:pPr>
      <w:r>
        <w:rPr>
          <w:color w:val="000000" w:themeColor="text1"/>
          <w14:textFill>
            <w14:solidFill>
              <w14:schemeClr w14:val="tx1"/>
            </w14:solidFill>
          </w14:textFill>
        </w:rPr>
        <w:t>2、若不填写该表，则表示完全满足</w:t>
      </w:r>
      <w:r>
        <w:rPr>
          <w:rFonts w:hint="eastAsia"/>
          <w:color w:val="000000" w:themeColor="text1"/>
          <w14:textFill>
            <w14:solidFill>
              <w14:schemeClr w14:val="tx1"/>
            </w14:solidFill>
          </w14:textFill>
        </w:rPr>
        <w:t>合同所有</w:t>
      </w:r>
      <w:r>
        <w:rPr>
          <w:color w:val="000000" w:themeColor="text1"/>
          <w14:textFill>
            <w14:solidFill>
              <w14:schemeClr w14:val="tx1"/>
            </w14:solidFill>
          </w14:textFill>
        </w:rPr>
        <w:t>条款的要求。</w:t>
      </w:r>
    </w:p>
    <w:p>
      <w:pPr>
        <w:pStyle w:val="5"/>
        <w:ind w:firstLine="0"/>
        <w:rPr>
          <w:color w:val="000000" w:themeColor="text1"/>
          <w:spacing w:val="4"/>
          <w:u w:val="single"/>
          <w14:textFill>
            <w14:solidFill>
              <w14:schemeClr w14:val="tx1"/>
            </w14:solidFill>
          </w14:textFill>
        </w:rPr>
      </w:pPr>
    </w:p>
    <w:p>
      <w:pPr>
        <w:pStyle w:val="5"/>
        <w:ind w:firstLine="0"/>
        <w:rPr>
          <w:color w:val="000000" w:themeColor="text1"/>
          <w:spacing w:val="4"/>
          <w:u w:val="single"/>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spacing w:line="440" w:lineRule="exact"/>
        <w:rPr>
          <w:color w:val="000000" w:themeColor="text1"/>
          <w:spacing w:val="4"/>
          <w:u w:val="single"/>
          <w14:textFill>
            <w14:solidFill>
              <w14:schemeClr w14:val="tx1"/>
            </w14:solidFill>
          </w14:textFill>
        </w:rPr>
      </w:pPr>
      <w:r>
        <w:rPr>
          <w:rFonts w:hint="eastAsia" w:hAnsi="宋体"/>
          <w:bCs/>
          <w:color w:val="000000" w:themeColor="text1"/>
          <w14:textFill>
            <w14:solidFill>
              <w14:schemeClr w14:val="tx1"/>
            </w14:solidFill>
          </w14:textFill>
        </w:rPr>
        <w:t>日期：</w:t>
      </w:r>
      <w:r>
        <w:rPr>
          <w:rFonts w:hint="eastAsia" w:hAnsi="宋体"/>
          <w:bCs/>
          <w:color w:val="000000" w:themeColor="text1"/>
          <w:u w:val="single"/>
          <w14:textFill>
            <w14:solidFill>
              <w14:schemeClr w14:val="tx1"/>
            </w14:solidFill>
          </w14:textFill>
        </w:rPr>
        <w:t xml:space="preserve">        </w:t>
      </w:r>
      <w:r>
        <w:rPr>
          <w:rFonts w:hint="eastAsia" w:hAnsi="宋体"/>
          <w:bCs/>
          <w:color w:val="000000" w:themeColor="text1"/>
          <w14:textFill>
            <w14:solidFill>
              <w14:schemeClr w14:val="tx1"/>
            </w14:solidFill>
          </w14:textFill>
        </w:rPr>
        <w:t>年</w:t>
      </w:r>
      <w:r>
        <w:rPr>
          <w:rFonts w:hint="eastAsia" w:hAnsi="宋体"/>
          <w:bCs/>
          <w:color w:val="000000" w:themeColor="text1"/>
          <w:u w:val="single"/>
          <w14:textFill>
            <w14:solidFill>
              <w14:schemeClr w14:val="tx1"/>
            </w14:solidFill>
          </w14:textFill>
        </w:rPr>
        <w:t xml:space="preserve">     </w:t>
      </w:r>
      <w:r>
        <w:rPr>
          <w:rFonts w:hint="eastAsia" w:hAnsi="宋体"/>
          <w:bCs/>
          <w:color w:val="000000" w:themeColor="text1"/>
          <w14:textFill>
            <w14:solidFill>
              <w14:schemeClr w14:val="tx1"/>
            </w14:solidFill>
          </w14:textFill>
        </w:rPr>
        <w:t>月</w:t>
      </w:r>
      <w:r>
        <w:rPr>
          <w:rFonts w:hint="eastAsia" w:hAnsi="宋体"/>
          <w:bCs/>
          <w:color w:val="000000" w:themeColor="text1"/>
          <w:u w:val="single"/>
          <w14:textFill>
            <w14:solidFill>
              <w14:schemeClr w14:val="tx1"/>
            </w14:solidFill>
          </w14:textFill>
        </w:rPr>
        <w:t xml:space="preserve">     </w:t>
      </w:r>
      <w:r>
        <w:rPr>
          <w:rFonts w:hint="eastAsia" w:hAnsi="宋体"/>
          <w:bCs/>
          <w:color w:val="000000" w:themeColor="text1"/>
          <w14:textFill>
            <w14:solidFill>
              <w14:schemeClr w14:val="tx1"/>
            </w14:solidFill>
          </w14:textFill>
        </w:rPr>
        <w:t>日</w:t>
      </w:r>
    </w:p>
    <w:p>
      <w:pPr>
        <w:pStyle w:val="17"/>
        <w:kinsoku w:val="0"/>
        <w:overflowPunct w:val="0"/>
        <w:spacing w:before="36"/>
        <w:ind w:left="500"/>
        <w:rPr>
          <w:color w:val="000000" w:themeColor="text1"/>
          <w14:textFill>
            <w14:solidFill>
              <w14:schemeClr w14:val="tx1"/>
            </w14:solidFill>
          </w14:textFill>
        </w:rPr>
      </w:pPr>
      <w:r>
        <w:rPr>
          <w:color w:val="000000" w:themeColor="text1"/>
          <w14:textFill>
            <w14:solidFill>
              <w14:schemeClr w14:val="tx1"/>
            </w14:solidFill>
          </w14:textFill>
        </w:rPr>
        <w:br w:type="page"/>
      </w:r>
    </w:p>
    <w:p>
      <w:pPr>
        <w:adjustRightInd w:val="0"/>
        <w:snapToGrid w:val="0"/>
        <w:spacing w:line="360" w:lineRule="auto"/>
        <w:rPr>
          <w:color w:val="000000" w:themeColor="text1"/>
          <w:spacing w:val="4"/>
          <w:u w:val="single"/>
          <w14:textFill>
            <w14:solidFill>
              <w14:schemeClr w14:val="tx1"/>
            </w14:solidFill>
          </w14:textFill>
        </w:rPr>
      </w:pPr>
    </w:p>
    <w:p>
      <w:pPr>
        <w:adjustRightInd w:val="0"/>
        <w:snapToGrid w:val="0"/>
        <w:spacing w:line="360" w:lineRule="auto"/>
        <w:jc w:val="center"/>
        <w:rPr>
          <w:rFonts w:ascii="黑体" w:hAnsi="宋体" w:eastAsia="黑体"/>
          <w:bCs/>
          <w:color w:val="000000" w:themeColor="text1"/>
          <w:kern w:val="44"/>
          <w14:textFill>
            <w14:solidFill>
              <w14:schemeClr w14:val="tx1"/>
            </w14:solidFill>
          </w14:textFill>
        </w:rPr>
      </w:pPr>
      <w:r>
        <w:rPr>
          <w:rFonts w:hint="eastAsia" w:ascii="黑体" w:hAnsi="宋体" w:eastAsia="黑体"/>
          <w:bCs/>
          <w:color w:val="000000" w:themeColor="text1"/>
          <w:kern w:val="44"/>
          <w14:textFill>
            <w14:solidFill>
              <w14:schemeClr w14:val="tx1"/>
            </w14:solidFill>
          </w14:textFill>
        </w:rPr>
        <w:t>附件六：同类业绩一览表</w:t>
      </w:r>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p>
    <w:p>
      <w:pPr>
        <w:adjustRightInd w:val="0"/>
        <w:snapToGrid w:val="0"/>
        <w:spacing w:line="360" w:lineRule="auto"/>
        <w:jc w:val="left"/>
        <w:rPr>
          <w:rFonts w:ascii="宋体" w:hAnsi="宋体"/>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szCs w:val="2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p>
    <w:tbl>
      <w:tblPr>
        <w:tblStyle w:val="4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57"/>
        <w:gridCol w:w="1206"/>
        <w:gridCol w:w="1063"/>
        <w:gridCol w:w="1333"/>
        <w:gridCol w:w="1174"/>
        <w:gridCol w:w="1126"/>
        <w:gridCol w:w="1162"/>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7"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序号</w:t>
            </w:r>
          </w:p>
        </w:tc>
        <w:tc>
          <w:tcPr>
            <w:tcW w:w="1157"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项目名称</w:t>
            </w:r>
          </w:p>
        </w:tc>
        <w:tc>
          <w:tcPr>
            <w:tcW w:w="1206"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内容</w:t>
            </w:r>
          </w:p>
        </w:tc>
        <w:tc>
          <w:tcPr>
            <w:tcW w:w="1063"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数量</w:t>
            </w:r>
          </w:p>
        </w:tc>
        <w:tc>
          <w:tcPr>
            <w:tcW w:w="1333"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中标金额（元）</w:t>
            </w:r>
          </w:p>
        </w:tc>
        <w:tc>
          <w:tcPr>
            <w:tcW w:w="1174"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完成日期</w:t>
            </w:r>
          </w:p>
        </w:tc>
        <w:tc>
          <w:tcPr>
            <w:tcW w:w="1126"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用户单位</w:t>
            </w:r>
          </w:p>
        </w:tc>
        <w:tc>
          <w:tcPr>
            <w:tcW w:w="1162"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联系电话</w:t>
            </w:r>
          </w:p>
        </w:tc>
        <w:tc>
          <w:tcPr>
            <w:tcW w:w="778"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5"/>
              <w:tabs>
                <w:tab w:val="left" w:pos="0"/>
              </w:tabs>
              <w:snapToGrid w:val="0"/>
              <w:ind w:right="-8677" w:rightChars="-4132" w:firstLine="0"/>
              <w:jc w:val="center"/>
              <w:rPr>
                <w:rFonts w:hAnsi="宋体"/>
                <w:bCs/>
                <w:color w:val="000000" w:themeColor="text1"/>
                <w:kern w:val="2"/>
                <w:sz w:val="21"/>
                <w:szCs w:val="24"/>
                <w14:textFill>
                  <w14:solidFill>
                    <w14:schemeClr w14:val="tx1"/>
                  </w14:solidFill>
                </w14:textFill>
              </w:rPr>
            </w:pPr>
          </w:p>
        </w:tc>
        <w:tc>
          <w:tcPr>
            <w:tcW w:w="1157"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p>
        </w:tc>
        <w:tc>
          <w:tcPr>
            <w:tcW w:w="120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063" w:type="dxa"/>
            <w:vAlign w:val="center"/>
          </w:tcPr>
          <w:p>
            <w:pPr>
              <w:pStyle w:val="5"/>
              <w:snapToGrid w:val="0"/>
              <w:ind w:firstLine="0"/>
              <w:jc w:val="center"/>
              <w:rPr>
                <w:rFonts w:hAnsi="宋体"/>
                <w:bCs/>
                <w:color w:val="000000" w:themeColor="text1"/>
                <w:kern w:val="2"/>
                <w:sz w:val="21"/>
                <w:szCs w:val="24"/>
                <w14:textFill>
                  <w14:solidFill>
                    <w14:schemeClr w14:val="tx1"/>
                  </w14:solidFill>
                </w14:textFill>
              </w:rPr>
            </w:pPr>
          </w:p>
        </w:tc>
        <w:tc>
          <w:tcPr>
            <w:tcW w:w="133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74"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2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62"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778"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5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0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06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33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74"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2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62"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778"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5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0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06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33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74"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2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62"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778"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5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0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06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33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74"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2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62"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778"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5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0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06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33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74"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2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62"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778"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5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0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06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33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74"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2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62"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778"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7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57"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20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06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333"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74"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26"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1162"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c>
          <w:tcPr>
            <w:tcW w:w="778" w:type="dxa"/>
            <w:vAlign w:val="center"/>
          </w:tcPr>
          <w:p>
            <w:pPr>
              <w:pStyle w:val="5"/>
              <w:snapToGrid w:val="0"/>
              <w:jc w:val="center"/>
              <w:rPr>
                <w:rFonts w:hAnsi="宋体"/>
                <w:bCs/>
                <w:color w:val="000000" w:themeColor="text1"/>
                <w:kern w:val="2"/>
                <w:sz w:val="21"/>
                <w:szCs w:val="24"/>
                <w14:textFill>
                  <w14:solidFill>
                    <w14:schemeClr w14:val="tx1"/>
                  </w14:solidFill>
                </w14:textFill>
              </w:rPr>
            </w:pPr>
          </w:p>
        </w:tc>
      </w:tr>
    </w:tbl>
    <w:p>
      <w:pPr>
        <w:pStyle w:val="5"/>
        <w:snapToGrid w:val="0"/>
        <w:spacing w:line="360" w:lineRule="auto"/>
        <w:ind w:firstLine="0"/>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注：如本表格式内容不能满足需要，投标人可自行划表填写，但必须体现以上内容。</w:t>
      </w:r>
    </w:p>
    <w:p>
      <w:pPr>
        <w:pStyle w:val="5"/>
        <w:snapToGrid w:val="0"/>
        <w:spacing w:line="360" w:lineRule="auto"/>
        <w:rPr>
          <w:rFonts w:hAnsi="宋体"/>
          <w:bCs/>
          <w:color w:val="000000" w:themeColor="text1"/>
          <w:sz w:val="21"/>
          <w14:textFill>
            <w14:solidFill>
              <w14:schemeClr w14:val="tx1"/>
            </w14:solidFill>
          </w14:textFill>
        </w:rPr>
      </w:pPr>
    </w:p>
    <w:p>
      <w:pPr>
        <w:pStyle w:val="5"/>
        <w:snapToGrid w:val="0"/>
        <w:spacing w:line="360" w:lineRule="auto"/>
        <w:rPr>
          <w:rFonts w:hAnsi="宋体"/>
          <w:bCs/>
          <w:color w:val="000000" w:themeColor="text1"/>
          <w:sz w:val="21"/>
          <w14:textFill>
            <w14:solidFill>
              <w14:schemeClr w14:val="tx1"/>
            </w14:solidFill>
          </w14:textFill>
        </w:rPr>
      </w:pPr>
    </w:p>
    <w:p>
      <w:pPr>
        <w:pStyle w:val="5"/>
        <w:snapToGrid w:val="0"/>
        <w:spacing w:line="360" w:lineRule="auto"/>
        <w:rPr>
          <w:rFonts w:hAnsi="宋体"/>
          <w:bCs/>
          <w:color w:val="000000" w:themeColor="text1"/>
          <w:sz w:val="21"/>
          <w14:textFill>
            <w14:solidFill>
              <w14:schemeClr w14:val="tx1"/>
            </w14:solidFill>
          </w14:textFill>
        </w:rPr>
      </w:pPr>
    </w:p>
    <w:p>
      <w:pPr>
        <w:pStyle w:val="5"/>
        <w:snapToGrid w:val="0"/>
        <w:spacing w:line="360" w:lineRule="auto"/>
        <w:rPr>
          <w:rFonts w:hAnsi="宋体"/>
          <w:bCs/>
          <w:color w:val="000000" w:themeColor="text1"/>
          <w:sz w:val="2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3"/>
        <w:numPr>
          <w:ilvl w:val="1"/>
          <w:numId w:val="0"/>
        </w:numPr>
        <w:jc w:val="both"/>
        <w:rPr>
          <w:color w:val="000000" w:themeColor="text1"/>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14:textFill>
            <w14:solidFill>
              <w14:schemeClr w14:val="tx1"/>
            </w14:solidFill>
          </w14:textFill>
        </w:rPr>
      </w:pPr>
      <w:bookmarkStart w:id="1961" w:name="_Toc9858"/>
      <w:bookmarkStart w:id="1962" w:name="_Toc27002"/>
      <w:bookmarkStart w:id="1963" w:name="_Toc6721"/>
      <w:bookmarkStart w:id="1964" w:name="_Toc432695230"/>
      <w:bookmarkStart w:id="1965" w:name="_Toc434832511"/>
      <w:r>
        <w:rPr>
          <w:rFonts w:hint="eastAsia"/>
          <w:color w:val="000000" w:themeColor="text1"/>
          <w14:textFill>
            <w14:solidFill>
              <w14:schemeClr w14:val="tx1"/>
            </w14:solidFill>
          </w14:textFill>
        </w:rPr>
        <w:t>附件七：中标服务费承诺</w:t>
      </w:r>
      <w:bookmarkEnd w:id="1961"/>
      <w:bookmarkEnd w:id="1962"/>
      <w:bookmarkEnd w:id="1963"/>
      <w:bookmarkEnd w:id="1964"/>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致</w:t>
      </w:r>
      <w:r>
        <w:rPr>
          <w:rFonts w:hint="eastAsia" w:ascii="宋体" w:hAnsi="宋体"/>
          <w:color w:val="000000" w:themeColor="text1"/>
          <w:u w:val="single"/>
          <w14:textFill>
            <w14:solidFill>
              <w14:schemeClr w14:val="tx1"/>
            </w14:solidFill>
          </w14:textFill>
        </w:rPr>
        <w:t>广东业信采购招标有限公司</w:t>
      </w:r>
      <w:r>
        <w:rPr>
          <w:rFonts w:hint="eastAsia" w:ascii="宋体" w:hAnsi="宋体"/>
          <w:color w:val="000000" w:themeColor="text1"/>
          <w14:textFill>
            <w14:solidFill>
              <w14:schemeClr w14:val="tx1"/>
            </w14:solidFill>
          </w14:textFill>
        </w:rPr>
        <w:t>：</w:t>
      </w:r>
    </w:p>
    <w:p>
      <w:pPr>
        <w:spacing w:line="360" w:lineRule="auto"/>
        <w:rPr>
          <w:rFonts w:ascii="宋体" w:hAnsi="宋体"/>
          <w:color w:val="000000" w:themeColor="text1"/>
          <w14:textFill>
            <w14:solidFill>
              <w14:schemeClr w14:val="tx1"/>
            </w14:solidFill>
          </w14:textFill>
        </w:rPr>
      </w:pP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针对贵方组织的（项目名称：</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）招标（项目编号: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），我方承诺：</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 若我方中标，将严格遵照本项目招标文件的规定向招标代理机构缴纳中标服务费。</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14:textFill>
            <w14:solidFill>
              <w14:schemeClr w14:val="tx1"/>
            </w14:solidFill>
          </w14:textFill>
        </w:rPr>
        <w:t>方</w:t>
      </w:r>
      <w:r>
        <w:rPr>
          <w:rFonts w:hint="eastAsia" w:ascii="宋体" w:hAnsi="宋体"/>
          <w:color w:val="000000" w:themeColor="text1"/>
          <w14:textFill>
            <w14:solidFill>
              <w14:schemeClr w14:val="tx1"/>
            </w14:solidFill>
          </w14:textFill>
        </w:rPr>
        <w:t>有权不予退还我方的投标保证金并重新确定中标结果，</w:t>
      </w:r>
      <w:r>
        <w:rPr>
          <w:rFonts w:hint="eastAsia" w:ascii="宋体"/>
          <w:color w:val="000000" w:themeColor="text1"/>
          <w14:textFill>
            <w14:solidFill>
              <w14:schemeClr w14:val="tx1"/>
            </w14:solidFill>
          </w14:textFill>
        </w:rPr>
        <w:t>我方对此无任何异议。</w:t>
      </w:r>
    </w:p>
    <w:p>
      <w:pPr>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440" w:lineRule="exact"/>
        <w:ind w:firstLine="420" w:firstLineChars="200"/>
        <w:rPr>
          <w:rFonts w:ascii="宋体" w:hAns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rPr>
          <w:color w:val="000000" w:themeColor="text1"/>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14:textFill>
            <w14:solidFill>
              <w14:schemeClr w14:val="tx1"/>
            </w14:solidFill>
          </w14:textFill>
        </w:rPr>
      </w:pPr>
      <w:bookmarkStart w:id="1966" w:name="_Toc326065622"/>
      <w:bookmarkStart w:id="1967" w:name="_Toc343612951"/>
      <w:bookmarkStart w:id="1968" w:name="_Toc340672900"/>
      <w:bookmarkStart w:id="1969" w:name="_Toc339020046"/>
      <w:bookmarkStart w:id="1970" w:name="_Toc339362331"/>
      <w:bookmarkStart w:id="1971" w:name="_Toc341348371"/>
      <w:bookmarkStart w:id="1972" w:name="_Toc342296792"/>
      <w:bookmarkStart w:id="1973" w:name="_Toc342398161"/>
      <w:bookmarkStart w:id="1974" w:name="_Toc350756481"/>
      <w:bookmarkStart w:id="1975" w:name="_Toc343247131"/>
      <w:bookmarkStart w:id="1976" w:name="_Toc333237820"/>
      <w:bookmarkStart w:id="1977" w:name="_Toc340507473"/>
      <w:bookmarkStart w:id="1978" w:name="_Toc333935377"/>
      <w:bookmarkStart w:id="1979" w:name="_Toc339020126"/>
      <w:bookmarkStart w:id="1980" w:name="_Toc340677101"/>
      <w:bookmarkStart w:id="1981" w:name="_Toc337632389"/>
      <w:bookmarkStart w:id="1982" w:name="_Toc365985212"/>
      <w:bookmarkStart w:id="1983" w:name="_Toc332206740"/>
      <w:bookmarkStart w:id="1984" w:name="_Toc345312628"/>
      <w:bookmarkStart w:id="1985" w:name="_Toc333237709"/>
      <w:bookmarkStart w:id="1986" w:name="_Toc342060406"/>
      <w:bookmarkStart w:id="1987" w:name="_Toc350438780"/>
      <w:bookmarkStart w:id="1988" w:name="_Toc1797"/>
      <w:bookmarkStart w:id="1989" w:name="_Toc5153"/>
      <w:bookmarkStart w:id="1990" w:name="_Toc333238665"/>
      <w:bookmarkStart w:id="1991" w:name="_Toc331684073"/>
      <w:bookmarkStart w:id="1992" w:name="_Toc332270378"/>
      <w:bookmarkStart w:id="1993" w:name="_Toc432695231"/>
      <w:bookmarkStart w:id="1994" w:name="_Toc343248449"/>
      <w:bookmarkStart w:id="1995" w:name="_Toc336681611"/>
      <w:bookmarkStart w:id="1996" w:name="_Toc339441118"/>
      <w:bookmarkStart w:id="1997" w:name="_Toc365967106"/>
      <w:bookmarkStart w:id="1998" w:name="_Toc339020264"/>
      <w:bookmarkStart w:id="1999" w:name="_Toc339019920"/>
      <w:bookmarkStart w:id="2000" w:name="_Toc342312474"/>
      <w:bookmarkStart w:id="2001" w:name="_Toc330460017"/>
      <w:bookmarkStart w:id="2002" w:name="_Toc336681966"/>
      <w:bookmarkStart w:id="2003" w:name="_Toc333935718"/>
      <w:bookmarkStart w:id="2004" w:name="_Toc331512932"/>
      <w:bookmarkStart w:id="2005" w:name="_Toc10463"/>
      <w:bookmarkStart w:id="2006" w:name="_Toc366072563"/>
      <w:r>
        <w:rPr>
          <w:rFonts w:hint="eastAsia"/>
          <w:color w:val="000000" w:themeColor="text1"/>
          <w14:textFill>
            <w14:solidFill>
              <w14:schemeClr w14:val="tx1"/>
            </w14:solidFill>
          </w14:textFill>
        </w:rPr>
        <w:t>附件八：</w:t>
      </w:r>
      <w:bookmarkEnd w:id="1966"/>
      <w:r>
        <w:rPr>
          <w:rFonts w:hint="eastAsia"/>
          <w:color w:val="000000" w:themeColor="text1"/>
          <w14:textFill>
            <w14:solidFill>
              <w14:schemeClr w14:val="tx1"/>
            </w14:solidFill>
          </w14:textFill>
        </w:rPr>
        <w:t>投标人提交的其它商务和技术资料</w:t>
      </w:r>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p>
    <w:p>
      <w:pPr>
        <w:adjustRightInd w:val="0"/>
        <w:snapToGrid w:val="0"/>
        <w:spacing w:line="360" w:lineRule="auto"/>
        <w:jc w:val="left"/>
        <w:rPr>
          <w:rFonts w:ascii="宋体" w:hAnsi="宋体"/>
          <w:bCs/>
          <w:color w:val="000000" w:themeColor="text1"/>
          <w14:textFill>
            <w14:solidFill>
              <w14:schemeClr w14:val="tx1"/>
            </w14:solidFill>
          </w14:textFill>
        </w:rPr>
      </w:pPr>
    </w:p>
    <w:p>
      <w:pPr>
        <w:adjustRightInd w:val="0"/>
        <w:snapToGrid w:val="0"/>
        <w:spacing w:line="360" w:lineRule="auto"/>
        <w:jc w:val="left"/>
        <w:rPr>
          <w:rFonts w:ascii="宋体" w:hAnsi="宋体"/>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szCs w:val="2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14:textFill>
            <w14:solidFill>
              <w14:schemeClr w14:val="tx1"/>
            </w14:solidFill>
          </w14:textFill>
        </w:rPr>
      </w:pPr>
    </w:p>
    <w:p>
      <w:pPr>
        <w:pStyle w:val="5"/>
        <w:spacing w:line="360" w:lineRule="auto"/>
        <w:rPr>
          <w:rFonts w:hAnsi="宋体"/>
          <w:bCs/>
          <w:color w:val="000000" w:themeColor="text1"/>
          <w:sz w:val="21"/>
          <w14:textFill>
            <w14:solidFill>
              <w14:schemeClr w14:val="tx1"/>
            </w14:solidFill>
          </w14:textFill>
        </w:rPr>
      </w:pPr>
    </w:p>
    <w:p>
      <w:pPr>
        <w:pStyle w:val="5"/>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一、</w:t>
      </w:r>
      <w:r>
        <w:rPr>
          <w:rFonts w:hAnsi="宋体"/>
          <w:bCs/>
          <w:color w:val="000000" w:themeColor="text1"/>
          <w:sz w:val="21"/>
          <w14:textFill>
            <w14:solidFill>
              <w14:schemeClr w14:val="tx1"/>
            </w14:solidFill>
          </w14:textFill>
        </w:rPr>
        <w:t>...</w:t>
      </w:r>
    </w:p>
    <w:p>
      <w:pPr>
        <w:pStyle w:val="5"/>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二、</w:t>
      </w:r>
      <w:r>
        <w:rPr>
          <w:rFonts w:hAnsi="宋体"/>
          <w:bCs/>
          <w:color w:val="000000" w:themeColor="text1"/>
          <w:sz w:val="21"/>
          <w14:textFill>
            <w14:solidFill>
              <w14:schemeClr w14:val="tx1"/>
            </w14:solidFill>
          </w14:textFill>
        </w:rPr>
        <w:t>...</w:t>
      </w:r>
    </w:p>
    <w:p>
      <w:pPr>
        <w:pStyle w:val="5"/>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三、</w:t>
      </w:r>
      <w:r>
        <w:rPr>
          <w:rFonts w:hAnsi="宋体"/>
          <w:bCs/>
          <w:color w:val="000000" w:themeColor="text1"/>
          <w:sz w:val="21"/>
          <w14:textFill>
            <w14:solidFill>
              <w14:schemeClr w14:val="tx1"/>
            </w14:solidFill>
          </w14:textFill>
        </w:rPr>
        <w:t>...</w:t>
      </w:r>
    </w:p>
    <w:p>
      <w:pPr>
        <w:pStyle w:val="5"/>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四、</w:t>
      </w:r>
      <w:r>
        <w:rPr>
          <w:rFonts w:hAnsi="宋体"/>
          <w:bCs/>
          <w:color w:val="000000" w:themeColor="text1"/>
          <w:sz w:val="21"/>
          <w14:textFill>
            <w14:solidFill>
              <w14:schemeClr w14:val="tx1"/>
            </w14:solidFill>
          </w14:textFill>
        </w:rPr>
        <w:t>...</w:t>
      </w:r>
    </w:p>
    <w:p>
      <w:pPr>
        <w:adjustRightInd w:val="0"/>
        <w:snapToGrid w:val="0"/>
        <w:spacing w:line="440" w:lineRule="exact"/>
        <w:rPr>
          <w:rFonts w:ascii="宋体" w:hAnsi="宋体"/>
          <w:bCs/>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5"/>
        <w:spacing w:line="360" w:lineRule="auto"/>
        <w:rPr>
          <w:color w:val="000000" w:themeColor="text1"/>
          <w14:textFill>
            <w14:solidFill>
              <w14:schemeClr w14:val="tx1"/>
            </w14:solidFill>
          </w14:textFill>
        </w:rPr>
      </w:pPr>
    </w:p>
    <w:p>
      <w:pPr>
        <w:adjustRightInd w:val="0"/>
        <w:snapToGrid w:val="0"/>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（投标人认为本节无须提交的，应注明“本节空白”字样）。</w:t>
      </w: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ind w:firstLine="0"/>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3"/>
        <w:numPr>
          <w:ilvl w:val="0"/>
          <w:numId w:val="0"/>
        </w:numPr>
        <w:rPr>
          <w:color w:val="000000" w:themeColor="text1"/>
          <w:sz w:val="52"/>
          <w14:textFill>
            <w14:solidFill>
              <w14:schemeClr w14:val="tx1"/>
            </w14:solidFill>
          </w14:textFill>
        </w:rPr>
      </w:pPr>
      <w:bookmarkStart w:id="2007" w:name="_Toc456888293"/>
      <w:bookmarkStart w:id="2008" w:name="_Toc21513"/>
      <w:bookmarkStart w:id="2009" w:name="_Toc10561"/>
      <w:bookmarkStart w:id="2010" w:name="_Toc456887842"/>
      <w:r>
        <w:rPr>
          <w:rFonts w:hint="eastAsia"/>
          <w:color w:val="000000" w:themeColor="text1"/>
          <w:sz w:val="52"/>
          <w14:textFill>
            <w14:solidFill>
              <w14:schemeClr w14:val="tx1"/>
            </w14:solidFill>
          </w14:textFill>
        </w:rPr>
        <w:t>其 他 格 式</w:t>
      </w:r>
      <w:bookmarkEnd w:id="1965"/>
      <w:bookmarkEnd w:id="2007"/>
      <w:bookmarkEnd w:id="2008"/>
      <w:bookmarkEnd w:id="2009"/>
      <w:bookmarkEnd w:id="2010"/>
    </w:p>
    <w:p>
      <w:pPr>
        <w:jc w:val="center"/>
        <w:rPr>
          <w:rFonts w:ascii="宋体" w:hAnsi="宋体"/>
          <w:b/>
          <w:color w:val="000000" w:themeColor="text1"/>
          <w:sz w:val="28"/>
          <w14:textFill>
            <w14:solidFill>
              <w14:schemeClr w14:val="tx1"/>
            </w14:solidFill>
          </w14:textFill>
        </w:rPr>
      </w:pPr>
      <w:r>
        <w:rPr>
          <w:rFonts w:hint="eastAsia" w:ascii="宋体" w:hAnsi="宋体"/>
          <w:b/>
          <w:color w:val="000000" w:themeColor="text1"/>
          <w:sz w:val="36"/>
          <w14:textFill>
            <w14:solidFill>
              <w14:schemeClr w14:val="tx1"/>
            </w14:solidFill>
          </w14:textFill>
        </w:rPr>
        <w:t>（以下文件勿装订在投标文件内</w:t>
      </w:r>
      <w:r>
        <w:rPr>
          <w:rFonts w:ascii="宋体" w:hAnsi="宋体"/>
          <w:b/>
          <w:color w:val="000000" w:themeColor="text1"/>
          <w:sz w:val="36"/>
          <w14:textFill>
            <w14:solidFill>
              <w14:schemeClr w14:val="tx1"/>
            </w14:solidFill>
          </w14:textFill>
        </w:rPr>
        <w:t>）</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pStyle w:val="4"/>
        <w:numPr>
          <w:ilvl w:val="0"/>
          <w:numId w:val="0"/>
        </w:numPr>
        <w:spacing w:after="120" w:afterLines="50"/>
        <w:jc w:val="center"/>
        <w:rPr>
          <w:rFonts w:ascii="宋体" w:hAnsi="宋体" w:eastAsia="宋体"/>
          <w:b/>
          <w:color w:val="000000" w:themeColor="text1"/>
          <w:sz w:val="28"/>
          <w14:textFill>
            <w14:solidFill>
              <w14:schemeClr w14:val="tx1"/>
            </w14:solidFill>
          </w14:textFill>
        </w:rPr>
      </w:pPr>
      <w:bookmarkStart w:id="2011" w:name="_Toc456887843"/>
      <w:bookmarkStart w:id="2012" w:name="_Toc5540"/>
      <w:bookmarkStart w:id="2013" w:name="_Toc456888294"/>
      <w:bookmarkStart w:id="2014" w:name="_Toc19882"/>
      <w:r>
        <w:rPr>
          <w:rFonts w:hint="eastAsia" w:ascii="宋体" w:hAnsi="宋体" w:eastAsia="宋体"/>
          <w:b/>
          <w:color w:val="000000" w:themeColor="text1"/>
          <w:sz w:val="28"/>
          <w14:textFill>
            <w14:solidFill>
              <w14:schemeClr w14:val="tx1"/>
            </w14:solidFill>
          </w14:textFill>
        </w:rPr>
        <w:t>投标保证金退付书</w:t>
      </w:r>
      <w:bookmarkEnd w:id="2011"/>
      <w:bookmarkEnd w:id="2012"/>
      <w:bookmarkEnd w:id="2013"/>
      <w:bookmarkEnd w:id="2014"/>
    </w:p>
    <w:p>
      <w:pPr>
        <w:spacing w:line="288" w:lineRule="auto"/>
        <w:rPr>
          <w:rFonts w:ascii="宋体" w:hAnsi="宋体"/>
          <w:b/>
          <w:color w:val="000000" w:themeColor="text1"/>
          <w:szCs w:val="21"/>
          <w14:textFill>
            <w14:solidFill>
              <w14:schemeClr w14:val="tx1"/>
            </w14:solidFill>
          </w14:textFill>
        </w:rPr>
      </w:pPr>
    </w:p>
    <w:p>
      <w:pPr>
        <w:spacing w:line="288"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本公司为本项目的投标已提交了足额投标保证金，请贵方在符合退还条件时请代划入下列账户：</w:t>
      </w:r>
    </w:p>
    <w:tbl>
      <w:tblPr>
        <w:tblStyle w:val="48"/>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5"/>
                <w:b/>
                <w:color w:val="000000" w:themeColor="text1"/>
                <w:spacing w:val="10"/>
                <w:sz w:val="21"/>
                <w:szCs w:val="21"/>
                <w:lang w:val="zh-CN"/>
                <w14:textFill>
                  <w14:solidFill>
                    <w14:schemeClr w14:val="tx1"/>
                  </w14:solidFill>
                </w14:textFill>
              </w:rPr>
            </w:pPr>
            <w:r>
              <w:rPr>
                <w:rStyle w:val="305"/>
                <w:b/>
                <w:color w:val="000000" w:themeColor="text1"/>
                <w:spacing w:val="10"/>
                <w:sz w:val="21"/>
                <w:szCs w:val="21"/>
                <w:lang w:val="zh-CN"/>
                <w14:textFill>
                  <w14:solidFill>
                    <w14:schemeClr w14:val="tx1"/>
                  </w14:solidFill>
                </w14:textFill>
              </w:rPr>
              <w:t>项目名称</w:t>
            </w:r>
          </w:p>
        </w:tc>
        <w:tc>
          <w:tcPr>
            <w:tcW w:w="6095" w:type="dxa"/>
            <w:gridSpan w:val="3"/>
          </w:tcPr>
          <w:p>
            <w:pPr>
              <w:ind w:right="206" w:rightChars="98"/>
              <w:rPr>
                <w:rStyle w:val="305"/>
                <w:rFonts w:ascii="宋体" w:hAnsi="宋体"/>
                <w:color w:val="000000" w:themeColor="text1"/>
                <w:spacing w:val="10"/>
                <w:sz w:val="2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5"/>
                <w:b/>
                <w:color w:val="000000" w:themeColor="text1"/>
                <w:spacing w:val="10"/>
                <w:sz w:val="21"/>
                <w:szCs w:val="21"/>
                <w:lang w:val="zh-CN"/>
                <w14:textFill>
                  <w14:solidFill>
                    <w14:schemeClr w14:val="tx1"/>
                  </w14:solidFill>
                </w14:textFill>
              </w:rPr>
            </w:pPr>
            <w:r>
              <w:rPr>
                <w:rStyle w:val="305"/>
                <w:b/>
                <w:color w:val="000000" w:themeColor="text1"/>
                <w:spacing w:val="10"/>
                <w:sz w:val="21"/>
                <w:szCs w:val="21"/>
                <w:lang w:val="zh-CN"/>
                <w14:textFill>
                  <w14:solidFill>
                    <w14:schemeClr w14:val="tx1"/>
                  </w14:solidFill>
                </w14:textFill>
              </w:rPr>
              <w:t>项目编号</w:t>
            </w:r>
          </w:p>
        </w:tc>
        <w:tc>
          <w:tcPr>
            <w:tcW w:w="6095" w:type="dxa"/>
            <w:gridSpan w:val="3"/>
          </w:tcPr>
          <w:p>
            <w:pPr>
              <w:ind w:right="206" w:rightChars="98"/>
              <w:rPr>
                <w:rStyle w:val="305"/>
                <w:color w:val="000000" w:themeColor="text1"/>
                <w:spacing w:val="10"/>
                <w:sz w:val="2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5"/>
                <w:b/>
                <w:color w:val="000000" w:themeColor="text1"/>
                <w:spacing w:val="10"/>
                <w:sz w:val="21"/>
                <w:szCs w:val="21"/>
                <w:lang w:val="zh-CN"/>
                <w14:textFill>
                  <w14:solidFill>
                    <w14:schemeClr w14:val="tx1"/>
                  </w14:solidFill>
                </w14:textFill>
              </w:rPr>
            </w:pPr>
            <w:r>
              <w:rPr>
                <w:rStyle w:val="305"/>
                <w:b/>
                <w:color w:val="000000" w:themeColor="text1"/>
                <w:spacing w:val="10"/>
                <w:sz w:val="21"/>
                <w:szCs w:val="21"/>
                <w:lang w:val="zh-CN"/>
                <w14:textFill>
                  <w14:solidFill>
                    <w14:schemeClr w14:val="tx1"/>
                  </w14:solidFill>
                </w14:textFill>
              </w:rPr>
              <w:t>收款单位</w:t>
            </w:r>
          </w:p>
        </w:tc>
        <w:tc>
          <w:tcPr>
            <w:tcW w:w="2836" w:type="dxa"/>
          </w:tcPr>
          <w:p>
            <w:pPr>
              <w:ind w:right="206" w:rightChars="98"/>
              <w:jc w:val="center"/>
              <w:rPr>
                <w:rStyle w:val="305"/>
                <w:b/>
                <w:color w:val="000000" w:themeColor="text1"/>
                <w:spacing w:val="10"/>
                <w:sz w:val="21"/>
                <w:szCs w:val="21"/>
                <w:lang w:val="zh-CN"/>
                <w14:textFill>
                  <w14:solidFill>
                    <w14:schemeClr w14:val="tx1"/>
                  </w14:solidFill>
                </w14:textFill>
              </w:rPr>
            </w:pPr>
            <w:r>
              <w:rPr>
                <w:rStyle w:val="305"/>
                <w:b/>
                <w:color w:val="000000" w:themeColor="text1"/>
                <w:spacing w:val="10"/>
                <w:sz w:val="21"/>
                <w:szCs w:val="21"/>
                <w:lang w:val="zh-CN"/>
                <w14:textFill>
                  <w14:solidFill>
                    <w14:schemeClr w14:val="tx1"/>
                  </w14:solidFill>
                </w14:textFill>
              </w:rPr>
              <w:t>收款单位名称</w:t>
            </w:r>
          </w:p>
        </w:tc>
        <w:tc>
          <w:tcPr>
            <w:tcW w:w="6095" w:type="dxa"/>
            <w:gridSpan w:val="3"/>
          </w:tcPr>
          <w:p>
            <w:pPr>
              <w:ind w:right="206" w:rightChars="98"/>
              <w:jc w:val="center"/>
              <w:rPr>
                <w:rStyle w:val="305"/>
                <w:color w:val="000000" w:themeColor="text1"/>
                <w:spacing w:val="10"/>
                <w:sz w:val="21"/>
                <w:szCs w:val="21"/>
                <w:u w:val="single"/>
                <w:lang w:val="zh-CN"/>
                <w14:textFill>
                  <w14:solidFill>
                    <w14:schemeClr w14:val="tx1"/>
                  </w14:solidFill>
                </w14:textFill>
              </w:rPr>
            </w:pPr>
            <w:r>
              <w:rPr>
                <w:rStyle w:val="305"/>
                <w:color w:val="000000" w:themeColor="text1"/>
                <w:spacing w:val="10"/>
                <w:sz w:val="21"/>
                <w:szCs w:val="21"/>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lang w:val="zh-CN"/>
                <w14:textFill>
                  <w14:solidFill>
                    <w14:schemeClr w14:val="tx1"/>
                  </w14:solidFill>
                </w14:textFill>
              </w:rPr>
            </w:pPr>
          </w:p>
        </w:tc>
        <w:tc>
          <w:tcPr>
            <w:tcW w:w="2836" w:type="dxa"/>
          </w:tcPr>
          <w:p>
            <w:pPr>
              <w:ind w:right="206" w:rightChars="98"/>
              <w:jc w:val="center"/>
              <w:rPr>
                <w:rStyle w:val="305"/>
                <w:b/>
                <w:color w:val="000000" w:themeColor="text1"/>
                <w:spacing w:val="10"/>
                <w:sz w:val="21"/>
                <w:szCs w:val="21"/>
                <w:lang w:val="zh-CN"/>
                <w14:textFill>
                  <w14:solidFill>
                    <w14:schemeClr w14:val="tx1"/>
                  </w14:solidFill>
                </w14:textFill>
              </w:rPr>
            </w:pPr>
            <w:r>
              <w:rPr>
                <w:rStyle w:val="305"/>
                <w:b/>
                <w:color w:val="000000" w:themeColor="text1"/>
                <w:spacing w:val="10"/>
                <w:sz w:val="21"/>
                <w:szCs w:val="21"/>
                <w:lang w:val="zh-CN"/>
                <w14:textFill>
                  <w14:solidFill>
                    <w14:schemeClr w14:val="tx1"/>
                  </w14:solidFill>
                </w14:textFill>
              </w:rPr>
              <w:t>收款单位地址</w:t>
            </w:r>
          </w:p>
        </w:tc>
        <w:tc>
          <w:tcPr>
            <w:tcW w:w="6095" w:type="dxa"/>
            <w:gridSpan w:val="3"/>
          </w:tcPr>
          <w:p>
            <w:pPr>
              <w:ind w:right="206" w:rightChars="98"/>
              <w:jc w:val="center"/>
              <w:rPr>
                <w:rStyle w:val="305"/>
                <w:color w:val="000000" w:themeColor="text1"/>
                <w:spacing w:val="10"/>
                <w:sz w:val="21"/>
                <w:szCs w:val="21"/>
                <w:lang w:val="zh-CN"/>
                <w14:textFill>
                  <w14:solidFill>
                    <w14:schemeClr w14:val="tx1"/>
                  </w14:solidFill>
                </w14:textFill>
              </w:rPr>
            </w:pPr>
            <w:r>
              <w:rPr>
                <w:rStyle w:val="305"/>
                <w:color w:val="000000" w:themeColor="text1"/>
                <w:spacing w:val="10"/>
                <w:sz w:val="21"/>
                <w:szCs w:val="21"/>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lang w:val="zh-CN"/>
                <w14:textFill>
                  <w14:solidFill>
                    <w14:schemeClr w14:val="tx1"/>
                  </w14:solidFill>
                </w14:textFill>
              </w:rPr>
            </w:pPr>
            <w:r>
              <w:rPr>
                <w:rStyle w:val="305"/>
                <w:b/>
                <w:color w:val="000000" w:themeColor="text1"/>
                <w:spacing w:val="10"/>
                <w:sz w:val="21"/>
                <w:szCs w:val="21"/>
                <w:lang w:val="zh-CN"/>
                <w14:textFill>
                  <w14:solidFill>
                    <w14:schemeClr w14:val="tx1"/>
                  </w14:solidFill>
                </w14:textFill>
              </w:rPr>
              <w:t>开户银行</w:t>
            </w:r>
            <w:r>
              <w:rPr>
                <w:rStyle w:val="305"/>
                <w:color w:val="000000" w:themeColor="text1"/>
                <w:spacing w:val="10"/>
                <w:sz w:val="21"/>
                <w:szCs w:val="21"/>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5"/>
                <w:color w:val="000000" w:themeColor="text1"/>
                <w:spacing w:val="10"/>
                <w:sz w:val="21"/>
                <w:szCs w:val="21"/>
                <w:lang w:val="zh-CN"/>
                <w14:textFill>
                  <w14:solidFill>
                    <w14:schemeClr w14:val="tx1"/>
                  </w14:solidFill>
                </w14:textFill>
              </w:rPr>
            </w:pPr>
            <w:r>
              <w:rPr>
                <w:rStyle w:val="305"/>
                <w:color w:val="000000" w:themeColor="text1"/>
                <w:spacing w:val="10"/>
                <w:sz w:val="21"/>
                <w:szCs w:val="21"/>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lang w:val="zh-CN"/>
                <w14:textFill>
                  <w14:solidFill>
                    <w14:schemeClr w14:val="tx1"/>
                  </w14:solidFill>
                </w14:textFill>
              </w:rPr>
            </w:pPr>
            <w:r>
              <w:rPr>
                <w:rStyle w:val="305"/>
                <w:b/>
                <w:color w:val="000000" w:themeColor="text1"/>
                <w:spacing w:val="10"/>
                <w:sz w:val="21"/>
                <w:szCs w:val="21"/>
                <w:lang w:val="zh-CN"/>
                <w14:textFill>
                  <w14:solidFill>
                    <w14:schemeClr w14:val="tx1"/>
                  </w14:solidFill>
                </w14:textFill>
              </w:rPr>
              <w:t>银行账号</w:t>
            </w:r>
          </w:p>
        </w:tc>
        <w:tc>
          <w:tcPr>
            <w:tcW w:w="6095" w:type="dxa"/>
            <w:gridSpan w:val="3"/>
          </w:tcPr>
          <w:p>
            <w:pPr>
              <w:ind w:right="206" w:rightChars="98"/>
              <w:jc w:val="center"/>
              <w:rPr>
                <w:rStyle w:val="305"/>
                <w:color w:val="000000" w:themeColor="text1"/>
                <w:spacing w:val="10"/>
                <w:sz w:val="21"/>
                <w:szCs w:val="21"/>
                <w:u w:val="single"/>
                <w:lang w:val="zh-CN"/>
                <w14:textFill>
                  <w14:solidFill>
                    <w14:schemeClr w14:val="tx1"/>
                  </w14:solidFill>
                </w14:textFill>
              </w:rPr>
            </w:pPr>
            <w:r>
              <w:rPr>
                <w:rStyle w:val="305"/>
                <w:color w:val="000000" w:themeColor="text1"/>
                <w:spacing w:val="10"/>
                <w:sz w:val="21"/>
                <w:szCs w:val="21"/>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lang w:val="zh-CN"/>
                <w14:textFill>
                  <w14:solidFill>
                    <w14:schemeClr w14:val="tx1"/>
                  </w14:solidFill>
                </w14:textFill>
              </w:rPr>
            </w:pPr>
            <w:r>
              <w:rPr>
                <w:rStyle w:val="305"/>
                <w:b/>
                <w:color w:val="000000" w:themeColor="text1"/>
                <w:spacing w:val="10"/>
                <w:sz w:val="21"/>
                <w:szCs w:val="21"/>
                <w:lang w:val="zh-CN"/>
                <w14:textFill>
                  <w14:solidFill>
                    <w14:schemeClr w14:val="tx1"/>
                  </w14:solidFill>
                </w14:textFill>
              </w:rPr>
              <w:t>总金额（投标保证金）</w:t>
            </w:r>
          </w:p>
        </w:tc>
        <w:tc>
          <w:tcPr>
            <w:tcW w:w="6095" w:type="dxa"/>
            <w:gridSpan w:val="3"/>
            <w:vAlign w:val="center"/>
          </w:tcPr>
          <w:p>
            <w:pPr>
              <w:ind w:right="206" w:rightChars="98"/>
              <w:jc w:val="center"/>
              <w:rPr>
                <w:rStyle w:val="305"/>
                <w:color w:val="000000" w:themeColor="text1"/>
                <w:spacing w:val="10"/>
                <w:sz w:val="21"/>
                <w:szCs w:val="21"/>
                <w:lang w:val="zh-CN"/>
                <w14:textFill>
                  <w14:solidFill>
                    <w14:schemeClr w14:val="tx1"/>
                  </w14:solidFill>
                </w14:textFill>
              </w:rPr>
            </w:pPr>
            <w:r>
              <w:rPr>
                <w:color w:val="000000" w:themeColor="text1"/>
                <w:szCs w:val="21"/>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lang w:val="zh-CN"/>
                <w14:textFill>
                  <w14:solidFill>
                    <w14:schemeClr w14:val="tx1"/>
                  </w14:solidFill>
                </w14:textFill>
              </w:rPr>
            </w:pPr>
          </w:p>
        </w:tc>
        <w:tc>
          <w:tcPr>
            <w:tcW w:w="2836" w:type="dxa"/>
            <w:vMerge w:val="restart"/>
            <w:vAlign w:val="center"/>
          </w:tcPr>
          <w:p>
            <w:pPr>
              <w:ind w:right="206" w:rightChars="98"/>
              <w:jc w:val="center"/>
              <w:rPr>
                <w:rStyle w:val="305"/>
                <w:b/>
                <w:color w:val="000000" w:themeColor="text1"/>
                <w:spacing w:val="10"/>
                <w:sz w:val="21"/>
                <w:szCs w:val="21"/>
                <w:lang w:val="zh-CN"/>
                <w14:textFill>
                  <w14:solidFill>
                    <w14:schemeClr w14:val="tx1"/>
                  </w14:solidFill>
                </w14:textFill>
              </w:rPr>
            </w:pPr>
            <w:r>
              <w:rPr>
                <w:rStyle w:val="305"/>
                <w:b/>
                <w:color w:val="000000" w:themeColor="text1"/>
                <w:spacing w:val="10"/>
                <w:sz w:val="21"/>
                <w:szCs w:val="21"/>
                <w:lang w:val="zh-CN"/>
                <w14:textFill>
                  <w14:solidFill>
                    <w14:schemeClr w14:val="tx1"/>
                  </w14:solidFill>
                </w14:textFill>
              </w:rPr>
              <w:t>财务联系人</w:t>
            </w:r>
          </w:p>
        </w:tc>
        <w:tc>
          <w:tcPr>
            <w:tcW w:w="1498" w:type="dxa"/>
            <w:vMerge w:val="restart"/>
            <w:vAlign w:val="center"/>
          </w:tcPr>
          <w:p>
            <w:pPr>
              <w:ind w:right="206" w:rightChars="98"/>
              <w:rPr>
                <w:rStyle w:val="305"/>
                <w:color w:val="000000" w:themeColor="text1"/>
                <w:spacing w:val="10"/>
                <w:sz w:val="21"/>
                <w:szCs w:val="21"/>
                <w:lang w:val="zh-CN"/>
                <w14:textFill>
                  <w14:solidFill>
                    <w14:schemeClr w14:val="tx1"/>
                  </w14:solidFill>
                </w14:textFill>
              </w:rPr>
            </w:pPr>
          </w:p>
        </w:tc>
        <w:tc>
          <w:tcPr>
            <w:tcW w:w="1481" w:type="dxa"/>
            <w:vAlign w:val="center"/>
          </w:tcPr>
          <w:p>
            <w:pPr>
              <w:ind w:right="206" w:rightChars="98"/>
              <w:jc w:val="center"/>
              <w:rPr>
                <w:rStyle w:val="305"/>
                <w:color w:val="000000" w:themeColor="text1"/>
                <w:spacing w:val="10"/>
                <w:sz w:val="21"/>
                <w:szCs w:val="21"/>
                <w:lang w:val="zh-CN"/>
                <w14:textFill>
                  <w14:solidFill>
                    <w14:schemeClr w14:val="tx1"/>
                  </w14:solidFill>
                </w14:textFill>
              </w:rPr>
            </w:pPr>
            <w:r>
              <w:rPr>
                <w:rStyle w:val="305"/>
                <w:color w:val="000000" w:themeColor="text1"/>
                <w:spacing w:val="10"/>
                <w:sz w:val="21"/>
                <w:szCs w:val="21"/>
                <w:lang w:val="zh-CN"/>
                <w14:textFill>
                  <w14:solidFill>
                    <w14:schemeClr w14:val="tx1"/>
                  </w14:solidFill>
                </w14:textFill>
              </w:rPr>
              <w:t>联系电话</w:t>
            </w:r>
          </w:p>
        </w:tc>
        <w:tc>
          <w:tcPr>
            <w:tcW w:w="3116" w:type="dxa"/>
            <w:vAlign w:val="center"/>
          </w:tcPr>
          <w:p>
            <w:pPr>
              <w:ind w:right="206" w:rightChars="98"/>
              <w:rPr>
                <w:rStyle w:val="305"/>
                <w:color w:val="000000" w:themeColor="text1"/>
                <w:spacing w:val="10"/>
                <w:sz w:val="2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lang w:val="zh-CN"/>
                <w14:textFill>
                  <w14:solidFill>
                    <w14:schemeClr w14:val="tx1"/>
                  </w14:solidFill>
                </w14:textFill>
              </w:rPr>
            </w:pPr>
          </w:p>
        </w:tc>
        <w:tc>
          <w:tcPr>
            <w:tcW w:w="2836" w:type="dxa"/>
            <w:vMerge w:val="continue"/>
          </w:tcPr>
          <w:p>
            <w:pPr>
              <w:ind w:right="206" w:rightChars="98"/>
              <w:jc w:val="center"/>
              <w:rPr>
                <w:rStyle w:val="305"/>
                <w:b/>
                <w:color w:val="000000" w:themeColor="text1"/>
                <w:spacing w:val="10"/>
                <w:sz w:val="21"/>
                <w:szCs w:val="21"/>
                <w:lang w:val="zh-CN"/>
                <w14:textFill>
                  <w14:solidFill>
                    <w14:schemeClr w14:val="tx1"/>
                  </w14:solidFill>
                </w14:textFill>
              </w:rPr>
            </w:pPr>
          </w:p>
        </w:tc>
        <w:tc>
          <w:tcPr>
            <w:tcW w:w="1498" w:type="dxa"/>
            <w:vMerge w:val="continue"/>
            <w:vAlign w:val="center"/>
          </w:tcPr>
          <w:p>
            <w:pPr>
              <w:ind w:right="206" w:rightChars="98"/>
              <w:rPr>
                <w:rStyle w:val="305"/>
                <w:color w:val="000000" w:themeColor="text1"/>
                <w:spacing w:val="10"/>
                <w:sz w:val="21"/>
                <w:szCs w:val="21"/>
                <w:lang w:val="zh-CN"/>
                <w14:textFill>
                  <w14:solidFill>
                    <w14:schemeClr w14:val="tx1"/>
                  </w14:solidFill>
                </w14:textFill>
              </w:rPr>
            </w:pPr>
          </w:p>
        </w:tc>
        <w:tc>
          <w:tcPr>
            <w:tcW w:w="1481" w:type="dxa"/>
            <w:vAlign w:val="center"/>
          </w:tcPr>
          <w:p>
            <w:pPr>
              <w:ind w:right="206" w:rightChars="98"/>
              <w:jc w:val="center"/>
              <w:rPr>
                <w:rStyle w:val="305"/>
                <w:color w:val="000000" w:themeColor="text1"/>
                <w:spacing w:val="10"/>
                <w:sz w:val="21"/>
                <w:szCs w:val="21"/>
                <w:lang w:val="zh-CN"/>
                <w14:textFill>
                  <w14:solidFill>
                    <w14:schemeClr w14:val="tx1"/>
                  </w14:solidFill>
                </w14:textFill>
              </w:rPr>
            </w:pPr>
            <w:r>
              <w:rPr>
                <w:rStyle w:val="305"/>
                <w:color w:val="000000" w:themeColor="text1"/>
                <w:spacing w:val="10"/>
                <w:sz w:val="21"/>
                <w:szCs w:val="21"/>
                <w:lang w:val="zh-CN"/>
                <w14:textFill>
                  <w14:solidFill>
                    <w14:schemeClr w14:val="tx1"/>
                  </w14:solidFill>
                </w14:textFill>
              </w:rPr>
              <w:t>传真</w:t>
            </w:r>
          </w:p>
        </w:tc>
        <w:tc>
          <w:tcPr>
            <w:tcW w:w="3116" w:type="dxa"/>
            <w:vAlign w:val="center"/>
          </w:tcPr>
          <w:p>
            <w:pPr>
              <w:ind w:right="206" w:rightChars="98"/>
              <w:rPr>
                <w:rStyle w:val="305"/>
                <w:color w:val="000000" w:themeColor="text1"/>
                <w:spacing w:val="10"/>
                <w:sz w:val="21"/>
                <w:szCs w:val="21"/>
                <w:lang w:val="zh-CN"/>
                <w14:textFill>
                  <w14:solidFill>
                    <w14:schemeClr w14:val="tx1"/>
                  </w14:solidFill>
                </w14:textFill>
              </w:rPr>
            </w:pPr>
          </w:p>
        </w:tc>
      </w:tr>
    </w:tbl>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注：保证金退还账户必须为对公账户。</w:t>
      </w:r>
    </w:p>
    <w:tbl>
      <w:tblPr>
        <w:tblStyle w:val="48"/>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投标保证金银行汇款单复印件</w:t>
            </w:r>
          </w:p>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（请投标投标人在此处贴上）</w:t>
            </w:r>
          </w:p>
        </w:tc>
      </w:tr>
    </w:tbl>
    <w:p>
      <w:pPr>
        <w:rPr>
          <w:rFonts w:ascii="宋体" w:hAnsi="宋体"/>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注：本退付书须放入唱标信封内，勿装订在投标文件内。</w:t>
      </w:r>
    </w:p>
    <w:p>
      <w:pPr>
        <w:rPr>
          <w:rFonts w:ascii="宋体" w:hAnsi="宋体"/>
          <w:b/>
          <w:color w:val="000000" w:themeColor="text1"/>
          <w:szCs w:val="21"/>
          <w14:textFill>
            <w14:solidFill>
              <w14:schemeClr w14:val="tx1"/>
            </w14:solidFill>
          </w14:textFill>
        </w:rPr>
      </w:pPr>
    </w:p>
    <w:p>
      <w:pPr>
        <w:jc w:val="center"/>
        <w:rPr>
          <w:b/>
          <w:bCs/>
          <w:color w:val="000000" w:themeColor="text1"/>
          <w:sz w:val="44"/>
          <w:szCs w:val="44"/>
          <w14:textFill>
            <w14:solidFill>
              <w14:schemeClr w14:val="tx1"/>
            </w14:solidFill>
          </w14:textFill>
        </w:rPr>
      </w:pPr>
    </w:p>
    <w:p>
      <w:pPr>
        <w:jc w:val="center"/>
        <w:rPr>
          <w:b/>
          <w:bCs/>
          <w:color w:val="000000" w:themeColor="text1"/>
          <w:szCs w:val="21"/>
          <w14:textFill>
            <w14:solidFill>
              <w14:schemeClr w14:val="tx1"/>
            </w14:solidFill>
          </w14:textFill>
        </w:rPr>
      </w:pPr>
      <w:r>
        <w:rPr>
          <w:rFonts w:hint="eastAsia"/>
          <w:b/>
          <w:bCs/>
          <w:color w:val="000000" w:themeColor="text1"/>
          <w:sz w:val="44"/>
          <w:szCs w:val="44"/>
          <w14:textFill>
            <w14:solidFill>
              <w14:schemeClr w14:val="tx1"/>
            </w14:solidFill>
          </w14:textFill>
        </w:rPr>
        <w:t>购买标书登记表</w:t>
      </w:r>
    </w:p>
    <w:p>
      <w:pPr>
        <w:jc w:val="center"/>
        <w:rPr>
          <w:color w:val="000000" w:themeColor="text1"/>
          <w:szCs w:val="21"/>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招标编号</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购买时间</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投标商名称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地址</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电话</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传真</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手机</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职务</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电子邮件</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拟投设备</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制造厂商</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经营范围</w:t>
            </w:r>
          </w:p>
        </w:tc>
        <w:tc>
          <w:tcPr>
            <w:tcW w:w="6775" w:type="dxa"/>
            <w:gridSpan w:val="3"/>
          </w:tcPr>
          <w:p>
            <w:pPr>
              <w:rPr>
                <w:color w:val="000000" w:themeColor="text1"/>
                <w:sz w:val="28"/>
                <w:szCs w:val="28"/>
                <w14:textFill>
                  <w14:solidFill>
                    <w14:schemeClr w14:val="tx1"/>
                  </w14:solidFill>
                </w14:textFill>
              </w:rPr>
            </w:pPr>
          </w:p>
        </w:tc>
      </w:tr>
    </w:tbl>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14:textFill>
            <w14:solidFill>
              <w14:schemeClr w14:val="tx1"/>
            </w14:solidFill>
          </w14:textFill>
        </w:rPr>
      </w:pPr>
    </w:p>
    <w:p>
      <w:pPr>
        <w:snapToGrid w:val="0"/>
        <w:spacing w:line="360" w:lineRule="auto"/>
        <w:ind w:firstLine="424" w:firstLineChars="20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14:textFill>
            <w14:solidFill>
              <w14:schemeClr w14:val="tx1"/>
            </w14:solidFill>
          </w14:textFill>
        </w:rPr>
      </w:pPr>
    </w:p>
    <w:p>
      <w:pPr>
        <w:pStyle w:val="42"/>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1：询问函格式</w:t>
      </w:r>
    </w:p>
    <w:p>
      <w:pPr>
        <w:pStyle w:val="42"/>
        <w:spacing w:before="0" w:beforeAutospacing="0" w:after="0" w:afterAutospacing="0" w:line="360" w:lineRule="auto"/>
        <w:jc w:val="center"/>
        <w:rPr>
          <w:rStyle w:val="51"/>
          <w:rFonts w:cs="Times New Roman"/>
          <w:color w:val="000000" w:themeColor="text1"/>
          <w14:textFill>
            <w14:solidFill>
              <w14:schemeClr w14:val="tx1"/>
            </w14:solidFill>
          </w14:textFill>
        </w:rPr>
      </w:pPr>
      <w:r>
        <w:rPr>
          <w:rStyle w:val="51"/>
          <w:rFonts w:hint="eastAsia" w:cs="Times New Roman"/>
          <w:b w:val="0"/>
          <w:color w:val="000000" w:themeColor="text1"/>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我单位已报名并准备参与</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项目（采购文件编号：</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电话/传真：</w:t>
      </w:r>
    </w:p>
    <w:p>
      <w:pPr>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napToGrid w:val="0"/>
        <w:spacing w:line="360" w:lineRule="auto"/>
        <w:ind w:firstLine="432" w:firstLineChars="180"/>
        <w:rPr>
          <w:rFonts w:ascii="宋体" w:hAnsi="宋体"/>
          <w:color w:val="000000" w:themeColor="text1"/>
          <w:sz w:val="24"/>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r>
        <w:rPr>
          <w:rFonts w:hint="eastAsia"/>
          <w:color w:val="000000" w:themeColor="text1"/>
          <w14:textFill>
            <w14:solidFill>
              <w14:schemeClr w14:val="tx1"/>
            </w14:solidFill>
          </w14:textFill>
        </w:rPr>
        <w:t>2：质疑函格式</w:t>
      </w:r>
    </w:p>
    <w:p>
      <w:pPr>
        <w:pStyle w:val="42"/>
        <w:spacing w:before="0" w:beforeAutospacing="0" w:after="0" w:afterAutospacing="0" w:line="360" w:lineRule="auto"/>
        <w:jc w:val="center"/>
        <w:rPr>
          <w:rStyle w:val="51"/>
          <w:rFonts w:cs="Times New Roman"/>
          <w:color w:val="000000" w:themeColor="text1"/>
          <w14:textFill>
            <w14:solidFill>
              <w14:schemeClr w14:val="tx1"/>
            </w14:solidFill>
          </w14:textFill>
        </w:rPr>
      </w:pPr>
      <w:r>
        <w:rPr>
          <w:rStyle w:val="51"/>
          <w:rFonts w:hint="eastAsia" w:cs="Times New Roman"/>
          <w:b w:val="0"/>
          <w:color w:val="000000" w:themeColor="text1"/>
          <w14:textFill>
            <w14:solidFill>
              <w14:schemeClr w14:val="tx1"/>
            </w14:solidFill>
          </w14:textFill>
        </w:rPr>
        <w:t>质疑函</w:t>
      </w:r>
    </w:p>
    <w:p>
      <w:pPr>
        <w:adjustRightInd w:val="0"/>
        <w:snapToGrid w:val="0"/>
        <w:spacing w:before="240" w:beforeLines="100"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质疑供应商：</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联系人：</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授权代表：</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r>
        <w:rPr>
          <w:rFonts w:ascii="宋体" w:hAnsi="宋体" w:cs="仿宋"/>
          <w:color w:val="000000" w:themeColor="text1"/>
          <w:sz w:val="24"/>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ascii="宋体" w:hAnsi="宋体" w:cs="仿宋"/>
          <w:color w:val="000000" w:themeColor="text1"/>
          <w:sz w:val="24"/>
          <w14:textFill>
            <w14:solidFill>
              <w14:schemeClr w14:val="tx1"/>
            </w14:solidFill>
          </w14:textFill>
        </w:rPr>
        <w:t xml:space="preserve"> </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质疑项目的编号：</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包号：</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招标人名称：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采购文件获取日期：</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质疑事项1：</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事实依据：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法律依据：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质疑事项2</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请求：</w:t>
      </w:r>
      <w:r>
        <w:rPr>
          <w:rFonts w:hint="eastAsia" w:ascii="宋体" w:hAnsi="宋体" w:cs="仿宋"/>
          <w:color w:val="000000" w:themeColor="text1"/>
          <w:sz w:val="24"/>
          <w:u w:val="dotted"/>
          <w14:textFill>
            <w14:solidFill>
              <w14:schemeClr w14:val="tx1"/>
            </w14:solidFill>
          </w14:textFill>
        </w:rPr>
        <w:t xml:space="preserve">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签字(签章)：                   公章：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14:textFill>
            <w14:solidFill>
              <w14:schemeClr w14:val="tx1"/>
            </w14:solidFill>
          </w14:textFill>
        </w:rPr>
      </w:pPr>
    </w:p>
    <w:p>
      <w:pPr>
        <w:adjustRightInd w:val="0"/>
        <w:snapToGrid w:val="0"/>
        <w:spacing w:line="360" w:lineRule="auto"/>
        <w:rPr>
          <w:rFonts w:ascii="宋体" w:hAnsi="宋体" w:cs="仿宋"/>
          <w:color w:val="000000" w:themeColor="text1"/>
          <w:sz w:val="24"/>
          <w14:textFill>
            <w14:solidFill>
              <w14:schemeClr w14:val="tx1"/>
            </w14:solidFill>
          </w14:textFill>
        </w:rPr>
      </w:pPr>
    </w:p>
    <w:p>
      <w:pPr>
        <w:adjustRightInd w:val="0"/>
        <w:snapToGrid w:val="0"/>
        <w:spacing w:line="360" w:lineRule="auto"/>
        <w:rPr>
          <w:rFonts w:ascii="宋体" w:hAnsi="宋体" w:cs="仿宋"/>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14:textFill>
            <w14:solidFill>
              <w14:schemeClr w14:val="tx1"/>
            </w14:solidFill>
          </w14:textFill>
        </w:rPr>
        <w:t>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法定代表人（负责人）或</w:t>
      </w:r>
      <w:r>
        <w:rPr>
          <w:rFonts w:hint="eastAsia" w:ascii="宋体" w:hAnsi="宋体" w:cs="宋体"/>
          <w:color w:val="000000" w:themeColor="text1"/>
          <w:kern w:val="0"/>
          <w:szCs w:val="21"/>
          <w14:textFill>
            <w14:solidFill>
              <w14:schemeClr w14:val="tx1"/>
            </w14:solidFill>
          </w14:textFill>
        </w:rPr>
        <w:t>授权代理人</w:t>
      </w:r>
      <w:r>
        <w:rPr>
          <w:rFonts w:ascii="宋体" w:hAnsi="宋体" w:cs="宋体"/>
          <w:color w:val="000000" w:themeColor="text1"/>
          <w:kern w:val="0"/>
          <w:szCs w:val="21"/>
          <w14:textFill>
            <w14:solidFill>
              <w14:schemeClr w14:val="tx1"/>
            </w14:solidFill>
          </w14:textFill>
        </w:rPr>
        <w:t>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委托书、法定代表人（负责人）身份证复印件、授权代理人身份证复印件，并与招标代理机构工作人员做好确认工作，未被确认的质疑将作为无效质疑，招标人</w:t>
      </w:r>
      <w:r>
        <w:rPr>
          <w:rFonts w:ascii="宋体" w:hAnsi="宋体" w:cs="宋体"/>
          <w:color w:val="000000" w:themeColor="text1"/>
          <w:kern w:val="0"/>
          <w:szCs w:val="21"/>
          <w14:textFill>
            <w14:solidFill>
              <w14:schemeClr w14:val="tx1"/>
            </w14:solidFill>
          </w14:textFill>
        </w:rPr>
        <w:t>或</w:t>
      </w:r>
      <w:r>
        <w:rPr>
          <w:rFonts w:hint="eastAsia" w:ascii="宋体" w:hAnsi="宋体" w:cs="宋体"/>
          <w:color w:val="000000" w:themeColor="text1"/>
          <w:kern w:val="0"/>
          <w:szCs w:val="21"/>
          <w14:textFill>
            <w14:solidFill>
              <w14:schemeClr w14:val="tx1"/>
            </w14:solidFill>
          </w14:textFill>
        </w:rPr>
        <w:t>招标代理机构可不予作答。</w:t>
      </w:r>
    </w:p>
    <w:p>
      <w:pPr>
        <w:widowControl/>
        <w:snapToGrid w:val="0"/>
        <w:spacing w:line="360" w:lineRule="auto"/>
        <w:ind w:right="960"/>
        <w:rPr>
          <w:rFonts w:ascii="宋体" w:hAnsi="宋体"/>
          <w:color w:val="000000" w:themeColor="text1"/>
          <w:sz w:val="24"/>
          <w14:textFill>
            <w14:solidFill>
              <w14:schemeClr w14:val="tx1"/>
            </w14:solidFill>
          </w14:textFill>
        </w:rPr>
      </w:pPr>
    </w:p>
    <w:p>
      <w:pPr>
        <w:spacing w:line="360" w:lineRule="auto"/>
        <w:jc w:val="left"/>
        <w:rPr>
          <w:rFonts w:ascii="仿宋_GB2312" w:hAnsi="仿宋" w:eastAsia="仿宋_GB2312"/>
          <w:color w:val="000000" w:themeColor="text1"/>
          <w:sz w:val="24"/>
          <w14:textFill>
            <w14:solidFill>
              <w14:schemeClr w14:val="tx1"/>
            </w14:solidFill>
          </w14:textFill>
        </w:rPr>
      </w:pPr>
    </w:p>
    <w:p>
      <w:pPr>
        <w:rPr>
          <w:rFonts w:ascii="宋体" w:hAnsi="宋体"/>
          <w:b/>
          <w:color w:val="000000" w:themeColor="text1"/>
          <w:szCs w:val="21"/>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2"/>
      </w:rPr>
    </w:pPr>
    <w:r>
      <w:fldChar w:fldCharType="begin"/>
    </w:r>
    <w:r>
      <w:rPr>
        <w:rStyle w:val="52"/>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7F089"/>
    <w:multiLevelType w:val="singleLevel"/>
    <w:tmpl w:val="8B27F089"/>
    <w:lvl w:ilvl="0" w:tentative="0">
      <w:start w:val="1"/>
      <w:numFmt w:val="decimal"/>
      <w:lvlText w:val="%1."/>
      <w:lvlJc w:val="left"/>
      <w:pPr>
        <w:ind w:left="425" w:hanging="425"/>
      </w:pPr>
      <w:rPr>
        <w:rFonts w:hint="default"/>
      </w:rPr>
    </w:lvl>
  </w:abstractNum>
  <w:abstractNum w:abstractNumId="1">
    <w:nsid w:val="8BA61ECA"/>
    <w:multiLevelType w:val="singleLevel"/>
    <w:tmpl w:val="8BA61ECA"/>
    <w:lvl w:ilvl="0" w:tentative="0">
      <w:start w:val="1"/>
      <w:numFmt w:val="decimal"/>
      <w:lvlText w:val="%1."/>
      <w:lvlJc w:val="left"/>
      <w:pPr>
        <w:ind w:left="425" w:hanging="425"/>
      </w:pPr>
      <w:rPr>
        <w:rFonts w:hint="default"/>
      </w:rPr>
    </w:lvl>
  </w:abstractNum>
  <w:abstractNum w:abstractNumId="2">
    <w:nsid w:val="AB31DD7B"/>
    <w:multiLevelType w:val="singleLevel"/>
    <w:tmpl w:val="AB31DD7B"/>
    <w:lvl w:ilvl="0" w:tentative="0">
      <w:start w:val="3"/>
      <w:numFmt w:val="decimal"/>
      <w:suff w:val="nothing"/>
      <w:lvlText w:val="%1、"/>
      <w:lvlJc w:val="left"/>
    </w:lvl>
  </w:abstractNum>
  <w:abstractNum w:abstractNumId="3">
    <w:nsid w:val="B24EAD5F"/>
    <w:multiLevelType w:val="singleLevel"/>
    <w:tmpl w:val="B24EAD5F"/>
    <w:lvl w:ilvl="0" w:tentative="0">
      <w:start w:val="1"/>
      <w:numFmt w:val="chineseCounting"/>
      <w:suff w:val="nothing"/>
      <w:lvlText w:val="（%1）"/>
      <w:lvlJc w:val="left"/>
      <w:rPr>
        <w:rFonts w:hint="eastAsia"/>
      </w:rPr>
    </w:lvl>
  </w:abstractNum>
  <w:abstractNum w:abstractNumId="4">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5">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7">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8">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10">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11">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3">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6">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9">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20">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22">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3">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5">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6">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8">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9">
    <w:nsid w:val="00000033"/>
    <w:multiLevelType w:val="multilevel"/>
    <w:tmpl w:val="00000033"/>
    <w:lvl w:ilvl="0" w:tentative="0">
      <w:start w:val="1"/>
      <w:numFmt w:val="decimal"/>
      <w:suff w:val="nothing"/>
      <w:lvlText w:val="%1、"/>
      <w:lvlJc w:val="left"/>
      <w:pPr>
        <w:ind w:left="57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1">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15EAC7E5"/>
    <w:multiLevelType w:val="multilevel"/>
    <w:tmpl w:val="15EAC7E5"/>
    <w:lvl w:ilvl="0" w:tentative="0">
      <w:start w:val="1"/>
      <w:numFmt w:val="chineseCounting"/>
      <w:suff w:val="nothing"/>
      <w:lvlText w:val="%1、"/>
      <w:lvlJc w:val="left"/>
      <w:pPr>
        <w:ind w:firstLine="420"/>
      </w:pPr>
      <w:rPr>
        <w:rFonts w:hint="default" w:ascii="Times New Roman" w:hAnsi="Times New Roman" w:eastAsia="宋体"/>
      </w:rPr>
    </w:lvl>
    <w:lvl w:ilvl="1" w:tentative="0">
      <w:start w:val="1"/>
      <w:numFmt w:val="decimal"/>
      <w:lvlText w:val=""/>
      <w:lvlJc w:val="left"/>
      <w:rPr>
        <w:rFonts w:hint="default" w:ascii="Times New Roman" w:hAnsi="Times New Roman" w:eastAsia="宋体"/>
        <w:u w:val="none"/>
      </w:rPr>
    </w:lvl>
    <w:lvl w:ilvl="2" w:tentative="0">
      <w:start w:val="1"/>
      <w:numFmt w:val="decimal"/>
      <w:lvlText w:val=""/>
      <w:lvlJc w:val="left"/>
      <w:rPr>
        <w:rFonts w:hint="default" w:ascii="Times New Roman" w:hAnsi="Times New Roman" w:eastAsia="宋体"/>
        <w:u w:val="none"/>
      </w:rPr>
    </w:lvl>
    <w:lvl w:ilvl="3" w:tentative="0">
      <w:start w:val="1"/>
      <w:numFmt w:val="decimal"/>
      <w:lvlText w:val=""/>
      <w:lvlJc w:val="left"/>
      <w:rPr>
        <w:rFonts w:hint="default" w:ascii="Times New Roman" w:hAnsi="Times New Roman" w:eastAsia="宋体"/>
        <w:u w:val="none"/>
      </w:rPr>
    </w:lvl>
    <w:lvl w:ilvl="4" w:tentative="0">
      <w:start w:val="1"/>
      <w:numFmt w:val="decimal"/>
      <w:lvlText w:val=""/>
      <w:lvlJc w:val="left"/>
      <w:rPr>
        <w:rFonts w:hint="default" w:ascii="Times New Roman" w:hAnsi="Times New Roman" w:eastAsia="宋体"/>
        <w:u w:val="none"/>
      </w:rPr>
    </w:lvl>
    <w:lvl w:ilvl="5" w:tentative="0">
      <w:start w:val="1"/>
      <w:numFmt w:val="decimal"/>
      <w:lvlText w:val=""/>
      <w:lvlJc w:val="left"/>
      <w:rPr>
        <w:rFonts w:hint="default" w:ascii="Times New Roman" w:hAnsi="Times New Roman" w:eastAsia="宋体"/>
        <w:u w:val="none"/>
      </w:rPr>
    </w:lvl>
    <w:lvl w:ilvl="6" w:tentative="0">
      <w:start w:val="1"/>
      <w:numFmt w:val="decimal"/>
      <w:lvlText w:val=""/>
      <w:lvlJc w:val="left"/>
      <w:rPr>
        <w:rFonts w:hint="default" w:ascii="Times New Roman" w:hAnsi="Times New Roman" w:eastAsia="宋体"/>
        <w:u w:val="none"/>
      </w:rPr>
    </w:lvl>
    <w:lvl w:ilvl="7" w:tentative="0">
      <w:start w:val="1"/>
      <w:numFmt w:val="decimal"/>
      <w:lvlText w:val=""/>
      <w:lvlJc w:val="left"/>
      <w:rPr>
        <w:rFonts w:hint="default" w:ascii="Times New Roman" w:hAnsi="Times New Roman" w:eastAsia="宋体"/>
        <w:u w:val="none"/>
      </w:rPr>
    </w:lvl>
    <w:lvl w:ilvl="8" w:tentative="0">
      <w:start w:val="1"/>
      <w:numFmt w:val="decimal"/>
      <w:lvlText w:val=""/>
      <w:lvlJc w:val="left"/>
      <w:rPr>
        <w:rFonts w:hint="default" w:ascii="Times New Roman" w:hAnsi="Times New Roman" w:eastAsia="宋体"/>
        <w:u w:val="none"/>
      </w:rPr>
    </w:lvl>
  </w:abstractNum>
  <w:abstractNum w:abstractNumId="33">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26CDF377"/>
    <w:multiLevelType w:val="singleLevel"/>
    <w:tmpl w:val="26CDF377"/>
    <w:lvl w:ilvl="0" w:tentative="0">
      <w:start w:val="1"/>
      <w:numFmt w:val="decimal"/>
      <w:lvlText w:val="%1."/>
      <w:lvlJc w:val="left"/>
      <w:pPr>
        <w:ind w:left="425" w:hanging="425"/>
      </w:pPr>
      <w:rPr>
        <w:rFonts w:hint="default"/>
      </w:rPr>
    </w:lvl>
  </w:abstractNum>
  <w:abstractNum w:abstractNumId="35">
    <w:nsid w:val="594F795B"/>
    <w:multiLevelType w:val="multilevel"/>
    <w:tmpl w:val="594F795B"/>
    <w:lvl w:ilvl="0" w:tentative="0">
      <w:start w:val="3"/>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8E033E5"/>
    <w:multiLevelType w:val="multilevel"/>
    <w:tmpl w:val="68E033E5"/>
    <w:lvl w:ilvl="0" w:tentative="0">
      <w:start w:val="1"/>
      <w:numFmt w:val="decimal"/>
      <w:lvlText w:val="%1"/>
      <w:lvlJc w:val="left"/>
      <w:pPr>
        <w:tabs>
          <w:tab w:val="left" w:pos="426"/>
        </w:tabs>
        <w:ind w:left="426" w:hanging="142"/>
      </w:pPr>
      <w:rPr>
        <w:rFonts w:hint="default" w:ascii="Times New Roman" w:hAnsi="Times New Roman" w:eastAsia="宋体"/>
      </w:rPr>
    </w:lvl>
    <w:lvl w:ilvl="1" w:tentative="0">
      <w:start w:val="1"/>
      <w:numFmt w:val="lowerLetter"/>
      <w:lvlText w:val="%2)"/>
      <w:lvlJc w:val="left"/>
      <w:pPr>
        <w:tabs>
          <w:tab w:val="left" w:pos="840"/>
        </w:tabs>
        <w:ind w:left="840" w:hanging="420"/>
      </w:pPr>
      <w:rPr>
        <w:rFonts w:hint="default" w:ascii="Times New Roman" w:hAnsi="Times New Roman" w:eastAsia="宋体"/>
      </w:rPr>
    </w:lvl>
    <w:lvl w:ilvl="2" w:tentative="0">
      <w:start w:val="1"/>
      <w:numFmt w:val="lowerRoman"/>
      <w:lvlText w:val="%3."/>
      <w:lvlJc w:val="right"/>
      <w:pPr>
        <w:tabs>
          <w:tab w:val="left" w:pos="1260"/>
        </w:tabs>
        <w:ind w:left="1260" w:hanging="420"/>
      </w:pPr>
      <w:rPr>
        <w:rFonts w:hint="default" w:ascii="Times New Roman" w:hAnsi="Times New Roman" w:eastAsia="宋体"/>
      </w:rPr>
    </w:lvl>
    <w:lvl w:ilvl="3" w:tentative="0">
      <w:start w:val="1"/>
      <w:numFmt w:val="decimal"/>
      <w:lvlText w:val="%4."/>
      <w:lvlJc w:val="left"/>
      <w:pPr>
        <w:tabs>
          <w:tab w:val="left" w:pos="1680"/>
        </w:tabs>
        <w:ind w:left="1680" w:hanging="420"/>
      </w:pPr>
      <w:rPr>
        <w:rFonts w:hint="default" w:ascii="Times New Roman" w:hAnsi="Times New Roman" w:eastAsia="宋体"/>
      </w:rPr>
    </w:lvl>
    <w:lvl w:ilvl="4" w:tentative="0">
      <w:start w:val="1"/>
      <w:numFmt w:val="lowerLetter"/>
      <w:lvlText w:val="%5)"/>
      <w:lvlJc w:val="left"/>
      <w:pPr>
        <w:tabs>
          <w:tab w:val="left" w:pos="2100"/>
        </w:tabs>
        <w:ind w:left="2100" w:hanging="420"/>
      </w:pPr>
      <w:rPr>
        <w:rFonts w:hint="default" w:ascii="Times New Roman" w:hAnsi="Times New Roman" w:eastAsia="宋体"/>
      </w:rPr>
    </w:lvl>
    <w:lvl w:ilvl="5" w:tentative="0">
      <w:start w:val="1"/>
      <w:numFmt w:val="lowerRoman"/>
      <w:lvlText w:val="%6."/>
      <w:lvlJc w:val="right"/>
      <w:pPr>
        <w:tabs>
          <w:tab w:val="left" w:pos="2520"/>
        </w:tabs>
        <w:ind w:left="2520" w:hanging="420"/>
      </w:pPr>
      <w:rPr>
        <w:rFonts w:hint="default" w:ascii="Times New Roman" w:hAnsi="Times New Roman" w:eastAsia="宋体"/>
      </w:rPr>
    </w:lvl>
    <w:lvl w:ilvl="6" w:tentative="0">
      <w:start w:val="1"/>
      <w:numFmt w:val="decimal"/>
      <w:lvlText w:val="%7."/>
      <w:lvlJc w:val="left"/>
      <w:pPr>
        <w:tabs>
          <w:tab w:val="left" w:pos="2940"/>
        </w:tabs>
        <w:ind w:left="2940" w:hanging="420"/>
      </w:pPr>
      <w:rPr>
        <w:rFonts w:hint="default" w:ascii="Times New Roman" w:hAnsi="Times New Roman" w:eastAsia="宋体"/>
      </w:rPr>
    </w:lvl>
    <w:lvl w:ilvl="7" w:tentative="0">
      <w:start w:val="1"/>
      <w:numFmt w:val="lowerLetter"/>
      <w:lvlText w:val="%8)"/>
      <w:lvlJc w:val="left"/>
      <w:pPr>
        <w:tabs>
          <w:tab w:val="left" w:pos="3360"/>
        </w:tabs>
        <w:ind w:left="3360" w:hanging="420"/>
      </w:pPr>
      <w:rPr>
        <w:rFonts w:hint="default" w:ascii="Times New Roman" w:hAnsi="Times New Roman" w:eastAsia="宋体"/>
      </w:rPr>
    </w:lvl>
    <w:lvl w:ilvl="8" w:tentative="0">
      <w:start w:val="1"/>
      <w:numFmt w:val="lowerRoman"/>
      <w:lvlText w:val="%9."/>
      <w:lvlJc w:val="right"/>
      <w:pPr>
        <w:tabs>
          <w:tab w:val="left" w:pos="3780"/>
        </w:tabs>
        <w:ind w:left="3780" w:hanging="420"/>
      </w:pPr>
      <w:rPr>
        <w:rFonts w:hint="default" w:ascii="Times New Roman" w:hAnsi="Times New Roman" w:eastAsia="宋体"/>
      </w:rPr>
    </w:lvl>
  </w:abstractNum>
  <w:num w:numId="1">
    <w:abstractNumId w:val="25"/>
  </w:num>
  <w:num w:numId="2">
    <w:abstractNumId w:val="19"/>
  </w:num>
  <w:num w:numId="3">
    <w:abstractNumId w:val="20"/>
  </w:num>
  <w:num w:numId="4">
    <w:abstractNumId w:val="15"/>
  </w:num>
  <w:num w:numId="5">
    <w:abstractNumId w:val="16"/>
  </w:num>
  <w:num w:numId="6">
    <w:abstractNumId w:val="30"/>
  </w:num>
  <w:num w:numId="7">
    <w:abstractNumId w:val="4"/>
  </w:num>
  <w:num w:numId="8">
    <w:abstractNumId w:val="8"/>
  </w:num>
  <w:num w:numId="9">
    <w:abstractNumId w:val="26"/>
  </w:num>
  <w:num w:numId="10">
    <w:abstractNumId w:val="14"/>
  </w:num>
  <w:num w:numId="11">
    <w:abstractNumId w:val="10"/>
  </w:num>
  <w:num w:numId="12">
    <w:abstractNumId w:val="28"/>
  </w:num>
  <w:num w:numId="13">
    <w:abstractNumId w:val="21"/>
  </w:num>
  <w:num w:numId="14">
    <w:abstractNumId w:val="27"/>
  </w:num>
  <w:num w:numId="15">
    <w:abstractNumId w:val="13"/>
  </w:num>
  <w:num w:numId="16">
    <w:abstractNumId w:val="12"/>
  </w:num>
  <w:num w:numId="17">
    <w:abstractNumId w:val="18"/>
  </w:num>
  <w:num w:numId="18">
    <w:abstractNumId w:val="5"/>
  </w:num>
  <w:num w:numId="19">
    <w:abstractNumId w:val="9"/>
  </w:num>
  <w:num w:numId="20">
    <w:abstractNumId w:val="7"/>
  </w:num>
  <w:num w:numId="21">
    <w:abstractNumId w:val="33"/>
  </w:num>
  <w:num w:numId="22">
    <w:abstractNumId w:val="31"/>
  </w:num>
  <w:num w:numId="23">
    <w:abstractNumId w:val="2"/>
  </w:num>
  <w:num w:numId="24">
    <w:abstractNumId w:val="17"/>
  </w:num>
  <w:num w:numId="25">
    <w:abstractNumId w:val="22"/>
  </w:num>
  <w:num w:numId="26">
    <w:abstractNumId w:val="23"/>
  </w:num>
  <w:num w:numId="27">
    <w:abstractNumId w:val="6"/>
  </w:num>
  <w:num w:numId="28">
    <w:abstractNumId w:val="11"/>
  </w:num>
  <w:num w:numId="29">
    <w:abstractNumId w:val="24"/>
    <w:lvlOverride w:ilvl="0">
      <w:startOverride w:val="1"/>
    </w:lvlOverride>
  </w:num>
  <w:num w:numId="30">
    <w:abstractNumId w:val="35"/>
  </w:num>
  <w:num w:numId="31">
    <w:abstractNumId w:val="34"/>
  </w:num>
  <w:num w:numId="32">
    <w:abstractNumId w:val="0"/>
  </w:num>
  <w:num w:numId="33">
    <w:abstractNumId w:val="1"/>
  </w:num>
  <w:num w:numId="34">
    <w:abstractNumId w:val="3"/>
  </w:num>
  <w:num w:numId="35">
    <w:abstractNumId w:val="29"/>
  </w:num>
  <w:num w:numId="36">
    <w:abstractNumId w:val="32"/>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2Zjc5NzZhNWNmMDhhN2NiYjQ5NjNiNzUyYWQ2ZTQifQ=="/>
  </w:docVars>
  <w:rsids>
    <w:rsidRoot w:val="00172A27"/>
    <w:rsid w:val="00003B05"/>
    <w:rsid w:val="000052D9"/>
    <w:rsid w:val="00005644"/>
    <w:rsid w:val="00007CCD"/>
    <w:rsid w:val="00015360"/>
    <w:rsid w:val="000206EA"/>
    <w:rsid w:val="000223F0"/>
    <w:rsid w:val="0002770C"/>
    <w:rsid w:val="00032DC5"/>
    <w:rsid w:val="00033077"/>
    <w:rsid w:val="000368F5"/>
    <w:rsid w:val="00040AF6"/>
    <w:rsid w:val="00041189"/>
    <w:rsid w:val="00045D7A"/>
    <w:rsid w:val="00046854"/>
    <w:rsid w:val="00047340"/>
    <w:rsid w:val="00052E59"/>
    <w:rsid w:val="00066033"/>
    <w:rsid w:val="00067AC4"/>
    <w:rsid w:val="00067ECB"/>
    <w:rsid w:val="000743D3"/>
    <w:rsid w:val="0007641A"/>
    <w:rsid w:val="00080179"/>
    <w:rsid w:val="0008501D"/>
    <w:rsid w:val="000938C9"/>
    <w:rsid w:val="000978EF"/>
    <w:rsid w:val="000A039F"/>
    <w:rsid w:val="000A0A09"/>
    <w:rsid w:val="000A0B8F"/>
    <w:rsid w:val="000A4A8E"/>
    <w:rsid w:val="000A72BB"/>
    <w:rsid w:val="000B0241"/>
    <w:rsid w:val="000B2884"/>
    <w:rsid w:val="000B2EEF"/>
    <w:rsid w:val="000C0ABB"/>
    <w:rsid w:val="000C123F"/>
    <w:rsid w:val="000C67C1"/>
    <w:rsid w:val="000C7A8F"/>
    <w:rsid w:val="000D294B"/>
    <w:rsid w:val="000D29B2"/>
    <w:rsid w:val="000D49EF"/>
    <w:rsid w:val="000D63A4"/>
    <w:rsid w:val="000D749E"/>
    <w:rsid w:val="000E708A"/>
    <w:rsid w:val="000F0496"/>
    <w:rsid w:val="000F12BD"/>
    <w:rsid w:val="000F1462"/>
    <w:rsid w:val="000F4863"/>
    <w:rsid w:val="000F6CB2"/>
    <w:rsid w:val="000F7681"/>
    <w:rsid w:val="00103331"/>
    <w:rsid w:val="00103D8A"/>
    <w:rsid w:val="00104DF4"/>
    <w:rsid w:val="001112B1"/>
    <w:rsid w:val="001132A7"/>
    <w:rsid w:val="00117B4A"/>
    <w:rsid w:val="00117DA7"/>
    <w:rsid w:val="00131274"/>
    <w:rsid w:val="00131423"/>
    <w:rsid w:val="00136F13"/>
    <w:rsid w:val="00137157"/>
    <w:rsid w:val="00141126"/>
    <w:rsid w:val="001415F8"/>
    <w:rsid w:val="0014238E"/>
    <w:rsid w:val="00142879"/>
    <w:rsid w:val="00144654"/>
    <w:rsid w:val="001455C2"/>
    <w:rsid w:val="001478E8"/>
    <w:rsid w:val="001522FA"/>
    <w:rsid w:val="00152A42"/>
    <w:rsid w:val="00152A51"/>
    <w:rsid w:val="00157B21"/>
    <w:rsid w:val="001654CE"/>
    <w:rsid w:val="00165AED"/>
    <w:rsid w:val="001678A2"/>
    <w:rsid w:val="001719FB"/>
    <w:rsid w:val="00172A27"/>
    <w:rsid w:val="00172D89"/>
    <w:rsid w:val="00173C4A"/>
    <w:rsid w:val="00175262"/>
    <w:rsid w:val="00180723"/>
    <w:rsid w:val="00185B40"/>
    <w:rsid w:val="00196CF5"/>
    <w:rsid w:val="001A009C"/>
    <w:rsid w:val="001A1320"/>
    <w:rsid w:val="001A1D50"/>
    <w:rsid w:val="001A1E62"/>
    <w:rsid w:val="001A2B19"/>
    <w:rsid w:val="001A6B52"/>
    <w:rsid w:val="001B3B29"/>
    <w:rsid w:val="001B6617"/>
    <w:rsid w:val="001C21FC"/>
    <w:rsid w:val="001C4383"/>
    <w:rsid w:val="001C6F08"/>
    <w:rsid w:val="001C7913"/>
    <w:rsid w:val="001D1A9E"/>
    <w:rsid w:val="001D1EDD"/>
    <w:rsid w:val="001D2D6B"/>
    <w:rsid w:val="001E5F01"/>
    <w:rsid w:val="001E62E6"/>
    <w:rsid w:val="001E6CB4"/>
    <w:rsid w:val="001F1984"/>
    <w:rsid w:val="001F45DA"/>
    <w:rsid w:val="001F7AA4"/>
    <w:rsid w:val="00200D1A"/>
    <w:rsid w:val="00206FEF"/>
    <w:rsid w:val="00215E0D"/>
    <w:rsid w:val="002174DD"/>
    <w:rsid w:val="00222E14"/>
    <w:rsid w:val="00224528"/>
    <w:rsid w:val="002300E3"/>
    <w:rsid w:val="00231E86"/>
    <w:rsid w:val="00233B0A"/>
    <w:rsid w:val="002343C6"/>
    <w:rsid w:val="00236DF1"/>
    <w:rsid w:val="002371B9"/>
    <w:rsid w:val="00241309"/>
    <w:rsid w:val="00244BC6"/>
    <w:rsid w:val="00254EF1"/>
    <w:rsid w:val="0026429E"/>
    <w:rsid w:val="002653A2"/>
    <w:rsid w:val="002728EB"/>
    <w:rsid w:val="002736C2"/>
    <w:rsid w:val="00274D35"/>
    <w:rsid w:val="00283FCA"/>
    <w:rsid w:val="002861D7"/>
    <w:rsid w:val="0029220B"/>
    <w:rsid w:val="00292350"/>
    <w:rsid w:val="0029515B"/>
    <w:rsid w:val="00296186"/>
    <w:rsid w:val="00296876"/>
    <w:rsid w:val="002A3338"/>
    <w:rsid w:val="002A7806"/>
    <w:rsid w:val="002B17A9"/>
    <w:rsid w:val="002B2330"/>
    <w:rsid w:val="002B3328"/>
    <w:rsid w:val="002C148C"/>
    <w:rsid w:val="002C3110"/>
    <w:rsid w:val="002C6F4E"/>
    <w:rsid w:val="002C720B"/>
    <w:rsid w:val="002C793B"/>
    <w:rsid w:val="002D2534"/>
    <w:rsid w:val="002D25E4"/>
    <w:rsid w:val="002D2A19"/>
    <w:rsid w:val="002D6028"/>
    <w:rsid w:val="002E37F9"/>
    <w:rsid w:val="002E46CC"/>
    <w:rsid w:val="002E657F"/>
    <w:rsid w:val="002F06C5"/>
    <w:rsid w:val="002F28AD"/>
    <w:rsid w:val="002F3501"/>
    <w:rsid w:val="002F5EAB"/>
    <w:rsid w:val="00301E47"/>
    <w:rsid w:val="003075DB"/>
    <w:rsid w:val="0031198D"/>
    <w:rsid w:val="00316F55"/>
    <w:rsid w:val="00317779"/>
    <w:rsid w:val="003200D6"/>
    <w:rsid w:val="00321051"/>
    <w:rsid w:val="00323287"/>
    <w:rsid w:val="00323D30"/>
    <w:rsid w:val="00332364"/>
    <w:rsid w:val="003343EF"/>
    <w:rsid w:val="00341B62"/>
    <w:rsid w:val="00341B88"/>
    <w:rsid w:val="003438CF"/>
    <w:rsid w:val="003447DD"/>
    <w:rsid w:val="00345D3F"/>
    <w:rsid w:val="00345E6C"/>
    <w:rsid w:val="00347FAE"/>
    <w:rsid w:val="00350832"/>
    <w:rsid w:val="00350F28"/>
    <w:rsid w:val="00352DD1"/>
    <w:rsid w:val="0035636F"/>
    <w:rsid w:val="0035749B"/>
    <w:rsid w:val="00357A26"/>
    <w:rsid w:val="00360D70"/>
    <w:rsid w:val="0036653C"/>
    <w:rsid w:val="00367278"/>
    <w:rsid w:val="00367BFA"/>
    <w:rsid w:val="00371E5B"/>
    <w:rsid w:val="00373328"/>
    <w:rsid w:val="00374404"/>
    <w:rsid w:val="00375694"/>
    <w:rsid w:val="00375BD3"/>
    <w:rsid w:val="003829D1"/>
    <w:rsid w:val="00382B28"/>
    <w:rsid w:val="003836E2"/>
    <w:rsid w:val="00384414"/>
    <w:rsid w:val="00385884"/>
    <w:rsid w:val="00385997"/>
    <w:rsid w:val="00386C66"/>
    <w:rsid w:val="00396B48"/>
    <w:rsid w:val="003A09AC"/>
    <w:rsid w:val="003A1636"/>
    <w:rsid w:val="003A6B66"/>
    <w:rsid w:val="003B10A8"/>
    <w:rsid w:val="003B6B67"/>
    <w:rsid w:val="003B7D06"/>
    <w:rsid w:val="003C049F"/>
    <w:rsid w:val="003C7C33"/>
    <w:rsid w:val="003D1CD9"/>
    <w:rsid w:val="003D231E"/>
    <w:rsid w:val="003D576A"/>
    <w:rsid w:val="003E18ED"/>
    <w:rsid w:val="003E1FEE"/>
    <w:rsid w:val="003E3B87"/>
    <w:rsid w:val="003E3C12"/>
    <w:rsid w:val="003E5EC8"/>
    <w:rsid w:val="003E7C44"/>
    <w:rsid w:val="003F259F"/>
    <w:rsid w:val="004011D2"/>
    <w:rsid w:val="004042CA"/>
    <w:rsid w:val="00407EAA"/>
    <w:rsid w:val="0041199C"/>
    <w:rsid w:val="00411D8F"/>
    <w:rsid w:val="00415FCB"/>
    <w:rsid w:val="00421DC0"/>
    <w:rsid w:val="00422A83"/>
    <w:rsid w:val="00424808"/>
    <w:rsid w:val="00426146"/>
    <w:rsid w:val="00426D6B"/>
    <w:rsid w:val="004347BA"/>
    <w:rsid w:val="004359A2"/>
    <w:rsid w:val="00435A0F"/>
    <w:rsid w:val="0043657C"/>
    <w:rsid w:val="00437DA4"/>
    <w:rsid w:val="00446727"/>
    <w:rsid w:val="00451871"/>
    <w:rsid w:val="0046672D"/>
    <w:rsid w:val="00466BB9"/>
    <w:rsid w:val="0047226C"/>
    <w:rsid w:val="0048094A"/>
    <w:rsid w:val="00481A17"/>
    <w:rsid w:val="00481B8A"/>
    <w:rsid w:val="00482FBA"/>
    <w:rsid w:val="004836B1"/>
    <w:rsid w:val="00484719"/>
    <w:rsid w:val="00487D39"/>
    <w:rsid w:val="00494327"/>
    <w:rsid w:val="00496389"/>
    <w:rsid w:val="004965F4"/>
    <w:rsid w:val="004A0E7E"/>
    <w:rsid w:val="004B165D"/>
    <w:rsid w:val="004B1B71"/>
    <w:rsid w:val="004B305E"/>
    <w:rsid w:val="004B6CC7"/>
    <w:rsid w:val="004C26C8"/>
    <w:rsid w:val="004C3022"/>
    <w:rsid w:val="004C3399"/>
    <w:rsid w:val="004C5D32"/>
    <w:rsid w:val="004C74B7"/>
    <w:rsid w:val="004D16D1"/>
    <w:rsid w:val="004D4541"/>
    <w:rsid w:val="004D4D85"/>
    <w:rsid w:val="004D6D61"/>
    <w:rsid w:val="004D7F47"/>
    <w:rsid w:val="004E12D5"/>
    <w:rsid w:val="004E137E"/>
    <w:rsid w:val="004E1F63"/>
    <w:rsid w:val="004E414B"/>
    <w:rsid w:val="004E4917"/>
    <w:rsid w:val="004F0573"/>
    <w:rsid w:val="004F63D2"/>
    <w:rsid w:val="004F6568"/>
    <w:rsid w:val="00500665"/>
    <w:rsid w:val="00505CA0"/>
    <w:rsid w:val="00506686"/>
    <w:rsid w:val="00510740"/>
    <w:rsid w:val="00510DA7"/>
    <w:rsid w:val="005112E7"/>
    <w:rsid w:val="00512CF4"/>
    <w:rsid w:val="00514E9F"/>
    <w:rsid w:val="005153DA"/>
    <w:rsid w:val="00517966"/>
    <w:rsid w:val="00520174"/>
    <w:rsid w:val="00521A28"/>
    <w:rsid w:val="0053176A"/>
    <w:rsid w:val="005326B0"/>
    <w:rsid w:val="00533ACA"/>
    <w:rsid w:val="005406F9"/>
    <w:rsid w:val="005409EB"/>
    <w:rsid w:val="005413FC"/>
    <w:rsid w:val="00541771"/>
    <w:rsid w:val="005423D7"/>
    <w:rsid w:val="00543E27"/>
    <w:rsid w:val="00553D1C"/>
    <w:rsid w:val="00555466"/>
    <w:rsid w:val="005565E6"/>
    <w:rsid w:val="0056107E"/>
    <w:rsid w:val="005634D4"/>
    <w:rsid w:val="00565C39"/>
    <w:rsid w:val="00567BFA"/>
    <w:rsid w:val="00571B49"/>
    <w:rsid w:val="00572009"/>
    <w:rsid w:val="00576292"/>
    <w:rsid w:val="00582643"/>
    <w:rsid w:val="005827D7"/>
    <w:rsid w:val="00584E4C"/>
    <w:rsid w:val="0058718C"/>
    <w:rsid w:val="0059219B"/>
    <w:rsid w:val="00592864"/>
    <w:rsid w:val="005956A3"/>
    <w:rsid w:val="0059669C"/>
    <w:rsid w:val="005A0487"/>
    <w:rsid w:val="005A12D2"/>
    <w:rsid w:val="005B10EB"/>
    <w:rsid w:val="005B47C6"/>
    <w:rsid w:val="005B6392"/>
    <w:rsid w:val="005C22C4"/>
    <w:rsid w:val="005C67D9"/>
    <w:rsid w:val="005C77EA"/>
    <w:rsid w:val="005D1F87"/>
    <w:rsid w:val="005D3EE6"/>
    <w:rsid w:val="005D5525"/>
    <w:rsid w:val="005D585E"/>
    <w:rsid w:val="005D6181"/>
    <w:rsid w:val="005E0768"/>
    <w:rsid w:val="005E150D"/>
    <w:rsid w:val="005E4D21"/>
    <w:rsid w:val="005F1C16"/>
    <w:rsid w:val="00603A24"/>
    <w:rsid w:val="00606A11"/>
    <w:rsid w:val="00607456"/>
    <w:rsid w:val="0060796A"/>
    <w:rsid w:val="00611F0D"/>
    <w:rsid w:val="00612B62"/>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675E0"/>
    <w:rsid w:val="00683071"/>
    <w:rsid w:val="00685513"/>
    <w:rsid w:val="00686280"/>
    <w:rsid w:val="00691E83"/>
    <w:rsid w:val="00696638"/>
    <w:rsid w:val="00696BD4"/>
    <w:rsid w:val="00697DD7"/>
    <w:rsid w:val="006A4AAC"/>
    <w:rsid w:val="006A6C76"/>
    <w:rsid w:val="006B276B"/>
    <w:rsid w:val="006D13B7"/>
    <w:rsid w:val="006D2E99"/>
    <w:rsid w:val="006D5BC4"/>
    <w:rsid w:val="006D6A1F"/>
    <w:rsid w:val="006D7A69"/>
    <w:rsid w:val="006D7FDA"/>
    <w:rsid w:val="006E4E46"/>
    <w:rsid w:val="006E74AD"/>
    <w:rsid w:val="006E7B66"/>
    <w:rsid w:val="006F278F"/>
    <w:rsid w:val="006F4BFC"/>
    <w:rsid w:val="006F4E17"/>
    <w:rsid w:val="006F598C"/>
    <w:rsid w:val="00700637"/>
    <w:rsid w:val="007009DE"/>
    <w:rsid w:val="00701B68"/>
    <w:rsid w:val="00701C47"/>
    <w:rsid w:val="0070210B"/>
    <w:rsid w:val="00704A4B"/>
    <w:rsid w:val="00705106"/>
    <w:rsid w:val="00706125"/>
    <w:rsid w:val="0070651B"/>
    <w:rsid w:val="007112D2"/>
    <w:rsid w:val="007277BB"/>
    <w:rsid w:val="007334F3"/>
    <w:rsid w:val="00742F10"/>
    <w:rsid w:val="00743123"/>
    <w:rsid w:val="0074368D"/>
    <w:rsid w:val="00750E29"/>
    <w:rsid w:val="007534DA"/>
    <w:rsid w:val="00760C58"/>
    <w:rsid w:val="00760DE5"/>
    <w:rsid w:val="007616C8"/>
    <w:rsid w:val="00765755"/>
    <w:rsid w:val="00771576"/>
    <w:rsid w:val="0077586E"/>
    <w:rsid w:val="007762BC"/>
    <w:rsid w:val="00776512"/>
    <w:rsid w:val="007805ED"/>
    <w:rsid w:val="0078080D"/>
    <w:rsid w:val="00781579"/>
    <w:rsid w:val="007840D5"/>
    <w:rsid w:val="007852AD"/>
    <w:rsid w:val="00787FF0"/>
    <w:rsid w:val="00796079"/>
    <w:rsid w:val="007A1743"/>
    <w:rsid w:val="007A593B"/>
    <w:rsid w:val="007A675D"/>
    <w:rsid w:val="007A782D"/>
    <w:rsid w:val="007B3412"/>
    <w:rsid w:val="007B34E1"/>
    <w:rsid w:val="007B3C7E"/>
    <w:rsid w:val="007B401E"/>
    <w:rsid w:val="007B6C3A"/>
    <w:rsid w:val="007C0A51"/>
    <w:rsid w:val="007C3209"/>
    <w:rsid w:val="007C342F"/>
    <w:rsid w:val="007C4127"/>
    <w:rsid w:val="007C506E"/>
    <w:rsid w:val="007D2A76"/>
    <w:rsid w:val="007E0552"/>
    <w:rsid w:val="007E37A6"/>
    <w:rsid w:val="007E5B38"/>
    <w:rsid w:val="007E5DBF"/>
    <w:rsid w:val="007E68DD"/>
    <w:rsid w:val="007E731F"/>
    <w:rsid w:val="007F2FA3"/>
    <w:rsid w:val="007F3ECF"/>
    <w:rsid w:val="007F7113"/>
    <w:rsid w:val="00805D0E"/>
    <w:rsid w:val="00805D2C"/>
    <w:rsid w:val="008063D7"/>
    <w:rsid w:val="008108DD"/>
    <w:rsid w:val="00811AED"/>
    <w:rsid w:val="00811DC4"/>
    <w:rsid w:val="0081283D"/>
    <w:rsid w:val="00814848"/>
    <w:rsid w:val="008173F0"/>
    <w:rsid w:val="00821322"/>
    <w:rsid w:val="00826B98"/>
    <w:rsid w:val="00826D1E"/>
    <w:rsid w:val="00840885"/>
    <w:rsid w:val="008420E8"/>
    <w:rsid w:val="00842424"/>
    <w:rsid w:val="00842A15"/>
    <w:rsid w:val="00843128"/>
    <w:rsid w:val="00851472"/>
    <w:rsid w:val="00852562"/>
    <w:rsid w:val="00852821"/>
    <w:rsid w:val="00856B28"/>
    <w:rsid w:val="00856C29"/>
    <w:rsid w:val="00857026"/>
    <w:rsid w:val="008608E8"/>
    <w:rsid w:val="0086503F"/>
    <w:rsid w:val="00865F63"/>
    <w:rsid w:val="008665B6"/>
    <w:rsid w:val="00866B00"/>
    <w:rsid w:val="0087060A"/>
    <w:rsid w:val="00871866"/>
    <w:rsid w:val="00871E97"/>
    <w:rsid w:val="00872215"/>
    <w:rsid w:val="00876301"/>
    <w:rsid w:val="008770AD"/>
    <w:rsid w:val="0088740E"/>
    <w:rsid w:val="00887E26"/>
    <w:rsid w:val="00891614"/>
    <w:rsid w:val="008926C4"/>
    <w:rsid w:val="00892AB1"/>
    <w:rsid w:val="00892C34"/>
    <w:rsid w:val="0089429B"/>
    <w:rsid w:val="00896241"/>
    <w:rsid w:val="008975DC"/>
    <w:rsid w:val="008A198B"/>
    <w:rsid w:val="008A3DC6"/>
    <w:rsid w:val="008A4F10"/>
    <w:rsid w:val="008B51E2"/>
    <w:rsid w:val="008C44FE"/>
    <w:rsid w:val="008D7042"/>
    <w:rsid w:val="008E028B"/>
    <w:rsid w:val="008E1F1E"/>
    <w:rsid w:val="008E344E"/>
    <w:rsid w:val="008E3B01"/>
    <w:rsid w:val="008E7053"/>
    <w:rsid w:val="008E733F"/>
    <w:rsid w:val="008E781B"/>
    <w:rsid w:val="008F2D4F"/>
    <w:rsid w:val="008F7D8C"/>
    <w:rsid w:val="0090148D"/>
    <w:rsid w:val="0090353C"/>
    <w:rsid w:val="0090408F"/>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51B76"/>
    <w:rsid w:val="009565F7"/>
    <w:rsid w:val="00960DDC"/>
    <w:rsid w:val="00963924"/>
    <w:rsid w:val="00963F4E"/>
    <w:rsid w:val="00971ED1"/>
    <w:rsid w:val="0097401D"/>
    <w:rsid w:val="00974DD4"/>
    <w:rsid w:val="009758F8"/>
    <w:rsid w:val="00977804"/>
    <w:rsid w:val="009862A2"/>
    <w:rsid w:val="00987787"/>
    <w:rsid w:val="00990A54"/>
    <w:rsid w:val="0099589A"/>
    <w:rsid w:val="009A2DB7"/>
    <w:rsid w:val="009A3074"/>
    <w:rsid w:val="009A3AC1"/>
    <w:rsid w:val="009A40C8"/>
    <w:rsid w:val="009A42B9"/>
    <w:rsid w:val="009A6C70"/>
    <w:rsid w:val="009A6DA2"/>
    <w:rsid w:val="009A733A"/>
    <w:rsid w:val="009B2729"/>
    <w:rsid w:val="009B5CE8"/>
    <w:rsid w:val="009C1BBB"/>
    <w:rsid w:val="009C26B5"/>
    <w:rsid w:val="009C311C"/>
    <w:rsid w:val="009C7061"/>
    <w:rsid w:val="009D07D0"/>
    <w:rsid w:val="009D4DCB"/>
    <w:rsid w:val="009D58BB"/>
    <w:rsid w:val="009D72CA"/>
    <w:rsid w:val="009E3455"/>
    <w:rsid w:val="009E34FF"/>
    <w:rsid w:val="009E5931"/>
    <w:rsid w:val="009F4A9B"/>
    <w:rsid w:val="009F4DAA"/>
    <w:rsid w:val="009F5024"/>
    <w:rsid w:val="009F7E7C"/>
    <w:rsid w:val="00A04822"/>
    <w:rsid w:val="00A10A80"/>
    <w:rsid w:val="00A1433B"/>
    <w:rsid w:val="00A14E5F"/>
    <w:rsid w:val="00A27D5E"/>
    <w:rsid w:val="00A31FB1"/>
    <w:rsid w:val="00A362FE"/>
    <w:rsid w:val="00A450BF"/>
    <w:rsid w:val="00A506E5"/>
    <w:rsid w:val="00A55C04"/>
    <w:rsid w:val="00A571F4"/>
    <w:rsid w:val="00A61440"/>
    <w:rsid w:val="00A61555"/>
    <w:rsid w:val="00A65DBC"/>
    <w:rsid w:val="00A75CE3"/>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44C9"/>
    <w:rsid w:val="00AB712E"/>
    <w:rsid w:val="00AB7303"/>
    <w:rsid w:val="00AC1F30"/>
    <w:rsid w:val="00AC1FD0"/>
    <w:rsid w:val="00AC2B97"/>
    <w:rsid w:val="00AC3DD5"/>
    <w:rsid w:val="00AC4F7B"/>
    <w:rsid w:val="00AC6ABD"/>
    <w:rsid w:val="00AC77E0"/>
    <w:rsid w:val="00AD4407"/>
    <w:rsid w:val="00AD4FF9"/>
    <w:rsid w:val="00AD6124"/>
    <w:rsid w:val="00AE048E"/>
    <w:rsid w:val="00AE131C"/>
    <w:rsid w:val="00AE1F48"/>
    <w:rsid w:val="00AE3E84"/>
    <w:rsid w:val="00AE44E9"/>
    <w:rsid w:val="00AE667F"/>
    <w:rsid w:val="00AE72D4"/>
    <w:rsid w:val="00AF174B"/>
    <w:rsid w:val="00AF4BED"/>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4309"/>
    <w:rsid w:val="00B5601A"/>
    <w:rsid w:val="00B6304D"/>
    <w:rsid w:val="00B634E9"/>
    <w:rsid w:val="00B64917"/>
    <w:rsid w:val="00B672D0"/>
    <w:rsid w:val="00B73F81"/>
    <w:rsid w:val="00B75F78"/>
    <w:rsid w:val="00B9576C"/>
    <w:rsid w:val="00BA10AD"/>
    <w:rsid w:val="00BA358E"/>
    <w:rsid w:val="00BA4468"/>
    <w:rsid w:val="00BA5FBC"/>
    <w:rsid w:val="00BA70C3"/>
    <w:rsid w:val="00BA78AA"/>
    <w:rsid w:val="00BA7B80"/>
    <w:rsid w:val="00BB505F"/>
    <w:rsid w:val="00BC086B"/>
    <w:rsid w:val="00BC1F9C"/>
    <w:rsid w:val="00BD058C"/>
    <w:rsid w:val="00BD17DD"/>
    <w:rsid w:val="00BD2E36"/>
    <w:rsid w:val="00BE0280"/>
    <w:rsid w:val="00BE4262"/>
    <w:rsid w:val="00BE4CB2"/>
    <w:rsid w:val="00BF0883"/>
    <w:rsid w:val="00BF4067"/>
    <w:rsid w:val="00C01B1F"/>
    <w:rsid w:val="00C01D79"/>
    <w:rsid w:val="00C03239"/>
    <w:rsid w:val="00C03E3A"/>
    <w:rsid w:val="00C056E2"/>
    <w:rsid w:val="00C13B2E"/>
    <w:rsid w:val="00C16BE4"/>
    <w:rsid w:val="00C176DC"/>
    <w:rsid w:val="00C2472E"/>
    <w:rsid w:val="00C26386"/>
    <w:rsid w:val="00C30B61"/>
    <w:rsid w:val="00C31D52"/>
    <w:rsid w:val="00C346FA"/>
    <w:rsid w:val="00C34D29"/>
    <w:rsid w:val="00C446E8"/>
    <w:rsid w:val="00C45C09"/>
    <w:rsid w:val="00C51AFD"/>
    <w:rsid w:val="00C57265"/>
    <w:rsid w:val="00C644AA"/>
    <w:rsid w:val="00C66A39"/>
    <w:rsid w:val="00C70B26"/>
    <w:rsid w:val="00C71BDC"/>
    <w:rsid w:val="00C873F0"/>
    <w:rsid w:val="00C87916"/>
    <w:rsid w:val="00C87A57"/>
    <w:rsid w:val="00C90037"/>
    <w:rsid w:val="00C91933"/>
    <w:rsid w:val="00C94183"/>
    <w:rsid w:val="00C95F5B"/>
    <w:rsid w:val="00CA18BD"/>
    <w:rsid w:val="00CA2782"/>
    <w:rsid w:val="00CA6FF1"/>
    <w:rsid w:val="00CA7EA6"/>
    <w:rsid w:val="00CB1335"/>
    <w:rsid w:val="00CB2848"/>
    <w:rsid w:val="00CB342F"/>
    <w:rsid w:val="00CB6107"/>
    <w:rsid w:val="00CB6B9B"/>
    <w:rsid w:val="00CB74FF"/>
    <w:rsid w:val="00CB765F"/>
    <w:rsid w:val="00CC00F8"/>
    <w:rsid w:val="00CC11F3"/>
    <w:rsid w:val="00CC3B44"/>
    <w:rsid w:val="00CC5500"/>
    <w:rsid w:val="00CC6994"/>
    <w:rsid w:val="00CC7109"/>
    <w:rsid w:val="00CD39BA"/>
    <w:rsid w:val="00CD5BBC"/>
    <w:rsid w:val="00CD64D0"/>
    <w:rsid w:val="00CD6C4D"/>
    <w:rsid w:val="00CE29BD"/>
    <w:rsid w:val="00CE7B02"/>
    <w:rsid w:val="00CF0750"/>
    <w:rsid w:val="00CF2979"/>
    <w:rsid w:val="00CF2A91"/>
    <w:rsid w:val="00CF388E"/>
    <w:rsid w:val="00D00088"/>
    <w:rsid w:val="00D025BA"/>
    <w:rsid w:val="00D04792"/>
    <w:rsid w:val="00D076BF"/>
    <w:rsid w:val="00D11334"/>
    <w:rsid w:val="00D12BA6"/>
    <w:rsid w:val="00D15826"/>
    <w:rsid w:val="00D23BE9"/>
    <w:rsid w:val="00D25EB6"/>
    <w:rsid w:val="00D2660A"/>
    <w:rsid w:val="00D306E6"/>
    <w:rsid w:val="00D31280"/>
    <w:rsid w:val="00D41911"/>
    <w:rsid w:val="00D464C0"/>
    <w:rsid w:val="00D50233"/>
    <w:rsid w:val="00D51E1A"/>
    <w:rsid w:val="00D523B9"/>
    <w:rsid w:val="00D56FBD"/>
    <w:rsid w:val="00D57417"/>
    <w:rsid w:val="00D63028"/>
    <w:rsid w:val="00D646AE"/>
    <w:rsid w:val="00D64F90"/>
    <w:rsid w:val="00D7433C"/>
    <w:rsid w:val="00D7671C"/>
    <w:rsid w:val="00D81A9D"/>
    <w:rsid w:val="00D833B5"/>
    <w:rsid w:val="00D85061"/>
    <w:rsid w:val="00D91652"/>
    <w:rsid w:val="00D9229E"/>
    <w:rsid w:val="00D92C21"/>
    <w:rsid w:val="00D93231"/>
    <w:rsid w:val="00D94904"/>
    <w:rsid w:val="00D97683"/>
    <w:rsid w:val="00DA46AF"/>
    <w:rsid w:val="00DA59A2"/>
    <w:rsid w:val="00DA6AF9"/>
    <w:rsid w:val="00DB268C"/>
    <w:rsid w:val="00DC46E1"/>
    <w:rsid w:val="00DC5DD2"/>
    <w:rsid w:val="00DD0756"/>
    <w:rsid w:val="00DD0ADD"/>
    <w:rsid w:val="00DD24EC"/>
    <w:rsid w:val="00DE37C6"/>
    <w:rsid w:val="00DE3DDA"/>
    <w:rsid w:val="00DE5542"/>
    <w:rsid w:val="00DF04C4"/>
    <w:rsid w:val="00DF3603"/>
    <w:rsid w:val="00DF3F8C"/>
    <w:rsid w:val="00DF5377"/>
    <w:rsid w:val="00E00FAF"/>
    <w:rsid w:val="00E0363F"/>
    <w:rsid w:val="00E05092"/>
    <w:rsid w:val="00E06B9A"/>
    <w:rsid w:val="00E1053C"/>
    <w:rsid w:val="00E13351"/>
    <w:rsid w:val="00E1681B"/>
    <w:rsid w:val="00E176CC"/>
    <w:rsid w:val="00E21A92"/>
    <w:rsid w:val="00E22D6A"/>
    <w:rsid w:val="00E24879"/>
    <w:rsid w:val="00E3672B"/>
    <w:rsid w:val="00E375B5"/>
    <w:rsid w:val="00E405BF"/>
    <w:rsid w:val="00E43DD3"/>
    <w:rsid w:val="00E44667"/>
    <w:rsid w:val="00E46014"/>
    <w:rsid w:val="00E50C32"/>
    <w:rsid w:val="00E55A3B"/>
    <w:rsid w:val="00E5773F"/>
    <w:rsid w:val="00E61739"/>
    <w:rsid w:val="00E65BB5"/>
    <w:rsid w:val="00E65E15"/>
    <w:rsid w:val="00E721D0"/>
    <w:rsid w:val="00E83804"/>
    <w:rsid w:val="00E86F3B"/>
    <w:rsid w:val="00E876D3"/>
    <w:rsid w:val="00E93F00"/>
    <w:rsid w:val="00EA275D"/>
    <w:rsid w:val="00EA534D"/>
    <w:rsid w:val="00EB045C"/>
    <w:rsid w:val="00EB0E49"/>
    <w:rsid w:val="00EB3837"/>
    <w:rsid w:val="00EB576B"/>
    <w:rsid w:val="00EB7CE5"/>
    <w:rsid w:val="00EB7EAD"/>
    <w:rsid w:val="00EC5210"/>
    <w:rsid w:val="00ED1E0E"/>
    <w:rsid w:val="00ED2A6D"/>
    <w:rsid w:val="00ED7288"/>
    <w:rsid w:val="00ED7BE5"/>
    <w:rsid w:val="00ED7E23"/>
    <w:rsid w:val="00EE5F87"/>
    <w:rsid w:val="00EE7C90"/>
    <w:rsid w:val="00EF7706"/>
    <w:rsid w:val="00F01099"/>
    <w:rsid w:val="00F04A6A"/>
    <w:rsid w:val="00F06984"/>
    <w:rsid w:val="00F07DB4"/>
    <w:rsid w:val="00F12430"/>
    <w:rsid w:val="00F15D62"/>
    <w:rsid w:val="00F2148B"/>
    <w:rsid w:val="00F22163"/>
    <w:rsid w:val="00F2587A"/>
    <w:rsid w:val="00F25C1F"/>
    <w:rsid w:val="00F26D67"/>
    <w:rsid w:val="00F27CC1"/>
    <w:rsid w:val="00F310A4"/>
    <w:rsid w:val="00F34BB2"/>
    <w:rsid w:val="00F4024B"/>
    <w:rsid w:val="00F443B3"/>
    <w:rsid w:val="00F448EC"/>
    <w:rsid w:val="00F467F0"/>
    <w:rsid w:val="00F47154"/>
    <w:rsid w:val="00F51DFF"/>
    <w:rsid w:val="00F52EFC"/>
    <w:rsid w:val="00F54D60"/>
    <w:rsid w:val="00F54E2F"/>
    <w:rsid w:val="00F55710"/>
    <w:rsid w:val="00F607CF"/>
    <w:rsid w:val="00F60B7C"/>
    <w:rsid w:val="00F66757"/>
    <w:rsid w:val="00F66DA5"/>
    <w:rsid w:val="00F74C4F"/>
    <w:rsid w:val="00F74E62"/>
    <w:rsid w:val="00F7590A"/>
    <w:rsid w:val="00F77CD1"/>
    <w:rsid w:val="00F827C8"/>
    <w:rsid w:val="00F83805"/>
    <w:rsid w:val="00F90451"/>
    <w:rsid w:val="00F91FDB"/>
    <w:rsid w:val="00F946A5"/>
    <w:rsid w:val="00F95399"/>
    <w:rsid w:val="00F95C03"/>
    <w:rsid w:val="00FA0FD4"/>
    <w:rsid w:val="00FA4AE2"/>
    <w:rsid w:val="00FA6208"/>
    <w:rsid w:val="00FB1069"/>
    <w:rsid w:val="00FB23D0"/>
    <w:rsid w:val="00FB32C8"/>
    <w:rsid w:val="00FB6AAE"/>
    <w:rsid w:val="00FC0890"/>
    <w:rsid w:val="00FC2ADD"/>
    <w:rsid w:val="00FC2F34"/>
    <w:rsid w:val="00FD2002"/>
    <w:rsid w:val="00FD2D24"/>
    <w:rsid w:val="00FD42E8"/>
    <w:rsid w:val="00FD5B53"/>
    <w:rsid w:val="00FD6A70"/>
    <w:rsid w:val="00FE100A"/>
    <w:rsid w:val="00FE27BB"/>
    <w:rsid w:val="00FE6188"/>
    <w:rsid w:val="00FF0185"/>
    <w:rsid w:val="00FF1B9A"/>
    <w:rsid w:val="00FF39EA"/>
    <w:rsid w:val="00FF3C10"/>
    <w:rsid w:val="020236B3"/>
    <w:rsid w:val="028642E4"/>
    <w:rsid w:val="02C45B0F"/>
    <w:rsid w:val="03463781"/>
    <w:rsid w:val="043F0BEF"/>
    <w:rsid w:val="045849ED"/>
    <w:rsid w:val="053E16CD"/>
    <w:rsid w:val="05D9297D"/>
    <w:rsid w:val="08680198"/>
    <w:rsid w:val="09167554"/>
    <w:rsid w:val="09646E45"/>
    <w:rsid w:val="096C7482"/>
    <w:rsid w:val="098B21E0"/>
    <w:rsid w:val="09A3577C"/>
    <w:rsid w:val="0B5C2951"/>
    <w:rsid w:val="0B955598"/>
    <w:rsid w:val="0BCA4A38"/>
    <w:rsid w:val="0C6B5CD6"/>
    <w:rsid w:val="0D6B4272"/>
    <w:rsid w:val="0D923783"/>
    <w:rsid w:val="0DC67C8B"/>
    <w:rsid w:val="0E6D1E9B"/>
    <w:rsid w:val="0F621C2B"/>
    <w:rsid w:val="0FBD0C1A"/>
    <w:rsid w:val="0FCA12E5"/>
    <w:rsid w:val="0FCD3553"/>
    <w:rsid w:val="105E23A9"/>
    <w:rsid w:val="10976697"/>
    <w:rsid w:val="10B4201D"/>
    <w:rsid w:val="10B65D95"/>
    <w:rsid w:val="10D66514"/>
    <w:rsid w:val="10F34BE1"/>
    <w:rsid w:val="10F7015B"/>
    <w:rsid w:val="118221D9"/>
    <w:rsid w:val="11904EE2"/>
    <w:rsid w:val="122D5247"/>
    <w:rsid w:val="1277781C"/>
    <w:rsid w:val="12DE6CAE"/>
    <w:rsid w:val="132F1E2E"/>
    <w:rsid w:val="137A68B0"/>
    <w:rsid w:val="1408665D"/>
    <w:rsid w:val="149C5646"/>
    <w:rsid w:val="14B6708E"/>
    <w:rsid w:val="14CC6AF2"/>
    <w:rsid w:val="15A308B2"/>
    <w:rsid w:val="15CE592F"/>
    <w:rsid w:val="173F4862"/>
    <w:rsid w:val="176C34B3"/>
    <w:rsid w:val="17FA4230"/>
    <w:rsid w:val="18CC7237"/>
    <w:rsid w:val="190F0738"/>
    <w:rsid w:val="194C3D0F"/>
    <w:rsid w:val="19AB1C63"/>
    <w:rsid w:val="19F810E0"/>
    <w:rsid w:val="1AED747A"/>
    <w:rsid w:val="1AF733C0"/>
    <w:rsid w:val="1B8847D2"/>
    <w:rsid w:val="1BA41D1E"/>
    <w:rsid w:val="1BCB1BFC"/>
    <w:rsid w:val="1C3367A9"/>
    <w:rsid w:val="1C3660D4"/>
    <w:rsid w:val="1CE77CE0"/>
    <w:rsid w:val="1D417721"/>
    <w:rsid w:val="1D9D51F3"/>
    <w:rsid w:val="1DC51D0D"/>
    <w:rsid w:val="1E2F2CF8"/>
    <w:rsid w:val="1EE76829"/>
    <w:rsid w:val="1FD224BF"/>
    <w:rsid w:val="21151D88"/>
    <w:rsid w:val="211B629E"/>
    <w:rsid w:val="21451B35"/>
    <w:rsid w:val="21B1545F"/>
    <w:rsid w:val="22562E14"/>
    <w:rsid w:val="228B6297"/>
    <w:rsid w:val="22D121EA"/>
    <w:rsid w:val="23B56C14"/>
    <w:rsid w:val="24496436"/>
    <w:rsid w:val="24747FE9"/>
    <w:rsid w:val="25092C6C"/>
    <w:rsid w:val="25583467"/>
    <w:rsid w:val="256954FF"/>
    <w:rsid w:val="25B14925"/>
    <w:rsid w:val="25FD29A4"/>
    <w:rsid w:val="268D5392"/>
    <w:rsid w:val="27740528"/>
    <w:rsid w:val="29E55A72"/>
    <w:rsid w:val="2A2461A4"/>
    <w:rsid w:val="2A465F84"/>
    <w:rsid w:val="2A515672"/>
    <w:rsid w:val="2A560428"/>
    <w:rsid w:val="2AB90BF0"/>
    <w:rsid w:val="2C1134A0"/>
    <w:rsid w:val="2C2456CA"/>
    <w:rsid w:val="2CD05FD9"/>
    <w:rsid w:val="2CD25797"/>
    <w:rsid w:val="2CE07F94"/>
    <w:rsid w:val="2D8C0C27"/>
    <w:rsid w:val="2DBE0ECB"/>
    <w:rsid w:val="2DC91D07"/>
    <w:rsid w:val="2F0D6640"/>
    <w:rsid w:val="2F124686"/>
    <w:rsid w:val="2F5B2826"/>
    <w:rsid w:val="2FDF4F55"/>
    <w:rsid w:val="2FF13572"/>
    <w:rsid w:val="310E369A"/>
    <w:rsid w:val="312850D7"/>
    <w:rsid w:val="31632959"/>
    <w:rsid w:val="318178A1"/>
    <w:rsid w:val="322A618B"/>
    <w:rsid w:val="323E20FF"/>
    <w:rsid w:val="324C4E18"/>
    <w:rsid w:val="3253123E"/>
    <w:rsid w:val="32755858"/>
    <w:rsid w:val="327C1F2C"/>
    <w:rsid w:val="32AC094E"/>
    <w:rsid w:val="32B13D20"/>
    <w:rsid w:val="34E36B70"/>
    <w:rsid w:val="34E45C3F"/>
    <w:rsid w:val="35400853"/>
    <w:rsid w:val="36897F35"/>
    <w:rsid w:val="36C344B8"/>
    <w:rsid w:val="371E12C2"/>
    <w:rsid w:val="372A4A8A"/>
    <w:rsid w:val="374C4300"/>
    <w:rsid w:val="384E275E"/>
    <w:rsid w:val="388D4973"/>
    <w:rsid w:val="39145CDA"/>
    <w:rsid w:val="39AB3CF2"/>
    <w:rsid w:val="39CA46E3"/>
    <w:rsid w:val="39E55D56"/>
    <w:rsid w:val="39F43C61"/>
    <w:rsid w:val="3A7061B9"/>
    <w:rsid w:val="3C2374E4"/>
    <w:rsid w:val="3CA8487C"/>
    <w:rsid w:val="3D99333B"/>
    <w:rsid w:val="3DB550F1"/>
    <w:rsid w:val="3E1321C9"/>
    <w:rsid w:val="3E304B29"/>
    <w:rsid w:val="3EF23B8C"/>
    <w:rsid w:val="3F425C4C"/>
    <w:rsid w:val="3F6525B0"/>
    <w:rsid w:val="3F76656C"/>
    <w:rsid w:val="40354679"/>
    <w:rsid w:val="4061546E"/>
    <w:rsid w:val="40E650B7"/>
    <w:rsid w:val="40F41E3E"/>
    <w:rsid w:val="411F71F8"/>
    <w:rsid w:val="41570055"/>
    <w:rsid w:val="42190DAE"/>
    <w:rsid w:val="422C1AAB"/>
    <w:rsid w:val="42E81425"/>
    <w:rsid w:val="436F39FE"/>
    <w:rsid w:val="43AD7A66"/>
    <w:rsid w:val="43B72341"/>
    <w:rsid w:val="44233D9A"/>
    <w:rsid w:val="44607760"/>
    <w:rsid w:val="44C10C8D"/>
    <w:rsid w:val="44CE6E4A"/>
    <w:rsid w:val="4521341D"/>
    <w:rsid w:val="454E2D72"/>
    <w:rsid w:val="458F470E"/>
    <w:rsid w:val="459736E0"/>
    <w:rsid w:val="468E4E6D"/>
    <w:rsid w:val="46DA3884"/>
    <w:rsid w:val="47B03BA9"/>
    <w:rsid w:val="48980B74"/>
    <w:rsid w:val="49731D6E"/>
    <w:rsid w:val="4989392A"/>
    <w:rsid w:val="49C50B60"/>
    <w:rsid w:val="4A0B4034"/>
    <w:rsid w:val="4A2E02C6"/>
    <w:rsid w:val="4A5D1BE6"/>
    <w:rsid w:val="4B9E1DB9"/>
    <w:rsid w:val="4BBE3774"/>
    <w:rsid w:val="4C06511B"/>
    <w:rsid w:val="4C1B2975"/>
    <w:rsid w:val="4C917EEE"/>
    <w:rsid w:val="4D267625"/>
    <w:rsid w:val="4D842037"/>
    <w:rsid w:val="4D9B2F7F"/>
    <w:rsid w:val="4DD059E1"/>
    <w:rsid w:val="4E263853"/>
    <w:rsid w:val="4F043B94"/>
    <w:rsid w:val="4F2F6737"/>
    <w:rsid w:val="4F3912D1"/>
    <w:rsid w:val="4FC96B8B"/>
    <w:rsid w:val="50086B0C"/>
    <w:rsid w:val="500D45E7"/>
    <w:rsid w:val="509A76C1"/>
    <w:rsid w:val="50F63270"/>
    <w:rsid w:val="51315BF1"/>
    <w:rsid w:val="518717AD"/>
    <w:rsid w:val="52267A1D"/>
    <w:rsid w:val="53590226"/>
    <w:rsid w:val="54022FBD"/>
    <w:rsid w:val="54810BF1"/>
    <w:rsid w:val="550024AC"/>
    <w:rsid w:val="561E7943"/>
    <w:rsid w:val="569658F2"/>
    <w:rsid w:val="570016CA"/>
    <w:rsid w:val="575F32D1"/>
    <w:rsid w:val="5768620E"/>
    <w:rsid w:val="57AD3E38"/>
    <w:rsid w:val="57F41141"/>
    <w:rsid w:val="586C6306"/>
    <w:rsid w:val="58807ED0"/>
    <w:rsid w:val="588353C5"/>
    <w:rsid w:val="589647C1"/>
    <w:rsid w:val="592328F7"/>
    <w:rsid w:val="59857735"/>
    <w:rsid w:val="599F25E3"/>
    <w:rsid w:val="59AF0BA0"/>
    <w:rsid w:val="5A3F2CA5"/>
    <w:rsid w:val="5A510870"/>
    <w:rsid w:val="5A513A05"/>
    <w:rsid w:val="5AAB6294"/>
    <w:rsid w:val="5AC71F19"/>
    <w:rsid w:val="5B182775"/>
    <w:rsid w:val="5B484E08"/>
    <w:rsid w:val="5BBE331C"/>
    <w:rsid w:val="5C6D5D5D"/>
    <w:rsid w:val="5CA96C35"/>
    <w:rsid w:val="5D4E33AA"/>
    <w:rsid w:val="5D886622"/>
    <w:rsid w:val="5D8C16C0"/>
    <w:rsid w:val="5DBD50A7"/>
    <w:rsid w:val="5DBF5A39"/>
    <w:rsid w:val="5DD047C5"/>
    <w:rsid w:val="5DF50B4C"/>
    <w:rsid w:val="5E93433C"/>
    <w:rsid w:val="5EA54320"/>
    <w:rsid w:val="5F4F7B99"/>
    <w:rsid w:val="5F887EC9"/>
    <w:rsid w:val="5FA82844"/>
    <w:rsid w:val="5FC23BC4"/>
    <w:rsid w:val="5FE64BF0"/>
    <w:rsid w:val="60AE2B4F"/>
    <w:rsid w:val="6113395F"/>
    <w:rsid w:val="61811074"/>
    <w:rsid w:val="62960B4F"/>
    <w:rsid w:val="63B533BB"/>
    <w:rsid w:val="64191A38"/>
    <w:rsid w:val="645529A9"/>
    <w:rsid w:val="64862C2B"/>
    <w:rsid w:val="651D10B4"/>
    <w:rsid w:val="653D210C"/>
    <w:rsid w:val="6552795A"/>
    <w:rsid w:val="659836EC"/>
    <w:rsid w:val="659A0796"/>
    <w:rsid w:val="65D0211A"/>
    <w:rsid w:val="6661072D"/>
    <w:rsid w:val="667C00EB"/>
    <w:rsid w:val="66D62816"/>
    <w:rsid w:val="67317098"/>
    <w:rsid w:val="67900263"/>
    <w:rsid w:val="6860444F"/>
    <w:rsid w:val="68E51EE8"/>
    <w:rsid w:val="699B2EEF"/>
    <w:rsid w:val="6A111F99"/>
    <w:rsid w:val="6A8B3BD0"/>
    <w:rsid w:val="6ABA73A5"/>
    <w:rsid w:val="6AC344AB"/>
    <w:rsid w:val="6B7E55FC"/>
    <w:rsid w:val="6C2C1577"/>
    <w:rsid w:val="6C2E0077"/>
    <w:rsid w:val="6C3818A7"/>
    <w:rsid w:val="6C4A2153"/>
    <w:rsid w:val="6C745E9A"/>
    <w:rsid w:val="6CB247D7"/>
    <w:rsid w:val="6D1B31AF"/>
    <w:rsid w:val="6E015061"/>
    <w:rsid w:val="6E5D0DA5"/>
    <w:rsid w:val="6E7C509D"/>
    <w:rsid w:val="6E7F06E9"/>
    <w:rsid w:val="6EDA2030"/>
    <w:rsid w:val="6F88767B"/>
    <w:rsid w:val="6FB95E7D"/>
    <w:rsid w:val="70157842"/>
    <w:rsid w:val="70A64FF5"/>
    <w:rsid w:val="714C46EA"/>
    <w:rsid w:val="715E7281"/>
    <w:rsid w:val="715E7A70"/>
    <w:rsid w:val="717052E6"/>
    <w:rsid w:val="71D71B0D"/>
    <w:rsid w:val="71E01DE7"/>
    <w:rsid w:val="72394572"/>
    <w:rsid w:val="72AF35C1"/>
    <w:rsid w:val="73110955"/>
    <w:rsid w:val="735A1441"/>
    <w:rsid w:val="73F43927"/>
    <w:rsid w:val="754C6FF5"/>
    <w:rsid w:val="75F265F9"/>
    <w:rsid w:val="76537774"/>
    <w:rsid w:val="78F16688"/>
    <w:rsid w:val="790F3AE7"/>
    <w:rsid w:val="793067AF"/>
    <w:rsid w:val="79C63670"/>
    <w:rsid w:val="7ABB6F4D"/>
    <w:rsid w:val="7BB020CD"/>
    <w:rsid w:val="7BB0393B"/>
    <w:rsid w:val="7CB732C2"/>
    <w:rsid w:val="7CE31830"/>
    <w:rsid w:val="7D3B1AD2"/>
    <w:rsid w:val="7D8B2960"/>
    <w:rsid w:val="7DAD33FA"/>
    <w:rsid w:val="7F1C517E"/>
    <w:rsid w:val="7F386CD9"/>
    <w:rsid w:val="7F6E7DBE"/>
    <w:rsid w:val="7F914E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4"/>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5"/>
    <w:link w:val="121"/>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95"/>
    <w:autoRedefine/>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5"/>
    <w:link w:val="108"/>
    <w:autoRedefine/>
    <w:qFormat/>
    <w:uiPriority w:val="0"/>
    <w:pPr>
      <w:keepNext/>
      <w:keepLines/>
      <w:spacing w:before="280" w:after="290" w:line="376" w:lineRule="auto"/>
      <w:outlineLvl w:val="4"/>
    </w:pPr>
    <w:rPr>
      <w:b/>
      <w:sz w:val="28"/>
      <w:szCs w:val="20"/>
    </w:rPr>
  </w:style>
  <w:style w:type="paragraph" w:styleId="8">
    <w:name w:val="heading 6"/>
    <w:basedOn w:val="1"/>
    <w:next w:val="5"/>
    <w:link w:val="93"/>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5"/>
    <w:link w:val="113"/>
    <w:autoRedefine/>
    <w:qFormat/>
    <w:uiPriority w:val="0"/>
    <w:pPr>
      <w:keepNext/>
      <w:keepLines/>
      <w:spacing w:before="240" w:after="64" w:line="320" w:lineRule="auto"/>
      <w:outlineLvl w:val="6"/>
    </w:pPr>
    <w:rPr>
      <w:b/>
      <w:sz w:val="24"/>
      <w:szCs w:val="20"/>
    </w:rPr>
  </w:style>
  <w:style w:type="paragraph" w:styleId="10">
    <w:name w:val="heading 8"/>
    <w:basedOn w:val="1"/>
    <w:next w:val="5"/>
    <w:link w:val="100"/>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5"/>
    <w:link w:val="92"/>
    <w:autoRedefine/>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autoRedefine/>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15"/>
    <w:autoRedefine/>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3"/>
    <w:autoRedefine/>
    <w:qFormat/>
    <w:uiPriority w:val="0"/>
    <w:pPr>
      <w:spacing w:line="360" w:lineRule="auto"/>
      <w:jc w:val="left"/>
    </w:pPr>
    <w:rPr>
      <w:sz w:val="24"/>
    </w:rPr>
  </w:style>
  <w:style w:type="paragraph" w:styleId="17">
    <w:name w:val="Body Text"/>
    <w:basedOn w:val="1"/>
    <w:link w:val="78"/>
    <w:autoRedefine/>
    <w:qFormat/>
    <w:uiPriority w:val="0"/>
    <w:pPr>
      <w:spacing w:after="120"/>
    </w:pPr>
  </w:style>
  <w:style w:type="paragraph" w:styleId="18">
    <w:name w:val="Body Text Indent"/>
    <w:basedOn w:val="1"/>
    <w:link w:val="125"/>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autoRedefine/>
    <w:qFormat/>
    <w:uiPriority w:val="0"/>
    <w:pPr>
      <w:numPr>
        <w:ilvl w:val="0"/>
        <w:numId w:val="2"/>
      </w:numPr>
    </w:pPr>
  </w:style>
  <w:style w:type="paragraph" w:styleId="20">
    <w:name w:val="HTML Address"/>
    <w:basedOn w:val="1"/>
    <w:link w:val="131"/>
    <w:autoRedefine/>
    <w:qFormat/>
    <w:uiPriority w:val="0"/>
    <w:pPr>
      <w:numPr>
        <w:ilvl w:val="0"/>
        <w:numId w:val="3"/>
      </w:numPr>
      <w:tabs>
        <w:tab w:val="clear" w:pos="432"/>
      </w:tabs>
      <w:ind w:left="0" w:firstLine="0"/>
    </w:pPr>
    <w:rPr>
      <w:i/>
    </w:rPr>
  </w:style>
  <w:style w:type="paragraph" w:styleId="21">
    <w:name w:val="toc 5"/>
    <w:basedOn w:val="1"/>
    <w:next w:val="1"/>
    <w:autoRedefine/>
    <w:qFormat/>
    <w:uiPriority w:val="0"/>
    <w:pPr>
      <w:ind w:left="800" w:leftChars="800"/>
    </w:pPr>
    <w:rPr>
      <w:rFonts w:ascii="Calibri" w:hAnsi="Calibri"/>
      <w:szCs w:val="22"/>
    </w:rPr>
  </w:style>
  <w:style w:type="paragraph" w:styleId="22">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6"/>
    <w:autoRedefine/>
    <w:qFormat/>
    <w:uiPriority w:val="0"/>
    <w:rPr>
      <w:rFonts w:ascii="宋体" w:hAnsi="Courier New"/>
      <w:szCs w:val="20"/>
    </w:rPr>
  </w:style>
  <w:style w:type="paragraph" w:styleId="24">
    <w:name w:val="toc 8"/>
    <w:basedOn w:val="1"/>
    <w:next w:val="1"/>
    <w:autoRedefine/>
    <w:qFormat/>
    <w:uiPriority w:val="0"/>
    <w:pPr>
      <w:ind w:left="1400" w:leftChars="1400"/>
    </w:pPr>
    <w:rPr>
      <w:rFonts w:ascii="Calibri" w:hAnsi="Calibri"/>
      <w:szCs w:val="22"/>
    </w:rPr>
  </w:style>
  <w:style w:type="paragraph" w:styleId="25">
    <w:name w:val="Date"/>
    <w:basedOn w:val="1"/>
    <w:next w:val="1"/>
    <w:link w:val="65"/>
    <w:autoRedefine/>
    <w:qFormat/>
    <w:uiPriority w:val="0"/>
    <w:pPr>
      <w:numPr>
        <w:ilvl w:val="0"/>
        <w:numId w:val="4"/>
      </w:numPr>
      <w:ind w:left="100" w:leftChars="2500"/>
    </w:pPr>
  </w:style>
  <w:style w:type="paragraph" w:styleId="26">
    <w:name w:val="Body Text Indent 2"/>
    <w:basedOn w:val="1"/>
    <w:link w:val="73"/>
    <w:autoRedefine/>
    <w:qFormat/>
    <w:uiPriority w:val="0"/>
    <w:pPr>
      <w:widowControl/>
      <w:tabs>
        <w:tab w:val="left" w:pos="1506"/>
      </w:tabs>
      <w:adjustRightInd w:val="0"/>
      <w:snapToGrid w:val="0"/>
      <w:spacing w:line="320" w:lineRule="exact"/>
      <w:ind w:right="-107" w:rightChars="-51"/>
      <w:jc w:val="left"/>
    </w:pPr>
    <w:rPr>
      <w:rFonts w:eastAsia="仿宋_GB2312"/>
      <w:sz w:val="30"/>
      <w:szCs w:val="20"/>
    </w:rPr>
  </w:style>
  <w:style w:type="paragraph" w:styleId="27">
    <w:name w:val="endnote text"/>
    <w:basedOn w:val="1"/>
    <w:link w:val="313"/>
    <w:autoRedefine/>
    <w:unhideWhenUsed/>
    <w:qFormat/>
    <w:uiPriority w:val="99"/>
    <w:pPr>
      <w:snapToGrid w:val="0"/>
    </w:pPr>
    <w:rPr>
      <w:rFonts w:cstheme="minorBidi"/>
      <w:szCs w:val="22"/>
    </w:rPr>
  </w:style>
  <w:style w:type="paragraph" w:styleId="28">
    <w:name w:val="Balloon Text"/>
    <w:basedOn w:val="1"/>
    <w:link w:val="88"/>
    <w:autoRedefine/>
    <w:qFormat/>
    <w:uiPriority w:val="0"/>
    <w:rPr>
      <w:sz w:val="18"/>
      <w:szCs w:val="18"/>
    </w:rPr>
  </w:style>
  <w:style w:type="paragraph" w:styleId="29">
    <w:name w:val="footer"/>
    <w:basedOn w:val="1"/>
    <w:link w:val="134"/>
    <w:autoRedefine/>
    <w:qFormat/>
    <w:uiPriority w:val="0"/>
    <w:pPr>
      <w:tabs>
        <w:tab w:val="center" w:pos="4153"/>
        <w:tab w:val="right" w:pos="8306"/>
      </w:tabs>
      <w:snapToGrid w:val="0"/>
      <w:jc w:val="left"/>
    </w:pPr>
    <w:rPr>
      <w:sz w:val="18"/>
      <w:szCs w:val="20"/>
    </w:rPr>
  </w:style>
  <w:style w:type="paragraph" w:styleId="30">
    <w:name w:val="header"/>
    <w:basedOn w:val="1"/>
    <w:link w:val="126"/>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4"/>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autoRedefine/>
    <w:qFormat/>
    <w:uiPriority w:val="0"/>
    <w:pPr>
      <w:ind w:left="1600" w:leftChars="1600"/>
    </w:pPr>
    <w:rPr>
      <w:rFonts w:ascii="Calibri" w:hAnsi="Calibri"/>
      <w:szCs w:val="22"/>
    </w:rPr>
  </w:style>
  <w:style w:type="paragraph" w:styleId="40">
    <w:name w:val="Body Text 2"/>
    <w:basedOn w:val="1"/>
    <w:link w:val="103"/>
    <w:autoRedefine/>
    <w:qFormat/>
    <w:uiPriority w:val="0"/>
    <w:pPr>
      <w:spacing w:line="360" w:lineRule="auto"/>
    </w:pPr>
    <w:rPr>
      <w:rFonts w:ascii="仿宋_GB2312" w:eastAsia="仿宋_GB2312"/>
      <w:sz w:val="32"/>
    </w:rPr>
  </w:style>
  <w:style w:type="paragraph" w:styleId="41">
    <w:name w:val="HTML Preformatted"/>
    <w:basedOn w:val="1"/>
    <w:link w:val="13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autoRedefine/>
    <w:qFormat/>
    <w:uiPriority w:val="0"/>
    <w:pPr>
      <w:ind w:left="420" w:hanging="210"/>
      <w:jc w:val="left"/>
    </w:pPr>
    <w:rPr>
      <w:sz w:val="20"/>
      <w:szCs w:val="20"/>
    </w:rPr>
  </w:style>
  <w:style w:type="paragraph" w:styleId="44">
    <w:name w:val="Title"/>
    <w:basedOn w:val="1"/>
    <w:next w:val="1"/>
    <w:link w:val="127"/>
    <w:autoRedefine/>
    <w:qFormat/>
    <w:uiPriority w:val="0"/>
    <w:pPr>
      <w:spacing w:before="240" w:after="60"/>
      <w:jc w:val="center"/>
      <w:outlineLvl w:val="0"/>
    </w:pPr>
    <w:rPr>
      <w:rFonts w:ascii="Cambria" w:hAnsi="Cambria"/>
      <w:b/>
      <w:bCs/>
      <w:sz w:val="32"/>
      <w:szCs w:val="32"/>
    </w:rPr>
  </w:style>
  <w:style w:type="paragraph" w:styleId="45">
    <w:name w:val="annotation subject"/>
    <w:basedOn w:val="16"/>
    <w:next w:val="16"/>
    <w:link w:val="309"/>
    <w:autoRedefine/>
    <w:semiHidden/>
    <w:unhideWhenUsed/>
    <w:qFormat/>
    <w:uiPriority w:val="99"/>
    <w:pPr>
      <w:spacing w:line="240" w:lineRule="auto"/>
    </w:pPr>
    <w:rPr>
      <w:b/>
      <w:bCs/>
      <w:sz w:val="21"/>
    </w:rPr>
  </w:style>
  <w:style w:type="paragraph" w:styleId="46">
    <w:name w:val="Body Text First Indent"/>
    <w:basedOn w:val="17"/>
    <w:link w:val="135"/>
    <w:autoRedefine/>
    <w:qFormat/>
    <w:uiPriority w:val="0"/>
    <w:pPr>
      <w:ind w:firstLine="100" w:firstLineChars="100"/>
    </w:pPr>
    <w:rPr>
      <w:rFonts w:ascii="Calibri" w:hAnsi="Calibri"/>
      <w:szCs w:val="22"/>
    </w:rPr>
  </w:style>
  <w:style w:type="paragraph" w:styleId="47">
    <w:name w:val="Body Text First Indent 2"/>
    <w:basedOn w:val="18"/>
    <w:link w:val="62"/>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autoRedefine/>
    <w:qFormat/>
    <w:uiPriority w:val="22"/>
    <w:rPr>
      <w:b/>
      <w:bCs/>
    </w:rPr>
  </w:style>
  <w:style w:type="character" w:styleId="52">
    <w:name w:val="page number"/>
    <w:basedOn w:val="50"/>
    <w:autoRedefine/>
    <w:qFormat/>
    <w:uiPriority w:val="0"/>
  </w:style>
  <w:style w:type="character" w:styleId="53">
    <w:name w:val="Emphasis"/>
    <w:autoRedefine/>
    <w:qFormat/>
    <w:uiPriority w:val="20"/>
    <w:rPr>
      <w:i/>
      <w:iCs/>
    </w:rPr>
  </w:style>
  <w:style w:type="character" w:styleId="54">
    <w:name w:val="Hyperlink"/>
    <w:autoRedefine/>
    <w:qFormat/>
    <w:uiPriority w:val="99"/>
    <w:rPr>
      <w:color w:val="0000FF"/>
      <w:u w:val="single"/>
    </w:rPr>
  </w:style>
  <w:style w:type="character" w:styleId="55">
    <w:name w:val="annotation reference"/>
    <w:basedOn w:val="50"/>
    <w:autoRedefine/>
    <w:qFormat/>
    <w:uiPriority w:val="0"/>
    <w:rPr>
      <w:sz w:val="21"/>
      <w:szCs w:val="21"/>
    </w:rPr>
  </w:style>
  <w:style w:type="paragraph" w:customStyle="1" w:styleId="56">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7">
    <w:name w:val="标题 1 Char Char"/>
    <w:autoRedefine/>
    <w:qFormat/>
    <w:uiPriority w:val="0"/>
    <w:rPr>
      <w:rFonts w:eastAsia="宋体"/>
      <w:b/>
      <w:bCs/>
      <w:kern w:val="44"/>
      <w:sz w:val="44"/>
      <w:szCs w:val="44"/>
      <w:lang w:val="en-US" w:eastAsia="zh-CN" w:bidi="ar-SA"/>
    </w:rPr>
  </w:style>
  <w:style w:type="character" w:customStyle="1" w:styleId="58">
    <w:name w:val="标题 4 Char Char"/>
    <w:autoRedefine/>
    <w:qFormat/>
    <w:uiPriority w:val="0"/>
    <w:rPr>
      <w:rFonts w:ascii="Arial" w:hAnsi="Arial" w:eastAsia="黑体"/>
      <w:b/>
      <w:bCs/>
      <w:kern w:val="2"/>
      <w:sz w:val="28"/>
      <w:szCs w:val="28"/>
      <w:lang w:val="en-US" w:eastAsia="zh-CN" w:bidi="ar-SA"/>
    </w:rPr>
  </w:style>
  <w:style w:type="character" w:customStyle="1" w:styleId="59">
    <w:name w:val="font11"/>
    <w:autoRedefine/>
    <w:qFormat/>
    <w:uiPriority w:val="0"/>
    <w:rPr>
      <w:rFonts w:hint="eastAsia" w:ascii="宋体" w:hAnsi="宋体" w:eastAsia="宋体"/>
      <w:color w:val="000000"/>
      <w:sz w:val="24"/>
      <w:szCs w:val="24"/>
      <w:u w:val="none"/>
    </w:rPr>
  </w:style>
  <w:style w:type="character" w:customStyle="1" w:styleId="60">
    <w:name w:val="标题 5 Char Char"/>
    <w:autoRedefine/>
    <w:qFormat/>
    <w:uiPriority w:val="0"/>
    <w:rPr>
      <w:rFonts w:eastAsia="宋体"/>
      <w:b/>
      <w:bCs/>
      <w:kern w:val="2"/>
      <w:sz w:val="28"/>
      <w:szCs w:val="28"/>
      <w:lang w:val="en-US" w:eastAsia="zh-CN" w:bidi="ar-SA"/>
    </w:rPr>
  </w:style>
  <w:style w:type="character" w:customStyle="1" w:styleId="61">
    <w:name w:val="ca-5"/>
    <w:basedOn w:val="50"/>
    <w:autoRedefine/>
    <w:qFormat/>
    <w:uiPriority w:val="0"/>
  </w:style>
  <w:style w:type="character" w:customStyle="1" w:styleId="62">
    <w:name w:val="正文首行缩进 2 字符"/>
    <w:link w:val="47"/>
    <w:autoRedefine/>
    <w:qFormat/>
    <w:uiPriority w:val="0"/>
    <w:rPr>
      <w:rFonts w:ascii="Calibri" w:hAnsi="Calibri" w:eastAsia="仿宋_GB2312"/>
      <w:kern w:val="2"/>
      <w:sz w:val="21"/>
      <w:szCs w:val="22"/>
      <w:lang w:val="en-US" w:eastAsia="zh-CN" w:bidi="ar-SA"/>
    </w:rPr>
  </w:style>
  <w:style w:type="character" w:customStyle="1" w:styleId="63">
    <w:name w:val="已访问的超链接1"/>
    <w:autoRedefine/>
    <w:qFormat/>
    <w:uiPriority w:val="0"/>
    <w:rPr>
      <w:color w:val="800080"/>
      <w:u w:val="single"/>
    </w:rPr>
  </w:style>
  <w:style w:type="character" w:customStyle="1" w:styleId="64">
    <w:name w:val="正文首行缩进 Char Char"/>
    <w:autoRedefine/>
    <w:qFormat/>
    <w:uiPriority w:val="0"/>
    <w:rPr>
      <w:rFonts w:eastAsia="仿宋_GB2312"/>
      <w:kern w:val="2"/>
      <w:sz w:val="28"/>
      <w:szCs w:val="24"/>
      <w:lang w:bidi="ar-SA"/>
    </w:rPr>
  </w:style>
  <w:style w:type="character" w:customStyle="1" w:styleId="65">
    <w:name w:val="日期 字符"/>
    <w:link w:val="25"/>
    <w:autoRedefine/>
    <w:qFormat/>
    <w:uiPriority w:val="0"/>
    <w:rPr>
      <w:kern w:val="2"/>
      <w:sz w:val="21"/>
      <w:szCs w:val="24"/>
    </w:rPr>
  </w:style>
  <w:style w:type="character" w:customStyle="1" w:styleId="66">
    <w:name w:val="正文文本缩进 3 Char Char"/>
    <w:autoRedefine/>
    <w:qFormat/>
    <w:uiPriority w:val="0"/>
    <w:rPr>
      <w:kern w:val="2"/>
      <w:sz w:val="16"/>
      <w:szCs w:val="16"/>
      <w:lang w:bidi="ar-SA"/>
    </w:rPr>
  </w:style>
  <w:style w:type="character" w:customStyle="1" w:styleId="67">
    <w:name w:val="文档正文 Char1"/>
    <w:link w:val="68"/>
    <w:autoRedefine/>
    <w:qFormat/>
    <w:uiPriority w:val="0"/>
    <w:rPr>
      <w:rFonts w:ascii="Arial Narrow" w:hAnsi="Arial Narrow"/>
      <w:sz w:val="24"/>
      <w:szCs w:val="24"/>
      <w:lang w:val="en-US" w:eastAsia="zh-CN" w:bidi="ar-SA"/>
    </w:rPr>
  </w:style>
  <w:style w:type="paragraph" w:customStyle="1" w:styleId="68">
    <w:name w:val="文档正文"/>
    <w:link w:val="67"/>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autoRedefine/>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autoRedefine/>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7"/>
    <w:link w:val="70"/>
    <w:autoRedefine/>
    <w:qFormat/>
    <w:uiPriority w:val="0"/>
  </w:style>
  <w:style w:type="character" w:customStyle="1" w:styleId="72">
    <w:name w:val="style71"/>
    <w:autoRedefine/>
    <w:qFormat/>
    <w:uiPriority w:val="0"/>
    <w:rPr>
      <w:sz w:val="21"/>
      <w:szCs w:val="21"/>
    </w:rPr>
  </w:style>
  <w:style w:type="character" w:customStyle="1" w:styleId="73">
    <w:name w:val="正文文本缩进 2 字符"/>
    <w:link w:val="26"/>
    <w:autoRedefine/>
    <w:qFormat/>
    <w:uiPriority w:val="0"/>
    <w:rPr>
      <w:rFonts w:ascii="Times New Roman" w:hAnsi="Times New Roman" w:eastAsia="仿宋_GB2312" w:cs="Times New Roman"/>
      <w:kern w:val="2"/>
      <w:sz w:val="30"/>
    </w:rPr>
  </w:style>
  <w:style w:type="character" w:customStyle="1" w:styleId="74">
    <w:name w:val="正文文本缩进 3 字符"/>
    <w:link w:val="37"/>
    <w:autoRedefine/>
    <w:qFormat/>
    <w:uiPriority w:val="0"/>
    <w:rPr>
      <w:rFonts w:ascii="宋体" w:hAnsi="宋体" w:eastAsia="宋体"/>
      <w:kern w:val="2"/>
      <w:sz w:val="21"/>
      <w:szCs w:val="24"/>
      <w:lang w:val="en-US" w:eastAsia="zh-CN" w:bidi="ar-SA"/>
    </w:rPr>
  </w:style>
  <w:style w:type="character" w:customStyle="1" w:styleId="75">
    <w:name w:val="ca-9"/>
    <w:basedOn w:val="50"/>
    <w:autoRedefine/>
    <w:qFormat/>
    <w:uiPriority w:val="0"/>
  </w:style>
  <w:style w:type="character" w:customStyle="1" w:styleId="76">
    <w:name w:val="纯文本 字符"/>
    <w:link w:val="23"/>
    <w:autoRedefine/>
    <w:qFormat/>
    <w:uiPriority w:val="0"/>
    <w:rPr>
      <w:rFonts w:ascii="宋体" w:hAnsi="Courier New" w:eastAsia="宋体"/>
      <w:kern w:val="2"/>
      <w:sz w:val="21"/>
      <w:lang w:val="en-US" w:eastAsia="zh-CN" w:bidi="ar-SA"/>
    </w:rPr>
  </w:style>
  <w:style w:type="character" w:customStyle="1" w:styleId="77">
    <w:name w:val="页脚 Char Char"/>
    <w:autoRedefine/>
    <w:qFormat/>
    <w:uiPriority w:val="0"/>
    <w:rPr>
      <w:rFonts w:eastAsia="宋体"/>
      <w:sz w:val="18"/>
      <w:szCs w:val="18"/>
      <w:lang w:bidi="ar-SA"/>
    </w:rPr>
  </w:style>
  <w:style w:type="character" w:customStyle="1" w:styleId="78">
    <w:name w:val="正文文本 字符"/>
    <w:link w:val="17"/>
    <w:autoRedefine/>
    <w:qFormat/>
    <w:uiPriority w:val="0"/>
    <w:rPr>
      <w:rFonts w:eastAsia="宋体"/>
      <w:kern w:val="2"/>
      <w:sz w:val="21"/>
      <w:szCs w:val="24"/>
      <w:lang w:val="en-US" w:eastAsia="zh-CN" w:bidi="ar-SA"/>
    </w:rPr>
  </w:style>
  <w:style w:type="character" w:customStyle="1" w:styleId="79">
    <w:name w:val="标题 2 Char Char"/>
    <w:autoRedefine/>
    <w:qFormat/>
    <w:uiPriority w:val="0"/>
    <w:rPr>
      <w:rFonts w:ascii="Cambria" w:hAnsi="Cambria" w:eastAsia="宋体"/>
      <w:b/>
      <w:bCs/>
      <w:kern w:val="2"/>
      <w:sz w:val="32"/>
      <w:szCs w:val="32"/>
      <w:lang w:val="en-US" w:eastAsia="zh-CN" w:bidi="ar-SA"/>
    </w:rPr>
  </w:style>
  <w:style w:type="character" w:customStyle="1" w:styleId="80">
    <w:name w:val="标题 1 1 Char"/>
    <w:autoRedefine/>
    <w:qFormat/>
    <w:uiPriority w:val="0"/>
    <w:rPr>
      <w:rFonts w:ascii="黑体" w:eastAsia="黑体"/>
      <w:bCs/>
      <w:kern w:val="44"/>
      <w:sz w:val="24"/>
      <w:lang w:val="en-US" w:eastAsia="zh-CN" w:bidi="ar-SA"/>
    </w:rPr>
  </w:style>
  <w:style w:type="character" w:customStyle="1" w:styleId="81">
    <w:name w:val="Char Char14"/>
    <w:autoRedefine/>
    <w:qFormat/>
    <w:uiPriority w:val="0"/>
    <w:rPr>
      <w:rFonts w:ascii="宋体" w:eastAsia="宋体"/>
      <w:sz w:val="34"/>
      <w:lang w:val="en-US" w:eastAsia="zh-CN" w:bidi="ar-SA"/>
    </w:rPr>
  </w:style>
  <w:style w:type="character" w:customStyle="1" w:styleId="82">
    <w:name w:val="content"/>
    <w:autoRedefine/>
    <w:qFormat/>
    <w:uiPriority w:val="0"/>
  </w:style>
  <w:style w:type="character" w:customStyle="1" w:styleId="83">
    <w:name w:val="Char Char5"/>
    <w:autoRedefine/>
    <w:qFormat/>
    <w:uiPriority w:val="0"/>
    <w:rPr>
      <w:rFonts w:eastAsia="宋体"/>
      <w:kern w:val="2"/>
      <w:sz w:val="18"/>
      <w:lang w:val="en-US" w:eastAsia="zh-CN" w:bidi="ar-SA"/>
    </w:rPr>
  </w:style>
  <w:style w:type="character" w:customStyle="1" w:styleId="84">
    <w:name w:val="c_666"/>
    <w:basedOn w:val="50"/>
    <w:autoRedefine/>
    <w:qFormat/>
    <w:uiPriority w:val="0"/>
  </w:style>
  <w:style w:type="character" w:customStyle="1" w:styleId="85">
    <w:name w:val="ALT+Z Char"/>
    <w:autoRedefine/>
    <w:qFormat/>
    <w:uiPriority w:val="0"/>
    <w:rPr>
      <w:rFonts w:ascii="宋体"/>
      <w:sz w:val="34"/>
    </w:rPr>
  </w:style>
  <w:style w:type="character" w:customStyle="1" w:styleId="86">
    <w:name w:val="正文（缩进） Char Char"/>
    <w:link w:val="87"/>
    <w:autoRedefine/>
    <w:qFormat/>
    <w:uiPriority w:val="0"/>
    <w:rPr>
      <w:rFonts w:eastAsia="宋体"/>
      <w:kern w:val="2"/>
      <w:sz w:val="24"/>
      <w:szCs w:val="24"/>
      <w:lang w:val="en-US" w:eastAsia="zh-CN" w:bidi="ar-SA"/>
    </w:rPr>
  </w:style>
  <w:style w:type="paragraph" w:customStyle="1" w:styleId="87">
    <w:name w:val="正文（缩进）"/>
    <w:basedOn w:val="1"/>
    <w:link w:val="86"/>
    <w:autoRedefine/>
    <w:qFormat/>
    <w:uiPriority w:val="0"/>
    <w:pPr>
      <w:spacing w:beforeLines="50" w:afterLines="50" w:line="360" w:lineRule="auto"/>
      <w:ind w:firstLine="480" w:firstLineChars="200"/>
    </w:pPr>
    <w:rPr>
      <w:sz w:val="24"/>
    </w:rPr>
  </w:style>
  <w:style w:type="character" w:customStyle="1" w:styleId="88">
    <w:name w:val="批注框文本 字符"/>
    <w:link w:val="28"/>
    <w:autoRedefine/>
    <w:qFormat/>
    <w:uiPriority w:val="0"/>
    <w:rPr>
      <w:rFonts w:eastAsia="宋体"/>
      <w:kern w:val="2"/>
      <w:sz w:val="18"/>
      <w:szCs w:val="18"/>
      <w:lang w:val="en-US" w:eastAsia="zh-CN" w:bidi="ar-SA"/>
    </w:rPr>
  </w:style>
  <w:style w:type="character" w:customStyle="1" w:styleId="89">
    <w:name w:val="表格内容"/>
    <w:autoRedefine/>
    <w:qFormat/>
    <w:uiPriority w:val="0"/>
    <w:rPr>
      <w:sz w:val="24"/>
    </w:rPr>
  </w:style>
  <w:style w:type="character" w:customStyle="1" w:styleId="90">
    <w:name w:val="ca-8"/>
    <w:basedOn w:val="50"/>
    <w:autoRedefine/>
    <w:qFormat/>
    <w:uiPriority w:val="0"/>
  </w:style>
  <w:style w:type="character" w:customStyle="1" w:styleId="91">
    <w:name w:val="不明显参考1"/>
    <w:autoRedefine/>
    <w:qFormat/>
    <w:uiPriority w:val="0"/>
    <w:rPr>
      <w:smallCaps/>
      <w:color w:val="C0504D"/>
      <w:u w:val="single"/>
    </w:rPr>
  </w:style>
  <w:style w:type="character" w:customStyle="1" w:styleId="92">
    <w:name w:val="标题 9 字符"/>
    <w:link w:val="11"/>
    <w:autoRedefine/>
    <w:qFormat/>
    <w:uiPriority w:val="0"/>
    <w:rPr>
      <w:rFonts w:ascii="Arial" w:hAnsi="Arial" w:eastAsia="黑体"/>
      <w:kern w:val="2"/>
      <w:sz w:val="21"/>
      <w:lang w:val="en-US" w:eastAsia="zh-CN" w:bidi="ar-SA"/>
    </w:rPr>
  </w:style>
  <w:style w:type="character" w:customStyle="1" w:styleId="93">
    <w:name w:val="标题 6 字符"/>
    <w:link w:val="8"/>
    <w:autoRedefine/>
    <w:qFormat/>
    <w:uiPriority w:val="0"/>
    <w:rPr>
      <w:rFonts w:ascii="Arial" w:hAnsi="Arial" w:eastAsia="黑体"/>
      <w:b/>
      <w:kern w:val="2"/>
      <w:sz w:val="24"/>
      <w:lang w:val="en-US" w:eastAsia="zh-CN" w:bidi="ar-SA"/>
    </w:rPr>
  </w:style>
  <w:style w:type="character" w:customStyle="1" w:styleId="94">
    <w:name w:val="ca-10"/>
    <w:basedOn w:val="50"/>
    <w:autoRedefine/>
    <w:qFormat/>
    <w:uiPriority w:val="0"/>
  </w:style>
  <w:style w:type="character" w:customStyle="1" w:styleId="95">
    <w:name w:val="标题 4 字符"/>
    <w:link w:val="6"/>
    <w:autoRedefine/>
    <w:qFormat/>
    <w:uiPriority w:val="0"/>
    <w:rPr>
      <w:rFonts w:ascii="Arial" w:hAnsi="Arial" w:eastAsia="黑体"/>
      <w:b/>
      <w:kern w:val="2"/>
      <w:sz w:val="28"/>
      <w:lang w:val="en-US" w:eastAsia="zh-CN" w:bidi="ar-SA"/>
    </w:rPr>
  </w:style>
  <w:style w:type="character" w:customStyle="1" w:styleId="96">
    <w:name w:val="批注文字 Char Char"/>
    <w:autoRedefine/>
    <w:qFormat/>
    <w:uiPriority w:val="0"/>
    <w:rPr>
      <w:kern w:val="2"/>
      <w:sz w:val="21"/>
      <w:lang w:bidi="ar-SA"/>
    </w:rPr>
  </w:style>
  <w:style w:type="character" w:customStyle="1" w:styleId="97">
    <w:name w:val="style18"/>
    <w:autoRedefine/>
    <w:qFormat/>
    <w:uiPriority w:val="0"/>
  </w:style>
  <w:style w:type="character" w:customStyle="1" w:styleId="98">
    <w:name w:val="font21"/>
    <w:autoRedefine/>
    <w:qFormat/>
    <w:uiPriority w:val="0"/>
    <w:rPr>
      <w:rFonts w:hint="default" w:ascii="Arial" w:hAnsi="Arial" w:cs="Arial"/>
      <w:color w:val="000000"/>
      <w:sz w:val="24"/>
      <w:szCs w:val="24"/>
      <w:u w:val="none"/>
    </w:rPr>
  </w:style>
  <w:style w:type="character" w:customStyle="1" w:styleId="99">
    <w:name w:val="ca-11"/>
    <w:basedOn w:val="50"/>
    <w:autoRedefine/>
    <w:qFormat/>
    <w:uiPriority w:val="0"/>
  </w:style>
  <w:style w:type="character" w:customStyle="1" w:styleId="100">
    <w:name w:val="标题 8 字符"/>
    <w:link w:val="10"/>
    <w:autoRedefine/>
    <w:qFormat/>
    <w:uiPriority w:val="0"/>
    <w:rPr>
      <w:rFonts w:ascii="Arial" w:hAnsi="Arial" w:eastAsia="黑体"/>
      <w:kern w:val="2"/>
      <w:sz w:val="24"/>
      <w:lang w:val="en-US" w:eastAsia="zh-CN" w:bidi="ar-SA"/>
    </w:rPr>
  </w:style>
  <w:style w:type="character" w:customStyle="1" w:styleId="101">
    <w:name w:val="类目1 Char Char"/>
    <w:link w:val="102"/>
    <w:autoRedefine/>
    <w:qFormat/>
    <w:uiPriority w:val="0"/>
    <w:rPr>
      <w:b/>
      <w:color w:val="17365D"/>
      <w:kern w:val="2"/>
      <w:sz w:val="28"/>
      <w:szCs w:val="28"/>
      <w:lang w:bidi="ar-SA"/>
    </w:rPr>
  </w:style>
  <w:style w:type="paragraph" w:customStyle="1" w:styleId="102">
    <w:name w:val="类目1"/>
    <w:basedOn w:val="1"/>
    <w:link w:val="101"/>
    <w:autoRedefine/>
    <w:qFormat/>
    <w:uiPriority w:val="0"/>
    <w:pPr>
      <w:adjustRightInd w:val="0"/>
      <w:snapToGrid w:val="0"/>
      <w:spacing w:line="220" w:lineRule="atLeast"/>
    </w:pPr>
    <w:rPr>
      <w:b/>
      <w:color w:val="17365D"/>
      <w:sz w:val="28"/>
      <w:szCs w:val="28"/>
    </w:rPr>
  </w:style>
  <w:style w:type="character" w:customStyle="1" w:styleId="103">
    <w:name w:val="正文文本 2 字符"/>
    <w:link w:val="40"/>
    <w:autoRedefine/>
    <w:qFormat/>
    <w:uiPriority w:val="0"/>
    <w:rPr>
      <w:rFonts w:ascii="仿宋_GB2312" w:eastAsia="仿宋_GB2312"/>
      <w:kern w:val="2"/>
      <w:sz w:val="32"/>
      <w:szCs w:val="24"/>
      <w:lang w:val="en-US" w:eastAsia="zh-CN" w:bidi="ar-SA"/>
    </w:rPr>
  </w:style>
  <w:style w:type="character" w:customStyle="1" w:styleId="104">
    <w:name w:val="标题 2 字符"/>
    <w:link w:val="3"/>
    <w:autoRedefine/>
    <w:qFormat/>
    <w:uiPriority w:val="0"/>
    <w:rPr>
      <w:rFonts w:ascii="黑体" w:hAnsi="宋体" w:eastAsia="黑体"/>
      <w:bCs/>
      <w:kern w:val="44"/>
      <w:sz w:val="21"/>
      <w:szCs w:val="24"/>
    </w:rPr>
  </w:style>
  <w:style w:type="character" w:customStyle="1" w:styleId="105">
    <w:name w:val="lineitems1"/>
    <w:autoRedefine/>
    <w:qFormat/>
    <w:uiPriority w:val="0"/>
    <w:rPr>
      <w:sz w:val="17"/>
      <w:szCs w:val="17"/>
    </w:rPr>
  </w:style>
  <w:style w:type="character" w:customStyle="1" w:styleId="106">
    <w:name w:val="题注 Char1"/>
    <w:autoRedefine/>
    <w:qFormat/>
    <w:uiPriority w:val="0"/>
    <w:rPr>
      <w:rFonts w:ascii="Arial" w:hAnsi="Arial" w:eastAsia="宋体" w:cs="Arial"/>
      <w:kern w:val="2"/>
      <w:lang w:val="en-US" w:eastAsia="zh-CN" w:bidi="ar-SA"/>
    </w:rPr>
  </w:style>
  <w:style w:type="character" w:customStyle="1" w:styleId="107">
    <w:name w:val="标题 3 Char Char"/>
    <w:autoRedefine/>
    <w:qFormat/>
    <w:uiPriority w:val="0"/>
    <w:rPr>
      <w:rFonts w:eastAsia="宋体"/>
      <w:b/>
      <w:bCs/>
      <w:kern w:val="2"/>
      <w:sz w:val="32"/>
      <w:szCs w:val="32"/>
      <w:lang w:val="en-US" w:eastAsia="zh-CN" w:bidi="ar-SA"/>
    </w:rPr>
  </w:style>
  <w:style w:type="character" w:customStyle="1" w:styleId="108">
    <w:name w:val="标题 5 字符"/>
    <w:link w:val="7"/>
    <w:autoRedefine/>
    <w:qFormat/>
    <w:uiPriority w:val="0"/>
    <w:rPr>
      <w:rFonts w:eastAsia="宋体"/>
      <w:b/>
      <w:kern w:val="2"/>
      <w:sz w:val="28"/>
      <w:lang w:val="en-US" w:eastAsia="zh-CN" w:bidi="ar-SA"/>
    </w:rPr>
  </w:style>
  <w:style w:type="character" w:customStyle="1" w:styleId="109">
    <w:name w:val="p12"/>
    <w:basedOn w:val="50"/>
    <w:autoRedefine/>
    <w:qFormat/>
    <w:uiPriority w:val="0"/>
  </w:style>
  <w:style w:type="character" w:customStyle="1" w:styleId="110">
    <w:name w:val="正文缩进 Char2"/>
    <w:link w:val="111"/>
    <w:autoRedefine/>
    <w:qFormat/>
    <w:uiPriority w:val="0"/>
    <w:rPr>
      <w:rFonts w:ascii="宋体" w:eastAsia="宋体"/>
      <w:sz w:val="34"/>
      <w:lang w:bidi="ar-SA"/>
    </w:rPr>
  </w:style>
  <w:style w:type="paragraph" w:customStyle="1" w:styleId="111">
    <w:name w:val="Normal Indent1"/>
    <w:basedOn w:val="1"/>
    <w:link w:val="110"/>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autoRedefine/>
    <w:qFormat/>
    <w:uiPriority w:val="0"/>
    <w:rPr>
      <w:rFonts w:ascii="Arial" w:hAnsi="Arial" w:eastAsia="黑体"/>
      <w:kern w:val="2"/>
      <w:sz w:val="21"/>
      <w:szCs w:val="21"/>
      <w:lang w:val="en-US" w:eastAsia="zh-CN" w:bidi="ar-SA"/>
    </w:rPr>
  </w:style>
  <w:style w:type="character" w:customStyle="1" w:styleId="113">
    <w:name w:val="标题 7 字符"/>
    <w:link w:val="9"/>
    <w:autoRedefine/>
    <w:qFormat/>
    <w:uiPriority w:val="0"/>
    <w:rPr>
      <w:rFonts w:eastAsia="宋体"/>
      <w:b/>
      <w:kern w:val="2"/>
      <w:sz w:val="24"/>
      <w:lang w:val="en-US" w:eastAsia="zh-CN" w:bidi="ar-SA"/>
    </w:rPr>
  </w:style>
  <w:style w:type="character" w:customStyle="1" w:styleId="114">
    <w:name w:val="flname7"/>
    <w:basedOn w:val="50"/>
    <w:autoRedefine/>
    <w:qFormat/>
    <w:uiPriority w:val="0"/>
  </w:style>
  <w:style w:type="character" w:customStyle="1" w:styleId="115">
    <w:name w:val="正文缩进 字符"/>
    <w:link w:val="5"/>
    <w:autoRedefine/>
    <w:qFormat/>
    <w:uiPriority w:val="0"/>
    <w:rPr>
      <w:rFonts w:ascii="宋体" w:eastAsia="宋体"/>
      <w:sz w:val="34"/>
      <w:lang w:val="en-US" w:eastAsia="zh-CN" w:bidi="ar-SA"/>
    </w:rPr>
  </w:style>
  <w:style w:type="character" w:customStyle="1" w:styleId="116">
    <w:name w:val="样式5 Char Char"/>
    <w:link w:val="117"/>
    <w:autoRedefine/>
    <w:qFormat/>
    <w:uiPriority w:val="0"/>
    <w:rPr>
      <w:rFonts w:ascii="宋体" w:hAnsi="宋体" w:eastAsia="宋体" w:cs="Arial"/>
      <w:b/>
      <w:kern w:val="2"/>
      <w:sz w:val="24"/>
      <w:szCs w:val="24"/>
      <w:lang w:val="en-US" w:eastAsia="zh-CN" w:bidi="ar-SA"/>
    </w:rPr>
  </w:style>
  <w:style w:type="paragraph" w:customStyle="1" w:styleId="117">
    <w:name w:val="样式5"/>
    <w:basedOn w:val="1"/>
    <w:link w:val="116"/>
    <w:autoRedefine/>
    <w:qFormat/>
    <w:uiPriority w:val="0"/>
    <w:pPr>
      <w:spacing w:line="400" w:lineRule="exact"/>
      <w:ind w:left="482"/>
    </w:pPr>
    <w:rPr>
      <w:rFonts w:ascii="宋体" w:hAnsi="宋体" w:cs="Arial"/>
      <w:b/>
      <w:sz w:val="24"/>
    </w:rPr>
  </w:style>
  <w:style w:type="character" w:customStyle="1" w:styleId="118">
    <w:name w:val="text1"/>
    <w:autoRedefine/>
    <w:qFormat/>
    <w:uiPriority w:val="0"/>
    <w:rPr>
      <w:sz w:val="20"/>
      <w:szCs w:val="20"/>
    </w:rPr>
  </w:style>
  <w:style w:type="character" w:customStyle="1" w:styleId="119">
    <w:name w:val="样式2"/>
    <w:autoRedefine/>
    <w:qFormat/>
    <w:uiPriority w:val="0"/>
    <w:rPr>
      <w:rFonts w:eastAsia="华文楷体"/>
      <w:b/>
      <w:sz w:val="32"/>
    </w:rPr>
  </w:style>
  <w:style w:type="character" w:customStyle="1" w:styleId="120">
    <w:name w:val="页眉 Char Char"/>
    <w:autoRedefine/>
    <w:qFormat/>
    <w:uiPriority w:val="0"/>
    <w:rPr>
      <w:rFonts w:eastAsia="宋体"/>
      <w:sz w:val="18"/>
      <w:szCs w:val="18"/>
      <w:lang w:bidi="ar-SA"/>
    </w:rPr>
  </w:style>
  <w:style w:type="character" w:customStyle="1" w:styleId="121">
    <w:name w:val="标题 3 字符"/>
    <w:link w:val="4"/>
    <w:autoRedefine/>
    <w:qFormat/>
    <w:uiPriority w:val="0"/>
    <w:rPr>
      <w:rFonts w:ascii="黑体" w:eastAsia="黑体"/>
      <w:bCs/>
      <w:color w:val="000000"/>
      <w:kern w:val="2"/>
      <w:sz w:val="21"/>
      <w:szCs w:val="24"/>
    </w:rPr>
  </w:style>
  <w:style w:type="character" w:customStyle="1" w:styleId="122">
    <w:name w:val="书籍标题3 Char1"/>
    <w:link w:val="123"/>
    <w:autoRedefine/>
    <w:qFormat/>
    <w:uiPriority w:val="0"/>
    <w:rPr>
      <w:b/>
      <w:bCs/>
      <w:spacing w:val="20"/>
      <w:kern w:val="2"/>
      <w:sz w:val="28"/>
      <w:szCs w:val="28"/>
    </w:rPr>
  </w:style>
  <w:style w:type="paragraph" w:customStyle="1" w:styleId="123">
    <w:name w:val="书籍标题3"/>
    <w:basedOn w:val="124"/>
    <w:link w:val="122"/>
    <w:autoRedefine/>
    <w:qFormat/>
    <w:uiPriority w:val="0"/>
    <w:pPr>
      <w:numPr>
        <w:ilvl w:val="2"/>
      </w:numPr>
      <w:tabs>
        <w:tab w:val="left" w:pos="840"/>
      </w:tabs>
      <w:outlineLvl w:val="2"/>
    </w:pPr>
    <w:rPr>
      <w:rFonts w:cs="Times New Roman"/>
      <w:sz w:val="28"/>
      <w:szCs w:val="28"/>
    </w:rPr>
  </w:style>
  <w:style w:type="paragraph" w:customStyle="1" w:styleId="124">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字符"/>
    <w:link w:val="18"/>
    <w:autoRedefine/>
    <w:qFormat/>
    <w:uiPriority w:val="0"/>
    <w:rPr>
      <w:rFonts w:ascii="仿宋_GB2312" w:eastAsia="仿宋_GB2312"/>
      <w:sz w:val="28"/>
      <w:lang w:val="en-US" w:eastAsia="zh-CN" w:bidi="ar-SA"/>
    </w:rPr>
  </w:style>
  <w:style w:type="character" w:customStyle="1" w:styleId="126">
    <w:name w:val="页眉 字符"/>
    <w:link w:val="30"/>
    <w:autoRedefine/>
    <w:qFormat/>
    <w:uiPriority w:val="99"/>
    <w:rPr>
      <w:rFonts w:eastAsia="宋体"/>
      <w:kern w:val="2"/>
      <w:sz w:val="18"/>
      <w:lang w:val="en-US" w:eastAsia="zh-CN" w:bidi="ar-SA"/>
    </w:rPr>
  </w:style>
  <w:style w:type="character" w:customStyle="1" w:styleId="127">
    <w:name w:val="标题 字符"/>
    <w:link w:val="44"/>
    <w:autoRedefine/>
    <w:qFormat/>
    <w:uiPriority w:val="0"/>
    <w:rPr>
      <w:rFonts w:ascii="Cambria" w:hAnsi="Cambria"/>
      <w:b/>
      <w:bCs/>
      <w:kern w:val="2"/>
      <w:sz w:val="32"/>
      <w:szCs w:val="32"/>
    </w:rPr>
  </w:style>
  <w:style w:type="character" w:customStyle="1" w:styleId="128">
    <w:name w:val="标题 8 Char Char"/>
    <w:autoRedefine/>
    <w:qFormat/>
    <w:uiPriority w:val="0"/>
    <w:rPr>
      <w:rFonts w:ascii="Arial" w:hAnsi="Arial" w:eastAsia="黑体"/>
      <w:kern w:val="2"/>
      <w:sz w:val="24"/>
      <w:szCs w:val="24"/>
      <w:lang w:val="en-US" w:eastAsia="zh-CN" w:bidi="ar-SA"/>
    </w:rPr>
  </w:style>
  <w:style w:type="character" w:customStyle="1" w:styleId="129">
    <w:name w:val="正文文本缩进 2 Char Char"/>
    <w:autoRedefine/>
    <w:qFormat/>
    <w:uiPriority w:val="0"/>
    <w:rPr>
      <w:rFonts w:eastAsia="仿宋_GB2312"/>
      <w:sz w:val="30"/>
      <w:lang w:bidi="ar-SA"/>
    </w:rPr>
  </w:style>
  <w:style w:type="character" w:customStyle="1" w:styleId="130">
    <w:name w:val="标题 7 Char Char"/>
    <w:autoRedefine/>
    <w:qFormat/>
    <w:uiPriority w:val="0"/>
    <w:rPr>
      <w:rFonts w:eastAsia="宋体"/>
      <w:b/>
      <w:bCs/>
      <w:kern w:val="2"/>
      <w:sz w:val="24"/>
      <w:szCs w:val="24"/>
      <w:lang w:val="en-US" w:eastAsia="zh-CN" w:bidi="ar-SA"/>
    </w:rPr>
  </w:style>
  <w:style w:type="character" w:customStyle="1" w:styleId="131">
    <w:name w:val="HTML 地址 字符"/>
    <w:link w:val="20"/>
    <w:autoRedefine/>
    <w:qFormat/>
    <w:uiPriority w:val="0"/>
    <w:rPr>
      <w:i/>
      <w:kern w:val="2"/>
      <w:sz w:val="21"/>
      <w:szCs w:val="24"/>
    </w:rPr>
  </w:style>
  <w:style w:type="character" w:customStyle="1" w:styleId="132">
    <w:name w:val="标题 1 字符"/>
    <w:link w:val="2"/>
    <w:autoRedefine/>
    <w:qFormat/>
    <w:uiPriority w:val="0"/>
    <w:rPr>
      <w:rFonts w:ascii="黑体" w:eastAsia="黑体"/>
      <w:bCs/>
      <w:kern w:val="44"/>
      <w:sz w:val="24"/>
      <w:szCs w:val="24"/>
    </w:rPr>
  </w:style>
  <w:style w:type="character" w:customStyle="1" w:styleId="133">
    <w:name w:val="批注文字 字符"/>
    <w:link w:val="16"/>
    <w:autoRedefine/>
    <w:qFormat/>
    <w:uiPriority w:val="0"/>
    <w:rPr>
      <w:rFonts w:ascii="Times New Roman" w:hAnsi="Times New Roman" w:eastAsia="宋体" w:cs="Times New Roman"/>
      <w:kern w:val="2"/>
      <w:sz w:val="24"/>
      <w:szCs w:val="24"/>
    </w:rPr>
  </w:style>
  <w:style w:type="character" w:customStyle="1" w:styleId="134">
    <w:name w:val="页脚 字符"/>
    <w:link w:val="29"/>
    <w:autoRedefine/>
    <w:qFormat/>
    <w:uiPriority w:val="0"/>
    <w:rPr>
      <w:rFonts w:eastAsia="宋体"/>
      <w:kern w:val="2"/>
      <w:sz w:val="18"/>
      <w:lang w:val="en-US" w:eastAsia="zh-CN" w:bidi="ar-SA"/>
    </w:rPr>
  </w:style>
  <w:style w:type="character" w:customStyle="1" w:styleId="135">
    <w:name w:val="正文首行缩进 字符"/>
    <w:link w:val="46"/>
    <w:autoRedefine/>
    <w:qFormat/>
    <w:uiPriority w:val="0"/>
    <w:rPr>
      <w:rFonts w:ascii="Calibri" w:hAnsi="Calibri" w:eastAsia="宋体"/>
      <w:kern w:val="2"/>
      <w:sz w:val="21"/>
      <w:szCs w:val="22"/>
      <w:lang w:val="en-US" w:eastAsia="zh-CN" w:bidi="ar-SA"/>
    </w:rPr>
  </w:style>
  <w:style w:type="character" w:customStyle="1" w:styleId="136">
    <w:name w:val="纯文本 Char Char"/>
    <w:autoRedefine/>
    <w:qFormat/>
    <w:uiPriority w:val="0"/>
    <w:rPr>
      <w:rFonts w:ascii="宋体" w:hAnsi="Courier New"/>
      <w:kern w:val="2"/>
      <w:sz w:val="21"/>
      <w:lang w:bidi="ar-SA"/>
    </w:rPr>
  </w:style>
  <w:style w:type="character" w:customStyle="1" w:styleId="137">
    <w:name w:val="HTML 预设格式 字符"/>
    <w:link w:val="41"/>
    <w:autoRedefine/>
    <w:qFormat/>
    <w:uiPriority w:val="0"/>
    <w:rPr>
      <w:rFonts w:ascii="黑体" w:hAnsi="Courier New" w:eastAsia="黑体" w:cs="Courier New"/>
      <w:kern w:val="2"/>
      <w:sz w:val="21"/>
      <w:szCs w:val="24"/>
      <w:lang w:val="en-US" w:eastAsia="zh-CN" w:bidi="ar-SA"/>
    </w:rPr>
  </w:style>
  <w:style w:type="character" w:customStyle="1" w:styleId="138">
    <w:name w:val="标题 6 Char Char"/>
    <w:autoRedefine/>
    <w:qFormat/>
    <w:uiPriority w:val="0"/>
    <w:rPr>
      <w:rFonts w:ascii="Arial" w:hAnsi="Arial" w:eastAsia="黑体"/>
      <w:b/>
      <w:bCs/>
      <w:kern w:val="2"/>
      <w:sz w:val="24"/>
      <w:szCs w:val="24"/>
      <w:lang w:val="en-US" w:eastAsia="zh-CN" w:bidi="ar-SA"/>
    </w:rPr>
  </w:style>
  <w:style w:type="character" w:customStyle="1" w:styleId="139">
    <w:name w:val="细目1 Char Char"/>
    <w:link w:val="140"/>
    <w:autoRedefine/>
    <w:qFormat/>
    <w:uiPriority w:val="0"/>
    <w:rPr>
      <w:b/>
      <w:color w:val="215868"/>
      <w:kern w:val="2"/>
      <w:sz w:val="24"/>
      <w:szCs w:val="24"/>
    </w:rPr>
  </w:style>
  <w:style w:type="paragraph" w:customStyle="1" w:styleId="140">
    <w:name w:val="细目1"/>
    <w:basedOn w:val="1"/>
    <w:link w:val="139"/>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autoRedefine/>
    <w:qFormat/>
    <w:uiPriority w:val="0"/>
    <w:rPr>
      <w:rFonts w:ascii="宋体" w:hAnsi="Courier New" w:eastAsia="宋体"/>
      <w:kern w:val="2"/>
      <w:sz w:val="21"/>
      <w:lang w:val="en-US" w:eastAsia="zh-CN" w:bidi="ar-SA"/>
    </w:rPr>
  </w:style>
  <w:style w:type="character" w:customStyle="1" w:styleId="142">
    <w:name w:val="apple-converted-space"/>
    <w:autoRedefine/>
    <w:qFormat/>
    <w:uiPriority w:val="0"/>
    <w:rPr>
      <w:rFonts w:cs="Times New Roman"/>
    </w:rPr>
  </w:style>
  <w:style w:type="paragraph" w:customStyle="1" w:styleId="143">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50">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autoRedefine/>
    <w:qFormat/>
    <w:uiPriority w:val="0"/>
    <w:rPr>
      <w:rFonts w:ascii="Tahoma" w:hAnsi="Tahoma"/>
      <w:sz w:val="24"/>
      <w:szCs w:val="20"/>
    </w:rPr>
  </w:style>
  <w:style w:type="paragraph" w:customStyle="1" w:styleId="15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autoRedefine/>
    <w:qFormat/>
    <w:uiPriority w:val="0"/>
    <w:pPr>
      <w:spacing w:line="360" w:lineRule="auto"/>
      <w:ind w:firstLine="200" w:firstLineChars="200"/>
    </w:pPr>
    <w:rPr>
      <w:rFonts w:ascii="宋体" w:hAnsi="宋体" w:cs="宋体"/>
      <w:sz w:val="24"/>
    </w:rPr>
  </w:style>
  <w:style w:type="paragraph" w:customStyle="1" w:styleId="155">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autoRedefine/>
    <w:qFormat/>
    <w:uiPriority w:val="0"/>
    <w:pPr>
      <w:numPr>
        <w:ilvl w:val="3"/>
        <w:numId w:val="7"/>
      </w:numPr>
      <w:tabs>
        <w:tab w:val="left" w:pos="1469"/>
      </w:tabs>
      <w:spacing w:before="60"/>
    </w:p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autoRedefine/>
    <w:qFormat/>
    <w:uiPriority w:val="0"/>
  </w:style>
  <w:style w:type="paragraph" w:customStyle="1" w:styleId="160">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autoRedefine/>
    <w:qFormat/>
    <w:uiPriority w:val="0"/>
    <w:pPr>
      <w:adjustRightInd w:val="0"/>
      <w:spacing w:line="360" w:lineRule="auto"/>
    </w:pPr>
  </w:style>
  <w:style w:type="paragraph" w:customStyle="1" w:styleId="163">
    <w:name w:val="pa-14"/>
    <w:basedOn w:val="1"/>
    <w:autoRedefine/>
    <w:qFormat/>
    <w:uiPriority w:val="0"/>
    <w:pPr>
      <w:widowControl/>
      <w:spacing w:before="150" w:after="150"/>
      <w:jc w:val="left"/>
    </w:pPr>
    <w:rPr>
      <w:rFonts w:ascii="宋体" w:hAnsi="宋体" w:cs="宋体"/>
      <w:kern w:val="0"/>
      <w:sz w:val="24"/>
    </w:rPr>
  </w:style>
  <w:style w:type="paragraph" w:customStyle="1" w:styleId="164">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autoRedefine/>
    <w:qFormat/>
    <w:uiPriority w:val="0"/>
    <w:pPr>
      <w:numPr>
        <w:ilvl w:val="0"/>
        <w:numId w:val="8"/>
      </w:numPr>
      <w:jc w:val="left"/>
    </w:pPr>
  </w:style>
  <w:style w:type="paragraph" w:customStyle="1" w:styleId="166">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autoRedefine/>
    <w:qFormat/>
    <w:uiPriority w:val="0"/>
    <w:rPr>
      <w:rFonts w:ascii="Tahoma" w:hAnsi="Tahoma"/>
      <w:sz w:val="24"/>
      <w:szCs w:val="20"/>
    </w:rPr>
  </w:style>
  <w:style w:type="paragraph" w:customStyle="1" w:styleId="171">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autoRedefine/>
    <w:qFormat/>
    <w:uiPriority w:val="0"/>
    <w:pPr>
      <w:widowControl/>
    </w:pPr>
    <w:rPr>
      <w:kern w:val="0"/>
      <w:szCs w:val="21"/>
    </w:rPr>
  </w:style>
  <w:style w:type="paragraph" w:customStyle="1" w:styleId="178">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7"/>
    <w:autoRedefine/>
    <w:qFormat/>
    <w:uiPriority w:val="0"/>
  </w:style>
  <w:style w:type="paragraph" w:customStyle="1" w:styleId="180">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81">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autoRedefine/>
    <w:qFormat/>
    <w:uiPriority w:val="0"/>
    <w:pPr>
      <w:ind w:firstLine="200" w:firstLineChars="200"/>
    </w:pPr>
    <w:rPr>
      <w:rFonts w:ascii="Calibri" w:hAnsi="Calibri"/>
      <w:szCs w:val="22"/>
    </w:rPr>
  </w:style>
  <w:style w:type="paragraph" w:customStyle="1" w:styleId="186">
    <w:name w:val="缺省文本"/>
    <w:basedOn w:val="1"/>
    <w:autoRedefine/>
    <w:qFormat/>
    <w:uiPriority w:val="0"/>
    <w:pPr>
      <w:autoSpaceDE w:val="0"/>
      <w:autoSpaceDN w:val="0"/>
      <w:adjustRightInd w:val="0"/>
      <w:jc w:val="left"/>
    </w:pPr>
    <w:rPr>
      <w:kern w:val="0"/>
      <w:sz w:val="24"/>
    </w:rPr>
  </w:style>
  <w:style w:type="paragraph" w:customStyle="1" w:styleId="187">
    <w:name w:val="Char Char Char Char Char Char Char Char Char"/>
    <w:basedOn w:val="1"/>
    <w:autoRedefine/>
    <w:qFormat/>
    <w:uiPriority w:val="0"/>
    <w:rPr>
      <w:sz w:val="28"/>
    </w:rPr>
  </w:style>
  <w:style w:type="paragraph" w:customStyle="1" w:styleId="188">
    <w:name w:val="书籍标题4"/>
    <w:basedOn w:val="123"/>
    <w:next w:val="1"/>
    <w:autoRedefine/>
    <w:qFormat/>
    <w:uiPriority w:val="0"/>
    <w:pPr>
      <w:numPr>
        <w:ilvl w:val="3"/>
      </w:numPr>
      <w:tabs>
        <w:tab w:val="left" w:pos="2160"/>
      </w:tabs>
      <w:ind w:left="2160"/>
      <w:outlineLvl w:val="3"/>
    </w:pPr>
    <w:rPr>
      <w:sz w:val="24"/>
      <w:szCs w:val="24"/>
      <w:lang w:val="zh-CN"/>
    </w:rPr>
  </w:style>
  <w:style w:type="paragraph" w:customStyle="1" w:styleId="189">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autoRedefine/>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autoRedefine/>
    <w:qFormat/>
    <w:uiPriority w:val="0"/>
    <w:pPr>
      <w:widowControl/>
      <w:spacing w:after="160" w:line="240" w:lineRule="exact"/>
      <w:jc w:val="left"/>
    </w:pPr>
    <w:rPr>
      <w:sz w:val="32"/>
      <w:szCs w:val="20"/>
    </w:rPr>
  </w:style>
  <w:style w:type="paragraph" w:customStyle="1" w:styleId="19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autoRedefine/>
    <w:qFormat/>
    <w:uiPriority w:val="34"/>
    <w:pPr>
      <w:ind w:firstLine="420" w:firstLineChars="200"/>
    </w:pPr>
  </w:style>
  <w:style w:type="paragraph" w:customStyle="1" w:styleId="195">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autoRedefine/>
    <w:qFormat/>
    <w:uiPriority w:val="0"/>
    <w:pPr>
      <w:ind w:left="1365" w:hanging="360"/>
    </w:pPr>
    <w:rPr>
      <w:sz w:val="24"/>
    </w:rPr>
  </w:style>
  <w:style w:type="paragraph" w:customStyle="1" w:styleId="197">
    <w:name w:val="MM Topic 6"/>
    <w:basedOn w:val="8"/>
    <w:autoRedefine/>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6"/>
    <w:autoRedefine/>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autoRedefine/>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autoRedefine/>
    <w:qFormat/>
    <w:uiPriority w:val="0"/>
    <w:pPr>
      <w:widowControl/>
      <w:spacing w:before="150" w:after="150"/>
      <w:jc w:val="left"/>
    </w:pPr>
    <w:rPr>
      <w:rFonts w:ascii="宋体" w:hAnsi="宋体" w:cs="宋体"/>
      <w:kern w:val="0"/>
      <w:sz w:val="24"/>
    </w:rPr>
  </w:style>
  <w:style w:type="paragraph" w:customStyle="1" w:styleId="213">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2"/>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autoRedefine/>
    <w:qFormat/>
    <w:uiPriority w:val="0"/>
    <w:pPr>
      <w:tabs>
        <w:tab w:val="left" w:pos="425"/>
      </w:tabs>
      <w:ind w:left="425" w:hanging="425"/>
    </w:pPr>
    <w:rPr>
      <w:sz w:val="24"/>
    </w:rPr>
  </w:style>
  <w:style w:type="paragraph" w:customStyle="1" w:styleId="22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autoRedefine/>
    <w:qFormat/>
    <w:uiPriority w:val="0"/>
    <w:pPr>
      <w:tabs>
        <w:tab w:val="left" w:pos="1365"/>
      </w:tabs>
      <w:ind w:left="1365" w:hanging="360"/>
    </w:pPr>
    <w:rPr>
      <w:sz w:val="24"/>
    </w:rPr>
  </w:style>
  <w:style w:type="paragraph" w:customStyle="1" w:styleId="230">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autoRedefine/>
    <w:qFormat/>
    <w:uiPriority w:val="0"/>
    <w:pPr>
      <w:widowControl/>
      <w:spacing w:after="160" w:line="240" w:lineRule="exact"/>
      <w:jc w:val="left"/>
    </w:pPr>
  </w:style>
  <w:style w:type="paragraph" w:customStyle="1" w:styleId="242">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3"/>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autoRedefine/>
    <w:qFormat/>
    <w:uiPriority w:val="0"/>
    <w:pPr>
      <w:widowControl/>
      <w:spacing w:before="100" w:beforeAutospacing="1" w:after="100" w:afterAutospacing="1"/>
      <w:jc w:val="left"/>
    </w:pPr>
    <w:rPr>
      <w:kern w:val="0"/>
      <w:sz w:val="24"/>
    </w:rPr>
  </w:style>
  <w:style w:type="paragraph" w:customStyle="1" w:styleId="255">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59">
    <w:name w:val="列举"/>
    <w:basedOn w:val="1"/>
    <w:autoRedefine/>
    <w:qFormat/>
    <w:uiPriority w:val="0"/>
    <w:pPr>
      <w:numPr>
        <w:ilvl w:val="0"/>
        <w:numId w:val="15"/>
      </w:numPr>
      <w:spacing w:line="360" w:lineRule="auto"/>
    </w:pPr>
    <w:rPr>
      <w:rFonts w:ascii="宋体"/>
    </w:rPr>
  </w:style>
  <w:style w:type="paragraph" w:customStyle="1" w:styleId="260">
    <w:name w:val="正文1"/>
    <w:basedOn w:val="1"/>
    <w:autoRedefine/>
    <w:qFormat/>
    <w:uiPriority w:val="0"/>
    <w:pPr>
      <w:spacing w:line="360" w:lineRule="auto"/>
    </w:pPr>
    <w:rPr>
      <w:rFonts w:ascii="宋体" w:hAnsi="宋体"/>
      <w:sz w:val="24"/>
    </w:rPr>
  </w:style>
  <w:style w:type="paragraph" w:customStyle="1" w:styleId="261">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6"/>
    <w:autoRedefine/>
    <w:qFormat/>
    <w:uiPriority w:val="0"/>
    <w:pPr>
      <w:spacing w:after="0" w:line="360" w:lineRule="auto"/>
      <w:ind w:firstLine="200" w:firstLineChars="200"/>
    </w:pPr>
    <w:rPr>
      <w:sz w:val="24"/>
      <w:szCs w:val="24"/>
    </w:rPr>
  </w:style>
  <w:style w:type="paragraph" w:customStyle="1" w:styleId="263">
    <w:name w:val="font8"/>
    <w:basedOn w:val="1"/>
    <w:autoRedefine/>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autoRedefine/>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autoRedefine/>
    <w:qFormat/>
    <w:uiPriority w:val="0"/>
    <w:pPr>
      <w:widowControl/>
      <w:spacing w:before="150" w:after="150"/>
      <w:jc w:val="left"/>
    </w:pPr>
    <w:rPr>
      <w:rFonts w:ascii="宋体" w:hAnsi="宋体" w:cs="宋体"/>
      <w:kern w:val="0"/>
      <w:sz w:val="24"/>
    </w:rPr>
  </w:style>
  <w:style w:type="paragraph" w:customStyle="1" w:styleId="266">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6"/>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autoRedefine/>
    <w:qFormat/>
    <w:uiPriority w:val="0"/>
    <w:pPr>
      <w:numPr>
        <w:ilvl w:val="0"/>
        <w:numId w:val="18"/>
      </w:numPr>
      <w:spacing w:line="360" w:lineRule="auto"/>
    </w:pPr>
    <w:rPr>
      <w:sz w:val="24"/>
    </w:rPr>
  </w:style>
  <w:style w:type="paragraph" w:customStyle="1" w:styleId="272">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autoRedefine/>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autoRedefine/>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autoRedefine/>
    <w:qFormat/>
    <w:uiPriority w:val="0"/>
    <w:pPr>
      <w:ind w:firstLine="420" w:firstLineChars="200"/>
    </w:pPr>
  </w:style>
  <w:style w:type="paragraph" w:customStyle="1" w:styleId="282">
    <w:name w:val="font15"/>
    <w:basedOn w:val="1"/>
    <w:autoRedefine/>
    <w:qFormat/>
    <w:uiPriority w:val="0"/>
    <w:pPr>
      <w:widowControl/>
      <w:spacing w:before="100" w:beforeAutospacing="1" w:after="100" w:afterAutospacing="1"/>
      <w:jc w:val="left"/>
    </w:pPr>
    <w:rPr>
      <w:kern w:val="0"/>
      <w:sz w:val="20"/>
      <w:szCs w:val="20"/>
    </w:rPr>
  </w:style>
  <w:style w:type="paragraph" w:customStyle="1" w:styleId="283">
    <w:name w:val="pa-15"/>
    <w:basedOn w:val="1"/>
    <w:autoRedefine/>
    <w:qFormat/>
    <w:uiPriority w:val="0"/>
    <w:pPr>
      <w:widowControl/>
      <w:spacing w:before="150" w:after="150"/>
      <w:jc w:val="left"/>
    </w:pPr>
    <w:rPr>
      <w:rFonts w:ascii="宋体" w:hAnsi="宋体" w:cs="宋体"/>
      <w:kern w:val="0"/>
      <w:sz w:val="24"/>
    </w:rPr>
  </w:style>
  <w:style w:type="paragraph" w:customStyle="1" w:styleId="28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autoRedefine/>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autoRedefine/>
    <w:qFormat/>
    <w:uiPriority w:val="0"/>
    <w:pPr>
      <w:numPr>
        <w:ilvl w:val="3"/>
        <w:numId w:val="20"/>
      </w:numPr>
      <w:tabs>
        <w:tab w:val="clear" w:pos="1914"/>
      </w:tabs>
    </w:pPr>
    <w:rPr>
      <w:color w:val="auto"/>
    </w:rPr>
  </w:style>
  <w:style w:type="paragraph" w:styleId="291">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autoRedefine/>
    <w:qFormat/>
    <w:uiPriority w:val="0"/>
    <w:pPr>
      <w:numPr>
        <w:ilvl w:val="4"/>
        <w:numId w:val="10"/>
      </w:numPr>
      <w:tabs>
        <w:tab w:val="left" w:pos="425"/>
        <w:tab w:val="clear" w:pos="2551"/>
      </w:tabs>
    </w:pPr>
    <w:rPr>
      <w:bCs/>
      <w:szCs w:val="28"/>
    </w:rPr>
  </w:style>
  <w:style w:type="paragraph" w:customStyle="1" w:styleId="294">
    <w:name w:val="正文文本样式"/>
    <w:basedOn w:val="1"/>
    <w:autoRedefine/>
    <w:qFormat/>
    <w:uiPriority w:val="0"/>
    <w:pPr>
      <w:spacing w:line="360" w:lineRule="auto"/>
      <w:ind w:firstLine="482"/>
    </w:pPr>
    <w:rPr>
      <w:rFonts w:cs="宋体"/>
      <w:sz w:val="24"/>
      <w:szCs w:val="20"/>
    </w:rPr>
  </w:style>
  <w:style w:type="paragraph" w:customStyle="1" w:styleId="295">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6"/>
    <w:autoRedefine/>
    <w:qFormat/>
    <w:uiPriority w:val="0"/>
    <w:pPr>
      <w:numPr>
        <w:ilvl w:val="3"/>
        <w:numId w:val="10"/>
      </w:numPr>
      <w:tabs>
        <w:tab w:val="left" w:pos="425"/>
        <w:tab w:val="clear" w:pos="1984"/>
      </w:tabs>
    </w:pPr>
    <w:rPr>
      <w:bCs/>
      <w:szCs w:val="28"/>
    </w:rPr>
  </w:style>
  <w:style w:type="paragraph" w:customStyle="1" w:styleId="298">
    <w:name w:val="正文序号 3"/>
    <w:basedOn w:val="1"/>
    <w:autoRedefine/>
    <w:qFormat/>
    <w:uiPriority w:val="0"/>
    <w:pPr>
      <w:numPr>
        <w:ilvl w:val="2"/>
        <w:numId w:val="7"/>
      </w:numPr>
      <w:tabs>
        <w:tab w:val="left" w:pos="1259"/>
      </w:tabs>
      <w:spacing w:before="60"/>
    </w:pPr>
  </w:style>
  <w:style w:type="paragraph" w:customStyle="1" w:styleId="299">
    <w:name w:val="Char2"/>
    <w:basedOn w:val="1"/>
    <w:autoRedefine/>
    <w:qFormat/>
    <w:uiPriority w:val="0"/>
    <w:pPr>
      <w:tabs>
        <w:tab w:val="left" w:pos="425"/>
      </w:tabs>
      <w:ind w:left="425" w:hanging="425"/>
    </w:pPr>
    <w:rPr>
      <w:sz w:val="24"/>
    </w:rPr>
  </w:style>
  <w:style w:type="paragraph" w:customStyle="1" w:styleId="300">
    <w:name w:val="正文序号 1"/>
    <w:basedOn w:val="1"/>
    <w:autoRedefine/>
    <w:qFormat/>
    <w:uiPriority w:val="0"/>
    <w:pPr>
      <w:numPr>
        <w:ilvl w:val="0"/>
        <w:numId w:val="7"/>
      </w:numPr>
      <w:tabs>
        <w:tab w:val="left" w:pos="839"/>
      </w:tabs>
      <w:spacing w:before="60"/>
    </w:pPr>
  </w:style>
  <w:style w:type="paragraph" w:customStyle="1" w:styleId="301">
    <w:name w:val="字元 字元1"/>
    <w:basedOn w:val="1"/>
    <w:autoRedefine/>
    <w:qFormat/>
    <w:uiPriority w:val="0"/>
    <w:pPr>
      <w:spacing w:line="360" w:lineRule="auto"/>
      <w:ind w:firstLine="200" w:firstLineChars="200"/>
    </w:pPr>
    <w:rPr>
      <w:rFonts w:ascii="宋体" w:hAnsi="宋体" w:cs="宋体"/>
      <w:sz w:val="24"/>
    </w:rPr>
  </w:style>
  <w:style w:type="paragraph" w:customStyle="1" w:styleId="302">
    <w:name w:val="font12"/>
    <w:basedOn w:val="1"/>
    <w:autoRedefine/>
    <w:qFormat/>
    <w:uiPriority w:val="0"/>
    <w:pPr>
      <w:widowControl/>
      <w:spacing w:before="100" w:beforeAutospacing="1" w:after="100" w:afterAutospacing="1"/>
      <w:jc w:val="left"/>
    </w:pPr>
    <w:rPr>
      <w:kern w:val="0"/>
      <w:sz w:val="22"/>
      <w:szCs w:val="22"/>
    </w:rPr>
  </w:style>
  <w:style w:type="paragraph" w:customStyle="1" w:styleId="303">
    <w:name w:val="font9"/>
    <w:basedOn w:val="1"/>
    <w:autoRedefine/>
    <w:qFormat/>
    <w:uiPriority w:val="0"/>
    <w:pPr>
      <w:widowControl/>
      <w:spacing w:before="100" w:beforeAutospacing="1" w:after="100" w:afterAutospacing="1"/>
      <w:jc w:val="left"/>
    </w:pPr>
    <w:rPr>
      <w:color w:val="000000"/>
      <w:kern w:val="0"/>
      <w:sz w:val="20"/>
      <w:szCs w:val="20"/>
    </w:rPr>
  </w:style>
  <w:style w:type="character" w:customStyle="1" w:styleId="304">
    <w:name w:val="标题 1 Char2"/>
    <w:autoRedefine/>
    <w:qFormat/>
    <w:uiPriority w:val="0"/>
    <w:rPr>
      <w:rFonts w:ascii="黑体" w:eastAsia="黑体"/>
      <w:bCs/>
      <w:kern w:val="44"/>
      <w:sz w:val="24"/>
      <w:szCs w:val="24"/>
    </w:rPr>
  </w:style>
  <w:style w:type="character" w:customStyle="1" w:styleId="305">
    <w:name w:val="Font Style17"/>
    <w:autoRedefine/>
    <w:qFormat/>
    <w:uiPriority w:val="0"/>
    <w:rPr>
      <w:rFonts w:ascii="黑体" w:eastAsia="黑体" w:cs="黑体"/>
      <w:sz w:val="28"/>
      <w:szCs w:val="28"/>
    </w:rPr>
  </w:style>
  <w:style w:type="character" w:styleId="306">
    <w:name w:val="Placeholder Text"/>
    <w:basedOn w:val="50"/>
    <w:autoRedefine/>
    <w:semiHidden/>
    <w:qFormat/>
    <w:uiPriority w:val="99"/>
    <w:rPr>
      <w:color w:val="808080"/>
    </w:rPr>
  </w:style>
  <w:style w:type="character" w:customStyle="1" w:styleId="307">
    <w:name w:val="正文缩进 Char3"/>
    <w:autoRedefine/>
    <w:qFormat/>
    <w:uiPriority w:val="0"/>
    <w:rPr>
      <w:rFonts w:ascii="宋体" w:eastAsia="宋体"/>
      <w:sz w:val="34"/>
      <w:lang w:val="en-US" w:eastAsia="zh-CN" w:bidi="ar-SA"/>
    </w:rPr>
  </w:style>
  <w:style w:type="paragraph" w:customStyle="1" w:styleId="308">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9">
    <w:name w:val="批注主题 字符"/>
    <w:basedOn w:val="133"/>
    <w:link w:val="45"/>
    <w:autoRedefine/>
    <w:semiHidden/>
    <w:qFormat/>
    <w:uiPriority w:val="99"/>
    <w:rPr>
      <w:rFonts w:ascii="Times New Roman" w:hAnsi="Times New Roman" w:eastAsia="宋体" w:cs="Times New Roman"/>
      <w:b/>
      <w:bCs/>
      <w:kern w:val="2"/>
      <w:sz w:val="21"/>
      <w:szCs w:val="24"/>
    </w:rPr>
  </w:style>
  <w:style w:type="paragraph" w:customStyle="1" w:styleId="310">
    <w:name w:val="Table Paragraph"/>
    <w:basedOn w:val="1"/>
    <w:autoRedefine/>
    <w:qFormat/>
    <w:uiPriority w:val="1"/>
  </w:style>
  <w:style w:type="paragraph" w:customStyle="1" w:styleId="311">
    <w:name w:val="TOC2"/>
    <w:basedOn w:val="1"/>
    <w:next w:val="1"/>
    <w:autoRedefine/>
    <w:qFormat/>
    <w:uiPriority w:val="0"/>
    <w:pPr>
      <w:autoSpaceDE w:val="0"/>
      <w:autoSpaceDN w:val="0"/>
      <w:adjustRightInd w:val="0"/>
      <w:ind w:left="210"/>
      <w:jc w:val="left"/>
      <w:textAlignment w:val="baseline"/>
    </w:pPr>
    <w:rPr>
      <w:smallCaps/>
      <w:sz w:val="20"/>
      <w:szCs w:val="20"/>
    </w:rPr>
  </w:style>
  <w:style w:type="paragraph" w:customStyle="1" w:styleId="312">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13">
    <w:name w:val="尾注文本 字符"/>
    <w:basedOn w:val="50"/>
    <w:link w:val="27"/>
    <w:unhideWhenUsed/>
    <w:qFormat/>
    <w:locked/>
    <w:uiPriority w:val="99"/>
    <w:rPr>
      <w:rFonts w:ascii="Times New Roman" w:hAnsi="Times New Roman" w:eastAsia="宋体"/>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518C2B-C9A8-438F-A652-08D5D27A341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6847</Words>
  <Characters>39030</Characters>
  <Lines>325</Lines>
  <Paragraphs>91</Paragraphs>
  <TotalTime>0</TotalTime>
  <ScaleCrop>false</ScaleCrop>
  <LinksUpToDate>false</LinksUpToDate>
  <CharactersWithSpaces>45786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2024-03-05T08:09:00Z</dcterms:created>
  <dc:creator>杨佳佳</dc:creator>
  <cp:lastModifiedBy>Administrator</cp:lastModifiedBy>
  <cp:lastPrinted>2024-03-06T08:36:00Z</cp:lastPrinted>
  <dcterms:modified xsi:type="dcterms:W3CDTF">2024-03-06T10:04:27Z</dcterms:modified>
  <dc:title>货物公开招标</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848905DD017E44A39DD828008C8224C5</vt:lpwstr>
  </property>
</Properties>
</file>