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auto"/>
          <w:sz w:val="32"/>
          <w:highlight w:val="none"/>
        </w:rPr>
      </w:pPr>
      <w:bookmarkStart w:id="0" w:name="_Toc491658631"/>
    </w:p>
    <w:p>
      <w:pPr>
        <w:pStyle w:val="26"/>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auto"/>
          <w:sz w:val="52"/>
          <w:szCs w:val="52"/>
          <w:highlight w:val="none"/>
        </w:rPr>
      </w:pPr>
    </w:p>
    <w:p>
      <w:pPr>
        <w:pStyle w:val="2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公开招标</w:t>
      </w:r>
    </w:p>
    <w:p>
      <w:pPr>
        <w:pStyle w:val="26"/>
        <w:widowControl/>
        <w:adjustRightInd w:val="0"/>
        <w:snapToGrid w:val="0"/>
        <w:spacing w:line="360" w:lineRule="auto"/>
        <w:jc w:val="center"/>
        <w:rPr>
          <w:rFonts w:ascii="黑体" w:eastAsia="黑体"/>
          <w:bCs/>
          <w:color w:val="auto"/>
          <w:sz w:val="72"/>
          <w:szCs w:val="72"/>
          <w:highlight w:val="none"/>
        </w:rPr>
      </w:pPr>
    </w:p>
    <w:p>
      <w:pPr>
        <w:pStyle w:val="26"/>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招  标  文  件</w:t>
      </w:r>
    </w:p>
    <w:p>
      <w:pPr>
        <w:pStyle w:val="26"/>
        <w:widowControl/>
        <w:adjustRightInd w:val="0"/>
        <w:snapToGrid w:val="0"/>
        <w:spacing w:line="360" w:lineRule="auto"/>
        <w:jc w:val="center"/>
        <w:rPr>
          <w:rFonts w:ascii="黑体" w:hAnsi="黑体" w:eastAsia="黑体"/>
          <w:bCs/>
          <w:color w:val="auto"/>
          <w:sz w:val="24"/>
          <w:szCs w:val="24"/>
          <w:highlight w:val="none"/>
          <w:bdr w:val="single" w:color="auto" w:sz="4" w:space="0"/>
        </w:rPr>
      </w:pPr>
    </w:p>
    <w:p>
      <w:pPr>
        <w:pStyle w:val="26"/>
        <w:widowControl/>
        <w:adjustRightInd w:val="0"/>
        <w:snapToGrid w:val="0"/>
        <w:spacing w:line="360" w:lineRule="auto"/>
        <w:jc w:val="center"/>
        <w:rPr>
          <w:rFonts w:ascii="黑体" w:eastAsia="黑体"/>
          <w:bCs/>
          <w:color w:val="auto"/>
          <w:sz w:val="52"/>
          <w:szCs w:val="52"/>
          <w:highlight w:val="none"/>
        </w:rPr>
      </w:pPr>
    </w:p>
    <w:p>
      <w:pPr>
        <w:pStyle w:val="26"/>
        <w:widowControl/>
        <w:adjustRightInd w:val="0"/>
        <w:snapToGrid w:val="0"/>
        <w:spacing w:line="360" w:lineRule="auto"/>
        <w:rPr>
          <w:rFonts w:ascii="黑体" w:eastAsia="黑体"/>
          <w:bCs/>
          <w:color w:val="auto"/>
          <w:sz w:val="52"/>
          <w:szCs w:val="52"/>
          <w:highlight w:val="none"/>
        </w:rPr>
      </w:pPr>
    </w:p>
    <w:p>
      <w:pPr>
        <w:pStyle w:val="26"/>
        <w:widowControl/>
        <w:adjustRightInd w:val="0"/>
        <w:snapToGrid w:val="0"/>
        <w:spacing w:line="360" w:lineRule="auto"/>
        <w:rPr>
          <w:rFonts w:ascii="黑体" w:eastAsia="黑体"/>
          <w:bCs/>
          <w:color w:val="auto"/>
          <w:sz w:val="52"/>
          <w:szCs w:val="52"/>
          <w:highlight w:val="none"/>
        </w:rPr>
      </w:pPr>
    </w:p>
    <w:tbl>
      <w:tblPr>
        <w:tblStyle w:val="47"/>
        <w:tblW w:w="9063" w:type="dxa"/>
        <w:jc w:val="center"/>
        <w:tblLayout w:type="fixed"/>
        <w:tblCellMar>
          <w:top w:w="0" w:type="dxa"/>
          <w:left w:w="108" w:type="dxa"/>
          <w:bottom w:w="0" w:type="dxa"/>
          <w:right w:w="108" w:type="dxa"/>
        </w:tblCellMar>
      </w:tblPr>
      <w:tblGrid>
        <w:gridCol w:w="1951"/>
        <w:gridCol w:w="284"/>
        <w:gridCol w:w="6828"/>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28" w:type="dxa"/>
            <w:vAlign w:val="center"/>
          </w:tcPr>
          <w:p>
            <w:pPr>
              <w:pStyle w:val="26"/>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lang w:eastAsia="zh-CN"/>
              </w:rPr>
              <w:t>YXCG-20231215</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28" w:type="dxa"/>
            <w:vAlign w:val="center"/>
          </w:tcPr>
          <w:p>
            <w:pPr>
              <w:pStyle w:val="2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阳江市江城马曹小学食堂食品、糕点配送服务采购项目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2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28" w:type="dxa"/>
            <w:vAlign w:val="center"/>
          </w:tcPr>
          <w:p>
            <w:pPr>
              <w:pStyle w:val="2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阳江市江城马曹小学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828" w:type="dxa"/>
            <w:vAlign w:val="center"/>
          </w:tcPr>
          <w:p>
            <w:pPr>
              <w:pStyle w:val="26"/>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pPr>
        <w:pStyle w:val="26"/>
        <w:widowControl/>
        <w:adjustRightInd w:val="0"/>
        <w:snapToGrid w:val="0"/>
        <w:spacing w:line="360" w:lineRule="auto"/>
        <w:jc w:val="center"/>
        <w:rPr>
          <w:rFonts w:ascii="黑体" w:eastAsia="黑体"/>
          <w:bCs/>
          <w:color w:val="auto"/>
          <w:sz w:val="24"/>
          <w:highlight w:val="none"/>
        </w:rPr>
      </w:pPr>
    </w:p>
    <w:p>
      <w:pPr>
        <w:pStyle w:val="26"/>
        <w:widowControl/>
        <w:adjustRightInd w:val="0"/>
        <w:snapToGrid w:val="0"/>
        <w:spacing w:line="360" w:lineRule="auto"/>
        <w:jc w:val="center"/>
        <w:rPr>
          <w:rFonts w:hint="eastAsia" w:ascii="黑体" w:eastAsia="黑体"/>
          <w:bCs/>
          <w:color w:val="auto"/>
          <w:sz w:val="24"/>
          <w:highlight w:val="none"/>
        </w:rPr>
      </w:pPr>
    </w:p>
    <w:p>
      <w:pPr>
        <w:pStyle w:val="26"/>
        <w:widowControl/>
        <w:adjustRightInd w:val="0"/>
        <w:snapToGrid w:val="0"/>
        <w:spacing w:line="360" w:lineRule="auto"/>
        <w:jc w:val="center"/>
        <w:rPr>
          <w:rFonts w:hAnsi="宋体"/>
          <w:b/>
          <w:color w:val="auto"/>
          <w:sz w:val="36"/>
          <w:highlight w:val="none"/>
        </w:rPr>
      </w:pPr>
      <w:r>
        <w:rPr>
          <w:rFonts w:hint="eastAsia" w:ascii="黑体" w:eastAsia="黑体"/>
          <w:bCs/>
          <w:color w:val="auto"/>
          <w:sz w:val="24"/>
          <w:highlight w:val="none"/>
        </w:rPr>
        <w:t>二○</w:t>
      </w:r>
      <w:r>
        <w:rPr>
          <w:rFonts w:hint="eastAsia" w:ascii="黑体" w:eastAsia="黑体"/>
          <w:bCs/>
          <w:color w:val="auto"/>
          <w:sz w:val="24"/>
          <w:highlight w:val="none"/>
          <w:lang w:val="en-US" w:eastAsia="zh-CN"/>
        </w:rPr>
        <w:t>二三</w:t>
      </w:r>
      <w:r>
        <w:rPr>
          <w:rFonts w:hint="eastAsia" w:ascii="黑体" w:eastAsia="黑体"/>
          <w:bCs/>
          <w:color w:val="auto"/>
          <w:sz w:val="24"/>
          <w:highlight w:val="none"/>
        </w:rPr>
        <w:t>年</w:t>
      </w:r>
      <w:r>
        <w:rPr>
          <w:rFonts w:hint="eastAsia" w:ascii="黑体" w:eastAsia="黑体"/>
          <w:bCs/>
          <w:color w:val="auto"/>
          <w:sz w:val="24"/>
          <w:highlight w:val="none"/>
          <w:lang w:val="en-US" w:eastAsia="zh-CN"/>
        </w:rPr>
        <w:t>十二</w:t>
      </w:r>
      <w:r>
        <w:rPr>
          <w:rFonts w:hint="eastAsia" w:ascii="黑体" w:eastAsia="黑体"/>
          <w:bCs/>
          <w:color w:val="auto"/>
          <w:sz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请供应商特别留意招标文件上注明的投标截止和开标时间，逾期送达或邮寄送达的投标文件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b/>
          <w:color w:val="auto"/>
          <w:szCs w:val="21"/>
          <w:highlight w:val="none"/>
          <w:u w:val="single"/>
        </w:rPr>
        <w:t>招标文件中标有“★”的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请正确填写《开标一览表》，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的投标项目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报价要求详见招标文件《开标一览表》</w:t>
      </w:r>
      <w:r>
        <w:rPr>
          <w:rFonts w:ascii="宋体" w:hAnsi="宋体"/>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请仔细检查《投标函》、《开标一览表》、</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
          <w:bCs/>
          <w:color w:val="auto"/>
          <w:szCs w:val="21"/>
          <w:highlight w:val="none"/>
        </w:rPr>
        <w:t>。</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建议将投标文件按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评标委员会</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26"/>
        <w:widowControl/>
        <w:adjustRightInd w:val="0"/>
        <w:snapToGrid w:val="0"/>
        <w:spacing w:line="440" w:lineRule="exact"/>
        <w:ind w:firstLine="413" w:firstLineChars="196"/>
        <w:rPr>
          <w:rFonts w:ascii="黑体" w:eastAsia="黑体"/>
          <w:bCs/>
          <w:color w:val="auto"/>
          <w:sz w:val="30"/>
          <w:szCs w:val="30"/>
          <w:highlight w:val="none"/>
        </w:rPr>
      </w:pPr>
      <w:r>
        <w:rPr>
          <w:rFonts w:hint="eastAsia" w:hAnsi="宋体" w:cs="仿宋_GB2312"/>
          <w:b/>
          <w:bCs/>
          <w:color w:val="auto"/>
          <w:highlight w:val="none"/>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auto"/>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auto"/>
          <w:szCs w:val="21"/>
          <w:highlight w:val="none"/>
        </w:rPr>
      </w:pPr>
      <w:r>
        <w:rPr>
          <w:rFonts w:ascii="宋体" w:hAnsi="宋体"/>
          <w:bCs/>
          <w:color w:val="auto"/>
          <w:szCs w:val="21"/>
          <w:highlight w:val="none"/>
        </w:rPr>
        <w:tab/>
      </w:r>
      <w:r>
        <w:rPr>
          <w:rFonts w:ascii="宋体" w:hAnsi="宋体"/>
          <w:bCs/>
          <w:color w:val="auto"/>
          <w:szCs w:val="21"/>
          <w:highlight w:val="none"/>
        </w:rPr>
        <w:tab/>
      </w: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left"/>
        <w:rPr>
          <w:rFonts w:ascii="宋体" w:hAnsi="宋体"/>
          <w:bCs/>
          <w:color w:val="auto"/>
          <w:szCs w:val="21"/>
          <w:highlight w:val="none"/>
        </w:rPr>
      </w:pPr>
    </w:p>
    <w:p>
      <w:pPr>
        <w:tabs>
          <w:tab w:val="left" w:pos="2400"/>
          <w:tab w:val="center" w:pos="4479"/>
        </w:tabs>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pPr>
        <w:pStyle w:val="3"/>
        <w:numPr>
          <w:ilvl w:val="0"/>
          <w:numId w:val="0"/>
        </w:numPr>
        <w:spacing w:beforeLines="0" w:line="240" w:lineRule="auto"/>
        <w:rPr>
          <w:color w:val="auto"/>
          <w:highlight w:val="none"/>
        </w:rPr>
      </w:pPr>
    </w:p>
    <w:p>
      <w:pPr>
        <w:pStyle w:val="33"/>
        <w:tabs>
          <w:tab w:val="right" w:leader="dot" w:pos="9070"/>
          <w:tab w:val="clear" w:pos="8949"/>
        </w:tabs>
        <w:rPr>
          <w:color w:val="auto"/>
          <w:highlight w:val="none"/>
        </w:rPr>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color w:val="auto"/>
          <w:highlight w:val="none"/>
        </w:rPr>
        <w:instrText xml:space="preserve"> HYPERLINK \l _Toc14062 </w:instrText>
      </w:r>
      <w:r>
        <w:rPr>
          <w:bCs w:val="0"/>
          <w:caps w:val="0"/>
          <w:color w:val="auto"/>
          <w:highlight w:val="none"/>
        </w:rPr>
        <w:fldChar w:fldCharType="separate"/>
      </w:r>
      <w:r>
        <w:rPr>
          <w:rFonts w:hint="eastAsia"/>
          <w:color w:val="auto"/>
          <w:highlight w:val="none"/>
        </w:rPr>
        <w:t>第一部分 投标邀请函</w:t>
      </w:r>
      <w:r>
        <w:rPr>
          <w:color w:val="auto"/>
          <w:highlight w:val="none"/>
        </w:rPr>
        <w:tab/>
      </w:r>
      <w:r>
        <w:rPr>
          <w:color w:val="auto"/>
          <w:highlight w:val="none"/>
        </w:rPr>
        <w:fldChar w:fldCharType="begin"/>
      </w:r>
      <w:r>
        <w:rPr>
          <w:color w:val="auto"/>
          <w:highlight w:val="none"/>
        </w:rPr>
        <w:instrText xml:space="preserve"> PAGEREF _Toc14062 \h </w:instrText>
      </w:r>
      <w:r>
        <w:rPr>
          <w:color w:val="auto"/>
          <w:highlight w:val="none"/>
        </w:rPr>
        <w:fldChar w:fldCharType="separate"/>
      </w:r>
      <w:r>
        <w:rPr>
          <w:color w:val="auto"/>
          <w:highlight w:val="none"/>
        </w:rPr>
        <w:t>5</w:t>
      </w:r>
      <w:r>
        <w:rPr>
          <w:color w:val="auto"/>
          <w:highlight w:val="none"/>
        </w:rPr>
        <w:fldChar w:fldCharType="end"/>
      </w:r>
      <w:r>
        <w:rPr>
          <w:bCs w:val="0"/>
          <w:caps w:val="0"/>
          <w:color w:val="auto"/>
          <w:highlight w:val="none"/>
        </w:rPr>
        <w:fldChar w:fldCharType="end"/>
      </w:r>
    </w:p>
    <w:p>
      <w:pPr>
        <w:pStyle w:val="33"/>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_Toc31865 </w:instrText>
      </w:r>
      <w:r>
        <w:rPr>
          <w:bCs/>
          <w:caps/>
          <w:color w:val="auto"/>
          <w:szCs w:val="21"/>
          <w:highlight w:val="none"/>
        </w:rPr>
        <w:fldChar w:fldCharType="separate"/>
      </w:r>
      <w:r>
        <w:rPr>
          <w:rFonts w:hint="eastAsia"/>
          <w:color w:val="auto"/>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_Toc31865 \h </w:instrText>
      </w:r>
      <w:r>
        <w:rPr>
          <w:color w:val="auto"/>
          <w:highlight w:val="none"/>
        </w:rPr>
        <w:fldChar w:fldCharType="separate"/>
      </w:r>
      <w:r>
        <w:rPr>
          <w:color w:val="auto"/>
          <w:highlight w:val="none"/>
        </w:rPr>
        <w:t>8</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_Toc8481 </w:instrText>
      </w:r>
      <w:r>
        <w:rPr>
          <w:bCs/>
          <w:caps/>
          <w:color w:val="auto"/>
          <w:szCs w:val="21"/>
          <w:highlight w:val="none"/>
        </w:rPr>
        <w:fldChar w:fldCharType="separate"/>
      </w:r>
      <w:r>
        <w:rPr>
          <w:color w:val="auto"/>
          <w:kern w:val="0"/>
          <w:highlight w:val="none"/>
        </w:rPr>
        <w:t xml:space="preserve">A  </w:t>
      </w:r>
      <w:r>
        <w:rPr>
          <w:rFonts w:hint="eastAsia"/>
          <w:color w:val="auto"/>
          <w:kern w:val="0"/>
          <w:highlight w:val="none"/>
        </w:rPr>
        <w:t>商务要求</w:t>
      </w:r>
      <w:r>
        <w:rPr>
          <w:color w:val="auto"/>
          <w:highlight w:val="none"/>
        </w:rPr>
        <w:tab/>
      </w:r>
      <w:r>
        <w:rPr>
          <w:color w:val="auto"/>
          <w:highlight w:val="none"/>
        </w:rPr>
        <w:fldChar w:fldCharType="begin"/>
      </w:r>
      <w:r>
        <w:rPr>
          <w:color w:val="auto"/>
          <w:highlight w:val="none"/>
        </w:rPr>
        <w:instrText xml:space="preserve"> PAGEREF _Toc8481 \h </w:instrText>
      </w:r>
      <w:r>
        <w:rPr>
          <w:color w:val="auto"/>
          <w:highlight w:val="none"/>
        </w:rPr>
        <w:fldChar w:fldCharType="separate"/>
      </w:r>
      <w:r>
        <w:rPr>
          <w:color w:val="auto"/>
          <w:highlight w:val="none"/>
        </w:rPr>
        <w:t>8</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_Toc4154 </w:instrText>
      </w:r>
      <w:r>
        <w:rPr>
          <w:bCs/>
          <w:caps/>
          <w:color w:val="auto"/>
          <w:szCs w:val="21"/>
          <w:highlight w:val="none"/>
        </w:rPr>
        <w:fldChar w:fldCharType="separate"/>
      </w:r>
      <w:r>
        <w:rPr>
          <w:rFonts w:hint="eastAsia"/>
          <w:color w:val="auto"/>
          <w:kern w:val="0"/>
          <w:highlight w:val="none"/>
        </w:rPr>
        <w:t>B  技术要求</w:t>
      </w:r>
      <w:r>
        <w:rPr>
          <w:color w:val="auto"/>
          <w:highlight w:val="none"/>
        </w:rPr>
        <w:tab/>
      </w:r>
      <w:r>
        <w:rPr>
          <w:color w:val="auto"/>
          <w:highlight w:val="none"/>
        </w:rPr>
        <w:fldChar w:fldCharType="begin"/>
      </w:r>
      <w:r>
        <w:rPr>
          <w:color w:val="auto"/>
          <w:highlight w:val="none"/>
        </w:rPr>
        <w:instrText xml:space="preserve"> PAGEREF _Toc4154 \h </w:instrText>
      </w:r>
      <w:r>
        <w:rPr>
          <w:color w:val="auto"/>
          <w:highlight w:val="none"/>
        </w:rPr>
        <w:fldChar w:fldCharType="separate"/>
      </w:r>
      <w:r>
        <w:rPr>
          <w:color w:val="auto"/>
          <w:highlight w:val="none"/>
        </w:rPr>
        <w:t>11</w:t>
      </w:r>
      <w:r>
        <w:rPr>
          <w:color w:val="auto"/>
          <w:highlight w:val="none"/>
        </w:rPr>
        <w:fldChar w:fldCharType="end"/>
      </w:r>
      <w:r>
        <w:rPr>
          <w:bCs/>
          <w:caps/>
          <w:color w:val="auto"/>
          <w:szCs w:val="21"/>
          <w:highlight w:val="none"/>
        </w:rPr>
        <w:fldChar w:fldCharType="end"/>
      </w:r>
    </w:p>
    <w:p>
      <w:pPr>
        <w:pStyle w:val="33"/>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_Toc13551 </w:instrText>
      </w:r>
      <w:r>
        <w:rPr>
          <w:bCs/>
          <w:caps/>
          <w:color w:val="auto"/>
          <w:szCs w:val="21"/>
          <w:highlight w:val="none"/>
        </w:rPr>
        <w:fldChar w:fldCharType="separate"/>
      </w:r>
      <w:r>
        <w:rPr>
          <w:rFonts w:hint="eastAsia"/>
          <w:color w:val="auto"/>
          <w:highlight w:val="none"/>
        </w:rPr>
        <w:t>第三部分 投标人须知</w:t>
      </w:r>
      <w:r>
        <w:rPr>
          <w:color w:val="auto"/>
          <w:highlight w:val="none"/>
        </w:rPr>
        <w:tab/>
      </w:r>
      <w:r>
        <w:rPr>
          <w:color w:val="auto"/>
          <w:highlight w:val="none"/>
        </w:rPr>
        <w:fldChar w:fldCharType="begin"/>
      </w:r>
      <w:r>
        <w:rPr>
          <w:color w:val="auto"/>
          <w:highlight w:val="none"/>
        </w:rPr>
        <w:instrText xml:space="preserve"> PAGEREF _Toc13551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_Toc5444 </w:instrText>
      </w:r>
      <w:r>
        <w:rPr>
          <w:bCs/>
          <w:caps/>
          <w:color w:val="auto"/>
          <w:szCs w:val="21"/>
          <w:highlight w:val="none"/>
        </w:rPr>
        <w:fldChar w:fldCharType="separate"/>
      </w:r>
      <w:r>
        <w:rPr>
          <w:rFonts w:hint="eastAsia"/>
          <w:color w:val="auto"/>
          <w:szCs w:val="21"/>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_Toc5444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_Toc23447 </w:instrText>
      </w:r>
      <w:r>
        <w:rPr>
          <w:bCs/>
          <w:caps/>
          <w:color w:val="auto"/>
          <w:szCs w:val="21"/>
          <w:highlight w:val="none"/>
        </w:rPr>
        <w:fldChar w:fldCharType="separate"/>
      </w:r>
      <w:r>
        <w:rPr>
          <w:rFonts w:hint="eastAsia"/>
          <w:color w:val="auto"/>
          <w:highlight w:val="none"/>
        </w:rPr>
        <w:t>Ａ</w:t>
      </w:r>
      <w:r>
        <w:rPr>
          <w:color w:val="auto"/>
          <w:highlight w:val="none"/>
        </w:rPr>
        <w:t xml:space="preserve">  </w:t>
      </w:r>
      <w:r>
        <w:rPr>
          <w:rFonts w:hint="eastAsia"/>
          <w:color w:val="auto"/>
          <w:highlight w:val="none"/>
        </w:rPr>
        <w:t>说</w:t>
      </w:r>
      <w:r>
        <w:rPr>
          <w:color w:val="auto"/>
          <w:highlight w:val="none"/>
        </w:rPr>
        <w:t xml:space="preserve">  </w:t>
      </w:r>
      <w:r>
        <w:rPr>
          <w:rFonts w:hint="eastAsia"/>
          <w:color w:val="auto"/>
          <w:highlight w:val="none"/>
        </w:rPr>
        <w:t>明</w:t>
      </w:r>
      <w:r>
        <w:rPr>
          <w:color w:val="auto"/>
          <w:highlight w:val="none"/>
        </w:rPr>
        <w:tab/>
      </w:r>
      <w:r>
        <w:rPr>
          <w:color w:val="auto"/>
          <w:highlight w:val="none"/>
        </w:rPr>
        <w:fldChar w:fldCharType="begin"/>
      </w:r>
      <w:r>
        <w:rPr>
          <w:color w:val="auto"/>
          <w:highlight w:val="none"/>
        </w:rPr>
        <w:instrText xml:space="preserve"> PAGEREF _Toc23447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_Toc6811 </w:instrText>
      </w:r>
      <w:r>
        <w:rPr>
          <w:bCs/>
          <w:caps/>
          <w:color w:val="auto"/>
          <w:szCs w:val="21"/>
          <w:highlight w:val="none"/>
        </w:rPr>
        <w:fldChar w:fldCharType="separate"/>
      </w:r>
      <w:r>
        <w:rPr>
          <w:rFonts w:hint="default"/>
          <w:color w:val="auto"/>
          <w:highlight w:val="none"/>
        </w:rPr>
        <w:t xml:space="preserve">1 </w:t>
      </w:r>
      <w:r>
        <w:rPr>
          <w:rFonts w:hint="eastAsia"/>
          <w:color w:val="auto"/>
          <w:highlight w:val="none"/>
        </w:rPr>
        <w:t>适用范围和资金来源</w:t>
      </w:r>
      <w:r>
        <w:rPr>
          <w:color w:val="auto"/>
          <w:highlight w:val="none"/>
        </w:rPr>
        <w:tab/>
      </w:r>
      <w:r>
        <w:rPr>
          <w:color w:val="auto"/>
          <w:highlight w:val="none"/>
        </w:rPr>
        <w:fldChar w:fldCharType="begin"/>
      </w:r>
      <w:r>
        <w:rPr>
          <w:color w:val="auto"/>
          <w:highlight w:val="none"/>
        </w:rPr>
        <w:instrText xml:space="preserve"> PAGEREF _Toc6811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_Toc4042 </w:instrText>
      </w:r>
      <w:r>
        <w:rPr>
          <w:bCs/>
          <w:caps/>
          <w:color w:val="auto"/>
          <w:szCs w:val="21"/>
          <w:highlight w:val="none"/>
        </w:rPr>
        <w:fldChar w:fldCharType="separate"/>
      </w:r>
      <w:r>
        <w:rPr>
          <w:rFonts w:hint="default"/>
          <w:color w:val="auto"/>
          <w:highlight w:val="none"/>
        </w:rPr>
        <w:t xml:space="preserve">2 </w:t>
      </w:r>
      <w:r>
        <w:rPr>
          <w:rFonts w:hint="eastAsia"/>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_Toc4042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_Toc8441 </w:instrText>
      </w:r>
      <w:r>
        <w:rPr>
          <w:bCs/>
          <w:caps/>
          <w:color w:val="auto"/>
          <w:szCs w:val="21"/>
          <w:highlight w:val="none"/>
        </w:rPr>
        <w:fldChar w:fldCharType="separate"/>
      </w:r>
      <w:r>
        <w:rPr>
          <w:rFonts w:hint="default"/>
          <w:color w:val="auto"/>
          <w:highlight w:val="none"/>
        </w:rPr>
        <w:t xml:space="preserve">3 </w:t>
      </w:r>
      <w:r>
        <w:rPr>
          <w:rFonts w:hint="eastAsia"/>
          <w:color w:val="auto"/>
          <w:highlight w:val="none"/>
        </w:rPr>
        <w:t>合格的投标人</w:t>
      </w:r>
      <w:r>
        <w:rPr>
          <w:color w:val="auto"/>
          <w:highlight w:val="none"/>
        </w:rPr>
        <w:tab/>
      </w:r>
      <w:r>
        <w:rPr>
          <w:color w:val="auto"/>
          <w:highlight w:val="none"/>
        </w:rPr>
        <w:fldChar w:fldCharType="begin"/>
      </w:r>
      <w:r>
        <w:rPr>
          <w:color w:val="auto"/>
          <w:highlight w:val="none"/>
        </w:rPr>
        <w:instrText xml:space="preserve"> PAGEREF _Toc8441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_Toc17633 </w:instrText>
      </w:r>
      <w:r>
        <w:rPr>
          <w:bCs/>
          <w:caps/>
          <w:color w:val="auto"/>
          <w:szCs w:val="21"/>
          <w:highlight w:val="none"/>
        </w:rPr>
        <w:fldChar w:fldCharType="separate"/>
      </w:r>
      <w:r>
        <w:rPr>
          <w:rFonts w:hint="default"/>
          <w:color w:val="auto"/>
          <w:highlight w:val="none"/>
        </w:rPr>
        <w:t xml:space="preserve">4 </w:t>
      </w:r>
      <w:r>
        <w:rPr>
          <w:rFonts w:hint="eastAsia"/>
          <w:color w:val="auto"/>
          <w:highlight w:val="none"/>
        </w:rPr>
        <w:t>投标费用</w:t>
      </w:r>
      <w:r>
        <w:rPr>
          <w:color w:val="auto"/>
          <w:highlight w:val="none"/>
        </w:rPr>
        <w:tab/>
      </w:r>
      <w:r>
        <w:rPr>
          <w:color w:val="auto"/>
          <w:highlight w:val="none"/>
        </w:rPr>
        <w:fldChar w:fldCharType="begin"/>
      </w:r>
      <w:r>
        <w:rPr>
          <w:color w:val="auto"/>
          <w:highlight w:val="none"/>
        </w:rPr>
        <w:instrText xml:space="preserve"> PAGEREF _Toc17633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_Toc5567 </w:instrText>
      </w:r>
      <w:r>
        <w:rPr>
          <w:bCs/>
          <w:caps/>
          <w:color w:val="auto"/>
          <w:szCs w:val="21"/>
          <w:highlight w:val="none"/>
        </w:rPr>
        <w:fldChar w:fldCharType="separate"/>
      </w:r>
      <w:r>
        <w:rPr>
          <w:rFonts w:hint="eastAsia"/>
          <w:color w:val="auto"/>
          <w:highlight w:val="none"/>
        </w:rPr>
        <w:t>Ｂ</w:t>
      </w:r>
      <w:r>
        <w:rPr>
          <w:color w:val="auto"/>
          <w:highlight w:val="none"/>
        </w:rPr>
        <w:t xml:space="preserve">  </w:t>
      </w:r>
      <w:r>
        <w:rPr>
          <w:rFonts w:hint="eastAsia"/>
          <w:color w:val="auto"/>
          <w:highlight w:val="none"/>
        </w:rPr>
        <w:t>招标文件说明</w:t>
      </w:r>
      <w:r>
        <w:rPr>
          <w:color w:val="auto"/>
          <w:highlight w:val="none"/>
        </w:rPr>
        <w:tab/>
      </w:r>
      <w:r>
        <w:rPr>
          <w:color w:val="auto"/>
          <w:highlight w:val="none"/>
        </w:rPr>
        <w:fldChar w:fldCharType="begin"/>
      </w:r>
      <w:r>
        <w:rPr>
          <w:color w:val="auto"/>
          <w:highlight w:val="none"/>
        </w:rPr>
        <w:instrText xml:space="preserve"> PAGEREF _Toc5567 \h </w:instrText>
      </w:r>
      <w:r>
        <w:rPr>
          <w:color w:val="auto"/>
          <w:highlight w:val="none"/>
        </w:rPr>
        <w:fldChar w:fldCharType="separate"/>
      </w:r>
      <w:r>
        <w:rPr>
          <w:color w:val="auto"/>
          <w:highlight w:val="none"/>
        </w:rPr>
        <w:t>25</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_Toc25751 </w:instrText>
      </w:r>
      <w:r>
        <w:rPr>
          <w:bCs/>
          <w:caps/>
          <w:color w:val="auto"/>
          <w:szCs w:val="21"/>
          <w:highlight w:val="none"/>
        </w:rPr>
        <w:fldChar w:fldCharType="separate"/>
      </w:r>
      <w:r>
        <w:rPr>
          <w:rFonts w:hint="default"/>
          <w:color w:val="auto"/>
          <w:highlight w:val="none"/>
        </w:rPr>
        <w:t xml:space="preserve">5 </w:t>
      </w:r>
      <w:r>
        <w:rPr>
          <w:rFonts w:hint="eastAsia"/>
          <w:color w:val="auto"/>
          <w:highlight w:val="none"/>
        </w:rPr>
        <w:t>招标文件的构成</w:t>
      </w:r>
      <w:r>
        <w:rPr>
          <w:color w:val="auto"/>
          <w:highlight w:val="none"/>
        </w:rPr>
        <w:tab/>
      </w:r>
      <w:r>
        <w:rPr>
          <w:color w:val="auto"/>
          <w:highlight w:val="none"/>
        </w:rPr>
        <w:fldChar w:fldCharType="begin"/>
      </w:r>
      <w:r>
        <w:rPr>
          <w:color w:val="auto"/>
          <w:highlight w:val="none"/>
        </w:rPr>
        <w:instrText xml:space="preserve"> PAGEREF _Toc25751 \h </w:instrText>
      </w:r>
      <w:r>
        <w:rPr>
          <w:color w:val="auto"/>
          <w:highlight w:val="none"/>
        </w:rPr>
        <w:fldChar w:fldCharType="separate"/>
      </w:r>
      <w:r>
        <w:rPr>
          <w:color w:val="auto"/>
          <w:highlight w:val="none"/>
        </w:rPr>
        <w:t>25</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_Toc3620 </w:instrText>
      </w:r>
      <w:r>
        <w:rPr>
          <w:bCs/>
          <w:caps/>
          <w:color w:val="auto"/>
          <w:szCs w:val="21"/>
          <w:highlight w:val="none"/>
        </w:rPr>
        <w:fldChar w:fldCharType="separate"/>
      </w:r>
      <w:r>
        <w:rPr>
          <w:rFonts w:hint="default"/>
          <w:color w:val="auto"/>
          <w:highlight w:val="none"/>
        </w:rPr>
        <w:t xml:space="preserve">6 </w:t>
      </w:r>
      <w:r>
        <w:rPr>
          <w:rFonts w:hint="eastAsia"/>
          <w:color w:val="auto"/>
          <w:highlight w:val="none"/>
        </w:rPr>
        <w:t>招标文件的澄清、修改</w:t>
      </w:r>
      <w:r>
        <w:rPr>
          <w:color w:val="auto"/>
          <w:highlight w:val="none"/>
        </w:rPr>
        <w:tab/>
      </w:r>
      <w:r>
        <w:rPr>
          <w:color w:val="auto"/>
          <w:highlight w:val="none"/>
        </w:rPr>
        <w:fldChar w:fldCharType="begin"/>
      </w:r>
      <w:r>
        <w:rPr>
          <w:color w:val="auto"/>
          <w:highlight w:val="none"/>
        </w:rPr>
        <w:instrText xml:space="preserve"> PAGEREF _Toc3620 \h </w:instrText>
      </w:r>
      <w:r>
        <w:rPr>
          <w:color w:val="auto"/>
          <w:highlight w:val="none"/>
        </w:rPr>
        <w:fldChar w:fldCharType="separate"/>
      </w:r>
      <w:r>
        <w:rPr>
          <w:color w:val="auto"/>
          <w:highlight w:val="none"/>
        </w:rPr>
        <w:t>25</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_Toc32751 </w:instrText>
      </w:r>
      <w:r>
        <w:rPr>
          <w:bCs/>
          <w:caps/>
          <w:color w:val="auto"/>
          <w:szCs w:val="21"/>
          <w:highlight w:val="none"/>
        </w:rPr>
        <w:fldChar w:fldCharType="separate"/>
      </w:r>
      <w:r>
        <w:rPr>
          <w:rFonts w:hint="eastAsia"/>
          <w:color w:val="auto"/>
          <w:highlight w:val="none"/>
        </w:rPr>
        <w:t>Ｃ</w:t>
      </w:r>
      <w:r>
        <w:rPr>
          <w:color w:val="auto"/>
          <w:highlight w:val="none"/>
        </w:rPr>
        <w:t xml:space="preserve">  </w:t>
      </w:r>
      <w:r>
        <w:rPr>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_Toc32751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_Toc3365 </w:instrText>
      </w:r>
      <w:r>
        <w:rPr>
          <w:bCs/>
          <w:caps/>
          <w:color w:val="auto"/>
          <w:szCs w:val="21"/>
          <w:highlight w:val="none"/>
        </w:rPr>
        <w:fldChar w:fldCharType="separate"/>
      </w:r>
      <w:r>
        <w:rPr>
          <w:rFonts w:hint="default"/>
          <w:color w:val="auto"/>
          <w:highlight w:val="none"/>
        </w:rPr>
        <w:t xml:space="preserve">7 </w:t>
      </w:r>
      <w:r>
        <w:rPr>
          <w:rFonts w:hint="eastAsia"/>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_Toc3365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_Toc29676 </w:instrText>
      </w:r>
      <w:r>
        <w:rPr>
          <w:bCs/>
          <w:caps/>
          <w:color w:val="auto"/>
          <w:szCs w:val="21"/>
          <w:highlight w:val="none"/>
        </w:rPr>
        <w:fldChar w:fldCharType="separate"/>
      </w:r>
      <w:r>
        <w:rPr>
          <w:rFonts w:hint="default"/>
          <w:color w:val="auto"/>
          <w:highlight w:val="none"/>
        </w:rPr>
        <w:t xml:space="preserve">8 </w:t>
      </w:r>
      <w:r>
        <w:rPr>
          <w:rFonts w:hint="eastAsia"/>
          <w:color w:val="auto"/>
          <w:highlight w:val="none"/>
        </w:rPr>
        <w:t>投标语言及计量单位</w:t>
      </w:r>
      <w:r>
        <w:rPr>
          <w:color w:val="auto"/>
          <w:highlight w:val="none"/>
        </w:rPr>
        <w:tab/>
      </w:r>
      <w:r>
        <w:rPr>
          <w:color w:val="auto"/>
          <w:highlight w:val="none"/>
        </w:rPr>
        <w:fldChar w:fldCharType="begin"/>
      </w:r>
      <w:r>
        <w:rPr>
          <w:color w:val="auto"/>
          <w:highlight w:val="none"/>
        </w:rPr>
        <w:instrText xml:space="preserve"> PAGEREF _Toc29676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_Toc12750 </w:instrText>
      </w:r>
      <w:r>
        <w:rPr>
          <w:bCs/>
          <w:caps/>
          <w:color w:val="auto"/>
          <w:szCs w:val="21"/>
          <w:highlight w:val="none"/>
        </w:rPr>
        <w:fldChar w:fldCharType="separate"/>
      </w:r>
      <w:r>
        <w:rPr>
          <w:rFonts w:hint="default"/>
          <w:color w:val="auto"/>
          <w:highlight w:val="none"/>
        </w:rPr>
        <w:t xml:space="preserve">9 </w:t>
      </w:r>
      <w:r>
        <w:rPr>
          <w:rFonts w:hint="eastAsia"/>
          <w:color w:val="auto"/>
          <w:highlight w:val="none"/>
        </w:rPr>
        <w:t>投标文件的构成</w:t>
      </w:r>
      <w:r>
        <w:rPr>
          <w:color w:val="auto"/>
          <w:highlight w:val="none"/>
        </w:rPr>
        <w:tab/>
      </w:r>
      <w:r>
        <w:rPr>
          <w:color w:val="auto"/>
          <w:highlight w:val="none"/>
        </w:rPr>
        <w:fldChar w:fldCharType="begin"/>
      </w:r>
      <w:r>
        <w:rPr>
          <w:color w:val="auto"/>
          <w:highlight w:val="none"/>
        </w:rPr>
        <w:instrText xml:space="preserve"> PAGEREF _Toc12750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_Toc2359 </w:instrText>
      </w:r>
      <w:r>
        <w:rPr>
          <w:bCs/>
          <w:caps/>
          <w:color w:val="auto"/>
          <w:szCs w:val="21"/>
          <w:highlight w:val="none"/>
        </w:rPr>
        <w:fldChar w:fldCharType="separate"/>
      </w:r>
      <w:r>
        <w:rPr>
          <w:rFonts w:hint="default"/>
          <w:color w:val="auto"/>
          <w:highlight w:val="none"/>
        </w:rPr>
        <w:t xml:space="preserve">10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_Toc2359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_Toc22724 </w:instrText>
      </w:r>
      <w:r>
        <w:rPr>
          <w:bCs/>
          <w:caps/>
          <w:color w:val="auto"/>
          <w:szCs w:val="21"/>
          <w:highlight w:val="none"/>
        </w:rPr>
        <w:fldChar w:fldCharType="separate"/>
      </w:r>
      <w:r>
        <w:rPr>
          <w:rFonts w:hint="default"/>
          <w:color w:val="auto"/>
          <w:highlight w:val="none"/>
        </w:rPr>
        <w:t xml:space="preserve">11 </w:t>
      </w:r>
      <w:r>
        <w:rPr>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_Toc22724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_Toc3574 </w:instrText>
      </w:r>
      <w:r>
        <w:rPr>
          <w:bCs/>
          <w:caps/>
          <w:color w:val="auto"/>
          <w:szCs w:val="21"/>
          <w:highlight w:val="none"/>
        </w:rPr>
        <w:fldChar w:fldCharType="separate"/>
      </w:r>
      <w:r>
        <w:rPr>
          <w:rFonts w:hint="default"/>
          <w:color w:val="auto"/>
          <w:highlight w:val="none"/>
        </w:rPr>
        <w:t xml:space="preserve">12 </w:t>
      </w:r>
      <w:r>
        <w:rPr>
          <w:rFonts w:hint="eastAsia"/>
          <w:color w:val="auto"/>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_Toc3574 \h </w:instrText>
      </w:r>
      <w:r>
        <w:rPr>
          <w:color w:val="auto"/>
          <w:highlight w:val="none"/>
        </w:rPr>
        <w:fldChar w:fldCharType="separate"/>
      </w:r>
      <w:r>
        <w:rPr>
          <w:color w:val="auto"/>
          <w:highlight w:val="none"/>
        </w:rPr>
        <w:t>27</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_Toc21315 </w:instrText>
      </w:r>
      <w:r>
        <w:rPr>
          <w:bCs/>
          <w:caps/>
          <w:color w:val="auto"/>
          <w:szCs w:val="21"/>
          <w:highlight w:val="none"/>
        </w:rPr>
        <w:fldChar w:fldCharType="separate"/>
      </w:r>
      <w:r>
        <w:rPr>
          <w:rFonts w:hint="default"/>
          <w:color w:val="auto"/>
          <w:highlight w:val="none"/>
        </w:rPr>
        <w:t xml:space="preserve">13 </w:t>
      </w:r>
      <w:r>
        <w:rPr>
          <w:rFonts w:hint="eastAsia"/>
          <w:color w:val="auto"/>
          <w:highlight w:val="none"/>
        </w:rPr>
        <w:t>投标报价与投标货币</w:t>
      </w:r>
      <w:r>
        <w:rPr>
          <w:color w:val="auto"/>
          <w:highlight w:val="none"/>
        </w:rPr>
        <w:tab/>
      </w:r>
      <w:r>
        <w:rPr>
          <w:color w:val="auto"/>
          <w:highlight w:val="none"/>
        </w:rPr>
        <w:fldChar w:fldCharType="begin"/>
      </w:r>
      <w:r>
        <w:rPr>
          <w:color w:val="auto"/>
          <w:highlight w:val="none"/>
        </w:rPr>
        <w:instrText xml:space="preserve"> PAGEREF _Toc21315 \h </w:instrText>
      </w:r>
      <w:r>
        <w:rPr>
          <w:color w:val="auto"/>
          <w:highlight w:val="none"/>
        </w:rPr>
        <w:fldChar w:fldCharType="separate"/>
      </w:r>
      <w:r>
        <w:rPr>
          <w:color w:val="auto"/>
          <w:highlight w:val="none"/>
        </w:rPr>
        <w:t>27</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_Toc9055 </w:instrText>
      </w:r>
      <w:r>
        <w:rPr>
          <w:bCs/>
          <w:caps/>
          <w:color w:val="auto"/>
          <w:szCs w:val="21"/>
          <w:highlight w:val="none"/>
        </w:rPr>
        <w:fldChar w:fldCharType="separate"/>
      </w:r>
      <w:r>
        <w:rPr>
          <w:rFonts w:hint="default"/>
          <w:color w:val="auto"/>
          <w:highlight w:val="none"/>
        </w:rPr>
        <w:t xml:space="preserve">14 </w:t>
      </w:r>
      <w:r>
        <w:rPr>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_Toc9055 \h </w:instrText>
      </w:r>
      <w:r>
        <w:rPr>
          <w:color w:val="auto"/>
          <w:highlight w:val="none"/>
        </w:rPr>
        <w:fldChar w:fldCharType="separate"/>
      </w:r>
      <w:r>
        <w:rPr>
          <w:color w:val="auto"/>
          <w:highlight w:val="none"/>
        </w:rPr>
        <w:t>27</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_Toc9966 </w:instrText>
      </w:r>
      <w:r>
        <w:rPr>
          <w:bCs/>
          <w:caps/>
          <w:color w:val="auto"/>
          <w:szCs w:val="21"/>
          <w:highlight w:val="none"/>
        </w:rPr>
        <w:fldChar w:fldCharType="separate"/>
      </w:r>
      <w:r>
        <w:rPr>
          <w:rFonts w:hint="default"/>
          <w:color w:val="auto"/>
          <w:highlight w:val="none"/>
        </w:rPr>
        <w:t xml:space="preserve">15 </w:t>
      </w:r>
      <w:r>
        <w:rPr>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_Toc9966 \h </w:instrText>
      </w:r>
      <w:r>
        <w:rPr>
          <w:color w:val="auto"/>
          <w:highlight w:val="none"/>
        </w:rPr>
        <w:fldChar w:fldCharType="separate"/>
      </w:r>
      <w:r>
        <w:rPr>
          <w:color w:val="auto"/>
          <w:highlight w:val="none"/>
        </w:rPr>
        <w:t>28</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_Toc1224 </w:instrText>
      </w:r>
      <w:r>
        <w:rPr>
          <w:bCs/>
          <w:caps/>
          <w:color w:val="auto"/>
          <w:szCs w:val="21"/>
          <w:highlight w:val="none"/>
        </w:rPr>
        <w:fldChar w:fldCharType="separate"/>
      </w:r>
      <w:r>
        <w:rPr>
          <w:rFonts w:hint="default"/>
          <w:color w:val="auto"/>
          <w:highlight w:val="none"/>
        </w:rPr>
        <w:t xml:space="preserve">16 </w:t>
      </w:r>
      <w:r>
        <w:rPr>
          <w:rFonts w:hint="eastAsia"/>
          <w:color w:val="auto"/>
          <w:highlight w:val="none"/>
        </w:rPr>
        <w:t>投标文件的签署及规定</w:t>
      </w:r>
      <w:r>
        <w:rPr>
          <w:color w:val="auto"/>
          <w:highlight w:val="none"/>
        </w:rPr>
        <w:tab/>
      </w:r>
      <w:r>
        <w:rPr>
          <w:color w:val="auto"/>
          <w:highlight w:val="none"/>
        </w:rPr>
        <w:fldChar w:fldCharType="begin"/>
      </w:r>
      <w:r>
        <w:rPr>
          <w:color w:val="auto"/>
          <w:highlight w:val="none"/>
        </w:rPr>
        <w:instrText xml:space="preserve"> PAGEREF _Toc1224 \h </w:instrText>
      </w:r>
      <w:r>
        <w:rPr>
          <w:color w:val="auto"/>
          <w:highlight w:val="none"/>
        </w:rPr>
        <w:fldChar w:fldCharType="separate"/>
      </w:r>
      <w:r>
        <w:rPr>
          <w:color w:val="auto"/>
          <w:highlight w:val="none"/>
        </w:rPr>
        <w:t>28</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_Toc9497 </w:instrText>
      </w:r>
      <w:r>
        <w:rPr>
          <w:bCs/>
          <w:caps/>
          <w:color w:val="auto"/>
          <w:szCs w:val="21"/>
          <w:highlight w:val="none"/>
        </w:rPr>
        <w:fldChar w:fldCharType="separate"/>
      </w:r>
      <w:r>
        <w:rPr>
          <w:rFonts w:hint="eastAsia"/>
          <w:color w:val="auto"/>
          <w:highlight w:val="none"/>
        </w:rPr>
        <w:t>Ｄ</w:t>
      </w:r>
      <w:r>
        <w:rPr>
          <w:color w:val="auto"/>
          <w:highlight w:val="none"/>
        </w:rPr>
        <w:t xml:space="preserve">  </w:t>
      </w:r>
      <w:r>
        <w:rPr>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_Toc9497 \h </w:instrText>
      </w:r>
      <w:r>
        <w:rPr>
          <w:color w:val="auto"/>
          <w:highlight w:val="none"/>
        </w:rPr>
        <w:fldChar w:fldCharType="separate"/>
      </w:r>
      <w:r>
        <w:rPr>
          <w:color w:val="auto"/>
          <w:highlight w:val="none"/>
        </w:rPr>
        <w:t>29</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_Toc31805 </w:instrText>
      </w:r>
      <w:r>
        <w:rPr>
          <w:bCs/>
          <w:caps/>
          <w:color w:val="auto"/>
          <w:szCs w:val="21"/>
          <w:highlight w:val="none"/>
        </w:rPr>
        <w:fldChar w:fldCharType="separate"/>
      </w:r>
      <w:r>
        <w:rPr>
          <w:rFonts w:hint="default" w:ascii="宋体" w:hAnsi="宋体"/>
          <w:color w:val="auto"/>
          <w:highlight w:val="none"/>
        </w:rPr>
        <w:t xml:space="preserve">17 </w:t>
      </w:r>
      <w:r>
        <w:rPr>
          <w:rFonts w:hint="eastAsia"/>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_Toc31805 \h </w:instrText>
      </w:r>
      <w:r>
        <w:rPr>
          <w:color w:val="auto"/>
          <w:highlight w:val="none"/>
        </w:rPr>
        <w:fldChar w:fldCharType="separate"/>
      </w:r>
      <w:r>
        <w:rPr>
          <w:color w:val="auto"/>
          <w:highlight w:val="none"/>
        </w:rPr>
        <w:t>29</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_Toc23930 </w:instrText>
      </w:r>
      <w:r>
        <w:rPr>
          <w:bCs/>
          <w:caps/>
          <w:color w:val="auto"/>
          <w:szCs w:val="21"/>
          <w:highlight w:val="none"/>
        </w:rPr>
        <w:fldChar w:fldCharType="separate"/>
      </w:r>
      <w:r>
        <w:rPr>
          <w:rFonts w:hint="default"/>
          <w:color w:val="auto"/>
          <w:highlight w:val="none"/>
        </w:rPr>
        <w:t xml:space="preserve">18 </w:t>
      </w:r>
      <w:r>
        <w:rPr>
          <w:rFonts w:hint="eastAsia"/>
          <w:color w:val="auto"/>
          <w:highlight w:val="none"/>
        </w:rPr>
        <w:t>递交投标文件的时间、地点及截止时间</w:t>
      </w:r>
      <w:r>
        <w:rPr>
          <w:color w:val="auto"/>
          <w:highlight w:val="none"/>
        </w:rPr>
        <w:tab/>
      </w:r>
      <w:r>
        <w:rPr>
          <w:color w:val="auto"/>
          <w:highlight w:val="none"/>
        </w:rPr>
        <w:fldChar w:fldCharType="begin"/>
      </w:r>
      <w:r>
        <w:rPr>
          <w:color w:val="auto"/>
          <w:highlight w:val="none"/>
        </w:rPr>
        <w:instrText xml:space="preserve"> PAGEREF _Toc23930 \h </w:instrText>
      </w:r>
      <w:r>
        <w:rPr>
          <w:color w:val="auto"/>
          <w:highlight w:val="none"/>
        </w:rPr>
        <w:fldChar w:fldCharType="separate"/>
      </w:r>
      <w:r>
        <w:rPr>
          <w:color w:val="auto"/>
          <w:highlight w:val="none"/>
        </w:rPr>
        <w:t>29</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_Toc6386 </w:instrText>
      </w:r>
      <w:r>
        <w:rPr>
          <w:bCs/>
          <w:caps/>
          <w:color w:val="auto"/>
          <w:szCs w:val="21"/>
          <w:highlight w:val="none"/>
        </w:rPr>
        <w:fldChar w:fldCharType="separate"/>
      </w:r>
      <w:r>
        <w:rPr>
          <w:rFonts w:hint="default"/>
          <w:color w:val="auto"/>
          <w:highlight w:val="none"/>
        </w:rPr>
        <w:t xml:space="preserve">19 </w:t>
      </w:r>
      <w:r>
        <w:rPr>
          <w:rFonts w:hint="eastAsia"/>
          <w:color w:val="auto"/>
          <w:highlight w:val="none"/>
        </w:rPr>
        <w:t>迟交的投标文件</w:t>
      </w:r>
      <w:r>
        <w:rPr>
          <w:color w:val="auto"/>
          <w:highlight w:val="none"/>
        </w:rPr>
        <w:tab/>
      </w:r>
      <w:r>
        <w:rPr>
          <w:color w:val="auto"/>
          <w:highlight w:val="none"/>
        </w:rPr>
        <w:fldChar w:fldCharType="begin"/>
      </w:r>
      <w:r>
        <w:rPr>
          <w:color w:val="auto"/>
          <w:highlight w:val="none"/>
        </w:rPr>
        <w:instrText xml:space="preserve"> PAGEREF _Toc6386 \h </w:instrText>
      </w:r>
      <w:r>
        <w:rPr>
          <w:color w:val="auto"/>
          <w:highlight w:val="none"/>
        </w:rPr>
        <w:fldChar w:fldCharType="separate"/>
      </w:r>
      <w:r>
        <w:rPr>
          <w:color w:val="auto"/>
          <w:highlight w:val="none"/>
        </w:rPr>
        <w:t>29</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_Toc20333 </w:instrText>
      </w:r>
      <w:r>
        <w:rPr>
          <w:bCs/>
          <w:caps/>
          <w:color w:val="auto"/>
          <w:szCs w:val="21"/>
          <w:highlight w:val="none"/>
        </w:rPr>
        <w:fldChar w:fldCharType="separate"/>
      </w:r>
      <w:r>
        <w:rPr>
          <w:rFonts w:hint="default"/>
          <w:color w:val="auto"/>
          <w:highlight w:val="none"/>
        </w:rPr>
        <w:t xml:space="preserve">20 </w:t>
      </w:r>
      <w:r>
        <w:rPr>
          <w:rFonts w:hint="eastAsia"/>
          <w:color w:val="auto"/>
          <w:highlight w:val="none"/>
        </w:rPr>
        <w:t>投标文件的修改和撤回</w:t>
      </w:r>
      <w:r>
        <w:rPr>
          <w:color w:val="auto"/>
          <w:highlight w:val="none"/>
        </w:rPr>
        <w:tab/>
      </w:r>
      <w:r>
        <w:rPr>
          <w:color w:val="auto"/>
          <w:highlight w:val="none"/>
        </w:rPr>
        <w:fldChar w:fldCharType="begin"/>
      </w:r>
      <w:r>
        <w:rPr>
          <w:color w:val="auto"/>
          <w:highlight w:val="none"/>
        </w:rPr>
        <w:instrText xml:space="preserve"> PAGEREF _Toc20333 \h </w:instrText>
      </w:r>
      <w:r>
        <w:rPr>
          <w:color w:val="auto"/>
          <w:highlight w:val="none"/>
        </w:rPr>
        <w:fldChar w:fldCharType="separate"/>
      </w:r>
      <w:r>
        <w:rPr>
          <w:color w:val="auto"/>
          <w:highlight w:val="none"/>
        </w:rPr>
        <w:t>29</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_Toc7682 </w:instrText>
      </w:r>
      <w:r>
        <w:rPr>
          <w:bCs/>
          <w:caps/>
          <w:color w:val="auto"/>
          <w:szCs w:val="21"/>
          <w:highlight w:val="none"/>
        </w:rPr>
        <w:fldChar w:fldCharType="separate"/>
      </w:r>
      <w:r>
        <w:rPr>
          <w:rFonts w:hint="eastAsia"/>
          <w:color w:val="auto"/>
          <w:highlight w:val="none"/>
        </w:rPr>
        <w:t>Ｅ</w:t>
      </w:r>
      <w:r>
        <w:rPr>
          <w:color w:val="auto"/>
          <w:highlight w:val="none"/>
        </w:rPr>
        <w:t xml:space="preserve">  </w:t>
      </w:r>
      <w:r>
        <w:rPr>
          <w:rFonts w:hint="eastAsia"/>
          <w:color w:val="auto"/>
          <w:highlight w:val="none"/>
        </w:rPr>
        <w:t>开标和评标</w:t>
      </w:r>
      <w:r>
        <w:rPr>
          <w:color w:val="auto"/>
          <w:highlight w:val="none"/>
        </w:rPr>
        <w:tab/>
      </w:r>
      <w:r>
        <w:rPr>
          <w:color w:val="auto"/>
          <w:highlight w:val="none"/>
        </w:rPr>
        <w:fldChar w:fldCharType="begin"/>
      </w:r>
      <w:r>
        <w:rPr>
          <w:color w:val="auto"/>
          <w:highlight w:val="none"/>
        </w:rPr>
        <w:instrText xml:space="preserve"> PAGEREF _Toc7682 \h </w:instrText>
      </w:r>
      <w:r>
        <w:rPr>
          <w:color w:val="auto"/>
          <w:highlight w:val="none"/>
        </w:rPr>
        <w:fldChar w:fldCharType="separate"/>
      </w:r>
      <w:r>
        <w:rPr>
          <w:color w:val="auto"/>
          <w:highlight w:val="none"/>
        </w:rPr>
        <w:t>30</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_Toc5666 </w:instrText>
      </w:r>
      <w:r>
        <w:rPr>
          <w:bCs/>
          <w:caps/>
          <w:color w:val="auto"/>
          <w:szCs w:val="21"/>
          <w:highlight w:val="none"/>
        </w:rPr>
        <w:fldChar w:fldCharType="separate"/>
      </w:r>
      <w:r>
        <w:rPr>
          <w:rFonts w:hint="default"/>
          <w:color w:val="auto"/>
          <w:highlight w:val="none"/>
        </w:rPr>
        <w:t xml:space="preserve">21 </w:t>
      </w:r>
      <w:r>
        <w:rPr>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_Toc5666 \h </w:instrText>
      </w:r>
      <w:r>
        <w:rPr>
          <w:color w:val="auto"/>
          <w:highlight w:val="none"/>
        </w:rPr>
        <w:fldChar w:fldCharType="separate"/>
      </w:r>
      <w:r>
        <w:rPr>
          <w:color w:val="auto"/>
          <w:highlight w:val="none"/>
        </w:rPr>
        <w:t>30</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_Toc5206 </w:instrText>
      </w:r>
      <w:r>
        <w:rPr>
          <w:bCs/>
          <w:caps/>
          <w:color w:val="auto"/>
          <w:szCs w:val="21"/>
          <w:highlight w:val="none"/>
        </w:rPr>
        <w:fldChar w:fldCharType="separate"/>
      </w:r>
      <w:r>
        <w:rPr>
          <w:rFonts w:hint="default" w:ascii="宋体" w:hAnsi="宋体"/>
          <w:color w:val="auto"/>
          <w:highlight w:val="none"/>
        </w:rPr>
        <w:t xml:space="preserve">22 </w:t>
      </w:r>
      <w:r>
        <w:rPr>
          <w:rFonts w:hint="eastAsia"/>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_Toc5206 \h </w:instrText>
      </w:r>
      <w:r>
        <w:rPr>
          <w:color w:val="auto"/>
          <w:highlight w:val="none"/>
        </w:rPr>
        <w:fldChar w:fldCharType="separate"/>
      </w:r>
      <w:r>
        <w:rPr>
          <w:color w:val="auto"/>
          <w:highlight w:val="none"/>
        </w:rPr>
        <w:t>30</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_Toc28528 </w:instrText>
      </w:r>
      <w:r>
        <w:rPr>
          <w:bCs/>
          <w:caps/>
          <w:color w:val="auto"/>
          <w:szCs w:val="21"/>
          <w:highlight w:val="none"/>
        </w:rPr>
        <w:fldChar w:fldCharType="separate"/>
      </w:r>
      <w:r>
        <w:rPr>
          <w:rFonts w:hint="default"/>
          <w:color w:val="auto"/>
          <w:highlight w:val="none"/>
        </w:rPr>
        <w:t xml:space="preserve">23 </w:t>
      </w:r>
      <w:r>
        <w:rPr>
          <w:rFonts w:hint="eastAsia"/>
          <w:color w:val="auto"/>
          <w:highlight w:val="none"/>
        </w:rPr>
        <w:t>对投标文件的初审和响应性的确定</w:t>
      </w:r>
      <w:r>
        <w:rPr>
          <w:color w:val="auto"/>
          <w:highlight w:val="none"/>
        </w:rPr>
        <w:tab/>
      </w:r>
      <w:r>
        <w:rPr>
          <w:color w:val="auto"/>
          <w:highlight w:val="none"/>
        </w:rPr>
        <w:fldChar w:fldCharType="begin"/>
      </w:r>
      <w:r>
        <w:rPr>
          <w:color w:val="auto"/>
          <w:highlight w:val="none"/>
        </w:rPr>
        <w:instrText xml:space="preserve"> PAGEREF _Toc28528 \h </w:instrText>
      </w:r>
      <w:r>
        <w:rPr>
          <w:color w:val="auto"/>
          <w:highlight w:val="none"/>
        </w:rPr>
        <w:fldChar w:fldCharType="separate"/>
      </w:r>
      <w:r>
        <w:rPr>
          <w:color w:val="auto"/>
          <w:highlight w:val="none"/>
        </w:rPr>
        <w:t>30</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_Toc178 </w:instrText>
      </w:r>
      <w:r>
        <w:rPr>
          <w:bCs/>
          <w:caps/>
          <w:color w:val="auto"/>
          <w:szCs w:val="21"/>
          <w:highlight w:val="none"/>
        </w:rPr>
        <w:fldChar w:fldCharType="separate"/>
      </w:r>
      <w:r>
        <w:rPr>
          <w:rFonts w:hint="default"/>
          <w:color w:val="auto"/>
          <w:highlight w:val="none"/>
        </w:rPr>
        <w:t xml:space="preserve">24 </w:t>
      </w:r>
      <w:r>
        <w:rPr>
          <w:rFonts w:hint="eastAsia"/>
          <w:color w:val="auto"/>
          <w:highlight w:val="none"/>
        </w:rPr>
        <w:t>投标报价的审核</w:t>
      </w:r>
      <w:r>
        <w:rPr>
          <w:color w:val="auto"/>
          <w:highlight w:val="none"/>
        </w:rPr>
        <w:tab/>
      </w:r>
      <w:r>
        <w:rPr>
          <w:color w:val="auto"/>
          <w:highlight w:val="none"/>
        </w:rPr>
        <w:fldChar w:fldCharType="begin"/>
      </w:r>
      <w:r>
        <w:rPr>
          <w:color w:val="auto"/>
          <w:highlight w:val="none"/>
        </w:rPr>
        <w:instrText xml:space="preserve"> PAGEREF _Toc178 \h </w:instrText>
      </w:r>
      <w:r>
        <w:rPr>
          <w:color w:val="auto"/>
          <w:highlight w:val="none"/>
        </w:rPr>
        <w:fldChar w:fldCharType="separate"/>
      </w:r>
      <w:r>
        <w:rPr>
          <w:color w:val="auto"/>
          <w:highlight w:val="none"/>
        </w:rPr>
        <w:t>31</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_Toc14890 </w:instrText>
      </w:r>
      <w:r>
        <w:rPr>
          <w:bCs/>
          <w:caps/>
          <w:color w:val="auto"/>
          <w:szCs w:val="21"/>
          <w:highlight w:val="none"/>
        </w:rPr>
        <w:fldChar w:fldCharType="separate"/>
      </w:r>
      <w:r>
        <w:rPr>
          <w:rFonts w:hint="default"/>
          <w:color w:val="auto"/>
          <w:highlight w:val="none"/>
        </w:rPr>
        <w:t xml:space="preserve">25 </w:t>
      </w:r>
      <w:r>
        <w:rPr>
          <w:rFonts w:hint="eastAsia"/>
          <w:color w:val="auto"/>
          <w:highlight w:val="none"/>
        </w:rPr>
        <w:t>询标及投标文件的澄清</w:t>
      </w:r>
      <w:r>
        <w:rPr>
          <w:color w:val="auto"/>
          <w:highlight w:val="none"/>
        </w:rPr>
        <w:tab/>
      </w:r>
      <w:r>
        <w:rPr>
          <w:color w:val="auto"/>
          <w:highlight w:val="none"/>
        </w:rPr>
        <w:fldChar w:fldCharType="begin"/>
      </w:r>
      <w:r>
        <w:rPr>
          <w:color w:val="auto"/>
          <w:highlight w:val="none"/>
        </w:rPr>
        <w:instrText xml:space="preserve"> PAGEREF _Toc14890 \h </w:instrText>
      </w:r>
      <w:r>
        <w:rPr>
          <w:color w:val="auto"/>
          <w:highlight w:val="none"/>
        </w:rPr>
        <w:fldChar w:fldCharType="separate"/>
      </w:r>
      <w:r>
        <w:rPr>
          <w:color w:val="auto"/>
          <w:highlight w:val="none"/>
        </w:rPr>
        <w:t>31</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_Toc1847 </w:instrText>
      </w:r>
      <w:r>
        <w:rPr>
          <w:bCs/>
          <w:caps/>
          <w:color w:val="auto"/>
          <w:szCs w:val="21"/>
          <w:highlight w:val="none"/>
        </w:rPr>
        <w:fldChar w:fldCharType="separate"/>
      </w:r>
      <w:r>
        <w:rPr>
          <w:rFonts w:hint="default"/>
          <w:color w:val="auto"/>
          <w:highlight w:val="none"/>
        </w:rPr>
        <w:t xml:space="preserve">26 </w:t>
      </w:r>
      <w:r>
        <w:rPr>
          <w:rFonts w:hint="eastAsia"/>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_Toc1847 \h </w:instrText>
      </w:r>
      <w:r>
        <w:rPr>
          <w:color w:val="auto"/>
          <w:highlight w:val="none"/>
        </w:rPr>
        <w:fldChar w:fldCharType="separate"/>
      </w:r>
      <w:r>
        <w:rPr>
          <w:color w:val="auto"/>
          <w:highlight w:val="none"/>
        </w:rPr>
        <w:t>31</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_Toc12323 </w:instrText>
      </w:r>
      <w:r>
        <w:rPr>
          <w:bCs/>
          <w:caps/>
          <w:color w:val="auto"/>
          <w:szCs w:val="21"/>
          <w:highlight w:val="none"/>
        </w:rPr>
        <w:fldChar w:fldCharType="separate"/>
      </w:r>
      <w:r>
        <w:rPr>
          <w:rFonts w:hint="default"/>
          <w:color w:val="auto"/>
          <w:highlight w:val="none"/>
        </w:rPr>
        <w:t xml:space="preserve">27 </w:t>
      </w:r>
      <w:r>
        <w:rPr>
          <w:rFonts w:hint="eastAsia"/>
          <w:color w:val="auto"/>
          <w:highlight w:val="none"/>
        </w:rPr>
        <w:t>评标标准和办法</w:t>
      </w:r>
      <w:r>
        <w:rPr>
          <w:color w:val="auto"/>
          <w:highlight w:val="none"/>
        </w:rPr>
        <w:tab/>
      </w:r>
      <w:r>
        <w:rPr>
          <w:color w:val="auto"/>
          <w:highlight w:val="none"/>
        </w:rPr>
        <w:fldChar w:fldCharType="begin"/>
      </w:r>
      <w:r>
        <w:rPr>
          <w:color w:val="auto"/>
          <w:highlight w:val="none"/>
        </w:rPr>
        <w:instrText xml:space="preserve"> PAGEREF _Toc12323 \h </w:instrText>
      </w:r>
      <w:r>
        <w:rPr>
          <w:color w:val="auto"/>
          <w:highlight w:val="none"/>
        </w:rPr>
        <w:fldChar w:fldCharType="separate"/>
      </w:r>
      <w:r>
        <w:rPr>
          <w:color w:val="auto"/>
          <w:highlight w:val="none"/>
        </w:rPr>
        <w:t>32</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_Toc20440 </w:instrText>
      </w:r>
      <w:r>
        <w:rPr>
          <w:bCs/>
          <w:caps/>
          <w:color w:val="auto"/>
          <w:szCs w:val="21"/>
          <w:highlight w:val="none"/>
        </w:rPr>
        <w:fldChar w:fldCharType="separate"/>
      </w:r>
      <w:r>
        <w:rPr>
          <w:rFonts w:hint="default"/>
          <w:color w:val="auto"/>
          <w:highlight w:val="none"/>
        </w:rPr>
        <w:t xml:space="preserve">28 </w:t>
      </w:r>
      <w:r>
        <w:rPr>
          <w:rFonts w:hint="eastAsia"/>
          <w:color w:val="auto"/>
          <w:highlight w:val="none"/>
        </w:rPr>
        <w:t>评标注意事项</w:t>
      </w:r>
      <w:r>
        <w:rPr>
          <w:color w:val="auto"/>
          <w:highlight w:val="none"/>
        </w:rPr>
        <w:tab/>
      </w:r>
      <w:r>
        <w:rPr>
          <w:color w:val="auto"/>
          <w:highlight w:val="none"/>
        </w:rPr>
        <w:fldChar w:fldCharType="begin"/>
      </w:r>
      <w:r>
        <w:rPr>
          <w:color w:val="auto"/>
          <w:highlight w:val="none"/>
        </w:rPr>
        <w:instrText xml:space="preserve"> PAGEREF _Toc20440 \h </w:instrText>
      </w:r>
      <w:r>
        <w:rPr>
          <w:color w:val="auto"/>
          <w:highlight w:val="none"/>
        </w:rPr>
        <w:fldChar w:fldCharType="separate"/>
      </w:r>
      <w:r>
        <w:rPr>
          <w:color w:val="auto"/>
          <w:highlight w:val="none"/>
        </w:rPr>
        <w:t>32</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_Toc323 </w:instrText>
      </w:r>
      <w:r>
        <w:rPr>
          <w:bCs/>
          <w:caps/>
          <w:color w:val="auto"/>
          <w:szCs w:val="21"/>
          <w:highlight w:val="none"/>
        </w:rPr>
        <w:fldChar w:fldCharType="separate"/>
      </w:r>
      <w:r>
        <w:rPr>
          <w:rFonts w:hint="default"/>
          <w:color w:val="auto"/>
          <w:highlight w:val="none"/>
        </w:rPr>
        <w:t xml:space="preserve">29 </w:t>
      </w:r>
      <w:r>
        <w:rPr>
          <w:rFonts w:hint="eastAsia"/>
          <w:color w:val="auto"/>
          <w:highlight w:val="none"/>
        </w:rPr>
        <w:t>接受和拒绝投标的权利</w:t>
      </w:r>
      <w:r>
        <w:rPr>
          <w:color w:val="auto"/>
          <w:highlight w:val="none"/>
        </w:rPr>
        <w:tab/>
      </w:r>
      <w:r>
        <w:rPr>
          <w:color w:val="auto"/>
          <w:highlight w:val="none"/>
        </w:rPr>
        <w:fldChar w:fldCharType="begin"/>
      </w:r>
      <w:r>
        <w:rPr>
          <w:color w:val="auto"/>
          <w:highlight w:val="none"/>
        </w:rPr>
        <w:instrText xml:space="preserve"> PAGEREF _Toc323 \h </w:instrText>
      </w:r>
      <w:r>
        <w:rPr>
          <w:color w:val="auto"/>
          <w:highlight w:val="none"/>
        </w:rPr>
        <w:fldChar w:fldCharType="separate"/>
      </w:r>
      <w:r>
        <w:rPr>
          <w:color w:val="auto"/>
          <w:highlight w:val="none"/>
        </w:rPr>
        <w:t>32</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_Toc23443 </w:instrText>
      </w:r>
      <w:r>
        <w:rPr>
          <w:bCs/>
          <w:caps/>
          <w:color w:val="auto"/>
          <w:szCs w:val="21"/>
          <w:highlight w:val="none"/>
        </w:rPr>
        <w:fldChar w:fldCharType="separate"/>
      </w:r>
      <w:r>
        <w:rPr>
          <w:rFonts w:hint="default"/>
          <w:color w:val="auto"/>
          <w:highlight w:val="none"/>
        </w:rPr>
        <w:t xml:space="preserve">30 </w:t>
      </w:r>
      <w:r>
        <w:rPr>
          <w:rFonts w:hint="eastAsia"/>
          <w:color w:val="auto"/>
          <w:highlight w:val="none"/>
        </w:rPr>
        <w:t>发布中标结果公告和发放中标通知书</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32</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_Toc24670 </w:instrText>
      </w:r>
      <w:r>
        <w:rPr>
          <w:bCs/>
          <w:caps/>
          <w:color w:val="auto"/>
          <w:szCs w:val="21"/>
          <w:highlight w:val="none"/>
        </w:rPr>
        <w:fldChar w:fldCharType="separate"/>
      </w:r>
      <w:r>
        <w:rPr>
          <w:rFonts w:hint="default"/>
          <w:color w:val="auto"/>
          <w:highlight w:val="none"/>
        </w:rPr>
        <w:t xml:space="preserve">31 </w:t>
      </w:r>
      <w:r>
        <w:rPr>
          <w:rFonts w:hint="eastAsia"/>
          <w:color w:val="auto"/>
          <w:highlight w:val="none"/>
        </w:rPr>
        <w:t>投标人对中标结果的质疑、投诉</w:t>
      </w:r>
      <w:r>
        <w:rPr>
          <w:color w:val="auto"/>
          <w:highlight w:val="none"/>
        </w:rPr>
        <w:tab/>
      </w:r>
      <w:r>
        <w:rPr>
          <w:color w:val="auto"/>
          <w:highlight w:val="none"/>
        </w:rPr>
        <w:fldChar w:fldCharType="begin"/>
      </w:r>
      <w:r>
        <w:rPr>
          <w:color w:val="auto"/>
          <w:highlight w:val="none"/>
        </w:rPr>
        <w:instrText xml:space="preserve"> PAGEREF _Toc24670 \h </w:instrText>
      </w:r>
      <w:r>
        <w:rPr>
          <w:color w:val="auto"/>
          <w:highlight w:val="none"/>
        </w:rPr>
        <w:fldChar w:fldCharType="separate"/>
      </w:r>
      <w:r>
        <w:rPr>
          <w:color w:val="auto"/>
          <w:highlight w:val="none"/>
        </w:rPr>
        <w:t>32</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_Toc14455 </w:instrText>
      </w:r>
      <w:r>
        <w:rPr>
          <w:bCs/>
          <w:caps/>
          <w:color w:val="auto"/>
          <w:szCs w:val="21"/>
          <w:highlight w:val="none"/>
        </w:rPr>
        <w:fldChar w:fldCharType="separate"/>
      </w:r>
      <w:r>
        <w:rPr>
          <w:rFonts w:hint="eastAsia"/>
          <w:color w:val="auto"/>
          <w:highlight w:val="none"/>
        </w:rPr>
        <w:t>Ｆ  授予合同</w:t>
      </w:r>
      <w:r>
        <w:rPr>
          <w:color w:val="auto"/>
          <w:highlight w:val="none"/>
        </w:rPr>
        <w:tab/>
      </w:r>
      <w:r>
        <w:rPr>
          <w:color w:val="auto"/>
          <w:highlight w:val="none"/>
        </w:rPr>
        <w:fldChar w:fldCharType="begin"/>
      </w:r>
      <w:r>
        <w:rPr>
          <w:color w:val="auto"/>
          <w:highlight w:val="none"/>
        </w:rPr>
        <w:instrText xml:space="preserve"> PAGEREF _Toc14455 \h </w:instrText>
      </w:r>
      <w:r>
        <w:rPr>
          <w:color w:val="auto"/>
          <w:highlight w:val="none"/>
        </w:rPr>
        <w:fldChar w:fldCharType="separate"/>
      </w:r>
      <w:r>
        <w:rPr>
          <w:color w:val="auto"/>
          <w:highlight w:val="none"/>
        </w:rPr>
        <w:t>34</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_Toc22446 </w:instrText>
      </w:r>
      <w:r>
        <w:rPr>
          <w:bCs/>
          <w:caps/>
          <w:color w:val="auto"/>
          <w:szCs w:val="21"/>
          <w:highlight w:val="none"/>
        </w:rPr>
        <w:fldChar w:fldCharType="separate"/>
      </w:r>
      <w:r>
        <w:rPr>
          <w:rFonts w:hint="default"/>
          <w:color w:val="auto"/>
          <w:highlight w:val="none"/>
        </w:rPr>
        <w:t xml:space="preserve">32 </w:t>
      </w:r>
      <w:r>
        <w:rPr>
          <w:rFonts w:hint="eastAsia"/>
          <w:color w:val="auto"/>
          <w:highlight w:val="none"/>
        </w:rPr>
        <w:t>合同授予标准</w:t>
      </w:r>
      <w:r>
        <w:rPr>
          <w:color w:val="auto"/>
          <w:highlight w:val="none"/>
        </w:rPr>
        <w:tab/>
      </w:r>
      <w:r>
        <w:rPr>
          <w:color w:val="auto"/>
          <w:highlight w:val="none"/>
        </w:rPr>
        <w:fldChar w:fldCharType="begin"/>
      </w:r>
      <w:r>
        <w:rPr>
          <w:color w:val="auto"/>
          <w:highlight w:val="none"/>
        </w:rPr>
        <w:instrText xml:space="preserve"> PAGEREF _Toc22446 \h </w:instrText>
      </w:r>
      <w:r>
        <w:rPr>
          <w:color w:val="auto"/>
          <w:highlight w:val="none"/>
        </w:rPr>
        <w:fldChar w:fldCharType="separate"/>
      </w:r>
      <w:r>
        <w:rPr>
          <w:color w:val="auto"/>
          <w:highlight w:val="none"/>
        </w:rPr>
        <w:t>34</w:t>
      </w:r>
      <w:r>
        <w:rPr>
          <w:color w:val="auto"/>
          <w:highlight w:val="none"/>
        </w:rPr>
        <w:fldChar w:fldCharType="end"/>
      </w:r>
      <w:r>
        <w:rPr>
          <w:bCs/>
          <w:caps/>
          <w:color w:val="auto"/>
          <w:szCs w:val="21"/>
          <w:highlight w:val="none"/>
        </w:rPr>
        <w:fldChar w:fldCharType="end"/>
      </w:r>
    </w:p>
    <w:p>
      <w:pPr>
        <w:pStyle w:val="25"/>
        <w:tabs>
          <w:tab w:val="right" w:leader="dot" w:pos="9070"/>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_Toc12979 </w:instrText>
      </w:r>
      <w:r>
        <w:rPr>
          <w:bCs/>
          <w:caps/>
          <w:color w:val="auto"/>
          <w:szCs w:val="21"/>
          <w:highlight w:val="none"/>
        </w:rPr>
        <w:fldChar w:fldCharType="separate"/>
      </w:r>
      <w:r>
        <w:rPr>
          <w:rFonts w:hint="default"/>
          <w:color w:val="auto"/>
          <w:highlight w:val="none"/>
        </w:rPr>
        <w:t xml:space="preserve">33 </w:t>
      </w:r>
      <w:r>
        <w:rPr>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_Toc12979 \h </w:instrText>
      </w:r>
      <w:r>
        <w:rPr>
          <w:color w:val="auto"/>
          <w:highlight w:val="none"/>
        </w:rPr>
        <w:fldChar w:fldCharType="separate"/>
      </w:r>
      <w:r>
        <w:rPr>
          <w:color w:val="auto"/>
          <w:highlight w:val="none"/>
        </w:rPr>
        <w:t>34</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_Toc10775 </w:instrText>
      </w:r>
      <w:r>
        <w:rPr>
          <w:bCs/>
          <w:caps/>
          <w:color w:val="auto"/>
          <w:szCs w:val="21"/>
          <w:highlight w:val="none"/>
        </w:rPr>
        <w:fldChar w:fldCharType="separate"/>
      </w:r>
      <w:r>
        <w:rPr>
          <w:color w:val="auto"/>
          <w:highlight w:val="none"/>
        </w:rPr>
        <w:t>G</w:t>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_Toc10775 \h </w:instrText>
      </w:r>
      <w:r>
        <w:rPr>
          <w:color w:val="auto"/>
          <w:highlight w:val="none"/>
        </w:rPr>
        <w:fldChar w:fldCharType="separate"/>
      </w:r>
      <w:r>
        <w:rPr>
          <w:color w:val="auto"/>
          <w:highlight w:val="none"/>
        </w:rPr>
        <w:t>35</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_Toc28580 </w:instrText>
      </w:r>
      <w:r>
        <w:rPr>
          <w:bCs/>
          <w:caps/>
          <w:color w:val="auto"/>
          <w:szCs w:val="21"/>
          <w:highlight w:val="none"/>
        </w:rPr>
        <w:fldChar w:fldCharType="separate"/>
      </w:r>
      <w:r>
        <w:rPr>
          <w:rFonts w:hint="eastAsia"/>
          <w:color w:val="auto"/>
          <w:highlight w:val="none"/>
        </w:rPr>
        <w:t>H、评标细则</w:t>
      </w:r>
      <w:r>
        <w:rPr>
          <w:color w:val="auto"/>
          <w:highlight w:val="none"/>
        </w:rPr>
        <w:tab/>
      </w:r>
      <w:r>
        <w:rPr>
          <w:color w:val="auto"/>
          <w:highlight w:val="none"/>
        </w:rPr>
        <w:fldChar w:fldCharType="begin"/>
      </w:r>
      <w:r>
        <w:rPr>
          <w:color w:val="auto"/>
          <w:highlight w:val="none"/>
        </w:rPr>
        <w:instrText xml:space="preserve"> PAGEREF _Toc28580 \h </w:instrText>
      </w:r>
      <w:r>
        <w:rPr>
          <w:color w:val="auto"/>
          <w:highlight w:val="none"/>
        </w:rPr>
        <w:fldChar w:fldCharType="separate"/>
      </w:r>
      <w:r>
        <w:rPr>
          <w:color w:val="auto"/>
          <w:highlight w:val="none"/>
        </w:rPr>
        <w:t>37</w:t>
      </w:r>
      <w:r>
        <w:rPr>
          <w:color w:val="auto"/>
          <w:highlight w:val="none"/>
        </w:rPr>
        <w:fldChar w:fldCharType="end"/>
      </w:r>
      <w:r>
        <w:rPr>
          <w:bCs/>
          <w:caps/>
          <w:color w:val="auto"/>
          <w:szCs w:val="21"/>
          <w:highlight w:val="none"/>
        </w:rPr>
        <w:fldChar w:fldCharType="end"/>
      </w:r>
    </w:p>
    <w:p>
      <w:pPr>
        <w:pStyle w:val="33"/>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_Toc16640 </w:instrText>
      </w:r>
      <w:r>
        <w:rPr>
          <w:bCs/>
          <w:caps/>
          <w:color w:val="auto"/>
          <w:szCs w:val="21"/>
          <w:highlight w:val="none"/>
        </w:rPr>
        <w:fldChar w:fldCharType="separate"/>
      </w:r>
      <w:r>
        <w:rPr>
          <w:rFonts w:hint="eastAsia"/>
          <w:color w:val="auto"/>
          <w:highlight w:val="none"/>
        </w:rPr>
        <w:t>第四部分  采购项目合同（参考范本）</w:t>
      </w:r>
      <w:r>
        <w:rPr>
          <w:color w:val="auto"/>
          <w:highlight w:val="none"/>
        </w:rPr>
        <w:tab/>
      </w:r>
      <w:r>
        <w:rPr>
          <w:color w:val="auto"/>
          <w:highlight w:val="none"/>
        </w:rPr>
        <w:fldChar w:fldCharType="begin"/>
      </w:r>
      <w:r>
        <w:rPr>
          <w:color w:val="auto"/>
          <w:highlight w:val="none"/>
        </w:rPr>
        <w:instrText xml:space="preserve"> PAGEREF _Toc16640 \h </w:instrText>
      </w:r>
      <w:r>
        <w:rPr>
          <w:color w:val="auto"/>
          <w:highlight w:val="none"/>
        </w:rPr>
        <w:fldChar w:fldCharType="separate"/>
      </w:r>
      <w:r>
        <w:rPr>
          <w:color w:val="auto"/>
          <w:highlight w:val="none"/>
        </w:rPr>
        <w:t>40</w:t>
      </w:r>
      <w:r>
        <w:rPr>
          <w:color w:val="auto"/>
          <w:highlight w:val="none"/>
        </w:rPr>
        <w:fldChar w:fldCharType="end"/>
      </w:r>
      <w:r>
        <w:rPr>
          <w:bCs/>
          <w:caps/>
          <w:color w:val="auto"/>
          <w:szCs w:val="21"/>
          <w:highlight w:val="none"/>
        </w:rPr>
        <w:fldChar w:fldCharType="end"/>
      </w:r>
    </w:p>
    <w:p>
      <w:pPr>
        <w:pStyle w:val="33"/>
        <w:tabs>
          <w:tab w:val="right" w:leader="dot" w:pos="9070"/>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_Toc20193 </w:instrText>
      </w:r>
      <w:r>
        <w:rPr>
          <w:bCs/>
          <w:caps/>
          <w:color w:val="auto"/>
          <w:szCs w:val="21"/>
          <w:highlight w:val="none"/>
        </w:rPr>
        <w:fldChar w:fldCharType="separate"/>
      </w:r>
      <w:r>
        <w:rPr>
          <w:rFonts w:hint="eastAsia"/>
          <w:color w:val="auto"/>
          <w:highlight w:val="none"/>
        </w:rPr>
        <w:t xml:space="preserve">第五部分 </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_Toc20193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_Toc32529 </w:instrText>
      </w:r>
      <w:r>
        <w:rPr>
          <w:bCs/>
          <w:caps/>
          <w:color w:val="auto"/>
          <w:szCs w:val="21"/>
          <w:highlight w:val="none"/>
        </w:rPr>
        <w:fldChar w:fldCharType="separate"/>
      </w:r>
      <w:r>
        <w:rPr>
          <w:rFonts w:hint="eastAsia"/>
          <w:color w:val="auto"/>
          <w:highlight w:val="none"/>
        </w:rPr>
        <w:t>资格审查封面格式</w:t>
      </w:r>
      <w:r>
        <w:rPr>
          <w:color w:val="auto"/>
          <w:highlight w:val="none"/>
        </w:rPr>
        <w:tab/>
      </w:r>
      <w:r>
        <w:rPr>
          <w:color w:val="auto"/>
          <w:highlight w:val="none"/>
        </w:rPr>
        <w:fldChar w:fldCharType="begin"/>
      </w:r>
      <w:r>
        <w:rPr>
          <w:color w:val="auto"/>
          <w:highlight w:val="none"/>
        </w:rPr>
        <w:instrText xml:space="preserve"> PAGEREF _Toc32529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_Toc502 </w:instrText>
      </w:r>
      <w:r>
        <w:rPr>
          <w:bCs/>
          <w:caps/>
          <w:color w:val="auto"/>
          <w:szCs w:val="21"/>
          <w:highlight w:val="none"/>
        </w:rPr>
        <w:fldChar w:fldCharType="separate"/>
      </w:r>
      <w:r>
        <w:rPr>
          <w:rFonts w:hint="default"/>
          <w:color w:val="auto"/>
          <w:highlight w:val="none"/>
        </w:rPr>
        <w:t xml:space="preserve">第一章 </w:t>
      </w:r>
      <w:r>
        <w:rPr>
          <w:rFonts w:hint="eastAsia"/>
          <w:color w:val="auto"/>
          <w:highlight w:val="none"/>
        </w:rPr>
        <w:t>自查表</w:t>
      </w:r>
      <w:r>
        <w:rPr>
          <w:color w:val="auto"/>
          <w:highlight w:val="none"/>
        </w:rPr>
        <w:tab/>
      </w:r>
      <w:r>
        <w:rPr>
          <w:color w:val="auto"/>
          <w:highlight w:val="none"/>
        </w:rPr>
        <w:fldChar w:fldCharType="begin"/>
      </w:r>
      <w:r>
        <w:rPr>
          <w:color w:val="auto"/>
          <w:highlight w:val="none"/>
        </w:rPr>
        <w:instrText xml:space="preserve"> PAGEREF _Toc502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_Toc7192 </w:instrText>
      </w:r>
      <w:r>
        <w:rPr>
          <w:bCs/>
          <w:caps/>
          <w:color w:val="auto"/>
          <w:szCs w:val="21"/>
          <w:highlight w:val="none"/>
        </w:rPr>
        <w:fldChar w:fldCharType="separate"/>
      </w:r>
      <w:r>
        <w:rPr>
          <w:rFonts w:hint="eastAsia" w:ascii="宋体"/>
          <w:bCs w:val="0"/>
          <w:color w:val="auto"/>
          <w:szCs w:val="21"/>
          <w:highlight w:val="none"/>
        </w:rPr>
        <w:t>资格性自查表</w:t>
      </w:r>
      <w:r>
        <w:rPr>
          <w:color w:val="auto"/>
          <w:highlight w:val="none"/>
        </w:rPr>
        <w:tab/>
      </w:r>
      <w:r>
        <w:rPr>
          <w:color w:val="auto"/>
          <w:highlight w:val="none"/>
        </w:rPr>
        <w:fldChar w:fldCharType="begin"/>
      </w:r>
      <w:r>
        <w:rPr>
          <w:color w:val="auto"/>
          <w:highlight w:val="none"/>
        </w:rPr>
        <w:instrText xml:space="preserve"> PAGEREF _Toc7192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_Toc3507 </w:instrText>
      </w:r>
      <w:r>
        <w:rPr>
          <w:bCs/>
          <w:caps/>
          <w:color w:val="auto"/>
          <w:szCs w:val="21"/>
          <w:highlight w:val="none"/>
        </w:rPr>
        <w:fldChar w:fldCharType="separate"/>
      </w:r>
      <w:r>
        <w:rPr>
          <w:rFonts w:hint="eastAsia"/>
          <w:color w:val="auto"/>
          <w:highlight w:val="none"/>
        </w:rPr>
        <w:t>（一）资格审查文件要求提交的有效证明文件</w:t>
      </w:r>
      <w:r>
        <w:rPr>
          <w:color w:val="auto"/>
          <w:highlight w:val="none"/>
        </w:rPr>
        <w:tab/>
      </w:r>
      <w:r>
        <w:rPr>
          <w:color w:val="auto"/>
          <w:highlight w:val="none"/>
        </w:rPr>
        <w:fldChar w:fldCharType="begin"/>
      </w:r>
      <w:r>
        <w:rPr>
          <w:color w:val="auto"/>
          <w:highlight w:val="none"/>
        </w:rPr>
        <w:instrText xml:space="preserve"> PAGEREF _Toc3507 \h </w:instrText>
      </w:r>
      <w:r>
        <w:rPr>
          <w:color w:val="auto"/>
          <w:highlight w:val="none"/>
        </w:rPr>
        <w:fldChar w:fldCharType="separate"/>
      </w:r>
      <w:r>
        <w:rPr>
          <w:color w:val="auto"/>
          <w:highlight w:val="none"/>
        </w:rPr>
        <w:t>47</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_Toc16269 </w:instrText>
      </w:r>
      <w:r>
        <w:rPr>
          <w:bCs/>
          <w:caps/>
          <w:color w:val="auto"/>
          <w:szCs w:val="21"/>
          <w:highlight w:val="none"/>
        </w:rPr>
        <w:fldChar w:fldCharType="separate"/>
      </w:r>
      <w:r>
        <w:rPr>
          <w:rFonts w:hint="eastAsia" w:hAnsi="黑体"/>
          <w:color w:val="auto"/>
          <w:szCs w:val="21"/>
          <w:highlight w:val="none"/>
        </w:rPr>
        <w:t>（二）无重大违法记录声明函</w:t>
      </w:r>
      <w:r>
        <w:rPr>
          <w:color w:val="auto"/>
          <w:highlight w:val="none"/>
        </w:rPr>
        <w:tab/>
      </w:r>
      <w:r>
        <w:rPr>
          <w:color w:val="auto"/>
          <w:highlight w:val="none"/>
        </w:rPr>
        <w:fldChar w:fldCharType="begin"/>
      </w:r>
      <w:r>
        <w:rPr>
          <w:color w:val="auto"/>
          <w:highlight w:val="none"/>
        </w:rPr>
        <w:instrText xml:space="preserve"> PAGEREF _Toc16269 \h </w:instrText>
      </w:r>
      <w:r>
        <w:rPr>
          <w:color w:val="auto"/>
          <w:highlight w:val="none"/>
        </w:rPr>
        <w:fldChar w:fldCharType="separate"/>
      </w:r>
      <w:r>
        <w:rPr>
          <w:color w:val="auto"/>
          <w:highlight w:val="none"/>
        </w:rPr>
        <w:t>48</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_Toc497 </w:instrText>
      </w:r>
      <w:r>
        <w:rPr>
          <w:bCs/>
          <w:caps/>
          <w:color w:val="auto"/>
          <w:szCs w:val="21"/>
          <w:highlight w:val="none"/>
        </w:rPr>
        <w:fldChar w:fldCharType="separate"/>
      </w:r>
      <w:r>
        <w:rPr>
          <w:rFonts w:hint="default"/>
          <w:color w:val="auto"/>
          <w:highlight w:val="none"/>
        </w:rPr>
        <w:t xml:space="preserve">第二章 </w:t>
      </w:r>
      <w:r>
        <w:rPr>
          <w:rFonts w:hint="eastAsia"/>
          <w:color w:val="auto"/>
          <w:highlight w:val="none"/>
        </w:rPr>
        <w:t>投标文件商务及技术部分</w:t>
      </w:r>
      <w:r>
        <w:rPr>
          <w:color w:val="auto"/>
          <w:highlight w:val="none"/>
        </w:rPr>
        <w:tab/>
      </w:r>
      <w:r>
        <w:rPr>
          <w:color w:val="auto"/>
          <w:highlight w:val="none"/>
        </w:rPr>
        <w:fldChar w:fldCharType="begin"/>
      </w:r>
      <w:r>
        <w:rPr>
          <w:color w:val="auto"/>
          <w:highlight w:val="none"/>
        </w:rPr>
        <w:instrText xml:space="preserve"> PAGEREF _Toc497 \h </w:instrText>
      </w:r>
      <w:r>
        <w:rPr>
          <w:color w:val="auto"/>
          <w:highlight w:val="none"/>
        </w:rPr>
        <w:fldChar w:fldCharType="separate"/>
      </w:r>
      <w:r>
        <w:rPr>
          <w:color w:val="auto"/>
          <w:highlight w:val="none"/>
        </w:rPr>
        <w:t>49</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_Toc12065 </w:instrText>
      </w:r>
      <w:r>
        <w:rPr>
          <w:bCs/>
          <w:caps/>
          <w:color w:val="auto"/>
          <w:szCs w:val="21"/>
          <w:highlight w:val="none"/>
        </w:rPr>
        <w:fldChar w:fldCharType="separate"/>
      </w:r>
      <w:r>
        <w:rPr>
          <w:rFonts w:hint="eastAsia"/>
          <w:color w:val="auto"/>
          <w:highlight w:val="none"/>
        </w:rPr>
        <w:t>商务及技术封面格式</w:t>
      </w:r>
      <w:r>
        <w:rPr>
          <w:color w:val="auto"/>
          <w:highlight w:val="none"/>
        </w:rPr>
        <w:tab/>
      </w:r>
      <w:r>
        <w:rPr>
          <w:color w:val="auto"/>
          <w:highlight w:val="none"/>
        </w:rPr>
        <w:fldChar w:fldCharType="begin"/>
      </w:r>
      <w:r>
        <w:rPr>
          <w:color w:val="auto"/>
          <w:highlight w:val="none"/>
        </w:rPr>
        <w:instrText xml:space="preserve"> PAGEREF _Toc12065 \h </w:instrText>
      </w:r>
      <w:r>
        <w:rPr>
          <w:color w:val="auto"/>
          <w:highlight w:val="none"/>
        </w:rPr>
        <w:fldChar w:fldCharType="separate"/>
      </w:r>
      <w:r>
        <w:rPr>
          <w:color w:val="auto"/>
          <w:highlight w:val="none"/>
        </w:rPr>
        <w:t>49</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_Toc5611 </w:instrText>
      </w:r>
      <w:r>
        <w:rPr>
          <w:bCs/>
          <w:caps/>
          <w:color w:val="auto"/>
          <w:szCs w:val="21"/>
          <w:highlight w:val="none"/>
        </w:rPr>
        <w:fldChar w:fldCharType="separate"/>
      </w:r>
      <w:r>
        <w:rPr>
          <w:rFonts w:hint="eastAsia" w:ascii="宋体"/>
          <w:bCs w:val="0"/>
          <w:color w:val="auto"/>
          <w:szCs w:val="21"/>
          <w:highlight w:val="none"/>
        </w:rPr>
        <w:t>符合性自查表</w:t>
      </w:r>
      <w:r>
        <w:rPr>
          <w:color w:val="auto"/>
          <w:highlight w:val="none"/>
        </w:rPr>
        <w:tab/>
      </w:r>
      <w:r>
        <w:rPr>
          <w:color w:val="auto"/>
          <w:highlight w:val="none"/>
        </w:rPr>
        <w:fldChar w:fldCharType="begin"/>
      </w:r>
      <w:r>
        <w:rPr>
          <w:color w:val="auto"/>
          <w:highlight w:val="none"/>
        </w:rPr>
        <w:instrText xml:space="preserve"> PAGEREF _Toc5611 \h </w:instrText>
      </w:r>
      <w:r>
        <w:rPr>
          <w:color w:val="auto"/>
          <w:highlight w:val="none"/>
        </w:rPr>
        <w:fldChar w:fldCharType="separate"/>
      </w:r>
      <w:r>
        <w:rPr>
          <w:color w:val="auto"/>
          <w:highlight w:val="none"/>
        </w:rPr>
        <w:t>51</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_Toc29739 </w:instrText>
      </w:r>
      <w:r>
        <w:rPr>
          <w:bCs/>
          <w:caps/>
          <w:color w:val="auto"/>
          <w:szCs w:val="21"/>
          <w:highlight w:val="none"/>
        </w:rPr>
        <w:fldChar w:fldCharType="separate"/>
      </w:r>
      <w:r>
        <w:rPr>
          <w:rFonts w:hint="eastAsia" w:ascii="宋体"/>
          <w:color w:val="auto"/>
          <w:szCs w:val="21"/>
          <w:highlight w:val="none"/>
        </w:rPr>
        <w:t>评审项目投标资料表</w:t>
      </w:r>
      <w:r>
        <w:rPr>
          <w:color w:val="auto"/>
          <w:highlight w:val="none"/>
        </w:rPr>
        <w:tab/>
      </w:r>
      <w:r>
        <w:rPr>
          <w:color w:val="auto"/>
          <w:highlight w:val="none"/>
        </w:rPr>
        <w:fldChar w:fldCharType="begin"/>
      </w:r>
      <w:r>
        <w:rPr>
          <w:color w:val="auto"/>
          <w:highlight w:val="none"/>
        </w:rPr>
        <w:instrText xml:space="preserve"> PAGEREF _Toc29739 \h </w:instrText>
      </w:r>
      <w:r>
        <w:rPr>
          <w:color w:val="auto"/>
          <w:highlight w:val="none"/>
        </w:rPr>
        <w:fldChar w:fldCharType="separate"/>
      </w:r>
      <w:r>
        <w:rPr>
          <w:color w:val="auto"/>
          <w:highlight w:val="none"/>
        </w:rPr>
        <w:t>52</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_Toc18564 </w:instrText>
      </w:r>
      <w:r>
        <w:rPr>
          <w:bCs/>
          <w:caps/>
          <w:color w:val="auto"/>
          <w:szCs w:val="21"/>
          <w:highlight w:val="none"/>
        </w:rPr>
        <w:fldChar w:fldCharType="separate"/>
      </w:r>
      <w:r>
        <w:rPr>
          <w:rFonts w:hint="eastAsia"/>
          <w:color w:val="auto"/>
          <w:highlight w:val="none"/>
        </w:rPr>
        <w:t>（一）法定代表人（负责人）证明书</w:t>
      </w:r>
      <w:r>
        <w:rPr>
          <w:color w:val="auto"/>
          <w:highlight w:val="none"/>
        </w:rPr>
        <w:tab/>
      </w:r>
      <w:r>
        <w:rPr>
          <w:color w:val="auto"/>
          <w:highlight w:val="none"/>
        </w:rPr>
        <w:fldChar w:fldCharType="begin"/>
      </w:r>
      <w:r>
        <w:rPr>
          <w:color w:val="auto"/>
          <w:highlight w:val="none"/>
        </w:rPr>
        <w:instrText xml:space="preserve"> PAGEREF _Toc18564 \h </w:instrText>
      </w:r>
      <w:r>
        <w:rPr>
          <w:color w:val="auto"/>
          <w:highlight w:val="none"/>
        </w:rPr>
        <w:fldChar w:fldCharType="separate"/>
      </w:r>
      <w:r>
        <w:rPr>
          <w:color w:val="auto"/>
          <w:highlight w:val="none"/>
        </w:rPr>
        <w:t>53</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_Toc18782 </w:instrText>
      </w:r>
      <w:r>
        <w:rPr>
          <w:bCs/>
          <w:caps/>
          <w:color w:val="auto"/>
          <w:szCs w:val="21"/>
          <w:highlight w:val="none"/>
        </w:rPr>
        <w:fldChar w:fldCharType="separate"/>
      </w:r>
      <w:r>
        <w:rPr>
          <w:rFonts w:hint="eastAsia"/>
          <w:color w:val="auto"/>
          <w:highlight w:val="none"/>
        </w:rPr>
        <w:t>（二）法定代表人（负责人）授权书</w:t>
      </w:r>
      <w:r>
        <w:rPr>
          <w:color w:val="auto"/>
          <w:highlight w:val="none"/>
        </w:rPr>
        <w:tab/>
      </w:r>
      <w:r>
        <w:rPr>
          <w:color w:val="auto"/>
          <w:highlight w:val="none"/>
        </w:rPr>
        <w:fldChar w:fldCharType="begin"/>
      </w:r>
      <w:r>
        <w:rPr>
          <w:color w:val="auto"/>
          <w:highlight w:val="none"/>
        </w:rPr>
        <w:instrText xml:space="preserve"> PAGEREF _Toc18782 \h </w:instrText>
      </w:r>
      <w:r>
        <w:rPr>
          <w:color w:val="auto"/>
          <w:highlight w:val="none"/>
        </w:rPr>
        <w:fldChar w:fldCharType="separate"/>
      </w:r>
      <w:r>
        <w:rPr>
          <w:color w:val="auto"/>
          <w:highlight w:val="none"/>
        </w:rPr>
        <w:t>54</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_Toc11154 </w:instrText>
      </w:r>
      <w:r>
        <w:rPr>
          <w:bCs/>
          <w:caps/>
          <w:color w:val="auto"/>
          <w:szCs w:val="21"/>
          <w:highlight w:val="none"/>
        </w:rPr>
        <w:fldChar w:fldCharType="separate"/>
      </w:r>
      <w:r>
        <w:rPr>
          <w:rFonts w:hint="eastAsia"/>
          <w:color w:val="auto"/>
          <w:highlight w:val="none"/>
        </w:rPr>
        <w:t>附件一：投标函</w:t>
      </w:r>
      <w:r>
        <w:rPr>
          <w:color w:val="auto"/>
          <w:highlight w:val="none"/>
        </w:rPr>
        <w:tab/>
      </w:r>
      <w:r>
        <w:rPr>
          <w:color w:val="auto"/>
          <w:highlight w:val="none"/>
        </w:rPr>
        <w:fldChar w:fldCharType="begin"/>
      </w:r>
      <w:r>
        <w:rPr>
          <w:color w:val="auto"/>
          <w:highlight w:val="none"/>
        </w:rPr>
        <w:instrText xml:space="preserve"> PAGEREF _Toc11154 \h </w:instrText>
      </w:r>
      <w:r>
        <w:rPr>
          <w:color w:val="auto"/>
          <w:highlight w:val="none"/>
        </w:rPr>
        <w:fldChar w:fldCharType="separate"/>
      </w:r>
      <w:r>
        <w:rPr>
          <w:color w:val="auto"/>
          <w:highlight w:val="none"/>
        </w:rPr>
        <w:t>55</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_Toc31584 </w:instrText>
      </w:r>
      <w:r>
        <w:rPr>
          <w:bCs/>
          <w:caps/>
          <w:color w:val="auto"/>
          <w:szCs w:val="21"/>
          <w:highlight w:val="none"/>
        </w:rPr>
        <w:fldChar w:fldCharType="separate"/>
      </w:r>
      <w:r>
        <w:rPr>
          <w:rFonts w:hint="eastAsia"/>
          <w:color w:val="auto"/>
          <w:highlight w:val="none"/>
        </w:rPr>
        <w:t>附件二：开标一览表</w:t>
      </w:r>
      <w:r>
        <w:rPr>
          <w:color w:val="auto"/>
          <w:highlight w:val="none"/>
        </w:rPr>
        <w:tab/>
      </w:r>
      <w:r>
        <w:rPr>
          <w:color w:val="auto"/>
          <w:highlight w:val="none"/>
        </w:rPr>
        <w:fldChar w:fldCharType="begin"/>
      </w:r>
      <w:r>
        <w:rPr>
          <w:color w:val="auto"/>
          <w:highlight w:val="none"/>
        </w:rPr>
        <w:instrText xml:space="preserve"> PAGEREF _Toc31584 \h </w:instrText>
      </w:r>
      <w:r>
        <w:rPr>
          <w:color w:val="auto"/>
          <w:highlight w:val="none"/>
        </w:rPr>
        <w:fldChar w:fldCharType="separate"/>
      </w:r>
      <w:r>
        <w:rPr>
          <w:color w:val="auto"/>
          <w:highlight w:val="none"/>
        </w:rPr>
        <w:t>56</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_Toc31397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r>
        <w:rPr>
          <w:color w:val="auto"/>
          <w:highlight w:val="none"/>
        </w:rPr>
        <w:tab/>
      </w:r>
      <w:r>
        <w:rPr>
          <w:color w:val="auto"/>
          <w:highlight w:val="none"/>
        </w:rPr>
        <w:fldChar w:fldCharType="begin"/>
      </w:r>
      <w:r>
        <w:rPr>
          <w:color w:val="auto"/>
          <w:highlight w:val="none"/>
        </w:rPr>
        <w:instrText xml:space="preserve"> PAGEREF _Toc31397 \h </w:instrText>
      </w:r>
      <w:r>
        <w:rPr>
          <w:color w:val="auto"/>
          <w:highlight w:val="none"/>
        </w:rPr>
        <w:fldChar w:fldCharType="separate"/>
      </w:r>
      <w:r>
        <w:rPr>
          <w:color w:val="auto"/>
          <w:highlight w:val="none"/>
        </w:rPr>
        <w:t>57</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_Toc31487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r>
        <w:rPr>
          <w:color w:val="auto"/>
          <w:highlight w:val="none"/>
        </w:rPr>
        <w:tab/>
      </w:r>
      <w:r>
        <w:rPr>
          <w:color w:val="auto"/>
          <w:highlight w:val="none"/>
        </w:rPr>
        <w:fldChar w:fldCharType="begin"/>
      </w:r>
      <w:r>
        <w:rPr>
          <w:color w:val="auto"/>
          <w:highlight w:val="none"/>
        </w:rPr>
        <w:instrText xml:space="preserve"> PAGEREF _Toc31487 \h </w:instrText>
      </w:r>
      <w:r>
        <w:rPr>
          <w:color w:val="auto"/>
          <w:highlight w:val="none"/>
        </w:rPr>
        <w:fldChar w:fldCharType="separate"/>
      </w:r>
      <w:r>
        <w:rPr>
          <w:color w:val="auto"/>
          <w:highlight w:val="none"/>
        </w:rPr>
        <w:t>58</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_Toc24802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r>
        <w:rPr>
          <w:color w:val="auto"/>
          <w:highlight w:val="none"/>
        </w:rPr>
        <w:tab/>
      </w:r>
      <w:r>
        <w:rPr>
          <w:color w:val="auto"/>
          <w:highlight w:val="none"/>
        </w:rPr>
        <w:fldChar w:fldCharType="begin"/>
      </w:r>
      <w:r>
        <w:rPr>
          <w:color w:val="auto"/>
          <w:highlight w:val="none"/>
        </w:rPr>
        <w:instrText xml:space="preserve"> PAGEREF _Toc24802 \h </w:instrText>
      </w:r>
      <w:r>
        <w:rPr>
          <w:color w:val="auto"/>
          <w:highlight w:val="none"/>
        </w:rPr>
        <w:fldChar w:fldCharType="separate"/>
      </w:r>
      <w:r>
        <w:rPr>
          <w:color w:val="auto"/>
          <w:highlight w:val="none"/>
        </w:rPr>
        <w:t>59</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_Toc5649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r>
        <w:rPr>
          <w:color w:val="auto"/>
          <w:highlight w:val="none"/>
        </w:rPr>
        <w:tab/>
      </w:r>
      <w:r>
        <w:rPr>
          <w:color w:val="auto"/>
          <w:highlight w:val="none"/>
        </w:rPr>
        <w:fldChar w:fldCharType="begin"/>
      </w:r>
      <w:r>
        <w:rPr>
          <w:color w:val="auto"/>
          <w:highlight w:val="none"/>
        </w:rPr>
        <w:instrText xml:space="preserve"> PAGEREF _Toc5649 \h </w:instrText>
      </w:r>
      <w:r>
        <w:rPr>
          <w:color w:val="auto"/>
          <w:highlight w:val="none"/>
        </w:rPr>
        <w:fldChar w:fldCharType="separate"/>
      </w:r>
      <w:r>
        <w:rPr>
          <w:color w:val="auto"/>
          <w:highlight w:val="none"/>
        </w:rPr>
        <w:t>60</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_Toc12016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r>
        <w:rPr>
          <w:color w:val="auto"/>
          <w:highlight w:val="none"/>
        </w:rPr>
        <w:tab/>
      </w:r>
      <w:r>
        <w:rPr>
          <w:color w:val="auto"/>
          <w:highlight w:val="none"/>
        </w:rPr>
        <w:fldChar w:fldCharType="begin"/>
      </w:r>
      <w:r>
        <w:rPr>
          <w:color w:val="auto"/>
          <w:highlight w:val="none"/>
        </w:rPr>
        <w:instrText xml:space="preserve"> PAGEREF _Toc12016 \h </w:instrText>
      </w:r>
      <w:r>
        <w:rPr>
          <w:color w:val="auto"/>
          <w:highlight w:val="none"/>
        </w:rPr>
        <w:fldChar w:fldCharType="separate"/>
      </w:r>
      <w:r>
        <w:rPr>
          <w:color w:val="auto"/>
          <w:highlight w:val="none"/>
        </w:rPr>
        <w:t>61</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_Toc13374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r>
        <w:rPr>
          <w:color w:val="auto"/>
          <w:highlight w:val="none"/>
        </w:rPr>
        <w:tab/>
      </w:r>
      <w:r>
        <w:rPr>
          <w:color w:val="auto"/>
          <w:highlight w:val="none"/>
        </w:rPr>
        <w:fldChar w:fldCharType="begin"/>
      </w:r>
      <w:r>
        <w:rPr>
          <w:color w:val="auto"/>
          <w:highlight w:val="none"/>
        </w:rPr>
        <w:instrText xml:space="preserve"> PAGEREF _Toc13374 \h </w:instrText>
      </w:r>
      <w:r>
        <w:rPr>
          <w:color w:val="auto"/>
          <w:highlight w:val="none"/>
        </w:rPr>
        <w:fldChar w:fldCharType="separate"/>
      </w:r>
      <w:r>
        <w:rPr>
          <w:color w:val="auto"/>
          <w:highlight w:val="none"/>
        </w:rPr>
        <w:t>62</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_Toc2309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九</w:t>
      </w:r>
      <w:r>
        <w:rPr>
          <w:rFonts w:hint="eastAsia"/>
          <w:color w:val="auto"/>
          <w:highlight w:val="none"/>
        </w:rPr>
        <w:t>：投标人提交的其它商务和技术资料</w:t>
      </w:r>
      <w:r>
        <w:rPr>
          <w:color w:val="auto"/>
          <w:highlight w:val="none"/>
        </w:rPr>
        <w:tab/>
      </w:r>
      <w:r>
        <w:rPr>
          <w:color w:val="auto"/>
          <w:highlight w:val="none"/>
        </w:rPr>
        <w:fldChar w:fldCharType="begin"/>
      </w:r>
      <w:r>
        <w:rPr>
          <w:color w:val="auto"/>
          <w:highlight w:val="none"/>
        </w:rPr>
        <w:instrText xml:space="preserve"> PAGEREF _Toc2309 \h </w:instrText>
      </w:r>
      <w:r>
        <w:rPr>
          <w:color w:val="auto"/>
          <w:highlight w:val="none"/>
        </w:rPr>
        <w:fldChar w:fldCharType="separate"/>
      </w:r>
      <w:r>
        <w:rPr>
          <w:color w:val="auto"/>
          <w:highlight w:val="none"/>
        </w:rPr>
        <w:t>63</w:t>
      </w:r>
      <w:r>
        <w:rPr>
          <w:color w:val="auto"/>
          <w:highlight w:val="none"/>
        </w:rPr>
        <w:fldChar w:fldCharType="end"/>
      </w:r>
      <w:r>
        <w:rPr>
          <w:bCs/>
          <w:caps/>
          <w:color w:val="auto"/>
          <w:szCs w:val="21"/>
          <w:highlight w:val="none"/>
        </w:rPr>
        <w:fldChar w:fldCharType="end"/>
      </w:r>
    </w:p>
    <w:p>
      <w:pPr>
        <w:pStyle w:val="40"/>
        <w:tabs>
          <w:tab w:val="right" w:leader="dot" w:pos="9070"/>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_Toc8012 </w:instrText>
      </w:r>
      <w:r>
        <w:rPr>
          <w:bCs/>
          <w:caps/>
          <w:color w:val="auto"/>
          <w:szCs w:val="21"/>
          <w:highlight w:val="none"/>
        </w:rPr>
        <w:fldChar w:fldCharType="separate"/>
      </w:r>
      <w:r>
        <w:rPr>
          <w:rFonts w:hint="eastAsia"/>
          <w:color w:val="auto"/>
          <w:highlight w:val="none"/>
        </w:rPr>
        <w:t>其 他 格 式</w:t>
      </w:r>
      <w:r>
        <w:rPr>
          <w:color w:val="auto"/>
          <w:highlight w:val="none"/>
        </w:rPr>
        <w:tab/>
      </w:r>
      <w:r>
        <w:rPr>
          <w:color w:val="auto"/>
          <w:highlight w:val="none"/>
        </w:rPr>
        <w:fldChar w:fldCharType="begin"/>
      </w:r>
      <w:r>
        <w:rPr>
          <w:color w:val="auto"/>
          <w:highlight w:val="none"/>
        </w:rPr>
        <w:instrText xml:space="preserve"> PAGEREF _Toc8012 \h </w:instrText>
      </w:r>
      <w:r>
        <w:rPr>
          <w:color w:val="auto"/>
          <w:highlight w:val="none"/>
        </w:rPr>
        <w:fldChar w:fldCharType="separate"/>
      </w:r>
      <w:r>
        <w:rPr>
          <w:color w:val="auto"/>
          <w:highlight w:val="none"/>
        </w:rPr>
        <w:t>64</w:t>
      </w:r>
      <w:r>
        <w:rPr>
          <w:color w:val="auto"/>
          <w:highlight w:val="none"/>
        </w:rPr>
        <w:fldChar w:fldCharType="end"/>
      </w:r>
      <w:r>
        <w:rPr>
          <w:bCs/>
          <w:caps/>
          <w:color w:val="auto"/>
          <w:szCs w:val="21"/>
          <w:highlight w:val="none"/>
        </w:rPr>
        <w:fldChar w:fldCharType="end"/>
      </w:r>
    </w:p>
    <w:p>
      <w:pPr>
        <w:rPr>
          <w:color w:val="auto"/>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auto"/>
          <w:szCs w:val="21"/>
          <w:highlight w:val="none"/>
        </w:rPr>
        <w:fldChar w:fldCharType="end"/>
      </w:r>
    </w:p>
    <w:bookmarkEnd w:id="0"/>
    <w:p>
      <w:pPr>
        <w:pStyle w:val="3"/>
        <w:pageBreakBefore w:val="0"/>
        <w:numPr>
          <w:ilvl w:val="0"/>
          <w:numId w:val="0"/>
        </w:numPr>
        <w:kinsoku/>
        <w:wordWrap/>
        <w:overflowPunct/>
        <w:topLinePunct w:val="0"/>
        <w:bidi w:val="0"/>
        <w:spacing w:beforeLines="0" w:line="420" w:lineRule="atLeast"/>
        <w:rPr>
          <w:color w:val="auto"/>
          <w:highlight w:val="none"/>
        </w:rPr>
      </w:pPr>
      <w:bookmarkStart w:id="1" w:name="_Toc350438702"/>
      <w:bookmarkStart w:id="2" w:name="_Toc333237612"/>
      <w:bookmarkStart w:id="3" w:name="_Toc340677031"/>
      <w:bookmarkStart w:id="4" w:name="_Toc333238571"/>
      <w:bookmarkStart w:id="5" w:name="_Toc14062"/>
      <w:bookmarkStart w:id="6" w:name="_Toc331683994"/>
      <w:bookmarkStart w:id="7" w:name="_Toc339020186"/>
      <w:bookmarkStart w:id="8" w:name="_Toc332206657"/>
      <w:bookmarkStart w:id="9" w:name="_Toc331512856"/>
      <w:bookmarkStart w:id="10" w:name="_Toc365967002"/>
      <w:bookmarkStart w:id="11" w:name="_Toc365985108"/>
      <w:bookmarkStart w:id="12" w:name="_Toc342296708"/>
      <w:bookmarkStart w:id="13" w:name="_Toc339362257"/>
      <w:bookmarkStart w:id="14" w:name="_Toc340507403"/>
      <w:bookmarkStart w:id="15" w:name="_Toc336681892"/>
      <w:bookmarkStart w:id="16" w:name="_Toc366072457"/>
      <w:bookmarkStart w:id="17" w:name="_Toc349127583"/>
      <w:bookmarkStart w:id="18" w:name="_Toc342060322"/>
      <w:bookmarkStart w:id="19" w:name="_Toc332270305"/>
      <w:bookmarkStart w:id="20" w:name="_Toc333237723"/>
      <w:bookmarkStart w:id="21" w:name="_Toc345513762"/>
      <w:bookmarkStart w:id="22" w:name="_Toc341348291"/>
      <w:bookmarkStart w:id="23" w:name="_Toc330459945"/>
      <w:bookmarkStart w:id="24" w:name="_Toc339019828"/>
      <w:bookmarkStart w:id="25" w:name="_Toc350756403"/>
      <w:bookmarkStart w:id="26" w:name="_Toc339020048"/>
      <w:bookmarkStart w:id="27" w:name="_Toc333935278"/>
      <w:bookmarkStart w:id="28" w:name="_Toc333935619"/>
      <w:bookmarkStart w:id="29" w:name="_Toc339441044"/>
      <w:bookmarkStart w:id="30" w:name="_Toc337632315"/>
      <w:bookmarkStart w:id="31" w:name="_Toc339019954"/>
      <w:bookmarkStart w:id="32" w:name="_Toc336681537"/>
      <w:bookmarkStart w:id="33" w:name="_Toc349143546"/>
      <w:bookmarkStart w:id="34" w:name="_Toc340672830"/>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auto"/>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阳江市江城马曹小学</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阳江市江城马曹小学食堂食品、糕点配送服务采购项目</w:t>
      </w:r>
      <w:r>
        <w:rPr>
          <w:rFonts w:hint="eastAsia" w:ascii="宋体" w:hAnsi="宋体"/>
          <w:bCs/>
          <w:color w:val="auto"/>
          <w:highlight w:val="none"/>
        </w:rPr>
        <w:t>进行公开招标 (项目编号:</w:t>
      </w:r>
      <w:r>
        <w:rPr>
          <w:rFonts w:ascii="宋体" w:hAnsi="宋体"/>
          <w:bCs/>
          <w:color w:val="auto"/>
          <w:highlight w:val="none"/>
        </w:rPr>
        <w:t xml:space="preserve"> </w:t>
      </w:r>
      <w:r>
        <w:rPr>
          <w:rFonts w:hint="eastAsia" w:ascii="宋体" w:hAnsi="宋体"/>
          <w:bCs/>
          <w:color w:val="auto"/>
          <w:highlight w:val="none"/>
          <w:lang w:eastAsia="zh-CN"/>
        </w:rPr>
        <w:t>YXCG-20231215</w:t>
      </w:r>
      <w:r>
        <w:rPr>
          <w:rFonts w:hint="eastAsia" w:ascii="宋体" w:hAnsi="宋体"/>
          <w:bCs/>
          <w:color w:val="auto"/>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阳江市江城马曹小学食堂食品、糕点配送服务采购项目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auto"/>
          <w:highlight w:val="none"/>
        </w:rPr>
      </w:pPr>
      <w:r>
        <w:rPr>
          <w:rFonts w:hint="eastAsia" w:ascii="宋体" w:hAnsi="宋体"/>
          <w:bCs/>
          <w:color w:val="auto"/>
          <w:highlight w:val="none"/>
        </w:rPr>
        <w:t xml:space="preserve">项目编号: </w:t>
      </w:r>
      <w:r>
        <w:rPr>
          <w:rFonts w:hint="eastAsia" w:ascii="宋体" w:hAnsi="宋体"/>
          <w:bCs/>
          <w:color w:val="auto"/>
          <w:highlight w:val="none"/>
          <w:lang w:eastAsia="zh-CN"/>
        </w:rPr>
        <w:t>YXCG-20231215</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采购预算金额</w:t>
      </w:r>
      <w:r>
        <w:rPr>
          <w:rFonts w:hint="eastAsia" w:ascii="宋体" w:hAnsi="宋体"/>
          <w:bCs/>
          <w:color w:val="auto"/>
          <w:highlight w:val="none"/>
        </w:rPr>
        <w:t>：</w:t>
      </w:r>
      <w:r>
        <w:rPr>
          <w:rFonts w:hint="eastAsia" w:ascii="宋体" w:hAnsi="宋体" w:eastAsia="宋体" w:cs="宋体"/>
          <w:b/>
          <w:bCs/>
          <w:color w:val="auto"/>
          <w:highlight w:val="none"/>
          <w:lang w:val="en-US" w:eastAsia="zh-CN"/>
        </w:rPr>
        <w:t>人民币</w:t>
      </w:r>
      <w:r>
        <w:rPr>
          <w:rFonts w:hint="eastAsia" w:ascii="宋体" w:hAnsi="宋体" w:cs="宋体"/>
          <w:b/>
          <w:bCs/>
          <w:color w:val="auto"/>
          <w:highlight w:val="none"/>
          <w:lang w:val="en-US" w:eastAsia="zh-CN"/>
        </w:rPr>
        <w:t>1160000.00</w:t>
      </w:r>
      <w:r>
        <w:rPr>
          <w:rFonts w:hint="eastAsia" w:ascii="宋体" w:hAnsi="宋体" w:eastAsia="宋体" w:cs="宋体"/>
          <w:b/>
          <w:bCs/>
          <w:color w:val="auto"/>
          <w:highlight w:val="none"/>
          <w:lang w:val="en-US" w:eastAsia="zh-CN"/>
        </w:rPr>
        <w:t>元。</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报价方式：</w:t>
      </w:r>
      <w:r>
        <w:rPr>
          <w:rFonts w:hint="eastAsia" w:ascii="宋体" w:hAnsi="宋体"/>
          <w:bCs/>
          <w:color w:val="auto"/>
          <w:highlight w:val="none"/>
        </w:rPr>
        <w:t>折扣率报价</w:t>
      </w:r>
      <w:r>
        <w:rPr>
          <w:rFonts w:hint="eastAsia" w:ascii="宋体" w:hAnsi="宋体"/>
          <w:bCs/>
          <w:color w:val="auto"/>
          <w:highlight w:val="none"/>
          <w:lang w:eastAsia="zh-CN"/>
        </w:rPr>
        <w:t>，投标折扣率报价应≤95%。</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auto"/>
          <w:highlight w:val="none"/>
        </w:rPr>
      </w:pPr>
      <w:r>
        <w:rPr>
          <w:rFonts w:hint="eastAsia" w:ascii="宋体" w:hAnsi="宋体"/>
          <w:bCs/>
          <w:color w:val="auto"/>
          <w:highlight w:val="none"/>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auto"/>
          <w:highlight w:val="none"/>
        </w:rPr>
      </w:pPr>
      <w:r>
        <w:rPr>
          <w:rFonts w:hint="eastAsia" w:ascii="宋体" w:hAnsi="宋体"/>
          <w:b/>
          <w:bCs/>
          <w:color w:val="auto"/>
          <w:szCs w:val="21"/>
          <w:highlight w:val="none"/>
          <w:lang w:eastAsia="zh-CN"/>
        </w:rPr>
        <w:t>服务期</w:t>
      </w:r>
      <w:r>
        <w:rPr>
          <w:rFonts w:hint="eastAsia" w:ascii="宋体" w:hAnsi="宋体"/>
          <w:b/>
          <w:bCs/>
          <w:color w:val="auto"/>
          <w:spacing w:val="-6"/>
          <w:szCs w:val="21"/>
          <w:highlight w:val="none"/>
        </w:rPr>
        <w:t>：</w:t>
      </w:r>
      <w:r>
        <w:rPr>
          <w:rFonts w:hint="eastAsia" w:ascii="宋体" w:hAnsi="宋体"/>
          <w:b w:val="0"/>
          <w:bCs w:val="0"/>
          <w:color w:val="auto"/>
          <w:spacing w:val="-6"/>
          <w:szCs w:val="21"/>
          <w:highlight w:val="none"/>
          <w:lang w:val="en-US" w:eastAsia="zh-CN"/>
        </w:rPr>
        <w:t>1年。</w:t>
      </w:r>
      <w:r>
        <w:rPr>
          <w:rFonts w:hint="eastAsia" w:ascii="宋体" w:hAnsi="宋体"/>
          <w:bCs/>
          <w:color w:val="auto"/>
          <w:highlight w:val="none"/>
        </w:rPr>
        <w:t>（</w:t>
      </w:r>
      <w:r>
        <w:rPr>
          <w:rFonts w:hint="eastAsia" w:ascii="宋体" w:hAnsi="宋体"/>
          <w:bCs/>
          <w:color w:val="auto"/>
          <w:highlight w:val="none"/>
          <w:lang w:val="en-US" w:eastAsia="zh-CN"/>
        </w:rPr>
        <w:t>少于</w:t>
      </w:r>
      <w:r>
        <w:rPr>
          <w:rFonts w:hint="eastAsia" w:ascii="宋体" w:hAnsi="宋体"/>
          <w:bCs/>
          <w:color w:val="auto"/>
          <w:highlight w:val="none"/>
        </w:rPr>
        <w:t>该</w:t>
      </w:r>
      <w:r>
        <w:rPr>
          <w:rFonts w:hint="eastAsia" w:ascii="宋体" w:hAnsi="宋体"/>
          <w:bCs/>
          <w:color w:val="auto"/>
          <w:highlight w:val="none"/>
          <w:lang w:eastAsia="zh-CN"/>
        </w:rPr>
        <w:t>服务期</w:t>
      </w:r>
      <w:r>
        <w:rPr>
          <w:rFonts w:hint="eastAsia" w:ascii="宋体" w:hAnsi="宋体"/>
          <w:bCs/>
          <w:color w:val="auto"/>
          <w:highlight w:val="none"/>
        </w:rPr>
        <w:t>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auto"/>
          <w:highlight w:val="none"/>
        </w:rPr>
      </w:pPr>
      <w:r>
        <w:rPr>
          <w:rFonts w:hint="eastAsia" w:ascii="宋体" w:hAnsi="宋体" w:cs="Tahoma"/>
          <w:color w:val="auto"/>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auto"/>
          <w:highlight w:val="none"/>
        </w:rPr>
      </w:pPr>
      <w:r>
        <w:rPr>
          <w:rFonts w:hint="eastAsia" w:ascii="宋体" w:hAnsi="宋体" w:cs="Tahoma"/>
          <w:b/>
          <w:bCs/>
          <w:color w:val="auto"/>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auto"/>
          <w:highlight w:val="none"/>
        </w:rPr>
      </w:pPr>
      <w:r>
        <w:rPr>
          <w:rFonts w:hint="eastAsia" w:ascii="宋体" w:hAnsi="宋体"/>
          <w:color w:val="auto"/>
          <w:szCs w:val="21"/>
          <w:highlight w:val="none"/>
        </w:rPr>
        <w:t>1）具有独立承担民事责任的能力；</w:t>
      </w:r>
      <w:r>
        <w:rPr>
          <w:rFonts w:hint="eastAsia" w:ascii="宋体" w:hAnsi="宋体"/>
          <w:color w:val="auto"/>
          <w:szCs w:val="21"/>
          <w:highlight w:val="none"/>
        </w:rPr>
        <w:br w:type="textWrapping"/>
      </w:r>
      <w:r>
        <w:rPr>
          <w:rFonts w:hint="eastAsia" w:ascii="宋体" w:hAnsi="宋体"/>
          <w:color w:val="auto"/>
          <w:szCs w:val="21"/>
          <w:highlight w:val="none"/>
        </w:rPr>
        <w:t>2）具有良好的商业信誉和健全的财务会计制度；</w:t>
      </w:r>
      <w:r>
        <w:rPr>
          <w:rFonts w:hint="eastAsia" w:ascii="宋体" w:hAnsi="宋体"/>
          <w:color w:val="auto"/>
          <w:szCs w:val="21"/>
          <w:highlight w:val="none"/>
        </w:rPr>
        <w:br w:type="textWrapping"/>
      </w:r>
      <w:r>
        <w:rPr>
          <w:rFonts w:hint="eastAsia" w:ascii="宋体" w:hAnsi="宋体"/>
          <w:color w:val="auto"/>
          <w:szCs w:val="21"/>
          <w:highlight w:val="none"/>
        </w:rPr>
        <w:t>3）具有履行合同所必需的设备和专业技术能力；</w:t>
      </w:r>
      <w:r>
        <w:rPr>
          <w:rFonts w:hint="eastAsia" w:ascii="宋体" w:hAnsi="宋体"/>
          <w:color w:val="auto"/>
          <w:szCs w:val="21"/>
          <w:highlight w:val="none"/>
        </w:rPr>
        <w:br w:type="textWrapping"/>
      </w:r>
      <w:r>
        <w:rPr>
          <w:rFonts w:hint="eastAsia" w:ascii="宋体" w:hAnsi="宋体"/>
          <w:color w:val="auto"/>
          <w:szCs w:val="21"/>
          <w:highlight w:val="none"/>
        </w:rPr>
        <w:t>4）有依法缴纳税收和社会保障资金的良好记录；</w:t>
      </w:r>
      <w:r>
        <w:rPr>
          <w:rFonts w:hint="eastAsia" w:ascii="宋体" w:hAnsi="宋体"/>
          <w:color w:val="auto"/>
          <w:szCs w:val="21"/>
          <w:highlight w:val="none"/>
        </w:rPr>
        <w:br w:type="textWrapping"/>
      </w:r>
      <w:r>
        <w:rPr>
          <w:rFonts w:hint="eastAsia" w:ascii="宋体" w:hAnsi="宋体"/>
          <w:color w:val="auto"/>
          <w:szCs w:val="21"/>
          <w:highlight w:val="none"/>
        </w:rPr>
        <w:t>5）参加政府采购活动前三年内，在经营活动中没有重大违法记录；</w:t>
      </w:r>
      <w:r>
        <w:rPr>
          <w:rFonts w:hint="eastAsia" w:ascii="宋体" w:hAnsi="宋体"/>
          <w:color w:val="auto"/>
          <w:szCs w:val="21"/>
          <w:highlight w:val="none"/>
        </w:rPr>
        <w:br w:type="textWrapping"/>
      </w:r>
      <w:r>
        <w:rPr>
          <w:rFonts w:hint="eastAsia" w:ascii="宋体" w:hAnsi="宋体"/>
          <w:color w:val="auto"/>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单位负责人为同一人或者存在直接控股、管理关系的不同供应商，不得参加同一合同项下的政府采购活动。（提供《投标函》承诺）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为采购项目提供整体设计、规范编制或者项目管理、监理、检测等服务的供应商，不得再参加采购项目的其他采购活动。（提供《投标函》承诺）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lang w:val="en-US" w:eastAsia="zh-CN"/>
        </w:rPr>
        <w:t>投标人必须具备有效的《食品经营许可证》。</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rPr>
        <w:t>本项目不接受联合体投标</w:t>
      </w:r>
      <w:r>
        <w:rPr>
          <w:rFonts w:hint="eastAsia" w:ascii="宋体" w:hAnsi="宋体"/>
          <w:color w:val="auto"/>
          <w:szCs w:val="21"/>
          <w:highlight w:val="none"/>
          <w:lang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auto"/>
          <w:szCs w:val="21"/>
          <w:highlight w:val="none"/>
        </w:rPr>
      </w:pPr>
      <w:r>
        <w:rPr>
          <w:rFonts w:hint="eastAsia" w:ascii="宋体" w:hAnsi="宋体"/>
          <w:color w:val="auto"/>
          <w:szCs w:val="21"/>
          <w:highlight w:val="none"/>
        </w:rPr>
        <w:t>投标人</w:t>
      </w:r>
      <w:r>
        <w:rPr>
          <w:rFonts w:hint="eastAsia" w:hAnsi="宋体"/>
          <w:color w:val="auto"/>
          <w:szCs w:val="21"/>
          <w:highlight w:val="none"/>
        </w:rPr>
        <w:t>须</w:t>
      </w:r>
      <w:r>
        <w:rPr>
          <w:rFonts w:hint="eastAsia" w:hAnsi="宋体" w:cs="宋体"/>
          <w:color w:val="auto"/>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auto"/>
          <w:szCs w:val="21"/>
          <w:highlight w:val="none"/>
        </w:rPr>
      </w:pPr>
      <w:r>
        <w:rPr>
          <w:rFonts w:hint="eastAsia" w:ascii="Tahoma" w:hAnsi="Tahoma" w:cs="Tahoma"/>
          <w:b/>
          <w:bCs/>
          <w:color w:val="auto"/>
          <w:szCs w:val="21"/>
          <w:highlight w:val="none"/>
        </w:rPr>
        <w:t>三、</w:t>
      </w:r>
      <w:r>
        <w:rPr>
          <w:rFonts w:ascii="Tahoma" w:hAnsi="Tahoma" w:cs="Tahoma"/>
          <w:b/>
          <w:bCs/>
          <w:color w:val="auto"/>
          <w:szCs w:val="21"/>
          <w:highlight w:val="none"/>
        </w:rPr>
        <w:t>招标文件的公示</w:t>
      </w:r>
    </w:p>
    <w:p>
      <w:pPr>
        <w:pageBreakBefore w:val="0"/>
        <w:kinsoku/>
        <w:wordWrap/>
        <w:overflowPunct/>
        <w:topLinePunct w:val="0"/>
        <w:bidi w:val="0"/>
        <w:spacing w:line="420" w:lineRule="atLeast"/>
        <w:ind w:firstLine="210" w:firstLineChars="100"/>
        <w:rPr>
          <w:rFonts w:ascii="宋体" w:hAnsi="宋体"/>
          <w:bCs/>
          <w:color w:val="auto"/>
          <w:highlight w:val="none"/>
        </w:rPr>
      </w:pPr>
      <w:r>
        <w:rPr>
          <w:rFonts w:hint="eastAsia" w:ascii="宋体" w:hAnsi="宋体" w:cs="宋体"/>
          <w:color w:val="auto"/>
          <w:kern w:val="0"/>
          <w:szCs w:val="21"/>
          <w:highlight w:val="none"/>
        </w:rPr>
        <w:t xml:space="preserve">  1．</w:t>
      </w:r>
      <w:r>
        <w:rPr>
          <w:rFonts w:hint="eastAsia" w:ascii="宋体" w:hAnsi="宋体" w:cs="Arial"/>
          <w:color w:val="auto"/>
          <w:highlight w:val="none"/>
        </w:rPr>
        <w:t>招标文件公示时</w:t>
      </w:r>
      <w:r>
        <w:rPr>
          <w:rFonts w:hint="eastAsia" w:ascii="宋体" w:hAnsi="宋体"/>
          <w:bCs/>
          <w:color w:val="auto"/>
          <w:highlight w:val="none"/>
        </w:rPr>
        <w:t xml:space="preserve">间及下载： </w:t>
      </w:r>
      <w:sdt>
        <w:sdtPr>
          <w:rPr>
            <w:color w:val="auto"/>
            <w:highlight w:val="none"/>
          </w:rPr>
          <w:id w:val="785397802"/>
          <w:lock w:val="sdtLocked"/>
          <w:placeholder>
            <w:docPart w:val="EA96D7F7CF1A4A5297711D2BFC5C5079"/>
          </w:placeholder>
          <w:date w:fullDate="2024-01-10T00:00:00Z">
            <w:dateFormat w:val="yyyy'年'M'月'd'日'"/>
            <w:lid w:val="zh-CN"/>
            <w:storeMappedDataAs w:val="datetime"/>
            <w:calendar w:val="gregorian"/>
          </w:date>
        </w:sdtPr>
        <w:sdtEndPr>
          <w:rPr>
            <w:color w:val="auto"/>
            <w:highlight w:val="none"/>
          </w:rPr>
        </w:sdtEndPr>
        <w:sdtContent>
          <w:r>
            <w:rPr>
              <w:rFonts w:ascii="Times New Roman" w:hAnsi="Times New Roman" w:eastAsia="宋体" w:cs="Times New Roman"/>
              <w:color w:val="auto"/>
              <w:kern w:val="2"/>
              <w:sz w:val="21"/>
              <w:szCs w:val="24"/>
              <w:highlight w:val="none"/>
              <w:lang w:val="en-US" w:eastAsia="zh-CN" w:bidi="ar-SA"/>
            </w:rPr>
            <w:t>2024年1月10日</w:t>
          </w:r>
        </w:sdtContent>
      </w:sdt>
      <w:r>
        <w:rPr>
          <w:color w:val="auto"/>
          <w:highlight w:val="none"/>
        </w:rPr>
        <w:t xml:space="preserve"> </w:t>
      </w:r>
      <w:r>
        <w:rPr>
          <w:rFonts w:hint="eastAsia"/>
          <w:color w:val="auto"/>
          <w:szCs w:val="21"/>
          <w:highlight w:val="none"/>
        </w:rPr>
        <w:t xml:space="preserve">至 </w:t>
      </w:r>
      <w:r>
        <w:rPr>
          <w:rFonts w:ascii="Times New Roman" w:hAnsi="Times New Roman" w:eastAsia="宋体" w:cs="Times New Roman"/>
          <w:color w:val="auto"/>
          <w:kern w:val="2"/>
          <w:sz w:val="21"/>
          <w:szCs w:val="24"/>
          <w:highlight w:val="none"/>
          <w:lang w:val="en-US" w:eastAsia="zh-CN" w:bidi="ar-SA"/>
        </w:rPr>
        <w:t>2024年1月</w:t>
      </w:r>
      <w:r>
        <w:rPr>
          <w:rFonts w:hint="eastAsia" w:cs="Times New Roman"/>
          <w:color w:val="auto"/>
          <w:kern w:val="2"/>
          <w:sz w:val="21"/>
          <w:szCs w:val="24"/>
          <w:highlight w:val="none"/>
          <w:lang w:val="en-US" w:eastAsia="zh-CN" w:bidi="ar-SA"/>
        </w:rPr>
        <w:t>17</w:t>
      </w:r>
      <w:r>
        <w:rPr>
          <w:rFonts w:ascii="Times New Roman" w:hAnsi="Times New Roman" w:eastAsia="宋体" w:cs="Times New Roman"/>
          <w:color w:val="auto"/>
          <w:kern w:val="2"/>
          <w:sz w:val="21"/>
          <w:szCs w:val="24"/>
          <w:highlight w:val="none"/>
          <w:lang w:val="en-US" w:eastAsia="zh-CN" w:bidi="ar-SA"/>
        </w:rPr>
        <w:t>日</w:t>
      </w:r>
      <w:r>
        <w:rPr>
          <w:rFonts w:hint="eastAsia" w:ascii="宋体" w:hAnsi="宋体"/>
          <w:bCs/>
          <w:color w:val="auto"/>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ascii="宋体" w:hAnsi="宋体" w:cs="宋体"/>
          <w:color w:val="auto"/>
          <w:kern w:val="0"/>
          <w:szCs w:val="21"/>
          <w:highlight w:val="none"/>
        </w:rPr>
      </w:pPr>
      <w:r>
        <w:rPr>
          <w:rFonts w:hint="eastAsia" w:ascii="宋体" w:hAnsi="宋体"/>
          <w:bCs/>
          <w:color w:val="auto"/>
          <w:highlight w:val="none"/>
        </w:rPr>
        <w:t xml:space="preserve">   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ascii="Tahoma" w:hAnsi="Tahoma" w:cs="Tahoma"/>
          <w:b/>
          <w:bCs/>
          <w:color w:val="auto"/>
          <w:szCs w:val="21"/>
          <w:highlight w:val="none"/>
        </w:rPr>
      </w:pPr>
      <w:r>
        <w:rPr>
          <w:rFonts w:hint="eastAsia" w:ascii="Tahoma" w:hAnsi="Tahoma" w:cs="Tahoma"/>
          <w:b/>
          <w:bCs/>
          <w:color w:val="auto"/>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ascii="宋体" w:hAnsi="宋体" w:cs="Arial"/>
          <w:color w:val="auto"/>
          <w:highlight w:val="none"/>
        </w:rPr>
      </w:pPr>
      <w:r>
        <w:rPr>
          <w:rFonts w:hint="eastAsia" w:ascii="宋体" w:hAnsi="宋体" w:cs="Tahoma"/>
          <w:color w:val="auto"/>
          <w:highlight w:val="none"/>
        </w:rPr>
        <w:t xml:space="preserve">  1.购买招标文件</w:t>
      </w:r>
      <w:r>
        <w:rPr>
          <w:rFonts w:hint="eastAsia" w:ascii="宋体" w:hAnsi="宋体"/>
          <w:bCs/>
          <w:color w:val="auto"/>
          <w:highlight w:val="none"/>
        </w:rPr>
        <w:t>时间：</w:t>
      </w:r>
      <w:r>
        <w:rPr>
          <w:rFonts w:hint="eastAsia"/>
          <w:color w:val="auto"/>
          <w:szCs w:val="21"/>
          <w:highlight w:val="none"/>
        </w:rPr>
        <w:t xml:space="preserve"> </w:t>
      </w:r>
      <w:r>
        <w:rPr>
          <w:rFonts w:ascii="Times New Roman" w:hAnsi="Times New Roman" w:eastAsia="宋体" w:cs="Times New Roman"/>
          <w:color w:val="auto"/>
          <w:kern w:val="2"/>
          <w:sz w:val="21"/>
          <w:szCs w:val="24"/>
          <w:highlight w:val="none"/>
          <w:lang w:val="en-US" w:eastAsia="zh-CN" w:bidi="ar-SA"/>
        </w:rPr>
        <w:t>2024年1月10日</w:t>
      </w:r>
      <w:r>
        <w:rPr>
          <w:color w:val="auto"/>
          <w:highlight w:val="none"/>
        </w:rPr>
        <w:t xml:space="preserve"> </w:t>
      </w:r>
      <w:r>
        <w:rPr>
          <w:rFonts w:hint="eastAsia"/>
          <w:color w:val="auto"/>
          <w:szCs w:val="21"/>
          <w:highlight w:val="none"/>
        </w:rPr>
        <w:t>至</w:t>
      </w:r>
      <w:r>
        <w:rPr>
          <w:color w:val="auto"/>
          <w:szCs w:val="21"/>
          <w:highlight w:val="none"/>
        </w:rPr>
        <w:t xml:space="preserve"> </w:t>
      </w:r>
      <w:r>
        <w:rPr>
          <w:rFonts w:ascii="Times New Roman" w:hAnsi="Times New Roman" w:eastAsia="宋体" w:cs="Times New Roman"/>
          <w:color w:val="auto"/>
          <w:kern w:val="2"/>
          <w:sz w:val="21"/>
          <w:szCs w:val="24"/>
          <w:highlight w:val="none"/>
          <w:lang w:val="en-US" w:eastAsia="zh-CN" w:bidi="ar-SA"/>
        </w:rPr>
        <w:t>2024年1月17日</w:t>
      </w:r>
      <w:r>
        <w:rPr>
          <w:rFonts w:hint="eastAsia" w:ascii="宋体" w:hAnsi="宋体"/>
          <w:bCs/>
          <w:color w:val="auto"/>
          <w:highlight w:val="none"/>
        </w:rPr>
        <w:t>，上午9</w:t>
      </w:r>
      <w:r>
        <w:rPr>
          <w:rFonts w:ascii="宋体" w:hAnsi="宋体"/>
          <w:bCs/>
          <w:color w:val="auto"/>
          <w:highlight w:val="none"/>
        </w:rPr>
        <w:t>:</w:t>
      </w:r>
      <w:r>
        <w:rPr>
          <w:rFonts w:hint="eastAsia" w:ascii="宋体" w:hAnsi="宋体"/>
          <w:bCs/>
          <w:color w:val="auto"/>
          <w:highlight w:val="none"/>
        </w:rPr>
        <w:t>0</w:t>
      </w:r>
      <w:r>
        <w:rPr>
          <w:rFonts w:ascii="宋体" w:hAnsi="宋体"/>
          <w:bCs/>
          <w:color w:val="auto"/>
          <w:highlight w:val="none"/>
        </w:rPr>
        <w:t>0</w:t>
      </w:r>
      <w:r>
        <w:rPr>
          <w:rFonts w:hint="eastAsia" w:ascii="宋体" w:hAnsi="宋体"/>
          <w:bCs/>
          <w:color w:val="auto"/>
          <w:highlight w:val="none"/>
        </w:rPr>
        <w:t>～</w:t>
      </w:r>
      <w:r>
        <w:rPr>
          <w:rFonts w:ascii="宋体" w:hAnsi="宋体"/>
          <w:bCs/>
          <w:color w:val="auto"/>
          <w:highlight w:val="none"/>
        </w:rPr>
        <w:t>1</w:t>
      </w:r>
      <w:r>
        <w:rPr>
          <w:rFonts w:hint="eastAsia" w:ascii="宋体" w:hAnsi="宋体"/>
          <w:bCs/>
          <w:color w:val="auto"/>
          <w:highlight w:val="none"/>
        </w:rPr>
        <w:t>2</w:t>
      </w:r>
      <w:r>
        <w:rPr>
          <w:rFonts w:ascii="宋体" w:hAnsi="宋体"/>
          <w:bCs/>
          <w:color w:val="auto"/>
          <w:highlight w:val="none"/>
        </w:rPr>
        <w:t>:</w:t>
      </w:r>
      <w:r>
        <w:rPr>
          <w:rFonts w:hint="eastAsia" w:ascii="宋体" w:hAnsi="宋体"/>
          <w:bCs/>
          <w:color w:val="auto"/>
          <w:highlight w:val="none"/>
        </w:rPr>
        <w:t>0</w:t>
      </w:r>
      <w:r>
        <w:rPr>
          <w:rFonts w:ascii="宋体" w:hAnsi="宋体"/>
          <w:bCs/>
          <w:color w:val="auto"/>
          <w:highlight w:val="none"/>
        </w:rPr>
        <w:t>0</w:t>
      </w:r>
      <w:r>
        <w:rPr>
          <w:rFonts w:hint="eastAsia" w:ascii="宋体" w:hAnsi="宋体"/>
          <w:bCs/>
          <w:color w:val="auto"/>
          <w:highlight w:val="none"/>
        </w:rPr>
        <w:t>，下午</w:t>
      </w:r>
      <w:r>
        <w:rPr>
          <w:rFonts w:ascii="宋体" w:hAnsi="宋体"/>
          <w:bCs/>
          <w:color w:val="auto"/>
          <w:highlight w:val="none"/>
        </w:rPr>
        <w:t>2:30</w:t>
      </w:r>
      <w:r>
        <w:rPr>
          <w:rFonts w:hint="eastAsia" w:ascii="宋体" w:hAnsi="宋体"/>
          <w:bCs/>
          <w:color w:val="auto"/>
          <w:highlight w:val="none"/>
        </w:rPr>
        <w:t>～</w:t>
      </w:r>
      <w:r>
        <w:rPr>
          <w:rFonts w:ascii="宋体" w:hAnsi="宋体"/>
          <w:bCs/>
          <w:color w:val="auto"/>
          <w:highlight w:val="none"/>
        </w:rPr>
        <w:t>5:</w:t>
      </w:r>
      <w:r>
        <w:rPr>
          <w:rFonts w:hint="eastAsia" w:ascii="宋体" w:hAnsi="宋体"/>
          <w:bCs/>
          <w:color w:val="auto"/>
          <w:highlight w:val="none"/>
        </w:rPr>
        <w:t>3</w:t>
      </w:r>
      <w:r>
        <w:rPr>
          <w:rFonts w:ascii="宋体" w:hAnsi="宋体"/>
          <w:bCs/>
          <w:color w:val="auto"/>
          <w:highlight w:val="none"/>
        </w:rPr>
        <w:t>0</w:t>
      </w:r>
      <w:r>
        <w:rPr>
          <w:rFonts w:hint="eastAsia" w:ascii="宋体" w:hAnsi="宋体"/>
          <w:bCs/>
          <w:color w:val="auto"/>
          <w:highlight w:val="none"/>
        </w:rPr>
        <w:t>（节假日除外）（北</w:t>
      </w:r>
      <w:r>
        <w:rPr>
          <w:rFonts w:hint="eastAsia" w:ascii="宋体" w:hAnsi="宋体" w:cs="Arial"/>
          <w:color w:val="auto"/>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auto"/>
          <w:highlight w:val="none"/>
        </w:rPr>
      </w:pPr>
      <w:r>
        <w:rPr>
          <w:rFonts w:hint="eastAsia" w:ascii="宋体" w:hAnsi="宋体" w:cs="Tahoma"/>
          <w:color w:val="auto"/>
          <w:highlight w:val="none"/>
        </w:rPr>
        <w:t xml:space="preserve">  2.购买招标文件地点：阳江市江城区猫山四街33号A座2楼</w:t>
      </w:r>
      <w:r>
        <w:rPr>
          <w:rFonts w:hint="eastAsia"/>
          <w:color w:val="auto"/>
          <w:szCs w:val="21"/>
          <w:highlight w:val="none"/>
          <w:lang w:val="en-US" w:eastAsia="zh-CN"/>
        </w:rPr>
        <w:t>2</w:t>
      </w:r>
      <w:r>
        <w:rPr>
          <w:rFonts w:hint="eastAsia"/>
          <w:color w:val="auto"/>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auto"/>
          <w:highlight w:val="none"/>
        </w:rPr>
      </w:pPr>
      <w:r>
        <w:rPr>
          <w:rFonts w:hint="eastAsia" w:ascii="宋体" w:hAnsi="宋体"/>
          <w:bCs/>
          <w:color w:val="auto"/>
          <w:highlight w:val="none"/>
        </w:rPr>
        <w:t xml:space="preserve">  3.招标文件售价：</w:t>
      </w:r>
      <w:r>
        <w:rPr>
          <w:rFonts w:hint="eastAsia" w:ascii="宋体" w:hAnsi="宋体"/>
          <w:bCs/>
          <w:color w:val="auto"/>
          <w:szCs w:val="21"/>
          <w:highlight w:val="none"/>
        </w:rPr>
        <w:t>招标文件每套人民币300元，售后不退</w:t>
      </w:r>
      <w:r>
        <w:rPr>
          <w:rFonts w:hint="eastAsia" w:ascii="宋体" w:hAnsi="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auto"/>
          <w:highlight w:val="none"/>
        </w:rPr>
      </w:pPr>
      <w:r>
        <w:rPr>
          <w:rFonts w:hint="eastAsia" w:ascii="宋体" w:hAnsi="宋体"/>
          <w:bCs/>
          <w:color w:val="auto"/>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auto"/>
          <w:szCs w:val="21"/>
          <w:highlight w:val="none"/>
        </w:rPr>
      </w:pPr>
      <w:r>
        <w:rPr>
          <w:rFonts w:hint="eastAsia" w:ascii="宋体" w:hAnsi="宋体"/>
          <w:bCs/>
          <w:color w:val="auto"/>
          <w:highlight w:val="none"/>
        </w:rPr>
        <w:t>5.</w:t>
      </w:r>
      <w:r>
        <w:rPr>
          <w:rFonts w:hint="eastAsia" w:ascii="宋体" w:hAnsi="宋体"/>
          <w:bCs/>
          <w:color w:val="auto"/>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ascii="宋体" w:hAnsi="宋体"/>
          <w:bCs/>
          <w:color w:val="auto"/>
          <w:highlight w:val="none"/>
        </w:rPr>
      </w:pPr>
      <w:r>
        <w:rPr>
          <w:rFonts w:hint="eastAsia" w:ascii="宋体" w:hAnsi="宋体"/>
          <w:bCs/>
          <w:color w:val="auto"/>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ascii="宋体" w:hAnsi="宋体" w:cs="Arial"/>
          <w:b/>
          <w:color w:val="auto"/>
          <w:highlight w:val="none"/>
        </w:rPr>
      </w:pPr>
      <w:r>
        <w:rPr>
          <w:rFonts w:hint="eastAsia" w:ascii="宋体" w:hAnsi="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ascii="Tahoma" w:hAnsi="Tahoma" w:cs="Tahoma"/>
          <w:b/>
          <w:bCs/>
          <w:color w:val="auto"/>
          <w:szCs w:val="21"/>
          <w:highlight w:val="none"/>
        </w:rPr>
      </w:pPr>
      <w:r>
        <w:rPr>
          <w:rFonts w:hint="eastAsia" w:ascii="Tahoma" w:hAnsi="Tahoma" w:cs="Tahoma"/>
          <w:b/>
          <w:bCs/>
          <w:color w:val="auto"/>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cs="Arial"/>
          <w:color w:val="auto"/>
          <w:highlight w:val="none"/>
        </w:rPr>
      </w:pPr>
      <w:r>
        <w:rPr>
          <w:rFonts w:hint="eastAsia" w:ascii="宋体" w:hAnsi="宋体" w:cs="Tahoma"/>
          <w:color w:val="auto"/>
          <w:highlight w:val="none"/>
        </w:rPr>
        <w:t xml:space="preserve">   1.递交投标文件时间： </w:t>
      </w:r>
      <w:r>
        <w:rPr>
          <w:rFonts w:ascii="Times New Roman" w:hAnsi="Times New Roman" w:eastAsia="宋体" w:cs="Times New Roman"/>
          <w:color w:val="auto"/>
          <w:kern w:val="2"/>
          <w:sz w:val="21"/>
          <w:szCs w:val="24"/>
          <w:highlight w:val="none"/>
          <w:lang w:val="en-US" w:eastAsia="zh-CN" w:bidi="ar-SA"/>
        </w:rPr>
        <w:t>2024年1月31日</w:t>
      </w:r>
      <w:r>
        <w:rPr>
          <w:rFonts w:ascii="宋体" w:hAnsi="宋体"/>
          <w:color w:val="auto"/>
          <w:highlight w:val="none"/>
        </w:rPr>
        <w:t xml:space="preserve"> </w:t>
      </w:r>
      <w:r>
        <w:rPr>
          <w:rFonts w:hint="eastAsia" w:ascii="宋体" w:hAnsi="宋体"/>
          <w:color w:val="auto"/>
          <w:highlight w:val="none"/>
        </w:rPr>
        <w:t>9:00-9:30</w:t>
      </w:r>
      <w:r>
        <w:rPr>
          <w:rFonts w:ascii="宋体" w:hAnsi="宋体" w:cs="Arial"/>
          <w:color w:val="auto"/>
          <w:highlight w:val="none"/>
        </w:rPr>
        <w:t xml:space="preserve"> (</w:t>
      </w:r>
      <w:r>
        <w:rPr>
          <w:rFonts w:hint="eastAsia" w:ascii="宋体" w:hAnsi="宋体" w:cs="Arial"/>
          <w:color w:val="auto"/>
          <w:highlight w:val="none"/>
        </w:rPr>
        <w:t>北京时间</w:t>
      </w:r>
      <w:r>
        <w:rPr>
          <w:rFonts w:ascii="宋体" w:hAnsi="宋体" w:cs="Arial"/>
          <w:color w:val="auto"/>
          <w:highlight w:val="none"/>
        </w:rPr>
        <w:t>)</w:t>
      </w:r>
      <w:r>
        <w:rPr>
          <w:rFonts w:hint="eastAsia" w:ascii="宋体" w:hAnsi="宋体" w:cs="Arial"/>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cs="Arial"/>
          <w:color w:val="auto"/>
          <w:highlight w:val="none"/>
        </w:rPr>
      </w:pPr>
      <w:r>
        <w:rPr>
          <w:rFonts w:hint="eastAsia" w:ascii="宋体" w:hAnsi="宋体" w:cs="Tahoma"/>
          <w:color w:val="auto"/>
          <w:highlight w:val="none"/>
        </w:rPr>
        <w:t xml:space="preserve">   2.投标截止时间、开标时间：</w:t>
      </w:r>
      <w:r>
        <w:rPr>
          <w:rFonts w:hint="eastAsia"/>
          <w:color w:val="auto"/>
          <w:szCs w:val="21"/>
          <w:highlight w:val="none"/>
        </w:rPr>
        <w:t xml:space="preserve"> </w:t>
      </w:r>
      <w:r>
        <w:rPr>
          <w:rFonts w:ascii="Times New Roman" w:hAnsi="Times New Roman" w:eastAsia="宋体" w:cs="Times New Roman"/>
          <w:color w:val="auto"/>
          <w:kern w:val="2"/>
          <w:sz w:val="21"/>
          <w:szCs w:val="24"/>
          <w:highlight w:val="none"/>
          <w:lang w:val="en-US" w:eastAsia="zh-CN" w:bidi="ar-SA"/>
        </w:rPr>
        <w:t>2024年1月31日</w:t>
      </w:r>
      <w:r>
        <w:rPr>
          <w:rFonts w:hint="eastAsia"/>
          <w:color w:val="auto"/>
          <w:szCs w:val="21"/>
          <w:highlight w:val="none"/>
        </w:rPr>
        <w:t xml:space="preserve"> </w:t>
      </w:r>
      <w:r>
        <w:rPr>
          <w:rFonts w:hint="eastAsia" w:ascii="宋体" w:hAnsi="宋体"/>
          <w:color w:val="auto"/>
          <w:highlight w:val="none"/>
        </w:rPr>
        <w:t>9:30</w:t>
      </w:r>
      <w:r>
        <w:rPr>
          <w:rFonts w:hint="eastAsia" w:ascii="宋体" w:hAnsi="宋体" w:cs="Arial"/>
          <w:color w:val="auto"/>
          <w:szCs w:val="21"/>
          <w:highlight w:val="none"/>
        </w:rPr>
        <w:t xml:space="preserve"> </w:t>
      </w:r>
      <w:r>
        <w:rPr>
          <w:rFonts w:ascii="宋体" w:hAnsi="宋体" w:cs="Arial"/>
          <w:color w:val="auto"/>
          <w:highlight w:val="none"/>
        </w:rPr>
        <w:t>(</w:t>
      </w:r>
      <w:r>
        <w:rPr>
          <w:rFonts w:hint="eastAsia" w:ascii="宋体" w:hAnsi="宋体" w:cs="Arial"/>
          <w:color w:val="auto"/>
          <w:highlight w:val="none"/>
        </w:rPr>
        <w:t>北京时间</w:t>
      </w:r>
      <w:r>
        <w:rPr>
          <w:rFonts w:ascii="宋体" w:hAnsi="宋体" w:cs="Arial"/>
          <w:color w:val="auto"/>
          <w:highlight w:val="none"/>
        </w:rPr>
        <w:t>)</w:t>
      </w:r>
      <w:r>
        <w:rPr>
          <w:rFonts w:hint="eastAsia" w:ascii="宋体" w:hAnsi="宋体" w:cs="Arial"/>
          <w:color w:val="auto"/>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cs="Arial"/>
          <w:color w:val="auto"/>
          <w:highlight w:val="none"/>
        </w:rPr>
      </w:pPr>
      <w:r>
        <w:rPr>
          <w:rFonts w:hint="eastAsia" w:ascii="宋体" w:hAnsi="宋体" w:cs="Arial"/>
          <w:color w:val="auto"/>
          <w:highlight w:val="none"/>
        </w:rPr>
        <w:t xml:space="preserve">   </w:t>
      </w:r>
      <w:r>
        <w:rPr>
          <w:rFonts w:hint="eastAsia" w:ascii="宋体" w:hAnsi="宋体" w:cs="Tahoma"/>
          <w:color w:val="auto"/>
          <w:highlight w:val="none"/>
        </w:rPr>
        <w:t>3.递交投标文件地点、开标地点：阳江市江城区猫山四街33号A座2楼</w:t>
      </w:r>
      <w:r>
        <w:rPr>
          <w:rFonts w:hint="eastAsia" w:ascii="宋体" w:hAnsi="宋体" w:cs="Tahoma"/>
          <w:color w:val="auto"/>
          <w:highlight w:val="none"/>
          <w:lang w:val="en-US" w:eastAsia="zh-CN"/>
        </w:rPr>
        <w:t>201</w:t>
      </w:r>
      <w:r>
        <w:rPr>
          <w:rFonts w:hint="eastAsia" w:ascii="宋体" w:hAnsi="宋体" w:cs="Tahoma"/>
          <w:color w:val="auto"/>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Tahoma" w:hAnsi="Tahoma" w:cs="Tahoma"/>
          <w:b/>
          <w:bCs/>
          <w:color w:val="auto"/>
          <w:szCs w:val="21"/>
          <w:highlight w:val="none"/>
        </w:rPr>
      </w:pPr>
      <w:r>
        <w:rPr>
          <w:rFonts w:hint="eastAsia" w:ascii="Tahoma" w:hAnsi="Tahoma" w:cs="Tahoma"/>
          <w:b/>
          <w:bCs/>
          <w:color w:val="auto"/>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ascii="宋体" w:hAnsi="宋体"/>
          <w:bCs/>
          <w:color w:val="auto"/>
          <w:highlight w:val="none"/>
        </w:rPr>
      </w:pPr>
      <w:r>
        <w:rPr>
          <w:rFonts w:hint="eastAsia" w:ascii="宋体" w:hAnsi="宋体" w:cs="Tahoma"/>
          <w:color w:val="auto"/>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auto"/>
          <w:kern w:val="28"/>
          <w:szCs w:val="21"/>
          <w:highlight w:val="none"/>
          <w:lang w:eastAsia="zh-CN"/>
        </w:rPr>
      </w:pPr>
      <w:r>
        <w:rPr>
          <w:rFonts w:hint="eastAsia" w:ascii="宋体" w:hAnsi="宋体" w:cs="Tahoma"/>
          <w:color w:val="auto"/>
          <w:kern w:val="28"/>
          <w:szCs w:val="21"/>
          <w:highlight w:val="none"/>
        </w:rPr>
        <w:t>名    称：</w:t>
      </w:r>
      <w:r>
        <w:rPr>
          <w:rFonts w:hint="eastAsia" w:ascii="宋体" w:hAnsi="宋体" w:cs="Tahoma"/>
          <w:color w:val="auto"/>
          <w:kern w:val="28"/>
          <w:szCs w:val="21"/>
          <w:highlight w:val="none"/>
          <w:lang w:eastAsia="zh-CN"/>
        </w:rPr>
        <w:t>阳江市江城马曹小学</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default"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rPr>
        <w:t>地    址：阳江市江城区城北街道马曹村委会</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ascii="宋体" w:hAnsi="宋体" w:cs="Tahoma"/>
          <w:color w:val="auto"/>
          <w:kern w:val="28"/>
          <w:szCs w:val="21"/>
          <w:highlight w:val="none"/>
        </w:rPr>
      </w:pPr>
      <w:r>
        <w:rPr>
          <w:rFonts w:hint="eastAsia" w:ascii="宋体" w:hAnsi="宋体" w:cs="Tahoma"/>
          <w:color w:val="auto"/>
          <w:kern w:val="28"/>
          <w:szCs w:val="21"/>
          <w:highlight w:val="none"/>
        </w:rPr>
        <w:t>联 系 人：</w:t>
      </w:r>
      <w:r>
        <w:rPr>
          <w:rFonts w:hint="eastAsia" w:ascii="宋体" w:hAnsi="宋体" w:cs="Tahoma"/>
          <w:color w:val="auto"/>
          <w:kern w:val="28"/>
          <w:szCs w:val="21"/>
          <w:highlight w:val="none"/>
          <w:lang w:val="en-US" w:eastAsia="zh-CN"/>
        </w:rPr>
        <w:t>何先生</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default"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rPr>
        <w:t>联系电话：0662-</w:t>
      </w:r>
      <w:r>
        <w:rPr>
          <w:rFonts w:hint="eastAsia" w:ascii="宋体" w:hAnsi="宋体" w:cs="Tahoma"/>
          <w:color w:val="auto"/>
          <w:kern w:val="28"/>
          <w:szCs w:val="21"/>
          <w:highlight w:val="none"/>
          <w:lang w:val="en-US" w:eastAsia="zh-CN"/>
        </w:rPr>
        <w:t>2188938</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ascii="宋体" w:hAnsi="宋体" w:cs="Tahoma"/>
          <w:color w:val="auto"/>
          <w:kern w:val="28"/>
          <w:szCs w:val="21"/>
          <w:highlight w:val="none"/>
        </w:rPr>
      </w:pPr>
      <w:r>
        <w:rPr>
          <w:rFonts w:hint="eastAsia" w:ascii="宋体" w:hAnsi="宋体" w:cs="Tahoma"/>
          <w:color w:val="auto"/>
          <w:kern w:val="28"/>
          <w:szCs w:val="21"/>
          <w:highlight w:val="none"/>
        </w:rPr>
        <w:t>2．</w:t>
      </w:r>
      <w:r>
        <w:rPr>
          <w:rFonts w:hint="eastAsia" w:ascii="宋体" w:hAnsi="宋体" w:cs="Tahoma"/>
          <w:color w:val="auto"/>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auto"/>
          <w:highlight w:val="none"/>
        </w:rPr>
      </w:pPr>
      <w:r>
        <w:rPr>
          <w:rFonts w:hint="eastAsia" w:ascii="宋体" w:hAnsi="宋体" w:cs="Tahoma"/>
          <w:color w:val="auto"/>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auto"/>
          <w:highlight w:val="none"/>
        </w:rPr>
      </w:pPr>
      <w:r>
        <w:rPr>
          <w:rFonts w:hint="eastAsia" w:ascii="宋体" w:hAnsi="宋体" w:cs="Tahoma"/>
          <w:color w:val="auto"/>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auto"/>
          <w:highlight w:val="none"/>
        </w:rPr>
      </w:pPr>
      <w:r>
        <w:rPr>
          <w:rFonts w:hint="eastAsia" w:ascii="宋体" w:hAnsi="宋体" w:cs="Tahoma"/>
          <w:color w:val="auto"/>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auto"/>
          <w:highlight w:val="none"/>
        </w:rPr>
      </w:pPr>
      <w:r>
        <w:rPr>
          <w:rFonts w:hint="eastAsia" w:ascii="宋体" w:hAnsi="宋体" w:cs="Tahoma"/>
          <w:color w:val="auto"/>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auto"/>
          <w:highlight w:val="none"/>
        </w:rPr>
      </w:pPr>
      <w:r>
        <w:rPr>
          <w:rFonts w:hint="eastAsia" w:ascii="宋体" w:hAnsi="宋体" w:cs="Tahoma"/>
          <w:color w:val="auto"/>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ascii="宋体" w:hAnsi="宋体"/>
          <w:bCs/>
          <w:color w:val="auto"/>
          <w:highlight w:val="none"/>
        </w:rPr>
      </w:pPr>
      <w:r>
        <w:rPr>
          <w:rFonts w:hint="eastAsia" w:ascii="宋体" w:hAnsi="宋体" w:cs="Tahoma"/>
          <w:color w:val="auto"/>
          <w:highlight w:val="none"/>
        </w:rPr>
        <w:t>网    址：</w:t>
      </w:r>
      <w:r>
        <w:rPr>
          <w:rFonts w:ascii="宋体" w:hAnsi="宋体"/>
          <w:bCs/>
          <w:color w:val="auto"/>
          <w:highlight w:val="none"/>
        </w:rPr>
        <w:t>http://www.</w:t>
      </w:r>
      <w:r>
        <w:rPr>
          <w:rFonts w:hint="eastAsia" w:ascii="宋体" w:hAnsi="宋体"/>
          <w:bCs/>
          <w:color w:val="auto"/>
          <w:highlight w:val="none"/>
        </w:rPr>
        <w:t>yjcg</w:t>
      </w:r>
      <w:r>
        <w:rPr>
          <w:rFonts w:ascii="宋体" w:hAnsi="宋体"/>
          <w:bCs/>
          <w:color w:val="auto"/>
          <w:highlight w:val="none"/>
        </w:rPr>
        <w:t>.</w:t>
      </w:r>
      <w:r>
        <w:rPr>
          <w:rFonts w:hint="eastAsia" w:ascii="宋体" w:hAnsi="宋体"/>
          <w:bCs/>
          <w:color w:val="auto"/>
          <w:highlight w:val="none"/>
        </w:rPr>
        <w:t>cc</w:t>
      </w:r>
    </w:p>
    <w:p>
      <w:pPr>
        <w:pageBreakBefore w:val="0"/>
        <w:widowControl/>
        <w:kinsoku/>
        <w:wordWrap/>
        <w:overflowPunct/>
        <w:topLinePunct w:val="0"/>
        <w:bidi w:val="0"/>
        <w:adjustRightInd w:val="0"/>
        <w:snapToGrid w:val="0"/>
        <w:spacing w:line="420" w:lineRule="atLeast"/>
        <w:rPr>
          <w:rFonts w:ascii="宋体" w:hAnsi="宋体"/>
          <w:b/>
          <w:color w:val="auto"/>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ascii="宋体" w:hAnsi="宋体"/>
          <w:bCs/>
          <w:color w:val="auto"/>
          <w:highlight w:val="none"/>
        </w:rPr>
      </w:pPr>
      <w:r>
        <w:rPr>
          <w:rFonts w:hint="eastAsia" w:ascii="宋体" w:hAnsi="宋体"/>
          <w:bCs/>
          <w:color w:val="auto"/>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ascii="宋体" w:hAnsi="宋体"/>
          <w:bCs/>
          <w:color w:val="auto"/>
          <w:highlight w:val="none"/>
        </w:rPr>
      </w:pPr>
      <w:r>
        <w:rPr>
          <w:rFonts w:hint="eastAsia" w:ascii="宋体" w:hAnsi="宋体"/>
          <w:bCs/>
          <w:color w:val="auto"/>
          <w:highlight w:val="none"/>
        </w:rPr>
        <w:t xml:space="preserve">                                 </w:t>
      </w:r>
      <w:bookmarkStart w:id="37" w:name="_Toc340672831"/>
      <w:bookmarkStart w:id="38" w:name="_Toc345513763"/>
      <w:bookmarkStart w:id="39" w:name="_Toc331683995"/>
      <w:bookmarkStart w:id="40" w:name="_Toc333935279"/>
      <w:bookmarkStart w:id="41" w:name="_Toc339020049"/>
      <w:bookmarkStart w:id="42" w:name="_Toc342060323"/>
      <w:bookmarkStart w:id="43" w:name="_Toc339019955"/>
      <w:bookmarkStart w:id="44" w:name="_Toc366072458"/>
      <w:bookmarkStart w:id="45" w:name="_Toc339020187"/>
      <w:bookmarkStart w:id="46" w:name="_Toc339362258"/>
      <w:bookmarkStart w:id="47" w:name="_Toc350438703"/>
      <w:bookmarkStart w:id="48" w:name="_Toc332270306"/>
      <w:bookmarkStart w:id="49" w:name="_Toc349143547"/>
      <w:bookmarkStart w:id="50" w:name="_Toc349127584"/>
      <w:bookmarkStart w:id="51" w:name="_Toc333237613"/>
      <w:bookmarkStart w:id="52" w:name="_Toc330459946"/>
      <w:bookmarkStart w:id="53" w:name="_Toc340677032"/>
      <w:bookmarkStart w:id="54" w:name="_Toc331512857"/>
      <w:bookmarkStart w:id="55" w:name="_Toc342296709"/>
      <w:bookmarkStart w:id="56" w:name="_Toc332206658"/>
      <w:bookmarkStart w:id="57" w:name="_Toc350756404"/>
      <w:bookmarkStart w:id="58" w:name="_Toc336681893"/>
      <w:bookmarkStart w:id="59" w:name="_Toc333238572"/>
      <w:bookmarkStart w:id="60" w:name="_Toc337632316"/>
      <w:bookmarkStart w:id="61" w:name="_Toc336681538"/>
      <w:bookmarkStart w:id="62" w:name="_Toc340507404"/>
      <w:bookmarkStart w:id="63" w:name="_Toc365985109"/>
      <w:bookmarkStart w:id="64" w:name="_Toc365967003"/>
      <w:bookmarkStart w:id="65" w:name="_Toc339019829"/>
      <w:bookmarkStart w:id="66" w:name="_Toc333237724"/>
      <w:bookmarkStart w:id="67" w:name="_Toc333935620"/>
      <w:bookmarkStart w:id="68" w:name="_Toc341348292"/>
      <w:bookmarkStart w:id="69" w:name="_Toc339441045"/>
      <w:r>
        <w:rPr>
          <w:rFonts w:hint="eastAsia"/>
          <w:color w:val="auto"/>
          <w:szCs w:val="21"/>
          <w:highlight w:val="none"/>
        </w:rPr>
        <w:t xml:space="preserve">    </w:t>
      </w:r>
      <w:r>
        <w:rPr>
          <w:rFonts w:ascii="Times New Roman" w:hAnsi="Times New Roman" w:eastAsia="宋体" w:cs="Times New Roman"/>
          <w:color w:val="auto"/>
          <w:kern w:val="2"/>
          <w:sz w:val="21"/>
          <w:szCs w:val="24"/>
          <w:highlight w:val="none"/>
          <w:lang w:val="en-US" w:eastAsia="zh-CN" w:bidi="ar-SA"/>
        </w:rPr>
        <w:t>2024年1月10日</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r>
        <w:rPr>
          <w:rFonts w:hint="eastAsia"/>
          <w:color w:val="auto"/>
          <w:highlight w:val="none"/>
        </w:rPr>
        <w:br w:type="page"/>
      </w:r>
    </w:p>
    <w:p>
      <w:pPr>
        <w:pStyle w:val="3"/>
        <w:numPr>
          <w:ilvl w:val="0"/>
          <w:numId w:val="0"/>
        </w:numPr>
        <w:spacing w:beforeLines="0" w:afterLines="50" w:line="390" w:lineRule="exact"/>
        <w:ind w:left="105" w:leftChars="50" w:firstLine="480" w:firstLineChars="200"/>
        <w:rPr>
          <w:color w:val="auto"/>
          <w:highlight w:val="none"/>
        </w:rPr>
      </w:pPr>
      <w:bookmarkStart w:id="70" w:name="_Toc31865"/>
      <w:r>
        <w:rPr>
          <w:rFonts w:hint="eastAsia"/>
          <w:color w:val="auto"/>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75570886"/>
      <w:bookmarkStart w:id="75" w:name="_Toc333238573"/>
      <w:bookmarkStart w:id="76" w:name="_Toc333237614"/>
      <w:bookmarkStart w:id="77" w:name="_Toc333935621"/>
      <w:bookmarkStart w:id="78" w:name="_Toc330459949"/>
      <w:r>
        <w:rPr>
          <w:rFonts w:hint="eastAsia"/>
          <w:color w:val="auto"/>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auto"/>
          <w:kern w:val="0"/>
          <w:sz w:val="24"/>
          <w:highlight w:val="none"/>
        </w:rPr>
      </w:pPr>
      <w:bookmarkStart w:id="79" w:name="_Toc8481"/>
      <w:bookmarkStart w:id="80" w:name="_Toc339019982"/>
      <w:bookmarkStart w:id="81" w:name="_Toc340507409"/>
      <w:bookmarkStart w:id="82" w:name="_Toc365967040"/>
      <w:bookmarkStart w:id="83" w:name="_Toc339019856"/>
      <w:bookmarkStart w:id="84" w:name="_Toc333238600"/>
      <w:bookmarkStart w:id="85" w:name="_Toc333935313"/>
      <w:bookmarkStart w:id="86" w:name="_Toc339441054"/>
      <w:bookmarkStart w:id="87" w:name="_Toc339020062"/>
      <w:bookmarkStart w:id="88" w:name="_Toc332270313"/>
      <w:bookmarkStart w:id="89" w:name="_Toc333935654"/>
      <w:bookmarkStart w:id="90" w:name="_Toc333237644"/>
      <w:bookmarkStart w:id="91" w:name="_Toc349127593"/>
      <w:bookmarkStart w:id="92" w:name="_Toc365985146"/>
      <w:bookmarkStart w:id="93" w:name="_Toc332206675"/>
      <w:bookmarkStart w:id="94" w:name="_Toc336681902"/>
      <w:bookmarkStart w:id="95" w:name="_Toc350438716"/>
      <w:bookmarkStart w:id="96" w:name="_Toc340677037"/>
      <w:bookmarkStart w:id="97" w:name="_Toc331512865"/>
      <w:bookmarkStart w:id="98" w:name="_Toc331684005"/>
      <w:bookmarkStart w:id="99" w:name="_Toc366072495"/>
      <w:bookmarkStart w:id="100" w:name="_Toc339362267"/>
      <w:bookmarkStart w:id="101" w:name="_Toc342296727"/>
      <w:bookmarkStart w:id="102" w:name="_Toc333237755"/>
      <w:bookmarkStart w:id="103" w:name="_Toc349143556"/>
      <w:bookmarkStart w:id="104" w:name="_Toc340672836"/>
      <w:bookmarkStart w:id="105" w:name="_Toc345513834"/>
      <w:bookmarkStart w:id="106" w:name="_Toc342060341"/>
      <w:bookmarkStart w:id="107" w:name="_Toc341348305"/>
      <w:bookmarkStart w:id="108" w:name="_Toc339020200"/>
      <w:bookmarkStart w:id="109" w:name="_Toc330459952"/>
      <w:bookmarkStart w:id="110" w:name="_Toc337632325"/>
      <w:bookmarkStart w:id="111" w:name="_Toc350756417"/>
      <w:bookmarkStart w:id="112" w:name="_Toc336681547"/>
      <w:r>
        <w:rPr>
          <w:color w:val="auto"/>
          <w:kern w:val="0"/>
          <w:sz w:val="24"/>
          <w:highlight w:val="none"/>
        </w:rPr>
        <w:t xml:space="preserve">A  </w:t>
      </w:r>
      <w:r>
        <w:rPr>
          <w:rFonts w:hint="eastAsia"/>
          <w:color w:val="auto"/>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eastAsia="zh-CN"/>
              </w:rPr>
            </w:pPr>
            <w:r>
              <w:rPr>
                <w:rFonts w:hint="eastAsia" w:ascii="宋体" w:hAnsi="宋体" w:cs="宋体"/>
                <w:b/>
                <w:color w:val="auto"/>
                <w:highlight w:val="none"/>
                <w:lang w:eastAsia="zh-CN"/>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cs="宋体"/>
                <w:color w:val="auto"/>
                <w:kern w:val="0"/>
                <w:szCs w:val="21"/>
                <w:highlight w:val="none"/>
              </w:rPr>
              <w:t>配送服务报价包含整个项目所需的货物（购买或生产）、包装、配送、运输、装卸、保险、检验检疫，配备人员工资、福利、社保及相关税费等一切费用，采购人不再支付其他任何费用。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cs="宋体"/>
                <w:color w:val="auto"/>
                <w:kern w:val="0"/>
                <w:szCs w:val="21"/>
                <w:highlight w:val="none"/>
              </w:rPr>
              <w:t>采购合同由中标供应商</w:t>
            </w:r>
            <w:r>
              <w:rPr>
                <w:rFonts w:hint="eastAsia" w:ascii="宋体" w:hAnsi="宋体" w:cs="宋体"/>
                <w:color w:val="auto"/>
                <w:kern w:val="0"/>
                <w:szCs w:val="21"/>
                <w:highlight w:val="none"/>
                <w:lang w:val="en-US" w:eastAsia="zh-CN"/>
              </w:rPr>
              <w:t>凭《中标通知书》</w:t>
            </w:r>
            <w:r>
              <w:rPr>
                <w:rFonts w:hint="eastAsia" w:ascii="宋体" w:hAnsi="宋体" w:cs="宋体"/>
                <w:color w:val="auto"/>
                <w:kern w:val="0"/>
                <w:szCs w:val="21"/>
                <w:highlight w:val="none"/>
              </w:rPr>
              <w:t>与采购人双方签订，签订时间为《中标通知书》发出之日起</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cs="宋体"/>
                <w:b/>
                <w:color w:val="auto"/>
                <w:highlight w:val="none"/>
                <w:lang w:val="en-US" w:eastAsia="zh-CN"/>
              </w:rPr>
              <w:t>服务</w:t>
            </w:r>
            <w:r>
              <w:rPr>
                <w:rFonts w:hint="eastAsia" w:ascii="宋体" w:hAnsi="宋体" w:eastAsia="宋体" w:cs="宋体"/>
                <w:b/>
                <w:color w:val="auto"/>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b/>
                <w:bCs/>
                <w:color w:val="auto"/>
                <w:kern w:val="2"/>
                <w:sz w:val="21"/>
                <w:szCs w:val="21"/>
                <w:highlight w:val="none"/>
                <w:lang w:val="en-US" w:eastAsia="zh-CN" w:bidi="ar-SA"/>
              </w:rPr>
              <w:t>配送时间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早餐</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午餐每天上午</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：30前送到。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auto"/>
                <w:highlight w:val="none"/>
                <w:lang w:val="en-US" w:eastAsia="zh-CN"/>
              </w:rPr>
            </w:pPr>
            <w:r>
              <w:rPr>
                <w:rFonts w:hint="default" w:ascii="宋体" w:hAnsi="宋体" w:eastAsia="宋体" w:cs="宋体"/>
                <w:b/>
                <w:bCs/>
                <w:color w:val="auto"/>
                <w:szCs w:val="21"/>
                <w:highlight w:val="none"/>
                <w:lang w:val="en-US"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1.由学校食堂食品市场价格调查小组成员核定（成员组成：采购人2人，中标供应商1人），三人</w:t>
            </w:r>
            <w:r>
              <w:rPr>
                <w:rFonts w:hint="eastAsia" w:ascii="宋体" w:hAnsi="宋体" w:cs="宋体"/>
                <w:color w:val="auto"/>
                <w:highlight w:val="none"/>
                <w:lang w:val="en-US" w:eastAsia="zh-CN"/>
              </w:rPr>
              <w:t>每期第四周</w:t>
            </w:r>
            <w:r>
              <w:rPr>
                <w:rFonts w:hint="eastAsia" w:ascii="宋体" w:hAnsi="宋体" w:eastAsia="宋体" w:cs="宋体"/>
                <w:color w:val="auto"/>
                <w:highlight w:val="none"/>
                <w:lang w:val="en-US" w:eastAsia="zh-CN"/>
              </w:rPr>
              <w:t>分别在马曹市场</w:t>
            </w:r>
            <w:r>
              <w:rPr>
                <w:rFonts w:hint="eastAsia" w:ascii="宋体" w:hAnsi="宋体" w:cs="宋体"/>
                <w:color w:val="auto"/>
                <w:highlight w:val="none"/>
                <w:lang w:val="en-US" w:eastAsia="zh-CN"/>
              </w:rPr>
              <w:t>、金郊市场、星源市场</w:t>
            </w:r>
            <w:r>
              <w:rPr>
                <w:rFonts w:hint="eastAsia" w:ascii="宋体" w:hAnsi="宋体" w:eastAsia="宋体" w:cs="宋体"/>
                <w:color w:val="auto"/>
                <w:highlight w:val="none"/>
                <w:lang w:val="en-US" w:eastAsia="zh-CN"/>
              </w:rPr>
              <w:t>进行市场物价调查，食材根据三人的调查报价相加取其平均值为当月的核定价。食材价格一个月定价一次。（所有食品、食材的价格要造册，由食堂市场核价小组成员签名作为支付货款资料）。</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2.糕点供应商对各类糕点进行单独报价，学校食堂食品市场价格调查小组成员，根据市场的实际价格情况，每周对各类糕点进行核定价配送。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1.付款方式：按每期供货实际数量付款。每期的天数约为20天左右。（以学校每期实际产生的天数为准）</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b/>
                <w:bCs/>
                <w:color w:val="auto"/>
                <w:highlight w:val="none"/>
                <w:lang w:val="zh-Hans"/>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1.为了使中标供应商能够认真履行合同，确保食品按时按质供应，在</w:t>
            </w:r>
            <w:r>
              <w:rPr>
                <w:rFonts w:hint="eastAsia" w:ascii="宋体" w:hAnsi="宋体" w:eastAsia="宋体" w:cs="宋体"/>
                <w:color w:val="auto"/>
                <w:highlight w:val="none"/>
                <w:lang w:val="zh-Hans"/>
              </w:rPr>
              <w:t>合同签订前5个工作日内，中标供应商向采购人支付中标金额</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Hans"/>
              </w:rPr>
              <w:t>作为</w:t>
            </w:r>
            <w:r>
              <w:rPr>
                <w:rFonts w:hint="eastAsia" w:ascii="宋体" w:hAnsi="宋体" w:eastAsia="宋体" w:cs="宋体"/>
                <w:color w:val="auto"/>
                <w:highlight w:val="none"/>
              </w:rPr>
              <w:t>履约</w:t>
            </w:r>
            <w:r>
              <w:rPr>
                <w:rFonts w:hint="eastAsia" w:ascii="宋体" w:hAnsi="宋体" w:eastAsia="宋体" w:cs="宋体"/>
                <w:color w:val="auto"/>
                <w:highlight w:val="none"/>
                <w:lang w:val="zh-Hans"/>
              </w:rPr>
              <w:t>保证金</w:t>
            </w:r>
            <w:r>
              <w:rPr>
                <w:rFonts w:hint="eastAsia" w:ascii="宋体" w:hAnsi="宋体" w:eastAsia="宋体" w:cs="宋体"/>
                <w:color w:val="auto"/>
                <w:highlight w:val="none"/>
                <w:lang w:val="en-US" w:eastAsia="zh-CN"/>
              </w:rPr>
              <w:t>。</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2.交纳方式：以支票、汇票、本票或者金融机构、担保机构出具的保函等非现金形式提交。</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3.履约保证金于合同期满并在中标供应商完全履行合同义务之日起20个工作日内无息退还。</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5.履约保证金用于补偿采购人因中标供应商的过失导致未能达到合同约定的服务和质量要求而蒙受的损失。</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因中标供应商供应的材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auto"/>
                <w:highlight w:val="none"/>
                <w:lang w:val="zh-Hans"/>
              </w:rPr>
            </w:pPr>
            <w:r>
              <w:rPr>
                <w:rFonts w:hint="eastAsia" w:ascii="宋体" w:hAnsi="宋体" w:eastAsia="宋体" w:cs="宋体"/>
                <w:b/>
                <w:bCs/>
                <w:color w:val="auto"/>
                <w:szCs w:val="2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rPr>
                <w:rFonts w:hint="eastAsia"/>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供应商供应的农产品必须要提供农产品合格证。</w:t>
            </w:r>
          </w:p>
          <w:p>
            <w:pPr>
              <w:spacing w:line="32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2.如有国家政策要求通过其他渠道（例如：脱贫地区农副产品网络销售平台）购买其他物资的，以国家政策为准，中标供应商需无条件执行。</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3.采购数量和金额是参考往年进行估算，采购人无法确保每家中标供应商的供货数量是否能达到估算金额，投标人应注意相关风险。</w:t>
            </w:r>
          </w:p>
          <w:p>
            <w:pPr>
              <w:spacing w:line="320" w:lineRule="exact"/>
              <w:rPr>
                <w:rFonts w:hint="default"/>
                <w:color w:val="auto"/>
                <w:highlight w:val="none"/>
                <w:lang w:val="en-US" w:eastAsia="zh-CN"/>
              </w:rPr>
            </w:pPr>
            <w:r>
              <w:rPr>
                <w:rFonts w:hint="eastAsia" w:ascii="宋体" w:hAnsi="宋体" w:eastAsia="宋体" w:cs="宋体"/>
                <w:color w:val="auto"/>
                <w:highlight w:val="none"/>
                <w:lang w:val="en-US" w:eastAsia="zh-CN"/>
              </w:rPr>
              <w:t>4.合同期内因不可抗力等因素导致无法正常履行合同的，采购人有权随时终止合同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b/>
                <w:bCs/>
                <w:color w:val="auto"/>
                <w:highlight w:val="none"/>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1.采购人在服务期限内对中标供应商实行考核制度，服务期限内（即一年内）若扣分累计达到30分或以上则采购人有权利取消中标供应商的配送资格。 </w:t>
            </w:r>
          </w:p>
          <w:p>
            <w:pPr>
              <w:spacing w:line="320" w:lineRule="exact"/>
              <w:rPr>
                <w:rFonts w:hint="eastAsia" w:ascii="宋体" w:hAnsi="宋体" w:eastAsia="宋体" w:cs="宋体"/>
                <w:color w:val="auto"/>
                <w:highlight w:val="none"/>
                <w:lang w:val="zh-Hans"/>
              </w:rPr>
            </w:pPr>
            <w:r>
              <w:rPr>
                <w:rFonts w:hint="eastAsia" w:ascii="宋体" w:hAnsi="宋体" w:eastAsia="宋体" w:cs="宋体"/>
                <w:color w:val="auto"/>
                <w:highlight w:val="none"/>
              </w:rPr>
              <w:t>2.考核标准：每次供应肉菜不提供残留农药合格证明扣10分；每次在上午</w:t>
            </w:r>
            <w:r>
              <w:rPr>
                <w:rFonts w:hint="eastAsia" w:ascii="宋体" w:hAnsi="宋体" w:cs="宋体"/>
                <w:color w:val="auto"/>
                <w:highlight w:val="none"/>
                <w:lang w:val="en-US" w:eastAsia="zh-CN"/>
              </w:rPr>
              <w:t>7</w:t>
            </w:r>
            <w:r>
              <w:rPr>
                <w:rFonts w:hint="eastAsia" w:ascii="宋体" w:hAnsi="宋体" w:eastAsia="宋体" w:cs="宋体"/>
                <w:color w:val="auto"/>
                <w:highlight w:val="none"/>
              </w:rPr>
              <w:t>:00后供货的扣2分。如因肉菜质量问题造成食品安全事故，中标供应商须负一切责任并且采购人有权利取消其中标供应商的配送资格。考核细则见技术要求附件《配送服务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color w:val="auto"/>
                <w:highlight w:val="none"/>
                <w:lang w:val="zh-Hans"/>
              </w:rPr>
              <w:t>质量考核评价办法》。</w:t>
            </w:r>
          </w:p>
          <w:p>
            <w:pPr>
              <w:spacing w:line="320" w:lineRule="exact"/>
              <w:rPr>
                <w:rFonts w:hint="eastAsia" w:ascii="宋体" w:hAnsi="宋体" w:eastAsia="宋体" w:cs="宋体"/>
                <w:color w:val="auto"/>
                <w:highlight w:val="none"/>
                <w:lang w:val="zh-Han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zh-Hans"/>
              </w:rPr>
              <w:t>采购人每月对中标供应商工作考核一次，若考核3次不达标的中标供应商，采购人有权终止中标供应商的合同</w:t>
            </w:r>
            <w:r>
              <w:rPr>
                <w:rFonts w:hint="eastAsia" w:ascii="宋体" w:hAnsi="宋体" w:cs="宋体"/>
                <w:color w:val="auto"/>
                <w:highlight w:val="none"/>
                <w:lang w:val="zh-Hans" w:eastAsia="zh-CN"/>
              </w:rPr>
              <w:t>，没收所有履约保证金。</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zh-Hans"/>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pPr>
              <w:spacing w:line="30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发改价格[2011]534号文的规定</w:t>
            </w:r>
            <w:r>
              <w:rPr>
                <w:rFonts w:hint="eastAsia" w:ascii="宋体" w:hAnsi="宋体" w:eastAsia="宋体" w:cs="宋体"/>
                <w:color w:val="auto"/>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adjustRightInd w:val="0"/>
        <w:snapToGrid w:val="0"/>
        <w:spacing w:line="360" w:lineRule="auto"/>
        <w:rPr>
          <w:b/>
          <w:color w:val="auto"/>
          <w:szCs w:val="21"/>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pStyle w:val="2"/>
        <w:rPr>
          <w:rFonts w:ascii="宋体" w:hAnsi="宋体"/>
          <w:bCs/>
          <w:color w:val="auto"/>
          <w:highlight w:val="none"/>
        </w:rPr>
      </w:pPr>
    </w:p>
    <w:p>
      <w:pPr>
        <w:rPr>
          <w:rFonts w:hint="eastAsia"/>
          <w:color w:val="auto"/>
          <w:kern w:val="0"/>
          <w:sz w:val="24"/>
          <w:highlight w:val="none"/>
        </w:rPr>
      </w:pPr>
      <w:bookmarkStart w:id="2110" w:name="_GoBack"/>
      <w:bookmarkEnd w:id="2110"/>
      <w:bookmarkStart w:id="113" w:name="_Toc505160648"/>
    </w:p>
    <w:p>
      <w:pPr>
        <w:pStyle w:val="4"/>
        <w:numPr>
          <w:ilvl w:val="0"/>
          <w:numId w:val="0"/>
        </w:numPr>
        <w:spacing w:beforeLines="150" w:after="0" w:line="360" w:lineRule="auto"/>
        <w:rPr>
          <w:color w:val="auto"/>
          <w:kern w:val="0"/>
          <w:sz w:val="24"/>
          <w:highlight w:val="none"/>
        </w:rPr>
      </w:pPr>
      <w:bookmarkStart w:id="114" w:name="_Toc4154"/>
      <w:r>
        <w:rPr>
          <w:rFonts w:hint="eastAsia"/>
          <w:color w:val="auto"/>
          <w:kern w:val="0"/>
          <w:sz w:val="24"/>
          <w:highlight w:val="none"/>
        </w:rPr>
        <w:t>B  技术要求</w:t>
      </w:r>
      <w:bookmarkEnd w:id="113"/>
      <w:bookmarkEnd w:id="114"/>
    </w:p>
    <w:p>
      <w:pPr>
        <w:spacing w:line="360" w:lineRule="exact"/>
        <w:rPr>
          <w:rFonts w:ascii="微软雅黑" w:hAnsi="微软雅黑" w:eastAsia="微软雅黑" w:cs="微软雅黑"/>
          <w:b/>
          <w:bCs/>
          <w:color w:val="auto"/>
          <w:sz w:val="20"/>
          <w:szCs w:val="20"/>
          <w:highlight w:val="none"/>
        </w:rPr>
      </w:pPr>
    </w:p>
    <w:p>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auto"/>
          <w:szCs w:val="21"/>
          <w:highlight w:val="none"/>
        </w:rPr>
      </w:pPr>
      <w:r>
        <w:rPr>
          <w:rFonts w:hint="eastAsia" w:ascii="宋体" w:hAnsi="宋体" w:eastAsia="宋体" w:cs="宋体"/>
          <w:b/>
          <w:color w:val="auto"/>
          <w:sz w:val="21"/>
          <w:szCs w:val="21"/>
          <w:highlight w:val="none"/>
        </w:rPr>
        <w:t>一、</w:t>
      </w:r>
      <w:r>
        <w:rPr>
          <w:rFonts w:hint="eastAsia" w:ascii="宋体" w:hAnsi="宋体"/>
          <w:b/>
          <w:color w:val="auto"/>
          <w:szCs w:val="21"/>
          <w:highlight w:val="none"/>
        </w:rPr>
        <w:t>总体要求</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olor w:val="auto"/>
          <w:highlight w:val="none"/>
        </w:rPr>
        <w:t>、</w:t>
      </w:r>
      <w:r>
        <w:rPr>
          <w:rFonts w:hint="eastAsia" w:ascii="宋体" w:hAnsi="宋体" w:cs="宋体"/>
          <w:color w:val="auto"/>
          <w:highlight w:val="none"/>
        </w:rPr>
        <w:t>★所有食材要求为非转基因食品。</w:t>
      </w:r>
    </w:p>
    <w:p>
      <w:pPr>
        <w:spacing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2</w:t>
      </w:r>
      <w:r>
        <w:rPr>
          <w:rFonts w:hint="eastAsia" w:ascii="宋体" w:hAnsi="宋体"/>
          <w:color w:val="auto"/>
          <w:highlight w:val="none"/>
        </w:rPr>
        <w:t>、</w:t>
      </w:r>
      <w:r>
        <w:rPr>
          <w:rFonts w:hint="eastAsia" w:ascii="宋体" w:hAnsi="宋体" w:cs="宋体"/>
          <w:color w:val="auto"/>
          <w:spacing w:val="-3"/>
          <w:szCs w:val="21"/>
          <w:highlight w:val="none"/>
        </w:rPr>
        <w:t>食材</w:t>
      </w:r>
      <w:r>
        <w:rPr>
          <w:rFonts w:hint="eastAsia" w:ascii="宋体" w:hAnsi="宋体" w:cs="宋体"/>
          <w:color w:val="auto"/>
          <w:spacing w:val="-11"/>
          <w:szCs w:val="21"/>
          <w:highlight w:val="none"/>
        </w:rPr>
        <w:t>有使用</w:t>
      </w:r>
      <w:r>
        <w:rPr>
          <w:rFonts w:hint="eastAsia" w:ascii="宋体" w:hAnsi="宋体" w:cs="宋体"/>
          <w:color w:val="auto"/>
          <w:szCs w:val="20"/>
          <w:highlight w:val="none"/>
        </w:rPr>
        <w:t>有效期</w:t>
      </w:r>
      <w:r>
        <w:rPr>
          <w:rFonts w:hint="eastAsia" w:ascii="宋体" w:hAnsi="宋体" w:cs="宋体"/>
          <w:color w:val="auto"/>
          <w:spacing w:val="-11"/>
          <w:szCs w:val="21"/>
          <w:highlight w:val="none"/>
        </w:rPr>
        <w:t>的，其剩余有效期不</w:t>
      </w:r>
      <w:r>
        <w:rPr>
          <w:rFonts w:hint="eastAsia" w:ascii="宋体" w:hAnsi="宋体"/>
          <w:color w:val="auto"/>
          <w:kern w:val="0"/>
          <w:szCs w:val="21"/>
          <w:highlight w:val="none"/>
        </w:rPr>
        <w:t>得少于标注有效期的80%</w:t>
      </w:r>
      <w:r>
        <w:rPr>
          <w:rFonts w:hint="eastAsia" w:ascii="宋体" w:hAnsi="宋体" w:cs="宋体"/>
          <w:color w:val="auto"/>
          <w:szCs w:val="21"/>
          <w:highlight w:val="none"/>
        </w:rPr>
        <w:t>。</w:t>
      </w:r>
    </w:p>
    <w:p>
      <w:pPr>
        <w:spacing w:line="360" w:lineRule="auto"/>
        <w:rPr>
          <w:rFonts w:ascii="宋体" w:hAnsi="宋体"/>
          <w:color w:val="auto"/>
          <w:highlight w:val="none"/>
        </w:rPr>
      </w:pPr>
      <w:r>
        <w:rPr>
          <w:rFonts w:hint="eastAsia" w:ascii="宋体" w:hAnsi="宋体"/>
          <w:color w:val="auto"/>
          <w:highlight w:val="none"/>
        </w:rPr>
        <w:t>3、所供的物品必须符合“中华人民共和国食品卫生法”要求。</w:t>
      </w:r>
    </w:p>
    <w:p>
      <w:pPr>
        <w:snapToGrid w:val="0"/>
        <w:spacing w:line="360" w:lineRule="auto"/>
        <w:rPr>
          <w:rFonts w:hint="eastAsia"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供应商</w:t>
      </w:r>
      <w:r>
        <w:rPr>
          <w:rFonts w:hint="eastAsia" w:ascii="宋体" w:hAnsi="宋体"/>
          <w:color w:val="auto"/>
          <w:highlight w:val="none"/>
        </w:rPr>
        <w:t>必须具备国家规定的相关合法手续，如有关部门颁发的营业执照、《食品经</w:t>
      </w:r>
      <w:r>
        <w:rPr>
          <w:rFonts w:hint="eastAsia" w:ascii="宋体" w:hAnsi="宋体"/>
          <w:color w:val="auto"/>
          <w:highlight w:val="none"/>
          <w:lang w:val="en-US" w:eastAsia="zh-CN"/>
        </w:rPr>
        <w:t>营许</w:t>
      </w:r>
      <w:r>
        <w:rPr>
          <w:rFonts w:hint="eastAsia" w:ascii="宋体" w:hAnsi="宋体"/>
          <w:color w:val="auto"/>
          <w:highlight w:val="none"/>
        </w:rPr>
        <w:t>可证》或《食品生产许可证》等。不得销售</w:t>
      </w:r>
      <w:r>
        <w:rPr>
          <w:rFonts w:hint="eastAsia" w:ascii="宋体" w:hAnsi="宋体"/>
          <w:color w:val="auto"/>
          <w:highlight w:val="none"/>
          <w:lang w:eastAsia="zh-CN"/>
        </w:rPr>
        <w:t>“</w:t>
      </w:r>
      <w:r>
        <w:rPr>
          <w:rFonts w:hint="eastAsia" w:ascii="宋体" w:hAnsi="宋体"/>
          <w:color w:val="auto"/>
          <w:highlight w:val="none"/>
        </w:rPr>
        <w:t>三无</w:t>
      </w:r>
      <w:r>
        <w:rPr>
          <w:rFonts w:hint="eastAsia" w:ascii="宋体" w:hAnsi="宋体"/>
          <w:color w:val="auto"/>
          <w:highlight w:val="none"/>
          <w:lang w:eastAsia="zh-CN"/>
        </w:rPr>
        <w:t>”</w:t>
      </w:r>
      <w:r>
        <w:rPr>
          <w:rFonts w:hint="eastAsia" w:ascii="宋体" w:hAnsi="宋体"/>
          <w:color w:val="auto"/>
          <w:highlight w:val="none"/>
        </w:rPr>
        <w:t>产品，否则后果自负。</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eastAsia="zh-CN"/>
        </w:rPr>
        <w:t>供应商</w:t>
      </w:r>
      <w:r>
        <w:rPr>
          <w:rFonts w:hint="eastAsia" w:ascii="宋体" w:hAnsi="宋体"/>
          <w:color w:val="auto"/>
          <w:highlight w:val="none"/>
        </w:rPr>
        <w:t>必须做到正规渠道进货，必须保证供货质量，不得向学校食堂出售霉烂、变</w:t>
      </w:r>
      <w:r>
        <w:rPr>
          <w:rFonts w:hint="eastAsia" w:ascii="宋体" w:hAnsi="宋体"/>
          <w:color w:val="auto"/>
          <w:highlight w:val="none"/>
          <w:lang w:val="en-US" w:eastAsia="zh-CN"/>
        </w:rPr>
        <w:t>质、</w:t>
      </w:r>
      <w:r>
        <w:rPr>
          <w:rFonts w:hint="eastAsia" w:ascii="宋体" w:hAnsi="宋体"/>
          <w:color w:val="auto"/>
          <w:highlight w:val="none"/>
        </w:rPr>
        <w:t>有毒等不符合安全标准的肉类、蔬菜、调味品和食品等，如学校师生发生食品中毒事件，</w:t>
      </w:r>
      <w:r>
        <w:rPr>
          <w:rFonts w:hint="eastAsia" w:ascii="宋体" w:hAnsi="宋体"/>
          <w:color w:val="auto"/>
          <w:highlight w:val="none"/>
          <w:lang w:val="en-US" w:eastAsia="zh-CN"/>
        </w:rPr>
        <w:t>根据</w:t>
      </w:r>
      <w:r>
        <w:rPr>
          <w:rFonts w:hint="eastAsia" w:ascii="宋体" w:hAnsi="宋体"/>
          <w:color w:val="auto"/>
          <w:highlight w:val="none"/>
        </w:rPr>
        <w:t>调查核实后依法追究有关责任方刑事责任和民事责任。</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w:t>
      </w:r>
      <w:r>
        <w:rPr>
          <w:rFonts w:hint="eastAsia" w:ascii="宋体" w:hAnsi="宋体"/>
          <w:color w:val="auto"/>
          <w:highlight w:val="none"/>
          <w:lang w:eastAsia="zh-CN"/>
        </w:rPr>
        <w:t>供应商</w:t>
      </w:r>
      <w:r>
        <w:rPr>
          <w:rFonts w:hint="eastAsia" w:ascii="宋体" w:hAnsi="宋体"/>
          <w:color w:val="auto"/>
          <w:highlight w:val="none"/>
        </w:rPr>
        <w:t>必须按照</w:t>
      </w:r>
      <w:r>
        <w:rPr>
          <w:rFonts w:hint="eastAsia" w:ascii="宋体" w:hAnsi="宋体"/>
          <w:color w:val="auto"/>
          <w:highlight w:val="none"/>
          <w:lang w:eastAsia="zh-CN"/>
        </w:rPr>
        <w:t>采购人</w:t>
      </w:r>
      <w:r>
        <w:rPr>
          <w:rFonts w:hint="eastAsia" w:ascii="宋体" w:hAnsi="宋体"/>
          <w:color w:val="auto"/>
          <w:highlight w:val="none"/>
        </w:rPr>
        <w:t>需要的肉类、调味品、蔬菜等的种类、数量、时间供货、不得</w:t>
      </w:r>
      <w:r>
        <w:rPr>
          <w:rFonts w:hint="eastAsia" w:ascii="宋体" w:hAnsi="宋体"/>
          <w:color w:val="auto"/>
          <w:highlight w:val="none"/>
          <w:lang w:val="en-US" w:eastAsia="zh-CN"/>
        </w:rPr>
        <w:t>超量</w:t>
      </w:r>
      <w:r>
        <w:rPr>
          <w:rFonts w:hint="eastAsia" w:ascii="宋体" w:hAnsi="宋体"/>
          <w:color w:val="auto"/>
          <w:highlight w:val="none"/>
        </w:rPr>
        <w:t>、延时、增加品种，否则</w:t>
      </w:r>
      <w:r>
        <w:rPr>
          <w:rFonts w:hint="eastAsia" w:ascii="宋体" w:hAnsi="宋体"/>
          <w:color w:val="auto"/>
          <w:highlight w:val="none"/>
          <w:lang w:eastAsia="zh-CN"/>
        </w:rPr>
        <w:t>采购人</w:t>
      </w:r>
      <w:r>
        <w:rPr>
          <w:rFonts w:hint="eastAsia" w:ascii="宋体" w:hAnsi="宋体"/>
          <w:color w:val="auto"/>
          <w:highlight w:val="none"/>
        </w:rPr>
        <w:t>有权拒收</w:t>
      </w:r>
      <w:r>
        <w:rPr>
          <w:rFonts w:hint="eastAsia" w:ascii="宋体" w:hAnsi="宋体"/>
          <w:color w:val="auto"/>
          <w:highlight w:val="none"/>
          <w:lang w:val="en-US" w:eastAsia="zh-CN"/>
        </w:rPr>
        <w:t>供应商</w:t>
      </w:r>
      <w:r>
        <w:rPr>
          <w:rFonts w:hint="eastAsia" w:ascii="宋体" w:hAnsi="宋体"/>
          <w:color w:val="auto"/>
          <w:highlight w:val="none"/>
        </w:rPr>
        <w:t>送交的肉类、调味品、蔬菜等食品。</w:t>
      </w:r>
    </w:p>
    <w:p>
      <w:pPr>
        <w:snapToGrid w:val="0"/>
        <w:spacing w:line="360" w:lineRule="auto"/>
        <w:rPr>
          <w:rFonts w:hint="default" w:ascii="宋体" w:hAnsi="宋体"/>
          <w:color w:val="auto"/>
          <w:highlight w:val="none"/>
          <w:lang w:val="en-US" w:eastAsia="zh-CN"/>
        </w:rPr>
      </w:pPr>
      <w:r>
        <w:rPr>
          <w:rFonts w:hint="eastAsia" w:ascii="宋体" w:hAnsi="宋体"/>
          <w:color w:val="auto"/>
          <w:highlight w:val="none"/>
          <w:lang w:val="en-US" w:eastAsia="zh-CN"/>
        </w:rPr>
        <w:t>7</w:t>
      </w:r>
      <w:r>
        <w:rPr>
          <w:rFonts w:hint="eastAsia" w:ascii="宋体" w:hAnsi="宋体"/>
          <w:color w:val="auto"/>
          <w:highlight w:val="none"/>
        </w:rPr>
        <w:t>、变质、过期、霉烂的食品，</w:t>
      </w:r>
      <w:r>
        <w:rPr>
          <w:rFonts w:hint="eastAsia" w:ascii="宋体" w:hAnsi="宋体"/>
          <w:color w:val="auto"/>
          <w:highlight w:val="none"/>
          <w:lang w:eastAsia="zh-CN"/>
        </w:rPr>
        <w:t>供应商</w:t>
      </w:r>
      <w:r>
        <w:rPr>
          <w:rFonts w:hint="eastAsia" w:ascii="宋体" w:hAnsi="宋体"/>
          <w:color w:val="auto"/>
          <w:highlight w:val="none"/>
        </w:rPr>
        <w:t>应自觉地处理，不得向学校销售，如出现学生中</w:t>
      </w:r>
      <w:r>
        <w:rPr>
          <w:rFonts w:hint="eastAsia" w:ascii="宋体" w:hAnsi="宋体"/>
          <w:color w:val="auto"/>
          <w:highlight w:val="none"/>
          <w:lang w:val="en-US" w:eastAsia="zh-CN"/>
        </w:rPr>
        <w:t>毒</w:t>
      </w:r>
      <w:r>
        <w:rPr>
          <w:rFonts w:hint="eastAsia" w:ascii="宋体" w:hAnsi="宋体"/>
          <w:color w:val="auto"/>
          <w:highlight w:val="none"/>
        </w:rPr>
        <w:t>或相关食品安全问题</w:t>
      </w:r>
      <w:r>
        <w:rPr>
          <w:rFonts w:hint="eastAsia" w:ascii="宋体" w:hAnsi="宋体"/>
          <w:color w:val="auto"/>
          <w:highlight w:val="none"/>
          <w:lang w:eastAsia="zh-CN"/>
        </w:rPr>
        <w:t>，供应商</w:t>
      </w:r>
      <w:r>
        <w:rPr>
          <w:rFonts w:hint="eastAsia" w:ascii="宋体" w:hAnsi="宋体"/>
          <w:color w:val="auto"/>
          <w:highlight w:val="none"/>
        </w:rPr>
        <w:t>应承担全部责任，校方有权终止合同</w:t>
      </w:r>
      <w:r>
        <w:rPr>
          <w:rFonts w:hint="eastAsia" w:ascii="宋体" w:hAnsi="宋体"/>
          <w:color w:val="auto"/>
          <w:highlight w:val="none"/>
          <w:lang w:eastAsia="zh-CN"/>
        </w:rPr>
        <w:t>，</w:t>
      </w:r>
      <w:r>
        <w:rPr>
          <w:rFonts w:hint="eastAsia" w:ascii="宋体" w:hAnsi="宋体"/>
          <w:color w:val="auto"/>
          <w:highlight w:val="none"/>
          <w:lang w:val="en-US" w:eastAsia="zh-CN"/>
        </w:rPr>
        <w:t>并没收所有履约保证金。</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w:t>
      </w:r>
      <w:r>
        <w:rPr>
          <w:rFonts w:hint="eastAsia" w:ascii="宋体" w:hAnsi="宋体"/>
          <w:color w:val="auto"/>
          <w:highlight w:val="none"/>
          <w:lang w:eastAsia="zh-CN"/>
        </w:rPr>
        <w:t>供应商</w:t>
      </w:r>
      <w:r>
        <w:rPr>
          <w:rFonts w:hint="eastAsia" w:ascii="宋体" w:hAnsi="宋体"/>
          <w:color w:val="auto"/>
          <w:highlight w:val="none"/>
        </w:rPr>
        <w:t>应认真配合</w:t>
      </w:r>
      <w:r>
        <w:rPr>
          <w:rFonts w:hint="eastAsia" w:ascii="宋体" w:hAnsi="宋体"/>
          <w:color w:val="auto"/>
          <w:highlight w:val="none"/>
          <w:lang w:eastAsia="zh-CN"/>
        </w:rPr>
        <w:t>采购人</w:t>
      </w:r>
      <w:r>
        <w:rPr>
          <w:rFonts w:hint="eastAsia" w:ascii="宋体" w:hAnsi="宋体"/>
          <w:color w:val="auto"/>
          <w:highlight w:val="none"/>
        </w:rPr>
        <w:t>管理人员的工作，按时、保质、保量送货到食堂，做到食品</w:t>
      </w:r>
      <w:r>
        <w:rPr>
          <w:rFonts w:hint="eastAsia" w:ascii="宋体" w:hAnsi="宋体"/>
          <w:color w:val="auto"/>
          <w:highlight w:val="none"/>
          <w:lang w:val="en-US" w:eastAsia="zh-CN"/>
        </w:rPr>
        <w:t>新</w:t>
      </w:r>
      <w:r>
        <w:rPr>
          <w:rFonts w:hint="eastAsia" w:ascii="宋体" w:hAnsi="宋体"/>
          <w:color w:val="auto"/>
          <w:highlight w:val="none"/>
        </w:rPr>
        <w:t>鲜，不能有冻品变质、霉烂、过期或临期食品，价格合理，不得弄虚作假，不得以次充好，不得</w:t>
      </w:r>
      <w:r>
        <w:rPr>
          <w:rFonts w:hint="eastAsia" w:ascii="宋体" w:hAnsi="宋体"/>
          <w:color w:val="auto"/>
          <w:highlight w:val="none"/>
          <w:lang w:val="en-US" w:eastAsia="zh-CN"/>
        </w:rPr>
        <w:t>擅</w:t>
      </w:r>
      <w:r>
        <w:rPr>
          <w:rFonts w:hint="eastAsia" w:ascii="宋体" w:hAnsi="宋体"/>
          <w:color w:val="auto"/>
          <w:highlight w:val="none"/>
        </w:rPr>
        <w:t>自改变各种食品的数量、价格和品种，否则</w:t>
      </w:r>
      <w:r>
        <w:rPr>
          <w:rFonts w:hint="eastAsia" w:ascii="宋体" w:hAnsi="宋体"/>
          <w:color w:val="auto"/>
          <w:highlight w:val="none"/>
          <w:lang w:eastAsia="zh-CN"/>
        </w:rPr>
        <w:t>采购人</w:t>
      </w:r>
      <w:r>
        <w:rPr>
          <w:rFonts w:hint="eastAsia" w:ascii="宋体" w:hAnsi="宋体"/>
          <w:color w:val="auto"/>
          <w:highlight w:val="none"/>
        </w:rPr>
        <w:t>有权拒收并追究</w:t>
      </w:r>
      <w:r>
        <w:rPr>
          <w:rFonts w:hint="eastAsia" w:ascii="宋体" w:hAnsi="宋体"/>
          <w:color w:val="auto"/>
          <w:highlight w:val="none"/>
          <w:lang w:eastAsia="zh-CN"/>
        </w:rPr>
        <w:t>供应商，</w:t>
      </w:r>
      <w:r>
        <w:rPr>
          <w:rFonts w:hint="eastAsia" w:ascii="宋体" w:hAnsi="宋体"/>
          <w:color w:val="auto"/>
          <w:highlight w:val="none"/>
        </w:rPr>
        <w:t>由此导致</w:t>
      </w:r>
      <w:r>
        <w:rPr>
          <w:rFonts w:hint="eastAsia" w:ascii="宋体" w:hAnsi="宋体"/>
          <w:color w:val="auto"/>
          <w:highlight w:val="none"/>
          <w:lang w:eastAsia="zh-CN"/>
        </w:rPr>
        <w:t>采购人</w:t>
      </w:r>
      <w:r>
        <w:rPr>
          <w:rFonts w:hint="eastAsia" w:ascii="宋体" w:hAnsi="宋体"/>
          <w:color w:val="auto"/>
          <w:highlight w:val="none"/>
        </w:rPr>
        <w:t>造</w:t>
      </w:r>
      <w:r>
        <w:rPr>
          <w:rFonts w:hint="eastAsia" w:ascii="宋体" w:hAnsi="宋体"/>
          <w:color w:val="auto"/>
          <w:highlight w:val="none"/>
          <w:lang w:val="en-US" w:eastAsia="zh-CN"/>
        </w:rPr>
        <w:t>成</w:t>
      </w:r>
      <w:r>
        <w:rPr>
          <w:rFonts w:hint="eastAsia" w:ascii="宋体" w:hAnsi="宋体"/>
          <w:color w:val="auto"/>
          <w:highlight w:val="none"/>
        </w:rPr>
        <w:t>的损失。</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、所供商品必须符合国家行业生产及经营标准，货真价实，均能提供相应批次的合格检验证明。</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、供应的货物必须各项技术指标完全符合国家有关质量检测、环保标准及产品出厂标准。</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11</w:t>
      </w:r>
      <w:r>
        <w:rPr>
          <w:rFonts w:hint="eastAsia" w:ascii="宋体" w:hAnsi="宋体"/>
          <w:color w:val="auto"/>
          <w:highlight w:val="none"/>
        </w:rPr>
        <w:t>、供应商必须负责中标货物的运输、质量检测等工作，所产生的费用由中标供应商负责。</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12</w:t>
      </w:r>
      <w:r>
        <w:rPr>
          <w:rFonts w:hint="eastAsia" w:ascii="宋体" w:hAnsi="宋体"/>
          <w:color w:val="auto"/>
          <w:highlight w:val="none"/>
        </w:rPr>
        <w:t>、物品具体需求量以实际供应前一天通知的为准。</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13</w:t>
      </w:r>
      <w:r>
        <w:rPr>
          <w:rFonts w:hint="eastAsia" w:ascii="宋体" w:hAnsi="宋体"/>
          <w:color w:val="auto"/>
          <w:highlight w:val="none"/>
        </w:rPr>
        <w:t>、供应商未经</w:t>
      </w:r>
      <w:r>
        <w:rPr>
          <w:rFonts w:hint="eastAsia" w:ascii="宋体" w:hAnsi="宋体"/>
          <w:color w:val="auto"/>
          <w:highlight w:val="none"/>
          <w:lang w:val="en-US" w:eastAsia="zh-CN"/>
        </w:rPr>
        <w:t>采购人</w:t>
      </w:r>
      <w:r>
        <w:rPr>
          <w:rFonts w:hint="eastAsia" w:ascii="宋体" w:hAnsi="宋体"/>
          <w:color w:val="auto"/>
          <w:highlight w:val="none"/>
        </w:rPr>
        <w:t>同意，中标</w:t>
      </w:r>
      <w:r>
        <w:rPr>
          <w:rFonts w:hint="eastAsia" w:ascii="宋体" w:hAnsi="宋体"/>
          <w:color w:val="auto"/>
          <w:highlight w:val="none"/>
          <w:lang w:val="en-US" w:eastAsia="zh-CN"/>
        </w:rPr>
        <w:t>供应商</w:t>
      </w:r>
      <w:r>
        <w:rPr>
          <w:rFonts w:hint="eastAsia" w:ascii="宋体" w:hAnsi="宋体"/>
          <w:color w:val="auto"/>
          <w:highlight w:val="none"/>
        </w:rPr>
        <w:t>不得转让或转租中标项目</w:t>
      </w:r>
      <w:r>
        <w:rPr>
          <w:rFonts w:hint="eastAsia" w:ascii="宋体" w:hAnsi="宋体"/>
          <w:color w:val="auto"/>
          <w:highlight w:val="none"/>
          <w:lang w:eastAsia="zh-CN"/>
        </w:rPr>
        <w:t>，</w:t>
      </w:r>
      <w:r>
        <w:rPr>
          <w:rFonts w:hint="eastAsia" w:ascii="宋体" w:hAnsi="宋体"/>
          <w:color w:val="auto"/>
          <w:highlight w:val="none"/>
        </w:rPr>
        <w:t>如经发现则</w:t>
      </w:r>
      <w:r>
        <w:rPr>
          <w:rFonts w:hint="eastAsia" w:ascii="宋体" w:hAnsi="宋体"/>
          <w:color w:val="auto"/>
          <w:highlight w:val="none"/>
          <w:lang w:val="en-US" w:eastAsia="zh-CN"/>
        </w:rPr>
        <w:t>采购人</w:t>
      </w:r>
      <w:r>
        <w:rPr>
          <w:rFonts w:hint="eastAsia" w:ascii="宋体" w:hAnsi="宋体"/>
          <w:color w:val="auto"/>
          <w:highlight w:val="none"/>
        </w:rPr>
        <w:t>有权终止合</w:t>
      </w:r>
      <w:r>
        <w:rPr>
          <w:rFonts w:hint="eastAsia" w:ascii="宋体" w:hAnsi="宋体"/>
          <w:color w:val="auto"/>
          <w:highlight w:val="none"/>
          <w:lang w:val="en-US" w:eastAsia="zh-CN"/>
        </w:rPr>
        <w:t>同，所做</w:t>
      </w:r>
      <w:r>
        <w:rPr>
          <w:rFonts w:hint="eastAsia" w:ascii="宋体" w:hAnsi="宋体"/>
          <w:color w:val="auto"/>
          <w:highlight w:val="none"/>
        </w:rPr>
        <w:t>项目不予结</w:t>
      </w:r>
      <w:r>
        <w:rPr>
          <w:rFonts w:hint="eastAsia" w:ascii="宋体" w:hAnsi="宋体"/>
          <w:color w:val="auto"/>
          <w:highlight w:val="none"/>
          <w:lang w:val="en-US" w:eastAsia="zh-CN"/>
        </w:rPr>
        <w:t>算</w:t>
      </w:r>
      <w:r>
        <w:rPr>
          <w:rFonts w:hint="eastAsia" w:ascii="宋体" w:hAnsi="宋体"/>
          <w:color w:val="auto"/>
          <w:highlight w:val="none"/>
        </w:rPr>
        <w:t>。</w:t>
      </w:r>
    </w:p>
    <w:p>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14</w:t>
      </w:r>
      <w:r>
        <w:rPr>
          <w:rFonts w:hint="eastAsia" w:ascii="宋体" w:hAnsi="宋体"/>
          <w:color w:val="auto"/>
          <w:highlight w:val="none"/>
        </w:rPr>
        <w:t>、由于采购人工作的特殊性，供应商应做好本单位工作人员的教育工作，遵守采购人各项规定。</w:t>
      </w:r>
    </w:p>
    <w:p>
      <w:pPr>
        <w:snapToGrid w:val="0"/>
        <w:spacing w:line="360" w:lineRule="auto"/>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5</w:t>
      </w:r>
      <w:r>
        <w:rPr>
          <w:rFonts w:hint="eastAsia" w:ascii="宋体" w:hAnsi="宋体"/>
          <w:color w:val="auto"/>
          <w:highlight w:val="none"/>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snapToGrid w:val="0"/>
        <w:spacing w:line="360" w:lineRule="auto"/>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、供应商不得变更供应商品，应严格按招标要求（含商标、名称、产地、规格和重量等）供应，否则，采购人有权拒收。如因市场流通问题确实需要变更的，应书面向采购人申请，按采购人书面回复的意见执行。</w:t>
      </w:r>
    </w:p>
    <w:p>
      <w:pPr>
        <w:snapToGrid w:val="0"/>
        <w:spacing w:line="360" w:lineRule="auto"/>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、中标供应商</w:t>
      </w:r>
      <w:r>
        <w:rPr>
          <w:rFonts w:hint="eastAsia" w:ascii="宋体" w:hAnsi="宋体"/>
          <w:color w:val="auto"/>
          <w:highlight w:val="none"/>
          <w:lang w:val="en-US" w:eastAsia="zh-CN"/>
        </w:rPr>
        <w:t>须购买食品安全责任险</w:t>
      </w:r>
      <w:r>
        <w:rPr>
          <w:rFonts w:hint="eastAsia" w:ascii="宋体" w:hAnsi="宋体"/>
          <w:color w:val="auto"/>
          <w:highlight w:val="none"/>
        </w:rPr>
        <w:t>。</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二、采购食品验收标准</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符合《中华人民共和国食品安全法》要求。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符合中华人民共和国国家和履约地相关安全质量标准、行业规范标准、环保标准等。</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符合招标文件和投标承诺中各方共同认可的各项要求。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2.1 运输工具</w:t>
      </w:r>
      <w:r>
        <w:rPr>
          <w:rFonts w:hint="eastAsia" w:ascii="宋体" w:hAnsi="宋体" w:cs="宋体"/>
          <w:bCs/>
          <w:color w:val="auto"/>
          <w:sz w:val="21"/>
          <w:szCs w:val="21"/>
          <w:highlight w:val="none"/>
          <w:lang w:val="en-US" w:eastAsia="zh-CN"/>
        </w:rPr>
        <w:t>须为箱式货车，</w:t>
      </w:r>
      <w:r>
        <w:rPr>
          <w:rFonts w:hint="eastAsia" w:ascii="宋体" w:hAnsi="宋体" w:eastAsia="宋体" w:cs="宋体"/>
          <w:bCs/>
          <w:color w:val="auto"/>
          <w:sz w:val="21"/>
          <w:szCs w:val="21"/>
          <w:highlight w:val="none"/>
        </w:rPr>
        <w:t>应清洁卫生无污染，并且要保持清洁和定期消毒</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运输人员须具有健康证。</w:t>
      </w:r>
    </w:p>
    <w:p>
      <w:pPr>
        <w:pStyle w:val="192"/>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Theme="minorEastAsia"/>
          <w:b/>
          <w:color w:val="auto"/>
          <w:szCs w:val="21"/>
          <w:highlight w:val="none"/>
          <w:lang w:eastAsia="zh-CN"/>
        </w:rPr>
      </w:pPr>
      <w:r>
        <w:rPr>
          <w:rFonts w:hint="eastAsia" w:ascii="宋体" w:hAnsi="宋体"/>
          <w:b/>
          <w:color w:val="auto"/>
          <w:szCs w:val="21"/>
          <w:highlight w:val="none"/>
          <w:lang w:val="en-US" w:eastAsia="zh-CN"/>
        </w:rPr>
        <w:t>四</w:t>
      </w:r>
      <w:r>
        <w:rPr>
          <w:rFonts w:hint="eastAsia" w:ascii="宋体" w:hAnsi="宋体"/>
          <w:b/>
          <w:color w:val="auto"/>
          <w:szCs w:val="21"/>
          <w:highlight w:val="none"/>
        </w:rPr>
        <w:t>、具体项目要求</w:t>
      </w:r>
      <w:r>
        <w:rPr>
          <w:rFonts w:hint="eastAsia" w:ascii="宋体" w:hAnsi="宋体"/>
          <w:b/>
          <w:color w:val="auto"/>
          <w:szCs w:val="21"/>
          <w:highlight w:val="none"/>
          <w:lang w:eastAsia="zh-CN"/>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b/>
          <w:bCs/>
          <w:color w:val="auto"/>
          <w:highlight w:val="none"/>
        </w:rPr>
      </w:pPr>
      <w:r>
        <w:rPr>
          <w:rFonts w:hint="eastAsia" w:ascii="宋体" w:hAnsi="宋体"/>
          <w:b/>
          <w:bCs/>
          <w:color w:val="auto"/>
          <w:highlight w:val="none"/>
        </w:rPr>
        <w:t>肉类、腊味制品、瓜果疏菜、水产海鲜</w:t>
      </w:r>
      <w:r>
        <w:rPr>
          <w:rFonts w:hint="eastAsia" w:ascii="宋体" w:hAnsi="宋体"/>
          <w:b/>
          <w:bCs/>
          <w:color w:val="auto"/>
          <w:highlight w:val="none"/>
          <w:lang w:eastAsia="zh-CN"/>
        </w:rPr>
        <w:t>、冻品</w:t>
      </w:r>
      <w:r>
        <w:rPr>
          <w:rFonts w:hint="eastAsia" w:ascii="宋体" w:hAnsi="宋体"/>
          <w:b/>
          <w:bCs/>
          <w:color w:val="auto"/>
          <w:highlight w:val="none"/>
        </w:rPr>
        <w:t>类</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auto"/>
          <w:highlight w:val="none"/>
        </w:rPr>
      </w:pPr>
      <w:r>
        <w:rPr>
          <w:rFonts w:hint="eastAsia" w:ascii="宋体" w:hAnsi="宋体"/>
          <w:b/>
          <w:color w:val="auto"/>
          <w:highlight w:val="none"/>
        </w:rPr>
        <w:t>1、鲜肉（边猪）、家禽、鱼类基本要求</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a）所供货物应保持较好的外观和质量等级，严格遵守《动物检疫法》和《食物卫生法》等相关规定。符合国家食品部门的有关标准，保证无异味、无霉烂变质，肉类保证</w:t>
      </w:r>
      <w:r>
        <w:rPr>
          <w:rFonts w:hint="eastAsia" w:ascii="宋体" w:hAnsi="宋体"/>
          <w:color w:val="auto"/>
          <w:highlight w:val="none"/>
          <w:lang w:val="en-US" w:eastAsia="zh-CN"/>
        </w:rPr>
        <w:t>当天新鲜并</w:t>
      </w:r>
      <w:r>
        <w:rPr>
          <w:rFonts w:hint="eastAsia" w:ascii="宋体" w:hAnsi="宋体"/>
          <w:color w:val="auto"/>
          <w:highlight w:val="none"/>
        </w:rPr>
        <w:t>来源于正规肉联厂，供货时须提交肉联厂的验收单及当批次有效的动物检疫合格证复印件（原件备查），鲜肉确保每日新鲜、无异味。</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b）鲜肉[边猪（白条猪）]净重35KG以上，去头、去蹄、去板油、去内脏。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c）鸡、鹅、鸭需去毛、去内脏。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d）鱼类要求鱼眼睛清亮，角膜透明，鳞片上覆有冻结的透明黏液层，皮肤天然色泽明显。</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e）所有货物规格符合采购人提交的日采购计划中明确的具体需求，所有的肉类产品不得有注水现象。</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f）不得供应冷冻禽类、猪肉类食品。</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bCs/>
          <w:color w:val="auto"/>
          <w:highlight w:val="none"/>
        </w:rPr>
      </w:pPr>
      <w:r>
        <w:rPr>
          <w:rFonts w:hint="eastAsia" w:ascii="宋体" w:hAnsi="宋体"/>
          <w:b/>
          <w:bCs/>
          <w:color w:val="auto"/>
          <w:highlight w:val="none"/>
        </w:rPr>
        <w:t>2、腊味：</w:t>
      </w:r>
    </w:p>
    <w:p>
      <w:pPr>
        <w:keepNext w:val="0"/>
        <w:keepLines w:val="0"/>
        <w:pageBreakBefore w:val="0"/>
        <w:kinsoku/>
        <w:wordWrap/>
        <w:overflowPunct/>
        <w:topLinePunct w:val="0"/>
        <w:autoSpaceDE/>
        <w:autoSpaceDN/>
        <w:bidi w:val="0"/>
        <w:snapToGrid w:val="0"/>
        <w:spacing w:line="360" w:lineRule="auto"/>
        <w:ind w:left="210" w:leftChars="100" w:firstLine="420" w:firstLineChars="200"/>
        <w:textAlignment w:val="auto"/>
        <w:outlineLvl w:val="9"/>
        <w:rPr>
          <w:rFonts w:hint="eastAsia" w:ascii="宋体" w:hAnsi="宋体"/>
          <w:color w:val="auto"/>
          <w:highlight w:val="none"/>
        </w:rPr>
      </w:pPr>
      <w:r>
        <w:rPr>
          <w:rFonts w:hint="eastAsia" w:ascii="宋体" w:hAnsi="宋体"/>
          <w:color w:val="auto"/>
          <w:highlight w:val="none"/>
        </w:rPr>
        <w:t>符合国家食品部门有关标准，色泽鲜明，肌肉暗红色，脂肪透明呈乳白色，肉干燥结实，带有固有的腊式香味。</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auto"/>
          <w:highlight w:val="none"/>
        </w:rPr>
      </w:pPr>
      <w:r>
        <w:rPr>
          <w:rFonts w:hint="eastAsia" w:ascii="宋体" w:hAnsi="宋体"/>
          <w:b/>
          <w:color w:val="auto"/>
          <w:highlight w:val="none"/>
        </w:rPr>
        <w:t>3、瓜果蔬菜</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b/>
                <w:bCs/>
                <w:color w:val="auto"/>
                <w:kern w:val="0"/>
                <w:highlight w:val="none"/>
              </w:rPr>
            </w:pPr>
            <w:r>
              <w:rPr>
                <w:rFonts w:hint="eastAsia" w:ascii="宋体" w:hAnsi="宋体"/>
                <w:b/>
                <w:bCs/>
                <w:color w:val="auto"/>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b/>
                <w:bCs/>
                <w:color w:val="auto"/>
                <w:kern w:val="0"/>
                <w:highlight w:val="none"/>
              </w:rPr>
            </w:pPr>
            <w:r>
              <w:rPr>
                <w:rFonts w:hint="eastAsia" w:ascii="宋体" w:hAnsi="宋体"/>
                <w:b/>
                <w:bCs/>
                <w:color w:val="auto"/>
                <w:kern w:val="0"/>
                <w:highlight w:val="none"/>
              </w:rPr>
              <w:t>指标（</w:t>
            </w:r>
            <w:r>
              <w:rPr>
                <w:rFonts w:hint="eastAsia" w:ascii="宋体" w:hAnsi="宋体"/>
                <w:b/>
                <w:bCs/>
                <w:color w:val="auto"/>
                <w:highlight w:val="none"/>
              </w:rPr>
              <w:t>mg/kg</w:t>
            </w:r>
            <w:r>
              <w:rPr>
                <w:rFonts w:hint="eastAsia" w:ascii="宋体" w:hAnsi="宋体"/>
                <w:b/>
                <w:bCs/>
                <w:color w:val="auto"/>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kern w:val="0"/>
                <w:highlight w:val="none"/>
              </w:rPr>
            </w:pPr>
            <w:r>
              <w:rPr>
                <w:rFonts w:hint="eastAsia" w:ascii="宋体" w:hAnsi="宋体"/>
                <w:color w:val="auto"/>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highlight w:val="none"/>
              </w:rPr>
            </w:pPr>
            <w:r>
              <w:rPr>
                <w:rFonts w:hint="eastAsia" w:ascii="宋体" w:hAnsi="宋体"/>
                <w:color w:val="auto"/>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highlight w:val="none"/>
              </w:rPr>
            </w:pPr>
            <w:r>
              <w:rPr>
                <w:rFonts w:hint="eastAsia" w:ascii="宋体" w:hAnsi="宋体"/>
                <w:color w:val="auto"/>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highlight w:val="none"/>
              </w:rPr>
            </w:pPr>
            <w:r>
              <w:rPr>
                <w:rFonts w:hint="eastAsia" w:ascii="宋体" w:hAnsi="宋体"/>
                <w:color w:val="auto"/>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highlight w:val="none"/>
              </w:rPr>
            </w:pPr>
            <w:r>
              <w:rPr>
                <w:rFonts w:hint="eastAsia" w:ascii="宋体" w:hAnsi="宋体"/>
                <w:color w:val="auto"/>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highlight w:val="none"/>
              </w:rPr>
            </w:pPr>
            <w:r>
              <w:rPr>
                <w:rFonts w:hint="eastAsia" w:ascii="宋体" w:hAnsi="宋体"/>
                <w:color w:val="auto"/>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highlight w:val="none"/>
              </w:rPr>
            </w:pPr>
            <w:r>
              <w:rPr>
                <w:rFonts w:hint="eastAsia" w:ascii="宋体" w:hAnsi="宋体"/>
                <w:color w:val="auto"/>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highlight w:val="none"/>
              </w:rPr>
            </w:pPr>
            <w:r>
              <w:rPr>
                <w:rFonts w:hint="eastAsia" w:ascii="宋体" w:hAnsi="宋体"/>
                <w:color w:val="auto"/>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highlight w:val="none"/>
              </w:rPr>
            </w:pPr>
            <w:r>
              <w:rPr>
                <w:rFonts w:hint="eastAsia" w:ascii="宋体" w:hAnsi="宋体"/>
                <w:color w:val="auto"/>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highlight w:val="none"/>
              </w:rPr>
            </w:pPr>
            <w:r>
              <w:rPr>
                <w:rFonts w:hint="eastAsia" w:ascii="宋体" w:hAnsi="宋体"/>
                <w:color w:val="auto"/>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auto"/>
                <w:highlight w:val="none"/>
              </w:rPr>
            </w:pPr>
            <w:r>
              <w:rPr>
                <w:rFonts w:hint="eastAsia" w:ascii="宋体" w:hAnsi="宋体"/>
                <w:color w:val="auto"/>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highlight w:val="none"/>
              </w:rPr>
            </w:pPr>
            <w:r>
              <w:rPr>
                <w:rFonts w:hint="eastAsia" w:ascii="宋体" w:hAnsi="宋体"/>
                <w:color w:val="auto"/>
                <w:highlight w:val="none"/>
              </w:rPr>
              <w:t>≤4</w:t>
            </w:r>
          </w:p>
        </w:tc>
      </w:tr>
    </w:tbl>
    <w:p>
      <w:pPr>
        <w:snapToGrid w:val="0"/>
        <w:spacing w:line="360" w:lineRule="auto"/>
        <w:ind w:firstLine="420" w:firstLineChars="200"/>
        <w:rPr>
          <w:rFonts w:ascii="宋体" w:hAnsi="宋体"/>
          <w:color w:val="auto"/>
          <w:highlight w:val="none"/>
        </w:rPr>
      </w:pPr>
      <w:r>
        <w:rPr>
          <w:rFonts w:hint="eastAsia" w:ascii="宋体" w:hAnsi="宋体"/>
          <w:color w:val="auto"/>
          <w:highlight w:val="none"/>
        </w:rPr>
        <w:t>（2）具体感观要求：</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bCs/>
          <w:color w:val="auto"/>
          <w:highlight w:val="none"/>
        </w:rPr>
      </w:pPr>
      <w:r>
        <w:rPr>
          <w:rFonts w:hint="eastAsia" w:ascii="宋体" w:hAnsi="宋体"/>
          <w:bCs/>
          <w:color w:val="auto"/>
          <w:highlight w:val="none"/>
        </w:rPr>
        <w:t xml:space="preserve">叶菜类：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茄果类：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瓜果类：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根菜类：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薯芋类：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葱蒜类：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豆类：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水生菜类：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属同一品种规格，肉质嫩，成熟度适中，无腐烂、畸形、异味，无明显机械伤，不带泥土和杂质，不干瘪，茭白不黑心。</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食用菌类：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属同一品种规格，蘑菇、草菇菌盖圆整略展开，柄粗壮，菌膜紧，菇柄切削平整，不浸泡水（蘑菇允许浸盐水保鲜），新鲜，无杂质，无畸形菇，无腐烂、异味。</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芽苗类： </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芽苗幼嫩，不带豆壳杂质，新鲜，不浸水，无腐烂、异味。</w:t>
      </w:r>
    </w:p>
    <w:p>
      <w:pPr>
        <w:numPr>
          <w:ilvl w:val="0"/>
          <w:numId w:val="24"/>
        </w:num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食品供应链要求：所有食品的来源必须清晰。蔬菜来源应当为受到地方政府部门监管的自有基地、商品菜基地或蔬菜专业流通市场。</w:t>
      </w:r>
    </w:p>
    <w:p>
      <w:pPr>
        <w:pStyle w:val="311"/>
        <w:ind w:firstLine="0" w:firstLineChars="0"/>
        <w:rPr>
          <w:rFonts w:hint="eastAsia" w:cs="Times New Roman"/>
          <w:b/>
          <w:color w:val="auto"/>
          <w:kern w:val="2"/>
          <w:sz w:val="21"/>
          <w:highlight w:val="none"/>
        </w:rPr>
      </w:pPr>
      <w:r>
        <w:rPr>
          <w:rFonts w:hint="eastAsia" w:cs="Times New Roman"/>
          <w:b/>
          <w:color w:val="auto"/>
          <w:kern w:val="2"/>
          <w:sz w:val="21"/>
          <w:highlight w:val="none"/>
        </w:rPr>
        <w:t>4、水产海鲜类</w:t>
      </w:r>
    </w:p>
    <w:p>
      <w:pPr>
        <w:pStyle w:val="311"/>
        <w:ind w:firstLine="210" w:firstLineChars="100"/>
        <w:rPr>
          <w:rFonts w:hint="eastAsia" w:cs="Times New Roman"/>
          <w:bCs/>
          <w:color w:val="auto"/>
          <w:kern w:val="2"/>
          <w:sz w:val="21"/>
          <w:highlight w:val="none"/>
        </w:rPr>
      </w:pPr>
      <w:r>
        <w:rPr>
          <w:rFonts w:hint="eastAsia" w:cs="Times New Roman"/>
          <w:bCs/>
          <w:color w:val="auto"/>
          <w:kern w:val="2"/>
          <w:sz w:val="21"/>
          <w:highlight w:val="none"/>
        </w:rPr>
        <w:t>（1）海鲜、河鲜类必须鲜活，身体饱满结实，无腐烂异味，肉质紧密有弹性，来源可靠放心，无毒，无害，无污染（利用率不低于95%）。</w:t>
      </w:r>
    </w:p>
    <w:p>
      <w:pPr>
        <w:pStyle w:val="311"/>
        <w:ind w:firstLine="210" w:firstLineChars="100"/>
        <w:rPr>
          <w:rFonts w:hint="eastAsia" w:cs="Times New Roman"/>
          <w:bCs/>
          <w:color w:val="auto"/>
          <w:kern w:val="2"/>
          <w:sz w:val="21"/>
          <w:highlight w:val="none"/>
        </w:rPr>
      </w:pPr>
      <w:r>
        <w:rPr>
          <w:rFonts w:hint="eastAsia" w:cs="Times New Roman"/>
          <w:bCs/>
          <w:color w:val="auto"/>
          <w:kern w:val="2"/>
          <w:sz w:val="21"/>
          <w:highlight w:val="none"/>
        </w:rPr>
        <w:t>（2）新鲜水产品的具体要求：要体态完整，体色正常，捞离水后，挣扎力。</w:t>
      </w:r>
    </w:p>
    <w:p>
      <w:pPr>
        <w:pStyle w:val="311"/>
        <w:ind w:firstLine="210" w:firstLineChars="100"/>
        <w:rPr>
          <w:rFonts w:hint="eastAsia" w:cs="Times New Roman"/>
          <w:bCs/>
          <w:color w:val="auto"/>
          <w:kern w:val="2"/>
          <w:sz w:val="21"/>
          <w:highlight w:val="none"/>
        </w:rPr>
      </w:pPr>
      <w:r>
        <w:rPr>
          <w:rFonts w:hint="eastAsia" w:cs="Times New Roman"/>
          <w:bCs/>
          <w:color w:val="auto"/>
          <w:kern w:val="2"/>
          <w:sz w:val="21"/>
          <w:highlight w:val="none"/>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pStyle w:val="311"/>
        <w:ind w:firstLine="210" w:firstLineChars="100"/>
        <w:rPr>
          <w:rFonts w:hint="eastAsia" w:cs="Times New Roman"/>
          <w:bCs/>
          <w:color w:val="auto"/>
          <w:kern w:val="2"/>
          <w:sz w:val="21"/>
          <w:highlight w:val="none"/>
        </w:rPr>
      </w:pPr>
      <w:r>
        <w:rPr>
          <w:rFonts w:hint="eastAsia" w:cs="Times New Roman"/>
          <w:bCs/>
          <w:color w:val="auto"/>
          <w:kern w:val="2"/>
          <w:sz w:val="21"/>
          <w:highlight w:val="none"/>
        </w:rPr>
        <w:t xml:space="preserve">（4）虾的头胸甲与躯干连接紧密，无断头现象。虾身清洁无污染无异味，虾眼突起，虾身较挺，肉质坚实；虾壳发亮、发硬，呈青绿色或青白色。 </w:t>
      </w:r>
    </w:p>
    <w:p>
      <w:pPr>
        <w:pStyle w:val="311"/>
        <w:ind w:firstLine="210" w:firstLineChars="100"/>
        <w:rPr>
          <w:rFonts w:hint="eastAsia" w:cs="Times New Roman"/>
          <w:bCs/>
          <w:color w:val="auto"/>
          <w:kern w:val="2"/>
          <w:sz w:val="21"/>
          <w:highlight w:val="none"/>
        </w:rPr>
      </w:pPr>
      <w:r>
        <w:rPr>
          <w:rFonts w:hint="eastAsia" w:cs="Times New Roman"/>
          <w:bCs/>
          <w:color w:val="auto"/>
          <w:kern w:val="2"/>
          <w:sz w:val="21"/>
          <w:highlight w:val="none"/>
        </w:rPr>
        <w:t xml:space="preserve">（5）黄鳝要体态完整，体色正常，在水中朝上直立，捞离水后，挣扎有力，身上粘度较多，个体较大。 </w:t>
      </w:r>
    </w:p>
    <w:p>
      <w:pPr>
        <w:pStyle w:val="311"/>
        <w:ind w:firstLine="210" w:firstLineChars="100"/>
        <w:rPr>
          <w:rFonts w:hint="eastAsia" w:cs="Times New Roman"/>
          <w:bCs/>
          <w:color w:val="auto"/>
          <w:kern w:val="2"/>
          <w:sz w:val="21"/>
          <w:highlight w:val="none"/>
        </w:rPr>
      </w:pPr>
      <w:r>
        <w:rPr>
          <w:rFonts w:hint="eastAsia" w:cs="Times New Roman"/>
          <w:bCs/>
          <w:color w:val="auto"/>
          <w:kern w:val="2"/>
          <w:sz w:val="21"/>
          <w:highlight w:val="none"/>
        </w:rPr>
        <w:t xml:space="preserve">（6）贝壳类要求肉质新鲜，无臭味，两贝壳相碰发出实响，且响声均匀，在静水中会伸出触角；表面清洁完整，无寄生物，外观完美，有光泽。 </w:t>
      </w:r>
    </w:p>
    <w:p>
      <w:pPr>
        <w:pStyle w:val="311"/>
        <w:ind w:firstLine="210" w:firstLineChars="100"/>
        <w:rPr>
          <w:rFonts w:hint="eastAsia" w:cs="Times New Roman"/>
          <w:bCs/>
          <w:color w:val="auto"/>
          <w:kern w:val="2"/>
          <w:sz w:val="21"/>
          <w:highlight w:val="none"/>
        </w:rPr>
      </w:pPr>
      <w:r>
        <w:rPr>
          <w:rFonts w:hint="eastAsia" w:cs="Times New Roman"/>
          <w:bCs/>
          <w:color w:val="auto"/>
          <w:kern w:val="2"/>
          <w:sz w:val="21"/>
          <w:highlight w:val="none"/>
        </w:rPr>
        <w:t xml:space="preserve">（7）冷冻水产类解冻后净重量不少于82%，解冻时间为4小时以内（室温20℃）。所有冷冻要求清晰列出产品品牌、规格、类型、包装方式、包装净重、含冰量等相关参数。 </w:t>
      </w:r>
    </w:p>
    <w:p>
      <w:pPr>
        <w:pStyle w:val="311"/>
        <w:ind w:firstLine="210" w:firstLineChars="1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（8）水产品须出具贮存地的出入库检疫证明。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kern w:val="2"/>
          <w:sz w:val="21"/>
          <w:highlight w:val="none"/>
        </w:rPr>
        <w:t>（9）海鲜制品类：海鲜制品类包括但不限于鱼丸、墨鱼丸、鱼蛋、鱼腐等。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冻品类基本要求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产品质量必须符合国家行业标准要求，有明确的商品标签，有生产日期、保质期、质量等级，不得有掺假、变质、变味、过期等现象出现，保证运输过程冷链不中断，送达目的地时外包装箱干爽，无软化现象。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大米、面类、豆类、干货类、油、盐、糖、酱、酒、醋、添加剂等</w:t>
      </w:r>
    </w:p>
    <w:p>
      <w:pPr>
        <w:snapToGrid w:val="0"/>
        <w:spacing w:line="360" w:lineRule="auto"/>
        <w:rPr>
          <w:rFonts w:hint="eastAsia" w:ascii="宋体" w:hAnsi="宋体"/>
          <w:b/>
          <w:color w:val="auto"/>
          <w:highlight w:val="none"/>
        </w:rPr>
      </w:pPr>
      <w:r>
        <w:rPr>
          <w:rFonts w:hint="eastAsia" w:ascii="宋体" w:hAnsi="宋体"/>
          <w:b/>
          <w:color w:val="auto"/>
          <w:highlight w:val="none"/>
        </w:rPr>
        <w:t>1、</w:t>
      </w:r>
      <w:r>
        <w:rPr>
          <w:rFonts w:hint="eastAsia" w:ascii="宋体" w:hAnsi="宋体"/>
          <w:b/>
          <w:bCs/>
          <w:color w:val="auto"/>
          <w:highlight w:val="none"/>
        </w:rPr>
        <w:t>调味料：</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1）酱油：酱油颜色比较红、亮、有光泽、透明，酱油倒在瓶子里摇一下，酱油产生的泡沫非常细腻，保持持久，挂碗现象非常好，有发黏的感觉。</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2）味精：无色至白色结晶或粉末，应具有特殊的鲜味，无异味，无肉眼可见杂质。</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3）酱类食品：应具有正常酿造酱的色泽、气味和滋味、不涩、无其他不良气味、不得有酸、苦、焦糊及其它异味、异物。</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4）淀粉制品：应具有各自品种固有的形态和色泽、不酸、不粘、不发霉、无变质、无异味、无杂质、口尝无砂质。</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5）食盐：结晶整齐一致、坚硬光滑，呈透明或半透明、不结块、无反卤吸潮现象、无杂质，沾取少许尝试具有纯正的咸味。</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7）白砂糖：颗粒大如砂粒，晶粒均匀整齐，晶面明显，无碎末，糖质坚硬。</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8）绵白糖：颗粒细小而均匀，质地绵软、潮润。</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10）冰糖：块形完整，个粒均匀，结晶组织严密，透明或半透明，无破碎。</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11）方糖：呈正六面体状，表面平整，无裂纹，铁边，断角，无突出砂粒，无霉斑。</w:t>
      </w:r>
    </w:p>
    <w:p>
      <w:pPr>
        <w:pStyle w:val="312"/>
        <w:spacing w:line="360" w:lineRule="auto"/>
        <w:ind w:left="0" w:leftChars="0" w:firstLine="210" w:firstLineChars="1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pPr>
        <w:pStyle w:val="312"/>
        <w:spacing w:line="360" w:lineRule="auto"/>
        <w:ind w:left="0" w:leftChars="0" w:firstLine="210" w:firstLineChars="100"/>
        <w:rPr>
          <w:rFonts w:hint="eastAsia" w:ascii="宋体" w:hAnsi="宋体" w:cs="宋体"/>
          <w:color w:val="auto"/>
          <w:sz w:val="21"/>
          <w:szCs w:val="21"/>
          <w:highlight w:val="none"/>
        </w:rPr>
      </w:pPr>
      <w:r>
        <w:rPr>
          <w:rFonts w:hint="eastAsia" w:ascii="宋体" w:hAnsi="宋体" w:cs="宋体"/>
          <w:bCs/>
          <w:color w:val="auto"/>
          <w:sz w:val="21"/>
          <w:szCs w:val="21"/>
          <w:highlight w:val="none"/>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b/>
          <w:color w:val="auto"/>
          <w:highlight w:val="none"/>
        </w:rPr>
      </w:pPr>
      <w:r>
        <w:rPr>
          <w:rFonts w:hint="eastAsia" w:ascii="宋体" w:hAnsi="宋体" w:cs="宋体"/>
          <w:bCs/>
          <w:color w:val="auto"/>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cs="宋体"/>
          <w:bCs/>
          <w:color w:val="auto"/>
          <w:szCs w:val="21"/>
          <w:highlight w:val="none"/>
        </w:rPr>
      </w:pPr>
      <w:r>
        <w:rPr>
          <w:rFonts w:hint="eastAsia" w:ascii="宋体" w:hAnsi="宋体"/>
          <w:b/>
          <w:color w:val="auto"/>
          <w:highlight w:val="none"/>
        </w:rPr>
        <w:t>2、</w:t>
      </w:r>
      <w:r>
        <w:rPr>
          <w:rFonts w:hint="eastAsia" w:ascii="宋体" w:hAnsi="宋体"/>
          <w:b/>
          <w:bCs/>
          <w:color w:val="auto"/>
          <w:highlight w:val="none"/>
        </w:rPr>
        <w:t>干货制品：</w:t>
      </w:r>
      <w:r>
        <w:rPr>
          <w:rFonts w:hint="eastAsia" w:ascii="宋体" w:hAnsi="宋体"/>
          <w:color w:val="auto"/>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auto"/>
          <w:szCs w:val="21"/>
          <w:highlight w:val="none"/>
        </w:rPr>
        <w:t>量未达到国家标准的干货制品招标人有权拒绝接收。</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（1）肉皮：作为干肉皮，无论什么部位，体表洁净无毛，白亮无残余肥膘，无虫蛀，干爽，敲击时响声清脆，质量均匀为好，反之则为次之，如已发霉，并有哈喇味，即已变质。</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（2）玉兰片：玉兰片以色泽黄白、洁净、肉厚、纤维少、节较密、体长不超过 10~17cm的为最好，肉薄节疏、纤维多而粗老的质量较差。</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（3）黄花菜：又名金针菜，干燥、有清香味，菜色黄亮、身条长而粗壮、条杆粗细均匀者为佳。</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rPr>
        <w:t>（4）</w:t>
      </w:r>
      <w:r>
        <w:rPr>
          <w:rFonts w:hint="eastAsia" w:ascii="宋体" w:hAnsi="宋体" w:cs="宋体"/>
          <w:bCs/>
          <w:color w:val="auto"/>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5</w:t>
      </w:r>
      <w:r>
        <w:rPr>
          <w:rFonts w:hint="eastAsia" w:ascii="宋体" w:hAnsi="宋体" w:cs="宋体"/>
          <w:bCs/>
          <w:color w:val="auto"/>
          <w:szCs w:val="21"/>
          <w:highlight w:val="none"/>
          <w:lang w:val="zh-CN"/>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6</w:t>
      </w:r>
      <w:r>
        <w:rPr>
          <w:rFonts w:hint="eastAsia" w:ascii="宋体" w:hAnsi="宋体" w:cs="宋体"/>
          <w:bCs/>
          <w:color w:val="auto"/>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rPr>
        <w:t>（7）</w:t>
      </w:r>
      <w:r>
        <w:rPr>
          <w:rFonts w:hint="eastAsia" w:ascii="宋体" w:hAnsi="宋体" w:cs="宋体"/>
          <w:bCs/>
          <w:color w:val="auto"/>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8</w:t>
      </w:r>
      <w:r>
        <w:rPr>
          <w:rFonts w:hint="eastAsia" w:ascii="宋体" w:hAnsi="宋体" w:cs="宋体"/>
          <w:bCs/>
          <w:color w:val="auto"/>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rPr>
        <w:t>（9）</w:t>
      </w:r>
      <w:r>
        <w:rPr>
          <w:rFonts w:hint="eastAsia" w:ascii="宋体" w:hAnsi="宋体" w:cs="宋体"/>
          <w:bCs/>
          <w:color w:val="auto"/>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10</w:t>
      </w:r>
      <w:r>
        <w:rPr>
          <w:rFonts w:hint="eastAsia" w:ascii="宋体" w:hAnsi="宋体" w:cs="宋体"/>
          <w:bCs/>
          <w:color w:val="auto"/>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11</w:t>
      </w:r>
      <w:r>
        <w:rPr>
          <w:rFonts w:hint="eastAsia" w:ascii="宋体" w:hAnsi="宋体" w:cs="宋体"/>
          <w:bCs/>
          <w:color w:val="auto"/>
          <w:szCs w:val="21"/>
          <w:highlight w:val="none"/>
          <w:lang w:val="zh-CN"/>
        </w:rPr>
        <w:t>）蹄筋：猪蹄筋的质量首先从蹄筋抽取的部位区别，后蹄筋体长而圆、粗状、光滑的品质好。前蹄筋体短而扁细、品质较差、保管完好的蹄筋应呈白色、无杂质，干、硬度高。</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12</w:t>
      </w:r>
      <w:r>
        <w:rPr>
          <w:rFonts w:hint="eastAsia" w:ascii="宋体" w:hAnsi="宋体" w:cs="宋体"/>
          <w:bCs/>
          <w:color w:val="auto"/>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13</w:t>
      </w:r>
      <w:r>
        <w:rPr>
          <w:rFonts w:hint="eastAsia" w:ascii="宋体" w:hAnsi="宋体" w:cs="宋体"/>
          <w:bCs/>
          <w:color w:val="auto"/>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14</w:t>
      </w:r>
      <w:r>
        <w:rPr>
          <w:rFonts w:hint="eastAsia" w:ascii="宋体" w:hAnsi="宋体" w:cs="宋体"/>
          <w:bCs/>
          <w:color w:val="auto"/>
          <w:szCs w:val="21"/>
          <w:highlight w:val="none"/>
          <w:lang w:val="zh-CN"/>
        </w:rPr>
        <w:t>）海蛰：海蛰是由水母加工制成，选购时应注意色泽，以乳白色或淡黄色、气味清新、质厚均匀、个体完整、块大、无血黑（体肉红皮）有光泽的为上品，带有膜状血衣的为次品。</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15</w:t>
      </w:r>
      <w:r>
        <w:rPr>
          <w:rFonts w:hint="eastAsia" w:ascii="宋体" w:hAnsi="宋体" w:cs="宋体"/>
          <w:bCs/>
          <w:color w:val="auto"/>
          <w:szCs w:val="21"/>
          <w:highlight w:val="none"/>
          <w:lang w:val="zh-CN"/>
        </w:rPr>
        <w:t>）海参：检验标准主要是以体形的大小，肉质的厚薄及体内有无沙粒来鉴别。体形大、肉质厚、体内无沙者为上品，体形小、肉质薄、原体没剖开，体内有沙粒者较差。</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16</w:t>
      </w:r>
      <w:r>
        <w:rPr>
          <w:rFonts w:hint="eastAsia" w:ascii="宋体" w:hAnsi="宋体" w:cs="宋体"/>
          <w:bCs/>
          <w:color w:val="auto"/>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17</w:t>
      </w:r>
      <w:r>
        <w:rPr>
          <w:rFonts w:hint="eastAsia" w:ascii="宋体" w:hAnsi="宋体" w:cs="宋体"/>
          <w:bCs/>
          <w:color w:val="auto"/>
          <w:szCs w:val="21"/>
          <w:highlight w:val="none"/>
          <w:lang w:val="zh-CN"/>
        </w:rPr>
        <w:t>）发菜：发菜是陆生褐色藻类，以藻体细长、绿黑色、柔软爽滑、干燥、无杂质的质量为优，反之则劣。</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18</w:t>
      </w:r>
      <w:r>
        <w:rPr>
          <w:rFonts w:hint="eastAsia" w:ascii="宋体" w:hAnsi="宋体" w:cs="宋体"/>
          <w:bCs/>
          <w:color w:val="auto"/>
          <w:szCs w:val="21"/>
          <w:highlight w:val="none"/>
          <w:lang w:val="zh-CN"/>
        </w:rPr>
        <w:t>）鱼肚：其标准一般为体大整齐、肚厚、身干、光洁明亮、无虫蛀腐者好；灰暗、肉薄、体小则次之，有虫蛀、颜色发黑、变霉则为变质品。</w:t>
      </w:r>
    </w:p>
    <w:p>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3、豆制品：</w:t>
      </w:r>
    </w:p>
    <w:p>
      <w:pPr>
        <w:snapToGrid w:val="0"/>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rPr>
        <w:t>（1）</w:t>
      </w:r>
      <w:r>
        <w:rPr>
          <w:rFonts w:hint="eastAsia" w:ascii="宋体" w:hAnsi="宋体" w:cs="宋体"/>
          <w:bCs/>
          <w:color w:val="auto"/>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2</w:t>
      </w:r>
      <w:r>
        <w:rPr>
          <w:rFonts w:hint="eastAsia" w:ascii="宋体" w:hAnsi="宋体" w:cs="宋体"/>
          <w:bCs/>
          <w:color w:val="auto"/>
          <w:szCs w:val="21"/>
          <w:highlight w:val="none"/>
          <w:lang w:val="zh-CN"/>
        </w:rPr>
        <w:t>）油炸豆卜：金黄色或棕黄色，色彩鲜艳而有光泽，块形整齐，有弹性，皮脆，内质呈蜂窝状，不粘不散，无杂质</w:t>
      </w:r>
      <w:r>
        <w:rPr>
          <w:rFonts w:hint="eastAsia" w:ascii="宋体" w:hAnsi="宋体" w:cs="宋体"/>
          <w:bCs/>
          <w:color w:val="auto"/>
          <w:szCs w:val="21"/>
          <w:highlight w:val="none"/>
        </w:rPr>
        <w:t>,</w:t>
      </w:r>
      <w:r>
        <w:rPr>
          <w:rFonts w:hint="eastAsia" w:ascii="宋体" w:hAnsi="宋体" w:cs="宋体"/>
          <w:bCs/>
          <w:color w:val="auto"/>
          <w:szCs w:val="21"/>
          <w:highlight w:val="none"/>
          <w:lang w:val="zh-CN"/>
        </w:rPr>
        <w:t>具有豆腐泡特有的清香风味，无其他任何不良气味，取样品细细咀嚼，外皮酥脆适口，泡内软嫩，咸香适度，具有豆腐泡固有的滋味。</w:t>
      </w:r>
    </w:p>
    <w:p>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4、粮油（大米、面、油）</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（1）供应产品的质量要求： </w:t>
      </w:r>
    </w:p>
    <w:p>
      <w:pPr>
        <w:snapToGrid w:val="0"/>
        <w:spacing w:line="360" w:lineRule="auto"/>
        <w:ind w:firstLine="210" w:firstLineChars="100"/>
        <w:rPr>
          <w:rFonts w:hint="eastAsia" w:ascii="宋体" w:hAnsi="宋体"/>
          <w:color w:val="auto"/>
          <w:highlight w:val="none"/>
        </w:rPr>
      </w:pPr>
      <w:r>
        <w:rPr>
          <w:rFonts w:hint="eastAsia" w:ascii="宋体" w:hAnsi="宋体" w:cs="宋体"/>
          <w:bCs/>
          <w:color w:val="auto"/>
          <w:szCs w:val="21"/>
          <w:highlight w:val="none"/>
        </w:rPr>
        <w:t>①米、油货物必须符合卫生，不得有腐烂、变质、油脂酸败、霉变、生虫、污秽不结、混有异物</w:t>
      </w:r>
      <w:r>
        <w:rPr>
          <w:rFonts w:hint="eastAsia" w:ascii="宋体" w:hAnsi="宋体"/>
          <w:bCs/>
          <w:color w:val="auto"/>
          <w:highlight w:val="none"/>
        </w:rPr>
        <w:t>或者</w:t>
      </w:r>
      <w:r>
        <w:rPr>
          <w:rFonts w:hint="eastAsia" w:ascii="宋体" w:hAnsi="宋体"/>
          <w:color w:val="auto"/>
          <w:highlight w:val="none"/>
        </w:rPr>
        <w:t>其他感官性状异常，并可能对人体健康有害的物质。</w:t>
      </w:r>
    </w:p>
    <w:p>
      <w:pPr>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hint="eastAsia" w:ascii="宋体" w:hAnsi="宋体"/>
          <w:color w:val="auto"/>
          <w:highlight w:val="none"/>
        </w:rPr>
      </w:pPr>
      <w:r>
        <w:rPr>
          <w:rFonts w:hint="eastAsia" w:ascii="宋体" w:hAnsi="宋体" w:cs="宋体"/>
          <w:color w:val="auto"/>
          <w:highlight w:val="none"/>
        </w:rPr>
        <w:t>④</w:t>
      </w:r>
      <w:r>
        <w:rPr>
          <w:rFonts w:hint="eastAsia" w:ascii="宋体" w:hAnsi="宋体"/>
          <w:color w:val="auto"/>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pStyle w:val="192"/>
        <w:tabs>
          <w:tab w:val="left" w:pos="545"/>
        </w:tabs>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1）大米</w:t>
      </w:r>
    </w:p>
    <w:tbl>
      <w:tblPr>
        <w:tblStyle w:val="47"/>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13"/>
              <w:spacing w:before="79"/>
              <w:ind w:left="268" w:right="269"/>
              <w:jc w:val="center"/>
              <w:rPr>
                <w:b/>
                <w:color w:val="auto"/>
                <w:sz w:val="21"/>
                <w:szCs w:val="21"/>
                <w:highlight w:val="none"/>
              </w:rPr>
            </w:pPr>
            <w:r>
              <w:rPr>
                <w:b/>
                <w:color w:val="auto"/>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13"/>
              <w:spacing w:before="79"/>
              <w:ind w:right="546"/>
              <w:jc w:val="center"/>
              <w:rPr>
                <w:b/>
                <w:color w:val="auto"/>
                <w:sz w:val="21"/>
                <w:szCs w:val="21"/>
                <w:highlight w:val="none"/>
              </w:rPr>
            </w:pPr>
            <w:r>
              <w:rPr>
                <w:b/>
                <w:color w:val="auto"/>
                <w:sz w:val="21"/>
                <w:szCs w:val="21"/>
                <w:highlight w:val="none"/>
              </w:rPr>
              <w:t>品名</w:t>
            </w:r>
          </w:p>
        </w:tc>
        <w:tc>
          <w:tcPr>
            <w:tcW w:w="7052" w:type="dxa"/>
            <w:tcBorders>
              <w:left w:val="single" w:color="000000" w:sz="6" w:space="0"/>
              <w:bottom w:val="single" w:color="000000" w:sz="6" w:space="0"/>
            </w:tcBorders>
            <w:noWrap w:val="0"/>
            <w:vAlign w:val="top"/>
          </w:tcPr>
          <w:p>
            <w:pPr>
              <w:pStyle w:val="313"/>
              <w:spacing w:before="79"/>
              <w:ind w:right="3434"/>
              <w:jc w:val="center"/>
              <w:rPr>
                <w:b/>
                <w:color w:val="auto"/>
                <w:sz w:val="21"/>
                <w:szCs w:val="21"/>
                <w:highlight w:val="none"/>
              </w:rPr>
            </w:pPr>
            <w:r>
              <w:rPr>
                <w:b/>
                <w:color w:val="auto"/>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大米须达GB/T 1354-2018二级标准，水分含量在12°以下，无掺杂、无沙石，碎米少，无黄粒米；</w:t>
            </w:r>
          </w:p>
          <w:p>
            <w:pPr>
              <w:pStyle w:val="313"/>
              <w:spacing w:before="3"/>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按国家食用调和油质量标准SB/T 10292-1998；</w:t>
            </w:r>
          </w:p>
          <w:p>
            <w:pPr>
              <w:pStyle w:val="313"/>
              <w:spacing w:before="3"/>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有合格检疫报告，外观的色泽、透明度、气味滋味等无异常；</w:t>
            </w:r>
          </w:p>
          <w:p>
            <w:pPr>
              <w:pStyle w:val="313"/>
              <w:spacing w:before="3"/>
              <w:rPr>
                <w:rFonts w:hint="eastAsia"/>
                <w:color w:val="auto"/>
                <w:szCs w:val="21"/>
                <w:highlight w:val="none"/>
              </w:rPr>
            </w:pPr>
            <w:r>
              <w:rPr>
                <w:rFonts w:hint="eastAsia"/>
                <w:color w:val="auto"/>
                <w:szCs w:val="21"/>
                <w:highlight w:val="none"/>
                <w:lang w:val="en-US"/>
              </w:rPr>
              <w:t>3.</w:t>
            </w:r>
            <w:r>
              <w:rPr>
                <w:rFonts w:hint="eastAsia"/>
                <w:color w:val="auto"/>
                <w:szCs w:val="21"/>
                <w:highlight w:val="none"/>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高筋面粉达GB/T 8607-1988国家标准，质量等级一级；</w:t>
            </w:r>
          </w:p>
          <w:p>
            <w:pPr>
              <w:pStyle w:val="313"/>
              <w:spacing w:before="3"/>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色泽正常，干爽无异味；</w:t>
            </w:r>
          </w:p>
          <w:p>
            <w:pPr>
              <w:pStyle w:val="313"/>
              <w:spacing w:before="3"/>
              <w:rPr>
                <w:rFonts w:hint="eastAsia"/>
                <w:color w:val="auto"/>
                <w:szCs w:val="21"/>
                <w:highlight w:val="none"/>
              </w:rPr>
            </w:pPr>
            <w:r>
              <w:rPr>
                <w:rFonts w:hint="eastAsia"/>
                <w:color w:val="auto"/>
                <w:szCs w:val="21"/>
                <w:highlight w:val="none"/>
                <w:lang w:val="en-US"/>
              </w:rPr>
              <w:t>3.</w:t>
            </w:r>
            <w:r>
              <w:rPr>
                <w:rFonts w:hint="eastAsia"/>
                <w:color w:val="auto"/>
                <w:szCs w:val="21"/>
                <w:highlight w:val="none"/>
              </w:rPr>
              <w:t>按进货量抽查20％，数量按抽查验收实数为准；</w:t>
            </w:r>
          </w:p>
          <w:p>
            <w:pPr>
              <w:pStyle w:val="313"/>
              <w:spacing w:before="3"/>
              <w:rPr>
                <w:rFonts w:hint="eastAsia"/>
                <w:color w:val="auto"/>
                <w:szCs w:val="21"/>
                <w:highlight w:val="none"/>
              </w:rPr>
            </w:pPr>
            <w:r>
              <w:rPr>
                <w:rFonts w:hint="eastAsia"/>
                <w:color w:val="auto"/>
                <w:szCs w:val="21"/>
                <w:highlight w:val="none"/>
                <w:lang w:val="en-US"/>
              </w:rPr>
              <w:t>4.</w:t>
            </w:r>
            <w:r>
              <w:rPr>
                <w:rFonts w:hint="eastAsia"/>
                <w:color w:val="auto"/>
                <w:szCs w:val="21"/>
                <w:highlight w:val="none"/>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4</w:t>
            </w:r>
          </w:p>
        </w:tc>
        <w:tc>
          <w:tcPr>
            <w:tcW w:w="1266" w:type="dxa"/>
            <w:tcBorders>
              <w:top w:val="single" w:color="000000" w:sz="6" w:space="0"/>
              <w:left w:val="single" w:color="000000" w:sz="6" w:space="0"/>
              <w:right w:val="single" w:color="000000" w:sz="6" w:space="0"/>
            </w:tcBorders>
            <w:noWrap w:val="0"/>
            <w:vAlign w:val="top"/>
          </w:tcPr>
          <w:p>
            <w:pPr>
              <w:pStyle w:val="313"/>
              <w:spacing w:before="3"/>
              <w:jc w:val="center"/>
              <w:rPr>
                <w:rFonts w:hint="eastAsia"/>
                <w:color w:val="auto"/>
                <w:szCs w:val="21"/>
                <w:highlight w:val="none"/>
              </w:rPr>
            </w:pPr>
          </w:p>
          <w:p>
            <w:pPr>
              <w:pStyle w:val="313"/>
              <w:spacing w:before="3"/>
              <w:jc w:val="center"/>
              <w:rPr>
                <w:rFonts w:hint="eastAsia"/>
                <w:color w:val="auto"/>
                <w:szCs w:val="21"/>
                <w:highlight w:val="none"/>
              </w:rPr>
            </w:pPr>
            <w:r>
              <w:rPr>
                <w:rFonts w:hint="eastAsia"/>
                <w:color w:val="auto"/>
                <w:szCs w:val="21"/>
                <w:highlight w:val="none"/>
              </w:rPr>
              <w:t>低筋面粉（含面粉配料）</w:t>
            </w:r>
          </w:p>
        </w:tc>
        <w:tc>
          <w:tcPr>
            <w:tcW w:w="7052" w:type="dxa"/>
            <w:tcBorders>
              <w:top w:val="single" w:color="000000" w:sz="6" w:space="0"/>
              <w:left w:val="single" w:color="000000" w:sz="6" w:space="0"/>
            </w:tcBorders>
            <w:noWrap w:val="0"/>
            <w:vAlign w:val="top"/>
          </w:tcPr>
          <w:p>
            <w:pPr>
              <w:pStyle w:val="313"/>
              <w:spacing w:before="3"/>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低筋面粉达GB/T 8608-1988标准，质量等级一级；</w:t>
            </w:r>
          </w:p>
          <w:p>
            <w:pPr>
              <w:pStyle w:val="313"/>
              <w:spacing w:before="3"/>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色泽正常，干爽无异味；</w:t>
            </w:r>
          </w:p>
          <w:p>
            <w:pPr>
              <w:pStyle w:val="313"/>
              <w:spacing w:before="3"/>
              <w:rPr>
                <w:rFonts w:hint="eastAsia"/>
                <w:color w:val="auto"/>
                <w:szCs w:val="21"/>
                <w:highlight w:val="none"/>
              </w:rPr>
            </w:pPr>
            <w:r>
              <w:rPr>
                <w:rFonts w:hint="eastAsia"/>
                <w:color w:val="auto"/>
                <w:szCs w:val="21"/>
                <w:highlight w:val="none"/>
                <w:lang w:val="en-US"/>
              </w:rPr>
              <w:t>3.</w:t>
            </w:r>
            <w:r>
              <w:rPr>
                <w:rFonts w:hint="eastAsia"/>
                <w:color w:val="auto"/>
                <w:szCs w:val="21"/>
                <w:highlight w:val="none"/>
              </w:rPr>
              <w:t>按进货量抽查20％，数量按抽查验收实数为准；</w:t>
            </w:r>
          </w:p>
          <w:p>
            <w:pPr>
              <w:pStyle w:val="313"/>
              <w:spacing w:before="3"/>
              <w:rPr>
                <w:rFonts w:hint="eastAsia"/>
                <w:color w:val="auto"/>
                <w:szCs w:val="21"/>
                <w:highlight w:val="none"/>
              </w:rPr>
            </w:pPr>
            <w:r>
              <w:rPr>
                <w:rFonts w:hint="eastAsia"/>
                <w:color w:val="auto"/>
                <w:szCs w:val="21"/>
                <w:highlight w:val="none"/>
                <w:lang w:val="en-US"/>
              </w:rPr>
              <w:t>4.</w:t>
            </w:r>
            <w:r>
              <w:rPr>
                <w:rFonts w:hint="eastAsia"/>
                <w:color w:val="auto"/>
                <w:szCs w:val="21"/>
                <w:highlight w:val="none"/>
              </w:rPr>
              <w:t>包装袋上有注册商标及QS标注，有检验合格证、生产日期和保质期。</w:t>
            </w:r>
          </w:p>
        </w:tc>
      </w:tr>
    </w:tbl>
    <w:p>
      <w:pPr>
        <w:pStyle w:val="192"/>
        <w:tabs>
          <w:tab w:val="left" w:pos="545"/>
        </w:tabs>
        <w:spacing w:before="86"/>
        <w:ind w:left="420" w:leftChars="200" w:firstLine="0" w:firstLineChars="0"/>
        <w:jc w:val="left"/>
        <w:rPr>
          <w:color w:val="auto"/>
          <w:sz w:val="15"/>
          <w:highlight w:val="none"/>
        </w:rPr>
      </w:pPr>
      <w:r>
        <w:rPr>
          <w:color w:val="auto"/>
          <w:szCs w:val="21"/>
          <w:highlight w:val="none"/>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4144" w:type="dxa"/>
            <w:gridSpan w:val="2"/>
            <w:noWrap w:val="0"/>
            <w:vAlign w:val="center"/>
          </w:tcPr>
          <w:p>
            <w:pPr>
              <w:jc w:val="center"/>
              <w:rPr>
                <w:rFonts w:hint="eastAsia" w:ascii="宋体" w:hAnsi="宋体" w:cs="宋体"/>
                <w:b/>
                <w:bCs/>
                <w:color w:val="auto"/>
                <w:highlight w:val="none"/>
              </w:rPr>
            </w:pPr>
            <w:r>
              <w:rPr>
                <w:rFonts w:hint="eastAsia" w:ascii="宋体" w:hAnsi="宋体" w:cs="宋体"/>
                <w:b/>
                <w:bCs/>
                <w:color w:val="auto"/>
                <w:highlight w:val="none"/>
              </w:rPr>
              <w:t>内容</w:t>
            </w:r>
          </w:p>
        </w:tc>
        <w:tc>
          <w:tcPr>
            <w:tcW w:w="3987" w:type="dxa"/>
            <w:noWrap w:val="0"/>
            <w:vAlign w:val="center"/>
          </w:tcPr>
          <w:p>
            <w:pPr>
              <w:jc w:val="center"/>
              <w:rPr>
                <w:rFonts w:hint="eastAsia" w:ascii="宋体" w:hAnsi="宋体" w:cs="宋体"/>
                <w:b/>
                <w:bCs/>
                <w:color w:val="auto"/>
                <w:highlight w:val="none"/>
              </w:rPr>
            </w:pPr>
            <w:r>
              <w:rPr>
                <w:rFonts w:hint="eastAsia" w:ascii="宋体" w:hAnsi="宋体" w:cs="宋体"/>
                <w:b/>
                <w:bCs/>
                <w:color w:val="auto"/>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加工精度</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2</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不完善粒</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3</w:t>
            </w:r>
          </w:p>
        </w:tc>
        <w:tc>
          <w:tcPr>
            <w:tcW w:w="2156" w:type="dxa"/>
            <w:vMerge w:val="restart"/>
            <w:noWrap w:val="0"/>
            <w:vAlign w:val="center"/>
          </w:tcPr>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jc w:val="center"/>
              <w:rPr>
                <w:rFonts w:hint="eastAsia" w:ascii="宋体" w:hAnsi="宋体" w:cs="宋体"/>
                <w:color w:val="auto"/>
                <w:highlight w:val="none"/>
              </w:rPr>
            </w:pPr>
            <w:r>
              <w:rPr>
                <w:rFonts w:hint="eastAsia" w:ascii="宋体" w:hAnsi="宋体" w:cs="宋体"/>
                <w:color w:val="auto"/>
                <w:highlight w:val="none"/>
              </w:rPr>
              <w:t>最大限度杂质</w:t>
            </w:r>
          </w:p>
        </w:tc>
        <w:tc>
          <w:tcPr>
            <w:tcW w:w="1988"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总量</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4</w:t>
            </w:r>
          </w:p>
        </w:tc>
        <w:tc>
          <w:tcPr>
            <w:tcW w:w="2156" w:type="dxa"/>
            <w:vMerge w:val="continue"/>
            <w:tcBorders>
              <w:top w:val="nil"/>
            </w:tcBorders>
            <w:noWrap w:val="0"/>
            <w:vAlign w:val="center"/>
          </w:tcPr>
          <w:p>
            <w:pPr>
              <w:jc w:val="center"/>
              <w:rPr>
                <w:rFonts w:hint="eastAsia" w:ascii="宋体" w:hAnsi="宋体" w:cs="宋体"/>
                <w:color w:val="auto"/>
                <w:highlight w:val="none"/>
              </w:rPr>
            </w:pPr>
          </w:p>
        </w:tc>
        <w:tc>
          <w:tcPr>
            <w:tcW w:w="1988"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糠粉</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5</w:t>
            </w:r>
          </w:p>
        </w:tc>
        <w:tc>
          <w:tcPr>
            <w:tcW w:w="2156" w:type="dxa"/>
            <w:vMerge w:val="continue"/>
            <w:tcBorders>
              <w:top w:val="nil"/>
            </w:tcBorders>
            <w:noWrap w:val="0"/>
            <w:vAlign w:val="center"/>
          </w:tcPr>
          <w:p>
            <w:pPr>
              <w:jc w:val="center"/>
              <w:rPr>
                <w:rFonts w:hint="eastAsia" w:ascii="宋体" w:hAnsi="宋体" w:cs="宋体"/>
                <w:color w:val="auto"/>
                <w:highlight w:val="none"/>
              </w:rPr>
            </w:pPr>
          </w:p>
        </w:tc>
        <w:tc>
          <w:tcPr>
            <w:tcW w:w="1988"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矿物质</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6</w:t>
            </w:r>
          </w:p>
        </w:tc>
        <w:tc>
          <w:tcPr>
            <w:tcW w:w="2156" w:type="dxa"/>
            <w:vMerge w:val="continue"/>
            <w:tcBorders>
              <w:top w:val="nil"/>
            </w:tcBorders>
            <w:noWrap w:val="0"/>
            <w:vAlign w:val="center"/>
          </w:tcPr>
          <w:p>
            <w:pPr>
              <w:jc w:val="center"/>
              <w:rPr>
                <w:rFonts w:hint="eastAsia" w:ascii="宋体" w:hAnsi="宋体" w:cs="宋体"/>
                <w:color w:val="auto"/>
                <w:highlight w:val="none"/>
              </w:rPr>
            </w:pPr>
          </w:p>
        </w:tc>
        <w:tc>
          <w:tcPr>
            <w:tcW w:w="1988"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 xml:space="preserve">带壳稞 </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7</w:t>
            </w:r>
          </w:p>
        </w:tc>
        <w:tc>
          <w:tcPr>
            <w:tcW w:w="2156" w:type="dxa"/>
            <w:vMerge w:val="continue"/>
            <w:tcBorders>
              <w:top w:val="nil"/>
            </w:tcBorders>
            <w:noWrap w:val="0"/>
            <w:vAlign w:val="center"/>
          </w:tcPr>
          <w:p>
            <w:pPr>
              <w:jc w:val="center"/>
              <w:rPr>
                <w:rFonts w:hint="eastAsia" w:ascii="宋体" w:hAnsi="宋体" w:cs="宋体"/>
                <w:color w:val="auto"/>
                <w:highlight w:val="none"/>
              </w:rPr>
            </w:pPr>
          </w:p>
        </w:tc>
        <w:tc>
          <w:tcPr>
            <w:tcW w:w="1988"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 xml:space="preserve">稻谷粒 </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8</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碎米总量</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9</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小碎米</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10</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黄粒米</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11</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水份</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12</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 xml:space="preserve">六六六 </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13</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 xml:space="preserve">滴滴涕 </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14</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色泽、气味、口味</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15</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标签检验</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16</w:t>
            </w:r>
          </w:p>
        </w:tc>
        <w:tc>
          <w:tcPr>
            <w:tcW w:w="4144" w:type="dxa"/>
            <w:gridSpan w:val="2"/>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镉</w:t>
            </w:r>
          </w:p>
        </w:tc>
        <w:tc>
          <w:tcPr>
            <w:tcW w:w="3987" w:type="dxa"/>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≤0.2mg/kg</w:t>
            </w:r>
          </w:p>
        </w:tc>
      </w:tr>
    </w:tbl>
    <w:p>
      <w:pPr>
        <w:pStyle w:val="192"/>
        <w:tabs>
          <w:tab w:val="left" w:pos="545"/>
        </w:tabs>
        <w:spacing w:before="86"/>
        <w:ind w:firstLine="0" w:firstLineChars="0"/>
        <w:jc w:val="left"/>
        <w:rPr>
          <w:color w:val="auto"/>
          <w:szCs w:val="21"/>
          <w:highlight w:val="none"/>
        </w:rPr>
      </w:pPr>
      <w:r>
        <w:rPr>
          <w:rFonts w:hint="eastAsia" w:ascii="宋体" w:hAnsi="宋体" w:cs="宋体"/>
          <w:color w:val="auto"/>
          <w:szCs w:val="21"/>
          <w:highlight w:val="none"/>
        </w:rPr>
        <w:t>2）特</w:t>
      </w:r>
      <w:r>
        <w:rPr>
          <w:color w:val="auto"/>
          <w:szCs w:val="21"/>
          <w:highlight w:val="none"/>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pStyle w:val="313"/>
              <w:spacing w:before="79"/>
              <w:ind w:left="948" w:right="949"/>
              <w:jc w:val="center"/>
              <w:rPr>
                <w:b/>
                <w:color w:val="auto"/>
                <w:szCs w:val="21"/>
                <w:highlight w:val="none"/>
              </w:rPr>
            </w:pPr>
            <w:r>
              <w:rPr>
                <w:b/>
                <w:color w:val="auto"/>
                <w:szCs w:val="21"/>
                <w:highlight w:val="none"/>
              </w:rPr>
              <w:t>项目</w:t>
            </w:r>
          </w:p>
        </w:tc>
        <w:tc>
          <w:tcPr>
            <w:tcW w:w="4990" w:type="dxa"/>
            <w:tcBorders>
              <w:left w:val="single" w:color="000000" w:sz="6" w:space="0"/>
              <w:bottom w:val="single" w:color="000000" w:sz="6" w:space="0"/>
            </w:tcBorders>
            <w:noWrap w:val="0"/>
            <w:vAlign w:val="top"/>
          </w:tcPr>
          <w:p>
            <w:pPr>
              <w:pStyle w:val="313"/>
              <w:spacing w:before="79"/>
              <w:ind w:left="1015" w:right="1013"/>
              <w:jc w:val="center"/>
              <w:rPr>
                <w:b/>
                <w:color w:val="auto"/>
                <w:szCs w:val="21"/>
                <w:highlight w:val="none"/>
              </w:rPr>
            </w:pPr>
            <w:r>
              <w:rPr>
                <w:b/>
                <w:color w:val="auto"/>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right="348" w:rightChars="0"/>
              <w:rPr>
                <w:color w:val="auto"/>
                <w:szCs w:val="21"/>
                <w:highlight w:val="none"/>
              </w:rPr>
            </w:pPr>
            <w:r>
              <w:rPr>
                <w:color w:val="auto"/>
                <w:szCs w:val="21"/>
                <w:highlight w:val="none"/>
              </w:rPr>
              <w:t>GB36号全部通过；GB42晒留存量不超</w:t>
            </w:r>
            <w:r>
              <w:rPr>
                <w:rFonts w:hint="eastAsia"/>
                <w:color w:val="auto"/>
                <w:szCs w:val="21"/>
                <w:highlight w:val="none"/>
              </w:rPr>
              <w:t>过</w:t>
            </w:r>
            <w:r>
              <w:rPr>
                <w:color w:val="auto"/>
                <w:szCs w:val="21"/>
                <w:highlight w:val="none"/>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right="949"/>
              <w:jc w:val="center"/>
              <w:rPr>
                <w:color w:val="auto"/>
                <w:szCs w:val="21"/>
                <w:highlight w:val="none"/>
              </w:rPr>
            </w:pPr>
            <w:r>
              <w:rPr>
                <w:color w:val="auto"/>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right="949"/>
              <w:jc w:val="center"/>
              <w:rPr>
                <w:color w:val="auto"/>
                <w:szCs w:val="21"/>
                <w:highlight w:val="none"/>
              </w:rPr>
            </w:pPr>
            <w:r>
              <w:rPr>
                <w:color w:val="auto"/>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pStyle w:val="313"/>
              <w:spacing w:before="80"/>
              <w:ind w:left="968" w:right="949"/>
              <w:jc w:val="center"/>
              <w:rPr>
                <w:color w:val="auto"/>
                <w:szCs w:val="21"/>
                <w:highlight w:val="none"/>
              </w:rPr>
            </w:pPr>
            <w:r>
              <w:rPr>
                <w:color w:val="auto"/>
                <w:szCs w:val="21"/>
                <w:highlight w:val="none"/>
              </w:rPr>
              <w:t>黄霉素毒素B1</w:t>
            </w:r>
          </w:p>
        </w:tc>
        <w:tc>
          <w:tcPr>
            <w:tcW w:w="4990" w:type="dxa"/>
            <w:tcBorders>
              <w:top w:val="single" w:color="000000" w:sz="6" w:space="0"/>
              <w:left w:val="single" w:color="000000" w:sz="6" w:space="0"/>
            </w:tcBorders>
            <w:noWrap w:val="0"/>
            <w:vAlign w:val="top"/>
          </w:tcPr>
          <w:p>
            <w:pPr>
              <w:pStyle w:val="313"/>
              <w:spacing w:before="80"/>
              <w:ind w:left="968" w:right="949"/>
              <w:jc w:val="center"/>
              <w:rPr>
                <w:rFonts w:hint="eastAsia" w:eastAsia="宋体"/>
                <w:color w:val="auto"/>
                <w:szCs w:val="21"/>
                <w:highlight w:val="none"/>
                <w:lang w:val="en-US" w:eastAsia="zh-CN"/>
              </w:rPr>
            </w:pPr>
            <w:r>
              <w:rPr>
                <w:color w:val="auto"/>
                <w:szCs w:val="21"/>
                <w:highlight w:val="none"/>
              </w:rPr>
              <w:t>≤5μg/kg</w:t>
            </w:r>
            <w:r>
              <w:rPr>
                <w:rFonts w:hint="eastAsia"/>
                <w:color w:val="auto"/>
                <w:szCs w:val="21"/>
                <w:highlight w:val="none"/>
                <w:lang w:val="en-US" w:eastAsia="zh-CN"/>
              </w:rPr>
              <w:t xml:space="preserve"> </w:t>
            </w:r>
          </w:p>
        </w:tc>
      </w:tr>
    </w:tbl>
    <w:p>
      <w:pPr>
        <w:pStyle w:val="192"/>
        <w:tabs>
          <w:tab w:val="left" w:pos="545"/>
        </w:tabs>
        <w:spacing w:before="141"/>
        <w:ind w:firstLine="0" w:firstLineChars="0"/>
        <w:jc w:val="left"/>
        <w:rPr>
          <w:color w:val="auto"/>
          <w:szCs w:val="21"/>
          <w:highlight w:val="none"/>
        </w:rPr>
      </w:pPr>
      <w:r>
        <w:rPr>
          <w:color w:val="auto"/>
          <w:szCs w:val="21"/>
          <w:highlight w:val="none"/>
        </w:rPr>
        <w:t>标准面粉理化指标</w:t>
      </w:r>
    </w:p>
    <w:tbl>
      <w:tblPr>
        <w:tblStyle w:val="47"/>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≤5μg/kg</w:t>
            </w:r>
          </w:p>
        </w:tc>
      </w:tr>
    </w:tbl>
    <w:p>
      <w:pPr>
        <w:pStyle w:val="192"/>
        <w:tabs>
          <w:tab w:val="left" w:pos="545"/>
        </w:tabs>
        <w:spacing w:before="141"/>
        <w:ind w:firstLine="0" w:firstLineChars="0"/>
        <w:jc w:val="left"/>
        <w:rPr>
          <w:color w:val="auto"/>
          <w:szCs w:val="21"/>
          <w:highlight w:val="none"/>
        </w:rPr>
      </w:pPr>
      <w:r>
        <w:rPr>
          <w:rFonts w:hint="eastAsia" w:ascii="宋体" w:hAnsi="宋体" w:cs="宋体"/>
          <w:color w:val="auto"/>
          <w:szCs w:val="21"/>
          <w:highlight w:val="none"/>
        </w:rPr>
        <w:t>3）油</w:t>
      </w:r>
      <w:r>
        <w:rPr>
          <w:color w:val="auto"/>
          <w:szCs w:val="21"/>
          <w:highlight w:val="none"/>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油类</w:t>
            </w:r>
          </w:p>
        </w:tc>
        <w:tc>
          <w:tcPr>
            <w:tcW w:w="288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185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油类</w:t>
            </w:r>
          </w:p>
        </w:tc>
        <w:tc>
          <w:tcPr>
            <w:tcW w:w="24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食用植物油</w:t>
            </w:r>
          </w:p>
        </w:tc>
        <w:tc>
          <w:tcPr>
            <w:tcW w:w="288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 2716-2005</w:t>
            </w:r>
          </w:p>
        </w:tc>
        <w:tc>
          <w:tcPr>
            <w:tcW w:w="185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棉籽油</w:t>
            </w:r>
          </w:p>
        </w:tc>
        <w:tc>
          <w:tcPr>
            <w:tcW w:w="24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花生油</w:t>
            </w:r>
          </w:p>
        </w:tc>
        <w:tc>
          <w:tcPr>
            <w:tcW w:w="288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GB/T 1534-2017</w:t>
            </w:r>
          </w:p>
        </w:tc>
        <w:tc>
          <w:tcPr>
            <w:tcW w:w="185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油茶籽油</w:t>
            </w:r>
          </w:p>
        </w:tc>
        <w:tc>
          <w:tcPr>
            <w:tcW w:w="24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大豆油</w:t>
            </w:r>
          </w:p>
        </w:tc>
        <w:tc>
          <w:tcPr>
            <w:tcW w:w="288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GB/T 1535-2017</w:t>
            </w:r>
          </w:p>
        </w:tc>
        <w:tc>
          <w:tcPr>
            <w:tcW w:w="185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玉米油</w:t>
            </w:r>
          </w:p>
        </w:tc>
        <w:tc>
          <w:tcPr>
            <w:tcW w:w="24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葵花籽油</w:t>
            </w:r>
          </w:p>
        </w:tc>
        <w:tc>
          <w:tcPr>
            <w:tcW w:w="288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GB/T 10464-2017</w:t>
            </w:r>
          </w:p>
        </w:tc>
        <w:tc>
          <w:tcPr>
            <w:tcW w:w="185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米糠油</w:t>
            </w:r>
          </w:p>
        </w:tc>
        <w:tc>
          <w:tcPr>
            <w:tcW w:w="240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GB/T 19112-2003</w:t>
            </w:r>
          </w:p>
        </w:tc>
      </w:tr>
    </w:tbl>
    <w:p>
      <w:pPr>
        <w:pStyle w:val="192"/>
        <w:tabs>
          <w:tab w:val="left" w:pos="545"/>
        </w:tabs>
        <w:spacing w:before="86"/>
        <w:ind w:firstLine="0" w:firstLineChars="0"/>
        <w:jc w:val="left"/>
        <w:rPr>
          <w:color w:val="auto"/>
          <w:szCs w:val="21"/>
          <w:highlight w:val="none"/>
        </w:rPr>
      </w:pPr>
    </w:p>
    <w:p>
      <w:pPr>
        <w:pStyle w:val="192"/>
        <w:tabs>
          <w:tab w:val="left" w:pos="545"/>
        </w:tabs>
        <w:spacing w:before="86"/>
        <w:ind w:firstLine="0" w:firstLineChars="0"/>
        <w:jc w:val="left"/>
        <w:rPr>
          <w:color w:val="auto"/>
          <w:szCs w:val="21"/>
          <w:highlight w:val="none"/>
        </w:rPr>
      </w:pPr>
      <w:r>
        <w:rPr>
          <w:color w:val="auto"/>
          <w:szCs w:val="21"/>
          <w:highlight w:val="none"/>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≤100mg/kg</w:t>
            </w:r>
          </w:p>
        </w:tc>
      </w:tr>
    </w:tbl>
    <w:p>
      <w:pPr>
        <w:rPr>
          <w:color w:val="auto"/>
          <w:highlight w:val="none"/>
        </w:rPr>
      </w:pPr>
      <w:r>
        <w:rPr>
          <w:color w:val="auto"/>
          <w:highlight w:val="none"/>
        </w:rPr>
        <w:t>压榨成品花生油质量指标</w:t>
      </w:r>
    </w:p>
    <w:tbl>
      <w:tblPr>
        <w:tblStyle w:val="47"/>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p>
          <w:p>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7455" w:type="dxa"/>
            <w:gridSpan w:val="2"/>
            <w:tcBorders>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pPr>
              <w:jc w:val="center"/>
              <w:rPr>
                <w:rFonts w:hint="eastAsia" w:ascii="宋体" w:hAnsi="宋体" w:cs="宋体"/>
                <w:color w:val="auto"/>
                <w:szCs w:val="21"/>
                <w:highlight w:val="none"/>
              </w:rPr>
            </w:pPr>
          </w:p>
          <w:p>
            <w:pPr>
              <w:jc w:val="center"/>
              <w:rPr>
                <w:rFonts w:hint="eastAsia" w:ascii="宋体" w:hAnsi="宋体" w:cs="宋体"/>
                <w:color w:val="auto"/>
                <w:szCs w:val="21"/>
                <w:highlight w:val="none"/>
              </w:rPr>
            </w:pPr>
            <w:r>
              <w:rPr>
                <w:rFonts w:hint="eastAsia" w:ascii="宋体" w:hAnsi="宋体" w:cs="宋体"/>
                <w:color w:val="auto"/>
                <w:szCs w:val="21"/>
                <w:highlight w:val="none"/>
              </w:rPr>
              <w:t>加热试验(280℃)</w:t>
            </w:r>
          </w:p>
        </w:tc>
        <w:tc>
          <w:tcPr>
            <w:tcW w:w="3739" w:type="dxa"/>
            <w:tcBorders>
              <w:top w:val="single" w:color="000000" w:sz="6" w:space="0"/>
              <w:left w:val="single" w:color="000000" w:sz="6" w:space="0"/>
              <w:righ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微量析出物，罗维朋比色：黄色值不变，红色值增加小于4.0，蓝色值增加小于0.5。</w:t>
            </w:r>
          </w:p>
        </w:tc>
      </w:tr>
    </w:tbl>
    <w:p>
      <w:pPr>
        <w:rPr>
          <w:rFonts w:hint="eastAsia"/>
          <w:color w:val="auto"/>
          <w:highlight w:val="none"/>
        </w:rPr>
      </w:pPr>
      <w:r>
        <w:rPr>
          <w:rFonts w:hint="eastAsia"/>
          <w:color w:val="auto"/>
          <w:highlight w:val="none"/>
        </w:rPr>
        <w:t>浸出成品花生油质量指标</w:t>
      </w:r>
    </w:p>
    <w:tbl>
      <w:tblPr>
        <w:tblStyle w:val="47"/>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pStyle w:val="313"/>
              <w:spacing w:before="1"/>
              <w:rPr>
                <w:color w:val="auto"/>
                <w:szCs w:val="21"/>
                <w:highlight w:val="none"/>
              </w:rPr>
            </w:pPr>
          </w:p>
          <w:p>
            <w:pPr>
              <w:pStyle w:val="313"/>
              <w:spacing w:before="0"/>
              <w:ind w:left="1001" w:right="1002"/>
              <w:jc w:val="center"/>
              <w:rPr>
                <w:b/>
                <w:color w:val="auto"/>
                <w:szCs w:val="21"/>
                <w:highlight w:val="none"/>
              </w:rPr>
            </w:pPr>
            <w:r>
              <w:rPr>
                <w:b/>
                <w:color w:val="auto"/>
                <w:szCs w:val="21"/>
                <w:highlight w:val="none"/>
              </w:rPr>
              <w:t>项目</w:t>
            </w:r>
          </w:p>
        </w:tc>
        <w:tc>
          <w:tcPr>
            <w:tcW w:w="7245" w:type="dxa"/>
            <w:gridSpan w:val="4"/>
            <w:tcBorders>
              <w:left w:val="single" w:color="000000" w:sz="6" w:space="0"/>
              <w:bottom w:val="single" w:color="000000" w:sz="6" w:space="0"/>
            </w:tcBorders>
            <w:noWrap w:val="0"/>
            <w:vAlign w:val="top"/>
          </w:tcPr>
          <w:p>
            <w:pPr>
              <w:pStyle w:val="313"/>
              <w:spacing w:before="79"/>
              <w:ind w:left="1484" w:right="1473"/>
              <w:jc w:val="center"/>
              <w:rPr>
                <w:b/>
                <w:color w:val="auto"/>
                <w:szCs w:val="21"/>
                <w:highlight w:val="none"/>
              </w:rPr>
            </w:pPr>
            <w:r>
              <w:rPr>
                <w:b/>
                <w:color w:val="auto"/>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rPr>
                <w:color w:val="auto"/>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417" w:right="382"/>
              <w:jc w:val="center"/>
              <w:rPr>
                <w:color w:val="auto"/>
                <w:szCs w:val="21"/>
                <w:highlight w:val="none"/>
              </w:rPr>
            </w:pPr>
            <w:r>
              <w:rPr>
                <w:color w:val="auto"/>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417" w:right="383"/>
              <w:jc w:val="center"/>
              <w:rPr>
                <w:color w:val="auto"/>
                <w:szCs w:val="21"/>
                <w:highlight w:val="none"/>
              </w:rPr>
            </w:pPr>
            <w:r>
              <w:rPr>
                <w:color w:val="auto"/>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357"/>
              <w:rPr>
                <w:color w:val="auto"/>
                <w:szCs w:val="21"/>
                <w:highlight w:val="none"/>
              </w:rPr>
            </w:pPr>
            <w:r>
              <w:rPr>
                <w:color w:val="auto"/>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pPr>
              <w:pStyle w:val="313"/>
              <w:spacing w:before="92"/>
              <w:ind w:right="796"/>
              <w:jc w:val="center"/>
              <w:rPr>
                <w:color w:val="auto"/>
                <w:szCs w:val="21"/>
                <w:highlight w:val="none"/>
              </w:rPr>
            </w:pPr>
            <w:r>
              <w:rPr>
                <w:color w:val="auto"/>
                <w:szCs w:val="21"/>
                <w:highlight w:val="none"/>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无气味、口感好，具有花生油固有的气味和滋味，</w:t>
            </w:r>
            <w:r>
              <w:rPr>
                <w:rFonts w:hint="eastAsia"/>
                <w:color w:val="auto"/>
                <w:szCs w:val="21"/>
                <w:highlight w:val="none"/>
              </w:rPr>
              <w:t>无</w:t>
            </w:r>
            <w:r>
              <w:rPr>
                <w:color w:val="auto"/>
                <w:szCs w:val="21"/>
                <w:highlight w:val="none"/>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1.0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7.5</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p>
          <w:p>
            <w:pPr>
              <w:pStyle w:val="313"/>
              <w:spacing w:before="3"/>
              <w:rPr>
                <w:color w:val="auto"/>
                <w:szCs w:val="21"/>
                <w:highlight w:val="none"/>
              </w:rPr>
            </w:pPr>
          </w:p>
          <w:p>
            <w:pPr>
              <w:pStyle w:val="313"/>
              <w:spacing w:before="3"/>
              <w:rPr>
                <w:color w:val="auto"/>
                <w:szCs w:val="21"/>
                <w:highlight w:val="none"/>
              </w:rPr>
            </w:pPr>
            <w:r>
              <w:rPr>
                <w:color w:val="auto"/>
                <w:szCs w:val="21"/>
                <w:highlight w:val="none"/>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p>
          <w:p>
            <w:pPr>
              <w:pStyle w:val="313"/>
              <w:spacing w:before="3"/>
              <w:rPr>
                <w:color w:val="auto"/>
                <w:szCs w:val="21"/>
                <w:highlight w:val="none"/>
              </w:rPr>
            </w:pPr>
          </w:p>
          <w:p>
            <w:pPr>
              <w:pStyle w:val="313"/>
              <w:spacing w:before="3"/>
              <w:rPr>
                <w:color w:val="auto"/>
                <w:szCs w:val="21"/>
                <w:highlight w:val="none"/>
              </w:rPr>
            </w:pPr>
            <w:r>
              <w:rPr>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p>
          <w:p>
            <w:pPr>
              <w:pStyle w:val="313"/>
              <w:spacing w:before="3"/>
              <w:rPr>
                <w:color w:val="auto"/>
                <w:szCs w:val="21"/>
                <w:highlight w:val="none"/>
              </w:rPr>
            </w:pPr>
          </w:p>
          <w:p>
            <w:pPr>
              <w:pStyle w:val="313"/>
              <w:spacing w:before="3"/>
              <w:rPr>
                <w:color w:val="auto"/>
                <w:szCs w:val="21"/>
                <w:highlight w:val="none"/>
              </w:rPr>
            </w:pPr>
            <w:r>
              <w:rPr>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auto"/>
                <w:szCs w:val="21"/>
                <w:highlight w:val="none"/>
              </w:rPr>
            </w:pPr>
            <w:r>
              <w:rPr>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溶剂残留量/(mg／kg)</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auto"/>
                <w:szCs w:val="21"/>
                <w:highlight w:val="none"/>
              </w:rPr>
            </w:pPr>
            <w:r>
              <w:rPr>
                <w:color w:val="auto"/>
                <w:szCs w:val="21"/>
                <w:highlight w:val="none"/>
              </w:rPr>
              <w:t>≤50</w:t>
            </w:r>
          </w:p>
        </w:tc>
        <w:tc>
          <w:tcPr>
            <w:tcW w:w="2070" w:type="dxa"/>
            <w:tcBorders>
              <w:top w:val="single" w:color="000000" w:sz="6" w:space="0"/>
              <w:left w:val="single" w:color="000000" w:sz="6" w:space="0"/>
            </w:tcBorders>
            <w:noWrap w:val="0"/>
            <w:vAlign w:val="top"/>
          </w:tcPr>
          <w:p>
            <w:pPr>
              <w:pStyle w:val="313"/>
              <w:spacing w:before="3"/>
              <w:rPr>
                <w:color w:val="auto"/>
                <w:szCs w:val="21"/>
                <w:highlight w:val="none"/>
              </w:rPr>
            </w:pPr>
            <w:r>
              <w:rPr>
                <w:color w:val="auto"/>
                <w:szCs w:val="21"/>
                <w:highlight w:val="none"/>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糕点类：包子、馒头、蛋糕等各种糕点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产品质量必须符合国家行业标准要求，有明确的商品标签，有生产日期、保质期、质量等级，不得有掺假、变质、变味、过期等现象出现，运输过程</w:t>
      </w:r>
      <w:r>
        <w:rPr>
          <w:rFonts w:hint="eastAsia" w:ascii="宋体" w:hAnsi="宋体" w:eastAsia="宋体" w:cs="宋体"/>
          <w:bCs/>
          <w:color w:val="auto"/>
          <w:sz w:val="21"/>
          <w:szCs w:val="21"/>
          <w:highlight w:val="none"/>
          <w:lang w:eastAsia="zh-CN"/>
        </w:rPr>
        <w:t>必须符合糕点运输的国家标准要求</w:t>
      </w:r>
      <w:r>
        <w:rPr>
          <w:rFonts w:hint="eastAsia" w:ascii="宋体" w:hAnsi="宋体" w:eastAsia="宋体" w:cs="宋体"/>
          <w:bCs/>
          <w:color w:val="auto"/>
          <w:sz w:val="21"/>
          <w:szCs w:val="21"/>
          <w:highlight w:val="none"/>
        </w:rPr>
        <w:t>，送达目的地时</w:t>
      </w:r>
      <w:r>
        <w:rPr>
          <w:rFonts w:hint="eastAsia" w:ascii="宋体" w:hAnsi="宋体" w:eastAsia="宋体" w:cs="宋体"/>
          <w:bCs/>
          <w:color w:val="auto"/>
          <w:sz w:val="21"/>
          <w:szCs w:val="21"/>
          <w:highlight w:val="none"/>
          <w:lang w:eastAsia="zh-CN"/>
        </w:rPr>
        <w:t>糕点新鲜，</w:t>
      </w:r>
      <w:r>
        <w:rPr>
          <w:rFonts w:hint="eastAsia" w:ascii="宋体" w:hAnsi="宋体" w:eastAsia="宋体" w:cs="宋体"/>
          <w:bCs/>
          <w:color w:val="auto"/>
          <w:sz w:val="21"/>
          <w:szCs w:val="21"/>
          <w:highlight w:val="none"/>
        </w:rPr>
        <w:t>外包装箱干爽，无软化现象</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 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5.7 经营情况发生重大变化，已经不具备承接中标供应项目能力的；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color w:val="auto"/>
          <w:highlight w:val="none"/>
          <w:lang w:val="en-US" w:eastAsia="zh-CN"/>
        </w:rPr>
      </w:pPr>
      <w:r>
        <w:rPr>
          <w:rFonts w:hint="eastAsia" w:ascii="宋体" w:hAnsi="宋体" w:eastAsia="宋体" w:cs="宋体"/>
          <w:bCs/>
          <w:color w:val="auto"/>
          <w:sz w:val="21"/>
          <w:szCs w:val="21"/>
          <w:highlight w:val="none"/>
        </w:rPr>
        <w:t>5.8 违反招标文件和合同相关管理规定，或有其它违法违纪行为的。</w:t>
      </w:r>
      <w:r>
        <w:rPr>
          <w:rFonts w:hint="default"/>
          <w:color w:val="auto"/>
          <w:highlight w:val="none"/>
          <w:lang w:val="en-US" w:eastAsia="zh-CN"/>
        </w:rPr>
        <w:br w:type="page"/>
      </w:r>
    </w:p>
    <w:p>
      <w:pPr>
        <w:spacing w:line="240" w:lineRule="auto"/>
        <w:jc w:val="left"/>
        <w:rPr>
          <w:rFonts w:hint="eastAsia" w:ascii="宋体" w:hAnsi="宋体" w:cs="宋体"/>
          <w:b/>
          <w:bCs/>
          <w:color w:val="auto"/>
          <w:highlight w:val="none"/>
        </w:rPr>
      </w:pPr>
      <w:r>
        <w:rPr>
          <w:rFonts w:hint="eastAsia" w:ascii="宋体" w:hAnsi="宋体" w:cs="宋体"/>
          <w:b/>
          <w:bCs/>
          <w:color w:val="auto"/>
          <w:highlight w:val="none"/>
        </w:rPr>
        <w:t xml:space="preserve">附件                            </w:t>
      </w:r>
    </w:p>
    <w:p>
      <w:pPr>
        <w:spacing w:line="240" w:lineRule="auto"/>
        <w:jc w:val="center"/>
        <w:rPr>
          <w:rFonts w:hint="eastAsia" w:ascii="宋体" w:hAnsi="宋体" w:cs="宋体"/>
          <w:b/>
          <w:bCs/>
          <w:color w:val="auto"/>
          <w:highlight w:val="none"/>
        </w:rPr>
      </w:pPr>
      <w:r>
        <w:rPr>
          <w:rFonts w:hint="eastAsia" w:ascii="宋体" w:hAnsi="宋体" w:cs="宋体"/>
          <w:b/>
          <w:bCs/>
          <w:color w:val="auto"/>
          <w:highlight w:val="none"/>
        </w:rPr>
        <w:t>配送服务质量考核评价办法</w:t>
      </w:r>
    </w:p>
    <w:p>
      <w:pPr>
        <w:spacing w:line="240" w:lineRule="auto"/>
        <w:rPr>
          <w:rFonts w:hint="eastAsia" w:ascii="宋体" w:hAnsi="宋体" w:cs="宋体"/>
          <w:color w:val="auto"/>
          <w:highlight w:val="none"/>
        </w:rPr>
      </w:pPr>
    </w:p>
    <w:p>
      <w:pPr>
        <w:spacing w:line="240" w:lineRule="auto"/>
        <w:rPr>
          <w:rFonts w:hint="eastAsia" w:ascii="宋体" w:hAnsi="宋体" w:cs="宋体"/>
          <w:color w:val="auto"/>
          <w:highlight w:val="none"/>
        </w:rPr>
      </w:pPr>
      <w:r>
        <w:rPr>
          <w:rFonts w:hint="eastAsia" w:ascii="宋体" w:hAnsi="宋体" w:cs="宋体"/>
          <w:color w:val="auto"/>
          <w:highlight w:val="none"/>
        </w:rPr>
        <w:t>1、每月综合服务满意度满分为100分，合格标准为90分，满意度低于90分的每下降1%扣除当月结算金额的1%。半年内累计出现低于合格满意度次数超过3次的，采购人有权解除合同。</w:t>
      </w:r>
    </w:p>
    <w:p>
      <w:pPr>
        <w:spacing w:line="240" w:lineRule="auto"/>
        <w:rPr>
          <w:rFonts w:hint="eastAsia" w:ascii="宋体" w:hAnsi="宋体" w:cs="宋体"/>
          <w:color w:val="auto"/>
          <w:highlight w:val="none"/>
        </w:rPr>
      </w:pPr>
      <w:r>
        <w:rPr>
          <w:rFonts w:hint="eastAsia" w:ascii="宋体" w:hAnsi="宋体" w:cs="宋体"/>
          <w:color w:val="auto"/>
          <w:highlight w:val="none"/>
        </w:rPr>
        <w:t>2、中标供应商需及时对采购人提出的存在问题作出响应并实施整改，</w:t>
      </w:r>
      <w:r>
        <w:rPr>
          <w:rFonts w:hint="eastAsia" w:ascii="宋体" w:hAnsi="宋体" w:cs="宋体"/>
          <w:color w:val="auto"/>
          <w:highlight w:val="none"/>
          <w:lang w:val="en-US" w:eastAsia="zh-CN"/>
        </w:rPr>
        <w:t>五天内</w:t>
      </w:r>
      <w:r>
        <w:rPr>
          <w:rFonts w:hint="eastAsia" w:ascii="宋体" w:hAnsi="宋体" w:cs="宋体"/>
          <w:color w:val="auto"/>
          <w:highlight w:val="none"/>
        </w:rPr>
        <w:t>未作出整改的，采购人将发出警告信1次，连续因同一问题发出警告信息3次，采购人有权终止其供货资格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并没收所有履约保证金。</w:t>
      </w:r>
    </w:p>
    <w:p>
      <w:pPr>
        <w:spacing w:line="240" w:lineRule="auto"/>
        <w:rPr>
          <w:rFonts w:hint="eastAsia" w:ascii="宋体" w:hAnsi="宋体" w:cs="宋体"/>
          <w:color w:val="auto"/>
          <w:highlight w:val="none"/>
        </w:rPr>
      </w:pPr>
      <w:r>
        <w:rPr>
          <w:rFonts w:hint="eastAsia" w:ascii="宋体" w:hAnsi="宋体" w:cs="宋体"/>
          <w:color w:val="auto"/>
          <w:highlight w:val="none"/>
        </w:rPr>
        <w:t>3、提前终止供货服务的一周前，需以书面形式通知对方。</w:t>
      </w:r>
    </w:p>
    <w:tbl>
      <w:tblPr>
        <w:tblStyle w:val="47"/>
        <w:tblW w:w="9603" w:type="dxa"/>
        <w:tblInd w:w="-246" w:type="dxa"/>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考核细则</w:t>
            </w:r>
          </w:p>
        </w:tc>
      </w:tr>
      <w:tr>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在协议供货期，未在规定时间内（迟到超过半小时）完成配送、供货，每次扣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实际配送货物少于订购数量且不能及时补充的，每次扣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相应批次的货物未能提供相关合格检验证明的，每次扣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1257"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zh-CN"/>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96"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auto"/>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采购人有权终止其供货资格并没收所有履约保证金</w:t>
            </w:r>
          </w:p>
        </w:tc>
      </w:tr>
      <w:tr>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27"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auto"/>
                <w:szCs w:val="21"/>
                <w:highlight w:val="none"/>
              </w:rPr>
            </w:pPr>
          </w:p>
        </w:tc>
      </w:tr>
    </w:tbl>
    <w:p>
      <w:pPr>
        <w:adjustRightInd w:val="0"/>
        <w:snapToGrid w:val="0"/>
        <w:spacing w:line="360" w:lineRule="auto"/>
        <w:rPr>
          <w:rFonts w:ascii="宋体" w:hAnsi="宋体"/>
          <w:bCs/>
          <w:color w:val="auto"/>
          <w:highlight w:val="none"/>
        </w:rPr>
      </w:pPr>
    </w:p>
    <w:p>
      <w:pPr>
        <w:pStyle w:val="5"/>
        <w:rPr>
          <w:color w:val="auto"/>
          <w:sz w:val="21"/>
          <w:szCs w:val="21"/>
          <w:highlight w:val="none"/>
        </w:rPr>
      </w:pPr>
    </w:p>
    <w:p>
      <w:pPr>
        <w:rPr>
          <w:rFonts w:hint="eastAsia"/>
          <w:color w:val="auto"/>
          <w:highlight w:val="none"/>
        </w:rPr>
      </w:pPr>
      <w:r>
        <w:rPr>
          <w:rFonts w:hint="eastAsia"/>
          <w:color w:val="auto"/>
          <w:highlight w:val="none"/>
        </w:rPr>
        <w:br w:type="page"/>
      </w:r>
    </w:p>
    <w:p>
      <w:pPr>
        <w:pStyle w:val="3"/>
        <w:numPr>
          <w:ilvl w:val="0"/>
          <w:numId w:val="0"/>
        </w:numPr>
        <w:spacing w:beforeLines="0" w:line="240" w:lineRule="auto"/>
        <w:rPr>
          <w:color w:val="auto"/>
          <w:highlight w:val="none"/>
        </w:rPr>
      </w:pPr>
      <w:bookmarkStart w:id="115" w:name="_Toc13551"/>
      <w:r>
        <w:rPr>
          <w:rFonts w:hint="eastAsia"/>
          <w:color w:val="auto"/>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auto"/>
          <w:szCs w:val="21"/>
          <w:highlight w:val="none"/>
        </w:rPr>
      </w:pPr>
      <w:bookmarkStart w:id="116" w:name="_Toc5444"/>
      <w:bookmarkStart w:id="117" w:name="_Toc456272919"/>
      <w:bookmarkStart w:id="118" w:name="_Toc434832495"/>
      <w:bookmarkStart w:id="119" w:name="_Toc456648358"/>
      <w:r>
        <w:rPr>
          <w:rFonts w:hint="eastAsia"/>
          <w:color w:val="auto"/>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bookmarkStart w:id="120" w:name="_Hlt21938665"/>
            <w:bookmarkEnd w:id="120"/>
            <w:bookmarkStart w:id="121" w:name="_Hlt21938668"/>
            <w:bookmarkEnd w:id="121"/>
            <w:bookmarkStart w:id="122" w:name="_Toc349143557"/>
            <w:bookmarkStart w:id="123" w:name="_Toc330459953"/>
            <w:bookmarkStart w:id="124" w:name="_Toc339019857"/>
            <w:bookmarkStart w:id="125" w:name="_Toc333935655"/>
            <w:bookmarkStart w:id="126" w:name="_Toc339020201"/>
            <w:bookmarkStart w:id="127" w:name="_Toc337632326"/>
            <w:bookmarkStart w:id="128" w:name="_Toc342296728"/>
            <w:bookmarkStart w:id="129" w:name="_Toc339019983"/>
            <w:bookmarkStart w:id="130" w:name="_Toc336681903"/>
            <w:bookmarkStart w:id="131" w:name="_Toc503785396"/>
            <w:bookmarkStart w:id="132" w:name="_Toc339441055"/>
            <w:bookmarkStart w:id="133" w:name="_Toc349127594"/>
            <w:bookmarkStart w:id="134" w:name="_Toc340507410"/>
            <w:bookmarkStart w:id="135" w:name="_Toc350756418"/>
            <w:bookmarkStart w:id="136" w:name="_Toc345513835"/>
            <w:bookmarkStart w:id="137" w:name="_Toc333237756"/>
            <w:bookmarkStart w:id="138" w:name="_Toc331512866"/>
            <w:bookmarkStart w:id="139" w:name="_Toc366072496"/>
            <w:bookmarkStart w:id="140" w:name="_Toc365967041"/>
            <w:bookmarkStart w:id="141" w:name="_Toc365985147"/>
            <w:bookmarkStart w:id="142" w:name="_Toc332206676"/>
            <w:bookmarkStart w:id="143" w:name="_Toc339020063"/>
            <w:bookmarkStart w:id="144" w:name="_Toc350438717"/>
            <w:bookmarkStart w:id="145" w:name="_Toc340677038"/>
            <w:bookmarkStart w:id="146" w:name="_Toc336681548"/>
            <w:bookmarkStart w:id="147" w:name="_Toc497224194"/>
            <w:bookmarkStart w:id="148" w:name="_Toc331684006"/>
            <w:bookmarkStart w:id="149" w:name="_Toc339362268"/>
            <w:bookmarkStart w:id="150" w:name="_Toc332270314"/>
            <w:bookmarkStart w:id="151" w:name="_Toc333238601"/>
            <w:bookmarkStart w:id="152" w:name="_Toc333935314"/>
            <w:bookmarkStart w:id="153" w:name="_Toc340672837"/>
            <w:bookmarkStart w:id="154" w:name="_Toc333237645"/>
            <w:bookmarkStart w:id="155" w:name="_Toc341348306"/>
            <w:bookmarkStart w:id="156" w:name="_Toc342060342"/>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bCs/>
                <w:color w:val="auto"/>
                <w:highlight w:val="none"/>
              </w:rPr>
              <w:t>评标委员会</w:t>
            </w:r>
            <w:r>
              <w:rPr>
                <w:rFonts w:hint="eastAsia" w:ascii="宋体"/>
                <w:bCs/>
                <w:color w:val="auto"/>
                <w:highlight w:val="none"/>
                <w:lang w:val="en-US" w:eastAsia="zh-CN"/>
              </w:rPr>
              <w:t>根据政府采购相关法律法规组成</w:t>
            </w:r>
            <w:r>
              <w:rPr>
                <w:rFonts w:hint="eastAsia" w:ascii="宋体"/>
                <w:bCs/>
                <w:color w:val="auto"/>
                <w:highlight w:val="none"/>
              </w:rPr>
              <w:t>，评审专家根据相关法律法规及法律程序</w:t>
            </w:r>
            <w:r>
              <w:rPr>
                <w:rFonts w:hint="eastAsia" w:ascii="宋体"/>
                <w:bCs/>
                <w:color w:val="auto"/>
                <w:highlight w:val="none"/>
                <w:lang w:eastAsia="zh-CN"/>
              </w:rPr>
              <w:t>，</w:t>
            </w:r>
            <w:r>
              <w:rPr>
                <w:rFonts w:hint="eastAsia" w:ascii="宋体"/>
                <w:bCs/>
                <w:color w:val="auto"/>
                <w:highlight w:val="none"/>
              </w:rPr>
              <w:t>依据本次采购活动的特点和需要在政府指定的专家库中随机抽取产生,</w:t>
            </w:r>
            <w:r>
              <w:rPr>
                <w:rFonts w:hint="eastAsia" w:ascii="宋体"/>
                <w:b/>
                <w:bCs/>
                <w:color w:val="auto"/>
                <w:highlight w:val="none"/>
              </w:rPr>
              <w:t>专家数量共</w:t>
            </w:r>
            <w:r>
              <w:rPr>
                <w:rFonts w:hint="eastAsia" w:ascii="宋体"/>
                <w:b/>
                <w:bCs/>
                <w:color w:val="auto"/>
                <w:highlight w:val="none"/>
                <w:u w:val="single"/>
              </w:rPr>
              <w:t xml:space="preserve"> 5</w:t>
            </w:r>
            <w:r>
              <w:rPr>
                <w:rFonts w:ascii="宋体"/>
                <w:b/>
                <w:bCs/>
                <w:color w:val="auto"/>
                <w:highlight w:val="none"/>
                <w:u w:val="single"/>
              </w:rPr>
              <w:t xml:space="preserve"> </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auto"/>
                <w:highlight w:val="none"/>
                <w:lang w:eastAsia="zh-CN"/>
              </w:rPr>
            </w:pPr>
            <w:r>
              <w:rPr>
                <w:rFonts w:hint="eastAsia" w:ascii="宋体" w:hAnsi="宋体"/>
                <w:b/>
                <w:bCs/>
                <w:color w:val="auto"/>
                <w:szCs w:val="21"/>
                <w:highlight w:val="none"/>
                <w:lang w:val="en-US" w:eastAsia="zh-CN"/>
              </w:rPr>
              <w:t>共提供4份</w:t>
            </w:r>
            <w:r>
              <w:rPr>
                <w:rFonts w:hint="eastAsia" w:ascii="宋体" w:hAnsi="宋体"/>
                <w:b/>
                <w:bCs/>
                <w:color w:val="auto"/>
                <w:szCs w:val="21"/>
                <w:highlight w:val="none"/>
              </w:rPr>
              <w:t>投标</w:t>
            </w:r>
            <w:r>
              <w:rPr>
                <w:rFonts w:hint="eastAsia" w:ascii="宋体" w:hAnsi="宋体"/>
                <w:b/>
                <w:bCs/>
                <w:color w:val="auto"/>
                <w:szCs w:val="21"/>
                <w:highlight w:val="none"/>
                <w:lang w:val="en-US" w:eastAsia="zh-CN"/>
              </w:rPr>
              <w:t>资料，分别封装：</w:t>
            </w:r>
            <w:r>
              <w:rPr>
                <w:rFonts w:hint="eastAsia" w:ascii="宋体" w:hAnsi="宋体"/>
                <w:b/>
                <w:bCs/>
                <w:color w:val="auto"/>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资格审查文件</w:t>
            </w:r>
            <w:r>
              <w:rPr>
                <w:rFonts w:hint="eastAsia" w:ascii="宋体" w:hAnsi="宋体"/>
                <w:b/>
                <w:bCs/>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商务及技术文件</w:t>
            </w:r>
            <w:r>
              <w:rPr>
                <w:rFonts w:hint="eastAsia" w:ascii="宋体" w:hAnsi="宋体"/>
                <w:b/>
                <w:bCs/>
                <w:color w:val="auto"/>
                <w:szCs w:val="21"/>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rPr>
              <w:t>开标信封</w:t>
            </w:r>
            <w:r>
              <w:rPr>
                <w:rFonts w:hint="eastAsia"/>
                <w:b/>
                <w:bCs/>
                <w:color w:val="auto"/>
                <w:szCs w:val="21"/>
                <w:highlight w:val="none"/>
                <w:lang w:eastAsia="zh-CN"/>
              </w:rPr>
              <w:t>。</w:t>
            </w:r>
            <w:r>
              <w:rPr>
                <w:rFonts w:hint="eastAsia"/>
                <w:color w:val="auto"/>
                <w:highlight w:val="none"/>
                <w:lang w:val="en-US" w:eastAsia="zh-CN"/>
              </w:rPr>
              <w:t>（内含“开标一览表”、“分项报价表”、“法定代表人（负责人）证明书”和“法定代表人（负责人）授权书”</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4、</w:t>
            </w:r>
            <w:r>
              <w:rPr>
                <w:rFonts w:hint="eastAsia"/>
                <w:b/>
                <w:bCs/>
                <w:color w:val="auto"/>
                <w:highlight w:val="none"/>
                <w:lang w:val="en-US" w:eastAsia="zh-CN"/>
              </w:rPr>
              <w:t>投标文件电子版。</w:t>
            </w:r>
            <w:r>
              <w:rPr>
                <w:rFonts w:hint="eastAsia"/>
                <w:color w:val="auto"/>
                <w:highlight w:val="none"/>
                <w:lang w:val="en-US" w:eastAsia="zh-CN"/>
              </w:rPr>
              <w:t>（以光盘或U盘提供，内含PDF及可编辑的投标文件电子版1份，</w:t>
            </w:r>
            <w:r>
              <w:rPr>
                <w:rFonts w:hint="eastAsia"/>
                <w:color w:val="auto"/>
                <w:szCs w:val="21"/>
                <w:highlight w:val="none"/>
              </w:rPr>
              <w:t>在封面上注明“</w:t>
            </w:r>
            <w:r>
              <w:rPr>
                <w:rFonts w:hint="eastAsia"/>
                <w:color w:val="auto"/>
                <w:szCs w:val="21"/>
                <w:highlight w:val="none"/>
                <w:lang w:val="en-US" w:eastAsia="zh-CN"/>
              </w:rPr>
              <w:t>公司名称-</w:t>
            </w:r>
            <w:r>
              <w:rPr>
                <w:rFonts w:hint="eastAsia"/>
                <w:color w:val="auto"/>
                <w:highlight w:val="none"/>
                <w:lang w:val="en-US" w:eastAsia="zh-CN"/>
              </w:rPr>
              <w:t>投标文件电子版</w:t>
            </w:r>
            <w:r>
              <w:rPr>
                <w:rFonts w:hint="eastAsia"/>
                <w:color w:val="auto"/>
                <w:szCs w:val="21"/>
                <w:highlight w:val="none"/>
              </w:rPr>
              <w:t>”</w:t>
            </w:r>
            <w:r>
              <w:rPr>
                <w:rFonts w:hint="eastAsia"/>
                <w:color w:val="auto"/>
                <w:highlight w:val="none"/>
                <w:lang w:eastAsia="zh-CN"/>
              </w:rPr>
              <w:t>。</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hAnsi="宋体"/>
                <w:b/>
                <w:bCs w:val="0"/>
                <w:color w:val="auto"/>
                <w:szCs w:val="21"/>
                <w:highlight w:val="none"/>
                <w:lang w:val="en-US" w:eastAsia="zh-CN"/>
              </w:rPr>
              <w:t>所有投标资料</w:t>
            </w:r>
            <w:r>
              <w:rPr>
                <w:rFonts w:hint="eastAsia" w:ascii="宋体"/>
                <w:bCs/>
                <w:color w:val="auto"/>
                <w:szCs w:val="21"/>
                <w:highlight w:val="none"/>
              </w:rPr>
              <w:t>分别</w:t>
            </w:r>
            <w:r>
              <w:rPr>
                <w:rFonts w:hint="eastAsia" w:ascii="宋体" w:hAnsi="宋体"/>
                <w:bCs/>
                <w:color w:val="auto"/>
                <w:szCs w:val="21"/>
                <w:highlight w:val="none"/>
              </w:rPr>
              <w:t>密封在不透明的外层封装中，</w:t>
            </w:r>
            <w:r>
              <w:rPr>
                <w:rFonts w:hint="eastAsia"/>
                <w:color w:val="auto"/>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auto"/>
                <w:highlight w:val="none"/>
              </w:rPr>
            </w:pPr>
            <w:r>
              <w:rPr>
                <w:rFonts w:hint="eastAsia" w:ascii="宋体"/>
                <w:bCs/>
                <w:color w:val="auto"/>
                <w:highlight w:val="none"/>
              </w:rPr>
              <w:t>每一密封封</w:t>
            </w:r>
            <w:r>
              <w:rPr>
                <w:rFonts w:hint="eastAsia" w:ascii="宋体"/>
                <w:bCs/>
                <w:color w:val="auto"/>
                <w:highlight w:val="none"/>
                <w:lang w:val="en-US" w:eastAsia="zh-CN"/>
              </w:rPr>
              <w:t>装</w:t>
            </w:r>
            <w:r>
              <w:rPr>
                <w:rFonts w:hint="eastAsia" w:ascii="宋体"/>
                <w:bCs/>
                <w:color w:val="auto"/>
                <w:highlight w:val="none"/>
              </w:rPr>
              <w:t>上均注明“于</w:t>
            </w:r>
            <w:r>
              <w:rPr>
                <w:rFonts w:hint="eastAsia" w:ascii="宋体"/>
                <w:bCs/>
                <w:color w:val="auto"/>
                <w:highlight w:val="none"/>
                <w:u w:val="single"/>
              </w:rPr>
              <w:t xml:space="preserve">     （投标截止时间）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bCs/>
                <w:color w:val="auto"/>
                <w:highlight w:val="none"/>
              </w:rPr>
              <w:t>投标人未按上述规定对投标文件进行密封和加写标记，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r>
              <w:rPr>
                <w:b/>
                <w:bCs/>
                <w:color w:val="auto"/>
                <w:szCs w:val="21"/>
                <w:highlight w:val="none"/>
              </w:rPr>
              <w:t>所有投标文件密封袋的封口处应加盖投标人</w:t>
            </w:r>
            <w:r>
              <w:rPr>
                <w:rFonts w:hint="eastAsia"/>
                <w:b/>
                <w:bCs/>
                <w:color w:val="auto"/>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ascii="宋体" w:hAnsi="宋体"/>
                <w:color w:val="auto"/>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pPr>
        <w:pStyle w:val="5"/>
        <w:ind w:left="0" w:leftChars="0" w:firstLine="0" w:firstLineChars="0"/>
        <w:rPr>
          <w:color w:val="auto"/>
          <w:highlight w:val="none"/>
        </w:rPr>
      </w:pPr>
    </w:p>
    <w:p>
      <w:pPr>
        <w:pStyle w:val="5"/>
        <w:rPr>
          <w:color w:val="auto"/>
          <w:highlight w:val="none"/>
        </w:rPr>
      </w:pPr>
    </w:p>
    <w:p>
      <w:pPr>
        <w:pStyle w:val="5"/>
        <w:rPr>
          <w:color w:val="auto"/>
          <w:highlight w:val="none"/>
        </w:rPr>
      </w:pPr>
    </w:p>
    <w:p>
      <w:pPr>
        <w:pStyle w:val="4"/>
        <w:numPr>
          <w:ilvl w:val="0"/>
          <w:numId w:val="0"/>
        </w:numPr>
        <w:rPr>
          <w:color w:val="auto"/>
          <w:sz w:val="24"/>
          <w:highlight w:val="none"/>
        </w:rPr>
      </w:pPr>
      <w:bookmarkStart w:id="157" w:name="_Toc23447"/>
      <w:r>
        <w:rPr>
          <w:rFonts w:hint="eastAsia"/>
          <w:color w:val="auto"/>
          <w:sz w:val="24"/>
          <w:highlight w:val="none"/>
        </w:rPr>
        <w:t>Ａ</w:t>
      </w:r>
      <w:r>
        <w:rPr>
          <w:color w:val="auto"/>
          <w:sz w:val="24"/>
          <w:highlight w:val="none"/>
        </w:rPr>
        <w:t xml:space="preserve">  </w:t>
      </w:r>
      <w:r>
        <w:rPr>
          <w:rFonts w:hint="eastAsia"/>
          <w:color w:val="auto"/>
          <w:sz w:val="24"/>
          <w:highlight w:val="none"/>
        </w:rPr>
        <w:t>说</w:t>
      </w:r>
      <w:r>
        <w:rPr>
          <w:color w:val="auto"/>
          <w:sz w:val="24"/>
          <w:highlight w:val="none"/>
        </w:rPr>
        <w:t xml:space="preserve">  </w:t>
      </w:r>
      <w:r>
        <w:rPr>
          <w:rFonts w:hint="eastAsia"/>
          <w:color w:val="auto"/>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6"/>
        </w:numPr>
        <w:tabs>
          <w:tab w:val="left" w:pos="720"/>
        </w:tabs>
        <w:spacing w:before="240" w:after="120"/>
        <w:ind w:left="2432" w:hanging="2432"/>
        <w:rPr>
          <w:color w:val="auto"/>
          <w:highlight w:val="none"/>
        </w:rPr>
      </w:pPr>
      <w:bookmarkStart w:id="158" w:name="_Toc497224195"/>
      <w:bookmarkStart w:id="159" w:name="_Toc503785397"/>
      <w:bookmarkStart w:id="160" w:name="_Toc345513836"/>
      <w:bookmarkStart w:id="161" w:name="_Toc340507411"/>
      <w:bookmarkStart w:id="162" w:name="_Toc366072497"/>
      <w:bookmarkStart w:id="163" w:name="_Toc340677039"/>
      <w:bookmarkStart w:id="164" w:name="_Toc6811"/>
      <w:bookmarkStart w:id="165" w:name="_Toc339362269"/>
      <w:bookmarkStart w:id="166" w:name="_Toc349143558"/>
      <w:bookmarkStart w:id="167" w:name="_Toc333935656"/>
      <w:bookmarkStart w:id="168" w:name="_Toc332206677"/>
      <w:bookmarkStart w:id="169" w:name="_Toc342296729"/>
      <w:bookmarkStart w:id="170" w:name="_Toc333237757"/>
      <w:bookmarkStart w:id="171" w:name="_Toc331684007"/>
      <w:bookmarkStart w:id="172" w:name="_Toc333237646"/>
      <w:bookmarkStart w:id="173" w:name="_Toc333238602"/>
      <w:bookmarkStart w:id="174" w:name="_Toc339019858"/>
      <w:bookmarkStart w:id="175" w:name="_Toc341348307"/>
      <w:bookmarkStart w:id="176" w:name="_Toc340672838"/>
      <w:bookmarkStart w:id="177" w:name="_Toc350438718"/>
      <w:bookmarkStart w:id="178" w:name="_Toc365967042"/>
      <w:bookmarkStart w:id="179" w:name="_Toc339020064"/>
      <w:bookmarkStart w:id="180" w:name="_Toc339019984"/>
      <w:bookmarkStart w:id="181" w:name="_Toc336681904"/>
      <w:bookmarkStart w:id="182" w:name="_Toc337632327"/>
      <w:bookmarkStart w:id="183" w:name="_Toc339441056"/>
      <w:bookmarkStart w:id="184" w:name="_Toc332270315"/>
      <w:bookmarkStart w:id="185" w:name="_Toc333935315"/>
      <w:bookmarkStart w:id="186" w:name="_Toc350756419"/>
      <w:bookmarkStart w:id="187" w:name="_Toc331512867"/>
      <w:bookmarkStart w:id="188" w:name="_Toc330459954"/>
      <w:bookmarkStart w:id="189" w:name="_Toc349127595"/>
      <w:bookmarkStart w:id="190" w:name="_Toc365985148"/>
      <w:bookmarkStart w:id="191" w:name="_Toc342060343"/>
      <w:bookmarkStart w:id="192" w:name="_Toc339020202"/>
      <w:bookmarkStart w:id="193" w:name="_Toc336681549"/>
      <w:r>
        <w:rPr>
          <w:rFonts w:hint="eastAsia"/>
          <w:color w:val="auto"/>
          <w:highlight w:val="none"/>
        </w:rPr>
        <w:t>适用范围</w:t>
      </w:r>
      <w:bookmarkEnd w:id="158"/>
      <w:bookmarkEnd w:id="159"/>
      <w:r>
        <w:rPr>
          <w:rFonts w:hint="eastAsia"/>
          <w:color w:val="auto"/>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bookmarkStart w:id="194" w:name="_Toc349127596"/>
      <w:bookmarkStart w:id="195" w:name="_Toc333935316"/>
      <w:bookmarkStart w:id="196" w:name="_Toc345513837"/>
      <w:bookmarkStart w:id="197" w:name="_Toc339362270"/>
      <w:bookmarkStart w:id="198" w:name="_Toc349143559"/>
      <w:bookmarkStart w:id="199" w:name="_Toc337632328"/>
      <w:bookmarkStart w:id="200" w:name="_Toc332206678"/>
      <w:bookmarkStart w:id="201" w:name="_Toc331512868"/>
      <w:bookmarkStart w:id="202" w:name="_Toc339020065"/>
      <w:bookmarkStart w:id="203" w:name="_Toc330459955"/>
      <w:bookmarkStart w:id="204" w:name="_Toc342296730"/>
      <w:bookmarkStart w:id="205" w:name="_Toc339019985"/>
      <w:bookmarkStart w:id="206" w:name="_Toc333237647"/>
      <w:bookmarkStart w:id="207" w:name="_Toc366072498"/>
      <w:bookmarkStart w:id="208" w:name="_Toc333238603"/>
      <w:bookmarkStart w:id="209" w:name="_Toc336681905"/>
      <w:bookmarkStart w:id="210" w:name="_Toc340672839"/>
      <w:bookmarkStart w:id="211" w:name="_Toc350756420"/>
      <w:bookmarkStart w:id="212" w:name="_Toc503785398"/>
      <w:bookmarkStart w:id="213" w:name="_Toc333237758"/>
      <w:bookmarkStart w:id="214" w:name="_Toc340507412"/>
      <w:bookmarkStart w:id="215" w:name="_Toc332270316"/>
      <w:bookmarkStart w:id="216" w:name="_Toc341348308"/>
      <w:bookmarkStart w:id="217" w:name="_Toc365985149"/>
      <w:bookmarkStart w:id="218" w:name="_Toc374454571"/>
      <w:bookmarkStart w:id="219" w:name="_Toc497224196"/>
      <w:bookmarkStart w:id="220" w:name="_Toc339441057"/>
      <w:bookmarkStart w:id="221" w:name="_Toc365967043"/>
      <w:bookmarkStart w:id="222" w:name="_Toc342060344"/>
      <w:bookmarkStart w:id="223" w:name="_Toc333935657"/>
      <w:bookmarkStart w:id="224" w:name="_Toc339019859"/>
      <w:bookmarkStart w:id="225" w:name="_Toc350438719"/>
      <w:bookmarkStart w:id="226" w:name="_Toc340677040"/>
      <w:bookmarkStart w:id="227" w:name="_Toc339020203"/>
      <w:bookmarkStart w:id="228" w:name="_Toc336681550"/>
      <w:bookmarkStart w:id="229" w:name="_Toc331684008"/>
      <w:r>
        <w:rPr>
          <w:rFonts w:hint="eastAsia" w:ascii="宋体"/>
          <w:bCs/>
          <w:color w:val="auto"/>
          <w:highlight w:val="none"/>
        </w:rPr>
        <w:t>1</w:t>
      </w:r>
      <w:r>
        <w:rPr>
          <w:rFonts w:ascii="宋体"/>
          <w:bCs/>
          <w:color w:val="auto"/>
          <w:highlight w:val="none"/>
        </w:rPr>
        <w:t>.1</w:t>
      </w:r>
      <w:r>
        <w:rPr>
          <w:rFonts w:hint="eastAsia" w:ascii="宋体"/>
          <w:bCs/>
          <w:color w:val="auto"/>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3    本招标文件由代理采购机构负责解释。</w:t>
      </w:r>
    </w:p>
    <w:p>
      <w:pPr>
        <w:pStyle w:val="6"/>
        <w:numPr>
          <w:ilvl w:val="4"/>
          <w:numId w:val="26"/>
        </w:numPr>
        <w:tabs>
          <w:tab w:val="left" w:pos="720"/>
        </w:tabs>
        <w:spacing w:before="240" w:after="120"/>
        <w:ind w:left="2432" w:hanging="2432"/>
        <w:rPr>
          <w:color w:val="auto"/>
          <w:highlight w:val="none"/>
        </w:rPr>
      </w:pPr>
      <w:bookmarkStart w:id="230" w:name="_Toc4042"/>
      <w:r>
        <w:rPr>
          <w:rFonts w:hint="eastAsia"/>
          <w:color w:val="auto"/>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阳江市江城马曹小学</w:t>
      </w:r>
      <w:r>
        <w:rPr>
          <w:rFonts w:hint="eastAsia" w:ascii="宋体"/>
          <w:bCs/>
          <w:color w:val="auto"/>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“工作日”系指国家规定除法定节假日以外的以日</w:t>
      </w:r>
      <w:r>
        <w:rPr>
          <w:rFonts w:ascii="宋体" w:hAnsi="宋体"/>
          <w:bCs/>
          <w:color w:val="auto"/>
          <w:highlight w:val="none"/>
        </w:rPr>
        <w:t>为计算单位的工作时间</w:t>
      </w:r>
      <w:r>
        <w:rPr>
          <w:rFonts w:hint="eastAsia" w:ascii="宋体" w:hAnsi="宋体"/>
          <w:bCs/>
          <w:color w:val="auto"/>
          <w:highlight w:val="none"/>
        </w:rPr>
        <w:t>。</w:t>
      </w:r>
    </w:p>
    <w:p>
      <w:pPr>
        <w:pStyle w:val="6"/>
        <w:numPr>
          <w:ilvl w:val="4"/>
          <w:numId w:val="26"/>
        </w:numPr>
        <w:tabs>
          <w:tab w:val="left" w:pos="720"/>
        </w:tabs>
        <w:spacing w:before="240" w:after="120"/>
        <w:ind w:left="2432" w:hanging="2432"/>
        <w:rPr>
          <w:color w:val="auto"/>
          <w:highlight w:val="none"/>
        </w:rPr>
      </w:pPr>
      <w:bookmarkStart w:id="231" w:name="_Toc503785399"/>
      <w:bookmarkStart w:id="232" w:name="_Toc497224197"/>
      <w:bookmarkStart w:id="233" w:name="_Toc349127597"/>
      <w:bookmarkStart w:id="234" w:name="_Toc331512869"/>
      <w:bookmarkStart w:id="235" w:name="_Toc350438720"/>
      <w:bookmarkStart w:id="236" w:name="_Toc365967044"/>
      <w:bookmarkStart w:id="237" w:name="_Toc331684009"/>
      <w:bookmarkStart w:id="238" w:name="_Toc332270317"/>
      <w:bookmarkStart w:id="239" w:name="_Toc366072499"/>
      <w:bookmarkStart w:id="240" w:name="_Toc339441058"/>
      <w:bookmarkStart w:id="241" w:name="_Toc341348309"/>
      <w:bookmarkStart w:id="242" w:name="_Toc333237648"/>
      <w:bookmarkStart w:id="243" w:name="_Toc336681906"/>
      <w:bookmarkStart w:id="244" w:name="_Toc330459956"/>
      <w:bookmarkStart w:id="245" w:name="_Toc365985150"/>
      <w:bookmarkStart w:id="246" w:name="_Toc340672840"/>
      <w:bookmarkStart w:id="247" w:name="_Toc342060345"/>
      <w:bookmarkStart w:id="248" w:name="_Toc374454572"/>
      <w:bookmarkStart w:id="249" w:name="_Toc339362271"/>
      <w:bookmarkStart w:id="250" w:name="_Toc333935658"/>
      <w:bookmarkStart w:id="251" w:name="_Toc336681551"/>
      <w:bookmarkStart w:id="252" w:name="_Toc333237759"/>
      <w:bookmarkStart w:id="253" w:name="_Toc8441"/>
      <w:bookmarkStart w:id="254" w:name="_Toc333935317"/>
      <w:bookmarkStart w:id="255" w:name="_Toc339019860"/>
      <w:bookmarkStart w:id="256" w:name="_Toc340507413"/>
      <w:bookmarkStart w:id="257" w:name="_Toc339020066"/>
      <w:bookmarkStart w:id="258" w:name="_Toc339020204"/>
      <w:bookmarkStart w:id="259" w:name="_Toc337632329"/>
      <w:bookmarkStart w:id="260" w:name="_Toc340677041"/>
      <w:bookmarkStart w:id="261" w:name="_Toc342296731"/>
      <w:bookmarkStart w:id="262" w:name="_Toc339019986"/>
      <w:bookmarkStart w:id="263" w:name="_Toc333238604"/>
      <w:bookmarkStart w:id="264" w:name="_Toc345513838"/>
      <w:bookmarkStart w:id="265" w:name="_Toc332206679"/>
      <w:bookmarkStart w:id="266" w:name="_Toc350756421"/>
      <w:bookmarkStart w:id="267" w:name="_Toc349143560"/>
      <w:r>
        <w:rPr>
          <w:rFonts w:hint="eastAsia"/>
          <w:color w:val="auto"/>
          <w:highlight w:val="none"/>
        </w:rPr>
        <w:t>合格的</w:t>
      </w:r>
      <w:bookmarkEnd w:id="231"/>
      <w:bookmarkEnd w:id="232"/>
      <w:r>
        <w:rPr>
          <w:rFonts w:hint="eastAsia"/>
          <w:color w:val="auto"/>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3.1</w:t>
      </w:r>
      <w:r>
        <w:rPr>
          <w:rFonts w:hint="eastAsia" w:ascii="宋体"/>
          <w:bCs/>
          <w:color w:val="auto"/>
          <w:highlight w:val="none"/>
        </w:rPr>
        <w:tab/>
      </w:r>
      <w:r>
        <w:rPr>
          <w:rFonts w:hint="eastAsia" w:ascii="宋体"/>
          <w:bCs/>
          <w:color w:val="auto"/>
          <w:highlight w:val="none"/>
        </w:rPr>
        <w:tab/>
      </w:r>
      <w:r>
        <w:rPr>
          <w:rFonts w:hint="eastAsia" w:ascii="宋体" w:hAnsi="宋体"/>
          <w:bCs/>
          <w:color w:val="auto"/>
          <w:highlight w:val="none"/>
        </w:rPr>
        <w:t>国内有能力提供采购项目相关的工程、货物和服务且符合本项目合格投标人资格条件的投标人</w:t>
      </w:r>
      <w:r>
        <w:rPr>
          <w:rFonts w:hint="eastAsia" w:ascii="宋体"/>
          <w:bCs/>
          <w:color w:val="auto"/>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3.2</w:t>
      </w:r>
      <w:r>
        <w:rPr>
          <w:rFonts w:ascii="宋体"/>
          <w:bCs/>
          <w:color w:val="auto"/>
          <w:highlight w:val="none"/>
        </w:rPr>
        <w:tab/>
      </w:r>
      <w:r>
        <w:rPr>
          <w:rFonts w:hint="eastAsia" w:ascii="宋体"/>
          <w:bCs/>
          <w:color w:val="auto"/>
          <w:highlight w:val="none"/>
        </w:rPr>
        <w:tab/>
      </w:r>
      <w:r>
        <w:rPr>
          <w:rFonts w:hint="eastAsia" w:ascii="宋体" w:hAnsi="宋体"/>
          <w:bCs/>
          <w:color w:val="auto"/>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szCs w:val="21"/>
          <w:highlight w:val="none"/>
        </w:rPr>
        <w:t xml:space="preserve">3.6    </w:t>
      </w:r>
      <w:r>
        <w:rPr>
          <w:bCs/>
          <w:color w:val="auto"/>
          <w:szCs w:val="21"/>
          <w:highlight w:val="none"/>
        </w:rPr>
        <w:t>专门面向中小微企业采购的项目，只能由中小企业或微型企业参加。</w:t>
      </w:r>
    </w:p>
    <w:p>
      <w:pPr>
        <w:pStyle w:val="6"/>
        <w:numPr>
          <w:ilvl w:val="4"/>
          <w:numId w:val="26"/>
        </w:numPr>
        <w:tabs>
          <w:tab w:val="left" w:pos="720"/>
        </w:tabs>
        <w:spacing w:before="240" w:after="120"/>
        <w:ind w:left="2432" w:hanging="2432"/>
        <w:rPr>
          <w:color w:val="auto"/>
          <w:highlight w:val="none"/>
        </w:rPr>
      </w:pPr>
      <w:bookmarkStart w:id="268" w:name="_Toc340672841"/>
      <w:bookmarkStart w:id="269" w:name="_Toc340507414"/>
      <w:bookmarkStart w:id="270" w:name="_Toc339020067"/>
      <w:bookmarkStart w:id="271" w:name="_Toc332270318"/>
      <w:bookmarkStart w:id="272" w:name="_Toc503785400"/>
      <w:bookmarkStart w:id="273" w:name="_Toc366072500"/>
      <w:bookmarkStart w:id="274" w:name="_Toc333935318"/>
      <w:bookmarkStart w:id="275" w:name="_Toc333237760"/>
      <w:bookmarkStart w:id="276" w:name="_Toc365985151"/>
      <w:bookmarkStart w:id="277" w:name="_Toc349127598"/>
      <w:bookmarkStart w:id="278" w:name="_Toc365967045"/>
      <w:bookmarkStart w:id="279" w:name="_Toc337632330"/>
      <w:bookmarkStart w:id="280" w:name="_Toc333238605"/>
      <w:bookmarkStart w:id="281" w:name="_Toc331512870"/>
      <w:bookmarkStart w:id="282" w:name="_Toc330459957"/>
      <w:bookmarkStart w:id="283" w:name="_Toc339020205"/>
      <w:bookmarkStart w:id="284" w:name="_Toc341348310"/>
      <w:bookmarkStart w:id="285" w:name="_Toc336681552"/>
      <w:bookmarkStart w:id="286" w:name="_Toc333935659"/>
      <w:bookmarkStart w:id="287" w:name="_Toc339362272"/>
      <w:bookmarkStart w:id="288" w:name="_Toc349143561"/>
      <w:bookmarkStart w:id="289" w:name="_Toc339019987"/>
      <w:bookmarkStart w:id="290" w:name="_Toc345513839"/>
      <w:bookmarkStart w:id="291" w:name="_Toc342060346"/>
      <w:bookmarkStart w:id="292" w:name="_Toc339019861"/>
      <w:bookmarkStart w:id="293" w:name="_Toc374454573"/>
      <w:bookmarkStart w:id="294" w:name="_Toc17633"/>
      <w:bookmarkStart w:id="295" w:name="_Toc350438721"/>
      <w:bookmarkStart w:id="296" w:name="_Toc336681907"/>
      <w:bookmarkStart w:id="297" w:name="_Toc497224198"/>
      <w:bookmarkStart w:id="298" w:name="_Toc350756422"/>
      <w:bookmarkStart w:id="299" w:name="_Toc340677042"/>
      <w:bookmarkStart w:id="300" w:name="_Toc332206680"/>
      <w:bookmarkStart w:id="301" w:name="_Toc339441059"/>
      <w:bookmarkStart w:id="302" w:name="_Toc331684010"/>
      <w:bookmarkStart w:id="303" w:name="_Toc333237649"/>
      <w:bookmarkStart w:id="304" w:name="_Toc342296732"/>
      <w:r>
        <w:rPr>
          <w:rFonts w:hint="eastAsia"/>
          <w:color w:val="auto"/>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4.1</w:t>
      </w:r>
      <w:r>
        <w:rPr>
          <w:rFonts w:hint="eastAsia" w:ascii="宋体"/>
          <w:bCs/>
          <w:color w:val="auto"/>
          <w:highlight w:val="none"/>
        </w:rPr>
        <w:tab/>
      </w:r>
      <w:r>
        <w:rPr>
          <w:rFonts w:hint="eastAsia" w:hAnsi="宋体"/>
          <w:color w:val="auto"/>
          <w:highlight w:val="none"/>
        </w:rPr>
        <w:t>投标人应承担所有与准备和参加投标有关的费用。不论投标的结果如何，代理采购机构和采购人均无义务和责任承担这些费用</w:t>
      </w:r>
      <w:r>
        <w:rPr>
          <w:rFonts w:hint="eastAsia" w:ascii="宋体"/>
          <w:bCs/>
          <w:color w:val="auto"/>
          <w:highlight w:val="none"/>
        </w:rPr>
        <w:t>。</w:t>
      </w:r>
      <w:bookmarkStart w:id="305" w:name="_Toc331684011"/>
      <w:bookmarkStart w:id="306" w:name="_Toc333237761"/>
      <w:bookmarkStart w:id="307" w:name="_Toc336681553"/>
      <w:bookmarkStart w:id="308" w:name="_Toc339362273"/>
      <w:bookmarkStart w:id="309" w:name="_Toc350438722"/>
      <w:bookmarkStart w:id="310" w:name="_Toc339020206"/>
      <w:bookmarkStart w:id="311" w:name="_Toc365967046"/>
      <w:bookmarkStart w:id="312" w:name="_Toc333935660"/>
      <w:bookmarkStart w:id="313" w:name="_Toc349127599"/>
      <w:bookmarkStart w:id="314" w:name="_Toc337632331"/>
      <w:bookmarkStart w:id="315" w:name="_Toc366072501"/>
      <w:bookmarkStart w:id="316" w:name="_Toc339441060"/>
      <w:bookmarkStart w:id="317" w:name="_Toc350756423"/>
      <w:bookmarkStart w:id="318" w:name="_Toc342296733"/>
      <w:bookmarkStart w:id="319" w:name="_Toc503785401"/>
      <w:bookmarkStart w:id="320" w:name="_Toc333237650"/>
      <w:bookmarkStart w:id="321" w:name="_Toc336681908"/>
      <w:bookmarkStart w:id="322" w:name="_Toc340507415"/>
      <w:bookmarkStart w:id="323" w:name="_Toc333935319"/>
      <w:bookmarkStart w:id="324" w:name="_Toc332206681"/>
      <w:bookmarkStart w:id="325" w:name="_Toc345513840"/>
      <w:bookmarkStart w:id="326" w:name="_Toc330459958"/>
      <w:bookmarkStart w:id="327" w:name="_Toc497224199"/>
      <w:bookmarkStart w:id="328" w:name="_Toc339019862"/>
      <w:bookmarkStart w:id="329" w:name="_Toc374454574"/>
      <w:bookmarkStart w:id="330" w:name="_Toc349143562"/>
      <w:bookmarkStart w:id="331" w:name="_Toc332270319"/>
      <w:bookmarkStart w:id="332" w:name="_Toc365985152"/>
      <w:bookmarkStart w:id="333" w:name="_Toc333238606"/>
      <w:bookmarkStart w:id="334" w:name="_Toc339019988"/>
      <w:bookmarkStart w:id="335" w:name="_Toc340672842"/>
      <w:bookmarkStart w:id="336" w:name="_Toc340677043"/>
      <w:bookmarkStart w:id="337" w:name="_Toc341348311"/>
      <w:bookmarkStart w:id="338" w:name="_Toc342060347"/>
      <w:bookmarkStart w:id="339" w:name="_Toc331512871"/>
      <w:bookmarkStart w:id="340" w:name="_Toc339020068"/>
    </w:p>
    <w:p>
      <w:pPr>
        <w:pStyle w:val="4"/>
        <w:numPr>
          <w:ilvl w:val="0"/>
          <w:numId w:val="0"/>
        </w:numPr>
        <w:rPr>
          <w:color w:val="auto"/>
          <w:sz w:val="24"/>
          <w:highlight w:val="none"/>
        </w:rPr>
      </w:pPr>
      <w:bookmarkStart w:id="341" w:name="_Toc5567"/>
      <w:r>
        <w:rPr>
          <w:rFonts w:hint="eastAsia"/>
          <w:color w:val="auto"/>
          <w:sz w:val="24"/>
          <w:highlight w:val="none"/>
        </w:rPr>
        <w:t>Ｂ</w:t>
      </w:r>
      <w:r>
        <w:rPr>
          <w:color w:val="auto"/>
          <w:sz w:val="24"/>
          <w:highlight w:val="none"/>
        </w:rPr>
        <w:t xml:space="preserve">  </w:t>
      </w:r>
      <w:r>
        <w:rPr>
          <w:rFonts w:hint="eastAsia"/>
          <w:color w:val="auto"/>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6"/>
        </w:numPr>
        <w:tabs>
          <w:tab w:val="left" w:pos="720"/>
        </w:tabs>
        <w:spacing w:before="240" w:after="120"/>
        <w:ind w:left="2432" w:hanging="2432"/>
        <w:rPr>
          <w:color w:val="auto"/>
          <w:highlight w:val="none"/>
        </w:rPr>
      </w:pPr>
      <w:bookmarkStart w:id="342" w:name="_Toc336681909"/>
      <w:bookmarkStart w:id="343" w:name="_Toc350756424"/>
      <w:bookmarkStart w:id="344" w:name="_Toc365967047"/>
      <w:bookmarkStart w:id="345" w:name="_Toc337632332"/>
      <w:bookmarkStart w:id="346" w:name="_Toc332270320"/>
      <w:bookmarkStart w:id="347" w:name="_Toc339441061"/>
      <w:bookmarkStart w:id="348" w:name="_Toc340677044"/>
      <w:bookmarkStart w:id="349" w:name="_Toc345513841"/>
      <w:bookmarkStart w:id="350" w:name="_Toc333935320"/>
      <w:bookmarkStart w:id="351" w:name="_Toc340672843"/>
      <w:bookmarkStart w:id="352" w:name="_Toc339019989"/>
      <w:bookmarkStart w:id="353" w:name="_Toc497224200"/>
      <w:bookmarkStart w:id="354" w:name="_Toc333237762"/>
      <w:bookmarkStart w:id="355" w:name="_Toc350438723"/>
      <w:bookmarkStart w:id="356" w:name="_Toc333935661"/>
      <w:bookmarkStart w:id="357" w:name="_Toc332206682"/>
      <w:bookmarkStart w:id="358" w:name="_Toc503785402"/>
      <w:bookmarkStart w:id="359" w:name="_Toc339362274"/>
      <w:bookmarkStart w:id="360" w:name="_Toc331684012"/>
      <w:bookmarkStart w:id="361" w:name="_Toc349127600"/>
      <w:bookmarkStart w:id="362" w:name="_Toc340507416"/>
      <w:bookmarkStart w:id="363" w:name="_Toc349143563"/>
      <w:bookmarkStart w:id="364" w:name="_Toc374454575"/>
      <w:bookmarkStart w:id="365" w:name="_Toc339020207"/>
      <w:bookmarkStart w:id="366" w:name="_Toc342060348"/>
      <w:bookmarkStart w:id="367" w:name="_Toc331512872"/>
      <w:bookmarkStart w:id="368" w:name="_Toc365985153"/>
      <w:bookmarkStart w:id="369" w:name="_Toc339019863"/>
      <w:bookmarkStart w:id="370" w:name="_Toc25751"/>
      <w:bookmarkStart w:id="371" w:name="_Toc333238607"/>
      <w:bookmarkStart w:id="372" w:name="_Toc366072502"/>
      <w:bookmarkStart w:id="373" w:name="_Toc342296734"/>
      <w:bookmarkStart w:id="374" w:name="_Toc341348312"/>
      <w:bookmarkStart w:id="375" w:name="_Toc330459959"/>
      <w:bookmarkStart w:id="376" w:name="_Toc333237651"/>
      <w:bookmarkStart w:id="377" w:name="_Toc336681554"/>
      <w:bookmarkStart w:id="378" w:name="_Toc339020069"/>
      <w:r>
        <w:rPr>
          <w:rFonts w:hint="eastAsia"/>
          <w:color w:val="auto"/>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5.1</w:t>
      </w:r>
      <w:r>
        <w:rPr>
          <w:rFonts w:ascii="宋体"/>
          <w:bCs/>
          <w:color w:val="auto"/>
          <w:highlight w:val="none"/>
        </w:rPr>
        <w:tab/>
      </w:r>
      <w:r>
        <w:rPr>
          <w:rFonts w:hint="eastAsia" w:ascii="宋体"/>
          <w:bCs/>
          <w:color w:val="auto"/>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第一部分  投标邀请函</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第三部分  投标人须知</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第四部分  参考合同</w:t>
      </w:r>
    </w:p>
    <w:p>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5.2</w:t>
      </w:r>
      <w:r>
        <w:rPr>
          <w:rFonts w:ascii="宋体"/>
          <w:bCs/>
          <w:color w:val="auto"/>
          <w:highlight w:val="none"/>
        </w:rPr>
        <w:tab/>
      </w:r>
      <w:r>
        <w:rPr>
          <w:rFonts w:hint="eastAsia" w:ascii="宋体"/>
          <w:bCs/>
          <w:color w:val="auto"/>
          <w:highlight w:val="none"/>
        </w:rPr>
        <w:t>招标文件以中文编印。</w:t>
      </w:r>
    </w:p>
    <w:p>
      <w:pPr>
        <w:pStyle w:val="6"/>
        <w:numPr>
          <w:ilvl w:val="4"/>
          <w:numId w:val="26"/>
        </w:numPr>
        <w:tabs>
          <w:tab w:val="left" w:pos="720"/>
        </w:tabs>
        <w:spacing w:before="240" w:after="120"/>
        <w:ind w:left="2432" w:hanging="2432"/>
        <w:rPr>
          <w:color w:val="auto"/>
          <w:highlight w:val="none"/>
        </w:rPr>
      </w:pPr>
      <w:bookmarkStart w:id="379" w:name="_Toc332270321"/>
      <w:bookmarkStart w:id="380" w:name="_Toc333238608"/>
      <w:bookmarkStart w:id="381" w:name="_Toc336681555"/>
      <w:bookmarkStart w:id="382" w:name="_Toc339020208"/>
      <w:bookmarkStart w:id="383" w:name="_Toc370388389"/>
      <w:bookmarkStart w:id="384" w:name="_Toc350756425"/>
      <w:bookmarkStart w:id="385" w:name="_Toc342060349"/>
      <w:bookmarkStart w:id="386" w:name="_Toc330459960"/>
      <w:bookmarkStart w:id="387" w:name="_Toc340507417"/>
      <w:bookmarkStart w:id="388" w:name="_Toc331684013"/>
      <w:bookmarkStart w:id="389" w:name="_Toc339362275"/>
      <w:bookmarkStart w:id="390" w:name="_Toc341348313"/>
      <w:bookmarkStart w:id="391" w:name="_Toc497224201"/>
      <w:bookmarkStart w:id="392" w:name="_Toc340672844"/>
      <w:bookmarkStart w:id="393" w:name="_Toc503785403"/>
      <w:bookmarkStart w:id="394" w:name="_Toc333237763"/>
      <w:bookmarkStart w:id="395" w:name="_Toc333237652"/>
      <w:bookmarkStart w:id="396" w:name="_Toc349127601"/>
      <w:bookmarkStart w:id="397" w:name="_Toc339019864"/>
      <w:bookmarkStart w:id="398" w:name="_Toc339019990"/>
      <w:bookmarkStart w:id="399" w:name="_Toc365967048"/>
      <w:bookmarkStart w:id="400" w:name="_Toc339441062"/>
      <w:bookmarkStart w:id="401" w:name="_Toc333935662"/>
      <w:bookmarkStart w:id="402" w:name="_Toc340677045"/>
      <w:bookmarkStart w:id="403" w:name="_Toc337632333"/>
      <w:bookmarkStart w:id="404" w:name="_Toc333935321"/>
      <w:bookmarkStart w:id="405" w:name="_Toc332206683"/>
      <w:bookmarkStart w:id="406" w:name="_Toc345513842"/>
      <w:bookmarkStart w:id="407" w:name="_Toc331512873"/>
      <w:bookmarkStart w:id="408" w:name="_Toc336681910"/>
      <w:bookmarkStart w:id="409" w:name="_Toc365985154"/>
      <w:bookmarkStart w:id="410" w:name="_Toc349143564"/>
      <w:bookmarkStart w:id="411" w:name="_Toc350438724"/>
      <w:bookmarkStart w:id="412" w:name="_Toc339020070"/>
      <w:bookmarkStart w:id="413" w:name="_Toc342296735"/>
      <w:bookmarkStart w:id="414" w:name="_Toc3620"/>
      <w:bookmarkStart w:id="415" w:name="_Toc374454576"/>
      <w:bookmarkStart w:id="416" w:name="_Toc503785405"/>
      <w:bookmarkStart w:id="417" w:name="_Toc497224203"/>
      <w:bookmarkStart w:id="418" w:name="_Toc340677047"/>
      <w:bookmarkStart w:id="419" w:name="_Toc336681557"/>
      <w:bookmarkStart w:id="420" w:name="_Toc339441064"/>
      <w:bookmarkStart w:id="421" w:name="_Toc366072505"/>
      <w:bookmarkStart w:id="422" w:name="_Toc331512875"/>
      <w:bookmarkStart w:id="423" w:name="_Toc350438726"/>
      <w:bookmarkStart w:id="424" w:name="_Toc339019866"/>
      <w:bookmarkStart w:id="425" w:name="_Toc333237654"/>
      <w:bookmarkStart w:id="426" w:name="_Toc339020072"/>
      <w:bookmarkStart w:id="427" w:name="_Toc339362277"/>
      <w:bookmarkStart w:id="428" w:name="_Toc333238610"/>
      <w:bookmarkStart w:id="429" w:name="_Toc333237765"/>
      <w:bookmarkStart w:id="430" w:name="_Toc339019992"/>
      <w:bookmarkStart w:id="431" w:name="_Toc342296737"/>
      <w:bookmarkStart w:id="432" w:name="_Toc330459962"/>
      <w:bookmarkStart w:id="433" w:name="_Toc337632335"/>
      <w:bookmarkStart w:id="434" w:name="_Toc365985156"/>
      <w:bookmarkStart w:id="435" w:name="_Toc349143566"/>
      <w:bookmarkStart w:id="436" w:name="_Toc342060351"/>
      <w:bookmarkStart w:id="437" w:name="_Toc332206685"/>
      <w:bookmarkStart w:id="438" w:name="_Toc333935323"/>
      <w:bookmarkStart w:id="439" w:name="_Toc350756427"/>
      <w:bookmarkStart w:id="440" w:name="_Toc333935664"/>
      <w:bookmarkStart w:id="441" w:name="_Toc341348315"/>
      <w:bookmarkStart w:id="442" w:name="_Toc365967050"/>
      <w:bookmarkStart w:id="443" w:name="_Toc349127603"/>
      <w:bookmarkStart w:id="444" w:name="_Toc340507419"/>
      <w:bookmarkStart w:id="445" w:name="_Toc331684015"/>
      <w:bookmarkStart w:id="446" w:name="_Toc345513844"/>
      <w:bookmarkStart w:id="447" w:name="_Toc340672846"/>
      <w:bookmarkStart w:id="448" w:name="_Toc332270323"/>
      <w:bookmarkStart w:id="449" w:name="_Toc336681912"/>
      <w:bookmarkStart w:id="450" w:name="_Toc339020210"/>
      <w:r>
        <w:rPr>
          <w:rFonts w:hint="eastAsia"/>
          <w:color w:val="auto"/>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auto"/>
          <w:highlight w:val="none"/>
        </w:rPr>
        <w:t>、修改</w:t>
      </w:r>
      <w:bookmarkEnd w:id="414"/>
      <w:bookmarkEnd w:id="415"/>
    </w:p>
    <w:p>
      <w:pPr>
        <w:widowControl/>
        <w:numPr>
          <w:ilvl w:val="1"/>
          <w:numId w:val="28"/>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澄清或修改时间距投标截止时间不足15日的，采购人或代理采购机构在征得已获取招标文件的投标人同意并书面确认后，可不改变投标截止时间。</w:t>
      </w:r>
    </w:p>
    <w:p>
      <w:pPr>
        <w:pStyle w:val="4"/>
        <w:pageBreakBefore w:val="0"/>
        <w:numPr>
          <w:ilvl w:val="0"/>
          <w:numId w:val="0"/>
        </w:numPr>
        <w:kinsoku/>
        <w:wordWrap/>
        <w:overflowPunct/>
        <w:topLinePunct w:val="0"/>
        <w:bidi w:val="0"/>
        <w:adjustRightInd w:val="0"/>
        <w:snapToGrid w:val="0"/>
        <w:spacing w:line="400" w:lineRule="exact"/>
        <w:rPr>
          <w:color w:val="auto"/>
          <w:sz w:val="24"/>
          <w:highlight w:val="none"/>
        </w:rPr>
      </w:pPr>
      <w:bookmarkStart w:id="451" w:name="_Toc374454577"/>
      <w:r>
        <w:rPr>
          <w:color w:val="auto"/>
          <w:sz w:val="24"/>
          <w:highlight w:val="none"/>
        </w:rPr>
        <w:br w:type="page"/>
      </w:r>
      <w:bookmarkStart w:id="452" w:name="_Toc32751"/>
      <w:r>
        <w:rPr>
          <w:rFonts w:hint="eastAsia"/>
          <w:color w:val="auto"/>
          <w:sz w:val="24"/>
          <w:highlight w:val="none"/>
        </w:rPr>
        <w:t>Ｃ</w:t>
      </w:r>
      <w:r>
        <w:rPr>
          <w:color w:val="auto"/>
          <w:sz w:val="24"/>
          <w:highlight w:val="none"/>
        </w:rPr>
        <w:t xml:space="preserve">  </w:t>
      </w:r>
      <w:r>
        <w:rPr>
          <w:rFonts w:hint="eastAsia"/>
          <w:color w:val="auto"/>
          <w:sz w:val="24"/>
          <w:highlight w:val="none"/>
        </w:rPr>
        <w:t>投标文件的编</w:t>
      </w:r>
      <w:bookmarkEnd w:id="416"/>
      <w:bookmarkEnd w:id="417"/>
      <w:r>
        <w:rPr>
          <w:rFonts w:hint="eastAsia"/>
          <w:color w:val="auto"/>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453" w:name="_Toc366072506"/>
      <w:bookmarkStart w:id="454" w:name="_Toc333237655"/>
      <w:bookmarkStart w:id="455" w:name="_Toc350438727"/>
      <w:bookmarkStart w:id="456" w:name="_Toc339020211"/>
      <w:bookmarkStart w:id="457" w:name="_Toc341348316"/>
      <w:bookmarkStart w:id="458" w:name="_Toc332270324"/>
      <w:bookmarkStart w:id="459" w:name="_Toc350756428"/>
      <w:bookmarkStart w:id="460" w:name="_Toc330459963"/>
      <w:bookmarkStart w:id="461" w:name="_Toc340507420"/>
      <w:bookmarkStart w:id="462" w:name="_Toc503785406"/>
      <w:bookmarkStart w:id="463" w:name="_Toc374454578"/>
      <w:bookmarkStart w:id="464" w:name="_Toc342060352"/>
      <w:bookmarkStart w:id="465" w:name="_Toc339441065"/>
      <w:bookmarkStart w:id="466" w:name="_Toc349143567"/>
      <w:bookmarkStart w:id="467" w:name="_Toc3365"/>
      <w:bookmarkStart w:id="468" w:name="_Toc365967051"/>
      <w:bookmarkStart w:id="469" w:name="_Toc333237766"/>
      <w:bookmarkStart w:id="470" w:name="_Toc336681913"/>
      <w:bookmarkStart w:id="471" w:name="_Toc332206686"/>
      <w:bookmarkStart w:id="472" w:name="_Toc349127604"/>
      <w:bookmarkStart w:id="473" w:name="_Toc345513845"/>
      <w:bookmarkStart w:id="474" w:name="_Toc339362278"/>
      <w:bookmarkStart w:id="475" w:name="_Toc333935324"/>
      <w:bookmarkStart w:id="476" w:name="_Toc340677048"/>
      <w:bookmarkStart w:id="477" w:name="_Toc331684016"/>
      <w:bookmarkStart w:id="478" w:name="_Toc497224204"/>
      <w:bookmarkStart w:id="479" w:name="_Toc340672847"/>
      <w:bookmarkStart w:id="480" w:name="_Toc333935665"/>
      <w:bookmarkStart w:id="481" w:name="_Toc331512876"/>
      <w:bookmarkStart w:id="482" w:name="_Toc339019867"/>
      <w:bookmarkStart w:id="483" w:name="_Toc339019993"/>
      <w:bookmarkStart w:id="484" w:name="_Toc337632336"/>
      <w:bookmarkStart w:id="485" w:name="_Toc339020073"/>
      <w:bookmarkStart w:id="486" w:name="_Toc365985157"/>
      <w:bookmarkStart w:id="487" w:name="_Toc336681558"/>
      <w:bookmarkStart w:id="488" w:name="_Toc333238611"/>
      <w:bookmarkStart w:id="489" w:name="_Toc342296738"/>
      <w:r>
        <w:rPr>
          <w:rFonts w:hint="eastAsia"/>
          <w:color w:val="auto"/>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7</w:t>
      </w:r>
      <w:r>
        <w:rPr>
          <w:rFonts w:ascii="宋体"/>
          <w:bCs/>
          <w:color w:val="auto"/>
          <w:highlight w:val="none"/>
        </w:rPr>
        <w:t>.1</w:t>
      </w:r>
      <w:r>
        <w:rPr>
          <w:rFonts w:ascii="宋体"/>
          <w:bCs/>
          <w:color w:val="auto"/>
          <w:highlight w:val="none"/>
        </w:rPr>
        <w:tab/>
      </w:r>
      <w:r>
        <w:rPr>
          <w:rFonts w:hint="eastAsia" w:ascii="宋体"/>
          <w:bCs/>
          <w:color w:val="auto"/>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490" w:name="_Toc336681914"/>
      <w:bookmarkStart w:id="491" w:name="_Toc349127605"/>
      <w:bookmarkStart w:id="492" w:name="_Toc339020212"/>
      <w:bookmarkStart w:id="493" w:name="_Toc350438728"/>
      <w:bookmarkStart w:id="494" w:name="_Toc333238612"/>
      <w:bookmarkStart w:id="495" w:name="_Toc345513846"/>
      <w:bookmarkStart w:id="496" w:name="_Toc333935325"/>
      <w:bookmarkStart w:id="497" w:name="_Toc331684017"/>
      <w:bookmarkStart w:id="498" w:name="_Toc339362279"/>
      <w:bookmarkStart w:id="499" w:name="_Toc333237767"/>
      <w:bookmarkStart w:id="500" w:name="_Toc365985158"/>
      <w:bookmarkStart w:id="501" w:name="_Toc350756429"/>
      <w:bookmarkStart w:id="502" w:name="_Toc339441066"/>
      <w:bookmarkStart w:id="503" w:name="_Toc340507421"/>
      <w:bookmarkStart w:id="504" w:name="_Toc374454579"/>
      <w:bookmarkStart w:id="505" w:name="_Toc365967052"/>
      <w:bookmarkStart w:id="506" w:name="_Toc332270325"/>
      <w:bookmarkStart w:id="507" w:name="_Toc503785407"/>
      <w:bookmarkStart w:id="508" w:name="_Toc336681559"/>
      <w:bookmarkStart w:id="509" w:name="_Toc342296739"/>
      <w:bookmarkStart w:id="510" w:name="_Toc341348317"/>
      <w:bookmarkStart w:id="511" w:name="_Toc332206687"/>
      <w:bookmarkStart w:id="512" w:name="_Toc339020074"/>
      <w:bookmarkStart w:id="513" w:name="_Toc333237656"/>
      <w:bookmarkStart w:id="514" w:name="_Toc340677049"/>
      <w:bookmarkStart w:id="515" w:name="_Toc349143568"/>
      <w:bookmarkStart w:id="516" w:name="_Toc333935666"/>
      <w:bookmarkStart w:id="517" w:name="_Toc331512877"/>
      <w:bookmarkStart w:id="518" w:name="_Toc340672848"/>
      <w:bookmarkStart w:id="519" w:name="_Toc339019868"/>
      <w:bookmarkStart w:id="520" w:name="_Toc29676"/>
      <w:bookmarkStart w:id="521" w:name="_Toc342060353"/>
      <w:bookmarkStart w:id="522" w:name="_Toc366072507"/>
      <w:bookmarkStart w:id="523" w:name="_Toc497224205"/>
      <w:bookmarkStart w:id="524" w:name="_Toc337632337"/>
      <w:bookmarkStart w:id="525" w:name="_Toc339019994"/>
      <w:bookmarkStart w:id="526" w:name="_Toc330459964"/>
      <w:r>
        <w:rPr>
          <w:rFonts w:hint="eastAsia"/>
          <w:color w:val="auto"/>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.2</w:t>
      </w:r>
      <w:r>
        <w:rPr>
          <w:rFonts w:ascii="宋体"/>
          <w:bCs/>
          <w:color w:val="auto"/>
          <w:highlight w:val="none"/>
        </w:rPr>
        <w:tab/>
      </w:r>
      <w:r>
        <w:rPr>
          <w:rFonts w:hint="eastAsia" w:ascii="宋体"/>
          <w:bCs/>
          <w:color w:val="auto"/>
          <w:highlight w:val="none"/>
        </w:rPr>
        <w:t>除在招标文件的技术规格中另有规定外，计量单位应使用中华人民共和国法定计量单位</w:t>
      </w:r>
      <w:r>
        <w:rPr>
          <w:rFonts w:hint="eastAsia"/>
          <w:bCs/>
          <w:color w:val="auto"/>
          <w:highlight w:val="none"/>
        </w:rPr>
        <w:t>（国际单位制和国家选定的其他计量单位）</w:t>
      </w:r>
      <w:r>
        <w:rPr>
          <w:rFonts w:hint="eastAsia" w:ascii="宋体"/>
          <w:bCs/>
          <w:color w:val="auto"/>
          <w:highlight w:val="none"/>
        </w:rPr>
        <w:t>。</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527" w:name="_Toc333935667"/>
      <w:bookmarkStart w:id="528" w:name="_Toc333237657"/>
      <w:bookmarkStart w:id="529" w:name="_Toc340677050"/>
      <w:bookmarkStart w:id="530" w:name="_Toc337632338"/>
      <w:bookmarkStart w:id="531" w:name="_Toc497224206"/>
      <w:bookmarkStart w:id="532" w:name="_Toc339362280"/>
      <w:bookmarkStart w:id="533" w:name="_Toc333238613"/>
      <w:bookmarkStart w:id="534" w:name="_Toc336681915"/>
      <w:bookmarkStart w:id="535" w:name="_Toc365985159"/>
      <w:bookmarkStart w:id="536" w:name="_Toc342060354"/>
      <w:bookmarkStart w:id="537" w:name="_Toc350438729"/>
      <w:bookmarkStart w:id="538" w:name="_Toc365967053"/>
      <w:bookmarkStart w:id="539" w:name="_Toc336681560"/>
      <w:bookmarkStart w:id="540" w:name="_Toc350756430"/>
      <w:bookmarkStart w:id="541" w:name="_Toc374454580"/>
      <w:bookmarkStart w:id="542" w:name="_Toc339441067"/>
      <w:bookmarkStart w:id="543" w:name="_Toc332206688"/>
      <w:bookmarkStart w:id="544" w:name="_Toc340507422"/>
      <w:bookmarkStart w:id="545" w:name="_Toc340672849"/>
      <w:bookmarkStart w:id="546" w:name="_Toc333237768"/>
      <w:bookmarkStart w:id="547" w:name="_Toc339020075"/>
      <w:bookmarkStart w:id="548" w:name="_Toc339019869"/>
      <w:bookmarkStart w:id="549" w:name="_Toc339019995"/>
      <w:bookmarkStart w:id="550" w:name="_Toc339020213"/>
      <w:bookmarkStart w:id="551" w:name="_Toc503785408"/>
      <w:bookmarkStart w:id="552" w:name="_Toc341348318"/>
      <w:bookmarkStart w:id="553" w:name="_Toc330459965"/>
      <w:bookmarkStart w:id="554" w:name="_Toc332270326"/>
      <w:bookmarkStart w:id="555" w:name="_Toc12750"/>
      <w:bookmarkStart w:id="556" w:name="_Toc331512878"/>
      <w:bookmarkStart w:id="557" w:name="_Toc342296740"/>
      <w:bookmarkStart w:id="558" w:name="_Toc331684018"/>
      <w:bookmarkStart w:id="559" w:name="_Toc366072508"/>
      <w:bookmarkStart w:id="560" w:name="_Toc345513847"/>
      <w:bookmarkStart w:id="561" w:name="_Toc333935326"/>
      <w:bookmarkStart w:id="562" w:name="_Toc349127606"/>
      <w:bookmarkStart w:id="563" w:name="_Toc349143569"/>
      <w:r>
        <w:rPr>
          <w:rFonts w:hint="eastAsia"/>
          <w:color w:val="auto"/>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auto"/>
          <w:highlight w:val="none"/>
        </w:rPr>
      </w:pPr>
      <w:r>
        <w:rPr>
          <w:rFonts w:hint="eastAsia" w:ascii="宋体"/>
          <w:bCs/>
          <w:color w:val="auto"/>
          <w:highlight w:val="none"/>
        </w:rPr>
        <w:t>9</w:t>
      </w:r>
      <w:r>
        <w:rPr>
          <w:rFonts w:ascii="宋体"/>
          <w:bCs/>
          <w:color w:val="auto"/>
          <w:highlight w:val="none"/>
        </w:rPr>
        <w:t>.1</w:t>
      </w:r>
      <w:r>
        <w:rPr>
          <w:rFonts w:hint="eastAsia" w:ascii="宋体"/>
          <w:bCs/>
          <w:color w:val="auto"/>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auto"/>
          <w:highlight w:val="none"/>
        </w:rPr>
      </w:pPr>
      <w:bookmarkStart w:id="564" w:name="_Toc503785409"/>
      <w:bookmarkStart w:id="565" w:name="_Toc497224207"/>
      <w:r>
        <w:rPr>
          <w:rFonts w:hint="eastAsia" w:ascii="宋体" w:hAnsi="宋体"/>
          <w:bCs/>
          <w:color w:val="auto"/>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auto"/>
          <w:highlight w:val="none"/>
        </w:rPr>
      </w:pPr>
      <w:r>
        <w:rPr>
          <w:rFonts w:hint="eastAsia" w:ascii="宋体" w:hAnsi="宋体"/>
          <w:bCs/>
          <w:color w:val="auto"/>
          <w:highlight w:val="none"/>
        </w:rPr>
        <w:t>第二章 商务和技术部分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566" w:name="_Toc331512879"/>
      <w:bookmarkStart w:id="567" w:name="_Toc337632339"/>
      <w:bookmarkStart w:id="568" w:name="_Toc333237769"/>
      <w:bookmarkStart w:id="569" w:name="_Toc336681916"/>
      <w:bookmarkStart w:id="570" w:name="_Toc345513848"/>
      <w:bookmarkStart w:id="571" w:name="_Toc374454581"/>
      <w:bookmarkStart w:id="572" w:name="_Toc339019870"/>
      <w:bookmarkStart w:id="573" w:name="_Toc341348319"/>
      <w:bookmarkStart w:id="574" w:name="_Toc350756431"/>
      <w:bookmarkStart w:id="575" w:name="_Toc332270327"/>
      <w:bookmarkStart w:id="576" w:name="_Toc340507423"/>
      <w:bookmarkStart w:id="577" w:name="_Toc340677051"/>
      <w:bookmarkStart w:id="578" w:name="_Toc342296741"/>
      <w:bookmarkStart w:id="579" w:name="_Toc365967054"/>
      <w:bookmarkStart w:id="580" w:name="_Toc339020214"/>
      <w:bookmarkStart w:id="581" w:name="_Toc350438730"/>
      <w:bookmarkStart w:id="582" w:name="_Toc349143570"/>
      <w:bookmarkStart w:id="583" w:name="_Toc333237658"/>
      <w:bookmarkStart w:id="584" w:name="_Toc333238614"/>
      <w:bookmarkStart w:id="585" w:name="_Toc332206689"/>
      <w:bookmarkStart w:id="586" w:name="_Toc336681561"/>
      <w:bookmarkStart w:id="587" w:name="_Toc2359"/>
      <w:bookmarkStart w:id="588" w:name="_Toc333935668"/>
      <w:bookmarkStart w:id="589" w:name="_Toc342060355"/>
      <w:bookmarkStart w:id="590" w:name="_Toc339441068"/>
      <w:bookmarkStart w:id="591" w:name="_Toc349127607"/>
      <w:bookmarkStart w:id="592" w:name="_Toc333935327"/>
      <w:bookmarkStart w:id="593" w:name="_Toc339020076"/>
      <w:bookmarkStart w:id="594" w:name="_Toc365985160"/>
      <w:bookmarkStart w:id="595" w:name="_Toc366072509"/>
      <w:bookmarkStart w:id="596" w:name="_Toc339362281"/>
      <w:bookmarkStart w:id="597" w:name="_Toc340672850"/>
      <w:bookmarkStart w:id="598" w:name="_Toc339019996"/>
      <w:bookmarkStart w:id="599" w:name="_Toc330459966"/>
      <w:bookmarkStart w:id="600" w:name="_Toc331684019"/>
      <w:r>
        <w:rPr>
          <w:rFonts w:hint="eastAsia"/>
          <w:color w:val="auto"/>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0</w:t>
      </w:r>
      <w:r>
        <w:rPr>
          <w:rFonts w:ascii="宋体"/>
          <w:bCs/>
          <w:color w:val="auto"/>
          <w:highlight w:val="none"/>
        </w:rPr>
        <w:t>.1</w:t>
      </w:r>
      <w:r>
        <w:rPr>
          <w:rFonts w:ascii="宋体"/>
          <w:bCs/>
          <w:color w:val="auto"/>
          <w:highlight w:val="none"/>
        </w:rPr>
        <w:tab/>
      </w:r>
      <w:r>
        <w:rPr>
          <w:rFonts w:hint="eastAsia" w:ascii="宋体"/>
          <w:bCs/>
          <w:color w:val="auto"/>
          <w:highlight w:val="none"/>
        </w:rPr>
        <w:t>投标人应</w:t>
      </w:r>
      <w:r>
        <w:rPr>
          <w:rFonts w:hint="eastAsia" w:ascii="宋体" w:hAnsi="宋体"/>
          <w:bCs/>
          <w:color w:val="auto"/>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 xml:space="preserve">10.2 </w:t>
      </w:r>
      <w:r>
        <w:rPr>
          <w:rFonts w:hint="eastAsia" w:ascii="宋体" w:hAnsi="宋体"/>
          <w:bCs/>
          <w:color w:val="auto"/>
          <w:highlight w:val="none"/>
        </w:rPr>
        <w:tab/>
      </w:r>
      <w:r>
        <w:rPr>
          <w:rFonts w:hint="eastAsia" w:ascii="宋体" w:hAnsi="宋体"/>
          <w:bCs/>
          <w:color w:val="auto"/>
          <w:highlight w:val="none"/>
        </w:rPr>
        <w:tab/>
      </w:r>
      <w:r>
        <w:rPr>
          <w:rFonts w:hint="eastAsia" w:ascii="宋体" w:hAnsi="宋体"/>
          <w:bCs/>
          <w:color w:val="auto"/>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01" w:name="_Toc340672851"/>
      <w:bookmarkStart w:id="602" w:name="_Toc342296742"/>
      <w:bookmarkStart w:id="603" w:name="_Toc331512880"/>
      <w:bookmarkStart w:id="604" w:name="_Toc333237659"/>
      <w:bookmarkStart w:id="605" w:name="_Toc332270328"/>
      <w:bookmarkStart w:id="606" w:name="_Toc339019997"/>
      <w:bookmarkStart w:id="607" w:name="_Toc339019871"/>
      <w:bookmarkStart w:id="608" w:name="_Toc22724"/>
      <w:bookmarkStart w:id="609" w:name="_Toc349143571"/>
      <w:bookmarkStart w:id="610" w:name="_Toc330459967"/>
      <w:bookmarkStart w:id="611" w:name="_Toc350756432"/>
      <w:bookmarkStart w:id="612" w:name="_Toc365967055"/>
      <w:bookmarkStart w:id="613" w:name="_Toc331684020"/>
      <w:bookmarkStart w:id="614" w:name="_Toc333237770"/>
      <w:bookmarkStart w:id="615" w:name="_Toc374454582"/>
      <w:bookmarkStart w:id="616" w:name="_Toc350438731"/>
      <w:bookmarkStart w:id="617" w:name="_Toc5003680"/>
      <w:bookmarkStart w:id="618" w:name="_Toc339020077"/>
      <w:bookmarkStart w:id="619" w:name="_Toc333935669"/>
      <w:bookmarkStart w:id="620" w:name="_Toc339441069"/>
      <w:bookmarkStart w:id="621" w:name="_Toc349127608"/>
      <w:bookmarkStart w:id="622" w:name="_Toc336681917"/>
      <w:bookmarkStart w:id="623" w:name="_Toc345513849"/>
      <w:bookmarkStart w:id="624" w:name="_Toc339020215"/>
      <w:bookmarkStart w:id="625" w:name="_Toc339362282"/>
      <w:bookmarkStart w:id="626" w:name="_Toc340507424"/>
      <w:bookmarkStart w:id="627" w:name="_Toc337632340"/>
      <w:bookmarkStart w:id="628" w:name="_Toc365985161"/>
      <w:bookmarkStart w:id="629" w:name="_Toc333238615"/>
      <w:bookmarkStart w:id="630" w:name="_Toc332206690"/>
      <w:bookmarkStart w:id="631" w:name="_Toc342060356"/>
      <w:bookmarkStart w:id="632" w:name="_Toc340677052"/>
      <w:bookmarkStart w:id="633" w:name="_Toc366072510"/>
      <w:bookmarkStart w:id="634" w:name="_Toc336681562"/>
      <w:bookmarkStart w:id="635" w:name="_Toc341348320"/>
      <w:bookmarkStart w:id="636" w:name="_Toc333935328"/>
      <w:r>
        <w:rPr>
          <w:rFonts w:hint="eastAsia"/>
          <w:color w:val="auto"/>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 xml:space="preserve">11.1 </w:t>
      </w:r>
      <w:r>
        <w:rPr>
          <w:rFonts w:hint="eastAsia" w:ascii="宋体" w:hAnsi="宋体"/>
          <w:bCs/>
          <w:color w:val="auto"/>
          <w:highlight w:val="none"/>
        </w:rPr>
        <w:tab/>
      </w:r>
      <w:r>
        <w:rPr>
          <w:rFonts w:hint="eastAsia" w:ascii="宋体" w:hAnsi="宋体"/>
          <w:bCs/>
          <w:color w:val="auto"/>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9"/>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auto"/>
          <w:highlight w:val="none"/>
        </w:rPr>
      </w:pPr>
      <w:r>
        <w:rPr>
          <w:rFonts w:hint="eastAsia" w:ascii="宋体" w:hAnsi="宋体"/>
          <w:bCs/>
          <w:color w:val="auto"/>
          <w:highlight w:val="none"/>
        </w:rPr>
        <w:t>投标人满足招标文件中列出的资格标准；</w:t>
      </w:r>
    </w:p>
    <w:p>
      <w:pPr>
        <w:pageBreakBefore w:val="0"/>
        <w:widowControl/>
        <w:numPr>
          <w:ilvl w:val="0"/>
          <w:numId w:val="29"/>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auto"/>
          <w:highlight w:val="none"/>
        </w:rPr>
      </w:pPr>
      <w:r>
        <w:rPr>
          <w:rFonts w:hint="eastAsia" w:ascii="宋体" w:hAnsi="宋体"/>
          <w:bCs/>
          <w:color w:val="auto"/>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37" w:name="_Toc336681918"/>
      <w:bookmarkStart w:id="638" w:name="_Toc365985162"/>
      <w:bookmarkStart w:id="639" w:name="_Toc330459968"/>
      <w:bookmarkStart w:id="640" w:name="_Toc350438732"/>
      <w:bookmarkStart w:id="641" w:name="_Toc339020078"/>
      <w:bookmarkStart w:id="642" w:name="_Toc349143572"/>
      <w:bookmarkStart w:id="643" w:name="_Toc349127609"/>
      <w:bookmarkStart w:id="644" w:name="_Toc331512881"/>
      <w:bookmarkStart w:id="645" w:name="_Toc342060357"/>
      <w:bookmarkStart w:id="646" w:name="_Toc341348321"/>
      <w:bookmarkStart w:id="647" w:name="_Toc339441070"/>
      <w:bookmarkStart w:id="648" w:name="_Toc350756433"/>
      <w:bookmarkStart w:id="649" w:name="_Toc365967056"/>
      <w:bookmarkStart w:id="650" w:name="_Toc339362283"/>
      <w:bookmarkStart w:id="651" w:name="_Toc342296743"/>
      <w:bookmarkStart w:id="652" w:name="_Toc333237771"/>
      <w:bookmarkStart w:id="653" w:name="_Toc333935329"/>
      <w:bookmarkStart w:id="654" w:name="_Toc332206691"/>
      <w:bookmarkStart w:id="655" w:name="_Toc340677053"/>
      <w:bookmarkStart w:id="656" w:name="_Toc336681563"/>
      <w:bookmarkStart w:id="657" w:name="_Toc333935670"/>
      <w:bookmarkStart w:id="658" w:name="_Toc333238616"/>
      <w:bookmarkStart w:id="659" w:name="_Toc339019872"/>
      <w:bookmarkStart w:id="660" w:name="_Toc340672852"/>
      <w:bookmarkStart w:id="661" w:name="_Toc366072511"/>
      <w:bookmarkStart w:id="662" w:name="_Toc345513850"/>
      <w:bookmarkStart w:id="663" w:name="_Toc3574"/>
      <w:bookmarkStart w:id="664" w:name="_Toc337632341"/>
      <w:bookmarkStart w:id="665" w:name="_Toc332270329"/>
      <w:bookmarkStart w:id="666" w:name="_Toc5003681"/>
      <w:bookmarkStart w:id="667" w:name="_Toc331684021"/>
      <w:bookmarkStart w:id="668" w:name="_Toc339020216"/>
      <w:bookmarkStart w:id="669" w:name="_Toc339019998"/>
      <w:bookmarkStart w:id="670" w:name="_Toc333237660"/>
      <w:bookmarkStart w:id="671" w:name="_Toc340507425"/>
      <w:bookmarkStart w:id="672" w:name="_Toc374454583"/>
      <w:r>
        <w:rPr>
          <w:rFonts w:hint="eastAsia"/>
          <w:color w:val="auto"/>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12.1</w:t>
      </w:r>
      <w:r>
        <w:rPr>
          <w:rFonts w:hint="eastAsia" w:ascii="宋体" w:hAnsi="宋体"/>
          <w:bCs/>
          <w:color w:val="auto"/>
          <w:highlight w:val="none"/>
        </w:rPr>
        <w:tab/>
      </w:r>
      <w:r>
        <w:rPr>
          <w:rFonts w:hint="eastAsia" w:ascii="宋体" w:hAnsi="宋体"/>
          <w:bCs/>
          <w:color w:val="auto"/>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12.2</w:t>
      </w:r>
      <w:r>
        <w:rPr>
          <w:rFonts w:hint="eastAsia" w:ascii="宋体" w:hAnsi="宋体"/>
          <w:bCs/>
          <w:color w:val="auto"/>
          <w:highlight w:val="none"/>
        </w:rPr>
        <w:tab/>
      </w:r>
      <w:r>
        <w:rPr>
          <w:rFonts w:hint="eastAsia" w:ascii="宋体" w:hAnsi="宋体"/>
          <w:bCs/>
          <w:color w:val="auto"/>
          <w:highlight w:val="none"/>
        </w:rPr>
        <w:t>证明货物和服务与招标文件的要求相一致的文件，它可以是文字资料、图纸、手册和数据，包括：</w:t>
      </w:r>
    </w:p>
    <w:p>
      <w:pPr>
        <w:pageBreakBefore w:val="0"/>
        <w:numPr>
          <w:ilvl w:val="5"/>
          <w:numId w:val="26"/>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货物主要技术指标和性能的详细说明。</w:t>
      </w:r>
    </w:p>
    <w:p>
      <w:pPr>
        <w:pageBreakBefore w:val="0"/>
        <w:numPr>
          <w:ilvl w:val="5"/>
          <w:numId w:val="26"/>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货物从采购人开始使用至招标要求中规定的周期内正常、连续地使用所必须的备件和专用工具清单，包括备件和专用工具的货源及现行价格。</w:t>
      </w:r>
    </w:p>
    <w:p>
      <w:pPr>
        <w:pageBreakBefore w:val="0"/>
        <w:numPr>
          <w:ilvl w:val="5"/>
          <w:numId w:val="26"/>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auto"/>
          <w:highlight w:val="none"/>
        </w:rPr>
      </w:pPr>
      <w:r>
        <w:rPr>
          <w:rFonts w:hint="eastAsia" w:ascii="宋体" w:hAnsi="宋体"/>
          <w:bCs/>
          <w:color w:val="auto"/>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12.3</w:t>
      </w:r>
      <w:r>
        <w:rPr>
          <w:rFonts w:hint="eastAsia" w:ascii="宋体" w:hAnsi="宋体"/>
          <w:bCs/>
          <w:color w:val="auto"/>
          <w:highlight w:val="none"/>
        </w:rPr>
        <w:tab/>
      </w:r>
      <w:r>
        <w:rPr>
          <w:rFonts w:hint="eastAsia"/>
          <w:color w:val="auto"/>
          <w:highlight w:val="none"/>
        </w:rPr>
        <w:t>投标人在阐述上述第</w:t>
      </w:r>
      <w:r>
        <w:rPr>
          <w:rFonts w:hint="eastAsia" w:ascii="宋体" w:hAnsi="宋体"/>
          <w:color w:val="auto"/>
          <w:highlight w:val="none"/>
        </w:rPr>
        <w:t>12.2（3）</w:t>
      </w:r>
      <w:r>
        <w:rPr>
          <w:rFonts w:hint="eastAsia"/>
          <w:color w:val="auto"/>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color w:val="auto"/>
          <w:highlight w:val="none"/>
        </w:rPr>
        <w:t>12.4   评标委员会对投标人所提供的证明货物和服务的合格性的文件进行审查，审查不合格的投标将作为无效投标处理。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673" w:name="_Toc336681919"/>
      <w:bookmarkStart w:id="674" w:name="_Toc339019873"/>
      <w:bookmarkStart w:id="675" w:name="_Toc350438733"/>
      <w:bookmarkStart w:id="676" w:name="_Toc332206692"/>
      <w:bookmarkStart w:id="677" w:name="_Toc339362284"/>
      <w:bookmarkStart w:id="678" w:name="_Toc341348322"/>
      <w:bookmarkStart w:id="679" w:name="_Toc503785411"/>
      <w:bookmarkStart w:id="680" w:name="_Toc336681564"/>
      <w:bookmarkStart w:id="681" w:name="_Toc345513851"/>
      <w:bookmarkStart w:id="682" w:name="_Toc349143573"/>
      <w:bookmarkStart w:id="683" w:name="_Toc365985163"/>
      <w:bookmarkStart w:id="684" w:name="_Toc366072512"/>
      <w:bookmarkStart w:id="685" w:name="_Toc337632342"/>
      <w:bookmarkStart w:id="686" w:name="_Toc340677054"/>
      <w:bookmarkStart w:id="687" w:name="_Toc333237772"/>
      <w:bookmarkStart w:id="688" w:name="_Toc333935330"/>
      <w:bookmarkStart w:id="689" w:name="_Toc342060358"/>
      <w:bookmarkStart w:id="690" w:name="_Toc339019999"/>
      <w:bookmarkStart w:id="691" w:name="_Toc350756434"/>
      <w:bookmarkStart w:id="692" w:name="_Toc340672853"/>
      <w:bookmarkStart w:id="693" w:name="_Toc365967057"/>
      <w:bookmarkStart w:id="694" w:name="_Toc330459969"/>
      <w:bookmarkStart w:id="695" w:name="_Toc339020217"/>
      <w:bookmarkStart w:id="696" w:name="_Toc333238617"/>
      <w:bookmarkStart w:id="697" w:name="_Toc333935671"/>
      <w:bookmarkStart w:id="698" w:name="_Toc374454584"/>
      <w:bookmarkStart w:id="699" w:name="_Toc339441071"/>
      <w:bookmarkStart w:id="700" w:name="_Toc349127610"/>
      <w:bookmarkStart w:id="701" w:name="_Toc342296744"/>
      <w:bookmarkStart w:id="702" w:name="_Toc331512882"/>
      <w:bookmarkStart w:id="703" w:name="_Toc333237661"/>
      <w:bookmarkStart w:id="704" w:name="_Toc21315"/>
      <w:bookmarkStart w:id="705" w:name="_Toc340507426"/>
      <w:bookmarkStart w:id="706" w:name="_Toc497224209"/>
      <w:bookmarkStart w:id="707" w:name="_Toc339020079"/>
      <w:bookmarkStart w:id="708" w:name="_Toc331684022"/>
      <w:bookmarkStart w:id="709" w:name="_Toc332270330"/>
      <w:r>
        <w:rPr>
          <w:rFonts w:hint="eastAsia"/>
          <w:color w:val="auto"/>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13.1</w:t>
      </w:r>
      <w:r>
        <w:rPr>
          <w:rFonts w:hint="eastAsia" w:ascii="宋体" w:hAnsi="宋体"/>
          <w:color w:val="auto"/>
          <w:highlight w:val="none"/>
        </w:rPr>
        <w:tab/>
      </w:r>
      <w:r>
        <w:rPr>
          <w:rFonts w:hint="eastAsia" w:ascii="宋体" w:hAnsi="宋体"/>
          <w:color w:val="auto"/>
          <w:highlight w:val="none"/>
        </w:rPr>
        <w:t>投标报价应为包括设备费、备品备件费、运输费、安装调试费、技术资料费、验收费、应缴税费、培训费和质量保证期内维修费等在内的</w:t>
      </w:r>
      <w:r>
        <w:rPr>
          <w:rFonts w:hint="eastAsia" w:ascii="宋体" w:hAnsi="宋体"/>
          <w:bCs/>
          <w:color w:val="auto"/>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13.2</w:t>
      </w:r>
      <w:r>
        <w:rPr>
          <w:rFonts w:hint="eastAsia" w:ascii="宋体" w:hAnsi="宋体"/>
          <w:color w:val="auto"/>
          <w:highlight w:val="none"/>
        </w:rPr>
        <w:tab/>
      </w:r>
      <w:r>
        <w:rPr>
          <w:rFonts w:hint="eastAsia" w:ascii="宋体" w:hAnsi="宋体"/>
          <w:color w:val="auto"/>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13.3</w:t>
      </w:r>
      <w:r>
        <w:rPr>
          <w:rFonts w:hint="eastAsia" w:ascii="宋体" w:hAnsi="宋体"/>
          <w:color w:val="auto"/>
          <w:highlight w:val="none"/>
        </w:rPr>
        <w:tab/>
      </w:r>
      <w:r>
        <w:rPr>
          <w:rFonts w:hint="eastAsia" w:ascii="宋体" w:hAnsi="宋体"/>
          <w:color w:val="auto"/>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hAnsi="宋体"/>
          <w:color w:val="auto"/>
          <w:highlight w:val="none"/>
        </w:rPr>
        <w:t>13.6   投标人在投标文件中如有任何遗漏，影响到招标文件中规定的范围、质量、性能和项目的实施或限制了采购人的权利和投标人的义务，由此产生的费用由投标人负责。</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10" w:name="_Toc337632343"/>
      <w:bookmarkStart w:id="711" w:name="_Toc339441072"/>
      <w:bookmarkStart w:id="712" w:name="_Toc336681920"/>
      <w:bookmarkStart w:id="713" w:name="_Toc342060359"/>
      <w:bookmarkStart w:id="714" w:name="_Toc336681565"/>
      <w:bookmarkStart w:id="715" w:name="_Toc330459970"/>
      <w:bookmarkStart w:id="716" w:name="_Toc333237662"/>
      <w:bookmarkStart w:id="717" w:name="_Toc497224212"/>
      <w:bookmarkStart w:id="718" w:name="_Toc339362285"/>
      <w:bookmarkStart w:id="719" w:name="_Toc339020080"/>
      <w:bookmarkStart w:id="720" w:name="_Toc350438734"/>
      <w:bookmarkStart w:id="721" w:name="_Toc331512883"/>
      <w:bookmarkStart w:id="722" w:name="_Toc340672854"/>
      <w:bookmarkStart w:id="723" w:name="_Toc333238618"/>
      <w:bookmarkStart w:id="724" w:name="_Toc340507427"/>
      <w:bookmarkStart w:id="725" w:name="_Toc339019874"/>
      <w:bookmarkStart w:id="726" w:name="_Toc374454585"/>
      <w:bookmarkStart w:id="727" w:name="_Toc365967058"/>
      <w:bookmarkStart w:id="728" w:name="_Toc341348323"/>
      <w:bookmarkStart w:id="729" w:name="_Toc350756435"/>
      <w:bookmarkStart w:id="730" w:name="_Toc339020000"/>
      <w:bookmarkStart w:id="731" w:name="_Toc332206693"/>
      <w:bookmarkStart w:id="732" w:name="_Toc331684023"/>
      <w:bookmarkStart w:id="733" w:name="_Toc349127611"/>
      <w:bookmarkStart w:id="734" w:name="_Toc342296745"/>
      <w:bookmarkStart w:id="735" w:name="_Toc365985164"/>
      <w:bookmarkStart w:id="736" w:name="_Toc333935331"/>
      <w:bookmarkStart w:id="737" w:name="_Toc332270331"/>
      <w:bookmarkStart w:id="738" w:name="_Toc333935672"/>
      <w:bookmarkStart w:id="739" w:name="_Toc349143574"/>
      <w:bookmarkStart w:id="740" w:name="_Toc345513852"/>
      <w:bookmarkStart w:id="741" w:name="_Toc366072513"/>
      <w:bookmarkStart w:id="742" w:name="_Toc333237773"/>
      <w:bookmarkStart w:id="743" w:name="_Toc339020218"/>
      <w:bookmarkStart w:id="744" w:name="_Toc503785414"/>
      <w:bookmarkStart w:id="745" w:name="_Toc9055"/>
      <w:bookmarkStart w:id="746" w:name="_Toc340677055"/>
      <w:r>
        <w:rPr>
          <w:rFonts w:hint="eastAsia"/>
          <w:color w:val="auto"/>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.1</w:t>
      </w:r>
      <w:r>
        <w:rPr>
          <w:rFonts w:ascii="宋体"/>
          <w:bCs/>
          <w:color w:val="auto"/>
          <w:highlight w:val="none"/>
        </w:rPr>
        <w:tab/>
      </w:r>
      <w:r>
        <w:rPr>
          <w:rFonts w:hint="eastAsia" w:ascii="宋体"/>
          <w:bCs/>
          <w:color w:val="auto"/>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color w:val="auto"/>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auto"/>
          <w:highlight w:val="none"/>
        </w:rPr>
      </w:pPr>
      <w:r>
        <w:rPr>
          <w:rFonts w:hint="eastAsia" w:ascii="宋体"/>
          <w:bCs/>
          <w:color w:val="auto"/>
          <w:highlight w:val="none"/>
        </w:rPr>
        <w:t>14.3</w:t>
      </w:r>
      <w:r>
        <w:rPr>
          <w:rFonts w:hint="eastAsia" w:ascii="宋体"/>
          <w:bCs/>
          <w:color w:val="auto"/>
          <w:highlight w:val="none"/>
        </w:rPr>
        <w:tab/>
      </w:r>
      <w:r>
        <w:rPr>
          <w:rFonts w:hint="eastAsia" w:ascii="宋体"/>
          <w:bCs/>
          <w:color w:val="auto"/>
          <w:highlight w:val="none"/>
        </w:rPr>
        <w:t>投标保证金用于保护本次招标免遭因投标人的行为而蒙受的损失。</w:t>
      </w:r>
      <w:r>
        <w:rPr>
          <w:rFonts w:hint="eastAsia" w:ascii="宋体" w:hAnsi="宋体"/>
          <w:color w:val="auto"/>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4</w:t>
      </w:r>
      <w:r>
        <w:rPr>
          <w:rFonts w:ascii="宋体"/>
          <w:bCs/>
          <w:color w:val="auto"/>
          <w:highlight w:val="none"/>
        </w:rPr>
        <w:t xml:space="preserve"> </w:t>
      </w:r>
      <w:r>
        <w:rPr>
          <w:rFonts w:hint="eastAsia" w:ascii="宋体"/>
          <w:bCs/>
          <w:color w:val="auto"/>
          <w:highlight w:val="none"/>
        </w:rPr>
        <w:tab/>
      </w:r>
      <w:r>
        <w:rPr>
          <w:rFonts w:hint="eastAsia" w:ascii="宋体" w:hAnsi="宋体"/>
          <w:bCs/>
          <w:color w:val="auto"/>
          <w:highlight w:val="none"/>
        </w:rPr>
        <w:t>凡未按本须知第14.2条规定随附有效投标保证金的投标</w:t>
      </w:r>
      <w:r>
        <w:rPr>
          <w:rFonts w:ascii="宋体" w:hAnsi="宋体"/>
          <w:bCs/>
          <w:color w:val="auto"/>
          <w:highlight w:val="none"/>
        </w:rPr>
        <w:t>,</w:t>
      </w:r>
      <w:r>
        <w:rPr>
          <w:rFonts w:hint="eastAsia" w:ascii="宋体" w:hAnsi="宋体"/>
          <w:bCs/>
          <w:color w:val="auto"/>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5</w:t>
      </w:r>
      <w:r>
        <w:rPr>
          <w:rFonts w:ascii="宋体"/>
          <w:bCs/>
          <w:color w:val="auto"/>
          <w:highlight w:val="none"/>
        </w:rPr>
        <w:tab/>
      </w:r>
      <w:r>
        <w:rPr>
          <w:rFonts w:hint="eastAsia" w:ascii="宋体" w:hAnsi="宋体"/>
          <w:bCs/>
          <w:color w:val="auto"/>
          <w:highlight w:val="none"/>
        </w:rPr>
        <w:t>未中标的投标人的投标保证金，采购</w:t>
      </w:r>
      <w:r>
        <w:rPr>
          <w:rFonts w:hint="eastAsia" w:ascii="宋体" w:hAnsi="宋体"/>
          <w:bCs/>
          <w:color w:val="auto"/>
          <w:szCs w:val="21"/>
          <w:highlight w:val="none"/>
        </w:rPr>
        <w:t>代理</w:t>
      </w:r>
      <w:r>
        <w:rPr>
          <w:rFonts w:hint="eastAsia" w:ascii="宋体" w:hAnsi="宋体"/>
          <w:bCs/>
          <w:color w:val="auto"/>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6</w:t>
      </w:r>
      <w:r>
        <w:rPr>
          <w:rFonts w:ascii="宋体"/>
          <w:bCs/>
          <w:color w:val="auto"/>
          <w:highlight w:val="none"/>
        </w:rPr>
        <w:tab/>
      </w:r>
      <w:r>
        <w:rPr>
          <w:rFonts w:hint="eastAsia" w:ascii="宋体" w:hAnsi="宋体"/>
          <w:bCs/>
          <w:color w:val="auto"/>
          <w:highlight w:val="none"/>
        </w:rPr>
        <w:t>中标投标人的投标保证金</w:t>
      </w:r>
      <w:r>
        <w:rPr>
          <w:rFonts w:ascii="宋体" w:hAnsi="宋体"/>
          <w:bCs/>
          <w:color w:val="auto"/>
          <w:highlight w:val="none"/>
        </w:rPr>
        <w:t>，</w:t>
      </w:r>
      <w:r>
        <w:rPr>
          <w:rFonts w:hint="eastAsia" w:ascii="宋体" w:hAnsi="宋体"/>
          <w:bCs/>
          <w:color w:val="auto"/>
          <w:highlight w:val="none"/>
        </w:rPr>
        <w:t>在中标投标人付清中标服务费、签订合同之日起5个工作日内无息退</w:t>
      </w:r>
      <w:r>
        <w:rPr>
          <w:rFonts w:hint="eastAsia" w:ascii="宋体"/>
          <w:bCs/>
          <w:color w:val="auto"/>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7</w:t>
      </w:r>
      <w:r>
        <w:rPr>
          <w:rFonts w:ascii="宋体"/>
          <w:bCs/>
          <w:color w:val="auto"/>
          <w:highlight w:val="none"/>
        </w:rPr>
        <w:tab/>
      </w:r>
      <w:r>
        <w:rPr>
          <w:rFonts w:hint="eastAsia" w:ascii="宋体"/>
          <w:bCs/>
          <w:color w:val="auto"/>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auto"/>
          <w:highlight w:val="none"/>
        </w:rPr>
      </w:pPr>
      <w:r>
        <w:rPr>
          <w:rFonts w:hint="eastAsia" w:ascii="宋体" w:hAnsi="宋体"/>
          <w:bCs/>
          <w:color w:val="auto"/>
          <w:highlight w:val="none"/>
        </w:rPr>
        <w:t>（4）投标人提供虚假投标文件或虚假补充文件的。</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47" w:name="_Toc341348324"/>
      <w:bookmarkStart w:id="748" w:name="_Toc331684024"/>
      <w:bookmarkStart w:id="749" w:name="_Toc349143575"/>
      <w:bookmarkStart w:id="750" w:name="_Toc374454586"/>
      <w:bookmarkStart w:id="751" w:name="_Toc337632344"/>
      <w:bookmarkStart w:id="752" w:name="_Toc336681921"/>
      <w:bookmarkStart w:id="753" w:name="_Toc342296746"/>
      <w:bookmarkStart w:id="754" w:name="_Toc340672855"/>
      <w:bookmarkStart w:id="755" w:name="_Toc333935673"/>
      <w:bookmarkStart w:id="756" w:name="_Toc365985165"/>
      <w:bookmarkStart w:id="757" w:name="_Toc339019875"/>
      <w:bookmarkStart w:id="758" w:name="_Toc332270332"/>
      <w:bookmarkStart w:id="759" w:name="_Toc336681566"/>
      <w:bookmarkStart w:id="760" w:name="_Toc342060360"/>
      <w:bookmarkStart w:id="761" w:name="_Toc340677056"/>
      <w:bookmarkStart w:id="762" w:name="_Toc330459971"/>
      <w:bookmarkStart w:id="763" w:name="_Toc497224213"/>
      <w:bookmarkStart w:id="764" w:name="_Toc345513853"/>
      <w:bookmarkStart w:id="765" w:name="_Toc333237663"/>
      <w:bookmarkStart w:id="766" w:name="_Toc333237774"/>
      <w:bookmarkStart w:id="767" w:name="_Toc332206694"/>
      <w:bookmarkStart w:id="768" w:name="_Toc339020001"/>
      <w:bookmarkStart w:id="769" w:name="_Toc340507428"/>
      <w:bookmarkStart w:id="770" w:name="_Toc503785415"/>
      <w:bookmarkStart w:id="771" w:name="_Toc9966"/>
      <w:bookmarkStart w:id="772" w:name="_Toc349127612"/>
      <w:bookmarkStart w:id="773" w:name="_Toc333935332"/>
      <w:bookmarkStart w:id="774" w:name="_Toc339020219"/>
      <w:bookmarkStart w:id="775" w:name="_Toc331512884"/>
      <w:bookmarkStart w:id="776" w:name="_Toc339362286"/>
      <w:bookmarkStart w:id="777" w:name="_Toc366072514"/>
      <w:bookmarkStart w:id="778" w:name="_Toc365967059"/>
      <w:bookmarkStart w:id="779" w:name="_Toc333238619"/>
      <w:bookmarkStart w:id="780" w:name="_Toc339441073"/>
      <w:bookmarkStart w:id="781" w:name="_Toc350756436"/>
      <w:bookmarkStart w:id="782" w:name="_Toc350438735"/>
      <w:bookmarkStart w:id="783" w:name="_Toc339020081"/>
      <w:r>
        <w:rPr>
          <w:rFonts w:hint="eastAsia"/>
          <w:color w:val="auto"/>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从开标之日起，本项目的投标有效期为90天。</w:t>
      </w:r>
      <w:r>
        <w:rPr>
          <w:rFonts w:ascii="宋体"/>
          <w:bCs/>
          <w:color w:val="auto"/>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.2</w:t>
      </w:r>
      <w:r>
        <w:rPr>
          <w:rFonts w:hint="eastAsia" w:ascii="宋体"/>
          <w:bCs/>
          <w:color w:val="auto"/>
          <w:highlight w:val="none"/>
        </w:rPr>
        <w:tab/>
      </w:r>
      <w:r>
        <w:rPr>
          <w:rFonts w:hint="eastAsia" w:ascii="宋体"/>
          <w:bCs/>
          <w:color w:val="auto"/>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auto"/>
          <w:highlight w:val="none"/>
        </w:rPr>
      </w:pPr>
      <w:bookmarkStart w:id="784" w:name="_Toc1224"/>
      <w:bookmarkStart w:id="785" w:name="_Toc365967060"/>
      <w:bookmarkStart w:id="786" w:name="_Toc331684025"/>
      <w:bookmarkStart w:id="787" w:name="_Toc333237775"/>
      <w:bookmarkStart w:id="788" w:name="_Toc332270333"/>
      <w:bookmarkStart w:id="789" w:name="_Toc365985166"/>
      <w:bookmarkStart w:id="790" w:name="_Toc331512885"/>
      <w:bookmarkStart w:id="791" w:name="_Toc339362287"/>
      <w:bookmarkStart w:id="792" w:name="_Toc350438736"/>
      <w:bookmarkStart w:id="793" w:name="_Toc339020082"/>
      <w:bookmarkStart w:id="794" w:name="_Toc503785416"/>
      <w:bookmarkStart w:id="795" w:name="_Toc374454587"/>
      <w:bookmarkStart w:id="796" w:name="_Toc111534389"/>
      <w:bookmarkStart w:id="797" w:name="_Toc350756437"/>
      <w:bookmarkStart w:id="798" w:name="_Toc339441074"/>
      <w:bookmarkStart w:id="799" w:name="_Toc366072515"/>
      <w:bookmarkStart w:id="800" w:name="_Toc339020002"/>
      <w:bookmarkStart w:id="801" w:name="_Toc333935333"/>
      <w:bookmarkStart w:id="802" w:name="_Toc333238620"/>
      <w:bookmarkStart w:id="803" w:name="_Toc342060361"/>
      <w:bookmarkStart w:id="804" w:name="_Toc339020220"/>
      <w:bookmarkStart w:id="805" w:name="_Toc349143576"/>
      <w:bookmarkStart w:id="806" w:name="_Toc340507429"/>
      <w:bookmarkStart w:id="807" w:name="_Toc340677057"/>
      <w:bookmarkStart w:id="808" w:name="_Toc339019876"/>
      <w:bookmarkStart w:id="809" w:name="_Toc337632345"/>
      <w:bookmarkStart w:id="810" w:name="_Toc333237664"/>
      <w:bookmarkStart w:id="811" w:name="_Toc345513854"/>
      <w:bookmarkStart w:id="812" w:name="_Toc349127613"/>
      <w:bookmarkStart w:id="813" w:name="_Toc341348325"/>
      <w:bookmarkStart w:id="814" w:name="_Toc336681567"/>
      <w:bookmarkStart w:id="815" w:name="_Toc333935674"/>
      <w:bookmarkStart w:id="816" w:name="_Toc332206695"/>
      <w:bookmarkStart w:id="817" w:name="_Toc330459972"/>
      <w:bookmarkStart w:id="818" w:name="_Toc497224214"/>
      <w:bookmarkStart w:id="819" w:name="_Toc342296747"/>
      <w:bookmarkStart w:id="820" w:name="_Toc336681922"/>
      <w:bookmarkStart w:id="821" w:name="_Toc340672856"/>
      <w:r>
        <w:rPr>
          <w:rFonts w:hint="eastAsia"/>
          <w:color w:val="auto"/>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auto"/>
          <w:sz w:val="24"/>
          <w:highlight w:val="none"/>
        </w:rPr>
      </w:pPr>
      <w:bookmarkStart w:id="822" w:name="_Toc332270334"/>
      <w:bookmarkStart w:id="823" w:name="_Toc333237665"/>
      <w:bookmarkStart w:id="824" w:name="_Toc349127614"/>
      <w:bookmarkStart w:id="825" w:name="_Toc339362288"/>
      <w:bookmarkStart w:id="826" w:name="_Toc365985167"/>
      <w:bookmarkStart w:id="827" w:name="_Toc332206696"/>
      <w:bookmarkStart w:id="828" w:name="_Toc339020221"/>
      <w:bookmarkStart w:id="829" w:name="_Toc333935675"/>
      <w:bookmarkStart w:id="830" w:name="_Toc339019877"/>
      <w:bookmarkStart w:id="831" w:name="_Toc340677058"/>
      <w:bookmarkStart w:id="832" w:name="_Toc331684026"/>
      <w:bookmarkStart w:id="833" w:name="_Toc337632346"/>
      <w:bookmarkStart w:id="834" w:name="_Toc331512886"/>
      <w:bookmarkStart w:id="835" w:name="_Toc342296748"/>
      <w:bookmarkStart w:id="836" w:name="_Toc341348326"/>
      <w:bookmarkStart w:id="837" w:name="_Toc349143577"/>
      <w:bookmarkStart w:id="838" w:name="_Toc339441075"/>
      <w:bookmarkStart w:id="839" w:name="_Toc336681568"/>
      <w:bookmarkStart w:id="840" w:name="_Toc503785417"/>
      <w:bookmarkStart w:id="841" w:name="_Toc339020003"/>
      <w:bookmarkStart w:id="842" w:name="_Toc366072516"/>
      <w:bookmarkStart w:id="843" w:name="_Toc330459973"/>
      <w:bookmarkStart w:id="844" w:name="_Toc342060362"/>
      <w:bookmarkStart w:id="845" w:name="_Toc365967061"/>
      <w:bookmarkStart w:id="846" w:name="_Toc336681923"/>
      <w:bookmarkStart w:id="847" w:name="_Toc374454588"/>
      <w:bookmarkStart w:id="848" w:name="_Toc339020083"/>
      <w:bookmarkStart w:id="849" w:name="_Toc340672857"/>
      <w:bookmarkStart w:id="850" w:name="_Toc333238621"/>
      <w:bookmarkStart w:id="851" w:name="_Toc350438737"/>
      <w:bookmarkStart w:id="852" w:name="_Toc333935334"/>
      <w:bookmarkStart w:id="853" w:name="_Toc111534390"/>
      <w:bookmarkStart w:id="854" w:name="_Toc333237776"/>
      <w:bookmarkStart w:id="855" w:name="_Toc340507430"/>
      <w:bookmarkStart w:id="856" w:name="_Toc497224215"/>
      <w:bookmarkStart w:id="857" w:name="_Toc345513855"/>
      <w:bookmarkStart w:id="858" w:name="_Toc350756438"/>
      <w:r>
        <w:rPr>
          <w:color w:val="auto"/>
          <w:sz w:val="24"/>
          <w:highlight w:val="none"/>
        </w:rPr>
        <w:br w:type="page"/>
      </w:r>
      <w:bookmarkStart w:id="859" w:name="_Toc9497"/>
      <w:r>
        <w:rPr>
          <w:rFonts w:hint="eastAsia"/>
          <w:color w:val="auto"/>
          <w:sz w:val="24"/>
          <w:highlight w:val="none"/>
        </w:rPr>
        <w:t>Ｄ</w:t>
      </w:r>
      <w:r>
        <w:rPr>
          <w:color w:val="auto"/>
          <w:sz w:val="24"/>
          <w:highlight w:val="none"/>
        </w:rPr>
        <w:t xml:space="preserve">  </w:t>
      </w:r>
      <w:r>
        <w:rPr>
          <w:rFonts w:hint="eastAsia"/>
          <w:color w:val="auto"/>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6"/>
        </w:numPr>
        <w:tabs>
          <w:tab w:val="left" w:pos="251"/>
          <w:tab w:val="left" w:pos="720"/>
        </w:tabs>
        <w:spacing w:before="240" w:after="120"/>
        <w:ind w:left="751" w:leftChars="1" w:hangingChars="357"/>
        <w:rPr>
          <w:rFonts w:ascii="宋体" w:hAnsi="宋体"/>
          <w:color w:val="auto"/>
          <w:highlight w:val="none"/>
        </w:rPr>
      </w:pPr>
      <w:bookmarkStart w:id="860" w:name="_Toc336681569"/>
      <w:bookmarkStart w:id="861" w:name="_Toc339020084"/>
      <w:bookmarkStart w:id="862" w:name="_Toc339441076"/>
      <w:bookmarkStart w:id="863" w:name="_Toc340507431"/>
      <w:bookmarkStart w:id="864" w:name="_Toc111534391"/>
      <w:bookmarkStart w:id="865" w:name="_Toc374454589"/>
      <w:bookmarkStart w:id="866" w:name="_Toc331512887"/>
      <w:bookmarkStart w:id="867" w:name="_Toc330459974"/>
      <w:bookmarkStart w:id="868" w:name="_Toc503785418"/>
      <w:bookmarkStart w:id="869" w:name="_Toc349143578"/>
      <w:bookmarkStart w:id="870" w:name="_Toc333238622"/>
      <w:bookmarkStart w:id="871" w:name="_Toc333935335"/>
      <w:bookmarkStart w:id="872" w:name="_Toc340677059"/>
      <w:bookmarkStart w:id="873" w:name="_Toc339362289"/>
      <w:bookmarkStart w:id="874" w:name="_Toc497224216"/>
      <w:bookmarkStart w:id="875" w:name="_Toc342060363"/>
      <w:bookmarkStart w:id="876" w:name="_Toc342296749"/>
      <w:bookmarkStart w:id="877" w:name="_Toc341348327"/>
      <w:bookmarkStart w:id="878" w:name="_Toc345513856"/>
      <w:bookmarkStart w:id="879" w:name="_Toc333935676"/>
      <w:bookmarkStart w:id="880" w:name="_Toc339020222"/>
      <w:bookmarkStart w:id="881" w:name="_Toc332206697"/>
      <w:bookmarkStart w:id="882" w:name="_Toc350438738"/>
      <w:bookmarkStart w:id="883" w:name="_Toc339020004"/>
      <w:bookmarkStart w:id="884" w:name="_Toc331684027"/>
      <w:bookmarkStart w:id="885" w:name="_Toc332270335"/>
      <w:bookmarkStart w:id="886" w:name="_Toc333237777"/>
      <w:bookmarkStart w:id="887" w:name="_Toc349127615"/>
      <w:bookmarkStart w:id="888" w:name="_Toc365985168"/>
      <w:bookmarkStart w:id="889" w:name="_Toc350756439"/>
      <w:bookmarkStart w:id="890" w:name="_Toc337632347"/>
      <w:bookmarkStart w:id="891" w:name="_Toc333237666"/>
      <w:bookmarkStart w:id="892" w:name="_Toc365967062"/>
      <w:bookmarkStart w:id="893" w:name="_Toc340672858"/>
      <w:bookmarkStart w:id="894" w:name="_Toc336681924"/>
      <w:bookmarkStart w:id="895" w:name="_Toc339019878"/>
      <w:bookmarkStart w:id="896" w:name="_Toc366072517"/>
      <w:r>
        <w:rPr>
          <w:color w:val="auto"/>
          <w:highlight w:val="none"/>
        </w:rPr>
        <w:t xml:space="preserve"> </w:t>
      </w:r>
      <w:bookmarkStart w:id="897" w:name="_Toc31805"/>
      <w:r>
        <w:rPr>
          <w:rFonts w:hint="eastAsia"/>
          <w:color w:val="auto"/>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auto"/>
          <w:highlight w:val="none"/>
        </w:rPr>
      </w:pPr>
      <w:bookmarkStart w:id="898" w:name="_Hlk499218605"/>
      <w:r>
        <w:rPr>
          <w:rFonts w:hint="eastAsia"/>
          <w:color w:val="auto"/>
          <w:highlight w:val="none"/>
        </w:rPr>
        <w:tab/>
      </w:r>
      <w:r>
        <w:rPr>
          <w:rFonts w:hint="eastAsia" w:ascii="黑体" w:eastAsia="黑体"/>
          <w:bCs/>
          <w:color w:val="auto"/>
          <w:kern w:val="2"/>
          <w:sz w:val="21"/>
          <w:szCs w:val="24"/>
          <w:highlight w:val="none"/>
        </w:rPr>
        <w:t>详见第三部份《投标人须知〈投标人须知前附表〉》</w:t>
      </w:r>
      <w:bookmarkEnd w:id="898"/>
      <w:r>
        <w:rPr>
          <w:rFonts w:hint="eastAsia" w:ascii="黑体" w:eastAsia="黑体"/>
          <w:bCs/>
          <w:color w:val="auto"/>
          <w:kern w:val="2"/>
          <w:sz w:val="21"/>
          <w:szCs w:val="24"/>
          <w:highlight w:val="none"/>
        </w:rPr>
        <w:t>。</w:t>
      </w:r>
    </w:p>
    <w:p>
      <w:pPr>
        <w:pStyle w:val="6"/>
        <w:numPr>
          <w:ilvl w:val="4"/>
          <w:numId w:val="26"/>
        </w:numPr>
        <w:tabs>
          <w:tab w:val="left" w:pos="720"/>
        </w:tabs>
        <w:spacing w:before="240" w:after="120"/>
        <w:ind w:left="2432" w:hanging="2432"/>
        <w:rPr>
          <w:color w:val="auto"/>
          <w:highlight w:val="none"/>
        </w:rPr>
      </w:pPr>
      <w:bookmarkStart w:id="899" w:name="_Toc332206698"/>
      <w:bookmarkStart w:id="900" w:name="_Toc330459975"/>
      <w:bookmarkStart w:id="901" w:name="_Toc503785419"/>
      <w:bookmarkStart w:id="902" w:name="_Toc340507432"/>
      <w:bookmarkStart w:id="903" w:name="_Toc333935677"/>
      <w:bookmarkStart w:id="904" w:name="_Toc340672859"/>
      <w:bookmarkStart w:id="905" w:name="_Toc23930"/>
      <w:bookmarkStart w:id="906" w:name="_Toc349127616"/>
      <w:bookmarkStart w:id="907" w:name="_Toc365967063"/>
      <w:bookmarkStart w:id="908" w:name="_Toc333935336"/>
      <w:bookmarkStart w:id="909" w:name="_Toc345513857"/>
      <w:bookmarkStart w:id="910" w:name="_Toc497224217"/>
      <w:bookmarkStart w:id="911" w:name="_Toc342060364"/>
      <w:bookmarkStart w:id="912" w:name="_Toc339441077"/>
      <w:bookmarkStart w:id="913" w:name="_Toc333237667"/>
      <w:bookmarkStart w:id="914" w:name="_Toc339020005"/>
      <w:bookmarkStart w:id="915" w:name="_Toc331684028"/>
      <w:bookmarkStart w:id="916" w:name="_Toc336681570"/>
      <w:bookmarkStart w:id="917" w:name="_Toc350756440"/>
      <w:bookmarkStart w:id="918" w:name="_Toc349143579"/>
      <w:bookmarkStart w:id="919" w:name="_Toc339020223"/>
      <w:bookmarkStart w:id="920" w:name="_Toc365985169"/>
      <w:bookmarkStart w:id="921" w:name="_Toc333238623"/>
      <w:bookmarkStart w:id="922" w:name="_Toc341348328"/>
      <w:bookmarkStart w:id="923" w:name="_Toc339020085"/>
      <w:bookmarkStart w:id="924" w:name="_Toc339362290"/>
      <w:bookmarkStart w:id="925" w:name="_Toc337632348"/>
      <w:bookmarkStart w:id="926" w:name="_Toc340677060"/>
      <w:bookmarkStart w:id="927" w:name="_Toc332270336"/>
      <w:bookmarkStart w:id="928" w:name="_Toc366072518"/>
      <w:bookmarkStart w:id="929" w:name="_Toc331512888"/>
      <w:bookmarkStart w:id="930" w:name="_Toc342296750"/>
      <w:bookmarkStart w:id="931" w:name="_Toc333237778"/>
      <w:bookmarkStart w:id="932" w:name="_Toc350438739"/>
      <w:bookmarkStart w:id="933" w:name="_Toc336681925"/>
      <w:bookmarkStart w:id="934" w:name="_Toc339019879"/>
      <w:bookmarkStart w:id="935" w:name="_Toc111534392"/>
      <w:bookmarkStart w:id="936" w:name="_Toc374454590"/>
      <w:r>
        <w:rPr>
          <w:rFonts w:hint="eastAsia"/>
          <w:color w:val="auto"/>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18.1</w:t>
      </w:r>
      <w:r>
        <w:rPr>
          <w:rFonts w:hint="eastAsia" w:ascii="宋体" w:hAnsi="宋体"/>
          <w:bCs/>
          <w:color w:val="auto"/>
          <w:highlight w:val="none"/>
        </w:rPr>
        <w:tab/>
      </w:r>
      <w:r>
        <w:rPr>
          <w:rFonts w:hint="eastAsia" w:ascii="宋体" w:hAnsi="宋体"/>
          <w:bCs/>
          <w:color w:val="auto"/>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18.2</w:t>
      </w:r>
      <w:r>
        <w:rPr>
          <w:rFonts w:hint="eastAsia" w:ascii="宋体" w:hAnsi="宋体"/>
          <w:bCs/>
          <w:color w:val="auto"/>
          <w:highlight w:val="none"/>
        </w:rPr>
        <w:tab/>
      </w:r>
      <w:r>
        <w:rPr>
          <w:rFonts w:hint="eastAsia" w:ascii="宋体" w:hAnsi="宋体"/>
          <w:bCs/>
          <w:color w:val="auto"/>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auto"/>
          <w:highlight w:val="none"/>
        </w:rPr>
      </w:pPr>
      <w:bookmarkStart w:id="937" w:name="_Toc330459976"/>
      <w:bookmarkStart w:id="938" w:name="_Toc331512889"/>
      <w:bookmarkStart w:id="939" w:name="_Toc497224218"/>
      <w:bookmarkStart w:id="940" w:name="_Toc336681571"/>
      <w:bookmarkStart w:id="941" w:name="_Toc333237668"/>
      <w:bookmarkStart w:id="942" w:name="_Toc332206699"/>
      <w:bookmarkStart w:id="943" w:name="_Toc340672860"/>
      <w:bookmarkStart w:id="944" w:name="_Toc374454591"/>
      <w:bookmarkStart w:id="945" w:name="_Toc339019880"/>
      <w:bookmarkStart w:id="946" w:name="_Toc333935337"/>
      <w:bookmarkStart w:id="947" w:name="_Toc336681926"/>
      <w:bookmarkStart w:id="948" w:name="_Toc349143580"/>
      <w:bookmarkStart w:id="949" w:name="_Toc345513858"/>
      <w:bookmarkStart w:id="950" w:name="_Toc342060365"/>
      <w:bookmarkStart w:id="951" w:name="_Toc333237779"/>
      <w:bookmarkStart w:id="952" w:name="_Toc331684029"/>
      <w:bookmarkStart w:id="953" w:name="_Toc332270337"/>
      <w:bookmarkStart w:id="954" w:name="_Toc339020224"/>
      <w:bookmarkStart w:id="955" w:name="_Toc365967064"/>
      <w:bookmarkStart w:id="956" w:name="_Toc365985170"/>
      <w:bookmarkStart w:id="957" w:name="_Toc503785420"/>
      <w:bookmarkStart w:id="958" w:name="_Toc337632349"/>
      <w:bookmarkStart w:id="959" w:name="_Toc339020086"/>
      <w:bookmarkStart w:id="960" w:name="_Toc349127617"/>
      <w:bookmarkStart w:id="961" w:name="_Toc339362291"/>
      <w:bookmarkStart w:id="962" w:name="_Toc333935678"/>
      <w:bookmarkStart w:id="963" w:name="_Toc350756441"/>
      <w:bookmarkStart w:id="964" w:name="_Toc333238624"/>
      <w:bookmarkStart w:id="965" w:name="_Toc341348329"/>
      <w:bookmarkStart w:id="966" w:name="_Toc366072519"/>
      <w:bookmarkStart w:id="967" w:name="_Toc339441078"/>
      <w:bookmarkStart w:id="968" w:name="_Toc340507433"/>
      <w:bookmarkStart w:id="969" w:name="_Toc342296751"/>
      <w:bookmarkStart w:id="970" w:name="_Toc340677061"/>
      <w:bookmarkStart w:id="971" w:name="_Toc339020006"/>
      <w:bookmarkStart w:id="972" w:name="_Toc350438740"/>
      <w:r>
        <w:rPr>
          <w:rFonts w:hint="eastAsia" w:ascii="宋体" w:hAnsi="宋体"/>
          <w:bCs/>
          <w:color w:val="auto"/>
          <w:highlight w:val="none"/>
        </w:rPr>
        <w:t>18.3</w:t>
      </w:r>
      <w:r>
        <w:rPr>
          <w:rFonts w:hint="eastAsia" w:ascii="宋体" w:hAnsi="宋体"/>
          <w:bCs/>
          <w:color w:val="auto"/>
          <w:highlight w:val="none"/>
        </w:rPr>
        <w:tab/>
      </w:r>
      <w:r>
        <w:rPr>
          <w:rFonts w:hint="eastAsia" w:ascii="宋体" w:hAnsi="宋体"/>
          <w:bCs/>
          <w:color w:val="auto"/>
          <w:highlight w:val="none"/>
        </w:rPr>
        <w:t>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auto"/>
          <w:highlight w:val="none"/>
        </w:rPr>
      </w:pPr>
      <w:bookmarkStart w:id="973" w:name="_Toc6386"/>
      <w:r>
        <w:rPr>
          <w:rFonts w:hint="eastAsia"/>
          <w:color w:val="auto"/>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hint="eastAsia" w:ascii="宋体"/>
          <w:bCs/>
          <w:color w:val="auto"/>
          <w:highlight w:val="none"/>
        </w:rPr>
        <w:t>19</w:t>
      </w:r>
      <w:r>
        <w:rPr>
          <w:rFonts w:ascii="宋体"/>
          <w:bCs/>
          <w:color w:val="auto"/>
          <w:highlight w:val="none"/>
        </w:rPr>
        <w:t>.1</w:t>
      </w:r>
      <w:r>
        <w:rPr>
          <w:rFonts w:hint="eastAsia" w:ascii="宋体"/>
          <w:bCs/>
          <w:color w:val="auto"/>
          <w:highlight w:val="none"/>
        </w:rPr>
        <w:tab/>
      </w:r>
      <w:r>
        <w:rPr>
          <w:rFonts w:hint="eastAsia" w:ascii="宋体"/>
          <w:bCs/>
          <w:color w:val="auto"/>
          <w:highlight w:val="none"/>
        </w:rPr>
        <w:t>代理采购机构将拒绝在投标截止时间后递交的任何投标文件。</w:t>
      </w:r>
    </w:p>
    <w:p>
      <w:pPr>
        <w:pStyle w:val="6"/>
        <w:numPr>
          <w:ilvl w:val="4"/>
          <w:numId w:val="26"/>
        </w:numPr>
        <w:tabs>
          <w:tab w:val="left" w:pos="720"/>
        </w:tabs>
        <w:spacing w:before="240" w:after="120"/>
        <w:ind w:left="2432" w:hanging="2432"/>
        <w:rPr>
          <w:color w:val="auto"/>
          <w:highlight w:val="none"/>
        </w:rPr>
      </w:pPr>
      <w:bookmarkStart w:id="974" w:name="_Toc497224219"/>
      <w:bookmarkStart w:id="975" w:name="_Toc503785421"/>
      <w:bookmarkStart w:id="976" w:name="_Toc365967065"/>
      <w:bookmarkStart w:id="977" w:name="_Toc340672861"/>
      <w:bookmarkStart w:id="978" w:name="_Toc339362292"/>
      <w:bookmarkStart w:id="979" w:name="_Toc336681572"/>
      <w:bookmarkStart w:id="980" w:name="_Toc374454592"/>
      <w:bookmarkStart w:id="981" w:name="_Toc333237669"/>
      <w:bookmarkStart w:id="982" w:name="_Toc330459977"/>
      <w:bookmarkStart w:id="983" w:name="_Toc345513859"/>
      <w:bookmarkStart w:id="984" w:name="_Toc350756442"/>
      <w:bookmarkStart w:id="985" w:name="_Toc342296752"/>
      <w:bookmarkStart w:id="986" w:name="_Toc337632350"/>
      <w:bookmarkStart w:id="987" w:name="_Toc339020007"/>
      <w:bookmarkStart w:id="988" w:name="_Toc366072520"/>
      <w:bookmarkStart w:id="989" w:name="_Toc333935679"/>
      <w:bookmarkStart w:id="990" w:name="_Toc339020087"/>
      <w:bookmarkStart w:id="991" w:name="_Toc331684030"/>
      <w:bookmarkStart w:id="992" w:name="_Toc350438741"/>
      <w:bookmarkStart w:id="993" w:name="_Toc336681927"/>
      <w:bookmarkStart w:id="994" w:name="_Toc340507434"/>
      <w:bookmarkStart w:id="995" w:name="_Toc332206700"/>
      <w:bookmarkStart w:id="996" w:name="_Toc349143581"/>
      <w:bookmarkStart w:id="997" w:name="_Toc333237780"/>
      <w:bookmarkStart w:id="998" w:name="_Toc349127618"/>
      <w:bookmarkStart w:id="999" w:name="_Toc331512890"/>
      <w:bookmarkStart w:id="1000" w:name="_Toc333238625"/>
      <w:bookmarkStart w:id="1001" w:name="_Toc339019881"/>
      <w:bookmarkStart w:id="1002" w:name="_Toc340677062"/>
      <w:bookmarkStart w:id="1003" w:name="_Toc339441079"/>
      <w:bookmarkStart w:id="1004" w:name="_Toc20333"/>
      <w:bookmarkStart w:id="1005" w:name="_Toc332270338"/>
      <w:bookmarkStart w:id="1006" w:name="_Toc339020225"/>
      <w:bookmarkStart w:id="1007" w:name="_Toc341348330"/>
      <w:bookmarkStart w:id="1008" w:name="_Toc365985171"/>
      <w:bookmarkStart w:id="1009" w:name="_Toc342060366"/>
      <w:bookmarkStart w:id="1010" w:name="_Toc333935338"/>
      <w:r>
        <w:rPr>
          <w:rFonts w:hint="eastAsia"/>
          <w:color w:val="auto"/>
          <w:highlight w:val="none"/>
        </w:rPr>
        <w:t>投标文件的修改和撤</w:t>
      </w:r>
      <w:bookmarkEnd w:id="974"/>
      <w:bookmarkEnd w:id="975"/>
      <w:r>
        <w:rPr>
          <w:rFonts w:hint="eastAsia"/>
          <w:color w:val="auto"/>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投标人在</w:t>
      </w:r>
      <w:r>
        <w:rPr>
          <w:rFonts w:hint="eastAsia" w:ascii="宋体"/>
          <w:bCs/>
          <w:color w:val="auto"/>
          <w:highlight w:val="none"/>
          <w:lang w:val="en-US" w:eastAsia="zh-CN"/>
        </w:rPr>
        <w:t>投标</w:t>
      </w:r>
      <w:r>
        <w:rPr>
          <w:rFonts w:hint="eastAsia" w:ascii="宋体"/>
          <w:bCs/>
          <w:color w:val="auto"/>
          <w:highlight w:val="none"/>
        </w:rPr>
        <w:t>截止时间前，可以修改或撤回其投标文件。但必须在规定的</w:t>
      </w:r>
      <w:r>
        <w:rPr>
          <w:rFonts w:hint="eastAsia" w:ascii="宋体"/>
          <w:bCs/>
          <w:color w:val="auto"/>
          <w:highlight w:val="none"/>
          <w:lang w:val="en-US" w:eastAsia="zh-CN"/>
        </w:rPr>
        <w:t>投标</w:t>
      </w:r>
      <w:r>
        <w:rPr>
          <w:rFonts w:hint="eastAsia" w:ascii="宋体"/>
          <w:bCs/>
          <w:color w:val="auto"/>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.2</w:t>
      </w:r>
      <w:r>
        <w:rPr>
          <w:rFonts w:hint="eastAsia" w:ascii="宋体"/>
          <w:bCs/>
          <w:color w:val="auto"/>
          <w:highlight w:val="none"/>
        </w:rPr>
        <w:tab/>
      </w:r>
      <w:r>
        <w:rPr>
          <w:rFonts w:hint="eastAsia" w:ascii="宋体"/>
          <w:bCs/>
          <w:color w:val="auto"/>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从投标截止时间至投标文件有效期期满之前，投标人不得撤回其投标文件，否则代理采购机构将按规定不予退还投标保证金。</w:t>
      </w:r>
    </w:p>
    <w:p>
      <w:pPr>
        <w:pStyle w:val="4"/>
        <w:pageBreakBefore w:val="0"/>
        <w:numPr>
          <w:ilvl w:val="0"/>
          <w:numId w:val="0"/>
        </w:numPr>
        <w:kinsoku/>
        <w:wordWrap/>
        <w:overflowPunct/>
        <w:topLinePunct w:val="0"/>
        <w:bidi w:val="0"/>
        <w:spacing w:line="400" w:lineRule="exact"/>
        <w:rPr>
          <w:color w:val="auto"/>
          <w:sz w:val="24"/>
          <w:highlight w:val="none"/>
        </w:rPr>
      </w:pPr>
      <w:bookmarkStart w:id="1011" w:name="_Toc339020008"/>
      <w:bookmarkStart w:id="1012" w:name="_Toc333237670"/>
      <w:bookmarkStart w:id="1013" w:name="_Toc349127619"/>
      <w:bookmarkStart w:id="1014" w:name="_Toc330459978"/>
      <w:bookmarkStart w:id="1015" w:name="_Toc333935680"/>
      <w:bookmarkStart w:id="1016" w:name="_Toc349143582"/>
      <w:bookmarkStart w:id="1017" w:name="_Toc340507435"/>
      <w:bookmarkStart w:id="1018" w:name="_Toc503785422"/>
      <w:bookmarkStart w:id="1019" w:name="_Toc339020088"/>
      <w:bookmarkStart w:id="1020" w:name="_Toc350438742"/>
      <w:bookmarkStart w:id="1021" w:name="_Toc332270339"/>
      <w:bookmarkStart w:id="1022" w:name="_Toc345513860"/>
      <w:bookmarkStart w:id="1023" w:name="_Toc340672862"/>
      <w:bookmarkStart w:id="1024" w:name="_Toc333238626"/>
      <w:bookmarkStart w:id="1025" w:name="_Toc333237781"/>
      <w:bookmarkStart w:id="1026" w:name="_Toc339362293"/>
      <w:bookmarkStart w:id="1027" w:name="_Toc339441080"/>
      <w:bookmarkStart w:id="1028" w:name="_Toc342296753"/>
      <w:bookmarkStart w:id="1029" w:name="_Toc374454593"/>
      <w:bookmarkStart w:id="1030" w:name="_Toc365967066"/>
      <w:bookmarkStart w:id="1031" w:name="_Toc342060367"/>
      <w:bookmarkStart w:id="1032" w:name="_Toc350756443"/>
      <w:bookmarkStart w:id="1033" w:name="_Toc331684031"/>
      <w:bookmarkStart w:id="1034" w:name="_Toc341348331"/>
      <w:bookmarkStart w:id="1035" w:name="_Toc339020226"/>
      <w:bookmarkStart w:id="1036" w:name="_Toc339019882"/>
      <w:bookmarkStart w:id="1037" w:name="_Toc365985172"/>
      <w:bookmarkStart w:id="1038" w:name="_Toc337632351"/>
      <w:bookmarkStart w:id="1039" w:name="_Toc336681573"/>
      <w:bookmarkStart w:id="1040" w:name="_Toc497224220"/>
      <w:bookmarkStart w:id="1041" w:name="_Toc331512891"/>
      <w:bookmarkStart w:id="1042" w:name="_Toc332206701"/>
      <w:bookmarkStart w:id="1043" w:name="_Toc333935339"/>
      <w:bookmarkStart w:id="1044" w:name="_Toc340677063"/>
      <w:bookmarkStart w:id="1045" w:name="_Toc366072521"/>
      <w:bookmarkStart w:id="1046" w:name="_Toc336681928"/>
      <w:r>
        <w:rPr>
          <w:color w:val="auto"/>
          <w:sz w:val="24"/>
          <w:highlight w:val="none"/>
        </w:rPr>
        <w:br w:type="page"/>
      </w:r>
      <w:bookmarkStart w:id="1047" w:name="_Toc7682"/>
      <w:r>
        <w:rPr>
          <w:rFonts w:hint="eastAsia"/>
          <w:color w:val="auto"/>
          <w:sz w:val="24"/>
          <w:highlight w:val="none"/>
        </w:rPr>
        <w:t>Ｅ</w:t>
      </w:r>
      <w:r>
        <w:rPr>
          <w:color w:val="auto"/>
          <w:sz w:val="24"/>
          <w:highlight w:val="none"/>
        </w:rPr>
        <w:t xml:space="preserve">  </w:t>
      </w:r>
      <w:r>
        <w:rPr>
          <w:rFonts w:hint="eastAsia"/>
          <w:color w:val="auto"/>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auto"/>
          <w:highlight w:val="none"/>
        </w:rPr>
      </w:pPr>
      <w:bookmarkStart w:id="1048" w:name="_Toc365985173"/>
      <w:bookmarkStart w:id="1049" w:name="_Toc349127620"/>
      <w:bookmarkStart w:id="1050" w:name="_Toc350756444"/>
      <w:bookmarkStart w:id="1051" w:name="_Toc340672863"/>
      <w:bookmarkStart w:id="1052" w:name="_Toc339020009"/>
      <w:bookmarkStart w:id="1053" w:name="_Toc330459979"/>
      <w:bookmarkStart w:id="1054" w:name="_Toc503785423"/>
      <w:bookmarkStart w:id="1055" w:name="_Toc342296754"/>
      <w:bookmarkStart w:id="1056" w:name="_Toc333237671"/>
      <w:bookmarkStart w:id="1057" w:name="_Toc333238627"/>
      <w:bookmarkStart w:id="1058" w:name="_Toc332206702"/>
      <w:bookmarkStart w:id="1059" w:name="_Toc337632352"/>
      <w:bookmarkStart w:id="1060" w:name="_Toc333935681"/>
      <w:bookmarkStart w:id="1061" w:name="_Toc365967067"/>
      <w:bookmarkStart w:id="1062" w:name="_Toc497224221"/>
      <w:bookmarkStart w:id="1063" w:name="_Toc333935340"/>
      <w:bookmarkStart w:id="1064" w:name="_Toc5666"/>
      <w:bookmarkStart w:id="1065" w:name="_Toc332270340"/>
      <w:bookmarkStart w:id="1066" w:name="_Toc336681929"/>
      <w:bookmarkStart w:id="1067" w:name="_Toc349143583"/>
      <w:bookmarkStart w:id="1068" w:name="_Toc339019883"/>
      <w:bookmarkStart w:id="1069" w:name="_Toc340507436"/>
      <w:bookmarkStart w:id="1070" w:name="_Toc336681574"/>
      <w:bookmarkStart w:id="1071" w:name="_Toc339020089"/>
      <w:bookmarkStart w:id="1072" w:name="_Toc342060368"/>
      <w:bookmarkStart w:id="1073" w:name="_Toc339020227"/>
      <w:bookmarkStart w:id="1074" w:name="_Toc374454594"/>
      <w:bookmarkStart w:id="1075" w:name="_Toc366072522"/>
      <w:bookmarkStart w:id="1076" w:name="_Toc339441081"/>
      <w:bookmarkStart w:id="1077" w:name="_Toc331512892"/>
      <w:bookmarkStart w:id="1078" w:name="_Toc339362294"/>
      <w:bookmarkStart w:id="1079" w:name="_Toc340677064"/>
      <w:bookmarkStart w:id="1080" w:name="_Toc333237782"/>
      <w:bookmarkStart w:id="1081" w:name="_Toc345513861"/>
      <w:bookmarkStart w:id="1082" w:name="_Toc350438743"/>
      <w:bookmarkStart w:id="1083" w:name="_Toc331684032"/>
      <w:bookmarkStart w:id="1084" w:name="_Toc341348332"/>
      <w:r>
        <w:rPr>
          <w:rFonts w:hint="eastAsia"/>
          <w:color w:val="auto"/>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hint="eastAsia" w:ascii="宋体" w:hAnsi="宋体"/>
          <w:bCs/>
          <w:color w:val="auto"/>
          <w:highlight w:val="none"/>
        </w:rPr>
        <w:t>21.4</w:t>
      </w:r>
      <w:r>
        <w:rPr>
          <w:rFonts w:hint="eastAsia" w:ascii="宋体" w:hAnsi="宋体"/>
          <w:bCs/>
          <w:color w:val="auto"/>
          <w:highlight w:val="none"/>
        </w:rPr>
        <w:tab/>
      </w:r>
      <w:r>
        <w:rPr>
          <w:rFonts w:hint="eastAsia" w:ascii="宋体" w:hAnsi="宋体"/>
          <w:bCs/>
          <w:color w:val="auto"/>
          <w:highlight w:val="none"/>
        </w:rPr>
        <w:t>唱标结束后，代理采购机构将做唱标记录，并按规定在唱标记录上签字。</w:t>
      </w:r>
    </w:p>
    <w:p>
      <w:pPr>
        <w:pStyle w:val="6"/>
        <w:pageBreakBefore w:val="0"/>
        <w:numPr>
          <w:ilvl w:val="4"/>
          <w:numId w:val="26"/>
        </w:numPr>
        <w:tabs>
          <w:tab w:val="left" w:pos="720"/>
        </w:tabs>
        <w:kinsoku/>
        <w:wordWrap/>
        <w:overflowPunct/>
        <w:topLinePunct w:val="0"/>
        <w:bidi w:val="0"/>
        <w:spacing w:before="240" w:after="120" w:line="400" w:lineRule="exact"/>
        <w:ind w:left="752" w:hanging="751" w:hangingChars="358"/>
        <w:rPr>
          <w:rFonts w:ascii="宋体" w:hAnsi="宋体"/>
          <w:color w:val="auto"/>
          <w:highlight w:val="none"/>
        </w:rPr>
      </w:pPr>
      <w:bookmarkStart w:id="1085" w:name="_Toc333237783"/>
      <w:bookmarkStart w:id="1086" w:name="_Toc339362295"/>
      <w:bookmarkStart w:id="1087" w:name="_Toc365985174"/>
      <w:bookmarkStart w:id="1088" w:name="_Toc336681575"/>
      <w:bookmarkStart w:id="1089" w:name="_Toc333935341"/>
      <w:bookmarkStart w:id="1090" w:name="_Toc350438744"/>
      <w:bookmarkStart w:id="1091" w:name="_Toc333238628"/>
      <w:bookmarkStart w:id="1092" w:name="_Toc341348333"/>
      <w:bookmarkStart w:id="1093" w:name="_Toc342296755"/>
      <w:bookmarkStart w:id="1094" w:name="_Toc342060369"/>
      <w:bookmarkStart w:id="1095" w:name="_Toc337632353"/>
      <w:bookmarkStart w:id="1096" w:name="_Toc374454595"/>
      <w:bookmarkStart w:id="1097" w:name="_Toc339441082"/>
      <w:bookmarkStart w:id="1098" w:name="_Toc332206703"/>
      <w:bookmarkStart w:id="1099" w:name="_Toc339020228"/>
      <w:bookmarkStart w:id="1100" w:name="_Toc5206"/>
      <w:bookmarkStart w:id="1101" w:name="_Toc350756445"/>
      <w:bookmarkStart w:id="1102" w:name="_Toc332270341"/>
      <w:bookmarkStart w:id="1103" w:name="_Toc365967068"/>
      <w:bookmarkStart w:id="1104" w:name="_Toc366072523"/>
      <w:bookmarkStart w:id="1105" w:name="_Toc339020090"/>
      <w:bookmarkStart w:id="1106" w:name="_Toc331684033"/>
      <w:bookmarkStart w:id="1107" w:name="_Toc340677065"/>
      <w:bookmarkStart w:id="1108" w:name="_Toc331512893"/>
      <w:bookmarkStart w:id="1109" w:name="_Toc333237672"/>
      <w:bookmarkStart w:id="1110" w:name="_Toc349127621"/>
      <w:bookmarkStart w:id="1111" w:name="_Toc497224222"/>
      <w:bookmarkStart w:id="1112" w:name="_Toc333935682"/>
      <w:bookmarkStart w:id="1113" w:name="_Toc503785424"/>
      <w:bookmarkStart w:id="1114" w:name="_Toc345513862"/>
      <w:bookmarkStart w:id="1115" w:name="_Toc336681930"/>
      <w:bookmarkStart w:id="1116" w:name="_Toc349143584"/>
      <w:bookmarkStart w:id="1117" w:name="_Toc340672864"/>
      <w:bookmarkStart w:id="1118" w:name="_Toc330459980"/>
      <w:bookmarkStart w:id="1119" w:name="_Toc339020010"/>
      <w:bookmarkStart w:id="1120" w:name="_Toc340507437"/>
      <w:bookmarkStart w:id="1121" w:name="_Toc339019884"/>
      <w:r>
        <w:rPr>
          <w:rFonts w:hint="eastAsia"/>
          <w:color w:val="auto"/>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auto"/>
          <w:highlight w:val="none"/>
        </w:rPr>
        <w:t xml:space="preserve"> </w:t>
      </w:r>
    </w:p>
    <w:p>
      <w:pPr>
        <w:pStyle w:val="5"/>
        <w:pageBreakBefore w:val="0"/>
        <w:kinsoku/>
        <w:wordWrap/>
        <w:overflowPunct/>
        <w:topLinePunct w:val="0"/>
        <w:bidi w:val="0"/>
        <w:spacing w:line="400" w:lineRule="exact"/>
        <w:rPr>
          <w:color w:val="auto"/>
          <w:highlight w:val="none"/>
        </w:rPr>
      </w:pPr>
      <w:r>
        <w:rPr>
          <w:color w:val="auto"/>
          <w:highlight w:val="none"/>
        </w:rPr>
        <w:t xml:space="preserve">  </w:t>
      </w:r>
      <w:r>
        <w:rPr>
          <w:rFonts w:hint="eastAsia" w:ascii="黑体" w:eastAsia="黑体"/>
          <w:bCs/>
          <w:color w:val="auto"/>
          <w:kern w:val="2"/>
          <w:sz w:val="21"/>
          <w:szCs w:val="24"/>
          <w:highlight w:val="none"/>
        </w:rPr>
        <w:t>详见第三部份《投标人须知〈投标人须知前附表〉》。</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auto"/>
          <w:highlight w:val="none"/>
        </w:rPr>
      </w:pPr>
      <w:bookmarkStart w:id="1122" w:name="_Toc333237673"/>
      <w:bookmarkStart w:id="1123" w:name="_Toc340507438"/>
      <w:bookmarkStart w:id="1124" w:name="_Toc339020229"/>
      <w:bookmarkStart w:id="1125" w:name="_Toc339020091"/>
      <w:bookmarkStart w:id="1126" w:name="_Toc342296756"/>
      <w:bookmarkStart w:id="1127" w:name="_Toc349127622"/>
      <w:bookmarkStart w:id="1128" w:name="_Toc497224223"/>
      <w:bookmarkStart w:id="1129" w:name="_Toc333238629"/>
      <w:bookmarkStart w:id="1130" w:name="_Toc366072524"/>
      <w:bookmarkStart w:id="1131" w:name="_Toc340672865"/>
      <w:bookmarkStart w:id="1132" w:name="_Toc332270342"/>
      <w:bookmarkStart w:id="1133" w:name="_Toc336681931"/>
      <w:bookmarkStart w:id="1134" w:name="_Toc339362296"/>
      <w:bookmarkStart w:id="1135" w:name="_Toc340677066"/>
      <w:bookmarkStart w:id="1136" w:name="_Toc28528"/>
      <w:bookmarkStart w:id="1137" w:name="_Toc333237784"/>
      <w:bookmarkStart w:id="1138" w:name="_Toc374454596"/>
      <w:bookmarkStart w:id="1139" w:name="_Toc503785425"/>
      <w:bookmarkStart w:id="1140" w:name="_Toc341348334"/>
      <w:bookmarkStart w:id="1141" w:name="_Toc365967069"/>
      <w:bookmarkStart w:id="1142" w:name="_Toc349143585"/>
      <w:bookmarkStart w:id="1143" w:name="_Toc365985175"/>
      <w:bookmarkStart w:id="1144" w:name="_Toc350756446"/>
      <w:bookmarkStart w:id="1145" w:name="_Toc336681576"/>
      <w:bookmarkStart w:id="1146" w:name="_Toc331512894"/>
      <w:bookmarkStart w:id="1147" w:name="_Toc333935342"/>
      <w:bookmarkStart w:id="1148" w:name="_Toc333935683"/>
      <w:bookmarkStart w:id="1149" w:name="_Toc337632354"/>
      <w:bookmarkStart w:id="1150" w:name="_Toc339019885"/>
      <w:bookmarkStart w:id="1151" w:name="_Toc342060370"/>
      <w:bookmarkStart w:id="1152" w:name="_Toc330459981"/>
      <w:bookmarkStart w:id="1153" w:name="_Toc332206704"/>
      <w:bookmarkStart w:id="1154" w:name="_Toc345513863"/>
      <w:bookmarkStart w:id="1155" w:name="_Toc331684034"/>
      <w:bookmarkStart w:id="1156" w:name="_Toc339441083"/>
      <w:bookmarkStart w:id="1157" w:name="_Toc350438745"/>
      <w:bookmarkStart w:id="1158" w:name="_Toc339020011"/>
      <w:r>
        <w:rPr>
          <w:rFonts w:hint="eastAsia"/>
          <w:color w:val="auto"/>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.1</w:t>
      </w:r>
      <w:r>
        <w:rPr>
          <w:rFonts w:hint="eastAsia" w:ascii="宋体"/>
          <w:bCs/>
          <w:color w:val="auto"/>
          <w:highlight w:val="none"/>
        </w:rPr>
        <w:tab/>
      </w:r>
      <w:r>
        <w:rPr>
          <w:rFonts w:hint="eastAsia" w:ascii="宋体"/>
          <w:bCs/>
          <w:color w:val="auto"/>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auto"/>
          <w:highlight w:val="none"/>
        </w:rPr>
      </w:pPr>
      <w:r>
        <w:rPr>
          <w:rFonts w:hint="eastAsia" w:ascii="宋体"/>
          <w:bCs/>
          <w:color w:val="auto"/>
          <w:highlight w:val="none"/>
        </w:rPr>
        <w:t xml:space="preserve">23.2  </w:t>
      </w:r>
      <w:r>
        <w:rPr>
          <w:rFonts w:ascii="宋体"/>
          <w:bCs/>
          <w:color w:val="auto"/>
          <w:highlight w:val="none"/>
        </w:rPr>
        <w:t xml:space="preserve"> </w:t>
      </w:r>
      <w:r>
        <w:rPr>
          <w:rFonts w:hint="eastAsia" w:ascii="宋体" w:hAnsi="宋体"/>
          <w:color w:val="auto"/>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3</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auto"/>
          <w:highlight w:val="none"/>
          <w:lang w:val="en-US" w:eastAsia="zh-CN"/>
        </w:rPr>
        <w:t>是</w:t>
      </w:r>
      <w:r>
        <w:rPr>
          <w:rFonts w:hint="eastAsia" w:ascii="宋体"/>
          <w:bCs/>
          <w:color w:val="auto"/>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5</w:t>
      </w:r>
      <w:r>
        <w:rPr>
          <w:rFonts w:hint="eastAsia" w:ascii="宋体"/>
          <w:bCs/>
          <w:color w:val="auto"/>
          <w:highlight w:val="none"/>
        </w:rPr>
        <w:tab/>
      </w:r>
      <w:r>
        <w:rPr>
          <w:rFonts w:hint="eastAsia" w:ascii="宋体" w:hAnsi="宋体"/>
          <w:bCs/>
          <w:color w:val="auto"/>
          <w:highlight w:val="none"/>
        </w:rPr>
        <w:t>如果发现下列情况之一的，其投标将被拒绝而作无效投标处理：</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资格审查结果为不合格的；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投标人未提交投标保证金或投标保证金金额不足或无效的；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投标函</w:t>
      </w:r>
      <w:r>
        <w:rPr>
          <w:rFonts w:ascii="宋体" w:hAnsi="宋体"/>
          <w:bCs/>
          <w:color w:val="auto"/>
          <w:highlight w:val="none"/>
        </w:rPr>
        <w:t>未加盖</w:t>
      </w:r>
      <w:r>
        <w:rPr>
          <w:rFonts w:hint="eastAsia" w:ascii="宋体" w:hAnsi="宋体"/>
          <w:bCs/>
          <w:color w:val="auto"/>
          <w:highlight w:val="none"/>
        </w:rPr>
        <w:t>投标人</w:t>
      </w:r>
      <w:r>
        <w:rPr>
          <w:rFonts w:ascii="宋体" w:hAnsi="宋体"/>
          <w:bCs/>
          <w:color w:val="auto"/>
          <w:highlight w:val="none"/>
        </w:rPr>
        <w:t>公章</w:t>
      </w:r>
      <w:r>
        <w:rPr>
          <w:rFonts w:hint="eastAsia" w:ascii="宋体" w:hAnsi="宋体"/>
          <w:bCs/>
          <w:color w:val="auto"/>
          <w:highlight w:val="none"/>
        </w:rPr>
        <w:t>或</w:t>
      </w:r>
      <w:r>
        <w:rPr>
          <w:rFonts w:ascii="宋体" w:hAnsi="宋体"/>
          <w:bCs/>
          <w:color w:val="auto"/>
          <w:highlight w:val="none"/>
        </w:rPr>
        <w:t>未有法定代表人（负责人）或者被授权人签名的；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未按招标文件规定格式填写或者字迹模糊不清的；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投标报价超出最高投标报价（预算价）上限的；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auto"/>
          <w:highlight w:val="none"/>
        </w:rPr>
      </w:pPr>
      <w:r>
        <w:rPr>
          <w:rFonts w:hint="eastAsia" w:ascii="宋体" w:hAnsi="宋体"/>
          <w:bCs/>
          <w:color w:val="auto"/>
          <w:highlight w:val="none"/>
        </w:rPr>
        <w:t xml:space="preserve">投标文件载明的招标项目完工期（服务期）超过招标文件规定的期限，或服务期不满足招标文件规定要求的； </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投标有效期不足的；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投标文件附有采购人或代理采购机构不能接受的条件的；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招标文件规定的其他实质性要求的；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auto"/>
          <w:highlight w:val="none"/>
        </w:rPr>
      </w:pPr>
      <w:r>
        <w:rPr>
          <w:rFonts w:hint="eastAsia" w:ascii="宋体" w:hAnsi="宋体"/>
          <w:color w:val="auto"/>
          <w:highlight w:val="none"/>
        </w:rPr>
        <w:t>法律、法规规定的其他废标条款。</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auto"/>
          <w:highlight w:val="none"/>
        </w:rPr>
      </w:pPr>
      <w:bookmarkStart w:id="1159" w:name="_Toc340507439"/>
      <w:bookmarkStart w:id="1160" w:name="_Toc341348335"/>
      <w:bookmarkStart w:id="1161" w:name="_Toc350438746"/>
      <w:bookmarkStart w:id="1162" w:name="_Toc339020230"/>
      <w:bookmarkStart w:id="1163" w:name="_Toc340677067"/>
      <w:bookmarkStart w:id="1164" w:name="_Toc332206705"/>
      <w:bookmarkStart w:id="1165" w:name="_Toc350756447"/>
      <w:bookmarkStart w:id="1166" w:name="_Toc331684035"/>
      <w:bookmarkStart w:id="1167" w:name="_Toc339020092"/>
      <w:bookmarkStart w:id="1168" w:name="_Toc178"/>
      <w:bookmarkStart w:id="1169" w:name="_Toc333935684"/>
      <w:bookmarkStart w:id="1170" w:name="_Toc332270343"/>
      <w:bookmarkStart w:id="1171" w:name="_Toc342296757"/>
      <w:bookmarkStart w:id="1172" w:name="_Toc340672866"/>
      <w:bookmarkStart w:id="1173" w:name="_Toc336681577"/>
      <w:bookmarkStart w:id="1174" w:name="_Toc374454597"/>
      <w:bookmarkStart w:id="1175" w:name="_Toc349143586"/>
      <w:bookmarkStart w:id="1176" w:name="_Toc339020012"/>
      <w:bookmarkStart w:id="1177" w:name="_Toc337632355"/>
      <w:bookmarkStart w:id="1178" w:name="_Toc333935343"/>
      <w:bookmarkStart w:id="1179" w:name="_Toc331512895"/>
      <w:bookmarkStart w:id="1180" w:name="_Toc333238630"/>
      <w:bookmarkStart w:id="1181" w:name="_Toc339019886"/>
      <w:bookmarkStart w:id="1182" w:name="_Toc342060371"/>
      <w:bookmarkStart w:id="1183" w:name="_Toc333237674"/>
      <w:bookmarkStart w:id="1184" w:name="_Toc339362297"/>
      <w:bookmarkStart w:id="1185" w:name="_Toc339441084"/>
      <w:bookmarkStart w:id="1186" w:name="_Toc366072525"/>
      <w:bookmarkStart w:id="1187" w:name="_Toc365967070"/>
      <w:bookmarkStart w:id="1188" w:name="_Toc345513864"/>
      <w:bookmarkStart w:id="1189" w:name="_Toc336681932"/>
      <w:bookmarkStart w:id="1190" w:name="_Toc365985176"/>
      <w:bookmarkStart w:id="1191" w:name="_Toc349127623"/>
      <w:bookmarkStart w:id="1192" w:name="_Toc330459982"/>
      <w:bookmarkStart w:id="1193" w:name="_Toc333237785"/>
      <w:r>
        <w:rPr>
          <w:rFonts w:hint="eastAsia"/>
          <w:color w:val="auto"/>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auto"/>
          <w:highlight w:val="none"/>
        </w:rPr>
      </w:pPr>
      <w:r>
        <w:rPr>
          <w:rFonts w:hint="eastAsia" w:ascii="宋体" w:hAnsi="宋体"/>
          <w:bCs/>
          <w:color w:val="auto"/>
          <w:highlight w:val="none"/>
        </w:rPr>
        <w:t>24.1</w:t>
      </w:r>
      <w:r>
        <w:rPr>
          <w:rFonts w:hint="eastAsia" w:ascii="宋体" w:hAnsi="宋体"/>
          <w:bCs/>
          <w:color w:val="auto"/>
          <w:highlight w:val="none"/>
        </w:rPr>
        <w:tab/>
      </w:r>
      <w:r>
        <w:rPr>
          <w:rFonts w:hint="eastAsia" w:ascii="宋体" w:hAnsi="宋体"/>
          <w:bCs/>
          <w:color w:val="auto"/>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auto"/>
          <w:highlight w:val="none"/>
        </w:rPr>
      </w:pPr>
      <w:r>
        <w:rPr>
          <w:rFonts w:hint="eastAsia" w:ascii="宋体" w:hAnsi="宋体"/>
          <w:bCs/>
          <w:color w:val="auto"/>
          <w:highlight w:val="none"/>
        </w:rPr>
        <w:t xml:space="preserve">24.2   </w:t>
      </w:r>
      <w:r>
        <w:rPr>
          <w:rFonts w:ascii="宋体" w:hAnsi="宋体"/>
          <w:bCs/>
          <w:color w:val="auto"/>
          <w:highlight w:val="none"/>
        </w:rPr>
        <w:t>（1）</w:t>
      </w:r>
      <w:r>
        <w:rPr>
          <w:rFonts w:hint="eastAsia" w:ascii="宋体" w:hAnsi="宋体"/>
          <w:bCs/>
          <w:color w:val="auto"/>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auto"/>
          <w:highlight w:val="none"/>
        </w:rPr>
      </w:pPr>
      <w:r>
        <w:rPr>
          <w:rFonts w:ascii="宋体" w:hAnsi="宋体"/>
          <w:bCs/>
          <w:color w:val="auto"/>
          <w:highlight w:val="none"/>
        </w:rPr>
        <w:t>（4）</w:t>
      </w:r>
      <w:r>
        <w:rPr>
          <w:rFonts w:hint="eastAsia" w:ascii="宋体" w:hAnsi="宋体"/>
          <w:bCs/>
          <w:color w:val="auto"/>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auto"/>
          <w:highlight w:val="none"/>
        </w:rPr>
      </w:pPr>
      <w:bookmarkStart w:id="1194" w:name="_Toc345513865"/>
      <w:bookmarkStart w:id="1195" w:name="_Toc336681933"/>
      <w:bookmarkStart w:id="1196" w:name="_Toc497224224"/>
      <w:bookmarkStart w:id="1197" w:name="_Toc339020013"/>
      <w:bookmarkStart w:id="1198" w:name="_Toc340507440"/>
      <w:bookmarkStart w:id="1199" w:name="_Toc342296758"/>
      <w:bookmarkStart w:id="1200" w:name="_Toc503785426"/>
      <w:bookmarkStart w:id="1201" w:name="_Toc331684036"/>
      <w:bookmarkStart w:id="1202" w:name="_Toc374454598"/>
      <w:bookmarkStart w:id="1203" w:name="_Toc333935685"/>
      <w:bookmarkStart w:id="1204" w:name="_Toc339020231"/>
      <w:bookmarkStart w:id="1205" w:name="_Toc330459983"/>
      <w:bookmarkStart w:id="1206" w:name="_Toc339019887"/>
      <w:bookmarkStart w:id="1207" w:name="_Toc341348336"/>
      <w:bookmarkStart w:id="1208" w:name="_Toc342060372"/>
      <w:bookmarkStart w:id="1209" w:name="_Toc339441085"/>
      <w:bookmarkStart w:id="1210" w:name="_Toc339362298"/>
      <w:bookmarkStart w:id="1211" w:name="_Toc333935344"/>
      <w:bookmarkStart w:id="1212" w:name="_Toc340677068"/>
      <w:bookmarkStart w:id="1213" w:name="_Toc332206706"/>
      <w:bookmarkStart w:id="1214" w:name="_Toc365985177"/>
      <w:bookmarkStart w:id="1215" w:name="_Toc14890"/>
      <w:bookmarkStart w:id="1216" w:name="_Toc332270344"/>
      <w:bookmarkStart w:id="1217" w:name="_Toc349143587"/>
      <w:bookmarkStart w:id="1218" w:name="_Toc339020093"/>
      <w:bookmarkStart w:id="1219" w:name="_Toc350438747"/>
      <w:bookmarkStart w:id="1220" w:name="_Toc350756448"/>
      <w:bookmarkStart w:id="1221" w:name="_Toc331512896"/>
      <w:bookmarkStart w:id="1222" w:name="_Toc333237786"/>
      <w:bookmarkStart w:id="1223" w:name="_Toc337632356"/>
      <w:bookmarkStart w:id="1224" w:name="_Toc336681578"/>
      <w:bookmarkStart w:id="1225" w:name="_Toc333237675"/>
      <w:bookmarkStart w:id="1226" w:name="_Toc333238631"/>
      <w:bookmarkStart w:id="1227" w:name="_Toc366072526"/>
      <w:bookmarkStart w:id="1228" w:name="_Toc349127624"/>
      <w:bookmarkStart w:id="1229" w:name="_Toc340672867"/>
      <w:bookmarkStart w:id="1230" w:name="_Toc365967071"/>
      <w:r>
        <w:rPr>
          <w:rFonts w:hint="eastAsia"/>
          <w:color w:val="auto"/>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auto"/>
          <w:highlight w:val="none"/>
        </w:rPr>
      </w:pPr>
      <w:r>
        <w:rPr>
          <w:rFonts w:ascii="宋体"/>
          <w:color w:val="auto"/>
          <w:highlight w:val="none"/>
        </w:rPr>
        <w:t>2</w:t>
      </w:r>
      <w:r>
        <w:rPr>
          <w:rFonts w:hint="eastAsia" w:ascii="宋体"/>
          <w:color w:val="auto"/>
          <w:highlight w:val="none"/>
        </w:rPr>
        <w:t>5</w:t>
      </w:r>
      <w:r>
        <w:rPr>
          <w:rFonts w:ascii="宋体"/>
          <w:color w:val="auto"/>
          <w:highlight w:val="none"/>
        </w:rPr>
        <w:t>.2</w:t>
      </w:r>
      <w:r>
        <w:rPr>
          <w:rFonts w:hint="eastAsia" w:ascii="宋体"/>
          <w:color w:val="auto"/>
          <w:highlight w:val="none"/>
        </w:rPr>
        <w:tab/>
      </w:r>
      <w:r>
        <w:rPr>
          <w:rFonts w:hint="eastAsia" w:ascii="宋体"/>
          <w:color w:val="auto"/>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auto"/>
          <w:highlight w:val="none"/>
        </w:rPr>
      </w:pPr>
      <w:r>
        <w:rPr>
          <w:rFonts w:hint="eastAsia" w:ascii="宋体" w:hAnsi="宋体"/>
          <w:color w:val="auto"/>
          <w:highlight w:val="none"/>
        </w:rPr>
        <w:t>25.3</w:t>
      </w:r>
      <w:r>
        <w:rPr>
          <w:rFonts w:hint="eastAsia"/>
          <w:color w:val="auto"/>
          <w:highlight w:val="none"/>
        </w:rPr>
        <w:tab/>
      </w:r>
      <w:r>
        <w:rPr>
          <w:rFonts w:hint="eastAsia" w:cs="Arial Unicode MS"/>
          <w:color w:val="auto"/>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auto"/>
          <w:highlight w:val="none"/>
        </w:rPr>
      </w:pPr>
      <w:bookmarkStart w:id="1231" w:name="_Toc332206707"/>
      <w:bookmarkStart w:id="1232" w:name="_Toc342060373"/>
      <w:bookmarkStart w:id="1233" w:name="_Toc342296759"/>
      <w:bookmarkStart w:id="1234" w:name="_Toc333238632"/>
      <w:bookmarkStart w:id="1235" w:name="_Toc339019888"/>
      <w:bookmarkStart w:id="1236" w:name="_Toc340672868"/>
      <w:bookmarkStart w:id="1237" w:name="_Toc340507441"/>
      <w:bookmarkStart w:id="1238" w:name="_Toc331684037"/>
      <w:bookmarkStart w:id="1239" w:name="_Toc340677069"/>
      <w:bookmarkStart w:id="1240" w:name="_Toc332270345"/>
      <w:bookmarkStart w:id="1241" w:name="_Toc374454599"/>
      <w:bookmarkStart w:id="1242" w:name="_Toc339020232"/>
      <w:bookmarkStart w:id="1243" w:name="_Toc366072527"/>
      <w:bookmarkStart w:id="1244" w:name="_Toc350756449"/>
      <w:bookmarkStart w:id="1245" w:name="_Toc333237676"/>
      <w:bookmarkStart w:id="1246" w:name="_Toc339020014"/>
      <w:bookmarkStart w:id="1247" w:name="_Toc336681934"/>
      <w:bookmarkStart w:id="1248" w:name="_Toc336681579"/>
      <w:bookmarkStart w:id="1249" w:name="_Toc333935345"/>
      <w:bookmarkStart w:id="1250" w:name="_Toc339362299"/>
      <w:bookmarkStart w:id="1251" w:name="_Toc331512897"/>
      <w:bookmarkStart w:id="1252" w:name="_Toc349127625"/>
      <w:bookmarkStart w:id="1253" w:name="_Toc341348337"/>
      <w:bookmarkStart w:id="1254" w:name="_Toc350438748"/>
      <w:bookmarkStart w:id="1255" w:name="_Toc345513866"/>
      <w:bookmarkStart w:id="1256" w:name="_Toc339020094"/>
      <w:bookmarkStart w:id="1257" w:name="_Toc333935686"/>
      <w:bookmarkStart w:id="1258" w:name="_Toc365967072"/>
      <w:bookmarkStart w:id="1259" w:name="_Toc337632357"/>
      <w:bookmarkStart w:id="1260" w:name="_Toc330459984"/>
      <w:bookmarkStart w:id="1261" w:name="_Toc349143588"/>
      <w:bookmarkStart w:id="1262" w:name="_Toc333237787"/>
      <w:bookmarkStart w:id="1263" w:name="_Toc365985178"/>
      <w:bookmarkStart w:id="1264" w:name="_Toc339441086"/>
      <w:bookmarkStart w:id="1265" w:name="_Toc1847"/>
      <w:r>
        <w:rPr>
          <w:rFonts w:hint="eastAsia"/>
          <w:color w:val="auto"/>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26.2</w:t>
      </w:r>
      <w:r>
        <w:rPr>
          <w:rFonts w:hint="eastAsia" w:ascii="宋体"/>
          <w:bCs/>
          <w:color w:val="auto"/>
          <w:highlight w:val="none"/>
        </w:rPr>
        <w:tab/>
      </w:r>
      <w:r>
        <w:rPr>
          <w:rFonts w:hint="eastAsia" w:ascii="宋体"/>
          <w:bCs/>
          <w:color w:val="auto"/>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auto"/>
          <w:highlight w:val="none"/>
        </w:rPr>
      </w:pPr>
      <w:r>
        <w:rPr>
          <w:rFonts w:hint="eastAsia" w:ascii="宋体"/>
          <w:bCs/>
          <w:color w:val="auto"/>
          <w:highlight w:val="none"/>
        </w:rPr>
        <w:t>26.3</w:t>
      </w:r>
      <w:r>
        <w:rPr>
          <w:rFonts w:hint="eastAsia" w:ascii="宋体"/>
          <w:bCs/>
          <w:color w:val="auto"/>
          <w:highlight w:val="none"/>
        </w:rPr>
        <w:tab/>
      </w:r>
      <w:r>
        <w:rPr>
          <w:rFonts w:hint="eastAsia" w:ascii="宋体"/>
          <w:bCs/>
          <w:color w:val="auto"/>
          <w:highlight w:val="none"/>
        </w:rPr>
        <w:t>实行科学评估、集体决策。</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auto"/>
          <w:highlight w:val="none"/>
        </w:rPr>
      </w:pPr>
      <w:bookmarkStart w:id="1266" w:name="_Toc350438749"/>
      <w:bookmarkStart w:id="1267" w:name="_Toc341348338"/>
      <w:bookmarkStart w:id="1268" w:name="_Toc339362300"/>
      <w:bookmarkStart w:id="1269" w:name="_Toc336681935"/>
      <w:bookmarkStart w:id="1270" w:name="_Toc337632358"/>
      <w:bookmarkStart w:id="1271" w:name="_Toc349127626"/>
      <w:bookmarkStart w:id="1272" w:name="_Toc340507442"/>
      <w:bookmarkStart w:id="1273" w:name="_Toc332270346"/>
      <w:bookmarkStart w:id="1274" w:name="_Toc350756450"/>
      <w:bookmarkStart w:id="1275" w:name="_Toc345513867"/>
      <w:bookmarkStart w:id="1276" w:name="_Toc342296760"/>
      <w:bookmarkStart w:id="1277" w:name="_Toc339020233"/>
      <w:bookmarkStart w:id="1278" w:name="_Toc333935687"/>
      <w:bookmarkStart w:id="1279" w:name="_Toc339019889"/>
      <w:bookmarkStart w:id="1280" w:name="_Toc332206708"/>
      <w:bookmarkStart w:id="1281" w:name="_Toc339441087"/>
      <w:bookmarkStart w:id="1282" w:name="_Toc340672869"/>
      <w:bookmarkStart w:id="1283" w:name="_Toc349143589"/>
      <w:bookmarkStart w:id="1284" w:name="_Toc366072528"/>
      <w:bookmarkStart w:id="1285" w:name="_Toc336681580"/>
      <w:bookmarkStart w:id="1286" w:name="_Toc339020015"/>
      <w:bookmarkStart w:id="1287" w:name="_Toc333935346"/>
      <w:bookmarkStart w:id="1288" w:name="_Toc365985179"/>
      <w:bookmarkStart w:id="1289" w:name="_Toc340677070"/>
      <w:bookmarkStart w:id="1290" w:name="_Toc12323"/>
      <w:bookmarkStart w:id="1291" w:name="_Toc333237677"/>
      <w:bookmarkStart w:id="1292" w:name="_Toc331512898"/>
      <w:bookmarkStart w:id="1293" w:name="_Toc339020095"/>
      <w:bookmarkStart w:id="1294" w:name="_Toc333237788"/>
      <w:bookmarkStart w:id="1295" w:name="_Toc365967073"/>
      <w:bookmarkStart w:id="1296" w:name="_Toc331684038"/>
      <w:bookmarkStart w:id="1297" w:name="_Toc330459985"/>
      <w:bookmarkStart w:id="1298" w:name="_Toc342060374"/>
      <w:bookmarkStart w:id="1299" w:name="_Toc374454600"/>
      <w:bookmarkStart w:id="1300" w:name="_Toc333238633"/>
      <w:r>
        <w:rPr>
          <w:rFonts w:hint="eastAsia"/>
          <w:color w:val="auto"/>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auto"/>
          <w:highlight w:val="none"/>
        </w:rPr>
      </w:pPr>
      <w:r>
        <w:rPr>
          <w:rFonts w:hint="eastAsia" w:hAnsi="宋体"/>
          <w:bCs/>
          <w:color w:val="auto"/>
          <w:highlight w:val="none"/>
        </w:rPr>
        <w:t>27.1</w:t>
      </w:r>
      <w:r>
        <w:rPr>
          <w:rFonts w:hint="eastAsia" w:hAnsi="宋体"/>
          <w:bCs/>
          <w:color w:val="auto"/>
          <w:highlight w:val="none"/>
        </w:rPr>
        <w:tab/>
      </w:r>
      <w:r>
        <w:rPr>
          <w:rFonts w:hint="eastAsia" w:hAnsi="宋体"/>
          <w:bCs/>
          <w:color w:val="auto"/>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auto"/>
          <w:highlight w:val="none"/>
        </w:rPr>
      </w:pPr>
      <w:r>
        <w:rPr>
          <w:rFonts w:hint="eastAsia" w:hAnsi="宋体"/>
          <w:bCs/>
          <w:color w:val="auto"/>
          <w:highlight w:val="none"/>
        </w:rPr>
        <w:t>27</w:t>
      </w:r>
      <w:r>
        <w:rPr>
          <w:rFonts w:hAnsi="宋体"/>
          <w:bCs/>
          <w:color w:val="auto"/>
          <w:highlight w:val="none"/>
        </w:rPr>
        <w:t>.2</w:t>
      </w:r>
      <w:r>
        <w:rPr>
          <w:rFonts w:hint="eastAsia" w:hAnsi="宋体"/>
          <w:bCs/>
          <w:color w:val="auto"/>
          <w:highlight w:val="none"/>
        </w:rPr>
        <w:tab/>
      </w:r>
      <w:bookmarkStart w:id="1301" w:name="_Toc497707712"/>
      <w:bookmarkStart w:id="1302" w:name="_Toc500953375"/>
      <w:bookmarkStart w:id="1303" w:name="_Toc500861023"/>
      <w:r>
        <w:rPr>
          <w:rFonts w:hint="eastAsia" w:hAnsi="宋体"/>
          <w:bCs/>
          <w:color w:val="auto"/>
          <w:highlight w:val="none"/>
        </w:rPr>
        <w:t>采用计分法（综合评价法）来确定各投标人的排名。其操作程序为：</w:t>
      </w:r>
      <w:r>
        <w:rPr>
          <w:rFonts w:hint="eastAsia" w:hAnsi="宋体"/>
          <w:b/>
          <w:color w:val="auto"/>
          <w:highlight w:val="none"/>
        </w:rPr>
        <w:t>详见H评标细则。</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04" w:name="_Toc20440"/>
      <w:bookmarkStart w:id="1305" w:name="_Toc327367761"/>
      <w:bookmarkStart w:id="1306" w:name="_Toc327368025"/>
      <w:bookmarkStart w:id="1307" w:name="_Toc366072529"/>
      <w:bookmarkStart w:id="1308" w:name="_Toc339019890"/>
      <w:bookmarkStart w:id="1309" w:name="_Toc339020016"/>
      <w:bookmarkStart w:id="1310" w:name="_Toc340672870"/>
      <w:bookmarkStart w:id="1311" w:name="_Toc331512899"/>
      <w:bookmarkStart w:id="1312" w:name="_Toc341348339"/>
      <w:bookmarkStart w:id="1313" w:name="_Toc339020234"/>
      <w:bookmarkStart w:id="1314" w:name="_Toc345513902"/>
      <w:bookmarkStart w:id="1315" w:name="_Toc336681936"/>
      <w:bookmarkStart w:id="1316" w:name="_Toc333935347"/>
      <w:bookmarkStart w:id="1317" w:name="_Toc336681581"/>
      <w:bookmarkStart w:id="1318" w:name="_Toc342060375"/>
      <w:bookmarkStart w:id="1319" w:name="_Toc333238634"/>
      <w:bookmarkStart w:id="1320" w:name="_Toc333237678"/>
      <w:bookmarkStart w:id="1321" w:name="_Toc339362301"/>
      <w:bookmarkStart w:id="1322" w:name="_Toc340507443"/>
      <w:bookmarkStart w:id="1323" w:name="_Toc333935688"/>
      <w:bookmarkStart w:id="1324" w:name="_Toc330459986"/>
      <w:bookmarkStart w:id="1325" w:name="_Toc340677071"/>
      <w:bookmarkStart w:id="1326" w:name="_Toc332270347"/>
      <w:bookmarkStart w:id="1327" w:name="_Toc331684039"/>
      <w:bookmarkStart w:id="1328" w:name="_Toc332206709"/>
      <w:bookmarkStart w:id="1329" w:name="_Toc339441088"/>
      <w:bookmarkStart w:id="1330" w:name="_Toc339020096"/>
      <w:bookmarkStart w:id="1331" w:name="_Toc342296761"/>
      <w:bookmarkStart w:id="1332" w:name="_Toc333237789"/>
      <w:bookmarkStart w:id="1333" w:name="_Toc337632359"/>
      <w:r>
        <w:rPr>
          <w:rFonts w:hint="eastAsia"/>
          <w:color w:val="auto"/>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bookmarkStart w:id="1334" w:name="_Toc6397151"/>
      <w:bookmarkStart w:id="1335" w:name="_Toc26066260"/>
      <w:bookmarkStart w:id="1336" w:name="_Toc491658680"/>
      <w:bookmarkStart w:id="1337" w:name="_Toc500861027"/>
      <w:bookmarkStart w:id="1338" w:name="_Toc6727972"/>
      <w:r>
        <w:rPr>
          <w:rFonts w:hint="eastAsia" w:ascii="宋体" w:hAnsi="宋体"/>
          <w:bCs/>
          <w:color w:val="auto"/>
          <w:highlight w:val="none"/>
        </w:rPr>
        <w:t>28.1</w:t>
      </w:r>
      <w:r>
        <w:rPr>
          <w:rFonts w:hint="eastAsia" w:ascii="宋体" w:hAnsi="宋体"/>
          <w:bCs/>
          <w:color w:val="auto"/>
          <w:highlight w:val="none"/>
        </w:rPr>
        <w:tab/>
      </w:r>
      <w:r>
        <w:rPr>
          <w:rFonts w:hint="eastAsia" w:ascii="宋体" w:hAnsi="宋体"/>
          <w:bCs/>
          <w:color w:val="auto"/>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28.2</w:t>
      </w:r>
      <w:r>
        <w:rPr>
          <w:rFonts w:hint="eastAsia" w:ascii="宋体" w:hAnsi="宋体"/>
          <w:bCs/>
          <w:color w:val="auto"/>
          <w:highlight w:val="none"/>
        </w:rPr>
        <w:tab/>
      </w:r>
      <w:r>
        <w:rPr>
          <w:rFonts w:hint="eastAsia" w:ascii="宋体" w:hAnsi="宋体"/>
          <w:bCs/>
          <w:color w:val="auto"/>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28.3</w:t>
      </w:r>
      <w:r>
        <w:rPr>
          <w:rFonts w:hint="eastAsia" w:ascii="宋体" w:hAnsi="宋体"/>
          <w:bCs/>
          <w:color w:val="auto"/>
          <w:highlight w:val="none"/>
        </w:rPr>
        <w:tab/>
      </w:r>
      <w:r>
        <w:rPr>
          <w:rFonts w:hint="eastAsia" w:ascii="宋体" w:hAnsi="宋体"/>
          <w:bCs/>
          <w:color w:val="auto"/>
          <w:highlight w:val="none"/>
        </w:rPr>
        <w:t>在招标工作结束后，评标委员会成员和参与评标的有关工作人员不得透露与评标有关的情况。</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39" w:name="_Toc331684040"/>
      <w:bookmarkStart w:id="1340" w:name="_Toc333935348"/>
      <w:bookmarkStart w:id="1341" w:name="_Toc339441089"/>
      <w:bookmarkStart w:id="1342" w:name="_Toc374454602"/>
      <w:bookmarkStart w:id="1343" w:name="_Toc339362302"/>
      <w:bookmarkStart w:id="1344" w:name="_Toc350756452"/>
      <w:bookmarkStart w:id="1345" w:name="_Toc342296762"/>
      <w:bookmarkStart w:id="1346" w:name="_Toc339019891"/>
      <w:bookmarkStart w:id="1347" w:name="_Toc333237790"/>
      <w:bookmarkStart w:id="1348" w:name="_Toc332270348"/>
      <w:bookmarkStart w:id="1349" w:name="_Toc340677072"/>
      <w:bookmarkStart w:id="1350" w:name="_Toc340672871"/>
      <w:bookmarkStart w:id="1351" w:name="_Toc336681937"/>
      <w:bookmarkStart w:id="1352" w:name="_Toc332206710"/>
      <w:bookmarkStart w:id="1353" w:name="_Toc349143591"/>
      <w:bookmarkStart w:id="1354" w:name="_Toc365967074"/>
      <w:bookmarkStart w:id="1355" w:name="_Toc339020017"/>
      <w:bookmarkStart w:id="1356" w:name="_Toc333238635"/>
      <w:bookmarkStart w:id="1357" w:name="_Toc339020235"/>
      <w:bookmarkStart w:id="1358" w:name="_Toc333237679"/>
      <w:bookmarkStart w:id="1359" w:name="_Toc366072530"/>
      <w:bookmarkStart w:id="1360" w:name="_Toc342060376"/>
      <w:bookmarkStart w:id="1361" w:name="_Toc345513903"/>
      <w:bookmarkStart w:id="1362" w:name="_Toc333935689"/>
      <w:bookmarkStart w:id="1363" w:name="_Toc349127628"/>
      <w:bookmarkStart w:id="1364" w:name="_Toc323"/>
      <w:bookmarkStart w:id="1365" w:name="_Toc339020097"/>
      <w:bookmarkStart w:id="1366" w:name="_Toc330459987"/>
      <w:bookmarkStart w:id="1367" w:name="_Toc336681582"/>
      <w:bookmarkStart w:id="1368" w:name="_Toc340507444"/>
      <w:bookmarkStart w:id="1369" w:name="_Toc331512900"/>
      <w:bookmarkStart w:id="1370" w:name="_Toc341348340"/>
      <w:bookmarkStart w:id="1371" w:name="_Toc337632360"/>
      <w:bookmarkStart w:id="1372" w:name="_Toc350438751"/>
      <w:bookmarkStart w:id="1373" w:name="_Toc365985180"/>
      <w:r>
        <w:rPr>
          <w:rFonts w:hint="eastAsia"/>
          <w:color w:val="auto"/>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29</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auto"/>
          <w:highlight w:val="none"/>
        </w:rPr>
      </w:pPr>
      <w:r>
        <w:rPr>
          <w:rFonts w:hint="eastAsia" w:ascii="宋体" w:hAnsi="宋体"/>
          <w:bCs/>
          <w:color w:val="auto"/>
          <w:highlight w:val="none"/>
        </w:rPr>
        <w:t>29.2</w:t>
      </w:r>
      <w:r>
        <w:rPr>
          <w:rFonts w:hint="eastAsia" w:ascii="宋体" w:hAnsi="宋体"/>
          <w:bCs/>
          <w:color w:val="auto"/>
          <w:highlight w:val="none"/>
        </w:rPr>
        <w:tab/>
      </w:r>
      <w:r>
        <w:rPr>
          <w:rFonts w:hint="eastAsia" w:ascii="宋体" w:hAnsi="宋体"/>
          <w:bCs/>
          <w:color w:val="auto"/>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74" w:name="_Toc374454603"/>
      <w:bookmarkStart w:id="1375" w:name="_Toc23443"/>
      <w:bookmarkStart w:id="1376" w:name="_Toc366072531"/>
      <w:r>
        <w:rPr>
          <w:rFonts w:hint="eastAsia"/>
          <w:color w:val="auto"/>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bookmarkStart w:id="1377" w:name="_Toc366072532"/>
      <w:r>
        <w:rPr>
          <w:rFonts w:hint="eastAsia" w:ascii="宋体" w:hAnsi="宋体"/>
          <w:color w:val="auto"/>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30.2   中标投标人确认后，中标结果</w:t>
      </w:r>
      <w:bookmarkStart w:id="1378" w:name="_Hlk499218799"/>
      <w:r>
        <w:rPr>
          <w:rFonts w:hint="eastAsia" w:ascii="宋体" w:hAnsi="宋体"/>
          <w:color w:val="auto"/>
          <w:szCs w:val="21"/>
          <w:highlight w:val="none"/>
        </w:rPr>
        <w:t>将于指定媒体上公告</w:t>
      </w:r>
      <w:bookmarkEnd w:id="1378"/>
      <w:r>
        <w:rPr>
          <w:rFonts w:hint="eastAsia" w:ascii="宋体" w:hAnsi="宋体"/>
          <w:color w:val="auto"/>
          <w:szCs w:val="21"/>
          <w:highlight w:val="none"/>
        </w:rPr>
        <w:t>(</w:t>
      </w:r>
      <w:r>
        <w:rPr>
          <w:rFonts w:hint="eastAsia" w:ascii="黑体" w:eastAsia="黑体"/>
          <w:bCs/>
          <w:color w:val="auto"/>
          <w:highlight w:val="none"/>
        </w:rPr>
        <w:t>详见第三部份《投标人须知〈投标人须知前附表〉》</w:t>
      </w:r>
      <w:r>
        <w:rPr>
          <w:rFonts w:hint="eastAsia" w:ascii="宋体" w:hAnsi="宋体"/>
          <w:color w:val="auto"/>
          <w:highlight w:val="none"/>
        </w:rPr>
        <w:t>)</w:t>
      </w:r>
      <w:r>
        <w:rPr>
          <w:rFonts w:hint="eastAsia" w:ascii="宋体" w:hAnsi="宋体"/>
          <w:color w:val="auto"/>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30.4   中标通知书发出后，采购人改变中标结果，或者中标投标人放弃中标，应当承担相应的法律责任。</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auto"/>
          <w:highlight w:val="none"/>
        </w:rPr>
      </w:pPr>
      <w:bookmarkStart w:id="1379" w:name="_Toc374454604"/>
      <w:bookmarkStart w:id="1380" w:name="_Toc24670"/>
      <w:r>
        <w:rPr>
          <w:rFonts w:hint="eastAsia"/>
          <w:color w:val="auto"/>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bookmarkStart w:id="1381" w:name="_Toc340507447"/>
      <w:bookmarkStart w:id="1382" w:name="_Toc333237793"/>
      <w:bookmarkStart w:id="1383" w:name="_Toc345513906"/>
      <w:bookmarkStart w:id="1384" w:name="_Toc349143594"/>
      <w:bookmarkStart w:id="1385" w:name="_Toc337632363"/>
      <w:bookmarkStart w:id="1386" w:name="_Toc332206713"/>
      <w:bookmarkStart w:id="1387" w:name="_Toc330459990"/>
      <w:bookmarkStart w:id="1388" w:name="_Toc333935351"/>
      <w:bookmarkStart w:id="1389" w:name="_Toc339441092"/>
      <w:bookmarkStart w:id="1390" w:name="_Toc333238638"/>
      <w:bookmarkStart w:id="1391" w:name="_Toc339020238"/>
      <w:bookmarkStart w:id="1392" w:name="_Toc336681940"/>
      <w:bookmarkStart w:id="1393" w:name="_Toc331512903"/>
      <w:bookmarkStart w:id="1394" w:name="_Toc339020100"/>
      <w:bookmarkStart w:id="1395" w:name="_Toc342296765"/>
      <w:bookmarkStart w:id="1396" w:name="_Toc331684043"/>
      <w:bookmarkStart w:id="1397" w:name="_Toc365985183"/>
      <w:bookmarkStart w:id="1398" w:name="_Toc333237682"/>
      <w:bookmarkStart w:id="1399" w:name="_Toc340672874"/>
      <w:bookmarkStart w:id="1400" w:name="_Toc341348343"/>
      <w:bookmarkStart w:id="1401" w:name="_Toc333935692"/>
      <w:bookmarkStart w:id="1402" w:name="_Toc365967077"/>
      <w:bookmarkStart w:id="1403" w:name="_Toc350438754"/>
      <w:bookmarkStart w:id="1404" w:name="_Toc339362305"/>
      <w:bookmarkStart w:id="1405" w:name="_Toc342060379"/>
      <w:bookmarkStart w:id="1406" w:name="_Toc332270351"/>
      <w:bookmarkStart w:id="1407" w:name="_Toc340677075"/>
      <w:bookmarkStart w:id="1408" w:name="_Toc350756455"/>
      <w:bookmarkStart w:id="1409" w:name="_Toc339019894"/>
      <w:bookmarkStart w:id="1410" w:name="_Toc349127631"/>
      <w:bookmarkStart w:id="1411" w:name="_Toc336681585"/>
      <w:bookmarkStart w:id="1412" w:name="_Toc339020020"/>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auto"/>
          <w:szCs w:val="21"/>
          <w:highlight w:val="none"/>
        </w:rPr>
      </w:pPr>
      <w:r>
        <w:rPr>
          <w:rFonts w:hint="eastAsia" w:ascii="宋体" w:hAnsi="宋体"/>
          <w:color w:val="auto"/>
          <w:szCs w:val="21"/>
          <w:highlight w:val="none"/>
        </w:rPr>
        <w:t>31.6   质疑函应当署名。质疑投标人为自然人的，应当由本人签字；质疑投标人为法人或其他组织的，应由法定代表人（负责人）或者主要负责人签字并盖公章。</w:t>
      </w:r>
    </w:p>
    <w:p>
      <w:pPr>
        <w:pStyle w:val="4"/>
        <w:pageBreakBefore w:val="0"/>
        <w:numPr>
          <w:ilvl w:val="0"/>
          <w:numId w:val="0"/>
        </w:numPr>
        <w:kinsoku/>
        <w:wordWrap/>
        <w:overflowPunct/>
        <w:topLinePunct w:val="0"/>
        <w:bidi w:val="0"/>
        <w:adjustRightInd w:val="0"/>
        <w:snapToGrid w:val="0"/>
        <w:spacing w:line="420" w:lineRule="exact"/>
        <w:rPr>
          <w:color w:val="auto"/>
          <w:sz w:val="24"/>
          <w:highlight w:val="none"/>
        </w:rPr>
      </w:pPr>
      <w:bookmarkStart w:id="1413" w:name="_Toc374454605"/>
      <w:bookmarkStart w:id="1414" w:name="_Toc366072533"/>
      <w:r>
        <w:rPr>
          <w:color w:val="auto"/>
          <w:sz w:val="24"/>
          <w:highlight w:val="none"/>
        </w:rPr>
        <w:br w:type="page"/>
      </w:r>
      <w:bookmarkStart w:id="1415" w:name="_Toc14455"/>
      <w:r>
        <w:rPr>
          <w:rFonts w:hint="eastAsia"/>
          <w:color w:val="auto"/>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6"/>
        </w:numPr>
        <w:tabs>
          <w:tab w:val="left" w:pos="720"/>
        </w:tabs>
        <w:spacing w:before="240" w:after="120"/>
        <w:ind w:left="2432" w:hanging="2432"/>
        <w:rPr>
          <w:color w:val="auto"/>
          <w:highlight w:val="none"/>
        </w:rPr>
      </w:pPr>
      <w:bookmarkStart w:id="1416" w:name="_Toc366072534"/>
      <w:bookmarkStart w:id="1417" w:name="_Toc337632364"/>
      <w:bookmarkStart w:id="1418" w:name="_Toc336681941"/>
      <w:bookmarkStart w:id="1419" w:name="_Toc339362306"/>
      <w:bookmarkStart w:id="1420" w:name="_Toc339441093"/>
      <w:bookmarkStart w:id="1421" w:name="_Toc330459991"/>
      <w:bookmarkStart w:id="1422" w:name="_Toc350438755"/>
      <w:bookmarkStart w:id="1423" w:name="_Toc333237683"/>
      <w:bookmarkStart w:id="1424" w:name="_Toc467236759"/>
      <w:bookmarkStart w:id="1425" w:name="_Toc333237794"/>
      <w:bookmarkStart w:id="1426" w:name="_Toc333935693"/>
      <w:bookmarkStart w:id="1427" w:name="_Toc339020239"/>
      <w:bookmarkStart w:id="1428" w:name="_Toc479991601"/>
      <w:bookmarkStart w:id="1429" w:name="_Toc332206714"/>
      <w:bookmarkStart w:id="1430" w:name="_Toc333935352"/>
      <w:bookmarkStart w:id="1431" w:name="_Toc342296766"/>
      <w:bookmarkStart w:id="1432" w:name="_Toc339020021"/>
      <w:bookmarkStart w:id="1433" w:name="_Toc332270352"/>
      <w:bookmarkStart w:id="1434" w:name="_Toc331684044"/>
      <w:bookmarkStart w:id="1435" w:name="_Toc345513907"/>
      <w:bookmarkStart w:id="1436" w:name="_Toc22446"/>
      <w:bookmarkStart w:id="1437" w:name="_Toc336681586"/>
      <w:bookmarkStart w:id="1438" w:name="_Toc480021072"/>
      <w:bookmarkStart w:id="1439" w:name="_Toc340677076"/>
      <w:bookmarkStart w:id="1440" w:name="_Toc500861016"/>
      <w:bookmarkStart w:id="1441" w:name="_Toc339020101"/>
      <w:bookmarkStart w:id="1442" w:name="_Toc468157555"/>
      <w:bookmarkStart w:id="1443" w:name="_Toc349143595"/>
      <w:bookmarkStart w:id="1444" w:name="_Toc331512904"/>
      <w:bookmarkStart w:id="1445" w:name="_Toc468606048"/>
      <w:bookmarkStart w:id="1446" w:name="_Toc374454606"/>
      <w:bookmarkStart w:id="1447" w:name="_Toc350756456"/>
      <w:bookmarkStart w:id="1448" w:name="_Toc340672875"/>
      <w:bookmarkStart w:id="1449" w:name="_Toc349127632"/>
      <w:bookmarkStart w:id="1450" w:name="_Toc340507448"/>
      <w:bookmarkStart w:id="1451" w:name="_Toc333238639"/>
      <w:bookmarkStart w:id="1452" w:name="_Toc341348344"/>
      <w:bookmarkStart w:id="1453" w:name="_Toc491658670"/>
      <w:bookmarkStart w:id="1454" w:name="_Toc339019895"/>
      <w:bookmarkStart w:id="1455" w:name="_Toc467987842"/>
      <w:bookmarkStart w:id="1456" w:name="_Toc480020276"/>
      <w:bookmarkStart w:id="1457" w:name="_Toc480010727"/>
      <w:bookmarkStart w:id="1458" w:name="_Toc342060380"/>
      <w:bookmarkStart w:id="1459" w:name="_Toc365967078"/>
      <w:bookmarkStart w:id="1460" w:name="_Toc365985184"/>
      <w:bookmarkStart w:id="1461" w:name="_Toc458262633"/>
      <w:bookmarkStart w:id="1462" w:name="_Toc454701400"/>
      <w:r>
        <w:rPr>
          <w:rFonts w:hint="eastAsia"/>
          <w:color w:val="auto"/>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按第30条规定，采购人将把合同授予此次招标的中标投标人。</w:t>
      </w:r>
    </w:p>
    <w:bookmarkEnd w:id="1461"/>
    <w:bookmarkEnd w:id="1462"/>
    <w:p>
      <w:pPr>
        <w:pStyle w:val="6"/>
        <w:numPr>
          <w:ilvl w:val="4"/>
          <w:numId w:val="26"/>
        </w:numPr>
        <w:tabs>
          <w:tab w:val="left" w:pos="720"/>
        </w:tabs>
        <w:spacing w:before="240" w:after="120"/>
        <w:ind w:left="2432" w:hanging="2432"/>
        <w:rPr>
          <w:color w:val="auto"/>
          <w:highlight w:val="none"/>
        </w:rPr>
      </w:pPr>
      <w:bookmarkStart w:id="1463" w:name="_Toc339362307"/>
      <w:bookmarkStart w:id="1464" w:name="_Toc340507449"/>
      <w:bookmarkStart w:id="1465" w:name="_Toc345513908"/>
      <w:bookmarkStart w:id="1466" w:name="_Toc333238640"/>
      <w:bookmarkStart w:id="1467" w:name="_Toc468157559"/>
      <w:bookmarkStart w:id="1468" w:name="_Toc454701402"/>
      <w:bookmarkStart w:id="1469" w:name="_Toc339019896"/>
      <w:bookmarkStart w:id="1470" w:name="_Toc467987846"/>
      <w:bookmarkStart w:id="1471" w:name="_Toc349127633"/>
      <w:bookmarkStart w:id="1472" w:name="_Toc333935353"/>
      <w:bookmarkStart w:id="1473" w:name="_Toc339020022"/>
      <w:bookmarkStart w:id="1474" w:name="_Toc349143596"/>
      <w:bookmarkStart w:id="1475" w:name="_Toc339020102"/>
      <w:bookmarkStart w:id="1476" w:name="_Toc12979"/>
      <w:bookmarkStart w:id="1477" w:name="_Toc339020240"/>
      <w:bookmarkStart w:id="1478" w:name="_Toc480021076"/>
      <w:bookmarkStart w:id="1479" w:name="_Toc333935694"/>
      <w:bookmarkStart w:id="1480" w:name="_Toc332270353"/>
      <w:bookmarkStart w:id="1481" w:name="_Toc342060381"/>
      <w:bookmarkStart w:id="1482" w:name="_Toc333237684"/>
      <w:bookmarkStart w:id="1483" w:name="_Toc332206715"/>
      <w:bookmarkStart w:id="1484" w:name="_Toc330459992"/>
      <w:bookmarkStart w:id="1485" w:name="_Toc340672876"/>
      <w:bookmarkStart w:id="1486" w:name="_Toc350438756"/>
      <w:bookmarkStart w:id="1487" w:name="_Toc480010731"/>
      <w:bookmarkStart w:id="1488" w:name="_Toc341348345"/>
      <w:bookmarkStart w:id="1489" w:name="_Toc342296767"/>
      <w:bookmarkStart w:id="1490" w:name="_Toc339441094"/>
      <w:bookmarkStart w:id="1491" w:name="_Toc479991605"/>
      <w:bookmarkStart w:id="1492" w:name="_Toc340677077"/>
      <w:bookmarkStart w:id="1493" w:name="_Toc336681942"/>
      <w:bookmarkStart w:id="1494" w:name="_Toc491658674"/>
      <w:bookmarkStart w:id="1495" w:name="_Toc365985185"/>
      <w:bookmarkStart w:id="1496" w:name="_Toc480020280"/>
      <w:bookmarkStart w:id="1497" w:name="_Toc337632365"/>
      <w:bookmarkStart w:id="1498" w:name="_Toc365967079"/>
      <w:bookmarkStart w:id="1499" w:name="_Toc366072535"/>
      <w:bookmarkStart w:id="1500" w:name="_Toc331684045"/>
      <w:bookmarkStart w:id="1501" w:name="_Toc467236763"/>
      <w:bookmarkStart w:id="1502" w:name="_Toc333237795"/>
      <w:bookmarkStart w:id="1503" w:name="_Toc500861020"/>
      <w:bookmarkStart w:id="1504" w:name="_Toc468606052"/>
      <w:bookmarkStart w:id="1505" w:name="_Toc336681587"/>
      <w:bookmarkStart w:id="1506" w:name="_Toc458262635"/>
      <w:bookmarkStart w:id="1507" w:name="_Toc331512905"/>
      <w:bookmarkStart w:id="1508" w:name="_Toc350756457"/>
      <w:bookmarkStart w:id="1509" w:name="_Toc374454607"/>
      <w:r>
        <w:rPr>
          <w:rFonts w:hint="eastAsia"/>
          <w:color w:val="auto"/>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auto"/>
          <w:highlight w:val="none"/>
        </w:rPr>
      </w:pPr>
      <w:bookmarkStart w:id="1510" w:name="_Toc366072536"/>
      <w:bookmarkStart w:id="1511" w:name="_Toc373401413"/>
      <w:bookmarkStart w:id="1512" w:name="_Toc378261823"/>
      <w:bookmarkStart w:id="1513" w:name="_Toc370983962"/>
      <w:bookmarkStart w:id="1514" w:name="_Toc379896705"/>
      <w:bookmarkStart w:id="1515" w:name="_Toc367095382"/>
      <w:bookmarkStart w:id="1516" w:name="_Toc369700990"/>
      <w:bookmarkStart w:id="1517" w:name="_Toc372209289"/>
      <w:bookmarkStart w:id="1518" w:name="_Toc377129068"/>
      <w:bookmarkStart w:id="1519" w:name="_Toc374093632"/>
      <w:bookmarkStart w:id="1520" w:name="_Toc383069738"/>
      <w:bookmarkStart w:id="1521" w:name="_Toc366681897"/>
      <w:bookmarkStart w:id="1522" w:name="_Toc374454608"/>
      <w:bookmarkStart w:id="1523" w:name="_Toc370309169"/>
      <w:bookmarkStart w:id="1524" w:name="_Toc339020241"/>
      <w:bookmarkStart w:id="1525" w:name="_Toc333238641"/>
      <w:bookmarkStart w:id="1526" w:name="_Toc333237796"/>
      <w:bookmarkStart w:id="1527" w:name="_Toc350756458"/>
      <w:bookmarkStart w:id="1528" w:name="_Toc340672877"/>
      <w:bookmarkStart w:id="1529" w:name="_Toc341348346"/>
      <w:bookmarkStart w:id="1530" w:name="_Toc330459993"/>
      <w:bookmarkStart w:id="1531" w:name="_Toc365985186"/>
      <w:bookmarkStart w:id="1532" w:name="_Toc342060382"/>
      <w:bookmarkStart w:id="1533" w:name="_Toc336681588"/>
      <w:bookmarkStart w:id="1534" w:name="_Toc339020103"/>
      <w:bookmarkStart w:id="1535" w:name="_Toc339441095"/>
      <w:bookmarkStart w:id="1536" w:name="_Toc349143597"/>
      <w:bookmarkStart w:id="1537" w:name="_Toc339020023"/>
      <w:bookmarkStart w:id="1538" w:name="_Toc365967080"/>
      <w:bookmarkStart w:id="1539" w:name="_Toc336681943"/>
      <w:bookmarkStart w:id="1540" w:name="_Toc340677078"/>
      <w:bookmarkStart w:id="1541" w:name="_Toc350438757"/>
      <w:bookmarkStart w:id="1542" w:name="_Toc345513909"/>
      <w:bookmarkStart w:id="1543" w:name="_Toc349127634"/>
      <w:bookmarkStart w:id="1544" w:name="_Toc339019897"/>
      <w:bookmarkStart w:id="1545" w:name="_Toc331684046"/>
      <w:bookmarkStart w:id="1546" w:name="_Toc333237685"/>
      <w:bookmarkStart w:id="1547" w:name="_Toc333935354"/>
      <w:bookmarkStart w:id="1548" w:name="_Toc332270354"/>
      <w:bookmarkStart w:id="1549" w:name="_Toc331512906"/>
      <w:bookmarkStart w:id="1550" w:name="_Toc342296768"/>
      <w:bookmarkStart w:id="1551" w:name="_Toc337632366"/>
      <w:bookmarkStart w:id="1552" w:name="_Toc340507450"/>
      <w:bookmarkStart w:id="1553" w:name="_Toc339362308"/>
      <w:bookmarkStart w:id="1554" w:name="_Toc333935695"/>
      <w:bookmarkStart w:id="1555" w:name="_Toc332206716"/>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.2</w:t>
      </w:r>
      <w:r>
        <w:rPr>
          <w:rFonts w:hint="eastAsia" w:ascii="宋体" w:hAnsi="宋体"/>
          <w:bCs/>
          <w:color w:val="auto"/>
          <w:highlight w:val="none"/>
        </w:rPr>
        <w:tab/>
      </w:r>
      <w:r>
        <w:rPr>
          <w:rFonts w:hint="eastAsia" w:ascii="宋体" w:hAnsi="宋体"/>
          <w:bCs/>
          <w:color w:val="auto"/>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auto"/>
          <w:highlight w:val="none"/>
        </w:rPr>
      </w:pPr>
      <w:r>
        <w:rPr>
          <w:rFonts w:hint="eastAsia" w:ascii="宋体" w:hAnsi="宋体" w:cs="Arial"/>
          <w:color w:val="auto"/>
          <w:szCs w:val="21"/>
          <w:highlight w:val="none"/>
        </w:rPr>
        <w:t xml:space="preserve">33.3   </w:t>
      </w:r>
      <w:r>
        <w:rPr>
          <w:rFonts w:ascii="宋体" w:hAnsi="宋体"/>
          <w:bCs/>
          <w:color w:val="auto"/>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highlight w:val="none"/>
        </w:rPr>
        <w:t>。</w:t>
      </w: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p>
      <w:pPr>
        <w:widowControl/>
        <w:tabs>
          <w:tab w:val="left" w:pos="753"/>
        </w:tabs>
        <w:adjustRightInd w:val="0"/>
        <w:snapToGrid w:val="0"/>
        <w:spacing w:line="360" w:lineRule="auto"/>
        <w:ind w:left="753" w:hanging="753"/>
        <w:rPr>
          <w:rFonts w:ascii="宋体" w:hAnsi="宋体"/>
          <w:bCs/>
          <w:color w:val="auto"/>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auto"/>
          <w:sz w:val="24"/>
          <w:highlight w:val="none"/>
        </w:rPr>
      </w:pPr>
      <w:bookmarkStart w:id="1556" w:name="_Toc432682726"/>
      <w:bookmarkStart w:id="1557" w:name="_Toc10775"/>
      <w:bookmarkStart w:id="1558" w:name="_Toc430771059"/>
      <w:bookmarkStart w:id="1559" w:name="_Toc491658677"/>
      <w:bookmarkStart w:id="1560" w:name="_Toc480010734"/>
      <w:bookmarkStart w:id="1561" w:name="_Toc480021079"/>
      <w:bookmarkStart w:id="1562" w:name="_Toc468157562"/>
      <w:bookmarkStart w:id="1563" w:name="_Toc468606055"/>
      <w:bookmarkStart w:id="1564" w:name="_Toc500861024"/>
      <w:bookmarkStart w:id="1565" w:name="_Toc480020283"/>
      <w:bookmarkStart w:id="1566" w:name="_Toc467236766"/>
      <w:bookmarkStart w:id="1567" w:name="_Toc479991608"/>
      <w:bookmarkStart w:id="1568" w:name="_Toc467987849"/>
      <w:r>
        <w:rPr>
          <w:color w:val="auto"/>
          <w:sz w:val="24"/>
          <w:highlight w:val="none"/>
        </w:rPr>
        <w:t>G</w:t>
      </w:r>
      <w:r>
        <w:rPr>
          <w:rFonts w:hint="eastAsia"/>
          <w:color w:val="auto"/>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69" w:name="_Toc430771060"/>
      <w:bookmarkStart w:id="1570" w:name="_Toc430185803"/>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bookmarkStart w:id="1571"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2" w:name="_Toc430771061"/>
      <w:bookmarkStart w:id="1573" w:name="_Toc430185804"/>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4" w:name="_Toc430185805"/>
      <w:bookmarkStart w:id="1575" w:name="_Toc430771062"/>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auto"/>
          <w:highlight w:val="none"/>
        </w:rPr>
      </w:pPr>
      <w:bookmarkStart w:id="1576" w:name="_Toc430771063"/>
      <w:bookmarkStart w:id="1577" w:name="_Toc430185806"/>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eastAsia="宋体" w:cs="宋体"/>
                <w:color w:val="auto"/>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r>
        <w:rPr>
          <w:rFonts w:ascii="宋体"/>
          <w:color w:val="auto"/>
          <w:szCs w:val="21"/>
          <w:highlight w:val="none"/>
        </w:rPr>
        <w:br w:type="page"/>
      </w:r>
    </w:p>
    <w:p>
      <w:pPr>
        <w:pStyle w:val="4"/>
        <w:numPr>
          <w:ilvl w:val="0"/>
          <w:numId w:val="0"/>
        </w:numPr>
        <w:rPr>
          <w:color w:val="auto"/>
          <w:sz w:val="24"/>
          <w:highlight w:val="none"/>
        </w:rPr>
      </w:pPr>
      <w:bookmarkStart w:id="1578" w:name="_Toc28580"/>
      <w:r>
        <w:rPr>
          <w:rFonts w:hint="eastAsia"/>
          <w:color w:val="auto"/>
          <w:sz w:val="24"/>
          <w:highlight w:val="none"/>
        </w:rPr>
        <w:t>H、评标细则</w:t>
      </w:r>
      <w:bookmarkEnd w:id="1578"/>
    </w:p>
    <w:p>
      <w:pPr>
        <w:pStyle w:val="26"/>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pPr>
        <w:rPr>
          <w:color w:val="auto"/>
          <w:highlight w:val="none"/>
        </w:rPr>
      </w:pPr>
      <w:r>
        <w:rPr>
          <w:rFonts w:hint="eastAsia"/>
          <w:color w:val="auto"/>
          <w:highlight w:val="none"/>
        </w:rPr>
        <w:t>评价指标及权重：</w:t>
      </w:r>
    </w:p>
    <w:p>
      <w:pPr>
        <w:rPr>
          <w:color w:val="auto"/>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pPr>
        <w:rPr>
          <w:color w:val="auto"/>
          <w:highlight w:val="none"/>
        </w:rPr>
      </w:pPr>
    </w:p>
    <w:p>
      <w:pPr>
        <w:rPr>
          <w:color w:val="auto"/>
          <w:highlight w:val="none"/>
        </w:rPr>
      </w:pPr>
      <w:r>
        <w:rPr>
          <w:rFonts w:hint="eastAsia"/>
          <w:color w:val="auto"/>
          <w:highlight w:val="none"/>
        </w:rPr>
        <w:t>技术评分细则：</w:t>
      </w:r>
    </w:p>
    <w:tbl>
      <w:tblPr>
        <w:tblStyle w:val="47"/>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rPr>
              <w:t xml:space="preserve">投标文件中配送方案、效率及响应时间进行评分：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1.配送方案及响应时间、效率内容合理、完整，优于</w:t>
            </w:r>
            <w:r>
              <w:rPr>
                <w:rFonts w:hint="eastAsia" w:ascii="宋体" w:hAnsi="宋体" w:cs="宋体"/>
                <w:color w:val="auto"/>
                <w:highlight w:val="none"/>
                <w:lang w:val="en-US" w:eastAsia="zh-CN"/>
              </w:rPr>
              <w:t>文件要求的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2.配送方案及响应时间、效率内容</w:t>
            </w:r>
            <w:r>
              <w:rPr>
                <w:rFonts w:hint="eastAsia" w:ascii="宋体" w:hAnsi="宋体" w:cs="宋体"/>
                <w:color w:val="auto"/>
                <w:highlight w:val="none"/>
                <w:lang w:val="en-US" w:eastAsia="zh-CN"/>
              </w:rPr>
              <w:t>较</w:t>
            </w:r>
            <w:r>
              <w:rPr>
                <w:rFonts w:hint="eastAsia" w:ascii="宋体" w:hAnsi="宋体" w:eastAsia="宋体" w:cs="宋体"/>
                <w:color w:val="auto"/>
                <w:highlight w:val="none"/>
              </w:rPr>
              <w:t>合理、完整，</w:t>
            </w:r>
            <w:r>
              <w:rPr>
                <w:rFonts w:hint="eastAsia" w:ascii="宋体" w:hAnsi="宋体" w:cs="宋体"/>
                <w:color w:val="auto"/>
                <w:highlight w:val="none"/>
                <w:lang w:val="en-US" w:eastAsia="zh-CN"/>
              </w:rPr>
              <w:t>满足文件要求的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3.配送方案</w:t>
            </w:r>
            <w:r>
              <w:rPr>
                <w:rFonts w:hint="eastAsia" w:ascii="宋体" w:hAnsi="宋体" w:cs="宋体"/>
                <w:color w:val="auto"/>
                <w:highlight w:val="none"/>
                <w:lang w:val="en-US" w:eastAsia="zh-CN"/>
              </w:rPr>
              <w:t>基本合理、完整，基本满足文件要求的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配送方案</w:t>
            </w:r>
            <w:r>
              <w:rPr>
                <w:rFonts w:hint="eastAsia" w:ascii="宋体" w:hAnsi="宋体" w:cs="宋体"/>
                <w:color w:val="auto"/>
                <w:highlight w:val="none"/>
                <w:lang w:val="en-US" w:eastAsia="zh-CN"/>
              </w:rPr>
              <w:t>不合理</w:t>
            </w:r>
            <w:r>
              <w:rPr>
                <w:rFonts w:hint="eastAsia" w:ascii="宋体" w:hAnsi="宋体" w:eastAsia="宋体" w:cs="宋体"/>
                <w:color w:val="auto"/>
                <w:highlight w:val="none"/>
              </w:rPr>
              <w:t>，内容</w:t>
            </w:r>
            <w:r>
              <w:rPr>
                <w:rFonts w:hint="eastAsia" w:ascii="宋体" w:hAnsi="宋体" w:cs="宋体"/>
                <w:color w:val="auto"/>
                <w:highlight w:val="none"/>
                <w:lang w:val="en-US" w:eastAsia="zh-CN"/>
              </w:rPr>
              <w:t>描述一般的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rPr>
              <w:t xml:space="preserve">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1.方案描述合理、完整，优于</w:t>
            </w:r>
            <w:r>
              <w:rPr>
                <w:rFonts w:hint="eastAsia" w:ascii="宋体" w:hAnsi="宋体" w:cs="宋体"/>
                <w:color w:val="auto"/>
                <w:highlight w:val="none"/>
                <w:lang w:val="en-US" w:eastAsia="zh-CN"/>
              </w:rPr>
              <w:t>文件要求的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2.方案描述</w:t>
            </w:r>
            <w:r>
              <w:rPr>
                <w:rFonts w:hint="eastAsia" w:ascii="宋体" w:hAnsi="宋体" w:cs="宋体"/>
                <w:color w:val="auto"/>
                <w:highlight w:val="none"/>
                <w:lang w:val="en-US" w:eastAsia="zh-CN"/>
              </w:rPr>
              <w:t>较</w:t>
            </w:r>
            <w:r>
              <w:rPr>
                <w:rFonts w:hint="eastAsia" w:ascii="宋体" w:hAnsi="宋体" w:eastAsia="宋体" w:cs="宋体"/>
                <w:color w:val="auto"/>
                <w:highlight w:val="none"/>
              </w:rPr>
              <w:t>合理、完整，</w:t>
            </w:r>
            <w:r>
              <w:rPr>
                <w:rFonts w:hint="eastAsia" w:ascii="宋体" w:hAnsi="宋体" w:cs="宋体"/>
                <w:color w:val="auto"/>
                <w:highlight w:val="none"/>
                <w:lang w:val="en-US" w:eastAsia="zh-CN"/>
              </w:rPr>
              <w:t>满足文件要求的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3.方案</w:t>
            </w:r>
            <w:r>
              <w:rPr>
                <w:rFonts w:hint="eastAsia" w:ascii="宋体" w:hAnsi="宋体" w:cs="宋体"/>
                <w:color w:val="auto"/>
                <w:highlight w:val="none"/>
                <w:lang w:val="en-US" w:eastAsia="zh-CN"/>
              </w:rPr>
              <w:t>描述基本合理、完整，基本满足文件要求的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方案</w:t>
            </w:r>
            <w:r>
              <w:rPr>
                <w:rFonts w:hint="eastAsia" w:ascii="宋体" w:hAnsi="宋体" w:cs="宋体"/>
                <w:color w:val="auto"/>
                <w:highlight w:val="none"/>
                <w:lang w:val="en-US" w:eastAsia="zh-CN"/>
              </w:rPr>
              <w:t>不合理</w:t>
            </w:r>
            <w:r>
              <w:rPr>
                <w:rFonts w:hint="eastAsia" w:ascii="宋体" w:hAnsi="宋体" w:eastAsia="宋体" w:cs="宋体"/>
                <w:color w:val="auto"/>
                <w:highlight w:val="none"/>
              </w:rPr>
              <w:t>，内容</w:t>
            </w:r>
            <w:r>
              <w:rPr>
                <w:rFonts w:hint="eastAsia" w:ascii="宋体" w:hAnsi="宋体" w:cs="宋体"/>
                <w:color w:val="auto"/>
                <w:highlight w:val="none"/>
                <w:lang w:val="en-US" w:eastAsia="zh-CN"/>
              </w:rPr>
              <w:t>描述一般的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cs="宋体"/>
                <w:color w:val="auto"/>
                <w:kern w:val="2"/>
                <w:sz w:val="21"/>
                <w:szCs w:val="21"/>
                <w:highlight w:val="none"/>
                <w:lang w:val="en-US" w:eastAsia="zh-CN" w:bidi="ar-SA"/>
              </w:rPr>
              <w:t>优于文件要求的，</w:t>
            </w:r>
            <w:r>
              <w:rPr>
                <w:rFonts w:hint="eastAsia" w:ascii="宋体" w:hAnsi="宋体" w:eastAsia="宋体" w:cs="宋体"/>
                <w:color w:val="auto"/>
                <w:kern w:val="2"/>
                <w:sz w:val="21"/>
                <w:szCs w:val="21"/>
                <w:highlight w:val="none"/>
                <w:lang w:val="en-US" w:eastAsia="zh-CN" w:bidi="ar-SA"/>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cs="宋体"/>
                <w:color w:val="auto"/>
                <w:highlight w:val="none"/>
                <w:lang w:val="en-US" w:eastAsia="zh-CN"/>
              </w:rPr>
              <w:t>满足文件要求的</w:t>
            </w:r>
            <w:r>
              <w:rPr>
                <w:rFonts w:hint="eastAsia" w:ascii="宋体" w:hAnsi="宋体" w:eastAsia="宋体" w:cs="宋体"/>
                <w:color w:val="auto"/>
                <w:highlight w:val="none"/>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w:t>
            </w:r>
            <w:r>
              <w:rPr>
                <w:rFonts w:hint="eastAsia" w:ascii="宋体" w:hAnsi="宋体" w:cs="宋体"/>
                <w:color w:val="auto"/>
                <w:kern w:val="2"/>
                <w:sz w:val="21"/>
                <w:szCs w:val="21"/>
                <w:highlight w:val="none"/>
                <w:lang w:val="en-US" w:eastAsia="zh-CN" w:bidi="ar-SA"/>
              </w:rPr>
              <w:t>基本</w:t>
            </w:r>
            <w:r>
              <w:rPr>
                <w:rFonts w:hint="eastAsia" w:ascii="宋体" w:hAnsi="宋体" w:eastAsia="宋体" w:cs="宋体"/>
                <w:color w:val="auto"/>
                <w:kern w:val="2"/>
                <w:sz w:val="21"/>
                <w:szCs w:val="21"/>
                <w:highlight w:val="none"/>
                <w:lang w:val="en-US" w:eastAsia="zh-CN" w:bidi="ar-SA"/>
              </w:rPr>
              <w:t>合理，</w:t>
            </w:r>
            <w:r>
              <w:rPr>
                <w:rFonts w:hint="eastAsia" w:ascii="宋体" w:hAnsi="宋体" w:cs="宋体"/>
                <w:color w:val="auto"/>
                <w:highlight w:val="none"/>
                <w:lang w:val="en-US" w:eastAsia="zh-CN"/>
              </w:rPr>
              <w:t>基本满足文件要求的</w:t>
            </w:r>
            <w:r>
              <w:rPr>
                <w:rFonts w:hint="eastAsia" w:ascii="宋体" w:hAnsi="宋体" w:eastAsia="宋体" w:cs="宋体"/>
                <w:color w:val="auto"/>
                <w:highlight w:val="none"/>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kern w:val="2"/>
                <w:sz w:val="21"/>
                <w:szCs w:val="21"/>
                <w:highlight w:val="none"/>
                <w:lang w:val="en-US" w:eastAsia="zh-CN" w:bidi="ar-SA"/>
              </w:rPr>
              <w:t>对产品出现质量问题的退换承诺不具体，</w:t>
            </w:r>
            <w:r>
              <w:rPr>
                <w:rFonts w:hint="eastAsia" w:ascii="宋体" w:hAnsi="宋体" w:eastAsia="宋体" w:cs="宋体"/>
                <w:color w:val="auto"/>
                <w:highlight w:val="none"/>
              </w:rPr>
              <w:t>内容</w:t>
            </w:r>
            <w:r>
              <w:rPr>
                <w:rFonts w:hint="eastAsia" w:ascii="宋体" w:hAnsi="宋体" w:cs="宋体"/>
                <w:color w:val="auto"/>
                <w:highlight w:val="none"/>
                <w:lang w:val="en-US" w:eastAsia="zh-CN"/>
              </w:rPr>
              <w:t>描述一般的</w:t>
            </w:r>
            <w:r>
              <w:rPr>
                <w:rFonts w:hint="eastAsia" w:ascii="宋体" w:hAnsi="宋体" w:eastAsia="宋体" w:cs="宋体"/>
                <w:color w:val="auto"/>
                <w:highlight w:val="none"/>
              </w:rPr>
              <w:t>，</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rPr>
          <w:color w:val="auto"/>
          <w:highlight w:val="none"/>
        </w:rPr>
      </w:pPr>
    </w:p>
    <w:p>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7"/>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同类项目业绩</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投标人提供</w:t>
            </w:r>
            <w:r>
              <w:rPr>
                <w:rFonts w:hint="eastAsia" w:ascii="宋体" w:hAnsi="宋体" w:eastAsia="宋体" w:cs="宋体"/>
                <w:color w:val="auto"/>
                <w:highlight w:val="none"/>
                <w:lang w:val="en-US" w:eastAsia="zh-CN"/>
              </w:rPr>
              <w:t>近三年</w:t>
            </w:r>
            <w:r>
              <w:rPr>
                <w:rFonts w:hint="eastAsia" w:ascii="宋体" w:hAnsi="宋体" w:eastAsia="宋体" w:cs="宋体"/>
                <w:color w:val="auto"/>
                <w:highlight w:val="none"/>
              </w:rPr>
              <w:t>（以合同签订时间为准）的同类项目业绩，每个得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15</w:t>
            </w:r>
            <w:r>
              <w:rPr>
                <w:rFonts w:hint="eastAsia" w:ascii="宋体" w:hAnsi="宋体" w:eastAsia="宋体" w:cs="宋体"/>
                <w:color w:val="auto"/>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万元或以上，得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佰万元（含）-</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万元（不含），得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佰万元（不含）以下</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注：提供有效保单复印件加盖投标人公章，</w:t>
            </w:r>
            <w:r>
              <w:rPr>
                <w:rFonts w:hint="eastAsia" w:ascii="宋体" w:hAnsi="宋体" w:cs="宋体"/>
                <w:color w:val="auto"/>
                <w:sz w:val="21"/>
                <w:szCs w:val="21"/>
                <w:highlight w:val="none"/>
                <w:lang w:val="en-US" w:eastAsia="zh-CN"/>
              </w:rPr>
              <w:t>如目前没有购买相应保额的</w:t>
            </w:r>
            <w:r>
              <w:rPr>
                <w:rFonts w:hint="eastAsia" w:ascii="宋体" w:hAnsi="宋体" w:eastAsia="宋体" w:cs="宋体"/>
                <w:color w:val="auto"/>
                <w:sz w:val="21"/>
                <w:szCs w:val="21"/>
                <w:highlight w:val="none"/>
              </w:rPr>
              <w:t>食品安全责任险</w:t>
            </w:r>
            <w:r>
              <w:rPr>
                <w:rFonts w:hint="eastAsia" w:ascii="宋体" w:hAnsi="宋体" w:cs="宋体"/>
                <w:color w:val="auto"/>
                <w:sz w:val="21"/>
                <w:szCs w:val="21"/>
                <w:highlight w:val="none"/>
                <w:lang w:val="en-US" w:eastAsia="zh-CN"/>
              </w:rPr>
              <w:t>，须提供《承诺函》承诺中标后签合同前购买相应保额的</w:t>
            </w:r>
            <w:r>
              <w:rPr>
                <w:rFonts w:hint="eastAsia" w:ascii="宋体" w:hAnsi="宋体" w:eastAsia="宋体" w:cs="宋体"/>
                <w:color w:val="auto"/>
                <w:sz w:val="21"/>
                <w:szCs w:val="21"/>
                <w:highlight w:val="none"/>
              </w:rPr>
              <w:t>食品安全责任险</w:t>
            </w:r>
            <w:r>
              <w:rPr>
                <w:rFonts w:hint="eastAsia" w:ascii="宋体" w:hAnsi="宋体" w:cs="宋体"/>
                <w:color w:val="auto"/>
                <w:sz w:val="21"/>
                <w:szCs w:val="21"/>
                <w:highlight w:val="none"/>
                <w:lang w:val="en-US" w:eastAsia="zh-CN"/>
              </w:rPr>
              <w:t>，未显示保额或</w:t>
            </w:r>
            <w:r>
              <w:rPr>
                <w:rFonts w:hint="eastAsia" w:ascii="宋体" w:hAnsi="宋体" w:eastAsia="宋体" w:cs="宋体"/>
                <w:color w:val="auto"/>
                <w:sz w:val="21"/>
                <w:szCs w:val="21"/>
                <w:highlight w:val="none"/>
              </w:rPr>
              <w:t>不提供</w:t>
            </w:r>
            <w:r>
              <w:rPr>
                <w:rFonts w:hint="eastAsia" w:ascii="宋体" w:hAnsi="宋体" w:cs="宋体"/>
                <w:color w:val="auto"/>
                <w:sz w:val="21"/>
                <w:szCs w:val="21"/>
                <w:highlight w:val="none"/>
                <w:lang w:val="en-US" w:eastAsia="zh-CN"/>
              </w:rPr>
              <w:t>均</w:t>
            </w:r>
            <w:r>
              <w:rPr>
                <w:rFonts w:hint="eastAsia" w:ascii="宋体" w:hAnsi="宋体" w:eastAsia="宋体" w:cs="宋体"/>
                <w:color w:val="auto"/>
                <w:sz w:val="21"/>
                <w:szCs w:val="21"/>
                <w:highlight w:val="none"/>
              </w:rPr>
              <w:t>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拟投入项目团队人员</w:t>
            </w:r>
            <w:r>
              <w:rPr>
                <w:rFonts w:hint="eastAsia" w:ascii="宋体" w:hAnsi="宋体" w:eastAsia="宋体" w:cs="宋体"/>
                <w:color w:val="auto"/>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专门的</w:t>
            </w:r>
            <w:r>
              <w:rPr>
                <w:rFonts w:hint="eastAsia" w:ascii="宋体" w:hAnsi="宋体" w:eastAsia="宋体" w:cs="宋体"/>
                <w:color w:val="auto"/>
                <w:sz w:val="21"/>
                <w:szCs w:val="21"/>
                <w:highlight w:val="none"/>
                <w:lang w:val="en-US" w:eastAsia="zh-CN"/>
              </w:rPr>
              <w:t>食品安全管理人员</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人得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配备人员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提供广东省食品安全管理人员考试合格证明证书复印件加盖投标人公章</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投标人针对本项目投入的配送车辆，每配备1台配送车辆的得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最高得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注：投标人自有</w:t>
            </w:r>
            <w:r>
              <w:rPr>
                <w:rFonts w:hint="eastAsia" w:ascii="宋体" w:hAnsi="宋体" w:eastAsia="宋体" w:cs="宋体"/>
                <w:color w:val="auto"/>
                <w:sz w:val="21"/>
                <w:szCs w:val="21"/>
                <w:highlight w:val="none"/>
                <w:lang w:val="en-US" w:eastAsia="zh-CN"/>
              </w:rPr>
              <w:t>车辆的</w:t>
            </w:r>
            <w:r>
              <w:rPr>
                <w:rFonts w:hint="eastAsia" w:ascii="宋体" w:hAnsi="宋体" w:eastAsia="宋体" w:cs="宋体"/>
                <w:color w:val="auto"/>
                <w:sz w:val="21"/>
                <w:szCs w:val="21"/>
                <w:highlight w:val="none"/>
              </w:rPr>
              <w:t>，需提供购车发票</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w:t>
            </w:r>
            <w:r>
              <w:rPr>
                <w:rFonts w:hint="eastAsia" w:ascii="宋体" w:hAnsi="宋体" w:eastAsia="宋体" w:cs="宋体"/>
                <w:color w:val="auto"/>
                <w:sz w:val="21"/>
                <w:szCs w:val="21"/>
                <w:highlight w:val="none"/>
                <w:lang w:val="en-US" w:eastAsia="zh-CN"/>
              </w:rPr>
              <w:t>投标人租赁车辆的</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以投标人或法定代表人签署的</w:t>
            </w:r>
            <w:r>
              <w:rPr>
                <w:rFonts w:hint="eastAsia" w:ascii="宋体" w:hAnsi="宋体" w:eastAsia="宋体" w:cs="宋体"/>
                <w:color w:val="auto"/>
                <w:sz w:val="21"/>
                <w:szCs w:val="21"/>
                <w:highlight w:val="none"/>
              </w:rPr>
              <w:t>车辆租赁合同</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冷冻/冷藏库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及冷冻/冷藏库照片并加盖投标人公章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 xml:space="preserve">配送场地。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及配送场地照片并加盖投标人公章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pPr>
        <w:rPr>
          <w:rFonts w:ascii="宋体"/>
          <w:color w:val="auto"/>
          <w:szCs w:val="21"/>
          <w:highlight w:val="none"/>
        </w:rPr>
      </w:pPr>
      <w:r>
        <w:rPr>
          <w:rFonts w:hint="eastAsia"/>
          <w:color w:val="auto"/>
          <w:highlight w:val="none"/>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auto"/>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auto"/>
          <w:highlight w:val="none"/>
        </w:rPr>
      </w:pPr>
      <w:bookmarkStart w:id="1579" w:name="_Hlt21939000"/>
      <w:bookmarkEnd w:id="1579"/>
      <w:bookmarkStart w:id="1580" w:name="_Toc339020104"/>
      <w:bookmarkStart w:id="1581" w:name="_Toc340672878"/>
      <w:bookmarkStart w:id="1582" w:name="_Toc374454610"/>
      <w:bookmarkStart w:id="1583" w:name="_Toc349143598"/>
      <w:bookmarkStart w:id="1584" w:name="_Toc333238642"/>
      <w:bookmarkStart w:id="1585" w:name="_Toc366072538"/>
      <w:bookmarkStart w:id="1586" w:name="_Toc333935355"/>
      <w:bookmarkStart w:id="1587" w:name="_Toc339362309"/>
      <w:bookmarkStart w:id="1588" w:name="_Toc333237797"/>
      <w:bookmarkStart w:id="1589" w:name="_Toc331512907"/>
      <w:bookmarkStart w:id="1590" w:name="_Toc342060383"/>
      <w:bookmarkStart w:id="1591" w:name="_Toc350438758"/>
      <w:bookmarkStart w:id="1592" w:name="_Toc339441096"/>
      <w:bookmarkStart w:id="1593" w:name="_Toc365985187"/>
      <w:bookmarkStart w:id="1594" w:name="_Toc333935696"/>
      <w:bookmarkStart w:id="1595" w:name="_Toc340677079"/>
      <w:bookmarkStart w:id="1596" w:name="_Toc339020024"/>
      <w:bookmarkStart w:id="1597" w:name="_Toc330459994"/>
      <w:bookmarkStart w:id="1598" w:name="_Toc332270355"/>
      <w:bookmarkStart w:id="1599" w:name="_Toc336681589"/>
      <w:bookmarkStart w:id="1600" w:name="_Toc336681944"/>
      <w:bookmarkStart w:id="1601" w:name="_Toc339020242"/>
      <w:bookmarkStart w:id="1602" w:name="_Toc350756459"/>
      <w:bookmarkStart w:id="1603" w:name="_Toc337632367"/>
      <w:bookmarkStart w:id="1604" w:name="_Toc342296769"/>
      <w:bookmarkStart w:id="1605" w:name="_Toc339019898"/>
      <w:bookmarkStart w:id="1606" w:name="_Toc340507451"/>
      <w:bookmarkStart w:id="1607" w:name="_Toc333237686"/>
      <w:bookmarkStart w:id="1608" w:name="_Toc365967081"/>
      <w:bookmarkStart w:id="1609" w:name="_Toc349127635"/>
      <w:bookmarkStart w:id="1610" w:name="_Toc332206717"/>
      <w:bookmarkStart w:id="1611" w:name="_Toc331684047"/>
      <w:bookmarkStart w:id="1612" w:name="_Toc341348347"/>
      <w:bookmarkStart w:id="1613" w:name="_Toc345513910"/>
      <w:bookmarkStart w:id="1614" w:name="_Toc16640"/>
      <w:r>
        <w:rPr>
          <w:rFonts w:hint="eastAsia"/>
          <w:color w:val="auto"/>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auto"/>
          <w:highlight w:val="none"/>
        </w:rPr>
        <w:t>采购项目合同（参考范本）</w:t>
      </w:r>
      <w:bookmarkEnd w:id="1614"/>
    </w:p>
    <w:p>
      <w:pPr>
        <w:rPr>
          <w:bCs/>
          <w:color w:val="auto"/>
          <w:highlight w:val="none"/>
        </w:rPr>
      </w:pPr>
    </w:p>
    <w:p>
      <w:pPr>
        <w:jc w:val="center"/>
        <w:rPr>
          <w:rFonts w:hint="eastAsia" w:ascii="宋体" w:hAnsi="宋体"/>
          <w:b/>
          <w:color w:val="auto"/>
          <w:sz w:val="30"/>
          <w:szCs w:val="30"/>
          <w:highlight w:val="none"/>
        </w:rPr>
      </w:pPr>
    </w:p>
    <w:p>
      <w:pPr>
        <w:jc w:val="center"/>
        <w:rPr>
          <w:rFonts w:hint="eastAsia" w:ascii="宋体" w:hAnsi="宋体"/>
          <w:b/>
          <w:color w:val="auto"/>
          <w:sz w:val="36"/>
          <w:szCs w:val="36"/>
          <w:highlight w:val="none"/>
        </w:rPr>
      </w:pPr>
    </w:p>
    <w:p>
      <w:pPr>
        <w:pStyle w:val="54"/>
        <w:rPr>
          <w:rFonts w:hint="eastAsia" w:ascii="宋体" w:hAnsi="宋体"/>
          <w:b/>
          <w:color w:val="auto"/>
          <w:sz w:val="36"/>
          <w:szCs w:val="36"/>
          <w:highlight w:val="none"/>
        </w:rPr>
      </w:pPr>
    </w:p>
    <w:p>
      <w:pPr>
        <w:pStyle w:val="54"/>
        <w:rPr>
          <w:rFonts w:hint="eastAsia" w:ascii="宋体" w:hAnsi="宋体"/>
          <w:b/>
          <w:color w:val="auto"/>
          <w:sz w:val="36"/>
          <w:szCs w:val="36"/>
          <w:highlight w:val="none"/>
        </w:rPr>
      </w:pPr>
    </w:p>
    <w:p>
      <w:pPr>
        <w:pStyle w:val="54"/>
        <w:rPr>
          <w:rFonts w:hint="eastAsia" w:ascii="宋体" w:hAnsi="宋体"/>
          <w:b/>
          <w:color w:val="auto"/>
          <w:sz w:val="36"/>
          <w:szCs w:val="36"/>
          <w:highlight w:val="none"/>
        </w:rPr>
      </w:pPr>
    </w:p>
    <w:p>
      <w:pPr>
        <w:pStyle w:val="54"/>
        <w:rPr>
          <w:rFonts w:hint="eastAsia" w:ascii="宋体" w:hAnsi="宋体"/>
          <w:b/>
          <w:color w:val="auto"/>
          <w:sz w:val="36"/>
          <w:szCs w:val="36"/>
          <w:highlight w:val="none"/>
        </w:rPr>
      </w:pPr>
    </w:p>
    <w:p>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Cs w:val="21"/>
          <w:highlight w:val="none"/>
        </w:rPr>
      </w:pPr>
      <w:r>
        <w:rPr>
          <w:rFonts w:hint="eastAsia" w:ascii="宋体" w:hAnsi="宋体"/>
          <w:b/>
          <w:color w:val="auto"/>
          <w:szCs w:val="21"/>
          <w:highlight w:val="none"/>
        </w:rPr>
        <w:t>注：本合同仅为合同草案文本，合同签订双方可根据项目的具体要求进行修订和细化。</w:t>
      </w:r>
    </w:p>
    <w:p>
      <w:pPr>
        <w:ind w:firstLine="5670" w:firstLineChars="2700"/>
        <w:rPr>
          <w:rFonts w:hint="eastAsia" w:ascii="宋体" w:hAnsi="宋体"/>
          <w:color w:val="auto"/>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auto"/>
          <w:szCs w:val="21"/>
          <w:highlight w:val="none"/>
        </w:rPr>
      </w:pPr>
      <w:r>
        <w:rPr>
          <w:rFonts w:hint="eastAsia" w:ascii="宋体" w:hAnsi="宋体"/>
          <w:b/>
          <w:color w:val="auto"/>
          <w:szCs w:val="21"/>
          <w:highlight w:val="none"/>
        </w:rPr>
        <w:t>甲    方：</w:t>
      </w:r>
      <w:r>
        <w:rPr>
          <w:rFonts w:hint="eastAsia" w:ascii="宋体" w:hAnsi="宋体"/>
          <w:b/>
          <w:color w:val="auto"/>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乙    方：</w:t>
      </w:r>
      <w:r>
        <w:rPr>
          <w:rFonts w:hint="eastAsia" w:ascii="宋体" w:hAnsi="宋体"/>
          <w:b/>
          <w:color w:val="auto"/>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 xml:space="preserve">电    话：                传  真：           地  址： </w:t>
      </w:r>
    </w:p>
    <w:p>
      <w:pPr>
        <w:spacing w:line="360" w:lineRule="auto"/>
        <w:rPr>
          <w:rFonts w:hint="eastAsia" w:ascii="宋体" w:hAnsi="宋体" w:eastAsia="宋体" w:cs="宋体"/>
          <w:color w:val="auto"/>
          <w:sz w:val="21"/>
          <w:szCs w:val="21"/>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项目，（采购编号：</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）的采购结果及招标投标文件中的相关约定，按照</w:t>
      </w:r>
      <w:r>
        <w:rPr>
          <w:rFonts w:hint="eastAsia" w:ascii="宋体" w:hAnsi="宋体" w:eastAsia="宋体" w:cs="宋体"/>
          <w:color w:val="auto"/>
          <w:sz w:val="21"/>
          <w:szCs w:val="21"/>
          <w:highlight w:val="none"/>
        </w:rPr>
        <w:t>《中华人民共和国食品卫生法》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《中华人民共和国食品卫生法实施条例》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《学</w:t>
      </w:r>
      <w:r>
        <w:rPr>
          <w:rFonts w:hint="eastAsia" w:ascii="宋体" w:hAnsi="宋体" w:eastAsia="宋体" w:cs="宋体"/>
          <w:color w:val="auto"/>
          <w:sz w:val="21"/>
          <w:szCs w:val="21"/>
          <w:highlight w:val="none"/>
          <w:lang w:val="en-US" w:eastAsia="zh-CN"/>
        </w:rPr>
        <w:t>生食品</w:t>
      </w:r>
      <w:r>
        <w:rPr>
          <w:rFonts w:hint="eastAsia" w:ascii="宋体" w:hAnsi="宋体" w:eastAsia="宋体" w:cs="宋体"/>
          <w:color w:val="auto"/>
          <w:sz w:val="21"/>
          <w:szCs w:val="21"/>
          <w:highlight w:val="none"/>
        </w:rPr>
        <w:t>安全与营养健康管理规定》等法律规定和江城区市场监督管理局的要求，为进一步</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rPr>
        <w:t>安全工作责任制，明确安全责任，确保学校食品安全。结合我校的实际情况，特制定</w:t>
      </w:r>
      <w:r>
        <w:rPr>
          <w:rFonts w:hint="eastAsia" w:ascii="宋体" w:hAnsi="宋体" w:eastAsia="宋体" w:cs="宋体"/>
          <w:color w:val="auto"/>
          <w:sz w:val="21"/>
          <w:szCs w:val="21"/>
          <w:highlight w:val="none"/>
          <w:lang w:val="en-US" w:eastAsia="zh-CN"/>
        </w:rPr>
        <w:t>本协</w:t>
      </w:r>
      <w:r>
        <w:rPr>
          <w:rFonts w:hint="eastAsia" w:ascii="宋体" w:hAnsi="宋体" w:eastAsia="宋体" w:cs="宋体"/>
          <w:color w:val="auto"/>
          <w:sz w:val="21"/>
          <w:szCs w:val="21"/>
          <w:highlight w:val="none"/>
        </w:rPr>
        <w:t>议书</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供货方必须具备国家规定的相关合法手续，如有关部门颁发的营业执照、《食品经</w:t>
      </w:r>
      <w:r>
        <w:rPr>
          <w:rFonts w:hint="eastAsia" w:ascii="宋体" w:hAnsi="宋体" w:eastAsia="宋体" w:cs="宋体"/>
          <w:color w:val="auto"/>
          <w:sz w:val="21"/>
          <w:szCs w:val="21"/>
          <w:highlight w:val="none"/>
          <w:lang w:val="en-US" w:eastAsia="zh-CN"/>
        </w:rPr>
        <w:t>营许</w:t>
      </w:r>
      <w:r>
        <w:rPr>
          <w:rFonts w:hint="eastAsia" w:ascii="宋体" w:hAnsi="宋体" w:eastAsia="宋体" w:cs="宋体"/>
          <w:color w:val="auto"/>
          <w:sz w:val="21"/>
          <w:szCs w:val="21"/>
          <w:highlight w:val="none"/>
        </w:rPr>
        <w:t>可证》或《食品生产许可证》等。不得销售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产品，否则后果自负。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二、供货方必须做到正规渠道进货，必须保证供货质量，不得向学校食堂出售霉烂、变</w:t>
      </w:r>
      <w:r>
        <w:rPr>
          <w:rFonts w:hint="eastAsia" w:ascii="宋体" w:hAnsi="宋体" w:eastAsia="宋体" w:cs="宋体"/>
          <w:color w:val="auto"/>
          <w:sz w:val="21"/>
          <w:szCs w:val="21"/>
          <w:highlight w:val="none"/>
          <w:lang w:val="en-US" w:eastAsia="zh-CN"/>
        </w:rPr>
        <w:t>质、</w:t>
      </w:r>
      <w:r>
        <w:rPr>
          <w:rFonts w:hint="eastAsia" w:ascii="宋体" w:hAnsi="宋体" w:eastAsia="宋体" w:cs="宋体"/>
          <w:color w:val="auto"/>
          <w:sz w:val="21"/>
          <w:szCs w:val="21"/>
          <w:highlight w:val="none"/>
        </w:rPr>
        <w:t>有毒等不符合安全标准的肉类、蔬菜、调味品和食品等，如学校师生发生食品中毒事件，</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调查核实后依法追究有关责任方刑事责任和民事责任。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三、供货方必须按照甲方需要的肉类、调味品、蔬菜等的种类、数量、时间供货、不得</w:t>
      </w:r>
      <w:r>
        <w:rPr>
          <w:rFonts w:hint="eastAsia" w:ascii="宋体" w:hAnsi="宋体" w:eastAsia="宋体" w:cs="宋体"/>
          <w:color w:val="auto"/>
          <w:sz w:val="21"/>
          <w:szCs w:val="21"/>
          <w:highlight w:val="none"/>
          <w:lang w:val="en-US" w:eastAsia="zh-CN"/>
        </w:rPr>
        <w:t>超量</w:t>
      </w:r>
      <w:r>
        <w:rPr>
          <w:rFonts w:hint="eastAsia" w:ascii="宋体" w:hAnsi="宋体" w:eastAsia="宋体" w:cs="宋体"/>
          <w:color w:val="auto"/>
          <w:sz w:val="21"/>
          <w:szCs w:val="21"/>
          <w:highlight w:val="none"/>
        </w:rPr>
        <w:t>、延时、增加品种，否则甲方有权拒收乙方送交的肉类、调味品、蔬菜等食品。</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四、变质、过期、霉烂的食品，供货方应自觉地处理，不得向学校销售，如出现学生中</w:t>
      </w:r>
      <w:r>
        <w:rPr>
          <w:rFonts w:hint="eastAsia" w:ascii="宋体" w:hAnsi="宋体" w:eastAsia="宋体" w:cs="宋体"/>
          <w:color w:val="auto"/>
          <w:sz w:val="21"/>
          <w:szCs w:val="21"/>
          <w:highlight w:val="none"/>
          <w:lang w:val="en-US" w:eastAsia="zh-CN"/>
        </w:rPr>
        <w:t>毒</w:t>
      </w:r>
      <w:r>
        <w:rPr>
          <w:rFonts w:hint="eastAsia" w:ascii="宋体" w:hAnsi="宋体" w:eastAsia="宋体" w:cs="宋体"/>
          <w:color w:val="auto"/>
          <w:sz w:val="21"/>
          <w:szCs w:val="21"/>
          <w:highlight w:val="none"/>
        </w:rPr>
        <w:t>或相关食品安全问题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乙方应承担全部责任，校方有权终止合同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zh-Hans" w:eastAsia="zh-CN"/>
        </w:rPr>
        <w:t>没收所有履约保证金</w:t>
      </w:r>
      <w:r>
        <w:rPr>
          <w:rFonts w:hint="eastAsia" w:ascii="宋体" w:hAnsi="宋体" w:cs="宋体"/>
          <w:color w:val="auto"/>
          <w:sz w:val="21"/>
          <w:szCs w:val="21"/>
          <w:highlight w:val="none"/>
          <w:lang w:val="zh-Hans"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五、供货方应认真配合甲方管理人员的工作，按时、保质、保量送货到食堂，做到食品</w:t>
      </w:r>
      <w:r>
        <w:rPr>
          <w:rFonts w:hint="eastAsia" w:ascii="宋体" w:hAnsi="宋体" w:eastAsia="宋体" w:cs="宋体"/>
          <w:color w:val="auto"/>
          <w:sz w:val="21"/>
          <w:szCs w:val="21"/>
          <w:highlight w:val="none"/>
          <w:lang w:val="en-US" w:eastAsia="zh-CN"/>
        </w:rPr>
        <w:t>新</w:t>
      </w:r>
      <w:r>
        <w:rPr>
          <w:rFonts w:hint="eastAsia" w:ascii="宋体" w:hAnsi="宋体" w:eastAsia="宋体" w:cs="宋体"/>
          <w:color w:val="auto"/>
          <w:sz w:val="21"/>
          <w:szCs w:val="21"/>
          <w:highlight w:val="none"/>
        </w:rPr>
        <w:t>鲜，不能有冻品变质、霉烂、过期或临期食品，价格合理，不得弄虚作假，不得以次充好，不得</w:t>
      </w:r>
      <w:r>
        <w:rPr>
          <w:rFonts w:hint="eastAsia" w:ascii="宋体" w:hAnsi="宋体" w:eastAsia="宋体" w:cs="宋体"/>
          <w:color w:val="auto"/>
          <w:sz w:val="21"/>
          <w:szCs w:val="21"/>
          <w:highlight w:val="none"/>
          <w:lang w:val="en-US" w:eastAsia="zh-CN"/>
        </w:rPr>
        <w:t>擅</w:t>
      </w:r>
      <w:r>
        <w:rPr>
          <w:rFonts w:hint="eastAsia" w:ascii="宋体" w:hAnsi="宋体" w:eastAsia="宋体" w:cs="宋体"/>
          <w:color w:val="auto"/>
          <w:sz w:val="21"/>
          <w:szCs w:val="21"/>
          <w:highlight w:val="none"/>
        </w:rPr>
        <w:t>自改变各种食品的数量、价格和品种，否则甲方有权拒收并追究乙方</w:t>
      </w:r>
      <w:r>
        <w:rPr>
          <w:rFonts w:hint="eastAsia" w:ascii="宋体" w:hAnsi="宋体" w:cs="宋体"/>
          <w:color w:val="auto"/>
          <w:sz w:val="21"/>
          <w:szCs w:val="21"/>
          <w:highlight w:val="none"/>
          <w:lang w:val="en-US" w:eastAsia="zh-CN"/>
        </w:rPr>
        <w:t>相关责任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由此导致甲方造</w:t>
      </w:r>
      <w:r>
        <w:rPr>
          <w:rFonts w:hint="eastAsia" w:ascii="宋体" w:hAnsi="宋体" w:eastAsia="宋体" w:cs="宋体"/>
          <w:color w:val="auto"/>
          <w:sz w:val="21"/>
          <w:szCs w:val="21"/>
          <w:highlight w:val="none"/>
          <w:lang w:val="en-US" w:eastAsia="zh-CN"/>
        </w:rPr>
        <w:t>成</w:t>
      </w:r>
      <w:r>
        <w:rPr>
          <w:rFonts w:hint="eastAsia" w:ascii="宋体" w:hAnsi="宋体" w:eastAsia="宋体" w:cs="宋体"/>
          <w:color w:val="auto"/>
          <w:sz w:val="21"/>
          <w:szCs w:val="21"/>
          <w:highlight w:val="none"/>
        </w:rPr>
        <w:t>的损失。</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六、供货方提供的食品价格必须按学校周边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马曹市场、金郊市场、星源市场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市场价</w:t>
      </w:r>
      <w:r>
        <w:rPr>
          <w:rFonts w:hint="eastAsia" w:ascii="宋体" w:hAnsi="宋体" w:eastAsia="宋体" w:cs="宋体"/>
          <w:color w:val="auto"/>
          <w:sz w:val="21"/>
          <w:szCs w:val="21"/>
          <w:highlight w:val="none"/>
          <w:lang w:val="en-US" w:eastAsia="zh-CN"/>
        </w:rPr>
        <w:t>而定</w:t>
      </w:r>
      <w:r>
        <w:rPr>
          <w:rFonts w:hint="eastAsia" w:ascii="宋体" w:hAnsi="宋体" w:eastAsia="宋体" w:cs="宋体"/>
          <w:color w:val="auto"/>
          <w:sz w:val="21"/>
          <w:szCs w:val="21"/>
          <w:highlight w:val="none"/>
        </w:rPr>
        <w:t>，供货价格一定要略低于市场</w:t>
      </w:r>
      <w:r>
        <w:rPr>
          <w:rFonts w:hint="eastAsia" w:ascii="宋体" w:hAnsi="宋体" w:cs="宋体"/>
          <w:color w:val="auto"/>
          <w:sz w:val="21"/>
          <w:szCs w:val="21"/>
          <w:highlight w:val="none"/>
          <w:lang w:val="en-US" w:eastAsia="zh-CN"/>
        </w:rPr>
        <w:t>零售</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，并在随行就市前提下及时诚信报价，并自觉接收甲</w:t>
      </w:r>
      <w:r>
        <w:rPr>
          <w:rFonts w:hint="eastAsia" w:ascii="宋体" w:hAnsi="宋体" w:eastAsia="宋体" w:cs="宋体"/>
          <w:color w:val="auto"/>
          <w:sz w:val="21"/>
          <w:szCs w:val="21"/>
          <w:highlight w:val="none"/>
          <w:lang w:val="en-US" w:eastAsia="zh-CN"/>
        </w:rPr>
        <w:t>方监督</w:t>
      </w:r>
      <w:r>
        <w:rPr>
          <w:rFonts w:hint="eastAsia" w:ascii="宋体" w:hAnsi="宋体" w:eastAsia="宋体" w:cs="宋体"/>
          <w:color w:val="auto"/>
          <w:sz w:val="21"/>
          <w:szCs w:val="21"/>
          <w:highlight w:val="none"/>
        </w:rPr>
        <w:t>，如有调价、需向学校提出书面申请，经学校决定同意后才能调价。</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七、校方按每期供货实际数量付款。每期的天数约为20天左右。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以学校每期实际产生的天数为准</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、以上几点，乙方必须认真遵守执行，如违反本合同，乙方涉及食品质量与安全、价格或</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质量等其它问题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一旦发现，校方有权单方面终止合同，</w:t>
      </w:r>
      <w:r>
        <w:rPr>
          <w:rFonts w:hint="eastAsia" w:ascii="宋体" w:hAnsi="宋体" w:eastAsia="宋体" w:cs="宋体"/>
          <w:color w:val="auto"/>
          <w:sz w:val="21"/>
          <w:szCs w:val="21"/>
          <w:highlight w:val="none"/>
          <w:lang w:val="zh-Hans" w:eastAsia="zh-CN"/>
        </w:rPr>
        <w:t>没收所有履约保证金</w:t>
      </w:r>
      <w:r>
        <w:rPr>
          <w:rFonts w:hint="eastAsia" w:ascii="宋体" w:hAnsi="宋体" w:cs="宋体"/>
          <w:color w:val="auto"/>
          <w:sz w:val="21"/>
          <w:szCs w:val="21"/>
          <w:highlight w:val="none"/>
          <w:lang w:val="zh-Hans" w:eastAsia="zh-CN"/>
        </w:rPr>
        <w:t>，</w:t>
      </w:r>
      <w:r>
        <w:rPr>
          <w:rFonts w:hint="eastAsia" w:ascii="宋体" w:hAnsi="宋体" w:eastAsia="宋体" w:cs="宋体"/>
          <w:color w:val="auto"/>
          <w:sz w:val="21"/>
          <w:szCs w:val="21"/>
          <w:highlight w:val="none"/>
        </w:rPr>
        <w:t>如发生师生员工食物</w:t>
      </w:r>
      <w:r>
        <w:rPr>
          <w:rFonts w:hint="eastAsia" w:ascii="宋体" w:hAnsi="宋体" w:eastAsia="宋体" w:cs="宋体"/>
          <w:color w:val="auto"/>
          <w:sz w:val="21"/>
          <w:szCs w:val="21"/>
          <w:highlight w:val="none"/>
          <w:lang w:val="en-US" w:eastAsia="zh-CN"/>
        </w:rPr>
        <w:t>中毒等事件，</w:t>
      </w:r>
      <w:r>
        <w:rPr>
          <w:rFonts w:hint="eastAsia" w:ascii="宋体" w:hAnsi="宋体" w:eastAsia="宋体" w:cs="宋体"/>
          <w:color w:val="auto"/>
          <w:sz w:val="21"/>
          <w:szCs w:val="21"/>
          <w:highlight w:val="none"/>
        </w:rPr>
        <w:t>一切</w:t>
      </w:r>
      <w:r>
        <w:rPr>
          <w:rFonts w:hint="eastAsia" w:ascii="宋体" w:hAnsi="宋体" w:eastAsia="宋体" w:cs="宋体"/>
          <w:color w:val="auto"/>
          <w:sz w:val="21"/>
          <w:szCs w:val="21"/>
          <w:highlight w:val="none"/>
          <w:lang w:val="en-US" w:eastAsia="zh-CN"/>
        </w:rPr>
        <w:t>责任</w:t>
      </w:r>
      <w:r>
        <w:rPr>
          <w:rFonts w:hint="eastAsia" w:ascii="宋体" w:hAnsi="宋体" w:eastAsia="宋体" w:cs="宋体"/>
          <w:color w:val="auto"/>
          <w:sz w:val="21"/>
          <w:szCs w:val="21"/>
          <w:highlight w:val="none"/>
        </w:rPr>
        <w:t>由乙方承担，并依法追究其法律责任。</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九、未经甲方同意，中标方不得转让或转租中标项目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如经发现则甲方有权终止合</w:t>
      </w:r>
      <w:r>
        <w:rPr>
          <w:rFonts w:hint="eastAsia" w:ascii="宋体" w:hAnsi="宋体" w:eastAsia="宋体" w:cs="宋体"/>
          <w:color w:val="auto"/>
          <w:sz w:val="21"/>
          <w:szCs w:val="21"/>
          <w:highlight w:val="none"/>
          <w:lang w:val="en-US" w:eastAsia="zh-CN"/>
        </w:rPr>
        <w:t>同，所做</w:t>
      </w:r>
      <w:r>
        <w:rPr>
          <w:rFonts w:hint="eastAsia" w:ascii="宋体" w:hAnsi="宋体" w:eastAsia="宋体" w:cs="宋体"/>
          <w:color w:val="auto"/>
          <w:sz w:val="21"/>
          <w:szCs w:val="21"/>
          <w:highlight w:val="none"/>
        </w:rPr>
        <w:t>项目不予结</w:t>
      </w:r>
      <w:r>
        <w:rPr>
          <w:rFonts w:hint="eastAsia" w:ascii="宋体" w:hAnsi="宋体" w:eastAsia="宋体" w:cs="宋体"/>
          <w:color w:val="auto"/>
          <w:sz w:val="21"/>
          <w:szCs w:val="21"/>
          <w:highlight w:val="none"/>
          <w:lang w:val="en-US" w:eastAsia="zh-CN"/>
        </w:rPr>
        <w:t>算</w:t>
      </w:r>
      <w:r>
        <w:rPr>
          <w:rFonts w:hint="eastAsia" w:ascii="宋体" w:hAnsi="宋体" w:cs="宋体"/>
          <w:color w:val="auto"/>
          <w:sz w:val="21"/>
          <w:szCs w:val="21"/>
          <w:highlight w:val="none"/>
          <w:lang w:val="en-US" w:eastAsia="zh-CN"/>
        </w:rPr>
        <w:t>，所产生的责任由乙方自行承担。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十、其它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、本合同所有附件、采购文件、投标文件、中标通知书均为合同的有效组成部分，与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合</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2、在执行本合同的过程中，所有经双方签署确认的文件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包括会议纪要、补充协议、</w:t>
      </w:r>
      <w:r>
        <w:rPr>
          <w:rFonts w:hint="eastAsia" w:ascii="宋体" w:hAnsi="宋体" w:eastAsia="宋体" w:cs="宋体"/>
          <w:color w:val="auto"/>
          <w:sz w:val="21"/>
          <w:szCs w:val="21"/>
          <w:highlight w:val="none"/>
          <w:lang w:val="en-US" w:eastAsia="zh-CN"/>
        </w:rPr>
        <w:t>往</w:t>
      </w:r>
      <w:r>
        <w:rPr>
          <w:rFonts w:hint="eastAsia" w:ascii="宋体" w:hAnsi="宋体" w:eastAsia="宋体" w:cs="宋体"/>
          <w:color w:val="auto"/>
          <w:sz w:val="21"/>
          <w:szCs w:val="21"/>
          <w:highlight w:val="none"/>
        </w:rPr>
        <w:t>来信函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即成为本合同的有效组成部分。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3、如一方地址、电话、传真号码有变更，应在变更当日内书面通知对方，否则，应承</w:t>
      </w:r>
      <w:r>
        <w:rPr>
          <w:rFonts w:hint="eastAsia" w:ascii="宋体" w:hAnsi="宋体" w:eastAsia="宋体" w:cs="宋体"/>
          <w:color w:val="auto"/>
          <w:sz w:val="21"/>
          <w:szCs w:val="21"/>
          <w:highlight w:val="none"/>
          <w:lang w:val="en-US" w:eastAsia="zh-CN"/>
        </w:rPr>
        <w:t>担相</w:t>
      </w:r>
      <w:r>
        <w:rPr>
          <w:rFonts w:hint="eastAsia" w:ascii="宋体" w:hAnsi="宋体" w:eastAsia="宋体" w:cs="宋体"/>
          <w:color w:val="auto"/>
          <w:sz w:val="21"/>
          <w:szCs w:val="21"/>
          <w:highlight w:val="none"/>
        </w:rPr>
        <w:t>应责任。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十一、合同生效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日内有效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2、合同一式</w:t>
      </w:r>
      <w:r>
        <w:rPr>
          <w:rFonts w:hint="eastAsia" w:ascii="宋体" w:hAnsi="宋体"/>
          <w:color w:val="auto"/>
          <w:szCs w:val="21"/>
          <w:highlight w:val="none"/>
          <w:u w:val="single"/>
        </w:rPr>
        <w:t xml:space="preserve">    </w:t>
      </w:r>
      <w:r>
        <w:rPr>
          <w:rFonts w:hint="eastAsia" w:ascii="宋体" w:hAnsi="宋体" w:eastAsia="宋体" w:cs="宋体"/>
          <w:color w:val="auto"/>
          <w:sz w:val="21"/>
          <w:szCs w:val="21"/>
          <w:highlight w:val="none"/>
        </w:rPr>
        <w:t>份。甲方、乙方各执一份，均具同等法律效力。</w:t>
      </w:r>
    </w:p>
    <w:p>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bCs/>
          <w:color w:val="auto"/>
          <w:szCs w:val="21"/>
          <w:highlight w:val="none"/>
        </w:rPr>
        <w:t>本项目合同订立后，应提供</w:t>
      </w:r>
      <w:r>
        <w:rPr>
          <w:rFonts w:hint="eastAsia" w:ascii="宋体" w:hAnsi="宋体"/>
          <w:bCs/>
          <w:color w:val="auto"/>
          <w:szCs w:val="21"/>
          <w:highlight w:val="none"/>
          <w:lang w:val="en-US" w:eastAsia="zh-CN"/>
        </w:rPr>
        <w:t>一份</w:t>
      </w:r>
      <w:r>
        <w:rPr>
          <w:rFonts w:hint="eastAsia" w:ascii="宋体" w:hAnsi="宋体"/>
          <w:bCs/>
          <w:color w:val="auto"/>
          <w:szCs w:val="21"/>
          <w:highlight w:val="none"/>
        </w:rPr>
        <w:t>至</w:t>
      </w:r>
      <w:r>
        <w:rPr>
          <w:rFonts w:hint="eastAsia" w:ascii="宋体" w:hAnsi="宋体"/>
          <w:bCs/>
          <w:color w:val="auto"/>
          <w:szCs w:val="21"/>
          <w:highlight w:val="none"/>
          <w:u w:val="single"/>
        </w:rPr>
        <w:t>广东业信采购招标有限公司</w:t>
      </w:r>
      <w:r>
        <w:rPr>
          <w:rFonts w:hint="eastAsia" w:ascii="宋体" w:hAnsi="宋体"/>
          <w:bCs/>
          <w:color w:val="auto"/>
          <w:szCs w:val="21"/>
          <w:highlight w:val="none"/>
        </w:rPr>
        <w:t>备案；</w:t>
      </w:r>
    </w:p>
    <w:p>
      <w:pPr>
        <w:pStyle w:val="2"/>
        <w:rPr>
          <w:rFonts w:hint="eastAsia" w:ascii="宋体" w:hAnsi="宋体"/>
          <w:bCs/>
          <w:color w:val="auto"/>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auto"/>
          <w:szCs w:val="21"/>
          <w:highlight w:val="none"/>
        </w:rPr>
      </w:pPr>
      <w:r>
        <w:rPr>
          <w:rFonts w:hint="eastAsia" w:ascii="宋体" w:hAnsi="宋体"/>
          <w:color w:val="auto"/>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auto"/>
          <w:szCs w:val="21"/>
          <w:highlight w:val="none"/>
        </w:rPr>
      </w:pPr>
      <w:r>
        <w:rPr>
          <w:rFonts w:hint="eastAsia" w:ascii="宋体" w:hAnsi="宋体"/>
          <w:color w:val="auto"/>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auto"/>
          <w:highlight w:val="none"/>
        </w:rPr>
      </w:pPr>
      <w:r>
        <w:rPr>
          <w:rFonts w:hint="eastAsia" w:ascii="宋体" w:hAnsi="宋体"/>
          <w:color w:val="auto"/>
          <w:szCs w:val="21"/>
          <w:highlight w:val="none"/>
        </w:rPr>
        <w:t>开 户 行：</w:t>
      </w:r>
    </w:p>
    <w:p>
      <w:pPr>
        <w:pStyle w:val="2"/>
        <w:rPr>
          <w:rFonts w:hint="eastAsia" w:ascii="宋体" w:hAnsi="宋体"/>
          <w:bCs/>
          <w:color w:val="auto"/>
          <w:szCs w:val="21"/>
          <w:highlight w:val="none"/>
        </w:rPr>
      </w:pP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auto"/>
          <w:highlight w:val="none"/>
        </w:rPr>
      </w:pPr>
      <w:r>
        <w:rPr>
          <w:rFonts w:hint="eastAsia" w:ascii="宋体" w:hAnsi="宋体"/>
          <w:color w:val="auto"/>
          <w:szCs w:val="21"/>
          <w:highlight w:val="none"/>
        </w:rPr>
        <w:t>开 户 行：</w:t>
      </w:r>
    </w:p>
    <w:p>
      <w:pPr>
        <w:tabs>
          <w:tab w:val="left" w:pos="1004"/>
        </w:tabs>
        <w:spacing w:line="440" w:lineRule="exact"/>
        <w:rPr>
          <w:rFonts w:ascii="宋体" w:hAnsi="宋体"/>
          <w:bCs/>
          <w:color w:val="auto"/>
          <w:szCs w:val="21"/>
          <w:highlight w:val="none"/>
        </w:rPr>
      </w:pPr>
    </w:p>
    <w:p>
      <w:pPr>
        <w:tabs>
          <w:tab w:val="left" w:pos="1004"/>
        </w:tabs>
        <w:spacing w:line="440" w:lineRule="exact"/>
        <w:ind w:right="31" w:rightChars="15"/>
        <w:rPr>
          <w:rFonts w:ascii="宋体" w:hAnsi="宋体"/>
          <w:b/>
          <w:bCs/>
          <w:color w:val="auto"/>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auto"/>
          <w:highlight w:val="none"/>
        </w:rPr>
      </w:pPr>
      <w:bookmarkStart w:id="1616" w:name="_Toc332270356"/>
      <w:bookmarkStart w:id="1617" w:name="_Toc333237798"/>
      <w:bookmarkStart w:id="1618" w:name="_Toc333935697"/>
      <w:bookmarkStart w:id="1619" w:name="_Toc339019899"/>
      <w:bookmarkStart w:id="1620" w:name="_Toc333238643"/>
      <w:bookmarkStart w:id="1621" w:name="_Toc339020243"/>
      <w:bookmarkStart w:id="1622" w:name="_Toc342296770"/>
      <w:bookmarkStart w:id="1623" w:name="_Toc366072539"/>
      <w:bookmarkStart w:id="1624" w:name="_Toc339441097"/>
      <w:bookmarkStart w:id="1625" w:name="_Toc365967082"/>
      <w:bookmarkStart w:id="1626" w:name="_Toc339020105"/>
      <w:bookmarkStart w:id="1627" w:name="_Toc340677080"/>
      <w:bookmarkStart w:id="1628" w:name="_Toc342060384"/>
      <w:bookmarkStart w:id="1629" w:name="_Toc349127636"/>
      <w:bookmarkStart w:id="1630" w:name="_Toc332206718"/>
      <w:bookmarkStart w:id="1631" w:name="_Toc341348348"/>
      <w:bookmarkStart w:id="1632" w:name="_Toc349143599"/>
      <w:bookmarkStart w:id="1633" w:name="_Toc339020025"/>
      <w:bookmarkStart w:id="1634" w:name="_Toc20193"/>
      <w:bookmarkStart w:id="1635" w:name="_Toc340507452"/>
      <w:bookmarkStart w:id="1636" w:name="_Toc330459995"/>
      <w:bookmarkStart w:id="1637" w:name="_Toc350438759"/>
      <w:bookmarkStart w:id="1638" w:name="_Toc345513911"/>
      <w:bookmarkStart w:id="1639" w:name="_Toc337632368"/>
      <w:bookmarkStart w:id="1640" w:name="_Toc333935356"/>
      <w:bookmarkStart w:id="1641" w:name="_Toc491658678"/>
      <w:bookmarkStart w:id="1642" w:name="_Toc331512908"/>
      <w:bookmarkStart w:id="1643" w:name="_Toc339362310"/>
      <w:bookmarkStart w:id="1644" w:name="_Toc350756460"/>
      <w:bookmarkStart w:id="1645" w:name="_Toc500861025"/>
      <w:bookmarkStart w:id="1646" w:name="_Toc340672879"/>
      <w:bookmarkStart w:id="1647" w:name="_Toc331684048"/>
      <w:bookmarkStart w:id="1648" w:name="_Toc336681945"/>
      <w:bookmarkStart w:id="1649" w:name="_Toc336681590"/>
      <w:bookmarkStart w:id="1650" w:name="_Toc333237687"/>
      <w:bookmarkStart w:id="1651" w:name="_Toc365985188"/>
      <w:r>
        <w:rPr>
          <w:rFonts w:hint="eastAsia"/>
          <w:color w:val="auto"/>
          <w:highlight w:val="none"/>
        </w:rPr>
        <w:t>第五部分</w:t>
      </w:r>
      <w:bookmarkStart w:id="1652" w:name="_Hlt97188172"/>
      <w:bookmarkEnd w:id="1652"/>
      <w:r>
        <w:rPr>
          <w:rFonts w:hint="eastAsia"/>
          <w:color w:val="auto"/>
          <w:highlight w:val="none"/>
        </w:rPr>
        <w:t xml:space="preserve"> </w:t>
      </w:r>
      <w:r>
        <w:rPr>
          <w:color w:val="auto"/>
          <w:highlight w:val="none"/>
        </w:rPr>
        <w:t xml:space="preserve"> </w:t>
      </w:r>
      <w:r>
        <w:rPr>
          <w:rFonts w:hint="eastAsia"/>
          <w:color w:val="auto"/>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auto"/>
          <w:sz w:val="24"/>
          <w:highlight w:val="none"/>
        </w:rPr>
      </w:pPr>
      <w:bookmarkStart w:id="1654" w:name="_Toc331684049"/>
      <w:bookmarkStart w:id="1655" w:name="_Toc349127637"/>
      <w:bookmarkStart w:id="1656" w:name="_Toc336681591"/>
      <w:bookmarkStart w:id="1657" w:name="_Toc332206719"/>
      <w:bookmarkStart w:id="1658" w:name="_Toc339441098"/>
      <w:bookmarkStart w:id="1659" w:name="_Toc342060385"/>
      <w:bookmarkStart w:id="1660" w:name="_Toc340672880"/>
      <w:bookmarkStart w:id="1661" w:name="_Toc365967083"/>
      <w:bookmarkStart w:id="1662" w:name="_Toc333237799"/>
      <w:bookmarkStart w:id="1663" w:name="_Toc339020026"/>
      <w:bookmarkStart w:id="1664" w:name="_Toc366072540"/>
      <w:bookmarkStart w:id="1665" w:name="_Toc349143600"/>
      <w:bookmarkStart w:id="1666" w:name="_Toc365985189"/>
      <w:bookmarkStart w:id="1667" w:name="_Toc32529"/>
      <w:bookmarkStart w:id="1668" w:name="_Toc332270357"/>
      <w:bookmarkStart w:id="1669" w:name="_Toc336681946"/>
      <w:bookmarkStart w:id="1670" w:name="_Toc333935698"/>
      <w:bookmarkStart w:id="1671" w:name="_Toc339020106"/>
      <w:bookmarkStart w:id="1672" w:name="_Toc350438760"/>
      <w:bookmarkStart w:id="1673" w:name="_Toc341348349"/>
      <w:bookmarkStart w:id="1674" w:name="_Toc333238644"/>
      <w:bookmarkStart w:id="1675" w:name="_Toc340507453"/>
      <w:bookmarkStart w:id="1676" w:name="_Toc339019900"/>
      <w:bookmarkStart w:id="1677" w:name="_Toc339020244"/>
      <w:bookmarkStart w:id="1678" w:name="_Toc342296771"/>
      <w:bookmarkStart w:id="1679" w:name="_Toc340677081"/>
      <w:bookmarkStart w:id="1680" w:name="_Toc330459996"/>
      <w:bookmarkStart w:id="1681" w:name="_Toc331512909"/>
      <w:bookmarkStart w:id="1682" w:name="_Toc350756461"/>
      <w:bookmarkStart w:id="1683" w:name="_Toc337632369"/>
      <w:bookmarkStart w:id="1684" w:name="_Toc345513912"/>
      <w:bookmarkStart w:id="1685" w:name="_Toc339362311"/>
      <w:bookmarkStart w:id="1686" w:name="_Toc333237688"/>
      <w:bookmarkStart w:id="1687" w:name="_Toc333935357"/>
      <w:bookmarkStart w:id="1688" w:name="_Hlk534184453"/>
      <w:r>
        <w:rPr>
          <w:rFonts w:hint="eastAsia"/>
          <w:color w:val="auto"/>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auto"/>
          <w:sz w:val="21"/>
          <w:highlight w:val="none"/>
        </w:rPr>
      </w:pPr>
    </w:p>
    <w:p>
      <w:pPr>
        <w:pStyle w:val="5"/>
        <w:spacing w:line="360" w:lineRule="auto"/>
        <w:rPr>
          <w:rFonts w:hAnsi="宋体"/>
          <w:bCs/>
          <w:color w:val="auto"/>
          <w:sz w:val="21"/>
          <w:highlight w:val="none"/>
        </w:rPr>
      </w:pPr>
      <w:r>
        <w:rPr>
          <w:rFonts w:hint="eastAsia" w:hAnsi="宋体"/>
          <w:bCs/>
          <w:color w:val="auto"/>
          <w:sz w:val="21"/>
          <w:highlight w:val="none"/>
        </w:rPr>
        <w:t xml:space="preserve">1、投标内容应当编有目录、页码，按页码排序并装订成册。  </w:t>
      </w:r>
    </w:p>
    <w:p>
      <w:pPr>
        <w:pStyle w:val="5"/>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pStyle w:val="5"/>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pPr>
        <w:pStyle w:val="5"/>
        <w:spacing w:line="360" w:lineRule="auto"/>
        <w:jc w:val="center"/>
        <w:rPr>
          <w:rFonts w:hAnsi="宋体"/>
          <w:bCs/>
          <w:color w:val="auto"/>
          <w:sz w:val="52"/>
          <w:szCs w:val="52"/>
          <w:highlight w:val="none"/>
        </w:rPr>
      </w:pPr>
    </w:p>
    <w:p>
      <w:pPr>
        <w:pStyle w:val="5"/>
        <w:spacing w:line="360" w:lineRule="auto"/>
        <w:jc w:val="center"/>
        <w:rPr>
          <w:rFonts w:hAnsi="宋体"/>
          <w:bCs/>
          <w:color w:val="auto"/>
          <w:sz w:val="52"/>
          <w:szCs w:val="52"/>
          <w:highlight w:val="none"/>
        </w:rPr>
      </w:pPr>
    </w:p>
    <w:p>
      <w:pPr>
        <w:pStyle w:val="5"/>
        <w:spacing w:line="360" w:lineRule="auto"/>
        <w:jc w:val="center"/>
        <w:rPr>
          <w:rFonts w:hAnsi="宋体"/>
          <w:bCs/>
          <w:color w:val="auto"/>
          <w:sz w:val="52"/>
          <w:szCs w:val="52"/>
          <w:highlight w:val="none"/>
        </w:rPr>
      </w:pPr>
    </w:p>
    <w:p>
      <w:pPr>
        <w:pStyle w:val="5"/>
        <w:spacing w:line="360" w:lineRule="auto"/>
        <w:jc w:val="center"/>
        <w:rPr>
          <w:rFonts w:hAnsi="宋体"/>
          <w:bCs/>
          <w:color w:val="auto"/>
          <w:sz w:val="52"/>
          <w:szCs w:val="52"/>
          <w:highlight w:val="none"/>
        </w:rPr>
      </w:pPr>
    </w:p>
    <w:p>
      <w:pPr>
        <w:pStyle w:val="5"/>
        <w:spacing w:line="360" w:lineRule="auto"/>
        <w:jc w:val="center"/>
        <w:rPr>
          <w:rFonts w:hAnsi="宋体"/>
          <w:bCs/>
          <w:color w:val="auto"/>
          <w:sz w:val="52"/>
          <w:szCs w:val="52"/>
          <w:highlight w:val="none"/>
        </w:rPr>
      </w:pPr>
    </w:p>
    <w:p>
      <w:pPr>
        <w:pStyle w:val="5"/>
        <w:spacing w:line="440" w:lineRule="exact"/>
        <w:jc w:val="center"/>
        <w:rPr>
          <w:rFonts w:hAnsi="宋体"/>
          <w:bCs/>
          <w:color w:val="auto"/>
          <w:sz w:val="21"/>
          <w:highlight w:val="none"/>
        </w:rPr>
      </w:pPr>
    </w:p>
    <w:p>
      <w:pPr>
        <w:pStyle w:val="5"/>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pStyle w:val="5"/>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tabs>
          <w:tab w:val="left" w:pos="1004"/>
          <w:tab w:val="left" w:pos="4267"/>
        </w:tabs>
        <w:spacing w:line="400" w:lineRule="exact"/>
        <w:rPr>
          <w:rFonts w:ascii="宋体" w:hAnsi="宋体"/>
          <w:bCs/>
          <w:color w:val="auto"/>
          <w:highlight w:val="none"/>
        </w:rPr>
      </w:pPr>
    </w:p>
    <w:p>
      <w:pPr>
        <w:rPr>
          <w:color w:val="auto"/>
          <w:sz w:val="24"/>
          <w:highlight w:val="none"/>
        </w:rPr>
      </w:pPr>
      <w:bookmarkStart w:id="1689" w:name="_Toc30307"/>
      <w:bookmarkStart w:id="1690" w:name="_Toc272497428"/>
      <w:bookmarkStart w:id="1691" w:name="_Toc268004451"/>
      <w:r>
        <w:rPr>
          <w:rFonts w:hint="eastAsia"/>
          <w:color w:val="auto"/>
          <w:sz w:val="24"/>
          <w:highlight w:val="none"/>
        </w:rPr>
        <w:br w:type="page"/>
      </w:r>
    </w:p>
    <w:p>
      <w:pPr>
        <w:pStyle w:val="4"/>
        <w:numPr>
          <w:ilvl w:val="7"/>
          <w:numId w:val="6"/>
        </w:numPr>
        <w:tabs>
          <w:tab w:val="clear" w:pos="720"/>
        </w:tabs>
        <w:spacing w:before="240" w:after="240" w:line="360" w:lineRule="exact"/>
        <w:ind w:left="0" w:firstLine="0"/>
        <w:rPr>
          <w:color w:val="auto"/>
          <w:sz w:val="24"/>
          <w:highlight w:val="none"/>
        </w:rPr>
      </w:pPr>
      <w:r>
        <w:rPr>
          <w:rFonts w:hint="eastAsia"/>
          <w:color w:val="auto"/>
          <w:sz w:val="24"/>
          <w:highlight w:val="none"/>
        </w:rPr>
        <w:t xml:space="preserve">  </w:t>
      </w:r>
      <w:bookmarkStart w:id="1692" w:name="_Toc502"/>
      <w:r>
        <w:rPr>
          <w:rFonts w:hint="eastAsia"/>
          <w:color w:val="auto"/>
          <w:sz w:val="24"/>
          <w:highlight w:val="none"/>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auto"/>
          <w:szCs w:val="21"/>
          <w:highlight w:val="none"/>
        </w:rPr>
      </w:pPr>
      <w:r>
        <w:rPr>
          <w:rFonts w:hint="eastAsia" w:ascii="宋体"/>
          <w:b/>
          <w:bCs w:val="0"/>
          <w:color w:val="auto"/>
          <w:szCs w:val="21"/>
          <w:highlight w:val="none"/>
        </w:rPr>
        <w:t xml:space="preserve"> </w:t>
      </w:r>
      <w:bookmarkStart w:id="1693" w:name="_Toc7192"/>
      <w:r>
        <w:rPr>
          <w:rFonts w:hint="eastAsia" w:ascii="宋体"/>
          <w:b/>
          <w:bCs w:val="0"/>
          <w:color w:val="auto"/>
          <w:szCs w:val="21"/>
          <w:highlight w:val="none"/>
        </w:rPr>
        <w:t>资格性自查表</w:t>
      </w:r>
      <w:bookmarkEnd w:id="1693"/>
    </w:p>
    <w:tbl>
      <w:tblPr>
        <w:tblStyle w:val="47"/>
        <w:tblpPr w:leftFromText="180" w:rightFromText="180" w:vertAnchor="text" w:horzAnchor="page" w:tblpX="1437" w:tblpY="302"/>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评审内容</w:t>
            </w:r>
          </w:p>
        </w:tc>
        <w:tc>
          <w:tcPr>
            <w:tcW w:w="29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auto"/>
                <w:szCs w:val="21"/>
                <w:highlight w:val="none"/>
              </w:rPr>
            </w:pPr>
            <w:r>
              <w:rPr>
                <w:rFonts w:hint="eastAsia" w:ascii="宋体" w:hAnsi="宋体"/>
                <w:bCs/>
                <w:color w:val="auto"/>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auto"/>
                <w:highlight w:val="none"/>
              </w:rPr>
            </w:pPr>
            <w:r>
              <w:rPr>
                <w:rFonts w:hint="eastAsia"/>
                <w:color w:val="auto"/>
                <w:highlight w:val="none"/>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auto"/>
                <w:highlight w:val="none"/>
              </w:rPr>
            </w:pPr>
            <w:r>
              <w:rPr>
                <w:rFonts w:hint="eastAsia"/>
                <w:color w:val="auto"/>
                <w:highlight w:val="none"/>
              </w:rPr>
              <w:t>投标人资格要求</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auto"/>
                <w:szCs w:val="21"/>
                <w:highlight w:val="none"/>
              </w:rPr>
            </w:pPr>
            <w:r>
              <w:rPr>
                <w:rFonts w:hint="eastAsia" w:ascii="宋体" w:hAnsi="宋体"/>
                <w:b/>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auto"/>
                <w:szCs w:val="21"/>
                <w:highlight w:val="none"/>
              </w:rPr>
            </w:pPr>
            <w:r>
              <w:rPr>
                <w:rFonts w:hint="eastAsia" w:ascii="宋体" w:hAnsi="宋体"/>
                <w:b/>
                <w:color w:val="auto"/>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lang w:val="en-US" w:eastAsia="zh-CN"/>
              </w:rPr>
              <w:t>单位负责人为同一人或者存在直接控股、管理关系的不同供应商，不得参加同一合同项下的政府采购活动。（提供《投标函》承诺）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lang w:val="en-US" w:eastAsia="zh-CN"/>
              </w:rPr>
              <w:t>为采购项目提供整体设计、规范编制或者项目管理、监理、检测等服务的供应商，不得再参加采购项目的其他采购活动。（提供《投标函》承诺）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auto"/>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auto"/>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auto"/>
                <w:szCs w:val="21"/>
                <w:highlight w:val="none"/>
              </w:rPr>
            </w:pPr>
            <w:r>
              <w:rPr>
                <w:rFonts w:hint="eastAsia" w:ascii="宋体" w:hAnsi="宋体"/>
                <w:b w:val="0"/>
                <w:bCs w:val="0"/>
                <w:color w:val="auto"/>
                <w:szCs w:val="21"/>
                <w:highlight w:val="none"/>
                <w:lang w:val="en-US" w:eastAsia="zh-CN"/>
              </w:rPr>
              <w:t>投标人必须具备有效的《食品经营许可证》。</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auto"/>
                <w:szCs w:val="21"/>
                <w:highlight w:val="none"/>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auto"/>
                <w:szCs w:val="21"/>
                <w:highlight w:val="none"/>
              </w:rPr>
            </w:pPr>
            <w:r>
              <w:rPr>
                <w:rFonts w:hint="eastAsia" w:ascii="宋体" w:hAnsi="宋体"/>
                <w:color w:val="auto"/>
                <w:szCs w:val="21"/>
                <w:highlight w:val="none"/>
              </w:rPr>
              <w:t>不接受联合体投标</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auto"/>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auto"/>
                <w:szCs w:val="21"/>
                <w:highlight w:val="none"/>
              </w:rPr>
            </w:pPr>
            <w:r>
              <w:rPr>
                <w:rFonts w:hint="eastAsia" w:ascii="宋体" w:hAnsi="宋体"/>
                <w:color w:val="auto"/>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auto"/>
                <w:szCs w:val="21"/>
                <w:highlight w:val="none"/>
              </w:rPr>
            </w:pPr>
            <w:r>
              <w:rPr>
                <w:rFonts w:hint="eastAsia" w:ascii="宋体" w:hAnsi="宋体"/>
                <w:color w:val="auto"/>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auto"/>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auto"/>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auto"/>
          <w:szCs w:val="21"/>
          <w:highlight w:val="none"/>
        </w:rPr>
      </w:pPr>
      <w:r>
        <w:rPr>
          <w:rFonts w:hint="eastAsia" w:ascii="宋体" w:hAnsi="宋体"/>
          <w:color w:val="auto"/>
          <w:szCs w:val="21"/>
          <w:highlight w:val="none"/>
        </w:rPr>
        <w:t>日期：   年   月   日</w:t>
      </w:r>
    </w:p>
    <w:p>
      <w:pPr>
        <w:tabs>
          <w:tab w:val="left" w:pos="1004"/>
          <w:tab w:val="left" w:pos="4267"/>
        </w:tabs>
        <w:spacing w:line="400" w:lineRule="exact"/>
        <w:rPr>
          <w:rFonts w:ascii="宋体" w:hAnsi="宋体"/>
          <w:bCs/>
          <w:color w:val="auto"/>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auto"/>
          <w:highlight w:val="none"/>
        </w:rPr>
      </w:pPr>
      <w:bookmarkStart w:id="1694" w:name="_Toc3507"/>
      <w:bookmarkStart w:id="1695" w:name="_Toc399684363"/>
      <w:bookmarkStart w:id="1696" w:name="_Toc399147593"/>
      <w:bookmarkStart w:id="1697" w:name="_Toc382404102"/>
      <w:bookmarkStart w:id="1698" w:name="_Toc333935359"/>
      <w:bookmarkStart w:id="1699" w:name="_Toc350438762"/>
      <w:bookmarkStart w:id="1700" w:name="_Toc345312610"/>
      <w:bookmarkStart w:id="1701" w:name="_Toc342398143"/>
      <w:bookmarkStart w:id="1702" w:name="_Toc333237802"/>
      <w:bookmarkStart w:id="1703" w:name="_Toc339019902"/>
      <w:bookmarkStart w:id="1704" w:name="_Toc332270360"/>
      <w:bookmarkStart w:id="1705" w:name="_Toc342060388"/>
      <w:bookmarkStart w:id="1706" w:name="_Toc342296774"/>
      <w:bookmarkStart w:id="1707" w:name="_Toc333237691"/>
      <w:bookmarkStart w:id="1708" w:name="_Toc366072542"/>
      <w:bookmarkStart w:id="1709" w:name="_Toc340677083"/>
      <w:bookmarkStart w:id="1710" w:name="_Toc339020028"/>
      <w:bookmarkStart w:id="1711" w:name="_Toc336681593"/>
      <w:bookmarkStart w:id="1712" w:name="_Toc350756463"/>
      <w:bookmarkStart w:id="1713" w:name="_Toc336681948"/>
      <w:bookmarkStart w:id="1714" w:name="_Toc333238647"/>
      <w:bookmarkStart w:id="1715" w:name="_Toc331512914"/>
      <w:bookmarkStart w:id="1716" w:name="_Toc340507455"/>
      <w:bookmarkStart w:id="1717" w:name="_Toc342312456"/>
      <w:bookmarkStart w:id="1718" w:name="_Toc365985191"/>
      <w:bookmarkStart w:id="1719" w:name="_Toc339020246"/>
      <w:bookmarkStart w:id="1720" w:name="_Toc332206722"/>
      <w:bookmarkStart w:id="1721" w:name="_Toc365967085"/>
      <w:bookmarkStart w:id="1722" w:name="_Toc340672882"/>
      <w:bookmarkStart w:id="1723" w:name="_Toc333935700"/>
      <w:bookmarkStart w:id="1724" w:name="_Toc343247113"/>
      <w:bookmarkStart w:id="1725" w:name="_Toc330459999"/>
      <w:bookmarkStart w:id="1726" w:name="_Toc337632371"/>
      <w:bookmarkStart w:id="1727" w:name="_Toc341348353"/>
      <w:bookmarkStart w:id="1728" w:name="_Toc339441100"/>
      <w:bookmarkStart w:id="1729" w:name="_Toc331684055"/>
      <w:bookmarkStart w:id="1730" w:name="_Toc343248431"/>
      <w:bookmarkStart w:id="1731" w:name="_Toc339020108"/>
      <w:bookmarkStart w:id="1732" w:name="_Toc339362313"/>
      <w:bookmarkStart w:id="1733" w:name="_Toc343612933"/>
      <w:bookmarkStart w:id="1734" w:name="_Toc467236768"/>
      <w:bookmarkStart w:id="1735" w:name="_Toc454701405"/>
      <w:bookmarkStart w:id="1736" w:name="_Toc458262638"/>
      <w:bookmarkStart w:id="1737" w:name="_Toc468606057"/>
      <w:bookmarkStart w:id="1738" w:name="_Toc468157564"/>
      <w:bookmarkStart w:id="1739" w:name="_Toc6397150"/>
      <w:bookmarkStart w:id="1740" w:name="_Toc467987851"/>
      <w:bookmarkStart w:id="1741" w:name="_Toc480010736"/>
      <w:bookmarkStart w:id="1742" w:name="_Toc479991610"/>
      <w:bookmarkStart w:id="1743" w:name="_Toc480021081"/>
      <w:bookmarkStart w:id="1744" w:name="_Toc500861026"/>
      <w:bookmarkStart w:id="1745" w:name="_Toc480020285"/>
      <w:bookmarkStart w:id="1746" w:name="_Toc6727971"/>
      <w:bookmarkStart w:id="1747" w:name="_Toc491658679"/>
      <w:r>
        <w:rPr>
          <w:rFonts w:hint="eastAsia"/>
          <w:color w:val="auto"/>
          <w:highlight w:val="none"/>
        </w:rPr>
        <w:t>（一）资格审查文件要求提交的有效证明文件</w:t>
      </w:r>
      <w:bookmarkEnd w:id="1694"/>
    </w:p>
    <w:p>
      <w:pPr>
        <w:adjustRightInd w:val="0"/>
        <w:snapToGrid w:val="0"/>
        <w:spacing w:line="360" w:lineRule="auto"/>
        <w:jc w:val="left"/>
        <w:rPr>
          <w:rFonts w:ascii="宋体" w:hAnsi="宋体"/>
          <w:b/>
          <w:bCs/>
          <w:cap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C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pPr>
        <w:pStyle w:val="5"/>
        <w:rPr>
          <w:color w:val="auto"/>
          <w:highlight w:val="none"/>
        </w:rPr>
      </w:pP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bookmarkEnd w:id="1695"/>
    <w:bookmarkEnd w:id="1696"/>
    <w:p>
      <w:pPr>
        <w:pStyle w:val="5"/>
        <w:rPr>
          <w:rFonts w:hAnsi="宋体"/>
          <w:bCs/>
          <w:color w:val="auto"/>
          <w:sz w:val="21"/>
          <w:szCs w:val="21"/>
          <w:highlight w:val="none"/>
        </w:rPr>
      </w:pPr>
    </w:p>
    <w:p>
      <w:pPr>
        <w:pStyle w:val="5"/>
        <w:rPr>
          <w:rFonts w:hAnsi="宋体"/>
          <w:bCs/>
          <w:color w:val="auto"/>
          <w:sz w:val="21"/>
          <w:szCs w:val="21"/>
          <w:highlight w:val="none"/>
        </w:rPr>
      </w:pPr>
    </w:p>
    <w:p>
      <w:pPr>
        <w:pStyle w:val="5"/>
        <w:rPr>
          <w:rFonts w:hAnsi="宋体"/>
          <w:bCs/>
          <w:color w:val="auto"/>
          <w:sz w:val="21"/>
          <w:szCs w:val="21"/>
          <w:highlight w:val="none"/>
        </w:rPr>
      </w:pPr>
    </w:p>
    <w:p>
      <w:pPr>
        <w:pStyle w:val="5"/>
        <w:rPr>
          <w:rFonts w:hAnsi="宋体"/>
          <w:bCs/>
          <w:color w:val="auto"/>
          <w:sz w:val="21"/>
          <w:szCs w:val="21"/>
          <w:highlight w:val="none"/>
        </w:rPr>
      </w:pPr>
    </w:p>
    <w:p>
      <w:pPr>
        <w:pStyle w:val="5"/>
        <w:rPr>
          <w:rFonts w:hAnsi="宋体"/>
          <w:color w:val="auto"/>
          <w:sz w:val="21"/>
          <w:szCs w:val="21"/>
          <w:highlight w:val="none"/>
        </w:rPr>
      </w:pPr>
      <w:r>
        <w:rPr>
          <w:rFonts w:hint="eastAsia" w:hAnsi="宋体"/>
          <w:bCs/>
          <w:color w:val="auto"/>
          <w:sz w:val="21"/>
          <w:szCs w:val="21"/>
          <w:highlight w:val="none"/>
        </w:rPr>
        <w:t>提供招标文件要求的资格</w:t>
      </w:r>
      <w:r>
        <w:rPr>
          <w:rFonts w:hint="eastAsia" w:hAnsi="宋体"/>
          <w:color w:val="auto"/>
          <w:sz w:val="21"/>
          <w:szCs w:val="21"/>
          <w:highlight w:val="none"/>
        </w:rPr>
        <w:t>证明文件复印件加盖公章。</w:t>
      </w: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5"/>
        <w:rPr>
          <w:rFonts w:hAnsi="宋体"/>
          <w:color w:val="auto"/>
          <w:szCs w:val="21"/>
          <w:highlight w:val="none"/>
        </w:rPr>
      </w:pPr>
    </w:p>
    <w:p>
      <w:pPr>
        <w:pStyle w:val="4"/>
        <w:numPr>
          <w:ilvl w:val="0"/>
          <w:numId w:val="0"/>
        </w:numPr>
        <w:rPr>
          <w:rFonts w:hAnsi="黑体"/>
          <w:color w:val="auto"/>
          <w:szCs w:val="21"/>
          <w:highlight w:val="none"/>
        </w:rPr>
      </w:pPr>
      <w:bookmarkStart w:id="1748" w:name="_Toc16269"/>
      <w:r>
        <w:rPr>
          <w:rFonts w:hint="eastAsia" w:hAnsi="黑体"/>
          <w:color w:val="auto"/>
          <w:szCs w:val="21"/>
          <w:highlight w:val="none"/>
        </w:rPr>
        <w:t>（二）无重大违法记录声明函</w:t>
      </w:r>
      <w:bookmarkEnd w:id="1697"/>
      <w:bookmarkEnd w:id="1748"/>
    </w:p>
    <w:p>
      <w:pPr>
        <w:pStyle w:val="5"/>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致广东业信采购招标有限公司：</w:t>
      </w:r>
    </w:p>
    <w:p>
      <w:pPr>
        <w:spacing w:line="360" w:lineRule="auto"/>
        <w:rPr>
          <w:rFonts w:ascii="宋体" w:hAnsi="宋体"/>
          <w:bCs/>
          <w:color w:val="auto"/>
          <w:highlight w:val="none"/>
          <w:u w:val="single"/>
        </w:rPr>
      </w:pPr>
      <w:r>
        <w:rPr>
          <w:rFonts w:hint="eastAsia"/>
          <w:color w:val="auto"/>
          <w:szCs w:val="21"/>
          <w:highlight w:val="none"/>
        </w:rPr>
        <w:t xml:space="preserve">    针对贵</w:t>
      </w:r>
      <w:r>
        <w:rPr>
          <w:rFonts w:hint="eastAsia" w:ascii="宋体" w:hAnsi="宋体"/>
          <w:color w:val="auto"/>
          <w:szCs w:val="21"/>
          <w:highlight w:val="none"/>
        </w:rPr>
        <w:t>方</w:t>
      </w:r>
      <w:r>
        <w:rPr>
          <w:rFonts w:hint="eastAsia"/>
          <w:color w:val="auto"/>
          <w:szCs w:val="21"/>
          <w:highlight w:val="none"/>
        </w:rPr>
        <w:t>组织的（项目名称：</w:t>
      </w:r>
      <w:r>
        <w:rPr>
          <w:rFonts w:hint="eastAsia"/>
          <w:color w:val="auto"/>
          <w:szCs w:val="21"/>
          <w:highlight w:val="none"/>
          <w:u w:val="single"/>
        </w:rPr>
        <w:t xml:space="preserve">                         </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 xml:space="preserve">    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pPr>
        <w:spacing w:line="360" w:lineRule="auto"/>
        <w:rPr>
          <w:color w:val="auto"/>
          <w:szCs w:val="21"/>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5"/>
        <w:ind w:left="420" w:firstLine="0"/>
        <w:rPr>
          <w:color w:val="auto"/>
          <w:highlight w:val="none"/>
        </w:rPr>
      </w:pPr>
    </w:p>
    <w:p>
      <w:pPr>
        <w:pStyle w:val="5"/>
        <w:ind w:left="420" w:firstLine="0"/>
        <w:rPr>
          <w:color w:val="auto"/>
          <w:highlight w:val="none"/>
        </w:rPr>
      </w:pPr>
    </w:p>
    <w:p>
      <w:pPr>
        <w:pStyle w:val="5"/>
        <w:ind w:left="420" w:firstLine="0"/>
        <w:rPr>
          <w:color w:val="auto"/>
          <w:highlight w:val="none"/>
        </w:rPr>
      </w:pPr>
    </w:p>
    <w:p>
      <w:pPr>
        <w:pStyle w:val="5"/>
        <w:ind w:left="420" w:firstLine="0"/>
        <w:rPr>
          <w:color w:val="auto"/>
          <w:highlight w:val="none"/>
        </w:rPr>
      </w:pPr>
    </w:p>
    <w:p>
      <w:pPr>
        <w:pStyle w:val="5"/>
        <w:ind w:left="420" w:firstLine="0"/>
        <w:rPr>
          <w:color w:val="auto"/>
          <w:highlight w:val="none"/>
        </w:rPr>
      </w:pPr>
    </w:p>
    <w:p>
      <w:pPr>
        <w:pStyle w:val="5"/>
        <w:ind w:left="420" w:firstLine="0"/>
        <w:rPr>
          <w:color w:val="auto"/>
          <w:highlight w:val="none"/>
        </w:rPr>
      </w:pPr>
    </w:p>
    <w:p>
      <w:pPr>
        <w:pStyle w:val="5"/>
        <w:ind w:left="420" w:firstLine="0"/>
        <w:rPr>
          <w:color w:val="auto"/>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4"/>
        <w:numPr>
          <w:ilvl w:val="7"/>
          <w:numId w:val="6"/>
        </w:numPr>
        <w:tabs>
          <w:tab w:val="clear" w:pos="720"/>
        </w:tabs>
        <w:ind w:left="720"/>
        <w:rPr>
          <w:color w:val="auto"/>
          <w:highlight w:val="none"/>
        </w:rPr>
      </w:pPr>
      <w:bookmarkStart w:id="1749" w:name="_Toc340672889"/>
      <w:bookmarkStart w:id="1750" w:name="_Toc342312463"/>
      <w:bookmarkStart w:id="1751" w:name="_Toc336681955"/>
      <w:bookmarkStart w:id="1752" w:name="_Toc333935707"/>
      <w:bookmarkStart w:id="1753" w:name="_Toc339020035"/>
      <w:bookmarkStart w:id="1754" w:name="_Toc333237698"/>
      <w:bookmarkStart w:id="1755" w:name="_Toc342296781"/>
      <w:bookmarkStart w:id="1756" w:name="_Toc365967092"/>
      <w:bookmarkStart w:id="1757" w:name="_Toc343612940"/>
      <w:bookmarkStart w:id="1758" w:name="_Toc333238654"/>
      <w:bookmarkStart w:id="1759" w:name="_Toc337632378"/>
      <w:bookmarkStart w:id="1760" w:name="_Toc339019909"/>
      <w:bookmarkStart w:id="1761" w:name="_Toc365985198"/>
      <w:bookmarkStart w:id="1762" w:name="_Toc366072549"/>
      <w:bookmarkStart w:id="1763" w:name="_Toc339020115"/>
      <w:bookmarkStart w:id="1764" w:name="_Toc330460006"/>
      <w:bookmarkStart w:id="1765" w:name="_Toc333237809"/>
      <w:bookmarkStart w:id="1766" w:name="_Toc331512921"/>
      <w:bookmarkStart w:id="1767" w:name="_Toc340507462"/>
      <w:bookmarkStart w:id="1768" w:name="_Toc345312617"/>
      <w:bookmarkStart w:id="1769" w:name="_Toc339441107"/>
      <w:bookmarkStart w:id="1770" w:name="_Toc350438769"/>
      <w:bookmarkStart w:id="1771" w:name="_Toc340677090"/>
      <w:bookmarkStart w:id="1772" w:name="_Toc332270367"/>
      <w:bookmarkStart w:id="1773" w:name="_Toc339362320"/>
      <w:bookmarkStart w:id="1774" w:name="_Toc339020253"/>
      <w:bookmarkStart w:id="1775" w:name="_Toc333935366"/>
      <w:bookmarkStart w:id="1776" w:name="_Toc336681600"/>
      <w:bookmarkStart w:id="1777" w:name="_Toc343248438"/>
      <w:bookmarkStart w:id="1778" w:name="_Toc342398150"/>
      <w:bookmarkStart w:id="1779" w:name="_Toc350756470"/>
      <w:bookmarkStart w:id="1780" w:name="_Toc342060395"/>
      <w:bookmarkStart w:id="1781" w:name="_Toc331684062"/>
      <w:bookmarkStart w:id="1782" w:name="_Toc341348360"/>
      <w:bookmarkStart w:id="1783" w:name="_Toc343247120"/>
      <w:bookmarkStart w:id="1784" w:name="_Toc332206729"/>
      <w:r>
        <w:rPr>
          <w:rFonts w:hint="eastAsia"/>
          <w:color w:val="auto"/>
          <w:highlight w:val="none"/>
          <w:lang w:val="en-US" w:eastAsia="zh-CN"/>
        </w:rPr>
        <w:t xml:space="preserve">  </w:t>
      </w:r>
      <w:bookmarkStart w:id="1785" w:name="_Toc497"/>
      <w:r>
        <w:rPr>
          <w:rFonts w:hint="eastAsia"/>
          <w:color w:val="auto"/>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auto"/>
          <w:sz w:val="24"/>
          <w:highlight w:val="none"/>
        </w:rPr>
      </w:pPr>
      <w:bookmarkStart w:id="1786" w:name="_Toc12065"/>
      <w:r>
        <w:rPr>
          <w:rFonts w:hint="eastAsia"/>
          <w:color w:val="auto"/>
          <w:sz w:val="24"/>
          <w:highlight w:val="none"/>
        </w:rPr>
        <w:t>商务及技术封面格式</w:t>
      </w:r>
      <w:bookmarkEnd w:id="1786"/>
    </w:p>
    <w:p>
      <w:pPr>
        <w:pStyle w:val="5"/>
        <w:rPr>
          <w:rFonts w:hAnsi="宋体"/>
          <w:bCs/>
          <w:color w:val="auto"/>
          <w:sz w:val="21"/>
          <w:highlight w:val="none"/>
        </w:rPr>
      </w:pPr>
    </w:p>
    <w:p>
      <w:pPr>
        <w:pStyle w:val="5"/>
        <w:spacing w:line="360" w:lineRule="auto"/>
        <w:rPr>
          <w:rFonts w:hAnsi="宋体"/>
          <w:bCs/>
          <w:color w:val="auto"/>
          <w:sz w:val="21"/>
          <w:highlight w:val="none"/>
        </w:rPr>
      </w:pPr>
      <w:r>
        <w:rPr>
          <w:rFonts w:hAnsi="宋体"/>
          <w:bCs/>
          <w:color w:val="auto"/>
          <w:sz w:val="21"/>
          <w:highlight w:val="none"/>
        </w:rPr>
        <w:t>1</w:t>
      </w:r>
      <w:r>
        <w:rPr>
          <w:rFonts w:hint="eastAsia" w:hAnsi="宋体"/>
          <w:bCs/>
          <w:color w:val="auto"/>
          <w:sz w:val="21"/>
          <w:highlight w:val="none"/>
        </w:rPr>
        <w:t xml:space="preserve">、投标内容应当编目录、页码，按页码排序并装订成册。   </w:t>
      </w:r>
    </w:p>
    <w:p>
      <w:pPr>
        <w:pStyle w:val="5"/>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440" w:lineRule="exact"/>
        <w:jc w:val="center"/>
        <w:rPr>
          <w:rFonts w:hAnsi="宋体"/>
          <w:bCs/>
          <w:color w:val="auto"/>
          <w:sz w:val="21"/>
          <w:highlight w:val="none"/>
        </w:rPr>
      </w:pPr>
    </w:p>
    <w:p>
      <w:pPr>
        <w:pStyle w:val="5"/>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pPr>
        <w:pStyle w:val="5"/>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pPr>
        <w:pStyle w:val="5"/>
        <w:spacing w:line="360" w:lineRule="auto"/>
        <w:jc w:val="center"/>
        <w:rPr>
          <w:rFonts w:hAnsi="宋体"/>
          <w:bCs/>
          <w:color w:val="auto"/>
          <w:sz w:val="52"/>
          <w:szCs w:val="52"/>
          <w:highlight w:val="none"/>
        </w:rPr>
      </w:pPr>
    </w:p>
    <w:p>
      <w:pPr>
        <w:pStyle w:val="5"/>
        <w:spacing w:line="360" w:lineRule="auto"/>
        <w:jc w:val="center"/>
        <w:rPr>
          <w:rFonts w:hAnsi="宋体"/>
          <w:bCs/>
          <w:color w:val="auto"/>
          <w:sz w:val="52"/>
          <w:szCs w:val="52"/>
          <w:highlight w:val="none"/>
        </w:rPr>
      </w:pPr>
    </w:p>
    <w:p>
      <w:pPr>
        <w:pStyle w:val="5"/>
        <w:spacing w:line="360" w:lineRule="auto"/>
        <w:jc w:val="center"/>
        <w:rPr>
          <w:rFonts w:hAnsi="宋体"/>
          <w:bCs/>
          <w:color w:val="auto"/>
          <w:sz w:val="52"/>
          <w:szCs w:val="52"/>
          <w:highlight w:val="none"/>
        </w:rPr>
      </w:pPr>
    </w:p>
    <w:p>
      <w:pPr>
        <w:pStyle w:val="5"/>
        <w:spacing w:line="440" w:lineRule="exact"/>
        <w:jc w:val="center"/>
        <w:rPr>
          <w:rFonts w:hAnsi="宋体"/>
          <w:bCs/>
          <w:color w:val="auto"/>
          <w:sz w:val="21"/>
          <w:highlight w:val="none"/>
        </w:rPr>
      </w:pPr>
    </w:p>
    <w:p>
      <w:pPr>
        <w:pStyle w:val="5"/>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pPr>
        <w:pStyle w:val="5"/>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pPr>
        <w:pStyle w:val="5"/>
        <w:spacing w:line="440" w:lineRule="exact"/>
        <w:rPr>
          <w:rFonts w:hint="eastAsia" w:hAnsi="宋体"/>
          <w:bCs/>
          <w:color w:val="auto"/>
          <w:sz w:val="21"/>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pPr>
        <w:rPr>
          <w:rFonts w:hint="eastAsia" w:hAnsi="宋体"/>
          <w:bCs/>
          <w:color w:val="auto"/>
          <w:sz w:val="21"/>
          <w:highlight w:val="none"/>
        </w:rPr>
      </w:pPr>
      <w:r>
        <w:rPr>
          <w:rFonts w:hint="eastAsia" w:hAnsi="宋体"/>
          <w:bCs/>
          <w:color w:val="auto"/>
          <w:sz w:val="21"/>
          <w:highlight w:val="none"/>
        </w:rPr>
        <w:br w:type="page"/>
      </w:r>
    </w:p>
    <w:p>
      <w:pPr>
        <w:pStyle w:val="4"/>
        <w:keepLines w:val="0"/>
        <w:numPr>
          <w:ilvl w:val="0"/>
          <w:numId w:val="0"/>
        </w:numPr>
        <w:tabs>
          <w:tab w:val="left" w:pos="4320"/>
        </w:tabs>
        <w:spacing w:before="240" w:after="60" w:line="360" w:lineRule="exact"/>
        <w:rPr>
          <w:rFonts w:ascii="宋体"/>
          <w:b/>
          <w:bCs w:val="0"/>
          <w:color w:val="auto"/>
          <w:szCs w:val="21"/>
          <w:highlight w:val="none"/>
        </w:rPr>
      </w:pPr>
      <w:bookmarkStart w:id="1787" w:name="_Toc5611"/>
      <w:r>
        <w:rPr>
          <w:rFonts w:hint="eastAsia" w:ascii="宋体"/>
          <w:b/>
          <w:bCs w:val="0"/>
          <w:color w:val="auto"/>
          <w:szCs w:val="21"/>
          <w:highlight w:val="none"/>
        </w:rPr>
        <w:t>符合性自查表</w:t>
      </w:r>
      <w:bookmarkEnd w:id="1787"/>
    </w:p>
    <w:p>
      <w:pPr>
        <w:jc w:val="center"/>
        <w:rPr>
          <w:rFonts w:ascii="宋体" w:hAnsi="宋体"/>
          <w:b/>
          <w:bCs/>
          <w:color w:val="auto"/>
          <w:szCs w:val="21"/>
          <w:highlight w:val="none"/>
        </w:rPr>
      </w:pPr>
    </w:p>
    <w:tbl>
      <w:tblPr>
        <w:tblStyle w:val="4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015"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须满足</w:t>
            </w:r>
            <w:r>
              <w:rPr>
                <w:rFonts w:hint="eastAsia" w:ascii="宋体" w:hAnsi="宋体"/>
                <w:color w:val="auto"/>
                <w:szCs w:val="21"/>
                <w:highlight w:val="none"/>
                <w:lang w:val="en-US" w:eastAsia="zh-CN"/>
              </w:rPr>
              <w:t>带“★”号</w:t>
            </w:r>
            <w:r>
              <w:rPr>
                <w:rFonts w:hint="eastAsia" w:ascii="宋体" w:hAnsi="宋体"/>
                <w:color w:val="auto"/>
                <w:szCs w:val="21"/>
                <w:highlight w:val="none"/>
              </w:rPr>
              <w:t>要求</w:t>
            </w:r>
          </w:p>
        </w:tc>
        <w:tc>
          <w:tcPr>
            <w:tcW w:w="1958"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tabs>
                <w:tab w:val="left" w:pos="480"/>
              </w:tabs>
              <w:ind w:left="480" w:hanging="480"/>
              <w:rPr>
                <w:rFonts w:ascii="宋体" w:hAnsi="宋体"/>
                <w:b/>
                <w:bCs/>
                <w:color w:val="auto"/>
                <w:szCs w:val="21"/>
                <w:highlight w:val="none"/>
              </w:rPr>
            </w:pPr>
          </w:p>
        </w:tc>
        <w:tc>
          <w:tcPr>
            <w:tcW w:w="2015"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auto"/>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lang w:eastAsia="zh-CN"/>
              </w:rPr>
              <w:t>服务期</w:t>
            </w:r>
            <w:r>
              <w:rPr>
                <w:rFonts w:hint="eastAsia" w:ascii="宋体" w:hAnsi="宋体"/>
                <w:color w:val="auto"/>
                <w:szCs w:val="21"/>
                <w:highlight w:val="none"/>
              </w:rPr>
              <w:t>须满足要求</w:t>
            </w:r>
          </w:p>
        </w:tc>
        <w:tc>
          <w:tcPr>
            <w:tcW w:w="1958" w:type="dxa"/>
            <w:vAlign w:val="center"/>
          </w:tcPr>
          <w:p>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auto"/>
                <w:kern w:val="2"/>
                <w:sz w:val="21"/>
                <w:szCs w:val="21"/>
                <w:highlight w:val="none"/>
                <w:lang w:val="en-US" w:eastAsia="zh-CN" w:bidi="ar-SA"/>
              </w:rPr>
            </w:pPr>
          </w:p>
        </w:tc>
        <w:tc>
          <w:tcPr>
            <w:tcW w:w="2015"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1958"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pPr>
              <w:tabs>
                <w:tab w:val="left" w:pos="480"/>
              </w:tabs>
              <w:ind w:left="480" w:hanging="480"/>
              <w:rPr>
                <w:rFonts w:ascii="宋体" w:hAnsi="宋体"/>
                <w:b/>
                <w:bCs/>
                <w:color w:val="auto"/>
                <w:szCs w:val="21"/>
                <w:highlight w:val="none"/>
              </w:rPr>
            </w:pPr>
          </w:p>
        </w:tc>
        <w:tc>
          <w:tcPr>
            <w:tcW w:w="2015"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pPr>
              <w:pStyle w:val="9"/>
              <w:rPr>
                <w:rFonts w:ascii="宋体" w:hAnsi="宋体"/>
                <w:bCs/>
                <w:color w:val="auto"/>
                <w:szCs w:val="21"/>
                <w:highlight w:val="none"/>
              </w:rPr>
            </w:pPr>
          </w:p>
        </w:tc>
        <w:tc>
          <w:tcPr>
            <w:tcW w:w="2015"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auto"/>
                <w:szCs w:val="21"/>
                <w:highlight w:val="none"/>
              </w:rPr>
            </w:pPr>
          </w:p>
        </w:tc>
        <w:tc>
          <w:tcPr>
            <w:tcW w:w="230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按投标资料清单中规定提供“必须提交”的文件资料</w:t>
            </w:r>
          </w:p>
        </w:tc>
        <w:tc>
          <w:tcPr>
            <w:tcW w:w="1975" w:type="dxa"/>
            <w:vAlign w:val="center"/>
          </w:tcPr>
          <w:p>
            <w:pPr>
              <w:tabs>
                <w:tab w:val="left" w:pos="480"/>
              </w:tabs>
              <w:ind w:left="480" w:hanging="480"/>
              <w:rPr>
                <w:color w:val="auto"/>
                <w:highlight w:val="none"/>
              </w:rPr>
            </w:pPr>
          </w:p>
        </w:tc>
        <w:tc>
          <w:tcPr>
            <w:tcW w:w="2015"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pPr>
        <w:tabs>
          <w:tab w:val="center" w:pos="4483"/>
        </w:tabs>
        <w:ind w:left="315" w:leftChars="50" w:hanging="210" w:hangingChars="100"/>
        <w:rPr>
          <w:rFonts w:ascii="宋体" w:hAnsi="宋体"/>
          <w:color w:val="auto"/>
          <w:szCs w:val="21"/>
          <w:highlight w:val="none"/>
        </w:rPr>
      </w:pP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525" w:leftChars="50" w:hanging="420" w:hangingChars="200"/>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pPr>
        <w:adjustRightInd w:val="0"/>
        <w:snapToGrid w:val="0"/>
        <w:spacing w:line="300" w:lineRule="auto"/>
        <w:rPr>
          <w:color w:val="auto"/>
          <w:szCs w:val="21"/>
          <w:highlight w:val="none"/>
        </w:rPr>
      </w:pPr>
    </w:p>
    <w:p>
      <w:pPr>
        <w:adjustRightInd w:val="0"/>
        <w:snapToGrid w:val="0"/>
        <w:spacing w:line="300" w:lineRule="auto"/>
        <w:rPr>
          <w:color w:val="auto"/>
          <w:szCs w:val="21"/>
          <w:highlight w:val="none"/>
        </w:rPr>
      </w:pPr>
    </w:p>
    <w:p>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color w:val="auto"/>
          <w:sz w:val="24"/>
          <w:highlight w:val="none"/>
        </w:rPr>
      </w:pPr>
      <w:r>
        <w:rPr>
          <w:rFonts w:hint="eastAsia" w:ascii="宋体" w:hAnsi="宋体"/>
          <w:color w:val="auto"/>
          <w:szCs w:val="21"/>
          <w:highlight w:val="none"/>
        </w:rPr>
        <w:t>日期：   年   月   日</w:t>
      </w:r>
    </w:p>
    <w:p>
      <w:pPr>
        <w:pStyle w:val="4"/>
        <w:keepLines w:val="0"/>
        <w:numPr>
          <w:ilvl w:val="0"/>
          <w:numId w:val="0"/>
        </w:numPr>
        <w:tabs>
          <w:tab w:val="left" w:pos="4320"/>
        </w:tabs>
        <w:spacing w:before="240" w:after="60" w:line="480" w:lineRule="exact"/>
        <w:rPr>
          <w:rFonts w:ascii="宋体"/>
          <w:b/>
          <w:bCs w:val="0"/>
          <w:color w:val="auto"/>
          <w:szCs w:val="21"/>
          <w:highlight w:val="none"/>
        </w:rPr>
      </w:pPr>
      <w:r>
        <w:rPr>
          <w:rFonts w:ascii="宋体"/>
          <w:b/>
          <w:bCs w:val="0"/>
          <w:color w:val="auto"/>
          <w:szCs w:val="21"/>
          <w:highlight w:val="none"/>
        </w:rPr>
        <w:t xml:space="preserve">  </w:t>
      </w:r>
    </w:p>
    <w:p>
      <w:pPr>
        <w:rPr>
          <w:rFonts w:ascii="宋体"/>
          <w:b/>
          <w:bCs w:val="0"/>
          <w:color w:val="auto"/>
          <w:szCs w:val="21"/>
          <w:highlight w:val="none"/>
        </w:rPr>
      </w:pPr>
      <w:r>
        <w:rPr>
          <w:rFonts w:ascii="宋体"/>
          <w:b/>
          <w:bCs w:val="0"/>
          <w:color w:val="auto"/>
          <w:szCs w:val="21"/>
          <w:highlight w:val="none"/>
        </w:rPr>
        <w:br w:type="page"/>
      </w:r>
    </w:p>
    <w:p>
      <w:pPr>
        <w:pStyle w:val="4"/>
        <w:keepLines w:val="0"/>
        <w:numPr>
          <w:ilvl w:val="0"/>
          <w:numId w:val="0"/>
        </w:numPr>
        <w:tabs>
          <w:tab w:val="left" w:pos="4320"/>
        </w:tabs>
        <w:spacing w:before="240" w:after="60" w:line="480" w:lineRule="exact"/>
        <w:rPr>
          <w:rFonts w:ascii="宋体"/>
          <w:b/>
          <w:color w:val="auto"/>
          <w:szCs w:val="21"/>
          <w:highlight w:val="none"/>
        </w:rPr>
      </w:pPr>
      <w:r>
        <w:rPr>
          <w:rFonts w:hint="eastAsia" w:ascii="宋体"/>
          <w:b/>
          <w:color w:val="auto"/>
          <w:szCs w:val="21"/>
          <w:highlight w:val="none"/>
        </w:rPr>
        <w:t xml:space="preserve"> </w:t>
      </w:r>
      <w:bookmarkStart w:id="1788" w:name="_Toc29739"/>
      <w:r>
        <w:rPr>
          <w:rFonts w:hint="eastAsia" w:ascii="宋体"/>
          <w:b/>
          <w:color w:val="auto"/>
          <w:szCs w:val="21"/>
          <w:highlight w:val="none"/>
        </w:rPr>
        <w:t>评审项目投标资料表</w:t>
      </w:r>
      <w:bookmarkEnd w:id="1788"/>
    </w:p>
    <w:p>
      <w:pPr>
        <w:jc w:val="center"/>
        <w:rPr>
          <w:rFonts w:ascii="宋体" w:hAnsi="宋体" w:eastAsia="黑体"/>
          <w:b/>
          <w:color w:val="auto"/>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auto"/>
                <w:sz w:val="21"/>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rPr>
                <w:rFonts w:ascii="宋体" w:hAnsi="宋体"/>
                <w:color w:val="auto"/>
                <w:szCs w:val="21"/>
                <w:highlight w:val="none"/>
              </w:rPr>
            </w:pPr>
          </w:p>
        </w:tc>
        <w:tc>
          <w:tcPr>
            <w:tcW w:w="2300" w:type="dxa"/>
            <w:vAlign w:val="center"/>
          </w:tcPr>
          <w:p>
            <w:pPr>
              <w:rPr>
                <w:rFonts w:ascii="宋体" w:hAnsi="宋体"/>
                <w:color w:val="auto"/>
                <w:szCs w:val="21"/>
                <w:highlight w:val="none"/>
              </w:rPr>
            </w:pPr>
            <w:r>
              <w:rPr>
                <w:rFonts w:hint="eastAsia"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auto"/>
                <w:szCs w:val="21"/>
                <w:highlight w:val="none"/>
              </w:rPr>
            </w:pPr>
          </w:p>
        </w:tc>
        <w:tc>
          <w:tcPr>
            <w:tcW w:w="5202" w:type="dxa"/>
            <w:vAlign w:val="center"/>
          </w:tcPr>
          <w:p>
            <w:pPr>
              <w:pStyle w:val="35"/>
              <w:ind w:left="420" w:firstLine="420"/>
              <w:rPr>
                <w:rFonts w:ascii="宋体" w:hAnsi="宋体"/>
                <w:color w:val="auto"/>
                <w:szCs w:val="21"/>
                <w:highlight w:val="none"/>
              </w:rPr>
            </w:pPr>
          </w:p>
        </w:tc>
        <w:tc>
          <w:tcPr>
            <w:tcW w:w="2300" w:type="dxa"/>
            <w:vAlign w:val="center"/>
          </w:tcPr>
          <w:p>
            <w:pPr>
              <w:pStyle w:val="35"/>
              <w:rPr>
                <w:rFonts w:ascii="宋体" w:hAnsi="宋体"/>
                <w:color w:val="auto"/>
                <w:szCs w:val="21"/>
                <w:highlight w:val="none"/>
              </w:rPr>
            </w:pPr>
            <w:r>
              <w:rPr>
                <w:rFonts w:hint="eastAsia" w:ascii="宋体" w:hAnsi="宋体"/>
                <w:color w:val="auto"/>
                <w:szCs w:val="21"/>
                <w:highlight w:val="none"/>
              </w:rPr>
              <w:t>见投标文件第（）页</w:t>
            </w:r>
          </w:p>
        </w:tc>
      </w:tr>
    </w:tbl>
    <w:p>
      <w:pPr>
        <w:adjustRightInd w:val="0"/>
        <w:snapToGrid w:val="0"/>
        <w:spacing w:line="300" w:lineRule="auto"/>
        <w:rPr>
          <w:rFonts w:ascii="宋体" w:hAnsi="宋体"/>
          <w:color w:val="auto"/>
          <w:szCs w:val="21"/>
          <w:highlight w:val="none"/>
        </w:rPr>
      </w:pPr>
    </w:p>
    <w:p>
      <w:pPr>
        <w:adjustRightInd w:val="0"/>
        <w:snapToGrid w:val="0"/>
        <w:spacing w:line="300" w:lineRule="auto"/>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4"/>
        <w:numPr>
          <w:ilvl w:val="0"/>
          <w:numId w:val="0"/>
        </w:numPr>
        <w:rPr>
          <w:rFonts w:hint="eastAsia"/>
          <w:color w:val="auto"/>
          <w:highlight w:val="none"/>
        </w:rPr>
      </w:pPr>
      <w:bookmarkStart w:id="1789" w:name="_Toc382404103"/>
    </w:p>
    <w:p>
      <w:pPr>
        <w:pStyle w:val="4"/>
        <w:numPr>
          <w:ilvl w:val="0"/>
          <w:numId w:val="0"/>
        </w:numPr>
        <w:rPr>
          <w:color w:val="auto"/>
          <w:highlight w:val="none"/>
        </w:rPr>
      </w:pPr>
      <w:bookmarkStart w:id="1790" w:name="_Toc18564"/>
      <w:r>
        <w:rPr>
          <w:rFonts w:hint="eastAsia"/>
          <w:color w:val="auto"/>
          <w:highlight w:val="none"/>
        </w:rPr>
        <w:t>（一）法定代表人（负责人）证明书</w:t>
      </w:r>
      <w:bookmarkEnd w:id="1789"/>
      <w:bookmarkEnd w:id="1790"/>
    </w:p>
    <w:p>
      <w:pPr>
        <w:pStyle w:val="5"/>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，为法定代表人（负责人），特此证明。</w:t>
      </w: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      </w:t>
      </w: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附：代表人性别：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pPr>
        <w:spacing w:line="480" w:lineRule="exact"/>
        <w:ind w:firstLine="420" w:firstLineChars="200"/>
        <w:rPr>
          <w:rFonts w:ascii="宋体" w:hAnsi="宋体"/>
          <w:color w:val="auto"/>
          <w:highlight w:val="none"/>
        </w:rPr>
      </w:pPr>
    </w:p>
    <w:p>
      <w:pPr>
        <w:pStyle w:val="5"/>
        <w:rPr>
          <w:rFonts w:hAnsi="宋体"/>
          <w:color w:val="auto"/>
          <w:sz w:val="21"/>
          <w:highlight w:val="none"/>
        </w:rPr>
      </w:pPr>
    </w:p>
    <w:p>
      <w:pPr>
        <w:pStyle w:val="5"/>
        <w:rPr>
          <w:color w:val="auto"/>
          <w:highlight w:val="none"/>
        </w:rPr>
        <w:sectPr>
          <w:footerReference r:id="rId13" w:type="default"/>
          <w:pgSz w:w="11906" w:h="16838"/>
          <w:pgMar w:top="1474" w:right="1418" w:bottom="1474" w:left="1418" w:header="851" w:footer="851" w:gutter="0"/>
          <w:cols w:space="720" w:num="1"/>
          <w:titlePg/>
          <w:docGrid w:linePitch="312" w:charSpace="0"/>
        </w:sectPr>
      </w:pPr>
      <w:r>
        <w:rPr>
          <w:color w:val="auto"/>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auto"/>
          <w:highlight w:val="none"/>
        </w:rPr>
      </w:pPr>
      <w:bookmarkStart w:id="1791" w:name="_Toc382404104"/>
      <w:bookmarkStart w:id="1792" w:name="_Toc350756464"/>
      <w:bookmarkStart w:id="1793" w:name="_Toc336681949"/>
      <w:bookmarkStart w:id="1794" w:name="_Toc343248432"/>
      <w:bookmarkStart w:id="1795" w:name="_Toc340507456"/>
      <w:bookmarkStart w:id="1796" w:name="_Toc333237803"/>
      <w:bookmarkStart w:id="1797" w:name="_Toc341348354"/>
      <w:bookmarkStart w:id="1798" w:name="_Toc339020109"/>
      <w:bookmarkStart w:id="1799" w:name="_Toc339020029"/>
      <w:bookmarkStart w:id="1800" w:name="_Toc331684056"/>
      <w:bookmarkStart w:id="1801" w:name="_Toc339441101"/>
      <w:bookmarkStart w:id="1802" w:name="_Toc339019903"/>
      <w:bookmarkStart w:id="1803" w:name="_Toc366072543"/>
      <w:bookmarkStart w:id="1804" w:name="_Toc337632372"/>
      <w:bookmarkStart w:id="1805" w:name="_Toc340677084"/>
      <w:bookmarkStart w:id="1806" w:name="_Toc18782"/>
      <w:bookmarkStart w:id="1807" w:name="_Toc365967086"/>
      <w:bookmarkStart w:id="1808" w:name="_Toc333935360"/>
      <w:bookmarkStart w:id="1809" w:name="_Toc342312457"/>
      <w:bookmarkStart w:id="1810" w:name="_Toc350438763"/>
      <w:bookmarkStart w:id="1811" w:name="_Toc345312611"/>
      <w:bookmarkStart w:id="1812" w:name="_Toc343612934"/>
      <w:bookmarkStart w:id="1813" w:name="_Toc342398144"/>
      <w:bookmarkStart w:id="1814" w:name="_Toc333238648"/>
      <w:bookmarkStart w:id="1815" w:name="_Toc340672883"/>
      <w:bookmarkStart w:id="1816" w:name="_Toc332206723"/>
      <w:bookmarkStart w:id="1817" w:name="_Toc339362314"/>
      <w:bookmarkStart w:id="1818" w:name="_Toc342296775"/>
      <w:bookmarkStart w:id="1819" w:name="_Toc343247114"/>
      <w:bookmarkStart w:id="1820" w:name="_Toc333935701"/>
      <w:bookmarkStart w:id="1821" w:name="_Toc330460000"/>
      <w:bookmarkStart w:id="1822" w:name="_Toc333237692"/>
      <w:bookmarkStart w:id="1823" w:name="_Toc331512915"/>
      <w:bookmarkStart w:id="1824" w:name="_Toc342060389"/>
      <w:bookmarkStart w:id="1825" w:name="_Toc365985192"/>
      <w:bookmarkStart w:id="1826" w:name="_Toc339020247"/>
      <w:bookmarkStart w:id="1827" w:name="_Toc332270361"/>
      <w:bookmarkStart w:id="1828" w:name="_Toc336681594"/>
      <w:r>
        <w:rPr>
          <w:rFonts w:hint="eastAsia"/>
          <w:color w:val="auto"/>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auto"/>
          <w:kern w:val="0"/>
          <w:highlight w:val="none"/>
        </w:rPr>
      </w:pPr>
    </w:p>
    <w:p>
      <w:pPr>
        <w:spacing w:line="360" w:lineRule="auto"/>
        <w:ind w:firstLine="420" w:firstLineChars="200"/>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的法定代表人（负责人），现授权委托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w:t>
      </w:r>
      <w:r>
        <w:rPr>
          <w:rFonts w:hint="eastAsia" w:ascii="宋体" w:hAnsi="宋体"/>
          <w:bCs/>
          <w:color w:val="auto"/>
          <w:highlight w:val="none"/>
        </w:rPr>
        <w:t>招标（</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w:t>
      </w:r>
      <w:r>
        <w:rPr>
          <w:rFonts w:hint="eastAsia" w:ascii="宋体" w:hAnsi="宋体"/>
          <w:bCs/>
          <w:color w:val="auto"/>
          <w:kern w:val="0"/>
          <w:highlight w:val="none"/>
          <w:u w:val="single"/>
        </w:rPr>
        <w:t xml:space="preserve">   </w:t>
      </w:r>
      <w:r>
        <w:rPr>
          <w:rFonts w:ascii="宋体" w:hAnsi="宋体"/>
          <w:bCs/>
          <w:color w:val="auto"/>
          <w:kern w:val="0"/>
          <w:highlight w:val="none"/>
          <w:u w:val="single"/>
        </w:rPr>
        <w:t xml:space="preserve"> </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性别：</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年龄：</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职务：</w:t>
      </w:r>
      <w:r>
        <w:rPr>
          <w:rFonts w:hint="eastAsia" w:ascii="宋体" w:hAnsi="宋体"/>
          <w:bCs/>
          <w:color w:val="auto"/>
          <w:kern w:val="0"/>
          <w:highlight w:val="none"/>
          <w:u w:val="single"/>
        </w:rPr>
        <w:t xml:space="preserve">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法定代表人（负责人）：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auto"/>
          <w:highlight w:val="none"/>
        </w:rPr>
      </w:pPr>
    </w:p>
    <w:p>
      <w:pPr>
        <w:rPr>
          <w:color w:val="auto"/>
          <w:highlight w:val="none"/>
        </w:rPr>
      </w:pPr>
    </w:p>
    <w:p>
      <w:pPr>
        <w:rPr>
          <w:color w:val="auto"/>
          <w:highlight w:val="none"/>
        </w:rPr>
      </w:pPr>
      <w:r>
        <w:rPr>
          <w:color w:val="auto"/>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tabs>
          <w:tab w:val="center" w:pos="4483"/>
        </w:tabs>
        <w:rPr>
          <w:rFonts w:ascii="宋体" w:hAnsi="宋体"/>
          <w:bCs/>
          <w:color w:val="auto"/>
          <w:szCs w:val="21"/>
          <w:highlight w:val="none"/>
        </w:rPr>
      </w:pPr>
    </w:p>
    <w:p>
      <w:pPr>
        <w:pStyle w:val="5"/>
        <w:ind w:firstLine="0"/>
        <w:rPr>
          <w:color w:val="auto"/>
          <w:highlight w:val="none"/>
        </w:rPr>
      </w:pPr>
    </w:p>
    <w:bookmarkEnd w:id="1688"/>
    <w:p>
      <w:pPr>
        <w:pStyle w:val="4"/>
        <w:numPr>
          <w:ilvl w:val="0"/>
          <w:numId w:val="0"/>
        </w:numPr>
        <w:rPr>
          <w:color w:val="auto"/>
          <w:highlight w:val="none"/>
        </w:rPr>
      </w:pPr>
      <w:bookmarkStart w:id="1829" w:name="_Toc340672890"/>
      <w:bookmarkStart w:id="1830" w:name="_Toc339020254"/>
      <w:bookmarkStart w:id="1831" w:name="_Toc365985199"/>
      <w:bookmarkStart w:id="1832" w:name="_Toc339020036"/>
      <w:bookmarkStart w:id="1833" w:name="_Toc331684063"/>
      <w:bookmarkStart w:id="1834" w:name="_Toc336681956"/>
      <w:bookmarkStart w:id="1835" w:name="_Toc366072550"/>
      <w:bookmarkStart w:id="1836" w:name="_Toc343248439"/>
      <w:bookmarkStart w:id="1837" w:name="_Toc342312464"/>
      <w:bookmarkStart w:id="1838" w:name="_Toc365967093"/>
      <w:bookmarkStart w:id="1839" w:name="_Toc332206730"/>
      <w:bookmarkStart w:id="1840" w:name="_Toc350438770"/>
      <w:bookmarkStart w:id="1841" w:name="_Toc11154"/>
      <w:bookmarkStart w:id="1842" w:name="_Toc332270368"/>
      <w:bookmarkStart w:id="1843" w:name="_Toc343247121"/>
      <w:bookmarkStart w:id="1844" w:name="_Toc342060396"/>
      <w:bookmarkStart w:id="1845" w:name="_Toc333935367"/>
      <w:bookmarkStart w:id="1846" w:name="_Toc333935708"/>
      <w:bookmarkStart w:id="1847" w:name="_Toc342398151"/>
      <w:bookmarkStart w:id="1848" w:name="_Toc343612941"/>
      <w:bookmarkStart w:id="1849" w:name="_Toc333238655"/>
      <w:bookmarkStart w:id="1850" w:name="_Toc339020116"/>
      <w:bookmarkStart w:id="1851" w:name="_Toc341348361"/>
      <w:bookmarkStart w:id="1852" w:name="_Toc340677091"/>
      <w:bookmarkStart w:id="1853" w:name="_Toc336681601"/>
      <w:bookmarkStart w:id="1854" w:name="_Toc339441108"/>
      <w:bookmarkStart w:id="1855" w:name="_Toc342296782"/>
      <w:bookmarkStart w:id="1856" w:name="_Toc333237699"/>
      <w:bookmarkStart w:id="1857" w:name="_Toc345312618"/>
      <w:bookmarkStart w:id="1858" w:name="_Toc337632379"/>
      <w:bookmarkStart w:id="1859" w:name="_Toc339362321"/>
      <w:bookmarkStart w:id="1860" w:name="_Toc331512922"/>
      <w:bookmarkStart w:id="1861" w:name="_Toc340507463"/>
      <w:bookmarkStart w:id="1862" w:name="_Toc339019910"/>
      <w:bookmarkStart w:id="1863" w:name="_Toc350756471"/>
      <w:bookmarkStart w:id="1864" w:name="_Toc330460007"/>
      <w:bookmarkStart w:id="1865" w:name="_Toc333237810"/>
      <w:r>
        <w:rPr>
          <w:rFonts w:hint="eastAsia"/>
          <w:color w:val="auto"/>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auto"/>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（采购人</w:t>
      </w:r>
      <w:r>
        <w:rPr>
          <w:rFonts w:hint="eastAsia" w:ascii="宋体" w:hAnsi="宋体"/>
          <w:b/>
          <w:bCs/>
          <w:color w:val="auto"/>
          <w:highlight w:val="none"/>
          <w:u w:val="single"/>
        </w:rPr>
        <w:t>名称</w:t>
      </w:r>
      <w:r>
        <w:rPr>
          <w:rFonts w:ascii="宋体" w:hAnsi="宋体"/>
          <w:b/>
          <w:bCs/>
          <w:color w:val="auto"/>
          <w:highlight w:val="none"/>
          <w:u w:val="single"/>
        </w:rPr>
        <w:t>）            </w:t>
      </w:r>
      <w:r>
        <w:rPr>
          <w:rFonts w:ascii="宋体" w:hAnsi="宋体" w:cs="宋体"/>
          <w:b/>
          <w:color w:val="auto"/>
          <w:kern w:val="0"/>
          <w:sz w:val="24"/>
          <w:highlight w:val="none"/>
        </w:rPr>
        <w:t xml:space="preserve">： </w:t>
      </w:r>
    </w:p>
    <w:p>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ascii="宋体" w:hAnsi="宋体"/>
          <w:b/>
          <w:bCs/>
          <w:color w:val="auto"/>
          <w:highlight w:val="none"/>
          <w:u w:val="single"/>
        </w:rPr>
        <w:t xml:space="preserve">   （</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    </w:t>
      </w:r>
      <w:r>
        <w:rPr>
          <w:rFonts w:hint="eastAsia" w:ascii="宋体" w:hAnsi="宋体"/>
          <w:b/>
          <w:bCs/>
          <w:color w:val="auto"/>
          <w:highlight w:val="none"/>
        </w:rPr>
        <w:t>的投标邀请（项目编号:</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r>
        <w:rPr>
          <w:rFonts w:hint="eastAsia" w:ascii="宋体" w:hAnsi="宋体"/>
          <w:b/>
          <w:bCs/>
          <w:color w:val="auto"/>
          <w:highlight w:val="none"/>
        </w:rPr>
        <w:t>），我方正式响应投标并提交投标文件</w:t>
      </w:r>
      <w:r>
        <w:rPr>
          <w:rFonts w:ascii="宋体" w:hAnsi="宋体"/>
          <w:b/>
          <w:bCs/>
          <w:color w:val="auto"/>
          <w:highlight w:val="none"/>
          <w:u w:val="single"/>
        </w:rPr>
        <w:t xml:space="preserve">   </w:t>
      </w:r>
      <w:r>
        <w:rPr>
          <w:rFonts w:hint="eastAsia" w:ascii="宋体" w:hAnsi="宋体"/>
          <w:b/>
          <w:bCs/>
          <w:color w:val="auto"/>
          <w:highlight w:val="none"/>
        </w:rPr>
        <w:t>份正本和</w:t>
      </w:r>
      <w:r>
        <w:rPr>
          <w:rFonts w:ascii="宋体" w:hAnsi="宋体"/>
          <w:b/>
          <w:bCs/>
          <w:color w:val="auto"/>
          <w:highlight w:val="none"/>
          <w:u w:val="single"/>
        </w:rPr>
        <w:t xml:space="preserve">   </w:t>
      </w:r>
      <w:r>
        <w:rPr>
          <w:rFonts w:hint="eastAsia" w:ascii="宋体" w:hAnsi="宋体"/>
          <w:b/>
          <w:bCs/>
          <w:color w:val="auto"/>
          <w:highlight w:val="none"/>
        </w:rPr>
        <w:t>份副本，</w:t>
      </w:r>
      <w:r>
        <w:rPr>
          <w:rFonts w:hint="eastAsia" w:ascii="宋体" w:hAnsi="宋体"/>
          <w:b/>
          <w:color w:val="auto"/>
          <w:kern w:val="0"/>
          <w:szCs w:val="21"/>
          <w:highlight w:val="none"/>
        </w:rPr>
        <w:t>电子文件</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rPr>
        <w:t>份</w:t>
      </w:r>
      <w:r>
        <w:rPr>
          <w:rFonts w:hint="eastAsia" w:ascii="宋体" w:hAnsi="宋体"/>
          <w:b/>
          <w:bCs/>
          <w:color w:val="auto"/>
          <w:highlight w:val="none"/>
        </w:rPr>
        <w:t>。</w:t>
      </w:r>
    </w:p>
    <w:p>
      <w:pPr>
        <w:widowControl/>
        <w:tabs>
          <w:tab w:val="left" w:pos="840"/>
        </w:tabs>
        <w:adjustRightInd w:val="0"/>
        <w:snapToGrid w:val="0"/>
        <w:rPr>
          <w:rFonts w:ascii="宋体" w:hAnsi="宋体"/>
          <w:b/>
          <w:bCs/>
          <w:color w:val="auto"/>
          <w:highlight w:val="none"/>
        </w:rPr>
      </w:pP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
          <w:bCs/>
          <w:color w:val="auto"/>
          <w:highlight w:val="none"/>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color w:val="auto"/>
          <w:highlight w:val="none"/>
        </w:rPr>
        <w:t>所附投标价格表中规定的应提交和交付的货物投标</w:t>
      </w:r>
      <w:r>
        <w:rPr>
          <w:rFonts w:hint="eastAsia" w:ascii="宋体" w:hAnsi="宋体" w:cs="宋体"/>
          <w:color w:val="auto"/>
          <w:kern w:val="0"/>
          <w:szCs w:val="21"/>
          <w:highlight w:val="none"/>
        </w:rPr>
        <w:t>折扣率</w:t>
      </w:r>
      <w:r>
        <w:rPr>
          <w:rFonts w:hint="eastAsia" w:ascii="宋体" w:hAnsi="宋体"/>
          <w:color w:val="auto"/>
          <w:highlight w:val="none"/>
        </w:rPr>
        <w:t>为：</w:t>
      </w:r>
      <w:r>
        <w:rPr>
          <w:rFonts w:hint="eastAsia" w:ascii="宋体" w:hAnsi="宋体"/>
          <w:color w:val="auto"/>
          <w:highlight w:val="none"/>
          <w:u w:val="single"/>
        </w:rPr>
        <w:t xml:space="preserve"> （用文字和数字表示的投标总价）  </w:t>
      </w:r>
      <w:r>
        <w:rPr>
          <w:rFonts w:hint="eastAsia" w:ascii="宋体" w:hAnsi="宋体"/>
          <w:color w:val="auto"/>
          <w:highlight w:val="none"/>
        </w:rPr>
        <w:t>。</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lang w:val="en-US" w:eastAsia="zh-CN"/>
        </w:rPr>
        <w:t>单位负责人为同一人或者存在直接控股、管理关系的不同供应商，不得同时参加同一合同 项下的项目投标。</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lang w:val="en-US" w:eastAsia="zh-CN"/>
        </w:rPr>
        <w:t>为本项目提供整体设计、规范编制或者项目管理、监理、检测等服务的供应商，不得再参与本项目投标。</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如果在规定的开标时间后，投标人在投标有效期内撤回投标文件，投标保证金将被贵</w:t>
      </w:r>
      <w:r>
        <w:rPr>
          <w:rFonts w:hint="eastAsia" w:ascii="宋体" w:hAnsi="宋体"/>
          <w:color w:val="auto"/>
          <w:szCs w:val="21"/>
          <w:highlight w:val="none"/>
        </w:rPr>
        <w:t>方</w:t>
      </w:r>
      <w:r>
        <w:rPr>
          <w:rFonts w:hint="eastAsia" w:ascii="宋体" w:hAnsi="宋体"/>
          <w:bCs/>
          <w:color w:val="auto"/>
          <w:highlight w:val="none"/>
        </w:rPr>
        <w:t>不予退还。</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auto"/>
          <w:highlight w:val="none"/>
        </w:rPr>
      </w:pPr>
      <w:r>
        <w:rPr>
          <w:rFonts w:hint="eastAsia" w:ascii="宋体" w:hAnsi="宋体"/>
          <w:bCs/>
          <w:color w:val="auto"/>
          <w:highlight w:val="none"/>
        </w:rPr>
        <w:t>与本投标有关的一切正式往来通讯请寄至投标文件封面指定地址、联系方式。</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pStyle w:val="26"/>
        <w:spacing w:line="400" w:lineRule="exact"/>
        <w:rPr>
          <w:rFonts w:hAnsi="宋体"/>
          <w:color w:val="auto"/>
          <w:highlight w:val="none"/>
        </w:rPr>
      </w:pPr>
      <w:r>
        <w:rPr>
          <w:rFonts w:hint="eastAsia" w:hAnsi="宋体"/>
          <w:color w:val="auto"/>
          <w:highlight w:val="none"/>
        </w:rPr>
        <w:t>注：本投标函为投标人响应本次招标项目的郑重承诺，投标人不得改动且必须满足。</w:t>
      </w:r>
    </w:p>
    <w:p>
      <w:pPr>
        <w:pStyle w:val="26"/>
        <w:spacing w:line="400" w:lineRule="exact"/>
        <w:rPr>
          <w:rFonts w:hAnsi="宋体"/>
          <w:color w:val="auto"/>
          <w:highlight w:val="none"/>
        </w:rPr>
      </w:pPr>
    </w:p>
    <w:p>
      <w:pPr>
        <w:pStyle w:val="4"/>
        <w:numPr>
          <w:ilvl w:val="0"/>
          <w:numId w:val="0"/>
        </w:numPr>
        <w:spacing w:line="400" w:lineRule="exact"/>
        <w:rPr>
          <w:rFonts w:hint="eastAsia"/>
          <w:color w:val="auto"/>
          <w:highlight w:val="none"/>
        </w:rPr>
      </w:pPr>
      <w:bookmarkStart w:id="1866" w:name="_Hlt16935467"/>
      <w:bookmarkEnd w:id="1866"/>
      <w:bookmarkStart w:id="1867" w:name="_Toc339019911"/>
      <w:bookmarkStart w:id="1868" w:name="_Toc365985200"/>
      <w:bookmarkStart w:id="1869" w:name="_Toc333935368"/>
      <w:bookmarkStart w:id="1870" w:name="_Toc331684064"/>
      <w:bookmarkStart w:id="1871" w:name="_Toc333238656"/>
      <w:bookmarkStart w:id="1872" w:name="_Toc333935709"/>
      <w:bookmarkStart w:id="1873" w:name="_Toc350438771"/>
      <w:bookmarkStart w:id="1874" w:name="_Toc340507464"/>
      <w:bookmarkStart w:id="1875" w:name="_Toc339020255"/>
      <w:bookmarkStart w:id="1876" w:name="_Toc336681602"/>
      <w:bookmarkStart w:id="1877" w:name="_Toc341348362"/>
      <w:bookmarkStart w:id="1878" w:name="_Toc366072551"/>
      <w:bookmarkStart w:id="1879" w:name="_Toc350756472"/>
      <w:bookmarkStart w:id="1880" w:name="_Toc332270369"/>
      <w:bookmarkStart w:id="1881" w:name="_Toc331512923"/>
      <w:bookmarkStart w:id="1882" w:name="_Toc342398152"/>
      <w:bookmarkStart w:id="1883" w:name="_Toc343612942"/>
      <w:bookmarkStart w:id="1884" w:name="_Toc337632380"/>
      <w:bookmarkStart w:id="1885" w:name="_Toc332206731"/>
      <w:bookmarkStart w:id="1886" w:name="_Toc365967094"/>
      <w:bookmarkStart w:id="1887" w:name="_Toc340672891"/>
      <w:bookmarkStart w:id="1888" w:name="_Toc333237811"/>
      <w:bookmarkStart w:id="1889" w:name="_Toc336681957"/>
      <w:bookmarkStart w:id="1890" w:name="_Toc330460008"/>
      <w:bookmarkStart w:id="1891" w:name="_Toc345312619"/>
      <w:bookmarkStart w:id="1892" w:name="_Toc333237700"/>
      <w:bookmarkStart w:id="1893" w:name="_Toc339441109"/>
      <w:bookmarkStart w:id="1894" w:name="_Toc339020037"/>
      <w:bookmarkStart w:id="1895" w:name="_Toc342296783"/>
      <w:bookmarkStart w:id="1896" w:name="_Toc343247122"/>
      <w:bookmarkStart w:id="1897" w:name="_Toc339020117"/>
      <w:bookmarkStart w:id="1898" w:name="_Toc339362322"/>
      <w:bookmarkStart w:id="1899" w:name="_Toc342060397"/>
      <w:bookmarkStart w:id="1900" w:name="_Toc78816017"/>
      <w:bookmarkStart w:id="1901" w:name="_Toc340677092"/>
      <w:bookmarkStart w:id="1902" w:name="_Toc343248440"/>
      <w:bookmarkStart w:id="1903" w:name="_Toc342312465"/>
    </w:p>
    <w:p>
      <w:pPr>
        <w:pStyle w:val="4"/>
        <w:numPr>
          <w:ilvl w:val="0"/>
          <w:numId w:val="0"/>
        </w:numPr>
        <w:spacing w:line="400" w:lineRule="exact"/>
        <w:rPr>
          <w:color w:val="auto"/>
          <w:highlight w:val="none"/>
        </w:rPr>
      </w:pPr>
      <w:bookmarkStart w:id="1904" w:name="_Toc31584"/>
      <w:r>
        <w:rPr>
          <w:rFonts w:hint="eastAsia"/>
          <w:color w:val="auto"/>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auto"/>
          <w:highlight w:val="none"/>
        </w:rPr>
      </w:pPr>
      <w:bookmarkStart w:id="1905" w:name="_Hlk534184967"/>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pPr>
              <w:jc w:val="center"/>
              <w:rPr>
                <w:rFonts w:ascii="宋体" w:hAnsi="宋体"/>
                <w:bCs/>
                <w:color w:val="auto"/>
                <w:highlight w:val="none"/>
              </w:rPr>
            </w:pPr>
            <w:r>
              <w:rPr>
                <w:rFonts w:hint="eastAsia" w:ascii="宋体" w:hAnsi="宋体" w:cs="宋体"/>
                <w:color w:val="auto"/>
                <w:kern w:val="0"/>
                <w:szCs w:val="21"/>
                <w:highlight w:val="none"/>
              </w:rPr>
              <w:t>折扣率</w:t>
            </w:r>
          </w:p>
        </w:tc>
        <w:tc>
          <w:tcPr>
            <w:tcW w:w="1673" w:type="dxa"/>
            <w:vAlign w:val="center"/>
          </w:tcPr>
          <w:p>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服务期</w:t>
            </w:r>
          </w:p>
        </w:tc>
        <w:tc>
          <w:tcPr>
            <w:tcW w:w="689"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auto"/>
                <w:highlight w:val="none"/>
              </w:rPr>
            </w:pPr>
          </w:p>
        </w:tc>
        <w:tc>
          <w:tcPr>
            <w:tcW w:w="2873" w:type="dxa"/>
            <w:vAlign w:val="center"/>
          </w:tcPr>
          <w:p>
            <w:pPr>
              <w:adjustRightInd w:val="0"/>
              <w:snapToGrid w:val="0"/>
              <w:spacing w:line="300" w:lineRule="exact"/>
              <w:jc w:val="center"/>
              <w:rPr>
                <w:rFonts w:ascii="宋体" w:hAnsi="宋体"/>
                <w:bCs/>
                <w:color w:val="auto"/>
                <w:highlight w:val="none"/>
              </w:rPr>
            </w:pPr>
          </w:p>
        </w:tc>
        <w:tc>
          <w:tcPr>
            <w:tcW w:w="2719" w:type="dxa"/>
            <w:vAlign w:val="center"/>
          </w:tcPr>
          <w:p>
            <w:pPr>
              <w:spacing w:line="260" w:lineRule="exact"/>
              <w:jc w:val="center"/>
              <w:rPr>
                <w:rFonts w:ascii="宋体" w:hAnsi="宋体"/>
                <w:bCs/>
                <w:color w:val="auto"/>
                <w:highlight w:val="none"/>
              </w:rPr>
            </w:pPr>
            <w:r>
              <w:rPr>
                <w:rFonts w:hint="eastAsia" w:ascii="宋体" w:hAnsi="宋体"/>
                <w:bCs/>
                <w:color w:val="auto"/>
                <w:highlight w:val="none"/>
                <w:lang w:val="en-US" w:eastAsia="zh-CN"/>
              </w:rPr>
              <w:t>%</w:t>
            </w:r>
          </w:p>
        </w:tc>
        <w:tc>
          <w:tcPr>
            <w:tcW w:w="1673" w:type="dxa"/>
            <w:vAlign w:val="center"/>
          </w:tcPr>
          <w:p>
            <w:pPr>
              <w:topLinePunct/>
              <w:jc w:val="left"/>
              <w:rPr>
                <w:rFonts w:ascii="宋体" w:hAnsi="宋体"/>
                <w:bCs/>
                <w:color w:val="auto"/>
                <w:highlight w:val="none"/>
                <w:u w:val="single"/>
              </w:rPr>
            </w:pPr>
          </w:p>
        </w:tc>
        <w:tc>
          <w:tcPr>
            <w:tcW w:w="689" w:type="dxa"/>
            <w:vAlign w:val="center"/>
          </w:tcPr>
          <w:p>
            <w:pPr>
              <w:rPr>
                <w:rFonts w:ascii="宋体" w:hAnsi="宋体"/>
                <w:bCs/>
                <w:color w:val="auto"/>
                <w:highlight w:val="none"/>
              </w:rPr>
            </w:pPr>
          </w:p>
        </w:tc>
      </w:tr>
    </w:tbl>
    <w:p>
      <w:pPr>
        <w:spacing w:line="360" w:lineRule="auto"/>
        <w:rPr>
          <w:rFonts w:ascii="宋体" w:hAnsi="宋体"/>
          <w:bCs/>
          <w:color w:val="auto"/>
          <w:highlight w:val="none"/>
        </w:rPr>
      </w:pPr>
      <w:r>
        <w:rPr>
          <w:rFonts w:hint="eastAsia" w:ascii="宋体" w:hAnsi="宋体"/>
          <w:bCs/>
          <w:color w:val="auto"/>
          <w:highlight w:val="none"/>
        </w:rPr>
        <w:t>注：</w:t>
      </w:r>
    </w:p>
    <w:p>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auto"/>
          <w:highlight w:val="none"/>
          <w:u w:val="single"/>
        </w:rPr>
      </w:pP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 xml:space="preserve">投标人法定代表人（负责人）或授权代理人（签字）：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pPr>
        <w:adjustRightInd w:val="0"/>
        <w:snapToGrid w:val="0"/>
        <w:spacing w:line="40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00" w:lineRule="exact"/>
        <w:rPr>
          <w:rFonts w:ascii="宋体" w:hAnsi="宋体"/>
          <w:bCs/>
          <w:color w:val="auto"/>
          <w:highlight w:val="none"/>
        </w:rPr>
      </w:pPr>
      <w:r>
        <w:rPr>
          <w:rFonts w:hint="eastAsia" w:ascii="宋体" w:hAnsi="宋体"/>
          <w:bCs/>
          <w:color w:val="auto"/>
          <w:highlight w:val="none"/>
        </w:rPr>
        <w:t>日期：</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u w:val="single"/>
        </w:rPr>
        <w:t xml:space="preserve">     </w:t>
      </w:r>
      <w:r>
        <w:rPr>
          <w:rFonts w:hint="eastAsia" w:ascii="宋体" w:hAnsi="宋体"/>
          <w:bCs/>
          <w:color w:val="auto"/>
          <w:highlight w:val="none"/>
        </w:rPr>
        <w:t>月</w:t>
      </w:r>
      <w:r>
        <w:rPr>
          <w:rFonts w:ascii="宋体" w:hAnsi="宋体"/>
          <w:bCs/>
          <w:color w:val="auto"/>
          <w:highlight w:val="none"/>
        </w:rPr>
        <w:t xml:space="preserve"> </w:t>
      </w:r>
      <w:r>
        <w:rPr>
          <w:rFonts w:ascii="宋体" w:hAnsi="宋体"/>
          <w:bCs/>
          <w:color w:val="auto"/>
          <w:highlight w:val="none"/>
          <w:u w:val="single"/>
        </w:rPr>
        <w:t xml:space="preserve">    </w:t>
      </w:r>
      <w:r>
        <w:rPr>
          <w:rFonts w:hint="eastAsia" w:ascii="宋体" w:hAnsi="宋体"/>
          <w:bCs/>
          <w:color w:val="auto"/>
          <w:highlight w:val="none"/>
        </w:rPr>
        <w:t>日</w:t>
      </w:r>
      <w:r>
        <w:rPr>
          <w:rFonts w:ascii="宋体" w:hAnsi="宋体"/>
          <w:bCs/>
          <w:color w:val="auto"/>
          <w:highlight w:val="none"/>
        </w:rPr>
        <w:t xml:space="preserve"> </w:t>
      </w: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adjustRightInd w:val="0"/>
        <w:snapToGrid w:val="0"/>
        <w:spacing w:line="400" w:lineRule="exact"/>
        <w:rPr>
          <w:rFonts w:ascii="宋体" w:hAnsi="宋体"/>
          <w:bCs/>
          <w:color w:val="auto"/>
          <w:highlight w:val="none"/>
        </w:rPr>
      </w:pPr>
    </w:p>
    <w:p>
      <w:pPr>
        <w:pStyle w:val="4"/>
        <w:numPr>
          <w:ilvl w:val="0"/>
          <w:numId w:val="0"/>
        </w:numPr>
        <w:spacing w:line="400" w:lineRule="exact"/>
        <w:rPr>
          <w:color w:val="auto"/>
          <w:highlight w:val="none"/>
        </w:rPr>
      </w:pPr>
      <w:bookmarkStart w:id="1906" w:name="_Toc365967096"/>
      <w:bookmarkStart w:id="1907" w:name="_Toc339020039"/>
      <w:bookmarkStart w:id="1908" w:name="_Toc340507466"/>
      <w:bookmarkStart w:id="1909" w:name="_Toc350756474"/>
      <w:bookmarkStart w:id="1910" w:name="_Toc31397"/>
      <w:bookmarkStart w:id="1911" w:name="_Toc343247124"/>
      <w:bookmarkStart w:id="1912" w:name="_Toc332206733"/>
      <w:bookmarkStart w:id="1913" w:name="_Toc337632382"/>
      <w:bookmarkStart w:id="1914" w:name="_Toc339441111"/>
      <w:bookmarkStart w:id="1915" w:name="_Toc343248442"/>
      <w:bookmarkStart w:id="1916" w:name="_Toc339019913"/>
      <w:bookmarkStart w:id="1917" w:name="_Toc365985202"/>
      <w:bookmarkStart w:id="1918" w:name="_Toc333237702"/>
      <w:bookmarkStart w:id="1919" w:name="_Toc345312621"/>
      <w:bookmarkStart w:id="1920" w:name="_Toc343612944"/>
      <w:bookmarkStart w:id="1921" w:name="_Toc340672893"/>
      <w:bookmarkStart w:id="1922" w:name="_Toc333935711"/>
      <w:bookmarkStart w:id="1923" w:name="_Toc333237813"/>
      <w:bookmarkStart w:id="1924" w:name="_Toc350438773"/>
      <w:bookmarkStart w:id="1925" w:name="_Toc342060399"/>
      <w:bookmarkStart w:id="1926" w:name="_Toc333238658"/>
      <w:bookmarkStart w:id="1927" w:name="_Toc336681604"/>
      <w:bookmarkStart w:id="1928" w:name="_Toc331512925"/>
      <w:bookmarkStart w:id="1929" w:name="_Toc342296785"/>
      <w:bookmarkStart w:id="1930" w:name="_Toc339020119"/>
      <w:bookmarkStart w:id="1931" w:name="_Toc342312467"/>
      <w:bookmarkStart w:id="1932" w:name="_Toc366072553"/>
      <w:bookmarkStart w:id="1933" w:name="_Toc331684066"/>
      <w:bookmarkStart w:id="1934" w:name="_Toc340677094"/>
      <w:bookmarkStart w:id="1935" w:name="_Toc339362324"/>
      <w:bookmarkStart w:id="1936" w:name="_Toc339020257"/>
      <w:bookmarkStart w:id="1937" w:name="_Toc332270371"/>
      <w:bookmarkStart w:id="1938" w:name="_Toc330460010"/>
      <w:bookmarkStart w:id="1939" w:name="_Toc336681959"/>
      <w:bookmarkStart w:id="1940" w:name="_Toc342398154"/>
      <w:bookmarkStart w:id="1941" w:name="_Toc333935370"/>
      <w:bookmarkStart w:id="1942" w:name="_Toc341348364"/>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r>
        <w:rPr>
          <w:rFonts w:hint="eastAsia" w:ascii="宋体" w:hAnsi="宋体"/>
          <w:bCs/>
          <w:caps/>
          <w:color w:val="auto"/>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auto"/>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rPr>
      </w:pPr>
      <w:r>
        <w:rPr>
          <w:rFonts w:hint="eastAsia" w:ascii="宋体" w:hAnsi="宋体"/>
          <w:bCs/>
          <w:color w:val="auto"/>
          <w:highlight w:val="none"/>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auto"/>
          <w:highlight w:val="none"/>
        </w:rPr>
      </w:pPr>
      <w:r>
        <w:rPr>
          <w:rFonts w:hint="eastAsia" w:ascii="宋体" w:hAnsi="宋体"/>
          <w:bCs/>
          <w:color w:val="auto"/>
          <w:highlight w:val="none"/>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auto"/>
          <w:highlight w:val="none"/>
        </w:rPr>
      </w:pPr>
      <w:r>
        <w:rPr>
          <w:rFonts w:hint="eastAsia" w:ascii="宋体" w:hAnsi="宋体"/>
          <w:b/>
          <w:bCs/>
          <w:color w:val="auto"/>
          <w:highlight w:val="none"/>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auto"/>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auto"/>
          <w:highlight w:val="none"/>
        </w:rPr>
      </w:pPr>
      <w:bookmarkStart w:id="1943" w:name="_Toc31487"/>
      <w:bookmarkStart w:id="1944" w:name="_Toc366072554"/>
      <w:bookmarkStart w:id="1945" w:name="_Toc350756475"/>
      <w:bookmarkStart w:id="1946" w:name="_Toc339019914"/>
      <w:bookmarkStart w:id="1947" w:name="_Toc333238659"/>
      <w:bookmarkStart w:id="1948" w:name="_Toc340677095"/>
      <w:bookmarkStart w:id="1949" w:name="_Toc345312622"/>
      <w:bookmarkStart w:id="1950" w:name="_Toc333237814"/>
      <w:bookmarkStart w:id="1951" w:name="_Toc342398155"/>
      <w:bookmarkStart w:id="1952" w:name="_Toc341348365"/>
      <w:bookmarkStart w:id="1953" w:name="_Toc350438774"/>
      <w:bookmarkStart w:id="1954" w:name="_Toc332270372"/>
      <w:bookmarkStart w:id="1955" w:name="_Toc339441112"/>
      <w:bookmarkStart w:id="1956" w:name="_Toc340672894"/>
      <w:bookmarkStart w:id="1957" w:name="_Toc342060400"/>
      <w:bookmarkStart w:id="1958" w:name="_Toc343248443"/>
      <w:bookmarkStart w:id="1959" w:name="_Toc365967097"/>
      <w:bookmarkStart w:id="1960" w:name="_Toc333935371"/>
      <w:bookmarkStart w:id="1961" w:name="_Toc342296786"/>
      <w:bookmarkStart w:id="1962" w:name="_Toc339020120"/>
      <w:bookmarkStart w:id="1963" w:name="_Toc339362325"/>
      <w:bookmarkStart w:id="1964" w:name="_Toc336681605"/>
      <w:bookmarkStart w:id="1965" w:name="_Toc333237703"/>
      <w:bookmarkStart w:id="1966" w:name="_Toc336681960"/>
      <w:bookmarkStart w:id="1967" w:name="_Toc337632383"/>
      <w:bookmarkStart w:id="1968" w:name="_Toc342312468"/>
      <w:bookmarkStart w:id="1969" w:name="_Toc332206734"/>
      <w:bookmarkStart w:id="1970" w:name="_Toc330460011"/>
      <w:bookmarkStart w:id="1971" w:name="_Toc333935712"/>
      <w:bookmarkStart w:id="1972" w:name="_Toc340507467"/>
      <w:bookmarkStart w:id="1973" w:name="_Toc343247125"/>
      <w:bookmarkStart w:id="1974" w:name="_Toc331684067"/>
      <w:bookmarkStart w:id="1975" w:name="_Toc331512926"/>
      <w:bookmarkStart w:id="1976" w:name="_Toc343612945"/>
      <w:bookmarkStart w:id="1977" w:name="_Toc339020258"/>
      <w:bookmarkStart w:id="1978" w:name="_Toc365985203"/>
      <w:bookmarkStart w:id="1979" w:name="_Toc339020040"/>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bookmarkEnd w:id="1943"/>
    </w:p>
    <w:p>
      <w:pPr>
        <w:adjustRightInd w:val="0"/>
        <w:snapToGrid w:val="0"/>
        <w:spacing w:line="360" w:lineRule="auto"/>
        <w:jc w:val="left"/>
        <w:rPr>
          <w:rFonts w:ascii="宋体" w:hAnsi="宋体"/>
          <w:bCs/>
          <w:caps/>
          <w:color w:val="auto"/>
          <w:highlight w:val="none"/>
          <w:u w:val="singl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
          <w:color w:val="auto"/>
          <w:highlight w:val="none"/>
        </w:rPr>
      </w:pPr>
      <w:r>
        <w:rPr>
          <w:rFonts w:hint="eastAsia" w:ascii="宋体" w:hAnsi="宋体"/>
          <w:b/>
          <w:bCs/>
          <w:color w:val="auto"/>
          <w:highlight w:val="none"/>
        </w:rPr>
        <w:t>投标人声明：</w:t>
      </w:r>
      <w:r>
        <w:rPr>
          <w:rFonts w:hint="eastAsia" w:ascii="宋体" w:hAnsi="宋体"/>
          <w:b/>
          <w:color w:val="auto"/>
          <w:highlight w:val="none"/>
        </w:rPr>
        <w:t>表中未列</w:t>
      </w:r>
      <w:r>
        <w:rPr>
          <w:rFonts w:hint="eastAsia" w:ascii="宋体" w:hAnsi="宋体"/>
          <w:b/>
          <w:bCs/>
          <w:color w:val="auto"/>
          <w:highlight w:val="none"/>
        </w:rPr>
        <w:t>全</w:t>
      </w:r>
      <w:r>
        <w:rPr>
          <w:rFonts w:hint="eastAsia" w:ascii="宋体" w:hAnsi="宋体"/>
          <w:b/>
          <w:color w:val="auto"/>
          <w:highlight w:val="none"/>
        </w:rPr>
        <w:t>的技术条款，我方均表示完全响应招标文件技术条款的所有要求。</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Pr>
        <w:pStyle w:val="5"/>
        <w:ind w:firstLine="0"/>
        <w:rPr>
          <w:rFonts w:hAnsi="宋体"/>
          <w:color w:val="auto"/>
          <w:sz w:val="21"/>
          <w:szCs w:val="2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auto"/>
          <w:highlight w:val="none"/>
        </w:rPr>
      </w:pPr>
      <w:bookmarkStart w:id="1980" w:name="_Toc339020124"/>
      <w:bookmarkStart w:id="1981" w:name="_Toc365985210"/>
      <w:bookmarkStart w:id="1982" w:name="_Toc331684071"/>
      <w:bookmarkStart w:id="1983" w:name="_Toc339020044"/>
      <w:bookmarkStart w:id="1984" w:name="_Toc333237707"/>
      <w:bookmarkStart w:id="1985" w:name="_Toc330460015"/>
      <w:bookmarkStart w:id="1986" w:name="_Toc339020262"/>
      <w:bookmarkStart w:id="1987" w:name="_Toc336681964"/>
      <w:bookmarkStart w:id="1988" w:name="_Toc345312626"/>
      <w:bookmarkStart w:id="1989" w:name="_Toc365967104"/>
      <w:bookmarkStart w:id="1990" w:name="_Toc343247129"/>
      <w:bookmarkStart w:id="1991" w:name="_Toc340507471"/>
      <w:bookmarkStart w:id="1992" w:name="_Toc343248447"/>
      <w:bookmarkStart w:id="1993" w:name="_Toc343612949"/>
      <w:bookmarkStart w:id="1994" w:name="_Toc339019918"/>
      <w:bookmarkStart w:id="1995" w:name="_Toc333237818"/>
      <w:bookmarkStart w:id="1996" w:name="_Toc332206738"/>
      <w:bookmarkStart w:id="1997" w:name="_Toc342296790"/>
      <w:bookmarkStart w:id="1998" w:name="_Toc333935716"/>
      <w:bookmarkStart w:id="1999" w:name="_Toc350756479"/>
      <w:bookmarkStart w:id="2000" w:name="_Toc339441116"/>
      <w:bookmarkStart w:id="2001" w:name="_Toc333238663"/>
      <w:bookmarkStart w:id="2002" w:name="_Toc339362329"/>
      <w:bookmarkStart w:id="2003" w:name="_Toc340677099"/>
      <w:bookmarkStart w:id="2004" w:name="_Toc366072561"/>
      <w:bookmarkStart w:id="2005" w:name="_Toc24802"/>
      <w:bookmarkStart w:id="2006" w:name="_Toc340672898"/>
      <w:bookmarkStart w:id="2007" w:name="_Toc336681609"/>
      <w:bookmarkStart w:id="2008" w:name="_Toc341348369"/>
      <w:bookmarkStart w:id="2009" w:name="_Toc350438778"/>
      <w:bookmarkStart w:id="2010" w:name="_Toc342398159"/>
      <w:bookmarkStart w:id="2011" w:name="_Toc342312472"/>
      <w:bookmarkStart w:id="2012" w:name="_Toc337632387"/>
      <w:bookmarkStart w:id="2013" w:name="_Toc332270376"/>
      <w:bookmarkStart w:id="2014" w:name="_Toc331512930"/>
      <w:bookmarkStart w:id="2015" w:name="_Toc342060404"/>
      <w:bookmarkStart w:id="2016" w:name="_Toc333935375"/>
      <w:bookmarkStart w:id="2017" w:name="_Toc432695228"/>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pPr>
        <w:adjustRightInd w:val="0"/>
        <w:snapToGrid w:val="0"/>
        <w:spacing w:line="360" w:lineRule="auto"/>
        <w:jc w:val="left"/>
        <w:rPr>
          <w:rFonts w:ascii="宋体" w:hAnsi="宋体"/>
          <w:bCs/>
          <w:caps/>
          <w:color w:val="auto"/>
          <w:szCs w:val="21"/>
          <w:highlight w:val="none"/>
          <w:u w:val="single"/>
        </w:rPr>
      </w:pPr>
      <w:bookmarkStart w:id="2018" w:name="_Hlk534184855"/>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pPr>
              <w:pStyle w:val="5"/>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auto"/>
                <w:kern w:val="2"/>
                <w:sz w:val="21"/>
                <w:szCs w:val="24"/>
                <w:highlight w:val="none"/>
              </w:rPr>
            </w:pPr>
          </w:p>
        </w:tc>
        <w:tc>
          <w:tcPr>
            <w:tcW w:w="1215" w:type="dxa"/>
            <w:vAlign w:val="center"/>
          </w:tcPr>
          <w:p>
            <w:pPr>
              <w:pStyle w:val="5"/>
              <w:snapToGrid w:val="0"/>
              <w:ind w:firstLine="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ind w:firstLine="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auto"/>
                <w:kern w:val="2"/>
                <w:sz w:val="21"/>
                <w:szCs w:val="24"/>
                <w:highlight w:val="none"/>
              </w:rPr>
            </w:pPr>
          </w:p>
        </w:tc>
        <w:tc>
          <w:tcPr>
            <w:tcW w:w="1215" w:type="dxa"/>
            <w:vAlign w:val="center"/>
          </w:tcPr>
          <w:p>
            <w:pPr>
              <w:pStyle w:val="5"/>
              <w:snapToGrid w:val="0"/>
              <w:jc w:val="center"/>
              <w:rPr>
                <w:rFonts w:hAnsi="宋体"/>
                <w:bCs/>
                <w:color w:val="auto"/>
                <w:kern w:val="2"/>
                <w:sz w:val="21"/>
                <w:szCs w:val="24"/>
                <w:highlight w:val="none"/>
              </w:rPr>
            </w:pPr>
          </w:p>
        </w:tc>
        <w:tc>
          <w:tcPr>
            <w:tcW w:w="1267" w:type="dxa"/>
            <w:vAlign w:val="center"/>
          </w:tcPr>
          <w:p>
            <w:pPr>
              <w:pStyle w:val="5"/>
              <w:snapToGrid w:val="0"/>
              <w:jc w:val="center"/>
              <w:rPr>
                <w:rFonts w:hAnsi="宋体"/>
                <w:bCs/>
                <w:color w:val="auto"/>
                <w:kern w:val="2"/>
                <w:sz w:val="21"/>
                <w:szCs w:val="24"/>
                <w:highlight w:val="none"/>
              </w:rPr>
            </w:pPr>
          </w:p>
        </w:tc>
        <w:tc>
          <w:tcPr>
            <w:tcW w:w="1117" w:type="dxa"/>
            <w:vAlign w:val="center"/>
          </w:tcPr>
          <w:p>
            <w:pPr>
              <w:pStyle w:val="5"/>
              <w:snapToGrid w:val="0"/>
              <w:jc w:val="center"/>
              <w:rPr>
                <w:rFonts w:hAnsi="宋体"/>
                <w:bCs/>
                <w:color w:val="auto"/>
                <w:kern w:val="2"/>
                <w:sz w:val="21"/>
                <w:szCs w:val="24"/>
                <w:highlight w:val="none"/>
              </w:rPr>
            </w:pPr>
          </w:p>
        </w:tc>
        <w:tc>
          <w:tcPr>
            <w:tcW w:w="1400" w:type="dxa"/>
            <w:vAlign w:val="center"/>
          </w:tcPr>
          <w:p>
            <w:pPr>
              <w:pStyle w:val="5"/>
              <w:snapToGrid w:val="0"/>
              <w:jc w:val="center"/>
              <w:rPr>
                <w:rFonts w:hAnsi="宋体"/>
                <w:bCs/>
                <w:color w:val="auto"/>
                <w:kern w:val="2"/>
                <w:sz w:val="21"/>
                <w:szCs w:val="24"/>
                <w:highlight w:val="none"/>
              </w:rPr>
            </w:pPr>
          </w:p>
        </w:tc>
        <w:tc>
          <w:tcPr>
            <w:tcW w:w="1233" w:type="dxa"/>
            <w:vAlign w:val="center"/>
          </w:tcPr>
          <w:p>
            <w:pPr>
              <w:pStyle w:val="5"/>
              <w:snapToGrid w:val="0"/>
              <w:jc w:val="center"/>
              <w:rPr>
                <w:rFonts w:hAnsi="宋体"/>
                <w:bCs/>
                <w:color w:val="auto"/>
                <w:kern w:val="2"/>
                <w:sz w:val="21"/>
                <w:szCs w:val="24"/>
                <w:highlight w:val="none"/>
              </w:rPr>
            </w:pPr>
          </w:p>
        </w:tc>
        <w:tc>
          <w:tcPr>
            <w:tcW w:w="1183" w:type="dxa"/>
            <w:vAlign w:val="center"/>
          </w:tcPr>
          <w:p>
            <w:pPr>
              <w:pStyle w:val="5"/>
              <w:snapToGrid w:val="0"/>
              <w:jc w:val="center"/>
              <w:rPr>
                <w:rFonts w:hAnsi="宋体"/>
                <w:bCs/>
                <w:color w:val="auto"/>
                <w:kern w:val="2"/>
                <w:sz w:val="21"/>
                <w:szCs w:val="24"/>
                <w:highlight w:val="none"/>
              </w:rPr>
            </w:pPr>
          </w:p>
        </w:tc>
        <w:tc>
          <w:tcPr>
            <w:tcW w:w="1220" w:type="dxa"/>
            <w:vAlign w:val="center"/>
          </w:tcPr>
          <w:p>
            <w:pPr>
              <w:pStyle w:val="5"/>
              <w:snapToGrid w:val="0"/>
              <w:jc w:val="center"/>
              <w:rPr>
                <w:rFonts w:hAnsi="宋体"/>
                <w:bCs/>
                <w:color w:val="auto"/>
                <w:kern w:val="2"/>
                <w:sz w:val="21"/>
                <w:szCs w:val="24"/>
                <w:highlight w:val="none"/>
              </w:rPr>
            </w:pPr>
          </w:p>
        </w:tc>
        <w:tc>
          <w:tcPr>
            <w:tcW w:w="817" w:type="dxa"/>
            <w:vAlign w:val="center"/>
          </w:tcPr>
          <w:p>
            <w:pPr>
              <w:pStyle w:val="5"/>
              <w:snapToGrid w:val="0"/>
              <w:jc w:val="center"/>
              <w:rPr>
                <w:rFonts w:hAnsi="宋体"/>
                <w:bCs/>
                <w:color w:val="auto"/>
                <w:kern w:val="2"/>
                <w:sz w:val="21"/>
                <w:szCs w:val="24"/>
                <w:highlight w:val="none"/>
              </w:rPr>
            </w:pPr>
          </w:p>
        </w:tc>
      </w:tr>
    </w:tbl>
    <w:p>
      <w:pPr>
        <w:pStyle w:val="5"/>
        <w:snapToGrid w:val="0"/>
        <w:spacing w:line="360" w:lineRule="auto"/>
        <w:ind w:firstLine="0"/>
        <w:rPr>
          <w:rFonts w:hAnsi="宋体"/>
          <w:bCs/>
          <w:color w:val="auto"/>
          <w:sz w:val="21"/>
          <w:highlight w:val="none"/>
        </w:rPr>
      </w:pPr>
      <w:r>
        <w:rPr>
          <w:rFonts w:hint="eastAsia" w:hAnsi="宋体"/>
          <w:bCs/>
          <w:color w:val="auto"/>
          <w:sz w:val="21"/>
          <w:highlight w:val="none"/>
        </w:rPr>
        <w:t>注：如本表格式内容不能满足需要，投标人可自行划表填写，但必须体现以上内容。</w:t>
      </w:r>
    </w:p>
    <w:p>
      <w:pPr>
        <w:pStyle w:val="5"/>
        <w:snapToGrid w:val="0"/>
        <w:spacing w:line="360" w:lineRule="auto"/>
        <w:ind w:firstLine="0"/>
        <w:rPr>
          <w:rFonts w:hAnsi="宋体"/>
          <w:bCs/>
          <w:color w:val="auto"/>
          <w:sz w:val="21"/>
          <w:highlight w:val="none"/>
        </w:rPr>
      </w:pPr>
    </w:p>
    <w:p>
      <w:pPr>
        <w:pStyle w:val="5"/>
        <w:snapToGrid w:val="0"/>
        <w:spacing w:line="360" w:lineRule="auto"/>
        <w:ind w:firstLine="0"/>
        <w:rPr>
          <w:rFonts w:hAnsi="宋体"/>
          <w:bCs/>
          <w:color w:val="auto"/>
          <w:sz w:val="21"/>
          <w:highlight w:val="none"/>
        </w:rPr>
      </w:pPr>
    </w:p>
    <w:p>
      <w:pPr>
        <w:pStyle w:val="5"/>
        <w:snapToGrid w:val="0"/>
        <w:spacing w:line="360" w:lineRule="auto"/>
        <w:ind w:firstLine="0"/>
        <w:rPr>
          <w:rFonts w:hAnsi="宋体"/>
          <w:bCs/>
          <w:color w:val="auto"/>
          <w:sz w:val="21"/>
          <w:highlight w:val="none"/>
        </w:rPr>
      </w:pPr>
    </w:p>
    <w:p>
      <w:pPr>
        <w:pStyle w:val="5"/>
        <w:snapToGrid w:val="0"/>
        <w:spacing w:line="360" w:lineRule="auto"/>
        <w:ind w:firstLine="0"/>
        <w:rPr>
          <w:rFonts w:hAnsi="宋体"/>
          <w:bCs/>
          <w:color w:val="auto"/>
          <w:sz w:val="21"/>
          <w:highlight w:val="none"/>
        </w:rPr>
      </w:pPr>
    </w:p>
    <w:p>
      <w:pPr>
        <w:adjustRightInd w:val="0"/>
        <w:snapToGrid w:val="0"/>
        <w:spacing w:line="360" w:lineRule="auto"/>
        <w:rPr>
          <w:rFonts w:ascii="宋体" w:hAnsi="宋体"/>
          <w:bCs/>
          <w:color w:val="auto"/>
          <w:highlight w:val="none"/>
        </w:rPr>
      </w:pPr>
      <w:bookmarkStart w:id="2019" w:name="_Hlk534184880"/>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bookmarkEnd w:id="2019"/>
    </w:p>
    <w:p>
      <w:pPr>
        <w:pStyle w:val="4"/>
        <w:numPr>
          <w:ilvl w:val="1"/>
          <w:numId w:val="0"/>
        </w:numPr>
        <w:jc w:val="both"/>
        <w:rPr>
          <w:color w:val="auto"/>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auto"/>
          <w:highlight w:val="none"/>
        </w:rPr>
      </w:pPr>
      <w:bookmarkStart w:id="2020" w:name="_Toc432695229"/>
      <w:bookmarkStart w:id="2021" w:name="_Toc5649"/>
      <w:bookmarkStart w:id="2022" w:name="_Toc432682754"/>
      <w:bookmarkStart w:id="2023" w:name="_Toc430771089"/>
      <w:bookmarkStart w:id="2024" w:name="_Toc350438779"/>
      <w:bookmarkStart w:id="2025" w:name="_Toc365985211"/>
      <w:bookmarkStart w:id="2026" w:name="_Toc340677100"/>
      <w:bookmarkStart w:id="2027" w:name="_Toc343612950"/>
      <w:bookmarkStart w:id="2028" w:name="_Toc343247130"/>
      <w:bookmarkStart w:id="2029" w:name="_Toc331512931"/>
      <w:bookmarkStart w:id="2030" w:name="_Toc342296791"/>
      <w:bookmarkStart w:id="2031" w:name="_Toc339019919"/>
      <w:bookmarkStart w:id="2032" w:name="_Toc339020045"/>
      <w:bookmarkStart w:id="2033" w:name="_Toc332206739"/>
      <w:bookmarkStart w:id="2034" w:name="_Toc340672899"/>
      <w:bookmarkStart w:id="2035" w:name="_Toc342398160"/>
      <w:bookmarkStart w:id="2036" w:name="_Toc333238664"/>
      <w:bookmarkStart w:id="2037" w:name="_Toc102451601"/>
      <w:bookmarkStart w:id="2038" w:name="_Toc330460016"/>
      <w:bookmarkStart w:id="2039" w:name="_Toc336681965"/>
      <w:bookmarkStart w:id="2040" w:name="_Toc341348370"/>
      <w:bookmarkStart w:id="2041" w:name="_Toc333935717"/>
      <w:bookmarkStart w:id="2042" w:name="_Toc333935376"/>
      <w:bookmarkStart w:id="2043" w:name="_Toc339441117"/>
      <w:bookmarkStart w:id="2044" w:name="_Toc331684072"/>
      <w:bookmarkStart w:id="2045" w:name="_Toc350756480"/>
      <w:bookmarkStart w:id="2046" w:name="_Toc333237708"/>
      <w:bookmarkStart w:id="2047" w:name="_Toc340507472"/>
      <w:bookmarkStart w:id="2048" w:name="_Toc336681610"/>
      <w:bookmarkStart w:id="2049" w:name="_Toc343248448"/>
      <w:bookmarkStart w:id="2050" w:name="_Toc333237819"/>
      <w:bookmarkStart w:id="2051" w:name="_Toc345312627"/>
      <w:bookmarkStart w:id="2052" w:name="_Toc339020263"/>
      <w:bookmarkStart w:id="2053" w:name="_Toc365967105"/>
      <w:bookmarkStart w:id="2054" w:name="_Toc337632388"/>
      <w:bookmarkStart w:id="2055" w:name="_Toc366072562"/>
      <w:bookmarkStart w:id="2056" w:name="_Toc342312473"/>
      <w:bookmarkStart w:id="2057" w:name="_Toc339020125"/>
      <w:bookmarkStart w:id="2058" w:name="_Toc332270377"/>
      <w:bookmarkStart w:id="2059" w:name="_Toc339362330"/>
      <w:bookmarkStart w:id="2060" w:name="_Toc342060405"/>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bookmarkEnd w:id="2020"/>
      <w:bookmarkEnd w:id="2021"/>
      <w:bookmarkEnd w:id="2022"/>
      <w:bookmarkEnd w:id="2023"/>
    </w:p>
    <w:p>
      <w:pPr>
        <w:spacing w:line="440" w:lineRule="exact"/>
        <w:ind w:firstLine="420"/>
        <w:rPr>
          <w:rFonts w:ascii="宋体"/>
          <w:color w:val="auto"/>
          <w:highlight w:val="none"/>
        </w:rPr>
      </w:pPr>
      <w:r>
        <w:rPr>
          <w:rFonts w:hint="eastAsia" w:ascii="宋体" w:hAnsi="宋体" w:cs="宋体"/>
          <w:color w:val="auto"/>
          <w:highlight w:val="none"/>
        </w:rPr>
        <w:t>本公司郑重声明，根据</w:t>
      </w:r>
      <w:r>
        <w:rPr>
          <w:rFonts w:ascii="宋体" w:hAnsi="宋体"/>
          <w:color w:val="auto"/>
          <w:szCs w:val="21"/>
          <w:highlight w:val="none"/>
        </w:rPr>
        <w:t>《政府采购促进中小企业发展管理办法》（财库﹝2020﹞46 号）</w:t>
      </w:r>
      <w:r>
        <w:rPr>
          <w:rFonts w:hint="eastAsia" w:ascii="宋体" w:hAnsi="宋体" w:cs="宋体"/>
          <w:color w:val="auto"/>
          <w:highlight w:val="none"/>
        </w:rPr>
        <w:t>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s="宋体"/>
          <w:color w:val="auto"/>
          <w:highlight w:val="none"/>
        </w:rPr>
        <w:t>（项目编号：</w:t>
      </w:r>
      <w:r>
        <w:rPr>
          <w:rFonts w:ascii="宋体" w:hAnsi="宋体" w:cs="宋体"/>
          <w:color w:val="auto"/>
          <w:highlight w:val="none"/>
        </w:rPr>
        <w:t xml:space="preserve"> </w:t>
      </w:r>
      <w:r>
        <w:rPr>
          <w:rFonts w:hint="eastAsia" w:ascii="宋体" w:hAnsi="宋体"/>
          <w:color w:val="auto"/>
          <w:highlight w:val="none"/>
          <w:u w:val="single"/>
        </w:rPr>
        <w:t xml:space="preserve">             </w:t>
      </w:r>
      <w:r>
        <w:rPr>
          <w:rFonts w:hint="eastAsia" w:ascii="宋体" w:hAnsi="宋体" w:cs="宋体"/>
          <w:color w:val="auto"/>
          <w:highlight w:val="none"/>
        </w:rPr>
        <w:t>）采购活动提供本企业制造的货物，由本企业承担工程、</w:t>
      </w:r>
      <w:r>
        <w:rPr>
          <w:rFonts w:ascii="宋体" w:hAnsi="宋体" w:cs="宋体"/>
          <w:color w:val="auto"/>
          <w:highlight w:val="none"/>
        </w:rPr>
        <w:t xml:space="preserve"> </w:t>
      </w:r>
      <w:r>
        <w:rPr>
          <w:rFonts w:hint="eastAsia" w:ascii="宋体" w:hAnsi="宋体" w:cs="宋体"/>
          <w:color w:val="auto"/>
          <w:highlight w:val="none"/>
        </w:rPr>
        <w:t>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w:t>
      </w: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adjustRightInd w:val="0"/>
        <w:snapToGrid w:val="0"/>
        <w:spacing w:line="440" w:lineRule="exact"/>
        <w:rPr>
          <w:rFonts w:ascii="宋体" w:hAnsi="宋体"/>
          <w:bCs/>
          <w:color w:val="auto"/>
          <w:highlight w:val="none"/>
        </w:rPr>
      </w:pPr>
      <w:bookmarkStart w:id="2061" w:name="_Hlk534184837"/>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rPr>
          <w:rFonts w:ascii="宋体"/>
          <w:color w:val="auto"/>
          <w:highlight w:val="none"/>
        </w:rPr>
      </w:pPr>
      <w:r>
        <w:rPr>
          <w:rFonts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2061"/>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4"/>
        <w:keepLines w:val="0"/>
        <w:numPr>
          <w:ilvl w:val="0"/>
          <w:numId w:val="0"/>
        </w:numPr>
        <w:tabs>
          <w:tab w:val="left" w:pos="851"/>
        </w:tabs>
        <w:spacing w:before="0" w:after="0" w:line="360" w:lineRule="auto"/>
        <w:rPr>
          <w:rFonts w:ascii="宋体" w:eastAsia="宋体"/>
          <w:color w:val="auto"/>
          <w:szCs w:val="21"/>
          <w:highlight w:val="none"/>
        </w:rPr>
      </w:pPr>
      <w:bookmarkStart w:id="2062" w:name="_Toc12016"/>
      <w:bookmarkStart w:id="2063" w:name="_Hlk534184757"/>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bookmarkEnd w:id="2062"/>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投标人法定代表人（负责人）或授权代理人（签字）：</w:t>
      </w:r>
      <w:r>
        <w:rPr>
          <w:rFonts w:hint="eastAsia" w:ascii="宋体" w:hAnsi="宋体"/>
          <w:bCs/>
          <w:color w:val="auto"/>
          <w:szCs w:val="21"/>
          <w:highlight w:val="none"/>
          <w:u w:val="single"/>
        </w:rPr>
        <w:t xml:space="preserve">                            </w:t>
      </w:r>
    </w:p>
    <w:p>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投标人名称（公章）：</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pPr>
        <w:pStyle w:val="5"/>
        <w:spacing w:line="360" w:lineRule="auto"/>
        <w:ind w:firstLine="0"/>
        <w:rPr>
          <w:rFonts w:hAnsi="宋体" w:cs="宋体"/>
          <w:color w:val="auto"/>
          <w:kern w:val="2"/>
          <w:sz w:val="21"/>
          <w:szCs w:val="24"/>
          <w:highlight w:val="none"/>
        </w:rPr>
      </w:pPr>
      <w:r>
        <w:rPr>
          <w:rFonts w:hAnsi="宋体"/>
          <w:color w:val="auto"/>
          <w:sz w:val="21"/>
          <w:szCs w:val="21"/>
          <w:highlight w:val="none"/>
        </w:rPr>
        <w:t>日期：</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w:t>
      </w: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rPr>
          <w:rFonts w:hint="eastAsia"/>
          <w:color w:val="auto"/>
          <w:highlight w:val="none"/>
        </w:rPr>
      </w:pPr>
      <w:bookmarkStart w:id="2064" w:name="_Toc432695230"/>
      <w:r>
        <w:rPr>
          <w:rFonts w:hint="eastAsia"/>
          <w:color w:val="auto"/>
          <w:highlight w:val="none"/>
        </w:rPr>
        <w:br w:type="page"/>
      </w:r>
    </w:p>
    <w:p>
      <w:pPr>
        <w:pStyle w:val="4"/>
        <w:numPr>
          <w:ilvl w:val="1"/>
          <w:numId w:val="0"/>
        </w:numPr>
        <w:spacing w:line="400" w:lineRule="exact"/>
        <w:rPr>
          <w:color w:val="auto"/>
          <w:highlight w:val="none"/>
        </w:rPr>
      </w:pPr>
      <w:bookmarkStart w:id="2065" w:name="_Toc13374"/>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w:t>
      </w:r>
      <w:r>
        <w:rPr>
          <w:rFonts w:hint="eastAsia" w:ascii="宋体" w:hAnsi="宋体"/>
          <w:color w:val="auto"/>
          <w:highlight w:val="none"/>
          <w:u w:val="single"/>
        </w:rPr>
        <w:t xml:space="preserve">                   </w:t>
      </w:r>
      <w:r>
        <w:rPr>
          <w:rFonts w:hint="eastAsia" w:ascii="宋体" w:hAnsi="宋体"/>
          <w:color w:val="auto"/>
          <w:highlight w:val="none"/>
        </w:rPr>
        <w:t xml:space="preserve">）招标（项目编号: </w:t>
      </w:r>
      <w:r>
        <w:rPr>
          <w:rFonts w:hint="eastAsia" w:ascii="宋体" w:hAnsi="宋体"/>
          <w:color w:val="auto"/>
          <w:highlight w:val="none"/>
          <w:u w:val="single"/>
        </w:rPr>
        <w:t xml:space="preserve">          </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有权重新确定中标结果，</w:t>
      </w:r>
      <w:r>
        <w:rPr>
          <w:rFonts w:hint="eastAsia" w:ascii="宋体"/>
          <w:color w:val="auto"/>
          <w:highlight w:val="none"/>
        </w:rPr>
        <w:t>我方对此无任何异议。</w:t>
      </w:r>
    </w:p>
    <w:p>
      <w:pPr>
        <w:spacing w:line="440" w:lineRule="exact"/>
        <w:rPr>
          <w:rFonts w:ascii="宋体" w:hAnsi="宋体"/>
          <w:color w:val="auto"/>
          <w:highlight w:val="none"/>
        </w:rPr>
      </w:pPr>
      <w:r>
        <w:rPr>
          <w:rFonts w:hint="eastAsia" w:ascii="宋体" w:hAnsi="宋体"/>
          <w:color w:val="auto"/>
          <w:highlight w:val="none"/>
        </w:rPr>
        <w:t xml:space="preserve">     </w:t>
      </w:r>
    </w:p>
    <w:p>
      <w:pPr>
        <w:spacing w:line="440" w:lineRule="exact"/>
        <w:ind w:firstLine="420" w:firstLineChars="200"/>
        <w:rPr>
          <w:rFonts w:ascii="宋体" w:hAns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rPr>
          <w:color w:val="auto"/>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auto"/>
          <w:highlight w:val="none"/>
        </w:rPr>
      </w:pPr>
      <w:bookmarkStart w:id="2066" w:name="_Toc326065622"/>
      <w:bookmarkStart w:id="2067" w:name="_Toc340672900"/>
      <w:bookmarkStart w:id="2068" w:name="_Toc342312474"/>
      <w:bookmarkStart w:id="2069" w:name="_Toc343248449"/>
      <w:bookmarkStart w:id="2070" w:name="_Toc350756481"/>
      <w:bookmarkStart w:id="2071" w:name="_Toc333238665"/>
      <w:bookmarkStart w:id="2072" w:name="_Toc365967106"/>
      <w:bookmarkStart w:id="2073" w:name="_Toc336681611"/>
      <w:bookmarkStart w:id="2074" w:name="_Toc331512932"/>
      <w:bookmarkStart w:id="2075" w:name="_Toc331684073"/>
      <w:bookmarkStart w:id="2076" w:name="_Toc366072563"/>
      <w:bookmarkStart w:id="2077" w:name="_Toc343247131"/>
      <w:bookmarkStart w:id="2078" w:name="_Toc345312628"/>
      <w:bookmarkStart w:id="2079" w:name="_Toc342060406"/>
      <w:bookmarkStart w:id="2080" w:name="_Toc339020264"/>
      <w:bookmarkStart w:id="2081" w:name="_Toc340677101"/>
      <w:bookmarkStart w:id="2082" w:name="_Toc332270378"/>
      <w:bookmarkStart w:id="2083" w:name="_Toc339020046"/>
      <w:bookmarkStart w:id="2084" w:name="_Toc365985212"/>
      <w:bookmarkStart w:id="2085" w:name="_Toc332206740"/>
      <w:bookmarkStart w:id="2086" w:name="_Toc333237820"/>
      <w:bookmarkStart w:id="2087" w:name="_Toc350438780"/>
      <w:bookmarkStart w:id="2088" w:name="_Toc432695231"/>
      <w:bookmarkStart w:id="2089" w:name="_Toc339020126"/>
      <w:bookmarkStart w:id="2090" w:name="_Toc343612951"/>
      <w:bookmarkStart w:id="2091" w:name="_Toc2309"/>
      <w:bookmarkStart w:id="2092" w:name="_Toc340507473"/>
      <w:bookmarkStart w:id="2093" w:name="_Toc339441118"/>
      <w:bookmarkStart w:id="2094" w:name="_Toc330460017"/>
      <w:bookmarkStart w:id="2095" w:name="_Toc337632389"/>
      <w:bookmarkStart w:id="2096" w:name="_Toc339019920"/>
      <w:bookmarkStart w:id="2097" w:name="_Toc342398161"/>
      <w:bookmarkStart w:id="2098" w:name="_Toc333935377"/>
      <w:bookmarkStart w:id="2099" w:name="_Toc342296792"/>
      <w:bookmarkStart w:id="2100" w:name="_Toc341348371"/>
      <w:bookmarkStart w:id="2101" w:name="_Toc333237709"/>
      <w:bookmarkStart w:id="2102" w:name="_Toc339362331"/>
      <w:bookmarkStart w:id="2103" w:name="_Toc336681966"/>
      <w:bookmarkStart w:id="2104" w:name="_Toc333935718"/>
      <w:r>
        <w:rPr>
          <w:rFonts w:hint="eastAsia"/>
          <w:color w:val="auto"/>
          <w:highlight w:val="none"/>
        </w:rPr>
        <w:t>附件</w:t>
      </w:r>
      <w:r>
        <w:rPr>
          <w:rFonts w:hint="eastAsia"/>
          <w:color w:val="auto"/>
          <w:highlight w:val="none"/>
          <w:lang w:val="en-US" w:eastAsia="zh-CN"/>
        </w:rPr>
        <w:t>九</w:t>
      </w:r>
      <w:r>
        <w:rPr>
          <w:rFonts w:hint="eastAsia"/>
          <w:color w:val="auto"/>
          <w:highlight w:val="none"/>
        </w:rPr>
        <w:t>：</w:t>
      </w:r>
      <w:bookmarkEnd w:id="2066"/>
      <w:r>
        <w:rPr>
          <w:rFonts w:hint="eastAsia"/>
          <w:color w:val="auto"/>
          <w:highlight w:val="none"/>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p>
      <w:pPr>
        <w:adjustRightInd w:val="0"/>
        <w:snapToGrid w:val="0"/>
        <w:spacing w:line="360" w:lineRule="auto"/>
        <w:ind w:left="1050" w:hanging="1050" w:hangingChars="500"/>
        <w:jc w:val="left"/>
        <w:rPr>
          <w:rFonts w:ascii="宋体" w:hAnsi="宋体"/>
          <w:bCs/>
          <w:color w:val="auto"/>
          <w:highlight w:val="none"/>
        </w:rPr>
      </w:pPr>
    </w:p>
    <w:p>
      <w:pPr>
        <w:pStyle w:val="5"/>
        <w:spacing w:line="360" w:lineRule="auto"/>
        <w:rPr>
          <w:rFonts w:hAnsi="宋体"/>
          <w:bCs/>
          <w:color w:val="auto"/>
          <w:sz w:val="21"/>
          <w:highlight w:val="none"/>
        </w:rPr>
      </w:pPr>
    </w:p>
    <w:p>
      <w:pPr>
        <w:pStyle w:val="5"/>
        <w:spacing w:line="360" w:lineRule="auto"/>
        <w:rPr>
          <w:rFonts w:hAnsi="宋体"/>
          <w:bCs/>
          <w:color w:val="auto"/>
          <w:sz w:val="21"/>
          <w:highlight w:val="none"/>
        </w:rPr>
      </w:pPr>
      <w:r>
        <w:rPr>
          <w:rFonts w:hint="eastAsia" w:hAnsi="宋体"/>
          <w:bCs/>
          <w:color w:val="auto"/>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auto"/>
          <w:sz w:val="21"/>
          <w:highlight w:val="none"/>
        </w:rPr>
      </w:pPr>
      <w:r>
        <w:rPr>
          <w:rFonts w:hint="eastAsia" w:hAnsi="宋体"/>
          <w:bCs/>
          <w:color w:val="auto"/>
          <w:sz w:val="21"/>
          <w:highlight w:val="none"/>
        </w:rPr>
        <w:t>一、</w:t>
      </w:r>
      <w:r>
        <w:rPr>
          <w:rFonts w:hAnsi="宋体"/>
          <w:bCs/>
          <w:color w:val="auto"/>
          <w:sz w:val="21"/>
          <w:highlight w:val="none"/>
        </w:rPr>
        <w:t>...</w:t>
      </w:r>
    </w:p>
    <w:p>
      <w:pPr>
        <w:pStyle w:val="5"/>
        <w:spacing w:line="360" w:lineRule="auto"/>
        <w:rPr>
          <w:rFonts w:hAnsi="宋体"/>
          <w:bCs/>
          <w:color w:val="auto"/>
          <w:sz w:val="21"/>
          <w:highlight w:val="none"/>
        </w:rPr>
      </w:pPr>
      <w:r>
        <w:rPr>
          <w:rFonts w:hint="eastAsia" w:hAnsi="宋体"/>
          <w:bCs/>
          <w:color w:val="auto"/>
          <w:sz w:val="21"/>
          <w:highlight w:val="none"/>
        </w:rPr>
        <w:t>二、</w:t>
      </w:r>
      <w:r>
        <w:rPr>
          <w:rFonts w:hAnsi="宋体"/>
          <w:bCs/>
          <w:color w:val="auto"/>
          <w:sz w:val="21"/>
          <w:highlight w:val="none"/>
        </w:rPr>
        <w:t>...</w:t>
      </w:r>
    </w:p>
    <w:p>
      <w:pPr>
        <w:pStyle w:val="5"/>
        <w:spacing w:line="360" w:lineRule="auto"/>
        <w:rPr>
          <w:rFonts w:hAnsi="宋体"/>
          <w:bCs/>
          <w:color w:val="auto"/>
          <w:sz w:val="21"/>
          <w:highlight w:val="none"/>
        </w:rPr>
      </w:pPr>
      <w:r>
        <w:rPr>
          <w:rFonts w:hint="eastAsia" w:hAnsi="宋体"/>
          <w:bCs/>
          <w:color w:val="auto"/>
          <w:sz w:val="21"/>
          <w:highlight w:val="none"/>
        </w:rPr>
        <w:t>三、</w:t>
      </w:r>
      <w:r>
        <w:rPr>
          <w:rFonts w:hAnsi="宋体"/>
          <w:bCs/>
          <w:color w:val="auto"/>
          <w:sz w:val="21"/>
          <w:highlight w:val="none"/>
        </w:rPr>
        <w:t>...</w:t>
      </w:r>
    </w:p>
    <w:p>
      <w:pPr>
        <w:pStyle w:val="5"/>
        <w:spacing w:line="360" w:lineRule="auto"/>
        <w:rPr>
          <w:rFonts w:hAnsi="宋体"/>
          <w:bCs/>
          <w:color w:val="auto"/>
          <w:sz w:val="21"/>
          <w:highlight w:val="none"/>
        </w:rPr>
      </w:pPr>
      <w:r>
        <w:rPr>
          <w:rFonts w:hint="eastAsia" w:hAnsi="宋体"/>
          <w:bCs/>
          <w:color w:val="auto"/>
          <w:sz w:val="21"/>
          <w:highlight w:val="none"/>
        </w:rPr>
        <w:t>四、</w:t>
      </w:r>
      <w:r>
        <w:rPr>
          <w:rFonts w:hAnsi="宋体"/>
          <w:bCs/>
          <w:color w:val="auto"/>
          <w:sz w:val="21"/>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pStyle w:val="5"/>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（投标人认为本节无须提交的，应注明“本节空白”字样）。</w:t>
      </w:r>
    </w:p>
    <w:p>
      <w:pPr>
        <w:pStyle w:val="5"/>
        <w:rPr>
          <w:color w:val="auto"/>
          <w:highlight w:val="none"/>
        </w:rPr>
      </w:pPr>
      <w:bookmarkStart w:id="2105" w:name="_Toc434832511"/>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bookmarkEnd w:id="2063"/>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4"/>
        <w:numPr>
          <w:ilvl w:val="0"/>
          <w:numId w:val="0"/>
        </w:numPr>
        <w:rPr>
          <w:color w:val="auto"/>
          <w:sz w:val="52"/>
          <w:highlight w:val="none"/>
        </w:rPr>
      </w:pPr>
      <w:bookmarkStart w:id="2106" w:name="_Toc8012"/>
      <w:bookmarkStart w:id="2107" w:name="_Toc456887842"/>
      <w:bookmarkStart w:id="2108" w:name="_Toc456888293"/>
      <w:r>
        <w:rPr>
          <w:rFonts w:hint="eastAsia"/>
          <w:color w:val="auto"/>
          <w:sz w:val="52"/>
          <w:highlight w:val="none"/>
        </w:rPr>
        <w:t>其 他 格 式</w:t>
      </w:r>
      <w:bookmarkEnd w:id="2105"/>
      <w:bookmarkEnd w:id="2106"/>
      <w:bookmarkEnd w:id="2107"/>
      <w:bookmarkEnd w:id="2108"/>
    </w:p>
    <w:p>
      <w:pPr>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hint="eastAsia"/>
          <w:b/>
          <w:bCs/>
          <w:color w:val="auto"/>
          <w:sz w:val="44"/>
          <w:szCs w:val="44"/>
          <w:highlight w:val="none"/>
        </w:rPr>
      </w:pPr>
      <w:bookmarkStart w:id="2109" w:name="_Hlk534184791"/>
      <w:r>
        <w:rPr>
          <w:rFonts w:hint="eastAsia"/>
          <w:b/>
          <w:bCs/>
          <w:color w:val="auto"/>
          <w:sz w:val="44"/>
          <w:szCs w:val="44"/>
          <w:highlight w:val="none"/>
        </w:rPr>
        <w:br w:type="page"/>
      </w:r>
    </w:p>
    <w:p>
      <w:pPr>
        <w:jc w:val="center"/>
        <w:rPr>
          <w:rFonts w:hint="eastAsia"/>
          <w:b/>
          <w:bCs/>
          <w:color w:val="auto"/>
          <w:szCs w:val="21"/>
          <w:highlight w:val="none"/>
        </w:rPr>
      </w:pPr>
      <w:r>
        <w:rPr>
          <w:rFonts w:hint="eastAsia"/>
          <w:b/>
          <w:bCs/>
          <w:color w:val="auto"/>
          <w:sz w:val="44"/>
          <w:szCs w:val="44"/>
          <w:highlight w:val="none"/>
        </w:rPr>
        <w:t>购买标书登记表</w:t>
      </w:r>
    </w:p>
    <w:p>
      <w:pPr>
        <w:jc w:val="center"/>
        <w:rPr>
          <w:rFonts w:hint="eastAsia"/>
          <w:color w:val="auto"/>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w:br w:type="page"/>
      </w: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43"/>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auto"/>
          <w:szCs w:val="21"/>
          <w:highlight w:val="none"/>
        </w:rPr>
      </w:pPr>
    </w:p>
    <w:p>
      <w:pPr>
        <w:pStyle w:val="43"/>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43"/>
        <w:spacing w:before="0" w:beforeAutospacing="0" w:after="0" w:afterAutospacing="0" w:line="360" w:lineRule="auto"/>
        <w:jc w:val="center"/>
        <w:rPr>
          <w:rStyle w:val="49"/>
          <w:rFonts w:cs="Times New Roman"/>
          <w:color w:val="auto"/>
          <w:highlight w:val="none"/>
        </w:rPr>
      </w:pPr>
      <w:r>
        <w:rPr>
          <w:rStyle w:val="49"/>
          <w:rFonts w:hint="eastAsia" w:cs="Times New Roman"/>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43"/>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43"/>
        <w:spacing w:before="0" w:beforeAutospacing="0" w:after="0" w:afterAutospacing="0" w:line="360" w:lineRule="auto"/>
        <w:jc w:val="center"/>
        <w:rPr>
          <w:rStyle w:val="49"/>
          <w:rFonts w:cs="Times New Roman"/>
          <w:color w:val="auto"/>
          <w:highlight w:val="none"/>
        </w:rPr>
      </w:pPr>
      <w:r>
        <w:rPr>
          <w:rStyle w:val="49"/>
          <w:rFonts w:hint="eastAsia" w:cs="Times New Roman"/>
          <w:b w:val="0"/>
          <w:color w:val="auto"/>
          <w:highlight w:val="none"/>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rPr>
      </w:pPr>
      <w:r>
        <w:rPr>
          <w:rFonts w:hint="eastAsia" w:ascii="宋体" w:hAnsi="宋体" w:cs="仿宋"/>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r>
        <w:rPr>
          <w:rFonts w:hint="eastAsia" w:ascii="宋体" w:hAnsi="宋体"/>
          <w:color w:val="auto"/>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auto"/>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 w:val="24"/>
          <w:highlight w:val="none"/>
        </w:rPr>
      </w:pPr>
      <w:r>
        <w:rPr>
          <w:rFonts w:hint="eastAsia" w:ascii="宋体" w:hAnsi="宋体"/>
          <w:color w:val="auto"/>
          <w:sz w:val="24"/>
          <w:highlight w:val="none"/>
        </w:rPr>
        <w:t xml:space="preserve">日期： </w:t>
      </w:r>
    </w:p>
    <w:p>
      <w:pPr>
        <w:rPr>
          <w:rFonts w:hint="eastAsia" w:ascii="宋体" w:hAnsi="宋体"/>
          <w:color w:val="auto"/>
          <w:sz w:val="24"/>
          <w:highlight w:val="none"/>
        </w:rPr>
      </w:pPr>
      <w:r>
        <w:rPr>
          <w:rFonts w:hint="eastAsia" w:ascii="宋体" w:hAnsi="宋体"/>
          <w:color w:val="auto"/>
          <w:sz w:val="24"/>
          <w:highlight w:val="none"/>
        </w:rPr>
        <w:br w:type="page"/>
      </w: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bookmarkEnd w:id="2109"/>
    <w:p>
      <w:pPr>
        <w:spacing w:line="360" w:lineRule="auto"/>
        <w:jc w:val="left"/>
        <w:rPr>
          <w:rFonts w:ascii="仿宋_GB2312" w:hAnsi="仿宋" w:eastAsia="仿宋_GB2312"/>
          <w:color w:val="auto"/>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5A14F91"/>
    <w:rsid w:val="076C3456"/>
    <w:rsid w:val="097F381D"/>
    <w:rsid w:val="09B039F5"/>
    <w:rsid w:val="0A1254C0"/>
    <w:rsid w:val="0B055E5B"/>
    <w:rsid w:val="0B6D564F"/>
    <w:rsid w:val="0B7F1E78"/>
    <w:rsid w:val="0B833A2A"/>
    <w:rsid w:val="0C792279"/>
    <w:rsid w:val="0D4B1048"/>
    <w:rsid w:val="0E2E5AB0"/>
    <w:rsid w:val="0E30321A"/>
    <w:rsid w:val="0EB82544"/>
    <w:rsid w:val="0ECE669B"/>
    <w:rsid w:val="0FEF50EF"/>
    <w:rsid w:val="102C2A8E"/>
    <w:rsid w:val="1050759D"/>
    <w:rsid w:val="112F78F5"/>
    <w:rsid w:val="12C624DB"/>
    <w:rsid w:val="12ED7A68"/>
    <w:rsid w:val="13143247"/>
    <w:rsid w:val="13403777"/>
    <w:rsid w:val="141860EE"/>
    <w:rsid w:val="144D49BD"/>
    <w:rsid w:val="14750D5A"/>
    <w:rsid w:val="14E0507D"/>
    <w:rsid w:val="14FE41AE"/>
    <w:rsid w:val="15E25A94"/>
    <w:rsid w:val="167F7E34"/>
    <w:rsid w:val="175E693E"/>
    <w:rsid w:val="18C76423"/>
    <w:rsid w:val="19DD6175"/>
    <w:rsid w:val="1A230556"/>
    <w:rsid w:val="1A807CF4"/>
    <w:rsid w:val="1B502249"/>
    <w:rsid w:val="1C991E61"/>
    <w:rsid w:val="204F7E4F"/>
    <w:rsid w:val="20A645AE"/>
    <w:rsid w:val="210A7A37"/>
    <w:rsid w:val="21CF5CF2"/>
    <w:rsid w:val="21F0084A"/>
    <w:rsid w:val="22427039"/>
    <w:rsid w:val="22AB7731"/>
    <w:rsid w:val="24DC775C"/>
    <w:rsid w:val="25E24D5B"/>
    <w:rsid w:val="26651A76"/>
    <w:rsid w:val="26926505"/>
    <w:rsid w:val="27F96020"/>
    <w:rsid w:val="28F462CE"/>
    <w:rsid w:val="294428AD"/>
    <w:rsid w:val="297205D1"/>
    <w:rsid w:val="29A43F04"/>
    <w:rsid w:val="2A515672"/>
    <w:rsid w:val="2BB669F0"/>
    <w:rsid w:val="2BC16D67"/>
    <w:rsid w:val="2F0710CD"/>
    <w:rsid w:val="30F36D0F"/>
    <w:rsid w:val="31AA504A"/>
    <w:rsid w:val="31E35DCC"/>
    <w:rsid w:val="342C193B"/>
    <w:rsid w:val="35262FD6"/>
    <w:rsid w:val="36017065"/>
    <w:rsid w:val="36252616"/>
    <w:rsid w:val="38593838"/>
    <w:rsid w:val="388204C0"/>
    <w:rsid w:val="3A8D5704"/>
    <w:rsid w:val="3AEF1D20"/>
    <w:rsid w:val="3AEF3ACE"/>
    <w:rsid w:val="3B710966"/>
    <w:rsid w:val="3C6A57EA"/>
    <w:rsid w:val="3D2A193B"/>
    <w:rsid w:val="408B6047"/>
    <w:rsid w:val="41B810BD"/>
    <w:rsid w:val="428B0580"/>
    <w:rsid w:val="45610B8F"/>
    <w:rsid w:val="45916A90"/>
    <w:rsid w:val="45F0646A"/>
    <w:rsid w:val="45FC6860"/>
    <w:rsid w:val="462B5C83"/>
    <w:rsid w:val="479B6D8E"/>
    <w:rsid w:val="47B03BA9"/>
    <w:rsid w:val="4BE10A3F"/>
    <w:rsid w:val="4C643B5B"/>
    <w:rsid w:val="4D5B4FF3"/>
    <w:rsid w:val="4E04493F"/>
    <w:rsid w:val="4F390596"/>
    <w:rsid w:val="510E2E01"/>
    <w:rsid w:val="511968B3"/>
    <w:rsid w:val="51D66CF6"/>
    <w:rsid w:val="528024FB"/>
    <w:rsid w:val="536270DB"/>
    <w:rsid w:val="53892DB3"/>
    <w:rsid w:val="538C4158"/>
    <w:rsid w:val="54535D69"/>
    <w:rsid w:val="5497438F"/>
    <w:rsid w:val="552C79A0"/>
    <w:rsid w:val="557B5FFA"/>
    <w:rsid w:val="55A376D3"/>
    <w:rsid w:val="563604BD"/>
    <w:rsid w:val="5749062D"/>
    <w:rsid w:val="576E0066"/>
    <w:rsid w:val="58674488"/>
    <w:rsid w:val="593C715F"/>
    <w:rsid w:val="59D5292E"/>
    <w:rsid w:val="5A6C09D0"/>
    <w:rsid w:val="5B062A42"/>
    <w:rsid w:val="5F731F95"/>
    <w:rsid w:val="5F7BDEC3"/>
    <w:rsid w:val="5FF92B75"/>
    <w:rsid w:val="60760A2E"/>
    <w:rsid w:val="60C06C3D"/>
    <w:rsid w:val="61C3343B"/>
    <w:rsid w:val="61C72F2D"/>
    <w:rsid w:val="627D74CD"/>
    <w:rsid w:val="628917B8"/>
    <w:rsid w:val="64D21405"/>
    <w:rsid w:val="65095AD5"/>
    <w:rsid w:val="65C56BAC"/>
    <w:rsid w:val="662109A6"/>
    <w:rsid w:val="66250BF8"/>
    <w:rsid w:val="67786A75"/>
    <w:rsid w:val="69FF7BB4"/>
    <w:rsid w:val="6A54159E"/>
    <w:rsid w:val="6A8B3BD0"/>
    <w:rsid w:val="6C9402E1"/>
    <w:rsid w:val="6FDE1526"/>
    <w:rsid w:val="75051529"/>
    <w:rsid w:val="756274F0"/>
    <w:rsid w:val="757D653D"/>
    <w:rsid w:val="75986327"/>
    <w:rsid w:val="765C05C3"/>
    <w:rsid w:val="76FF7DD1"/>
    <w:rsid w:val="775A4E93"/>
    <w:rsid w:val="7AA80E99"/>
    <w:rsid w:val="7B4524BD"/>
    <w:rsid w:val="7BD74E83"/>
    <w:rsid w:val="7D0F1E92"/>
    <w:rsid w:val="7DAE4B47"/>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1"/>
    <w:qFormat/>
    <w:uiPriority w:val="0"/>
    <w:pPr>
      <w:spacing w:line="360" w:lineRule="auto"/>
    </w:pPr>
    <w:rPr>
      <w:rFonts w:ascii="仿宋_GB2312" w:eastAsia="仿宋_GB2312"/>
      <w:sz w:val="32"/>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w:basedOn w:val="1"/>
    <w:next w:val="20"/>
    <w:link w:val="76"/>
    <w:qFormat/>
    <w:uiPriority w:val="0"/>
    <w:pPr>
      <w:spacing w:after="120"/>
    </w:pPr>
  </w:style>
  <w:style w:type="paragraph" w:styleId="20">
    <w:name w:val="Title"/>
    <w:basedOn w:val="1"/>
    <w:next w:val="1"/>
    <w:link w:val="125"/>
    <w:qFormat/>
    <w:uiPriority w:val="0"/>
    <w:pPr>
      <w:spacing w:before="240" w:after="60"/>
      <w:jc w:val="center"/>
      <w:outlineLvl w:val="0"/>
    </w:pPr>
    <w:rPr>
      <w:rFonts w:ascii="Cambria" w:hAnsi="Cambria"/>
      <w:b/>
      <w:bCs/>
      <w:sz w:val="32"/>
      <w:szCs w:val="32"/>
    </w:rPr>
  </w:style>
  <w:style w:type="paragraph" w:styleId="21">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29"/>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3"/>
    <w:qFormat/>
    <w:uiPriority w:val="0"/>
    <w:pPr>
      <w:numPr>
        <w:ilvl w:val="0"/>
        <w:numId w:val="4"/>
      </w:numPr>
      <w:ind w:left="100" w:leftChars="2500"/>
    </w:pPr>
  </w:style>
  <w:style w:type="paragraph" w:styleId="29">
    <w:name w:val="Body Text Indent 2"/>
    <w:basedOn w:val="1"/>
    <w:link w:val="71"/>
    <w:qFormat/>
    <w:uiPriority w:val="0"/>
    <w:pPr>
      <w:spacing w:line="480" w:lineRule="exact"/>
      <w:ind w:left="810" w:firstLine="675"/>
    </w:pPr>
    <w:rPr>
      <w:rFonts w:eastAsia="仿宋_GB2312"/>
      <w:sz w:val="30"/>
      <w:szCs w:val="20"/>
    </w:rPr>
  </w:style>
  <w:style w:type="paragraph" w:styleId="30">
    <w:name w:val="Balloon Text"/>
    <w:basedOn w:val="1"/>
    <w:link w:val="86"/>
    <w:qFormat/>
    <w:uiPriority w:val="0"/>
    <w:rPr>
      <w:sz w:val="18"/>
      <w:szCs w:val="18"/>
    </w:rPr>
  </w:style>
  <w:style w:type="paragraph" w:styleId="31">
    <w:name w:val="footer"/>
    <w:basedOn w:val="1"/>
    <w:link w:val="132"/>
    <w:qFormat/>
    <w:uiPriority w:val="0"/>
    <w:pPr>
      <w:tabs>
        <w:tab w:val="center" w:pos="4153"/>
        <w:tab w:val="right" w:pos="8306"/>
      </w:tabs>
      <w:snapToGrid w:val="0"/>
      <w:jc w:val="left"/>
    </w:pPr>
    <w:rPr>
      <w:sz w:val="18"/>
      <w:szCs w:val="20"/>
    </w:rPr>
  </w:style>
  <w:style w:type="paragraph" w:styleId="32">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19"/>
    <w:link w:val="133"/>
    <w:qFormat/>
    <w:uiPriority w:val="0"/>
    <w:pPr>
      <w:ind w:firstLine="100" w:firstLineChars="100"/>
    </w:pPr>
    <w:rPr>
      <w:rFonts w:ascii="Calibri" w:hAnsi="Calibri"/>
      <w:szCs w:val="22"/>
    </w:rPr>
  </w:style>
  <w:style w:type="paragraph" w:styleId="46">
    <w:name w:val="Body Text First Indent 2"/>
    <w:basedOn w:val="21"/>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8"/>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9"/>
    <w:qFormat/>
    <w:uiPriority w:val="0"/>
    <w:rPr>
      <w:rFonts w:eastAsia="仿宋_GB2312"/>
      <w:kern w:val="2"/>
      <w:sz w:val="30"/>
      <w:lang w:val="en-US" w:eastAsia="zh-CN" w:bidi="ar-SA"/>
    </w:rPr>
  </w:style>
  <w:style w:type="character" w:customStyle="1" w:styleId="72">
    <w:name w:val="正文文本缩进 3 Char"/>
    <w:link w:val="39"/>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6"/>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9"/>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30"/>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2"/>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qFormat/>
    <w:uiPriority w:val="0"/>
    <w:rPr>
      <w:rFonts w:ascii="仿宋_GB2312" w:eastAsia="仿宋_GB2312"/>
      <w:sz w:val="28"/>
      <w:lang w:val="en-US" w:eastAsia="zh-CN" w:bidi="ar-SA"/>
    </w:rPr>
  </w:style>
  <w:style w:type="character" w:customStyle="1" w:styleId="124">
    <w:name w:val="页眉 Char"/>
    <w:link w:val="32"/>
    <w:qFormat/>
    <w:uiPriority w:val="99"/>
    <w:rPr>
      <w:rFonts w:eastAsia="宋体"/>
      <w:kern w:val="2"/>
      <w:sz w:val="18"/>
      <w:lang w:val="en-US" w:eastAsia="zh-CN" w:bidi="ar-SA"/>
    </w:rPr>
  </w:style>
  <w:style w:type="character" w:customStyle="1" w:styleId="125">
    <w:name w:val="标题 Char"/>
    <w:link w:val="20"/>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3"/>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31"/>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首行缩进"/>
    <w:basedOn w:val="1"/>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qFormat/>
    <w:uiPriority w:val="34"/>
    <w:pPr>
      <w:ind w:firstLine="420" w:firstLineChars="200"/>
    </w:pPr>
    <w:rPr>
      <w:rFonts w:ascii="Times New Roman" w:hAnsi="Times New Roman" w:cs="Times New Roman"/>
      <w:kern w:val="0"/>
      <w:sz w:val="20"/>
      <w:szCs w:val="24"/>
    </w:rPr>
  </w:style>
  <w:style w:type="paragraph" w:customStyle="1" w:styleId="313">
    <w:name w:val="Table Paragraph"/>
    <w:basedOn w:val="1"/>
    <w:qFormat/>
    <w:uiPriority w:val="1"/>
    <w:pPr>
      <w:spacing w:before="7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31295</Words>
  <Characters>33380</Characters>
  <Lines>291</Lines>
  <Paragraphs>82</Paragraphs>
  <TotalTime>8</TotalTime>
  <ScaleCrop>false</ScaleCrop>
  <LinksUpToDate>false</LinksUpToDate>
  <CharactersWithSpaces>38230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RX</cp:lastModifiedBy>
  <cp:lastPrinted>2024-01-10T01:57:00Z</cp:lastPrinted>
  <dcterms:modified xsi:type="dcterms:W3CDTF">2024-01-10T04:23:11Z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880F57A76A414B14A2387AC33543BC7C</vt:lpwstr>
  </property>
</Properties>
</file>