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pPr>
        <w:pStyle w:val="25"/>
        <w:widowControl/>
        <w:adjustRightInd w:val="0"/>
        <w:snapToGrid w:val="0"/>
        <w:spacing w:line="360" w:lineRule="auto"/>
        <w:jc w:val="center"/>
        <w:rPr>
          <w:rFonts w:hAnsi="宋体"/>
          <w:b/>
          <w:bCs/>
          <w:color w:val="000000" w:themeColor="text1"/>
          <w:sz w:val="84"/>
          <w:szCs w:val="84"/>
          <w:highlight w:val="none"/>
        </w:rPr>
      </w:pPr>
    </w:p>
    <w:p>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rPr>
          <w:rFonts w:hAnsi="宋体"/>
          <w:bCs/>
          <w:color w:val="000000" w:themeColor="text1"/>
          <w:sz w:val="52"/>
          <w:szCs w:val="52"/>
          <w:highlight w:val="none"/>
        </w:rPr>
      </w:pPr>
    </w:p>
    <w:tbl>
      <w:tblPr>
        <w:tblStyle w:val="51"/>
        <w:tblW w:w="6779" w:type="dxa"/>
        <w:jc w:val="center"/>
        <w:tblLayout w:type="fixed"/>
        <w:tblCellMar>
          <w:top w:w="0" w:type="dxa"/>
          <w:left w:w="108" w:type="dxa"/>
          <w:bottom w:w="0" w:type="dxa"/>
          <w:right w:w="108" w:type="dxa"/>
        </w:tblCellMar>
      </w:tblPr>
      <w:tblGrid>
        <w:gridCol w:w="1951"/>
        <w:gridCol w:w="284"/>
        <w:gridCol w:w="4544"/>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44"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YXCG-20231220</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4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阳江市人才驿站日常运营服务项目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54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阳江市人才服务管理办公室</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544"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rPr>
      </w:pPr>
    </w:p>
    <w:p>
      <w:pPr>
        <w:pStyle w:val="25"/>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w:t>
      </w:r>
      <w:r>
        <w:rPr>
          <w:rFonts w:hint="eastAsia" w:hAnsi="宋体"/>
          <w:b/>
          <w:bCs/>
          <w:color w:val="000000" w:themeColor="text1"/>
          <w:sz w:val="24"/>
          <w:highlight w:val="none"/>
          <w:lang w:val="en-US" w:eastAsia="zh-CN"/>
        </w:rPr>
        <w:t>二三</w:t>
      </w:r>
      <w:r>
        <w:rPr>
          <w:rFonts w:hint="eastAsia" w:hAnsi="宋体"/>
          <w:b/>
          <w:bCs/>
          <w:color w:val="000000" w:themeColor="text1"/>
          <w:sz w:val="24"/>
          <w:highlight w:val="none"/>
        </w:rPr>
        <w:t>年</w:t>
      </w:r>
      <w:r>
        <w:rPr>
          <w:rFonts w:hint="eastAsia" w:hAnsi="宋体"/>
          <w:b/>
          <w:bCs/>
          <w:color w:val="000000" w:themeColor="text1"/>
          <w:sz w:val="24"/>
          <w:highlight w:val="none"/>
          <w:lang w:val="en-US" w:eastAsia="zh-CN"/>
        </w:rPr>
        <w:t>十</w:t>
      </w:r>
      <w:r>
        <w:rPr>
          <w:rFonts w:hint="eastAsia" w:hAnsi="宋体"/>
          <w:b/>
          <w:bCs/>
          <w:color w:val="000000" w:themeColor="text1"/>
          <w:sz w:val="24"/>
          <w:highlight w:val="none"/>
        </w:rPr>
        <w:t>二月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请供应商特别留意磋商文件上注明的投标截止和开标时间，逾期送达或邮寄送达的磋商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3"/>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_Toc31419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_Toc31419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_Toc9614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_Toc9614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_Toc1742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YXCG-20231220</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_Toc1742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_Toc337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项目名称：</w:t>
      </w:r>
      <w:r>
        <w:rPr>
          <w:rFonts w:hint="eastAsia" w:ascii="宋体" w:hAnsi="宋体"/>
          <w:color w:val="000000" w:themeColor="text1"/>
          <w:szCs w:val="21"/>
          <w:highlight w:val="none"/>
          <w:lang w:eastAsia="zh-CN"/>
        </w:rPr>
        <w:t>阳江市人才驿站日常运营服务项目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_Toc337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_Toc11442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_Toc11442 \h </w:instrText>
      </w:r>
      <w:r>
        <w:rPr>
          <w:color w:val="000000" w:themeColor="text1"/>
          <w:highlight w:val="none"/>
        </w:rPr>
        <w:fldChar w:fldCharType="separate"/>
      </w:r>
      <w:r>
        <w:rPr>
          <w:color w:val="000000" w:themeColor="text1"/>
          <w:highlight w:val="none"/>
        </w:rPr>
        <w:t>6</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_Toc14527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_Toc14527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_Toc3388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_Toc3388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_Toc31821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_Toc31821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_Toc9779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_Toc9779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_Toc19747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_Toc19747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_Toc3227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_Toc2764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_Toc2764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_Toc3614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_Toc3614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_Toc12138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_Toc12138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_Toc6893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_Toc6893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_Toc13981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_Toc13981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_Toc9113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_Toc9113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_Toc19571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_Toc19571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_Toc12970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_Toc12970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_Toc3364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_Toc3364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_Toc2052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_Toc9065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_Toc9065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_Toc27736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_Toc27736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_Toc17059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_Toc17059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_Toc25904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_Toc25904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_Toc9011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_Toc9011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_Toc30300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_Toc30300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_Toc6840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_Toc6840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_Toc17355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_Toc17355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_Toc30475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_Toc30475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_Toc16144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_Toc16144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_Toc14887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_Toc14887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_Toc9759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_Toc9759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_Toc1644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_Toc1301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三</w:t>
      </w:r>
      <w:r>
        <w:rPr>
          <w:rFonts w:hint="eastAsia" w:ascii="宋体" w:hAnsi="宋体"/>
          <w:color w:val="000000" w:themeColor="text1"/>
          <w:szCs w:val="28"/>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_Toc17882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四</w:t>
      </w:r>
      <w:r>
        <w:rPr>
          <w:rFonts w:hint="eastAsia" w:ascii="宋体" w:hAnsi="宋体"/>
          <w:color w:val="000000" w:themeColor="text1"/>
          <w:szCs w:val="28"/>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_Toc17882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_Toc15101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五</w:t>
      </w:r>
      <w:r>
        <w:rPr>
          <w:rFonts w:hint="eastAsia" w:ascii="宋体" w:hAnsi="宋体"/>
          <w:color w:val="000000" w:themeColor="text1"/>
          <w:szCs w:val="28"/>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_Toc15101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_Toc11314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六</w:t>
      </w:r>
      <w:r>
        <w:rPr>
          <w:rFonts w:hint="eastAsia"/>
          <w:color w:val="000000" w:themeColor="text1"/>
          <w:szCs w:val="28"/>
          <w:highlight w:val="none"/>
        </w:rPr>
        <w:t>：</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_Toc11314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_Toc16875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w:t>
      </w:r>
      <w:r>
        <w:rPr>
          <w:rFonts w:hint="eastAsia"/>
          <w:color w:val="000000" w:themeColor="text1"/>
          <w:szCs w:val="28"/>
          <w:highlight w:val="none"/>
          <w:lang w:val="en-US" w:eastAsia="zh-CN"/>
        </w:rPr>
        <w:t>七</w:t>
      </w:r>
      <w:r>
        <w:rPr>
          <w:rFonts w:hint="eastAsia"/>
          <w:color w:val="000000" w:themeColor="text1"/>
          <w:szCs w:val="28"/>
          <w:highlight w:val="none"/>
        </w:rPr>
        <w:t>：</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_Toc29478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八</w:t>
      </w:r>
      <w:r>
        <w:rPr>
          <w:rFonts w:hint="eastAsia" w:ascii="宋体" w:hAnsi="宋体"/>
          <w:color w:val="000000" w:themeColor="text1"/>
          <w:szCs w:val="28"/>
          <w:highlight w:val="none"/>
        </w:rPr>
        <w:t>：成交服务费承诺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_Toc29478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_Toc15603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w:t>
      </w:r>
      <w:r>
        <w:rPr>
          <w:rFonts w:hint="eastAsia" w:ascii="宋体" w:hAnsi="宋体"/>
          <w:color w:val="000000" w:themeColor="text1"/>
          <w:szCs w:val="28"/>
          <w:highlight w:val="none"/>
          <w:lang w:val="en-US" w:eastAsia="zh-CN"/>
        </w:rPr>
        <w:t>九</w:t>
      </w:r>
      <w:r>
        <w:rPr>
          <w:rFonts w:hint="eastAsia" w:ascii="宋体" w:hAnsi="宋体"/>
          <w:color w:val="000000" w:themeColor="text1"/>
          <w:szCs w:val="28"/>
          <w:highlight w:val="none"/>
        </w:rPr>
        <w:t>：磋商供应商提交的其他资料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_Toc15603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_Toc26877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_Toc26877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pPr>
        <w:pStyle w:val="2"/>
        <w:numPr>
          <w:ilvl w:val="0"/>
          <w:numId w:val="0"/>
        </w:numPr>
        <w:spacing w:beforeLines="0"/>
        <w:rPr>
          <w:rFonts w:ascii="宋体" w:hAnsi="宋体" w:eastAsia="宋体"/>
          <w:b/>
          <w:color w:val="000000" w:themeColor="text1"/>
          <w:highlight w:val="none"/>
        </w:rPr>
      </w:pPr>
      <w:bookmarkStart w:id="1" w:name="_Toc340677031"/>
      <w:bookmarkStart w:id="2" w:name="_Toc339019828"/>
      <w:bookmarkStart w:id="3" w:name="_Toc330459945"/>
      <w:bookmarkStart w:id="4" w:name="_Toc341348291"/>
      <w:bookmarkStart w:id="5" w:name="_Toc345513762"/>
      <w:bookmarkStart w:id="6" w:name="_Toc336681892"/>
      <w:bookmarkStart w:id="7" w:name="_Toc340507403"/>
      <w:bookmarkStart w:id="8" w:name="_Toc333935278"/>
      <w:bookmarkStart w:id="9" w:name="_Toc331512856"/>
      <w:bookmarkStart w:id="10" w:name="_Toc339019954"/>
      <w:bookmarkStart w:id="11" w:name="_Toc339020186"/>
      <w:bookmarkStart w:id="12" w:name="_Toc332206657"/>
      <w:bookmarkStart w:id="13" w:name="_Toc31419"/>
      <w:bookmarkStart w:id="14" w:name="_Toc331683994"/>
      <w:bookmarkStart w:id="15" w:name="_Toc366072457"/>
      <w:bookmarkStart w:id="16" w:name="_Toc350756403"/>
      <w:bookmarkStart w:id="17" w:name="_Toc333935619"/>
      <w:bookmarkStart w:id="18" w:name="_Toc336681537"/>
      <w:bookmarkStart w:id="19" w:name="_Toc349143546"/>
      <w:bookmarkStart w:id="20" w:name="_Toc350438702"/>
      <w:bookmarkStart w:id="21" w:name="_Toc332270305"/>
      <w:bookmarkStart w:id="22" w:name="_Toc340672830"/>
      <w:bookmarkStart w:id="23" w:name="_Toc333238571"/>
      <w:bookmarkStart w:id="24" w:name="_Toc342296708"/>
      <w:bookmarkStart w:id="25" w:name="_Toc349127583"/>
      <w:bookmarkStart w:id="26" w:name="_Toc365985108"/>
      <w:bookmarkStart w:id="27" w:name="_Toc339441044"/>
      <w:bookmarkStart w:id="28" w:name="_Toc339362257"/>
      <w:bookmarkStart w:id="29" w:name="_Toc337632315"/>
      <w:bookmarkStart w:id="30" w:name="_Toc339020048"/>
      <w:bookmarkStart w:id="31" w:name="_Toc333237723"/>
      <w:bookmarkStart w:id="32" w:name="_Toc333237612"/>
      <w:bookmarkStart w:id="33" w:name="_Toc342060322"/>
      <w:bookmarkStart w:id="34" w:name="_Toc365967002"/>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阳江市人才服务管理办公室</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阳江市人才驿站日常运营服务项目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YXCG-20231220</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阳江市人才驿站日常运营服务项目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YXCG-20231220</w:t>
      </w:r>
    </w:p>
    <w:p>
      <w:pPr>
        <w:widowControl/>
        <w:tabs>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3.</w:t>
      </w:r>
      <w:r>
        <w:rPr>
          <w:rFonts w:hint="eastAsia" w:ascii="宋体" w:hAnsi="宋体" w:cs="Tahoma"/>
          <w:b w:val="0"/>
          <w:bCs w:val="0"/>
          <w:color w:val="000000" w:themeColor="text1"/>
          <w:szCs w:val="21"/>
          <w:highlight w:val="none"/>
        </w:rPr>
        <w:t>采购预算：人民币</w:t>
      </w:r>
      <w:r>
        <w:rPr>
          <w:rFonts w:hint="eastAsia" w:ascii="宋体" w:hAnsi="宋体" w:cs="Tahoma"/>
          <w:b w:val="0"/>
          <w:bCs w:val="0"/>
          <w:color w:val="000000" w:themeColor="text1"/>
          <w:szCs w:val="21"/>
          <w:highlight w:val="none"/>
          <w:lang w:val="en-US" w:eastAsia="zh-CN"/>
        </w:rPr>
        <w:t>400000.00</w:t>
      </w:r>
      <w:r>
        <w:rPr>
          <w:rFonts w:hint="eastAsia" w:ascii="宋体" w:hAnsi="宋体" w:cs="Tahoma"/>
          <w:b w:val="0"/>
          <w:bCs w:val="0"/>
          <w:color w:val="000000" w:themeColor="text1"/>
          <w:szCs w:val="21"/>
          <w:highlight w:val="none"/>
        </w:rPr>
        <w:t>元（超出该上限的报价将作为无效报价处理）。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rPr>
        <w:t>服务期：</w:t>
      </w:r>
      <w:r>
        <w:rPr>
          <w:rFonts w:hint="eastAsia" w:ascii="宋体" w:hAnsi="宋体" w:eastAsia="宋体" w:cs="宋体"/>
          <w:bCs/>
          <w:color w:val="000000" w:themeColor="text1"/>
          <w:szCs w:val="21"/>
          <w:highlight w:val="none"/>
        </w:rPr>
        <w:t>一年。</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少于</w:t>
      </w:r>
      <w:r>
        <w:rPr>
          <w:rFonts w:hint="eastAsia" w:ascii="宋体" w:hAnsi="宋体"/>
          <w:bCs/>
          <w:color w:val="000000" w:themeColor="text1"/>
          <w:szCs w:val="21"/>
          <w:highlight w:val="none"/>
        </w:rPr>
        <w:t>该服务期将作为无效投标处理</w:t>
      </w:r>
      <w:r>
        <w:rPr>
          <w:rFonts w:hint="eastAsia" w:ascii="宋体" w:hAnsi="宋体"/>
          <w:color w:val="000000" w:themeColor="text1"/>
          <w:szCs w:val="21"/>
          <w:highlight w:val="none"/>
        </w:rPr>
        <w:t>）。</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spacing w:line="360" w:lineRule="auto"/>
        <w:ind w:left="420" w:leftChars="200"/>
        <w:rPr>
          <w:rFonts w:ascii="宋体" w:hAnsi="宋体"/>
          <w:color w:val="000000" w:themeColor="text1"/>
          <w:szCs w:val="2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6）法律、行政法规规定的其他条件。</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s="宋体"/>
          <w:b w:val="0"/>
          <w:i w:val="0"/>
          <w:color w:val="000000" w:themeColor="text1"/>
          <w:spacing w:val="0"/>
          <w:w w:val="100"/>
          <w:sz w:val="21"/>
          <w:szCs w:val="21"/>
          <w:highlight w:val="none"/>
          <w:lang w:val="en-US" w:eastAsia="zh-CN"/>
        </w:rPr>
        <w:t>投标人</w:t>
      </w:r>
      <w:r>
        <w:rPr>
          <w:rFonts w:hint="eastAsia"/>
          <w:color w:val="000000" w:themeColor="text1"/>
          <w:highlight w:val="none"/>
          <w:lang w:val="en-US" w:eastAsia="zh-CN"/>
        </w:rPr>
        <w:t>具有效的《人力资源服务许可证》；</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ascii="宋体" w:hAnsi="宋体"/>
          <w:color w:val="000000" w:themeColor="text1"/>
          <w:szCs w:val="21"/>
          <w:highlight w:val="none"/>
        </w:rPr>
        <w:t>本项目不接受联合体投标；</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2023年12月27日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2024年1月4日</w:t>
      </w:r>
      <w:r>
        <w:rPr>
          <w:rFonts w:hint="eastAsia" w:ascii="宋体" w:hAnsi="宋体"/>
          <w:bCs/>
          <w:color w:val="000000" w:themeColor="text1"/>
          <w:highlight w:val="none"/>
        </w:rPr>
        <w:t>。</w:t>
      </w:r>
    </w:p>
    <w:p>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2023年12月27日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2024年1月4日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2024年1月</w:t>
      </w:r>
      <w:r>
        <w:rPr>
          <w:rFonts w:hint="eastAsia" w:ascii="宋体" w:hAnsi="宋体" w:cs="Times New Roman"/>
          <w:bCs/>
          <w:color w:val="000000" w:themeColor="text1"/>
          <w:kern w:val="2"/>
          <w:sz w:val="21"/>
          <w:szCs w:val="24"/>
          <w:highlight w:val="none"/>
          <w:lang w:val="en-US" w:eastAsia="zh-CN" w:bidi="ar-SA"/>
        </w:rPr>
        <w:t>8</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hint="eastAsia" w:ascii="宋体" w:hAnsi="宋体"/>
          <w:color w:val="000000" w:themeColor="text1"/>
          <w:highlight w:val="none"/>
        </w:rPr>
        <w:t>-</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rPr>
        <w:t>2024年1月</w:t>
      </w:r>
      <w:r>
        <w:rPr>
          <w:rFonts w:hint="eastAsia" w:ascii="宋体" w:hAnsi="宋体" w:cs="Times New Roman"/>
          <w:bCs/>
          <w:color w:val="000000" w:themeColor="text1"/>
          <w:kern w:val="2"/>
          <w:sz w:val="21"/>
          <w:szCs w:val="24"/>
          <w:highlight w:val="none"/>
          <w:lang w:val="en-US" w:eastAsia="zh-CN" w:bidi="ar-SA"/>
        </w:rPr>
        <w:t>8</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10</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阳江市人才服务管理办公室</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人：查晓燕</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0662-</w:t>
      </w:r>
      <w:r>
        <w:rPr>
          <w:rFonts w:hint="eastAsia" w:ascii="宋体" w:hAnsi="宋体" w:cs="Tahoma"/>
          <w:color w:val="000000" w:themeColor="text1"/>
          <w:kern w:val="28"/>
          <w:szCs w:val="21"/>
          <w:highlight w:val="none"/>
        </w:rPr>
        <w:t>3165900</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bookmarkStart w:id="379" w:name="_GoBack"/>
      <w:bookmarkEnd w:id="379"/>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40507404"/>
      <w:bookmarkStart w:id="38" w:name="_Toc333935279"/>
      <w:bookmarkStart w:id="39" w:name="_Toc339020187"/>
      <w:bookmarkStart w:id="40" w:name="_Toc349143547"/>
      <w:bookmarkStart w:id="41" w:name="_Toc341348292"/>
      <w:bookmarkStart w:id="42" w:name="_Toc342060323"/>
      <w:bookmarkStart w:id="43" w:name="_Toc339362258"/>
      <w:bookmarkStart w:id="44" w:name="_Toc365985109"/>
      <w:bookmarkStart w:id="45" w:name="_Toc333238572"/>
      <w:bookmarkStart w:id="46" w:name="_Toc331683995"/>
      <w:bookmarkStart w:id="47" w:name="_Toc333935620"/>
      <w:bookmarkStart w:id="48" w:name="_Toc336681893"/>
      <w:bookmarkStart w:id="49" w:name="_Toc345513763"/>
      <w:bookmarkStart w:id="50" w:name="_Toc332270306"/>
      <w:bookmarkStart w:id="51" w:name="_Toc340677032"/>
      <w:bookmarkStart w:id="52" w:name="_Toc340672831"/>
      <w:bookmarkStart w:id="53" w:name="_Toc339441045"/>
      <w:bookmarkStart w:id="54" w:name="_Toc366072458"/>
      <w:bookmarkStart w:id="55" w:name="_Toc336681538"/>
      <w:bookmarkStart w:id="56" w:name="_Toc339019829"/>
      <w:bookmarkStart w:id="57" w:name="_Toc350756404"/>
      <w:bookmarkStart w:id="58" w:name="_Toc365967003"/>
      <w:bookmarkStart w:id="59" w:name="_Toc342296709"/>
      <w:bookmarkStart w:id="60" w:name="_Toc332206658"/>
      <w:bookmarkStart w:id="61" w:name="_Toc339019955"/>
      <w:bookmarkStart w:id="62" w:name="_Toc337632316"/>
      <w:bookmarkStart w:id="63" w:name="_Toc330459946"/>
      <w:bookmarkStart w:id="64" w:name="_Toc333237724"/>
      <w:bookmarkStart w:id="65" w:name="_Toc339020049"/>
      <w:bookmarkStart w:id="66" w:name="_Toc350438703"/>
      <w:bookmarkStart w:id="67" w:name="_Toc333237613"/>
      <w:bookmarkStart w:id="68" w:name="_Toc349127584"/>
      <w:bookmarkStart w:id="69" w:name="_Toc331512857"/>
      <w:r>
        <w:rPr>
          <w:rFonts w:hint="eastAsia" w:ascii="宋体" w:hAnsi="宋体" w:eastAsia="宋体" w:cs="Times New Roman"/>
          <w:bCs/>
          <w:color w:val="000000" w:themeColor="text1"/>
          <w:kern w:val="2"/>
          <w:sz w:val="21"/>
          <w:szCs w:val="24"/>
          <w:highlight w:val="none"/>
          <w:lang w:val="en-US" w:eastAsia="zh-CN" w:bidi="ar-SA"/>
        </w:rPr>
        <w:t>2023年12月27日</w:t>
      </w:r>
    </w:p>
    <w:p>
      <w:pPr>
        <w:widowControl/>
        <w:tabs>
          <w:tab w:val="left" w:pos="4769"/>
        </w:tabs>
        <w:adjustRightInd w:val="0"/>
        <w:snapToGrid w:val="0"/>
        <w:spacing w:line="360" w:lineRule="auto"/>
        <w:rPr>
          <w:rFonts w:ascii="宋体" w:hAnsi="宋体"/>
          <w:bCs/>
          <w:color w:val="000000" w:themeColor="text1"/>
          <w:highlight w:val="none"/>
        </w:rPr>
      </w:pPr>
    </w:p>
    <w:p>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9614"/>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238573"/>
      <w:bookmarkStart w:id="75" w:name="_Toc333237614"/>
      <w:bookmarkStart w:id="76" w:name="_Toc333237725"/>
      <w:bookmarkStart w:id="77" w:name="_Toc75570886"/>
      <w:bookmarkStart w:id="78" w:name="_Toc333935280"/>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pPr>
        <w:pStyle w:val="3"/>
        <w:numPr>
          <w:ilvl w:val="1"/>
          <w:numId w:val="0"/>
        </w:numPr>
        <w:spacing w:beforeLines="150" w:after="0" w:line="360" w:lineRule="auto"/>
        <w:jc w:val="left"/>
        <w:rPr>
          <w:rFonts w:ascii="宋体" w:hAnsi="宋体"/>
          <w:color w:val="000000" w:themeColor="text1"/>
          <w:sz w:val="21"/>
          <w:szCs w:val="21"/>
          <w:highlight w:val="none"/>
        </w:rPr>
      </w:pPr>
      <w:bookmarkStart w:id="79" w:name="_Toc1742"/>
      <w:bookmarkStart w:id="80" w:name="_Toc365985146"/>
      <w:bookmarkStart w:id="81" w:name="_Toc331684005"/>
      <w:bookmarkStart w:id="82" w:name="_Toc339441054"/>
      <w:bookmarkStart w:id="83" w:name="_Toc333237755"/>
      <w:bookmarkStart w:id="84" w:name="_Toc349143556"/>
      <w:bookmarkStart w:id="85" w:name="_Toc333935313"/>
      <w:bookmarkStart w:id="86" w:name="_Toc333237644"/>
      <w:bookmarkStart w:id="87" w:name="_Toc333238600"/>
      <w:bookmarkStart w:id="88" w:name="_Toc339019856"/>
      <w:bookmarkStart w:id="89" w:name="_Toc339020200"/>
      <w:bookmarkStart w:id="90" w:name="_Toc349127593"/>
      <w:bookmarkStart w:id="91" w:name="_Toc331512865"/>
      <w:bookmarkStart w:id="92" w:name="_Toc330459952"/>
      <w:bookmarkStart w:id="93" w:name="_Toc345513834"/>
      <w:bookmarkStart w:id="94" w:name="_Toc342060341"/>
      <w:bookmarkStart w:id="95" w:name="_Toc340677037"/>
      <w:bookmarkStart w:id="96" w:name="_Toc340672836"/>
      <w:bookmarkStart w:id="97" w:name="_Toc336681547"/>
      <w:bookmarkStart w:id="98" w:name="_Toc333935654"/>
      <w:bookmarkStart w:id="99" w:name="_Toc365967040"/>
      <w:bookmarkStart w:id="100" w:name="_Toc332206675"/>
      <w:bookmarkStart w:id="101" w:name="_Toc337632325"/>
      <w:bookmarkStart w:id="102" w:name="_Toc350756417"/>
      <w:bookmarkStart w:id="103" w:name="_Toc350438716"/>
      <w:bookmarkStart w:id="104" w:name="_Toc339019982"/>
      <w:bookmarkStart w:id="105" w:name="_Toc342296727"/>
      <w:bookmarkStart w:id="106" w:name="_Toc340507409"/>
      <w:bookmarkStart w:id="107" w:name="_Toc332270313"/>
      <w:bookmarkStart w:id="108" w:name="_Toc366072495"/>
      <w:bookmarkStart w:id="109" w:name="_Toc341348305"/>
      <w:bookmarkStart w:id="110" w:name="_Toc339362267"/>
      <w:bookmarkStart w:id="111" w:name="_Toc339020062"/>
      <w:bookmarkStart w:id="112" w:name="_Toc336681902"/>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YXCG-20231220</w:t>
      </w:r>
      <w:bookmarkEnd w:id="79"/>
      <w:r>
        <w:rPr>
          <w:rFonts w:hint="eastAsia" w:ascii="宋体" w:hAnsi="宋体"/>
          <w:color w:val="000000" w:themeColor="text1"/>
          <w:sz w:val="21"/>
          <w:szCs w:val="21"/>
          <w:highlight w:val="none"/>
        </w:rPr>
        <w:t xml:space="preserve"> </w:t>
      </w:r>
    </w:p>
    <w:p>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337"/>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阳江市人才驿站日常运营服务项目</w:t>
      </w:r>
      <w:bookmarkEnd w:id="113"/>
    </w:p>
    <w:p>
      <w:pPr>
        <w:pStyle w:val="3"/>
        <w:numPr>
          <w:ilvl w:val="1"/>
          <w:numId w:val="0"/>
        </w:numPr>
        <w:spacing w:beforeLines="150" w:after="0" w:line="360" w:lineRule="auto"/>
        <w:rPr>
          <w:rFonts w:ascii="宋体" w:hAnsi="宋体"/>
          <w:color w:val="000000" w:themeColor="text1"/>
          <w:kern w:val="0"/>
          <w:sz w:val="24"/>
          <w:highlight w:val="none"/>
        </w:rPr>
      </w:pPr>
      <w:bookmarkStart w:id="114" w:name="_Toc11442"/>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Cs w:val="21"/>
                <w:highlight w:val="none"/>
                <w:lang w:val="en-US" w:eastAsia="zh-CN"/>
              </w:rPr>
              <w:t>完成本服务项目的费用。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采购合同由</w:t>
            </w:r>
            <w:r>
              <w:rPr>
                <w:rFonts w:hint="eastAsia" w:ascii="宋体" w:hAnsi="宋体" w:eastAsia="宋体" w:cs="宋体"/>
                <w:color w:val="000000" w:themeColor="text1"/>
                <w:szCs w:val="21"/>
                <w:highlight w:val="none"/>
                <w:lang w:val="en-US" w:eastAsia="zh-CN"/>
              </w:rPr>
              <w:t>成交供应商凭《成交通知书》</w:t>
            </w:r>
            <w:r>
              <w:rPr>
                <w:rFonts w:hint="eastAsia" w:ascii="宋体" w:hAnsi="宋体" w:eastAsia="宋体" w:cs="宋体"/>
                <w:color w:val="000000" w:themeColor="text1"/>
                <w:szCs w:val="21"/>
                <w:highlight w:val="none"/>
              </w:rPr>
              <w:t>与采购人双方签订，签订时间为《</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通知书》发出之日起</w:t>
            </w:r>
            <w:r>
              <w:rPr>
                <w:rFonts w:hint="eastAsia" w:ascii="宋体" w:hAnsi="宋体" w:eastAsia="宋体" w:cs="宋体"/>
                <w:color w:val="000000" w:themeColor="text1"/>
                <w:szCs w:val="21"/>
                <w:highlight w:val="none"/>
                <w:lang w:val="en-US" w:eastAsia="zh-CN"/>
              </w:rPr>
              <w:t>30</w:t>
            </w:r>
            <w:r>
              <w:rPr>
                <w:rFonts w:hint="eastAsia" w:ascii="宋体" w:hAnsi="宋体" w:eastAsia="宋体" w:cs="宋体"/>
                <w:color w:val="000000" w:themeColor="text1"/>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val="en-US" w:eastAsia="zh-CN"/>
              </w:rPr>
              <w:t>本项目服务费用分两期支付。第一期服务费用于合同签订后，采购人收到成交供应商开具正式发票之日起15个工作日内，采购人向成交供应商支付合同总额的50%；第二期费用于2024年6月，项目评估合格，采购人收到成交供应商开具正式发票之日起15个工作日内，采购人向成交供应商支付合同总额50%。如项目评估不合格，成交供应商</w:t>
            </w:r>
            <w:r>
              <w:rPr>
                <w:rFonts w:hint="eastAsia" w:ascii="宋体" w:hAnsi="宋体" w:cs="宋体"/>
                <w:color w:val="000000" w:themeColor="text1"/>
                <w:highlight w:val="none"/>
                <w:lang w:val="en-US" w:eastAsia="zh-CN"/>
              </w:rPr>
              <w:t>应该</w:t>
            </w:r>
            <w:r>
              <w:rPr>
                <w:rFonts w:hint="eastAsia" w:ascii="宋体" w:hAnsi="宋体" w:eastAsia="宋体" w:cs="宋体"/>
                <w:color w:val="000000" w:themeColor="text1"/>
                <w:highlight w:val="none"/>
                <w:lang w:val="en-US" w:eastAsia="zh-CN"/>
              </w:rPr>
              <w:t>1个月内完成整改，整改合格后，采购人按约定支付合同总额50%。</w:t>
            </w:r>
          </w:p>
          <w:p>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成交供应商</w:t>
            </w:r>
            <w:r>
              <w:rPr>
                <w:rFonts w:hint="eastAsia" w:ascii="宋体" w:hAnsi="宋体" w:eastAsia="宋体" w:cs="宋体"/>
                <w:color w:val="000000" w:themeColor="text1"/>
                <w:highlight w:val="none"/>
                <w:lang w:eastAsia="zh-CN"/>
              </w:rPr>
              <w:t>所有费用支出计划及实际支出项目须报采购人审核；</w:t>
            </w:r>
            <w:r>
              <w:rPr>
                <w:rFonts w:hint="eastAsia" w:ascii="宋体" w:hAnsi="宋体" w:eastAsia="宋体" w:cs="宋体"/>
                <w:color w:val="000000" w:themeColor="text1"/>
                <w:highlight w:val="none"/>
                <w:lang w:val="en-US" w:eastAsia="zh-CN"/>
              </w:rPr>
              <w:t>成交供应商</w:t>
            </w:r>
            <w:r>
              <w:rPr>
                <w:rFonts w:hint="eastAsia" w:ascii="宋体" w:hAnsi="宋体" w:eastAsia="宋体" w:cs="宋体"/>
                <w:color w:val="000000" w:themeColor="text1"/>
                <w:highlight w:val="none"/>
                <w:lang w:eastAsia="zh-CN"/>
              </w:rPr>
              <w:t>须在每次收款前向采购人开具等额的正式发票；收款方、出具发票方、合同</w:t>
            </w:r>
            <w:r>
              <w:rPr>
                <w:rFonts w:hint="eastAsia" w:ascii="宋体" w:hAnsi="宋体" w:eastAsia="宋体" w:cs="宋体"/>
                <w:color w:val="000000" w:themeColor="text1"/>
                <w:highlight w:val="none"/>
                <w:lang w:val="en-US" w:eastAsia="zh-CN"/>
              </w:rPr>
              <w:t>乙方</w:t>
            </w:r>
            <w:r>
              <w:rPr>
                <w:rFonts w:hint="eastAsia" w:ascii="宋体" w:hAnsi="宋体" w:eastAsia="宋体" w:cs="宋体"/>
                <w:color w:val="000000" w:themeColor="text1"/>
                <w:highlight w:val="none"/>
                <w:lang w:eastAsia="zh-CN"/>
              </w:rPr>
              <w:t>均必须与成交供应商名称一致。</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3.付款方式：采用银行汇付的形式。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其他约定</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b w:val="0"/>
                <w:i w:val="0"/>
                <w:color w:val="000000" w:themeColor="text1"/>
                <w:spacing w:val="0"/>
                <w:w w:val="100"/>
                <w:sz w:val="21"/>
                <w:szCs w:val="21"/>
                <w:highlight w:val="none"/>
                <w:lang w:val="en-US" w:eastAsia="zh-CN"/>
              </w:rPr>
              <w:t>招标服务费由成交单位支付。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w:t>
            </w:r>
            <w:r>
              <w:rPr>
                <w:rFonts w:hint="eastAsia" w:ascii="宋体" w:hAnsi="宋体" w:eastAsia="宋体" w:cs="宋体"/>
                <w:bCs/>
                <w:color w:val="000000" w:themeColor="text1"/>
                <w:szCs w:val="21"/>
                <w:highlight w:val="none"/>
                <w:lang w:val="en-US" w:eastAsia="zh-CN"/>
              </w:rPr>
              <w:t>5</w:t>
            </w:r>
            <w:r>
              <w:rPr>
                <w:rFonts w:hint="eastAsia" w:ascii="宋体" w:hAnsi="宋体" w:eastAsia="宋体" w:cs="宋体"/>
                <w:bCs/>
                <w:color w:val="000000" w:themeColor="text1"/>
                <w:szCs w:val="21"/>
                <w:highlight w:val="none"/>
              </w:rPr>
              <w:t>]</w:t>
            </w:r>
            <w:r>
              <w:rPr>
                <w:rFonts w:hint="eastAsia" w:ascii="宋体" w:hAnsi="宋体" w:eastAsia="宋体" w:cs="宋体"/>
                <w:bCs/>
                <w:color w:val="000000" w:themeColor="text1"/>
                <w:szCs w:val="21"/>
                <w:highlight w:val="none"/>
                <w:lang w:val="en-US" w:eastAsia="zh-CN"/>
              </w:rPr>
              <w:t>299</w:t>
            </w:r>
            <w:r>
              <w:rPr>
                <w:rFonts w:hint="eastAsia" w:ascii="宋体" w:hAnsi="宋体" w:eastAsia="宋体" w:cs="宋体"/>
                <w:bCs/>
                <w:color w:val="000000" w:themeColor="text1"/>
                <w:szCs w:val="21"/>
                <w:highlight w:val="none"/>
              </w:rPr>
              <w:t>号文的规定</w:t>
            </w:r>
            <w:r>
              <w:rPr>
                <w:rFonts w:hint="eastAsia" w:ascii="宋体" w:hAnsi="宋体" w:eastAsia="宋体" w:cs="宋体"/>
                <w:color w:val="000000" w:themeColor="text1"/>
                <w:szCs w:val="21"/>
                <w:highlight w:val="none"/>
              </w:rPr>
              <w:t>，招标代理服务费</w:t>
            </w:r>
            <w:r>
              <w:rPr>
                <w:rFonts w:hint="eastAsia" w:ascii="宋体" w:hAnsi="宋体" w:eastAsia="宋体" w:cs="宋体"/>
                <w:color w:val="000000" w:themeColor="text1"/>
                <w:szCs w:val="21"/>
                <w:highlight w:val="none"/>
                <w:lang w:val="en-US" w:eastAsia="zh-CN"/>
              </w:rPr>
              <w:t>实行市场调节价</w:t>
            </w:r>
            <w:r>
              <w:rPr>
                <w:rFonts w:hint="eastAsia" w:ascii="宋体" w:hAnsi="宋体" w:eastAsia="宋体" w:cs="宋体"/>
                <w:color w:val="000000" w:themeColor="text1"/>
                <w:szCs w:val="21"/>
                <w:highlight w:val="none"/>
              </w:rPr>
              <w:t>。成交服务费由成交供应商在领取成交通知书前以银行转账方式一次性支付</w:t>
            </w:r>
            <w:r>
              <w:rPr>
                <w:rFonts w:hint="eastAsia" w:ascii="宋体" w:hAnsi="宋体" w:eastAsia="宋体" w:cs="宋体"/>
                <w:color w:val="000000" w:themeColor="text1"/>
                <w:szCs w:val="21"/>
                <w:highlight w:val="none"/>
                <w:lang w:val="en-US" w:eastAsia="zh-CN"/>
              </w:rPr>
              <w:t>人民币陆仟元整（￥6000.00元）</w:t>
            </w:r>
            <w:r>
              <w:rPr>
                <w:rFonts w:hint="eastAsia" w:ascii="宋体" w:hAnsi="宋体" w:eastAsia="宋体" w:cs="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pStyle w:val="5"/>
        <w:rPr>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3"/>
        <w:numPr>
          <w:ilvl w:val="1"/>
          <w:numId w:val="0"/>
        </w:numPr>
        <w:spacing w:beforeLines="150" w:after="0" w:line="360" w:lineRule="auto"/>
        <w:rPr>
          <w:rFonts w:ascii="宋体" w:hAnsi="宋体"/>
          <w:color w:val="000000" w:themeColor="text1"/>
          <w:kern w:val="0"/>
          <w:sz w:val="24"/>
          <w:highlight w:val="none"/>
        </w:rPr>
      </w:pPr>
      <w:bookmarkStart w:id="115" w:name="_Toc14527"/>
      <w:r>
        <w:rPr>
          <w:rFonts w:hint="eastAsia" w:ascii="宋体" w:hAnsi="宋体"/>
          <w:color w:val="000000" w:themeColor="text1"/>
          <w:kern w:val="0"/>
          <w:sz w:val="24"/>
          <w:highlight w:val="none"/>
        </w:rPr>
        <w:t>B  技术要求</w:t>
      </w:r>
      <w:bookmarkEnd w:id="115"/>
    </w:p>
    <w:p>
      <w:pPr>
        <w:rPr>
          <w:rFonts w:ascii="宋体" w:hAnsi="宋体"/>
          <w:b/>
          <w:bCs/>
          <w:color w:val="000000" w:themeColor="text1"/>
          <w:kern w:val="44"/>
          <w:sz w:val="24"/>
          <w:highlight w:val="none"/>
        </w:rPr>
      </w:pPr>
    </w:p>
    <w:p>
      <w:pPr>
        <w:rPr>
          <w:color w:val="000000" w:themeColor="text1"/>
          <w:highlight w:val="none"/>
        </w:rPr>
      </w:pPr>
    </w:p>
    <w:p>
      <w:pPr>
        <w:rPr>
          <w:color w:val="000000" w:themeColor="text1"/>
          <w:highlight w:val="none"/>
        </w:rPr>
      </w:pPr>
    </w:p>
    <w:p>
      <w:pPr>
        <w:numPr>
          <w:ilvl w:val="0"/>
          <w:numId w:val="23"/>
        </w:numPr>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项目服务内容</w:t>
      </w:r>
    </w:p>
    <w:p>
      <w:pPr>
        <w:numPr>
          <w:ilvl w:val="0"/>
          <w:numId w:val="0"/>
        </w:numPr>
        <w:spacing w:line="360" w:lineRule="auto"/>
        <w:ind w:firstLine="420" w:firstLineChars="200"/>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人才驿站日常运营，包括但不限于“一站式”人才服务、编印人才政策宣传资料、组织活动、日常维护、购买日常服务用品等。</w:t>
      </w:r>
    </w:p>
    <w:p>
      <w:pPr>
        <w:spacing w:line="360" w:lineRule="auto"/>
        <w:rPr>
          <w:rFonts w:hint="eastAsia" w:ascii="宋体" w:hAnsi="宋体" w:eastAsia="宋体" w:cs="宋体"/>
          <w:color w:val="000000" w:themeColor="text1"/>
          <w:highlight w:val="none"/>
        </w:rPr>
      </w:pPr>
      <w:r>
        <w:rPr>
          <w:rFonts w:hint="eastAsia" w:ascii="宋体" w:hAnsi="宋体" w:eastAsia="宋体" w:cs="宋体"/>
          <w:b/>
          <w:bCs/>
          <w:color w:val="000000" w:themeColor="text1"/>
          <w:highlight w:val="none"/>
          <w:lang w:val="en-US" w:eastAsia="zh-CN"/>
        </w:rPr>
        <w:t>二、</w:t>
      </w:r>
      <w:r>
        <w:rPr>
          <w:rFonts w:hint="eastAsia" w:ascii="宋体" w:hAnsi="宋体" w:eastAsia="宋体" w:cs="宋体"/>
          <w:b/>
          <w:bCs/>
          <w:color w:val="000000" w:themeColor="text1"/>
          <w:highlight w:val="none"/>
          <w:lang w:eastAsia="zh-CN"/>
        </w:rPr>
        <w:t>服务</w:t>
      </w:r>
      <w:r>
        <w:rPr>
          <w:rFonts w:hint="eastAsia" w:ascii="宋体" w:hAnsi="宋体" w:eastAsia="宋体" w:cs="宋体"/>
          <w:b/>
          <w:bCs/>
          <w:color w:val="000000" w:themeColor="text1"/>
          <w:highlight w:val="none"/>
          <w:lang w:val="en-US" w:eastAsia="zh-CN"/>
        </w:rPr>
        <w:t>要求</w:t>
      </w:r>
    </w:p>
    <w:p>
      <w:pPr>
        <w:spacing w:line="360" w:lineRule="auto"/>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开展“一站式”人才服务工作，做好人才信息登记业务咨询和指引，解答各类人才来电、来访、来询，提供热情、专业、高效、快捷的咨询解答和指引协助服务；做好业务登记，对人才提出的各类工作、生活需求进行登记记录，形成日常工作台账。</w:t>
      </w:r>
    </w:p>
    <w:p>
      <w:pPr>
        <w:spacing w:line="360" w:lineRule="auto"/>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eastAsia="zh-CN"/>
        </w:rPr>
        <w:t>组织开展人才驿站</w:t>
      </w:r>
      <w:r>
        <w:rPr>
          <w:rFonts w:hint="eastAsia" w:ascii="宋体" w:hAnsi="宋体" w:cs="宋体"/>
          <w:color w:val="000000" w:themeColor="text1"/>
          <w:highlight w:val="none"/>
          <w:lang w:eastAsia="zh-CN"/>
        </w:rPr>
        <w:t>日常</w:t>
      </w:r>
      <w:r>
        <w:rPr>
          <w:rFonts w:hint="eastAsia" w:ascii="宋体" w:hAnsi="宋体" w:eastAsia="宋体" w:cs="宋体"/>
          <w:color w:val="000000" w:themeColor="text1"/>
          <w:highlight w:val="none"/>
          <w:lang w:eastAsia="zh-CN"/>
        </w:rPr>
        <w:t>活动。</w:t>
      </w:r>
    </w:p>
    <w:p>
      <w:pPr>
        <w:spacing w:line="360" w:lineRule="auto"/>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对接县（市、区）人才驿站、企业等，做好沟通、联络、协调、上传下达等工作。</w:t>
      </w:r>
    </w:p>
    <w:p>
      <w:pPr>
        <w:spacing w:line="360" w:lineRule="auto"/>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lang w:eastAsia="zh-CN"/>
        </w:rPr>
        <w:t>每月月初提出当月工作计划，报采购人审定；每月月底总结当月工作落实情况，对上月工作进行总结、评估，报采购人备案。每年对专区服务数据进行统计汇总及数据分析，对人才需求及意见建议总结归纳，定期形成书面报告，为提升服务水平提供参考和方向，明确工作任务指标。</w:t>
      </w:r>
    </w:p>
    <w:p>
      <w:pPr>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三、</w:t>
      </w:r>
      <w:r>
        <w:rPr>
          <w:rFonts w:hint="eastAsia" w:ascii="宋体" w:hAnsi="宋体" w:eastAsia="宋体" w:cs="宋体"/>
          <w:b/>
          <w:bCs/>
          <w:color w:val="000000" w:themeColor="text1"/>
          <w:highlight w:val="none"/>
          <w:lang w:eastAsia="zh-CN"/>
        </w:rPr>
        <w:t>协助做好以下工作</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建立本市高层次人才信息库、人才需求动态数据库和人才对接服务平台，依托产业园区、骨干企业、高等院校、重大项目，实现人才、技术、产业精准对接。</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及时发布当地经济社会发展情况、重要人才政策和人才需求信息等，做好情况推介和政策咨询。</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帮助企事业单位通过技术咨询、成果转化、项目合作、技术入股、学术交流等多种方式，柔性引进急需紧缺人才。</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围绕当地主导产业和社会需求，联络和对接省内外高层次人才或团体，为有意向来当地创新创业的优秀人才做好联系、协调和服务工作。</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承办国家、省和市各类高层次人才项目活动，主要包括：招才引智洽谈会、科技成果转化交流会、人才专业培训等。</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建立人才入驻登记备案制度，完善人才驿站日常管理，为高层次人才入驻驿站期间提供食宿、休闲等服务。</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w:t>
      </w:r>
      <w:r>
        <w:rPr>
          <w:rFonts w:hint="eastAsia" w:ascii="宋体" w:hAnsi="宋体" w:eastAsia="宋体" w:cs="宋体"/>
          <w:color w:val="000000" w:themeColor="text1"/>
          <w:highlight w:val="none"/>
        </w:rPr>
        <w:t>在职能范围内协调解决人才柔性引进和智力服务过程中的其他相关问题。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eastAsia="zh-CN"/>
        </w:rPr>
      </w:pPr>
      <w:r>
        <w:rPr>
          <w:rFonts w:hint="eastAsia" w:ascii="宋体" w:hAnsi="宋体" w:cs="宋体"/>
          <w:b/>
          <w:bCs/>
          <w:color w:val="000000" w:themeColor="text1"/>
          <w:highlight w:val="none"/>
          <w:lang w:val="en-US" w:eastAsia="zh-CN"/>
        </w:rPr>
        <w:t>四</w:t>
      </w:r>
      <w:r>
        <w:rPr>
          <w:rFonts w:hint="eastAsia" w:ascii="宋体" w:hAnsi="宋体" w:eastAsia="宋体" w:cs="宋体"/>
          <w:b/>
          <w:bCs/>
          <w:color w:val="000000" w:themeColor="text1"/>
          <w:highlight w:val="none"/>
          <w:lang w:val="en-US" w:eastAsia="zh-CN"/>
        </w:rPr>
        <w:t>、</w:t>
      </w:r>
      <w:r>
        <w:rPr>
          <w:rFonts w:hint="eastAsia" w:ascii="宋体" w:hAnsi="宋体" w:eastAsia="宋体" w:cs="宋体"/>
          <w:b/>
          <w:bCs/>
          <w:color w:val="000000" w:themeColor="text1"/>
          <w:highlight w:val="none"/>
          <w:lang w:eastAsia="zh-CN"/>
        </w:rPr>
        <w:t>项目岗位人员要求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为保证工作的安全性和稳定性，建立专人负责机制，根据工作需求，</w:t>
      </w:r>
      <w:r>
        <w:rPr>
          <w:rFonts w:hint="eastAsia" w:ascii="宋体" w:hAnsi="宋体" w:cs="宋体"/>
          <w:color w:val="000000" w:themeColor="text1"/>
          <w:highlight w:val="none"/>
          <w:lang w:eastAsia="zh-CN"/>
        </w:rPr>
        <w:t>安排</w:t>
      </w:r>
      <w:r>
        <w:rPr>
          <w:rFonts w:hint="eastAsia" w:ascii="宋体" w:hAnsi="宋体" w:eastAsia="宋体" w:cs="宋体"/>
          <w:color w:val="000000" w:themeColor="text1"/>
          <w:highlight w:val="none"/>
          <w:lang w:val="en-US" w:eastAsia="zh-CN"/>
        </w:rPr>
        <w:t>6</w:t>
      </w:r>
      <w:r>
        <w:rPr>
          <w:rFonts w:hint="eastAsia" w:ascii="宋体" w:hAnsi="宋体" w:cs="宋体"/>
          <w:color w:val="000000" w:themeColor="text1"/>
          <w:highlight w:val="none"/>
          <w:lang w:val="en-US" w:eastAsia="zh-CN"/>
        </w:rPr>
        <w:t>名专职工作人员</w:t>
      </w:r>
      <w:r>
        <w:rPr>
          <w:rFonts w:hint="eastAsia" w:ascii="宋体" w:hAnsi="宋体" w:eastAsia="宋体" w:cs="宋体"/>
          <w:color w:val="000000" w:themeColor="text1"/>
          <w:highlight w:val="none"/>
          <w:lang w:val="en-US" w:eastAsia="zh-CN"/>
        </w:rPr>
        <w:t>，必要时，按采购人要求适当增加工作人。原则上，驻场工作人员不允许发生变更，特殊情况下人员需变更时应提前征得采购人同意。项目驻场工作人员必须为正式聘用</w:t>
      </w:r>
      <w:r>
        <w:rPr>
          <w:rFonts w:hint="eastAsia" w:ascii="宋体" w:hAnsi="宋体" w:cs="宋体"/>
          <w:color w:val="000000" w:themeColor="text1"/>
          <w:highlight w:val="none"/>
          <w:lang w:val="en-US" w:eastAsia="zh-CN"/>
        </w:rPr>
        <w:t>专职</w:t>
      </w:r>
      <w:r>
        <w:rPr>
          <w:rFonts w:hint="eastAsia" w:ascii="宋体" w:hAnsi="宋体" w:eastAsia="宋体" w:cs="宋体"/>
          <w:color w:val="000000" w:themeColor="text1"/>
          <w:highlight w:val="none"/>
          <w:lang w:val="en-US" w:eastAsia="zh-CN"/>
        </w:rPr>
        <w:t>服务工作人员（非临时工、实习生、暑期工等）。高峰期阶段或开展各项人才活动期间应根据采购人需要适当增加人员配备，确保项目工作效率和质量。安排的服务人员应报采购人审核同意，项目人员进场前要统一向采购人提供人员名单、简历、身份证复印件和社保凭证等材料进行备案登记；项目人员发生变更时应及时向采购人更新备案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rPr>
      </w:pPr>
      <w:r>
        <w:rPr>
          <w:rFonts w:hint="eastAsia" w:ascii="宋体" w:hAnsi="宋体" w:cs="宋体"/>
          <w:color w:val="000000" w:themeColor="text1"/>
          <w:highlight w:val="none"/>
          <w:lang w:val="en-US" w:eastAsia="zh-CN"/>
        </w:rPr>
        <w:t>2.</w:t>
      </w:r>
      <w:r>
        <w:rPr>
          <w:rFonts w:hint="eastAsia"/>
          <w:color w:val="000000" w:themeColor="text1"/>
          <w:highlight w:val="none"/>
        </w:rPr>
        <w:t>在</w:t>
      </w:r>
      <w:r>
        <w:rPr>
          <w:rFonts w:hint="eastAsia"/>
          <w:color w:val="000000" w:themeColor="text1"/>
          <w:highlight w:val="none"/>
          <w:lang w:eastAsia="zh-CN"/>
        </w:rPr>
        <w:t>服务</w:t>
      </w:r>
      <w:r>
        <w:rPr>
          <w:rFonts w:hint="eastAsia"/>
          <w:color w:val="000000" w:themeColor="text1"/>
          <w:highlight w:val="none"/>
        </w:rPr>
        <w:t>期间，</w:t>
      </w:r>
      <w:r>
        <w:rPr>
          <w:rFonts w:hint="eastAsia"/>
          <w:color w:val="000000" w:themeColor="text1"/>
          <w:highlight w:val="none"/>
          <w:lang w:eastAsia="zh-CN"/>
        </w:rPr>
        <w:t>投标人</w:t>
      </w:r>
      <w:r>
        <w:rPr>
          <w:rFonts w:hint="eastAsia"/>
          <w:color w:val="000000" w:themeColor="text1"/>
          <w:highlight w:val="none"/>
        </w:rPr>
        <w:t>所有人员仅与</w:t>
      </w:r>
      <w:r>
        <w:rPr>
          <w:rFonts w:hint="eastAsia"/>
          <w:color w:val="000000" w:themeColor="text1"/>
          <w:highlight w:val="none"/>
          <w:lang w:eastAsia="zh-CN"/>
        </w:rPr>
        <w:t>投标人</w:t>
      </w:r>
      <w:r>
        <w:rPr>
          <w:rFonts w:hint="eastAsia"/>
          <w:color w:val="000000" w:themeColor="text1"/>
          <w:highlight w:val="none"/>
        </w:rPr>
        <w:t>建立劳动合同关系，且所有人员使用须符合《劳动合同法》以及相关法律法规的要求。</w:t>
      </w:r>
      <w:r>
        <w:rPr>
          <w:rFonts w:hint="eastAsia"/>
          <w:color w:val="000000" w:themeColor="text1"/>
          <w:highlight w:val="none"/>
          <w:lang w:eastAsia="zh-CN"/>
        </w:rPr>
        <w:t>投标人</w:t>
      </w:r>
      <w:r>
        <w:rPr>
          <w:rFonts w:hint="eastAsia"/>
          <w:color w:val="000000" w:themeColor="text1"/>
          <w:highlight w:val="none"/>
        </w:rPr>
        <w:t>人员发生任何事故或与</w:t>
      </w:r>
      <w:r>
        <w:rPr>
          <w:rFonts w:hint="eastAsia"/>
          <w:color w:val="000000" w:themeColor="text1"/>
          <w:highlight w:val="none"/>
          <w:lang w:eastAsia="zh-CN"/>
        </w:rPr>
        <w:t>投标人</w:t>
      </w:r>
      <w:r>
        <w:rPr>
          <w:rFonts w:hint="eastAsia"/>
          <w:color w:val="000000" w:themeColor="text1"/>
          <w:highlight w:val="none"/>
        </w:rPr>
        <w:t>发生劳动争议均由</w:t>
      </w:r>
      <w:r>
        <w:rPr>
          <w:rFonts w:hint="eastAsia"/>
          <w:color w:val="000000" w:themeColor="text1"/>
          <w:highlight w:val="none"/>
          <w:lang w:eastAsia="zh-CN"/>
        </w:rPr>
        <w:t>投标人</w:t>
      </w:r>
      <w:r>
        <w:rPr>
          <w:rFonts w:hint="eastAsia"/>
          <w:color w:val="000000" w:themeColor="text1"/>
          <w:highlight w:val="none"/>
        </w:rPr>
        <w:t>自行全权负责，相关费用</w:t>
      </w:r>
      <w:r>
        <w:rPr>
          <w:rFonts w:hint="eastAsia"/>
          <w:color w:val="000000" w:themeColor="text1"/>
          <w:highlight w:val="none"/>
          <w:lang w:eastAsia="zh-CN"/>
        </w:rPr>
        <w:t>投标人</w:t>
      </w:r>
      <w:r>
        <w:rPr>
          <w:rFonts w:hint="eastAsia"/>
          <w:color w:val="000000" w:themeColor="text1"/>
          <w:highlight w:val="none"/>
        </w:rPr>
        <w:t>自行承担。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color w:val="000000" w:themeColor="text1"/>
          <w:highlight w:val="none"/>
          <w:lang w:eastAsia="zh-CN"/>
        </w:rPr>
        <w:t>投标人的用工要符合国家法律法规，投标人必须与招聘人员及时签订劳动合同，并按照国家相关法律法规为招聘人员缴纳社会保险及其他相关费用。投标人</w:t>
      </w:r>
      <w:r>
        <w:rPr>
          <w:rFonts w:hint="eastAsia"/>
          <w:color w:val="000000" w:themeColor="text1"/>
          <w:highlight w:val="none"/>
        </w:rPr>
        <w:t>对此全权负责。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.上岗前，投标人需按采购人的业务要求对专区工作人员进行窗口人员必备素质、业务知识培训。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.投标人须指派固定1人作为项目对接人，项目对接人代表投标人与采购人进行项目对接。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.项目人员要求综合素质高，原则性和责任心强，熟悉人才驿站及高层次人才政策知识，严格执行各项规章制度，以高标准要求自身，为用人单位和办事群众提供高质量、高效率的服务。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lang w:val="en-US" w:eastAsia="zh-CN"/>
        </w:rPr>
        <w:t>.站长：由阳江市人才服务管理办公室副主任担任，负责统筹指导阳江市人才驿站日常运营服务各项工作。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副站长：</w:t>
      </w:r>
      <w:r>
        <w:rPr>
          <w:rFonts w:hint="eastAsia" w:ascii="宋体" w:hAnsi="宋体" w:eastAsia="宋体" w:cs="宋体"/>
          <w:color w:val="000000" w:themeColor="text1"/>
          <w:highlight w:val="none"/>
          <w:lang w:val="en-US" w:eastAsia="zh-CN"/>
        </w:rPr>
        <w:t>协助做好驿站固定资产、人员、日常运营管理工作。传达市人才服务办公室有关工作安排，并将落实情况及时汇报。熟悉掌握阳江市情、社会发展、引才政策、招商引资等情况，能熟练做好驿站的导说、答询等服务。牵头做好驿站宣传推广、活动发布等；对接各县区乡村振兴人才驿站、乡村振兴人才驿站基层服务基地（服务点）；收集汇总每月工作总结、特色亮点、柔性引才情况等报送市人才服务管理办公室。严格遵守保密制度和劳动纪律。完成站长交办其他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lang w:val="en-US" w:eastAsia="zh-CN"/>
        </w:rPr>
        <w:t>.工</w:t>
      </w:r>
      <w:r>
        <w:rPr>
          <w:rFonts w:hint="eastAsia" w:ascii="宋体" w:hAnsi="宋体" w:eastAsia="宋体" w:cs="宋体"/>
          <w:color w:val="000000" w:themeColor="text1"/>
          <w:highlight w:val="none"/>
        </w:rPr>
        <w:t>作人员：熟悉掌握阳江市情、社会发展、引才政策、招商引资等情况，能熟练做好驿站的导说、答询等服务。做好驿站宣传推广、活动发布等；对接各县区乡村振兴人才驿站、乡村振兴人才驿站基层服务基地(服务点)</w:t>
      </w:r>
      <w:r>
        <w:rPr>
          <w:rFonts w:hint="eastAsia" w:ascii="宋体" w:hAnsi="宋体" w:cs="宋体"/>
          <w:color w:val="000000" w:themeColor="text1"/>
          <w:highlight w:val="none"/>
          <w:lang w:eastAsia="zh-CN"/>
        </w:rPr>
        <w:t>；</w:t>
      </w:r>
      <w:r>
        <w:rPr>
          <w:rFonts w:hint="eastAsia" w:ascii="宋体" w:hAnsi="宋体" w:eastAsia="宋体" w:cs="宋体"/>
          <w:color w:val="000000" w:themeColor="text1"/>
          <w:highlight w:val="none"/>
        </w:rPr>
        <w:t>收集汇总每月工作总结、特色亮点、柔性引才情况等等。做好来访登记统计、引导接待工作。负责有关资料、文件的收发和分类归档，填制各种报表和表格。负责固定资产、日常用品、办公用品登记及盘点。负责驿站日常保洁、绿植养护工作。严格遵守保密制度和劳动纪律。完成站长、副站长交办其他工作</w:t>
      </w:r>
      <w:r>
        <w:rPr>
          <w:rFonts w:hint="eastAsia" w:ascii="宋体" w:hAnsi="宋体" w:cs="宋体"/>
          <w:color w:val="000000" w:themeColor="text1"/>
          <w:highlight w:val="none"/>
          <w:lang w:eastAsia="zh-CN"/>
        </w:rPr>
        <w:t>。</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b/>
          <w:color w:val="000000" w:themeColor="text1"/>
          <w:sz w:val="21"/>
          <w:szCs w:val="21"/>
          <w:highlight w:val="none"/>
        </w:rPr>
      </w:pPr>
      <w:r>
        <w:rPr>
          <w:rFonts w:hint="eastAsia" w:ascii="宋体" w:hAnsi="宋体" w:eastAsia="宋体"/>
          <w:b/>
          <w:color w:val="000000" w:themeColor="text1"/>
          <w:sz w:val="21"/>
          <w:szCs w:val="21"/>
          <w:highlight w:val="none"/>
        </w:rPr>
        <w:br w:type="page"/>
      </w:r>
    </w:p>
    <w:p>
      <w:pPr>
        <w:pStyle w:val="2"/>
        <w:numPr>
          <w:ilvl w:val="0"/>
          <w:numId w:val="0"/>
        </w:numPr>
        <w:spacing w:beforeLines="0" w:line="240" w:lineRule="auto"/>
        <w:rPr>
          <w:rFonts w:ascii="宋体" w:hAnsi="宋体" w:eastAsia="宋体"/>
          <w:b/>
          <w:color w:val="000000" w:themeColor="text1"/>
          <w:sz w:val="21"/>
          <w:szCs w:val="21"/>
          <w:highlight w:val="none"/>
        </w:rPr>
      </w:pPr>
      <w:bookmarkStart w:id="116" w:name="_Toc3388"/>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3"/>
        <w:numPr>
          <w:ilvl w:val="1"/>
          <w:numId w:val="0"/>
        </w:numPr>
        <w:rPr>
          <w:rFonts w:ascii="宋体" w:hAnsi="宋体"/>
          <w:color w:val="000000" w:themeColor="text1"/>
          <w:sz w:val="21"/>
          <w:szCs w:val="21"/>
          <w:highlight w:val="none"/>
        </w:rPr>
      </w:pPr>
      <w:bookmarkStart w:id="117" w:name="_Toc456648358"/>
      <w:bookmarkStart w:id="118" w:name="_Toc456272919"/>
      <w:bookmarkStart w:id="119" w:name="_Toc31821"/>
      <w:bookmarkStart w:id="120" w:name="_Toc434832495"/>
      <w:r>
        <w:rPr>
          <w:rFonts w:hint="eastAsia" w:ascii="宋体" w:hAnsi="宋体"/>
          <w:color w:val="000000" w:themeColor="text1"/>
          <w:sz w:val="21"/>
          <w:szCs w:val="21"/>
          <w:highlight w:val="none"/>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为了方便唱标，投标人在递交磋商响应文件的同时，向代理采购机构提交包含“第一次报价一览表”、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投标人未按上述规定对磋商响应文件进行密封和加写标记，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1、磋商响应文件中打“★”号条款必须实质性响应，负偏离（不满足要求）将导致投标无效。</w:t>
            </w:r>
          </w:p>
          <w:p>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5"/>
        <w:adjustRightInd w:val="0"/>
        <w:snapToGrid w:val="0"/>
        <w:spacing w:line="300" w:lineRule="auto"/>
        <w:outlineLvl w:val="1"/>
        <w:rPr>
          <w:rFonts w:hint="eastAsia" w:hAnsi="宋体"/>
          <w:color w:val="000000" w:themeColor="text1"/>
          <w:highlight w:val="none"/>
        </w:rPr>
      </w:pPr>
      <w:bookmarkStart w:id="121" w:name="_Hlt21938668"/>
      <w:bookmarkEnd w:id="121"/>
      <w:bookmarkStart w:id="122" w:name="_Hlt21938665"/>
      <w:bookmarkEnd w:id="122"/>
      <w:bookmarkStart w:id="123" w:name="_Toc464632120"/>
    </w:p>
    <w:p>
      <w:pPr>
        <w:pStyle w:val="25"/>
        <w:adjustRightInd w:val="0"/>
        <w:snapToGrid w:val="0"/>
        <w:spacing w:line="300" w:lineRule="auto"/>
        <w:outlineLvl w:val="1"/>
        <w:rPr>
          <w:rFonts w:hAnsi="宋体"/>
          <w:color w:val="000000" w:themeColor="text1"/>
          <w:highlight w:val="none"/>
        </w:rPr>
      </w:pPr>
      <w:bookmarkStart w:id="124" w:name="_Toc9779"/>
      <w:r>
        <w:rPr>
          <w:rFonts w:hint="eastAsia" w:hAnsi="宋体"/>
          <w:color w:val="000000" w:themeColor="text1"/>
          <w:highlight w:val="none"/>
        </w:rPr>
        <w:t>一、说  明</w:t>
      </w:r>
      <w:bookmarkEnd w:id="123"/>
      <w:bookmarkEnd w:id="124"/>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25" w:name="_Toc464632121"/>
      <w:bookmarkStart w:id="126" w:name="_Toc19747"/>
      <w:r>
        <w:rPr>
          <w:rFonts w:hint="eastAsia" w:hAnsi="宋体"/>
          <w:color w:val="000000" w:themeColor="text1"/>
          <w:highlight w:val="none"/>
        </w:rPr>
        <w:t>二、磋商文件</w:t>
      </w:r>
      <w:bookmarkEnd w:id="125"/>
      <w:bookmarkEnd w:id="126"/>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7" w:name="_Toc464632122"/>
      <w:bookmarkStart w:id="128" w:name="_Toc3227"/>
      <w:r>
        <w:rPr>
          <w:rFonts w:hint="eastAsia" w:hAnsi="宋体"/>
          <w:color w:val="000000" w:themeColor="text1"/>
          <w:highlight w:val="none"/>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9" w:name="_Toc464632123"/>
      <w:bookmarkStart w:id="130" w:name="_Toc2764"/>
      <w:r>
        <w:rPr>
          <w:rFonts w:hint="eastAsia" w:hAnsi="宋体"/>
          <w:color w:val="000000" w:themeColor="text1"/>
          <w:highlight w:val="none"/>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rPr>
      </w:pPr>
    </w:p>
    <w:p>
      <w:pPr>
        <w:pStyle w:val="25"/>
        <w:adjustRightInd w:val="0"/>
        <w:snapToGrid w:val="0"/>
        <w:spacing w:line="300" w:lineRule="auto"/>
        <w:outlineLvl w:val="1"/>
        <w:rPr>
          <w:rFonts w:hAnsi="宋体"/>
          <w:color w:val="000000" w:themeColor="text1"/>
          <w:highlight w:val="none"/>
        </w:rPr>
      </w:pPr>
      <w:bookmarkStart w:id="131" w:name="_Toc464632124"/>
      <w:bookmarkStart w:id="132" w:name="_Toc3614"/>
      <w:r>
        <w:rPr>
          <w:rFonts w:hint="eastAsia" w:hAnsi="宋体"/>
          <w:color w:val="000000" w:themeColor="text1"/>
          <w:highlight w:val="none"/>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3" w:name="_Toc464632125"/>
      <w:bookmarkStart w:id="134" w:name="_Toc12138"/>
      <w:r>
        <w:rPr>
          <w:rFonts w:hint="eastAsia" w:hAnsi="宋体"/>
          <w:color w:val="000000" w:themeColor="text1"/>
          <w:highlight w:val="none"/>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5" w:name="_Toc6893"/>
      <w:bookmarkStart w:id="136" w:name="_Toc464632126"/>
      <w:r>
        <w:rPr>
          <w:rFonts w:hint="eastAsia" w:hAnsi="宋体"/>
          <w:color w:val="000000" w:themeColor="text1"/>
          <w:highlight w:val="none"/>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投标下浮率不符合招标文件规定的</w:t>
      </w:r>
      <w:r>
        <w:rPr>
          <w:rFonts w:hint="eastAsia" w:ascii="宋体" w:hAnsi="宋体"/>
          <w:color w:val="000000" w:themeColor="text1"/>
          <w:kern w:val="0"/>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Cs w:val="21"/>
          <w:highlight w:val="none"/>
        </w:rPr>
        <w:t>备注：</w:t>
      </w:r>
      <w:r>
        <w:rPr>
          <w:rFonts w:hint="eastAsia"/>
          <w:color w:val="000000" w:themeColor="text1"/>
          <w:sz w:val="21"/>
          <w:szCs w:val="21"/>
          <w:highlight w:val="none"/>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pPr>
        <w:pStyle w:val="25"/>
        <w:adjustRightInd w:val="0"/>
        <w:snapToGrid w:val="0"/>
        <w:spacing w:line="300" w:lineRule="auto"/>
        <w:ind w:left="420" w:hanging="420" w:hangingChars="20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37" w:name="_Toc13981"/>
      <w:bookmarkStart w:id="138" w:name="_Toc464632127"/>
      <w:r>
        <w:rPr>
          <w:rFonts w:hint="eastAsia" w:hAnsi="宋体"/>
          <w:color w:val="000000" w:themeColor="text1"/>
          <w:highlight w:val="none"/>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详见第三部份《磋商须知〈投标人须知前附表〉》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9113"/>
      <w:bookmarkStart w:id="140" w:name="_Toc464632128"/>
      <w:r>
        <w:rPr>
          <w:rFonts w:hint="eastAsia" w:ascii="宋体" w:hAnsi="宋体"/>
          <w:color w:val="000000" w:themeColor="text1"/>
          <w:szCs w:val="21"/>
          <w:highlight w:val="none"/>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rPr>
      </w:pPr>
      <w:bookmarkStart w:id="141" w:name="_Toc464632129"/>
      <w:bookmarkStart w:id="142" w:name="_Toc19571"/>
      <w:bookmarkStart w:id="143" w:name="_Toc345675374"/>
      <w:bookmarkStart w:id="144" w:name="_Toc322033397"/>
      <w:r>
        <w:rPr>
          <w:rFonts w:hint="eastAsia" w:ascii="宋体" w:hAnsi="宋体"/>
          <w:color w:val="000000" w:themeColor="text1"/>
          <w:szCs w:val="21"/>
          <w:highlight w:val="none"/>
        </w:rPr>
        <w:t>十、成交服务费</w:t>
      </w:r>
      <w:bookmarkEnd w:id="141"/>
      <w:bookmarkEnd w:id="142"/>
      <w:bookmarkEnd w:id="143"/>
      <w:bookmarkEnd w:id="144"/>
    </w:p>
    <w:p>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详见第二部份《采购项目内容〈A 商务要求〉》</w:t>
      </w:r>
      <w:r>
        <w:rPr>
          <w:rFonts w:hint="eastAsia" w:ascii="宋体" w:hAnsi="宋体"/>
          <w:color w:val="000000" w:themeColor="text1"/>
          <w:szCs w:val="21"/>
          <w:highlight w:val="none"/>
        </w:rPr>
        <w:t>。</w:t>
      </w:r>
    </w:p>
    <w:p>
      <w:pPr>
        <w:spacing w:line="300" w:lineRule="auto"/>
        <w:outlineLvl w:val="1"/>
        <w:rPr>
          <w:rFonts w:ascii="宋体" w:hAnsi="宋体"/>
          <w:color w:val="000000" w:themeColor="text1"/>
          <w:szCs w:val="21"/>
          <w:highlight w:val="none"/>
        </w:rPr>
      </w:pPr>
      <w:bookmarkStart w:id="145" w:name="_Toc12970"/>
      <w:bookmarkStart w:id="146" w:name="_Toc464632131"/>
      <w:bookmarkStart w:id="147" w:name="_Toc536594109"/>
      <w:r>
        <w:rPr>
          <w:rFonts w:hint="eastAsia" w:ascii="宋体" w:hAnsi="宋体"/>
          <w:color w:val="000000" w:themeColor="text1"/>
          <w:szCs w:val="21"/>
          <w:highlight w:val="none"/>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rPr>
      </w:pPr>
      <w:bookmarkStart w:id="148" w:name="_Toc345675376"/>
      <w:bookmarkStart w:id="149" w:name="_Toc464632132"/>
      <w:bookmarkStart w:id="150" w:name="_Toc3364"/>
      <w:bookmarkStart w:id="151" w:name="_Toc322033399"/>
      <w:r>
        <w:rPr>
          <w:rFonts w:hint="eastAsia" w:ascii="宋体" w:hAnsi="宋体"/>
          <w:color w:val="000000" w:themeColor="text1"/>
          <w:szCs w:val="21"/>
          <w:highlight w:val="none"/>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rPr>
      </w:pPr>
    </w:p>
    <w:p>
      <w:pPr>
        <w:pStyle w:val="2"/>
        <w:numPr>
          <w:ilvl w:val="0"/>
          <w:numId w:val="0"/>
        </w:numPr>
        <w:spacing w:before="240"/>
        <w:rPr>
          <w:color w:val="000000" w:themeColor="text1"/>
          <w:highlight w:val="none"/>
        </w:rPr>
      </w:pPr>
      <w:r>
        <w:rPr>
          <w:color w:val="000000" w:themeColor="text1"/>
          <w:highlight w:val="none"/>
        </w:rPr>
        <w:br w:type="page"/>
      </w:r>
      <w:bookmarkStart w:id="152" w:name="_Toc2052"/>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049"/>
        <w:gridCol w:w="2220"/>
        <w:gridCol w:w="208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2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20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22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20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15</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rFonts w:hint="eastAsia"/>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51"/>
        <w:tblW w:w="9517" w:type="dxa"/>
        <w:jc w:val="center"/>
        <w:shd w:val="clear" w:color="auto" w:fill="FFFFFF"/>
        <w:tblLayout w:type="fixed"/>
        <w:tblCellMar>
          <w:top w:w="0" w:type="dxa"/>
          <w:left w:w="0" w:type="dxa"/>
          <w:bottom w:w="0" w:type="dxa"/>
          <w:right w:w="0" w:type="dxa"/>
        </w:tblCellMar>
      </w:tblPr>
      <w:tblGrid>
        <w:gridCol w:w="729"/>
        <w:gridCol w:w="1233"/>
        <w:gridCol w:w="690"/>
        <w:gridCol w:w="6865"/>
      </w:tblGrid>
      <w:tr>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940" w:hRule="atLeast"/>
          <w:jc w:val="center"/>
        </w:trPr>
        <w:tc>
          <w:tcPr>
            <w:tcW w:w="729"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33"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服务方案</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根据投标人提供的项目服务方案，包括整体构想、服务范围和管理方式、工作流程和达到服务质量标准的保证措施、管理方案内容等，进行综合评审：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1.方案制定详细完整合理、可操作性高，优于文件要求的，得15分；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2.方案制定较完整合理、可操作性尚可，满足文件要求的，得10分；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3.方案制定基本完整合理、可操作性一般，基本满足文件要求的，得5分。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4.方案制定不合理、可操作不可行，不能满足文件要求的，得1分。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5.未提供不得分。</w:t>
            </w:r>
          </w:p>
        </w:tc>
      </w:tr>
      <w:tr>
        <w:tblPrEx>
          <w:shd w:val="clear" w:color="auto" w:fill="FFFFFF"/>
          <w:tblCellMar>
            <w:top w:w="0" w:type="dxa"/>
            <w:left w:w="0" w:type="dxa"/>
            <w:bottom w:w="0" w:type="dxa"/>
            <w:right w:w="0" w:type="dxa"/>
          </w:tblCellMar>
        </w:tblPrEx>
        <w:trPr>
          <w:cantSplit/>
          <w:trHeight w:val="940" w:hRule="atLeast"/>
          <w:jc w:val="center"/>
        </w:trPr>
        <w:tc>
          <w:tcPr>
            <w:tcW w:w="729"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2</w:t>
            </w:r>
          </w:p>
        </w:tc>
        <w:tc>
          <w:tcPr>
            <w:tcW w:w="1233"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应急措施</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15分</w:t>
            </w:r>
          </w:p>
        </w:tc>
        <w:tc>
          <w:tcPr>
            <w:tcW w:w="6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根据投标人提供的项目应急措施，包括但不仅限于突发情况应急处置措施、重大接待任务，重大节假日或活动等特殊情况应急处置措施、安全措施等，进行综合评审：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1.应急措施制定详细完整合理、可操作性高，优于文件要求的，得15分；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2.应急措施制定较完整合理、可操作性尚可，满足文件要求的，得10分；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3.应急措施制定基本完整合理、可操作性一般，基本满足文件要求的，得5分；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4.应急措施制定不合理、可操作性不可行，不能满足文件要求的，得1分；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5.未提供不得分。</w:t>
            </w:r>
          </w:p>
        </w:tc>
      </w:tr>
      <w:tr>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3</w:t>
            </w:r>
          </w:p>
        </w:tc>
        <w:tc>
          <w:tcPr>
            <w:tcW w:w="12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针对本项目的具体</w:t>
            </w:r>
            <w:r>
              <w:rPr>
                <w:rFonts w:hint="eastAsia" w:ascii="宋体" w:hAnsi="宋体" w:cs="宋体"/>
                <w:color w:val="000000" w:themeColor="text1"/>
                <w:kern w:val="2"/>
                <w:sz w:val="21"/>
                <w:szCs w:val="21"/>
                <w:highlight w:val="none"/>
                <w:lang w:val="en-US" w:eastAsia="zh-CN" w:bidi="ar-SA"/>
              </w:rPr>
              <w:t>实施方案</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15</w:t>
            </w:r>
            <w:r>
              <w:rPr>
                <w:rFonts w:hint="eastAsia" w:ascii="宋体" w:hAnsi="宋体" w:eastAsia="宋体" w:cs="宋体"/>
                <w:color w:val="000000" w:themeColor="text1"/>
                <w:kern w:val="2"/>
                <w:sz w:val="21"/>
                <w:szCs w:val="21"/>
                <w:highlight w:val="none"/>
                <w:lang w:val="en-US" w:eastAsia="zh-CN" w:bidi="ar-SA"/>
              </w:rPr>
              <w:t>分</w:t>
            </w:r>
          </w:p>
        </w:tc>
        <w:tc>
          <w:tcPr>
            <w:tcW w:w="6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000000" w:themeColor="text1"/>
                <w:kern w:val="2"/>
                <w:sz w:val="21"/>
                <w:szCs w:val="21"/>
                <w:highlight w:val="none"/>
                <w:lang w:val="en-US" w:eastAsia="zh-CN" w:bidi="ar-SA"/>
              </w:rPr>
            </w:pPr>
            <w:r>
              <w:rPr>
                <w:rFonts w:hint="eastAsia" w:ascii="Times New Roman" w:hAnsi="Times New Roman" w:eastAsia="宋体" w:cs="Times New Roman"/>
                <w:color w:val="000000" w:themeColor="text1"/>
                <w:kern w:val="2"/>
                <w:sz w:val="21"/>
                <w:szCs w:val="21"/>
                <w:highlight w:val="none"/>
                <w:lang w:val="en-US" w:eastAsia="zh-CN" w:bidi="ar-SA"/>
              </w:rPr>
              <w:t>根据投标人</w:t>
            </w:r>
            <w:r>
              <w:rPr>
                <w:rFonts w:hint="eastAsia" w:ascii="宋体" w:hAnsi="宋体" w:eastAsia="宋体" w:cs="宋体"/>
                <w:b w:val="0"/>
                <w:bCs w:val="0"/>
                <w:color w:val="000000" w:themeColor="text1"/>
                <w:kern w:val="2"/>
                <w:sz w:val="21"/>
                <w:szCs w:val="21"/>
                <w:highlight w:val="none"/>
                <w:lang w:val="en-US" w:eastAsia="zh-CN" w:bidi="ar-SA"/>
              </w:rPr>
              <w:t>针对本项目的具体实施方案，人员具体配置，服务标准，人员培训、人员稳定性保障措施、其他服务内容或服务计划等，进行综合评审：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1.针对本项目的具体的实施方案切实可行的</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优于文件要求的，</w:t>
            </w:r>
            <w:r>
              <w:rPr>
                <w:rFonts w:hint="eastAsia" w:ascii="宋体" w:hAnsi="宋体" w:cs="宋体"/>
                <w:color w:val="000000" w:themeColor="text1"/>
                <w:kern w:val="2"/>
                <w:sz w:val="21"/>
                <w:szCs w:val="21"/>
                <w:highlight w:val="none"/>
                <w:lang w:val="en-US" w:eastAsia="zh-CN" w:bidi="ar-SA"/>
              </w:rPr>
              <w:t>得15分；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color w:val="000000" w:themeColor="text1"/>
                <w:kern w:val="2"/>
                <w:sz w:val="21"/>
                <w:szCs w:val="21"/>
                <w:highlight w:val="none"/>
                <w:lang w:val="en-US" w:eastAsia="zh-CN" w:bidi="ar-SA"/>
              </w:rPr>
            </w:pPr>
            <w:r>
              <w:rPr>
                <w:rFonts w:hint="default" w:ascii="宋体" w:hAnsi="宋体" w:eastAsia="宋体" w:cs="宋体"/>
                <w:b w:val="0"/>
                <w:bCs w:val="0"/>
                <w:color w:val="000000" w:themeColor="text1"/>
                <w:kern w:val="2"/>
                <w:sz w:val="21"/>
                <w:szCs w:val="21"/>
                <w:highlight w:val="none"/>
                <w:lang w:val="en-US" w:eastAsia="zh-CN" w:bidi="ar-SA"/>
              </w:rPr>
              <w:t>2</w:t>
            </w:r>
            <w:r>
              <w:rPr>
                <w:rFonts w:hint="eastAsia" w:ascii="宋体" w:hAnsi="宋体" w:cs="宋体"/>
                <w:b w:val="0"/>
                <w:bCs w:val="0"/>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针对本项目的具体的实施方案</w:t>
            </w:r>
            <w:r>
              <w:rPr>
                <w:rFonts w:hint="eastAsia" w:ascii="宋体" w:hAnsi="宋体" w:cs="宋体"/>
                <w:color w:val="000000" w:themeColor="text1"/>
                <w:kern w:val="2"/>
                <w:sz w:val="21"/>
                <w:szCs w:val="21"/>
                <w:highlight w:val="none"/>
                <w:lang w:val="en-US" w:eastAsia="zh-CN" w:bidi="ar-SA"/>
              </w:rPr>
              <w:t>较</w:t>
            </w:r>
            <w:r>
              <w:rPr>
                <w:rFonts w:hint="eastAsia" w:ascii="宋体" w:hAnsi="宋体" w:eastAsia="宋体" w:cs="宋体"/>
                <w:color w:val="000000" w:themeColor="text1"/>
                <w:kern w:val="2"/>
                <w:sz w:val="21"/>
                <w:szCs w:val="21"/>
                <w:highlight w:val="none"/>
                <w:lang w:val="en-US" w:eastAsia="zh-CN" w:bidi="ar-SA"/>
              </w:rPr>
              <w:t>可行的</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满足文件要求的，</w:t>
            </w:r>
            <w:r>
              <w:rPr>
                <w:rFonts w:hint="eastAsia" w:ascii="宋体" w:hAnsi="宋体" w:cs="宋体"/>
                <w:color w:val="000000" w:themeColor="text1"/>
                <w:kern w:val="2"/>
                <w:sz w:val="21"/>
                <w:szCs w:val="21"/>
                <w:highlight w:val="none"/>
                <w:lang w:val="en-US" w:eastAsia="zh-CN" w:bidi="ar-SA"/>
              </w:rPr>
              <w:t>得10分；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color w:val="000000" w:themeColor="text1"/>
                <w:kern w:val="2"/>
                <w:sz w:val="21"/>
                <w:szCs w:val="21"/>
                <w:highlight w:val="none"/>
                <w:lang w:val="en-US" w:eastAsia="zh-CN" w:bidi="ar-SA"/>
              </w:rPr>
            </w:pPr>
            <w:r>
              <w:rPr>
                <w:rFonts w:hint="eastAsia" w:ascii="宋体" w:hAnsi="宋体" w:cs="宋体"/>
                <w:b w:val="0"/>
                <w:bCs w:val="0"/>
                <w:color w:val="000000" w:themeColor="text1"/>
                <w:kern w:val="2"/>
                <w:sz w:val="21"/>
                <w:szCs w:val="21"/>
                <w:highlight w:val="none"/>
                <w:lang w:val="en-US" w:eastAsia="zh-CN" w:bidi="ar-SA"/>
              </w:rPr>
              <w:t>3.</w:t>
            </w:r>
            <w:r>
              <w:rPr>
                <w:rFonts w:hint="eastAsia" w:ascii="宋体" w:hAnsi="宋体" w:eastAsia="宋体" w:cs="宋体"/>
                <w:color w:val="000000" w:themeColor="text1"/>
                <w:kern w:val="2"/>
                <w:sz w:val="21"/>
                <w:szCs w:val="21"/>
                <w:highlight w:val="none"/>
                <w:lang w:val="en-US" w:eastAsia="zh-CN" w:bidi="ar-SA"/>
              </w:rPr>
              <w:t>针对本项目的具体的实施方案基本可行的</w:t>
            </w:r>
            <w:r>
              <w:rPr>
                <w:rFonts w:hint="eastAsia" w:ascii="宋体" w:hAnsi="宋体" w:cs="宋体"/>
                <w:color w:val="000000" w:themeColor="text1"/>
                <w:kern w:val="2"/>
                <w:sz w:val="21"/>
                <w:szCs w:val="21"/>
                <w:highlight w:val="none"/>
                <w:lang w:val="en-US" w:eastAsia="zh-CN" w:bidi="ar-SA"/>
              </w:rPr>
              <w:t>，基本</w:t>
            </w:r>
            <w:r>
              <w:rPr>
                <w:rFonts w:hint="eastAsia" w:ascii="宋体" w:hAnsi="宋体" w:eastAsia="宋体" w:cs="宋体"/>
                <w:color w:val="000000" w:themeColor="text1"/>
                <w:kern w:val="2"/>
                <w:sz w:val="21"/>
                <w:szCs w:val="21"/>
                <w:highlight w:val="none"/>
                <w:lang w:val="en-US" w:eastAsia="zh-CN" w:bidi="ar-SA"/>
              </w:rPr>
              <w:t>满足文件要求的，</w:t>
            </w:r>
            <w:r>
              <w:rPr>
                <w:rFonts w:hint="eastAsia" w:ascii="宋体" w:hAnsi="宋体" w:cs="宋体"/>
                <w:color w:val="000000" w:themeColor="text1"/>
                <w:kern w:val="2"/>
                <w:sz w:val="21"/>
                <w:szCs w:val="21"/>
                <w:highlight w:val="none"/>
                <w:lang w:val="en-US" w:eastAsia="zh-CN" w:bidi="ar-SA"/>
              </w:rPr>
              <w:t>得5分；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4.</w:t>
            </w:r>
            <w:r>
              <w:rPr>
                <w:rFonts w:hint="eastAsia" w:ascii="宋体" w:hAnsi="宋体" w:eastAsia="宋体" w:cs="宋体"/>
                <w:color w:val="000000" w:themeColor="text1"/>
                <w:kern w:val="2"/>
                <w:sz w:val="21"/>
                <w:szCs w:val="21"/>
                <w:highlight w:val="none"/>
                <w:lang w:val="en-US" w:eastAsia="zh-CN" w:bidi="ar-SA"/>
              </w:rPr>
              <w:t>针对本项目的具体的实施方案</w:t>
            </w:r>
            <w:r>
              <w:rPr>
                <w:rFonts w:hint="eastAsia" w:ascii="宋体" w:hAnsi="宋体" w:cs="宋体"/>
                <w:color w:val="000000" w:themeColor="text1"/>
                <w:kern w:val="2"/>
                <w:sz w:val="21"/>
                <w:szCs w:val="21"/>
                <w:highlight w:val="none"/>
                <w:lang w:val="en-US" w:eastAsia="zh-CN" w:bidi="ar-SA"/>
              </w:rPr>
              <w:t>不</w:t>
            </w:r>
            <w:r>
              <w:rPr>
                <w:rFonts w:hint="eastAsia" w:ascii="宋体" w:hAnsi="宋体" w:eastAsia="宋体" w:cs="宋体"/>
                <w:color w:val="000000" w:themeColor="text1"/>
                <w:kern w:val="2"/>
                <w:sz w:val="21"/>
                <w:szCs w:val="21"/>
                <w:highlight w:val="none"/>
                <w:lang w:val="en-US" w:eastAsia="zh-CN" w:bidi="ar-SA"/>
              </w:rPr>
              <w:t>可行的</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不能满足文件要求的，</w:t>
            </w:r>
            <w:r>
              <w:rPr>
                <w:rFonts w:hint="eastAsia" w:ascii="宋体" w:hAnsi="宋体" w:cs="宋体"/>
                <w:color w:val="000000" w:themeColor="text1"/>
                <w:kern w:val="2"/>
                <w:sz w:val="21"/>
                <w:szCs w:val="21"/>
                <w:highlight w:val="none"/>
                <w:lang w:val="en-US" w:eastAsia="zh-CN" w:bidi="ar-SA"/>
              </w:rPr>
              <w:t>得1分；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b w:val="0"/>
                <w:bCs w:val="0"/>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5.</w:t>
            </w:r>
            <w:r>
              <w:rPr>
                <w:rFonts w:hint="eastAsia" w:ascii="宋体" w:hAnsi="宋体" w:eastAsia="宋体" w:cs="宋体"/>
                <w:color w:val="000000" w:themeColor="text1"/>
                <w:kern w:val="2"/>
                <w:sz w:val="21"/>
                <w:szCs w:val="21"/>
                <w:highlight w:val="none"/>
                <w:lang w:val="en-US" w:eastAsia="zh-CN" w:bidi="ar-SA"/>
              </w:rPr>
              <w:t>未提供不得分。</w:t>
            </w:r>
          </w:p>
        </w:tc>
      </w:tr>
      <w:tr>
        <w:tblPrEx>
          <w:shd w:val="clear" w:color="auto" w:fill="FFFFFF"/>
          <w:tblCellMar>
            <w:top w:w="0" w:type="dxa"/>
            <w:left w:w="0" w:type="dxa"/>
            <w:bottom w:w="0" w:type="dxa"/>
            <w:right w:w="0" w:type="dxa"/>
          </w:tblCellMar>
        </w:tblPrEx>
        <w:trPr>
          <w:cantSplit/>
          <w:trHeight w:val="524" w:hRule="atLeast"/>
          <w:jc w:val="center"/>
        </w:trPr>
        <w:tc>
          <w:tcPr>
            <w:tcW w:w="196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6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8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559" w:type="dxa"/>
        <w:jc w:val="center"/>
        <w:tblLayout w:type="fixed"/>
        <w:tblCellMar>
          <w:top w:w="0" w:type="dxa"/>
          <w:left w:w="0" w:type="dxa"/>
          <w:bottom w:w="0" w:type="dxa"/>
          <w:right w:w="0" w:type="dxa"/>
        </w:tblCellMar>
      </w:tblPr>
      <w:tblGrid>
        <w:gridCol w:w="777"/>
        <w:gridCol w:w="1221"/>
        <w:gridCol w:w="675"/>
        <w:gridCol w:w="6886"/>
      </w:tblGrid>
      <w:tr>
        <w:tblPrEx>
          <w:tblCellMar>
            <w:top w:w="0" w:type="dxa"/>
            <w:left w:w="0" w:type="dxa"/>
            <w:bottom w:w="0" w:type="dxa"/>
            <w:right w:w="0" w:type="dxa"/>
          </w:tblCellMar>
        </w:tblPrEx>
        <w:trPr>
          <w:cantSplit/>
          <w:trHeight w:val="477"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8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p>
        </w:tc>
        <w:tc>
          <w:tcPr>
            <w:tcW w:w="12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同类项目业绩</w:t>
            </w:r>
          </w:p>
        </w:tc>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15分</w:t>
            </w:r>
          </w:p>
        </w:tc>
        <w:tc>
          <w:tcPr>
            <w:tcW w:w="68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rPr>
            </w:pPr>
            <w:r>
              <w:rPr>
                <w:rFonts w:hint="default" w:ascii="宋体" w:hAnsi="宋体" w:eastAsia="宋体" w:cs="宋体"/>
                <w:color w:val="000000" w:themeColor="text1"/>
                <w:sz w:val="21"/>
                <w:szCs w:val="21"/>
                <w:highlight w:val="none"/>
              </w:rPr>
              <w:t>根据投标人20</w:t>
            </w:r>
            <w:r>
              <w:rPr>
                <w:rFonts w:hint="default"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1</w:t>
            </w:r>
            <w:r>
              <w:rPr>
                <w:rFonts w:hint="default" w:ascii="宋体" w:hAnsi="宋体" w:eastAsia="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1月1日</w:t>
            </w:r>
            <w:r>
              <w:rPr>
                <w:rFonts w:hint="default" w:ascii="宋体" w:hAnsi="宋体" w:eastAsia="宋体" w:cs="宋体"/>
                <w:color w:val="000000" w:themeColor="text1"/>
                <w:sz w:val="21"/>
                <w:szCs w:val="21"/>
                <w:highlight w:val="none"/>
              </w:rPr>
              <w:t>至今承担同类项目业绩情况进行评审，每提供一份得</w:t>
            </w:r>
            <w:r>
              <w:rPr>
                <w:rFonts w:hint="eastAsia" w:ascii="宋体" w:hAnsi="宋体" w:cs="宋体"/>
                <w:color w:val="000000" w:themeColor="text1"/>
                <w:sz w:val="21"/>
                <w:szCs w:val="21"/>
                <w:highlight w:val="none"/>
                <w:lang w:val="en-US" w:eastAsia="zh-CN"/>
              </w:rPr>
              <w:t>5</w:t>
            </w:r>
            <w:r>
              <w:rPr>
                <w:rFonts w:hint="default" w:ascii="宋体" w:hAnsi="宋体" w:eastAsia="宋体" w:cs="宋体"/>
                <w:color w:val="000000" w:themeColor="text1"/>
                <w:sz w:val="21"/>
                <w:szCs w:val="21"/>
                <w:highlight w:val="none"/>
              </w:rPr>
              <w:t>分，</w:t>
            </w:r>
            <w:r>
              <w:rPr>
                <w:rFonts w:hint="eastAsia" w:ascii="宋体" w:hAnsi="宋体" w:eastAsia="宋体" w:cs="宋体"/>
                <w:b w:val="0"/>
                <w:bCs w:val="0"/>
                <w:color w:val="000000" w:themeColor="text1"/>
                <w:sz w:val="21"/>
                <w:szCs w:val="21"/>
                <w:highlight w:val="none"/>
                <w:lang w:val="en-US" w:eastAsia="zh-CN"/>
              </w:rPr>
              <w:t>满分15分</w:t>
            </w:r>
            <w:r>
              <w:rPr>
                <w:rFonts w:hint="default"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default" w:ascii="宋体" w:hAnsi="宋体" w:eastAsia="宋体" w:cs="宋体"/>
                <w:color w:val="000000" w:themeColor="text1"/>
                <w:sz w:val="21"/>
                <w:szCs w:val="21"/>
                <w:highlight w:val="none"/>
              </w:rPr>
              <w:t>注：提供项目合同复印件并加盖投标人公章，否则不得分。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p>
        </w:tc>
        <w:tc>
          <w:tcPr>
            <w:tcW w:w="12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olor w:val="000000" w:themeColor="text1"/>
                <w:kern w:val="0"/>
                <w:highlight w:val="none"/>
              </w:rPr>
              <w:t>投标人的同类项目服务评价</w:t>
            </w:r>
          </w:p>
        </w:tc>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rPr>
              <w:t>分</w:t>
            </w:r>
          </w:p>
        </w:tc>
        <w:tc>
          <w:tcPr>
            <w:tcW w:w="68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olor w:val="000000" w:themeColor="text1"/>
                <w:highlight w:val="none"/>
              </w:rPr>
            </w:pPr>
            <w:r>
              <w:rPr>
                <w:rFonts w:hint="eastAsia" w:ascii="宋体" w:hAnsi="宋体"/>
                <w:color w:val="000000" w:themeColor="text1"/>
                <w:highlight w:val="none"/>
              </w:rPr>
              <w:t>投标人提供</w:t>
            </w:r>
            <w:r>
              <w:rPr>
                <w:rFonts w:hint="default" w:ascii="宋体" w:hAnsi="宋体" w:eastAsia="宋体" w:cs="宋体"/>
                <w:color w:val="000000" w:themeColor="text1"/>
                <w:sz w:val="21"/>
                <w:szCs w:val="21"/>
                <w:highlight w:val="none"/>
              </w:rPr>
              <w:t>20</w:t>
            </w:r>
            <w:r>
              <w:rPr>
                <w:rFonts w:hint="default"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1</w:t>
            </w:r>
            <w:r>
              <w:rPr>
                <w:rFonts w:hint="default" w:ascii="宋体" w:hAnsi="宋体" w:eastAsia="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1月1日</w:t>
            </w:r>
            <w:r>
              <w:rPr>
                <w:rFonts w:hint="default" w:ascii="宋体" w:hAnsi="宋体" w:eastAsia="宋体" w:cs="宋体"/>
                <w:color w:val="000000" w:themeColor="text1"/>
                <w:sz w:val="21"/>
                <w:szCs w:val="21"/>
                <w:highlight w:val="none"/>
              </w:rPr>
              <w:t>至今</w:t>
            </w:r>
            <w:r>
              <w:rPr>
                <w:rFonts w:hint="eastAsia" w:ascii="宋体" w:hAnsi="宋体"/>
                <w:bCs/>
                <w:color w:val="000000" w:themeColor="text1"/>
                <w:highlight w:val="none"/>
              </w:rPr>
              <w:t>正在服务或服务过的公司或单位</w:t>
            </w:r>
            <w:r>
              <w:rPr>
                <w:rFonts w:hint="eastAsia" w:ascii="宋体" w:hAnsi="宋体"/>
                <w:color w:val="000000" w:themeColor="text1"/>
                <w:highlight w:val="none"/>
              </w:rPr>
              <w:t>中获得</w:t>
            </w:r>
            <w:r>
              <w:rPr>
                <w:rFonts w:hint="eastAsia" w:ascii="宋体" w:hAnsi="宋体"/>
                <w:color w:val="000000" w:themeColor="text1"/>
                <w:kern w:val="0"/>
                <w:highlight w:val="none"/>
              </w:rPr>
              <w:t>项目服务单位</w:t>
            </w:r>
            <w:r>
              <w:rPr>
                <w:rFonts w:hint="eastAsia" w:ascii="宋体" w:hAnsi="宋体"/>
                <w:color w:val="000000" w:themeColor="text1"/>
                <w:highlight w:val="none"/>
              </w:rPr>
              <w:t>评价情况，</w:t>
            </w:r>
            <w:r>
              <w:rPr>
                <w:rFonts w:hint="eastAsia" w:ascii="宋体" w:hAnsi="宋体"/>
                <w:color w:val="000000" w:themeColor="text1"/>
                <w:kern w:val="0"/>
                <w:highlight w:val="none"/>
              </w:rPr>
              <w:t>每有一份</w:t>
            </w:r>
            <w:r>
              <w:rPr>
                <w:rFonts w:hint="eastAsia" w:ascii="宋体" w:hAnsi="宋体"/>
                <w:color w:val="000000" w:themeColor="text1"/>
                <w:highlight w:val="none"/>
              </w:rPr>
              <w:t>“满意或类似好评”</w:t>
            </w:r>
            <w:r>
              <w:rPr>
                <w:rFonts w:hint="eastAsia" w:ascii="宋体" w:hAnsi="宋体"/>
                <w:color w:val="000000" w:themeColor="text1"/>
                <w:kern w:val="0"/>
                <w:highlight w:val="none"/>
              </w:rPr>
              <w:t>评价的得</w:t>
            </w:r>
            <w:r>
              <w:rPr>
                <w:rFonts w:hint="eastAsia" w:ascii="宋体" w:hAnsi="宋体"/>
                <w:color w:val="000000" w:themeColor="text1"/>
                <w:kern w:val="0"/>
                <w:highlight w:val="none"/>
                <w:lang w:val="en-US" w:eastAsia="zh-CN"/>
              </w:rPr>
              <w:t>5</w:t>
            </w:r>
            <w:r>
              <w:rPr>
                <w:rFonts w:hint="eastAsia" w:ascii="宋体" w:hAnsi="宋体"/>
                <w:color w:val="000000" w:themeColor="text1"/>
                <w:kern w:val="0"/>
                <w:highlight w:val="none"/>
              </w:rPr>
              <w:t>分，满分</w:t>
            </w:r>
            <w:r>
              <w:rPr>
                <w:rFonts w:hint="eastAsia" w:ascii="宋体" w:hAnsi="宋体"/>
                <w:color w:val="000000" w:themeColor="text1"/>
                <w:kern w:val="0"/>
                <w:highlight w:val="none"/>
                <w:lang w:val="en-US" w:eastAsia="zh-CN"/>
              </w:rPr>
              <w:t>10</w:t>
            </w:r>
            <w:r>
              <w:rPr>
                <w:rFonts w:hint="eastAsia" w:ascii="宋体" w:hAnsi="宋体"/>
                <w:color w:val="000000" w:themeColor="text1"/>
                <w:kern w:val="0"/>
                <w:highlight w:val="none"/>
              </w:rPr>
              <w:t xml:space="preserve">分。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olor w:val="000000" w:themeColor="text1"/>
                <w:highlight w:val="none"/>
              </w:rPr>
            </w:pPr>
            <w:r>
              <w:rPr>
                <w:rFonts w:hint="eastAsia" w:ascii="宋体" w:hAnsi="宋体"/>
                <w:color w:val="000000" w:themeColor="text1"/>
                <w:highlight w:val="none"/>
              </w:rPr>
              <w:t>注：</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olor w:val="000000" w:themeColor="text1"/>
                <w:highlight w:val="none"/>
              </w:rPr>
            </w:pPr>
            <w:r>
              <w:rPr>
                <w:rFonts w:hint="eastAsia" w:ascii="宋体" w:hAnsi="宋体"/>
                <w:color w:val="000000" w:themeColor="text1"/>
                <w:highlight w:val="none"/>
              </w:rPr>
              <w:t>①同一客户或同一项目提供多项用户满意度评价的，按一项计算；</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olor w:val="000000" w:themeColor="text1"/>
                <w:highlight w:val="none"/>
              </w:rPr>
              <w:t>②</w:t>
            </w:r>
            <w:r>
              <w:rPr>
                <w:rFonts w:hint="eastAsia" w:ascii="宋体" w:hAnsi="宋体" w:cs="宋体"/>
                <w:color w:val="000000" w:themeColor="text1"/>
                <w:highlight w:val="none"/>
              </w:rPr>
              <w:t>提供经服务单位盖章确认的</w:t>
            </w:r>
            <w:r>
              <w:rPr>
                <w:rFonts w:hint="eastAsia" w:ascii="宋体" w:hAnsi="宋体"/>
                <w:color w:val="000000" w:themeColor="text1"/>
                <w:highlight w:val="none"/>
              </w:rPr>
              <w:t>满意度评价证明材料复印件，证明材料不清晰无法辨认的不得分。</w:t>
            </w:r>
          </w:p>
        </w:tc>
      </w:tr>
      <w:tr>
        <w:tblPrEx>
          <w:tblCellMar>
            <w:top w:w="0" w:type="dxa"/>
            <w:left w:w="0" w:type="dxa"/>
            <w:bottom w:w="0" w:type="dxa"/>
            <w:right w:w="0" w:type="dxa"/>
          </w:tblCellMar>
        </w:tblPrEx>
        <w:trPr>
          <w:cantSplit/>
          <w:trHeight w:val="86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2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投入人员情况</w:t>
            </w:r>
          </w:p>
        </w:tc>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lang w:val="en-US" w:eastAsia="zh-CN"/>
              </w:rPr>
              <w:t>分</w:t>
            </w:r>
          </w:p>
        </w:tc>
        <w:tc>
          <w:tcPr>
            <w:tcW w:w="68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投入本项目人员，提供1人得</w:t>
            </w:r>
            <w:r>
              <w:rPr>
                <w:rFonts w:hint="eastAsia" w:ascii="宋体" w:hAnsi="宋体" w:cs="宋体"/>
                <w:b w:val="0"/>
                <w:bCs w:val="0"/>
                <w:color w:val="000000" w:themeColor="text1"/>
                <w:sz w:val="21"/>
                <w:szCs w:val="21"/>
                <w:highlight w:val="none"/>
                <w:lang w:val="en-US" w:eastAsia="zh-CN"/>
              </w:rPr>
              <w:t>5</w:t>
            </w:r>
            <w:r>
              <w:rPr>
                <w:rFonts w:hint="eastAsia" w:ascii="宋体" w:hAnsi="宋体" w:eastAsia="宋体" w:cs="宋体"/>
                <w:b w:val="0"/>
                <w:bCs w:val="0"/>
                <w:color w:val="000000" w:themeColor="text1"/>
                <w:sz w:val="21"/>
                <w:szCs w:val="21"/>
                <w:highlight w:val="none"/>
                <w:lang w:val="en-US" w:eastAsia="zh-CN"/>
              </w:rPr>
              <w:t>分，满分15分。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注：提供身份证复印件</w:t>
            </w:r>
            <w:r>
              <w:rPr>
                <w:rFonts w:hint="eastAsia" w:ascii="宋体" w:hAnsi="宋体" w:cs="宋体"/>
                <w:b w:val="0"/>
                <w:bCs w:val="0"/>
                <w:color w:val="000000" w:themeColor="text1"/>
                <w:sz w:val="21"/>
                <w:szCs w:val="21"/>
                <w:highlight w:val="none"/>
                <w:lang w:val="en-US" w:eastAsia="zh-CN"/>
              </w:rPr>
              <w:t>和</w:t>
            </w:r>
            <w:r>
              <w:rPr>
                <w:rFonts w:hint="eastAsia" w:ascii="宋体" w:hAnsi="宋体" w:eastAsia="宋体" w:cs="宋体"/>
                <w:b w:val="0"/>
                <w:bCs w:val="0"/>
                <w:color w:val="000000" w:themeColor="text1"/>
                <w:sz w:val="21"/>
                <w:szCs w:val="21"/>
                <w:highlight w:val="none"/>
                <w:lang w:val="en-US" w:eastAsia="zh-CN"/>
              </w:rPr>
              <w:t>劳动合同复印件并加盖公章，不提供不得分。</w:t>
            </w:r>
          </w:p>
        </w:tc>
      </w:tr>
      <w:tr>
        <w:tblPrEx>
          <w:tblCellMar>
            <w:top w:w="0" w:type="dxa"/>
            <w:left w:w="0" w:type="dxa"/>
            <w:bottom w:w="0" w:type="dxa"/>
            <w:right w:w="0" w:type="dxa"/>
          </w:tblCellMar>
        </w:tblPrEx>
        <w:trPr>
          <w:cantSplit/>
          <w:trHeight w:val="530" w:hRule="atLeast"/>
          <w:jc w:val="center"/>
        </w:trPr>
        <w:tc>
          <w:tcPr>
            <w:tcW w:w="199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合计</w:t>
            </w:r>
          </w:p>
        </w:tc>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40</w:t>
            </w:r>
            <w:r>
              <w:rPr>
                <w:rFonts w:hint="eastAsia" w:ascii="宋体" w:hAnsi="宋体" w:eastAsia="宋体" w:cs="宋体"/>
                <w:color w:val="000000" w:themeColor="text1"/>
                <w:sz w:val="21"/>
                <w:szCs w:val="21"/>
                <w:highlight w:val="none"/>
                <w:lang w:val="en-US" w:eastAsia="zh-CN"/>
              </w:rPr>
              <w:t>分</w:t>
            </w:r>
          </w:p>
        </w:tc>
        <w:tc>
          <w:tcPr>
            <w:tcW w:w="68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综合评分法中的价格分统一采用低价优先法计算，即满足招标文件要求</w:t>
      </w:r>
      <w:r>
        <w:rPr>
          <w:rFonts w:hint="eastAsia" w:ascii="宋体" w:hAnsi="宋体"/>
          <w:color w:val="000000" w:themeColor="text1"/>
          <w:highlight w:val="none"/>
        </w:rPr>
        <w:t>（通过资格性、符合性审查）</w:t>
      </w:r>
      <w:r>
        <w:rPr>
          <w:rFonts w:ascii="宋体" w:hAnsi="宋体"/>
          <w:color w:val="000000" w:themeColor="text1"/>
          <w:highlight w:val="none"/>
        </w:rPr>
        <w:t>且投标价格最低的</w:t>
      </w:r>
      <w:r>
        <w:rPr>
          <w:rFonts w:hint="eastAsia" w:ascii="宋体" w:hAnsi="宋体"/>
          <w:color w:val="000000" w:themeColor="text1"/>
          <w:highlight w:val="none"/>
        </w:rPr>
        <w:t>有效</w:t>
      </w:r>
      <w:r>
        <w:rPr>
          <w:rFonts w:ascii="宋体" w:hAnsi="宋体"/>
          <w:color w:val="000000" w:themeColor="text1"/>
          <w:highlight w:val="none"/>
        </w:rPr>
        <w:t>投标报价</w:t>
      </w:r>
      <w:r>
        <w:rPr>
          <w:rFonts w:hint="eastAsia" w:ascii="宋体" w:hAnsi="宋体"/>
          <w:color w:val="000000" w:themeColor="text1"/>
          <w:highlight w:val="none"/>
        </w:rPr>
        <w:t>（指价格核准后的价格，下同）</w:t>
      </w:r>
      <w:r>
        <w:rPr>
          <w:rFonts w:ascii="宋体" w:hAnsi="宋体"/>
          <w:color w:val="000000" w:themeColor="text1"/>
          <w:highlight w:val="none"/>
        </w:rPr>
        <w:t>为评标基准价，其价格分为满分。其他投标人的价格分统一按照下列公式计算：</w:t>
      </w:r>
    </w:p>
    <w:p>
      <w:pPr>
        <w:spacing w:line="360" w:lineRule="auto"/>
        <w:rPr>
          <w:rFonts w:ascii="宋体" w:hAnsi="宋体"/>
          <w:color w:val="000000" w:themeColor="text1"/>
          <w:highlight w:val="none"/>
        </w:rPr>
      </w:pPr>
      <w:r>
        <w:rPr>
          <w:rFonts w:hint="eastAsia" w:ascii="宋体" w:hAnsi="宋体"/>
          <w:color w:val="000000" w:themeColor="text1"/>
          <w:highlight w:val="none"/>
        </w:rPr>
        <w:t>投标报价得分=(评标基准价/投标报价)×价格权值×100</w:t>
      </w:r>
    </w:p>
    <w:p>
      <w:pPr>
        <w:spacing w:line="360" w:lineRule="auto"/>
        <w:rPr>
          <w:rFonts w:ascii="宋体" w:hAnsi="宋体"/>
          <w:color w:val="000000" w:themeColor="text1"/>
          <w:highlight w:val="none"/>
        </w:rPr>
      </w:pPr>
      <w:r>
        <w:rPr>
          <w:rFonts w:hint="eastAsia" w:ascii="宋体" w:hAnsi="宋体"/>
          <w:color w:val="000000" w:themeColor="text1"/>
          <w:highlight w:val="none"/>
        </w:rPr>
        <w:t>备注：投标报价得分四舍五入后，小数点后保留两位有效数；</w:t>
      </w:r>
    </w:p>
    <w:p>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rPr>
      </w:pPr>
      <w:r>
        <w:rPr>
          <w:rFonts w:hint="eastAsia" w:ascii="宋体" w:hAnsi="宋体"/>
          <w:color w:val="000000" w:themeColor="text1"/>
          <w:highlight w:val="none"/>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rPr>
      </w:pPr>
      <w:bookmarkStart w:id="153" w:name="_Toc432682726"/>
      <w:bookmarkStart w:id="154" w:name="_Toc430771059"/>
      <w:bookmarkStart w:id="155" w:name="_Toc467987849"/>
      <w:bookmarkStart w:id="156" w:name="_Toc468606055"/>
      <w:bookmarkStart w:id="157" w:name="_Toc468157562"/>
      <w:bookmarkStart w:id="158" w:name="_Toc467236766"/>
      <w:bookmarkStart w:id="159" w:name="_Toc480020283"/>
      <w:bookmarkStart w:id="160" w:name="_Toc480010734"/>
      <w:bookmarkStart w:id="161" w:name="_Toc479991608"/>
      <w:bookmarkStart w:id="162" w:name="_Toc500861024"/>
      <w:bookmarkStart w:id="163" w:name="_Toc491658677"/>
      <w:bookmarkStart w:id="164" w:name="_Toc480021079"/>
      <w:bookmarkStart w:id="165" w:name="_Toc500861027"/>
      <w:bookmarkStart w:id="166" w:name="_Toc6397151"/>
      <w:bookmarkStart w:id="167" w:name="_Toc491658680"/>
      <w:bookmarkStart w:id="168" w:name="_Toc6727972"/>
      <w:bookmarkStart w:id="169" w:name="_Toc26066260"/>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pStyle w:val="19"/>
        <w:rPr>
          <w:rFonts w:ascii="宋体" w:hAnsi="宋体"/>
          <w:b/>
          <w:color w:val="000000" w:themeColor="text1"/>
          <w:highlight w:val="none"/>
        </w:rPr>
      </w:pPr>
    </w:p>
    <w:p>
      <w:pPr>
        <w:rPr>
          <w:rFonts w:ascii="宋体" w:hAnsi="宋体"/>
          <w:b/>
          <w:color w:val="000000" w:themeColor="text1"/>
          <w:highlight w:val="none"/>
        </w:rPr>
      </w:pPr>
    </w:p>
    <w:p>
      <w:pPr>
        <w:pStyle w:val="19"/>
        <w:rPr>
          <w:rFonts w:ascii="宋体" w:hAnsi="宋体"/>
          <w:b/>
          <w:color w:val="000000" w:themeColor="text1"/>
          <w:highlight w:val="none"/>
        </w:rPr>
      </w:pPr>
    </w:p>
    <w:p>
      <w:pPr>
        <w:rPr>
          <w:rFonts w:ascii="宋体" w:hAnsi="宋体"/>
          <w:b/>
          <w:color w:val="000000" w:themeColor="text1"/>
          <w:highlight w:val="none"/>
        </w:rPr>
      </w:pPr>
    </w:p>
    <w:p>
      <w:pPr>
        <w:pStyle w:val="19"/>
        <w:rPr>
          <w:rFonts w:ascii="宋体" w:hAnsi="宋体"/>
          <w:b/>
          <w:color w:val="000000" w:themeColor="text1"/>
          <w:highlight w:val="none"/>
        </w:rPr>
      </w:pPr>
    </w:p>
    <w:p>
      <w:pPr>
        <w:rPr>
          <w:rFonts w:ascii="宋体" w:hAnsi="宋体"/>
          <w:b/>
          <w:color w:val="000000" w:themeColor="text1"/>
          <w:highlight w:val="none"/>
        </w:rPr>
      </w:pPr>
    </w:p>
    <w:p>
      <w:pPr>
        <w:pStyle w:val="19"/>
        <w:rPr>
          <w:rFonts w:ascii="宋体" w:hAnsi="宋体"/>
          <w:b/>
          <w:color w:val="000000" w:themeColor="text1"/>
          <w:highlight w:val="none"/>
        </w:rPr>
      </w:pPr>
    </w:p>
    <w:p>
      <w:pPr>
        <w:rPr>
          <w:rFonts w:ascii="宋体" w:hAnsi="宋体"/>
          <w:b/>
          <w:color w:val="000000" w:themeColor="text1"/>
          <w:highlight w:val="none"/>
        </w:rPr>
      </w:pPr>
    </w:p>
    <w:p>
      <w:pPr>
        <w:pStyle w:val="19"/>
        <w:rPr>
          <w:rFonts w:ascii="宋体" w:hAnsi="宋体"/>
          <w:b/>
          <w:color w:val="000000" w:themeColor="text1"/>
          <w:highlight w:val="none"/>
        </w:rPr>
      </w:pPr>
    </w:p>
    <w:p>
      <w:pPr>
        <w:rPr>
          <w:rFonts w:ascii="宋体" w:hAnsi="宋体"/>
          <w:b/>
          <w:color w:val="000000" w:themeColor="text1"/>
          <w:highlight w:val="none"/>
        </w:rPr>
      </w:pPr>
    </w:p>
    <w:p>
      <w:pPr>
        <w:pStyle w:val="19"/>
        <w:rPr>
          <w:rFonts w:ascii="宋体" w:hAnsi="宋体"/>
          <w:b/>
          <w:color w:val="000000" w:themeColor="text1"/>
          <w:highlight w:val="none"/>
        </w:rPr>
      </w:pPr>
    </w:p>
    <w:p>
      <w:pPr>
        <w:rPr>
          <w:rFonts w:ascii="宋体" w:hAnsi="宋体"/>
          <w:b/>
          <w:color w:val="000000" w:themeColor="text1"/>
          <w:highlight w:val="none"/>
        </w:rPr>
      </w:pPr>
    </w:p>
    <w:p>
      <w:pPr>
        <w:pStyle w:val="19"/>
        <w:rPr>
          <w:rFonts w:ascii="宋体" w:hAnsi="宋体"/>
          <w:b/>
          <w:color w:val="000000" w:themeColor="text1"/>
          <w:highlight w:val="none"/>
        </w:rPr>
      </w:pPr>
    </w:p>
    <w:p>
      <w:pPr>
        <w:rPr>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both"/>
        <w:rPr>
          <w:rFonts w:ascii="宋体" w:hAnsi="宋体"/>
          <w:b/>
          <w:color w:val="000000" w:themeColor="text1"/>
          <w:highlight w:val="none"/>
        </w:rPr>
      </w:pPr>
    </w:p>
    <w:bookmarkEnd w:id="153"/>
    <w:bookmarkEnd w:id="154"/>
    <w:p>
      <w:pPr>
        <w:pStyle w:val="3"/>
        <w:numPr>
          <w:ilvl w:val="0"/>
          <w:numId w:val="0"/>
        </w:numPr>
        <w:rPr>
          <w:color w:val="000000" w:themeColor="text1"/>
          <w:sz w:val="24"/>
          <w:highlight w:val="none"/>
        </w:rPr>
      </w:pPr>
      <w:bookmarkStart w:id="170" w:name="_Toc500843104"/>
      <w:bookmarkStart w:id="171" w:name="_Toc9065"/>
      <w:bookmarkStart w:id="172" w:name="_Toc430771060"/>
      <w:bookmarkStart w:id="173" w:name="_Toc430185803"/>
      <w:r>
        <w:rPr>
          <w:rFonts w:hint="eastAsia"/>
          <w:color w:val="000000" w:themeColor="text1"/>
          <w:sz w:val="24"/>
          <w:highlight w:val="none"/>
        </w:rPr>
        <w:t>政府采购政策</w:t>
      </w:r>
      <w:bookmarkEnd w:id="170"/>
      <w:bookmarkEnd w:id="171"/>
    </w:p>
    <w:p>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2"/>
      <w:bookmarkEnd w:id="173"/>
      <w:r>
        <w:rPr>
          <w:rFonts w:hint="eastAsia"/>
          <w:color w:val="000000" w:themeColor="text1"/>
          <w:highlight w:val="none"/>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rPr>
      </w:pPr>
      <w:bookmarkStart w:id="174" w:name="_Toc430185804"/>
      <w:bookmarkStart w:id="175" w:name="_Toc430771061"/>
      <w:r>
        <w:rPr>
          <w:rFonts w:hint="eastAsia" w:ascii="宋体" w:hAnsi="宋体"/>
          <w:color w:val="000000" w:themeColor="text1"/>
          <w:highlight w:val="none"/>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rPr>
      </w:pPr>
      <w:bookmarkStart w:id="176" w:name="_Toc430185805"/>
      <w:bookmarkStart w:id="177"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pPr>
        <w:spacing w:line="360" w:lineRule="auto"/>
        <w:rPr>
          <w:rFonts w:ascii="宋体" w:hAnsi="宋体"/>
          <w:color w:val="000000" w:themeColor="text1"/>
          <w:highlight w:val="none"/>
        </w:rPr>
      </w:pPr>
      <w:bookmarkStart w:id="178" w:name="_Toc430771063"/>
      <w:bookmarkStart w:id="179" w:name="_Toc430185806"/>
      <w:r>
        <w:rPr>
          <w:rFonts w:hint="eastAsia" w:ascii="宋体" w:hAnsi="宋体"/>
          <w:color w:val="000000" w:themeColor="text1"/>
          <w:highlight w:val="none"/>
        </w:rPr>
        <w:t>4．</w:t>
      </w:r>
      <w:bookmarkEnd w:id="178"/>
      <w:bookmarkEnd w:id="179"/>
      <w:r>
        <w:rPr>
          <w:rFonts w:hint="eastAsia" w:ascii="宋体" w:hAnsi="宋体" w:eastAsia="宋体" w:cs="宋体"/>
          <w:color w:val="000000" w:themeColor="text1"/>
          <w:highlight w:val="none"/>
        </w:rPr>
        <w:t>根据《关于印发《政府采购促进中小企业发展管理方法》的通知》（财库[2020]46号）的规定，投标人投标时需注意：</w:t>
      </w:r>
    </w:p>
    <w:p>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4.2参加政府采购活动的中小企业投标时需提供《中小企业声明函》。否则不予认可。</w:t>
      </w:r>
    </w:p>
    <w:p>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w:t>
      </w:r>
      <w:r>
        <w:rPr>
          <w:rFonts w:ascii="宋体" w:hAnsi="宋体"/>
          <w:color w:val="000000" w:themeColor="text1"/>
          <w:highlight w:val="none"/>
        </w:rPr>
        <w:t xml:space="preserve"> </w:t>
      </w:r>
      <w:r>
        <w:rPr>
          <w:rFonts w:hint="eastAsia" w:ascii="宋体" w:hAnsi="宋体"/>
          <w:color w:val="000000" w:themeColor="text1"/>
          <w:highlight w:val="none"/>
        </w:rPr>
        <w:t>通知》，监狱企业视同小微企业。监狱企业是指由司法部认定的为罪犯、戒毒人员提供生产</w:t>
      </w:r>
      <w:r>
        <w:rPr>
          <w:rFonts w:ascii="宋体" w:hAnsi="宋体"/>
          <w:color w:val="000000" w:themeColor="text1"/>
          <w:highlight w:val="none"/>
        </w:rPr>
        <w:t xml:space="preserve"> </w:t>
      </w:r>
      <w:r>
        <w:rPr>
          <w:rFonts w:hint="eastAsia" w:ascii="宋体" w:hAnsi="宋体"/>
          <w:color w:val="000000" w:themeColor="text1"/>
          <w:highlight w:val="none"/>
        </w:rPr>
        <w:t>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w:t>
      </w:r>
      <w:r>
        <w:rPr>
          <w:rFonts w:ascii="宋体" w:hAnsi="宋体"/>
          <w:color w:val="000000" w:themeColor="text1"/>
          <w:highlight w:val="none"/>
        </w:rPr>
        <w:t xml:space="preserve"> </w:t>
      </w:r>
      <w:r>
        <w:rPr>
          <w:rFonts w:hint="eastAsia" w:ascii="宋体" w:hAnsi="宋体"/>
          <w:color w:val="000000" w:themeColor="text1"/>
          <w:highlight w:val="none"/>
        </w:rPr>
        <w:t>戒毒康复所，以及新疆生产建设兵团监狱管理局、戒毒管理局的企业。监狱企业投标时，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w:t>
      </w:r>
      <w:r>
        <w:rPr>
          <w:rFonts w:hint="eastAsia" w:ascii="宋体" w:hAnsi="宋体" w:eastAsia="宋体" w:cs="宋体"/>
          <w:bCs/>
          <w:color w:val="000000" w:themeColor="text1"/>
          <w:highlight w:val="none"/>
          <w:lang w:val="en-US" w:eastAsia="zh-CN"/>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rPr>
              <w:t>-</w:t>
            </w:r>
            <w:r>
              <w:rPr>
                <w:rFonts w:hint="eastAsia" w:ascii="宋体" w:hAnsi="宋体"/>
                <w:color w:val="000000" w:themeColor="text1"/>
                <w:highlight w:val="none"/>
              </w:rPr>
              <w:t>小型和微型企业产品的价格×</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w:t>
            </w:r>
            <w:r>
              <w:rPr>
                <w:rFonts w:hint="eastAsia" w:ascii="宋体" w:hAnsi="宋体"/>
                <w:color w:val="000000" w:themeColor="text1"/>
                <w:highlight w:val="none"/>
                <w:lang w:val="en-US" w:eastAsia="zh-CN"/>
              </w:rPr>
              <w:t>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u w:val="single"/>
              </w:rPr>
              <w:t>1-</w:t>
            </w:r>
            <w:r>
              <w:rPr>
                <w:rFonts w:hint="eastAsia" w:ascii="宋体" w:hAnsi="宋体"/>
                <w:color w:val="000000" w:themeColor="text1"/>
                <w:highlight w:val="none"/>
                <w:u w:val="single"/>
                <w:lang w:val="en-US" w:eastAsia="zh-CN"/>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pPr>
        <w:spacing w:line="360" w:lineRule="auto"/>
        <w:rPr>
          <w:rFonts w:ascii="宋体" w:hAnsi="宋体"/>
          <w:color w:val="000000" w:themeColor="text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2"/>
        <w:numPr>
          <w:ilvl w:val="0"/>
          <w:numId w:val="0"/>
        </w:numPr>
        <w:spacing w:beforeLines="0"/>
        <w:rPr>
          <w:rFonts w:ascii="宋体" w:hAnsi="宋体" w:eastAsia="宋体"/>
          <w:b/>
          <w:color w:val="000000" w:themeColor="text1"/>
          <w:highlight w:val="none"/>
        </w:rPr>
      </w:pPr>
      <w:bookmarkStart w:id="180" w:name="_Hlt21939000"/>
      <w:bookmarkEnd w:id="180"/>
      <w:bookmarkStart w:id="181" w:name="_Toc349143598"/>
      <w:bookmarkStart w:id="182" w:name="_Toc339020242"/>
      <w:bookmarkStart w:id="183" w:name="_Toc333935355"/>
      <w:bookmarkStart w:id="184" w:name="_Toc365985187"/>
      <w:bookmarkStart w:id="185" w:name="_Toc336681944"/>
      <w:bookmarkStart w:id="186" w:name="_Toc366072538"/>
      <w:bookmarkStart w:id="187" w:name="_Toc345513910"/>
      <w:bookmarkStart w:id="188" w:name="_Toc349127635"/>
      <w:bookmarkStart w:id="189" w:name="_Toc374454610"/>
      <w:bookmarkStart w:id="190" w:name="_Toc339362309"/>
      <w:bookmarkStart w:id="191" w:name="_Toc340672878"/>
      <w:bookmarkStart w:id="192" w:name="_Toc332270355"/>
      <w:bookmarkStart w:id="193" w:name="_Toc365967081"/>
      <w:bookmarkStart w:id="194" w:name="_Toc339020024"/>
      <w:bookmarkStart w:id="195" w:name="_Toc350756459"/>
      <w:bookmarkStart w:id="196" w:name="_Toc341348347"/>
      <w:bookmarkStart w:id="197" w:name="_Toc331684047"/>
      <w:bookmarkStart w:id="198" w:name="_Toc350438758"/>
      <w:bookmarkStart w:id="199" w:name="_Toc339020104"/>
      <w:bookmarkStart w:id="200" w:name="_Toc330459994"/>
      <w:bookmarkStart w:id="201" w:name="_Toc340677079"/>
      <w:bookmarkStart w:id="202" w:name="_Toc337632367"/>
      <w:bookmarkStart w:id="203" w:name="_Toc333238642"/>
      <w:bookmarkStart w:id="204" w:name="_Toc340507451"/>
      <w:bookmarkStart w:id="205" w:name="_Toc336681589"/>
      <w:bookmarkStart w:id="206" w:name="_Toc339019898"/>
      <w:bookmarkStart w:id="207" w:name="_Toc342060383"/>
      <w:bookmarkStart w:id="208" w:name="_Toc333237797"/>
      <w:bookmarkStart w:id="209" w:name="_Toc339441096"/>
      <w:bookmarkStart w:id="210" w:name="_Toc332206717"/>
      <w:bookmarkStart w:id="211" w:name="_Toc333935696"/>
      <w:bookmarkStart w:id="212" w:name="_Toc342296769"/>
      <w:bookmarkStart w:id="213" w:name="_Toc331512907"/>
      <w:bookmarkStart w:id="214" w:name="_Toc333237686"/>
      <w:bookmarkStart w:id="215" w:name="_Toc27736"/>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pPr>
        <w:spacing w:line="360" w:lineRule="auto"/>
        <w:ind w:firstLine="420" w:firstLineChars="200"/>
        <w:rPr>
          <w:rFonts w:ascii="宋体" w:hAnsi="宋体"/>
          <w:bCs/>
          <w:color w:val="000000" w:themeColor="text1"/>
          <w:highlight w:val="none"/>
        </w:rPr>
      </w:pPr>
      <w:bookmarkStart w:id="217" w:name="_Toc333237798"/>
      <w:bookmarkStart w:id="218" w:name="_Toc340672879"/>
      <w:bookmarkStart w:id="219" w:name="_Toc349143599"/>
      <w:bookmarkStart w:id="220" w:name="_Toc339362310"/>
      <w:bookmarkStart w:id="221" w:name="_Toc339020243"/>
      <w:bookmarkStart w:id="222" w:name="_Toc340507452"/>
      <w:bookmarkStart w:id="223" w:name="_Toc336681945"/>
      <w:bookmarkStart w:id="224" w:name="_Toc332206718"/>
      <w:bookmarkStart w:id="225" w:name="_Toc342060384"/>
      <w:bookmarkStart w:id="226" w:name="_Toc330459995"/>
      <w:bookmarkStart w:id="227" w:name="_Toc337632368"/>
      <w:bookmarkStart w:id="228" w:name="_Toc342296770"/>
      <w:bookmarkStart w:id="229" w:name="_Toc331512908"/>
      <w:bookmarkStart w:id="230" w:name="_Toc333238643"/>
      <w:bookmarkStart w:id="231" w:name="_Toc366072539"/>
      <w:bookmarkStart w:id="232" w:name="_Toc333935697"/>
      <w:bookmarkStart w:id="233" w:name="_Toc350438759"/>
      <w:bookmarkStart w:id="234" w:name="_Toc365985188"/>
      <w:bookmarkStart w:id="235" w:name="_Toc341348348"/>
      <w:bookmarkStart w:id="236" w:name="_Toc333935356"/>
      <w:bookmarkStart w:id="237" w:name="_Toc491658678"/>
      <w:bookmarkStart w:id="238" w:name="_Toc345513911"/>
      <w:bookmarkStart w:id="239" w:name="_Toc500861025"/>
      <w:bookmarkStart w:id="240" w:name="_Toc331684048"/>
      <w:bookmarkStart w:id="241" w:name="_Toc339019899"/>
      <w:bookmarkStart w:id="242" w:name="_Toc340677080"/>
      <w:bookmarkStart w:id="243" w:name="_Toc339441097"/>
      <w:bookmarkStart w:id="244" w:name="_Toc365967082"/>
      <w:bookmarkStart w:id="245" w:name="_Toc339020105"/>
      <w:bookmarkStart w:id="246" w:name="_Toc350756460"/>
      <w:bookmarkStart w:id="247" w:name="_Toc332270356"/>
      <w:bookmarkStart w:id="248" w:name="_Toc336681590"/>
      <w:bookmarkStart w:id="249" w:name="_Toc339020025"/>
      <w:bookmarkStart w:id="250" w:name="_Toc349127636"/>
      <w:bookmarkStart w:id="251" w:name="_Toc333237687"/>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24"/>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pPr>
        <w:numPr>
          <w:ilvl w:val="6"/>
          <w:numId w:val="24"/>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25"/>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25"/>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rPr>
      </w:pP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360" w:lineRule="auto"/>
        <w:ind w:left="752" w:leftChars="358" w:firstLine="420"/>
        <w:rPr>
          <w:rFonts w:ascii="宋体" w:hAnsi="宋体"/>
          <w:bCs/>
          <w:color w:val="000000" w:themeColor="text1"/>
          <w:szCs w:val="21"/>
          <w:highlight w:val="none"/>
        </w:rPr>
      </w:pPr>
    </w:p>
    <w:p>
      <w:pPr>
        <w:spacing w:line="360" w:lineRule="auto"/>
        <w:ind w:left="752" w:leftChars="358" w:firstLine="420"/>
        <w:rPr>
          <w:rFonts w:ascii="宋体" w:hAnsi="宋体"/>
          <w:bCs/>
          <w:color w:val="000000" w:themeColor="text1"/>
          <w:szCs w:val="21"/>
          <w:highlight w:val="none"/>
        </w:rPr>
      </w:pP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eastAsia="宋体"/>
          <w:color w:val="000000" w:themeColor="text1"/>
          <w:highlight w:val="none"/>
          <w:lang w:val="en-US" w:eastAsia="zh-CN"/>
        </w:rPr>
      </w:pPr>
    </w:p>
    <w:p>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pPr>
        <w:pStyle w:val="2"/>
        <w:numPr>
          <w:ilvl w:val="0"/>
          <w:numId w:val="0"/>
        </w:numPr>
        <w:spacing w:beforeLines="0"/>
        <w:rPr>
          <w:rFonts w:ascii="宋体" w:hAnsi="宋体" w:eastAsia="宋体"/>
          <w:b/>
          <w:color w:val="000000" w:themeColor="text1"/>
          <w:highlight w:val="none"/>
        </w:rPr>
      </w:pPr>
      <w:bookmarkStart w:id="252" w:name="_Toc17059"/>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rPr>
      </w:pPr>
    </w:p>
    <w:p>
      <w:pPr>
        <w:pStyle w:val="3"/>
        <w:numPr>
          <w:ilvl w:val="1"/>
          <w:numId w:val="0"/>
        </w:numPr>
        <w:rPr>
          <w:rFonts w:ascii="宋体" w:hAnsi="宋体"/>
          <w:color w:val="000000" w:themeColor="text1"/>
          <w:sz w:val="24"/>
          <w:highlight w:val="none"/>
        </w:rPr>
      </w:pPr>
      <w:bookmarkStart w:id="255" w:name="_Toc339020244"/>
      <w:bookmarkStart w:id="256" w:name="_Toc340677081"/>
      <w:bookmarkStart w:id="257" w:name="_Toc341348349"/>
      <w:bookmarkStart w:id="258" w:name="_Toc337632369"/>
      <w:bookmarkStart w:id="259" w:name="_Toc330459996"/>
      <w:bookmarkStart w:id="260" w:name="_Toc350438760"/>
      <w:bookmarkStart w:id="261" w:name="_Toc340672880"/>
      <w:bookmarkStart w:id="262" w:name="_Toc333935698"/>
      <w:bookmarkStart w:id="263" w:name="_Toc333238644"/>
      <w:bookmarkStart w:id="264" w:name="_Toc350756461"/>
      <w:bookmarkStart w:id="265" w:name="_Toc349143600"/>
      <w:bookmarkStart w:id="266" w:name="_Toc331684049"/>
      <w:bookmarkStart w:id="267" w:name="_Toc333935357"/>
      <w:bookmarkStart w:id="268" w:name="_Toc342296771"/>
      <w:bookmarkStart w:id="269" w:name="_Toc332270357"/>
      <w:bookmarkStart w:id="270" w:name="_Toc342060385"/>
      <w:bookmarkStart w:id="271" w:name="_Toc339020026"/>
      <w:bookmarkStart w:id="272" w:name="_Toc339441098"/>
      <w:bookmarkStart w:id="273" w:name="_Toc336681946"/>
      <w:bookmarkStart w:id="274" w:name="_Toc365967083"/>
      <w:bookmarkStart w:id="275" w:name="_Toc349127637"/>
      <w:bookmarkStart w:id="276" w:name="_Toc331512909"/>
      <w:bookmarkStart w:id="277" w:name="_Toc336681591"/>
      <w:bookmarkStart w:id="278" w:name="_Toc340507453"/>
      <w:bookmarkStart w:id="279" w:name="_Toc365985189"/>
      <w:bookmarkStart w:id="280" w:name="_Toc332206719"/>
      <w:bookmarkStart w:id="281" w:name="_Toc366072540"/>
      <w:bookmarkStart w:id="282" w:name="_Toc333237799"/>
      <w:bookmarkStart w:id="283" w:name="_Toc25904"/>
      <w:bookmarkStart w:id="284" w:name="_Toc339019900"/>
      <w:bookmarkStart w:id="285" w:name="_Toc339020106"/>
      <w:bookmarkStart w:id="286" w:name="_Toc339362311"/>
      <w:bookmarkStart w:id="287" w:name="_Toc333237688"/>
      <w:bookmarkStart w:id="288" w:name="_Toc345513912"/>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rPr>
        <w:t xml:space="preserve"> </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YXCG-20231220</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9011"/>
      <w:r>
        <w:rPr>
          <w:rFonts w:hint="eastAsia" w:ascii="宋体" w:hAnsi="宋体"/>
          <w:b w:val="0"/>
          <w:color w:val="000000" w:themeColor="text1"/>
          <w:sz w:val="24"/>
          <w:highlight w:val="none"/>
        </w:rPr>
        <w:t>自查表</w:t>
      </w:r>
      <w:bookmarkEnd w:id="289"/>
    </w:p>
    <w:p>
      <w:pPr>
        <w:pStyle w:val="3"/>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30300"/>
      <w:bookmarkStart w:id="291" w:name="_Toc18086"/>
      <w:bookmarkStart w:id="292" w:name="_Toc31777"/>
      <w:r>
        <w:rPr>
          <w:rFonts w:hint="eastAsia" w:ascii="宋体"/>
          <w:bCs w:val="0"/>
          <w:color w:val="000000" w:themeColor="text1"/>
          <w:szCs w:val="21"/>
          <w:highlight w:val="none"/>
        </w:rPr>
        <w:t>1.1  资格性/符合性自查表</w:t>
      </w:r>
      <w:bookmarkEnd w:id="290"/>
      <w:bookmarkEnd w:id="291"/>
      <w:bookmarkEnd w:id="292"/>
    </w:p>
    <w:p>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989"/>
        <w:gridCol w:w="2773"/>
        <w:gridCol w:w="168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8"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773"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磋商</w:t>
            </w:r>
            <w:r>
              <w:rPr>
                <w:rFonts w:hint="eastAsia" w:ascii="宋体" w:hAnsi="宋体"/>
                <w:b/>
                <w:bCs/>
                <w:color w:val="000000" w:themeColor="text1"/>
                <w:szCs w:val="21"/>
                <w:highlight w:val="none"/>
              </w:rPr>
              <w:t>文件要求</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989" w:type="dxa"/>
            <w:vMerge w:val="restart"/>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77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w:t>
            </w:r>
            <w:r>
              <w:rPr>
                <w:rFonts w:hint="eastAsia" w:ascii="宋体" w:hAnsi="宋体"/>
                <w:color w:val="000000" w:themeColor="text1"/>
                <w:szCs w:val="21"/>
                <w:highlight w:val="none"/>
              </w:rPr>
              <w:t>磋商响应</w:t>
            </w:r>
            <w:r>
              <w:rPr>
                <w:rFonts w:hint="eastAsia" w:ascii="宋体" w:hAnsi="宋体"/>
                <w:b/>
                <w:color w:val="000000" w:themeColor="text1"/>
                <w:szCs w:val="21"/>
                <w:highlight w:val="none"/>
              </w:rPr>
              <w:t>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8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989" w:type="dxa"/>
            <w:vMerge w:val="continue"/>
            <w:vAlign w:val="center"/>
          </w:tcPr>
          <w:p>
            <w:pPr>
              <w:tabs>
                <w:tab w:val="left" w:pos="146"/>
              </w:tabs>
              <w:ind w:left="146"/>
              <w:rPr>
                <w:rFonts w:ascii="宋体" w:hAnsi="宋体"/>
                <w:color w:val="000000" w:themeColor="text1"/>
                <w:szCs w:val="21"/>
                <w:highlight w:val="none"/>
              </w:rPr>
            </w:pPr>
          </w:p>
        </w:tc>
        <w:tc>
          <w:tcPr>
            <w:tcW w:w="2773" w:type="dxa"/>
            <w:vAlign w:val="center"/>
          </w:tcPr>
          <w:p>
            <w:pPr>
              <w:tabs>
                <w:tab w:val="left" w:pos="0"/>
              </w:tabs>
              <w:rPr>
                <w:rFonts w:ascii="宋体" w:hAnsi="宋体"/>
                <w:color w:val="000000" w:themeColor="text1"/>
                <w:szCs w:val="21"/>
                <w:highlight w:val="none"/>
              </w:rPr>
            </w:pPr>
            <w:r>
              <w:rPr>
                <w:rFonts w:hint="eastAsia" w:ascii="宋体" w:hAnsi="宋体" w:cs="宋体"/>
                <w:b w:val="0"/>
                <w:i w:val="0"/>
                <w:color w:val="000000" w:themeColor="text1"/>
                <w:spacing w:val="0"/>
                <w:w w:val="100"/>
                <w:sz w:val="21"/>
                <w:szCs w:val="21"/>
                <w:highlight w:val="none"/>
                <w:lang w:val="en-US" w:eastAsia="zh-CN"/>
              </w:rPr>
              <w:t>投标人</w:t>
            </w:r>
            <w:r>
              <w:rPr>
                <w:rFonts w:hint="eastAsia"/>
                <w:color w:val="000000" w:themeColor="text1"/>
                <w:highlight w:val="none"/>
                <w:lang w:val="en-US" w:eastAsia="zh-CN"/>
              </w:rPr>
              <w:t>具有效的《人力资源服务许可证》</w:t>
            </w:r>
          </w:p>
        </w:tc>
        <w:tc>
          <w:tcPr>
            <w:tcW w:w="1682"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89"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989"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服务期</w:t>
            </w:r>
            <w:r>
              <w:rPr>
                <w:rFonts w:hint="eastAsia" w:ascii="宋体" w:hAnsi="宋体"/>
                <w:color w:val="000000" w:themeColor="text1"/>
                <w:szCs w:val="21"/>
                <w:highlight w:val="none"/>
              </w:rPr>
              <w:t>须满足要求</w:t>
            </w:r>
          </w:p>
        </w:tc>
        <w:tc>
          <w:tcPr>
            <w:tcW w:w="277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989"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77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989"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77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989" w:type="dxa"/>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77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989"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77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3"/>
        <w:numPr>
          <w:ilvl w:val="1"/>
          <w:numId w:val="0"/>
        </w:numPr>
        <w:spacing w:line="360" w:lineRule="auto"/>
        <w:rPr>
          <w:rFonts w:ascii="宋体" w:hAnsi="宋体"/>
          <w:color w:val="000000" w:themeColor="text1"/>
          <w:highlight w:val="none"/>
        </w:rPr>
      </w:pPr>
      <w:bookmarkStart w:id="293" w:name="_Toc200414515"/>
      <w:bookmarkStart w:id="294" w:name="_Toc469160785"/>
      <w:bookmarkStart w:id="295" w:name="_Toc6840"/>
      <w:r>
        <w:rPr>
          <w:rFonts w:hint="eastAsia" w:ascii="宋体" w:hAnsi="宋体"/>
          <w:color w:val="000000" w:themeColor="text1"/>
          <w:sz w:val="28"/>
          <w:szCs w:val="28"/>
          <w:highlight w:val="none"/>
        </w:rPr>
        <w:t>（一）无重大违法记录声明函</w:t>
      </w:r>
      <w:bookmarkEnd w:id="293"/>
      <w:bookmarkEnd w:id="294"/>
      <w:bookmarkEnd w:id="29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3"/>
        <w:numPr>
          <w:ilvl w:val="1"/>
          <w:numId w:val="0"/>
        </w:numPr>
        <w:spacing w:line="360" w:lineRule="auto"/>
        <w:rPr>
          <w:rFonts w:ascii="宋体" w:hAnsi="宋体"/>
          <w:color w:val="000000" w:themeColor="text1"/>
          <w:kern w:val="0"/>
          <w:sz w:val="28"/>
          <w:szCs w:val="28"/>
          <w:highlight w:val="none"/>
        </w:rPr>
      </w:pPr>
      <w:bookmarkStart w:id="296" w:name="_Toc17355"/>
      <w:bookmarkStart w:id="297" w:name="_Toc469160786"/>
      <w:bookmarkStart w:id="298" w:name="_Toc200414516"/>
      <w:r>
        <w:rPr>
          <w:rFonts w:hint="eastAsia" w:ascii="宋体" w:hAnsi="宋体"/>
          <w:color w:val="000000" w:themeColor="text1"/>
          <w:kern w:val="0"/>
          <w:sz w:val="28"/>
          <w:szCs w:val="28"/>
          <w:highlight w:val="none"/>
        </w:rPr>
        <w:t>（二）法定代表人（负责人）证明书</w:t>
      </w:r>
      <w:bookmarkEnd w:id="296"/>
      <w:bookmarkEnd w:id="297"/>
      <w:bookmarkEnd w:id="298"/>
    </w:p>
    <w:p>
      <w:pPr>
        <w:pStyle w:val="5"/>
        <w:spacing w:line="360" w:lineRule="auto"/>
        <w:rPr>
          <w:rFonts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299" w:name="_Toc469160787"/>
      <w:bookmarkStart w:id="300" w:name="_Toc200414517"/>
      <w:bookmarkStart w:id="301" w:name="_Toc30475"/>
      <w:r>
        <w:rPr>
          <w:rFonts w:hint="eastAsia" w:ascii="宋体" w:hAnsi="宋体"/>
          <w:color w:val="000000" w:themeColor="text1"/>
          <w:sz w:val="28"/>
          <w:szCs w:val="28"/>
          <w:highlight w:val="none"/>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302" w:name="_Toc200414523"/>
      <w:bookmarkStart w:id="303" w:name="_Toc469160793"/>
      <w:bookmarkStart w:id="304" w:name="_Toc16144"/>
      <w:r>
        <w:rPr>
          <w:rFonts w:hint="eastAsia" w:ascii="宋体" w:hAnsi="宋体"/>
          <w:color w:val="000000" w:themeColor="text1"/>
          <w:sz w:val="28"/>
          <w:szCs w:val="28"/>
          <w:highlight w:val="none"/>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p>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200414524"/>
      <w:bookmarkStart w:id="306" w:name="_Toc469160794"/>
      <w:bookmarkStart w:id="307" w:name="_Toc14887"/>
      <w:r>
        <w:rPr>
          <w:rFonts w:hint="eastAsia" w:ascii="宋体" w:hAnsi="宋体"/>
          <w:color w:val="000000" w:themeColor="text1"/>
          <w:sz w:val="28"/>
          <w:szCs w:val="28"/>
          <w:highlight w:val="none"/>
        </w:rPr>
        <w:t>第二章  磋商响应文件商务及技术部分</w:t>
      </w:r>
      <w:bookmarkEnd w:id="305"/>
      <w:bookmarkEnd w:id="306"/>
      <w:bookmarkEnd w:id="307"/>
    </w:p>
    <w:p>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9759"/>
      <w:bookmarkStart w:id="309" w:name="_Toc469160795"/>
      <w:bookmarkStart w:id="310" w:name="_Toc200414525"/>
      <w:r>
        <w:rPr>
          <w:rFonts w:hint="eastAsia" w:ascii="宋体" w:hAnsi="宋体"/>
          <w:color w:val="000000" w:themeColor="text1"/>
          <w:sz w:val="28"/>
          <w:szCs w:val="28"/>
          <w:highlight w:val="none"/>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本次投标所报内容完全按照磋商文件要求填报，所有内容都是真实、准确的。</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本次投标自递交磋商响应文件截止之日起有效期为90天。</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如果在规定的递交磋商响应文件截止之日后，供应商在投标有效期内撤回投标，投标保证金将被贵方没收。</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2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3"/>
        <w:numPr>
          <w:ilvl w:val="1"/>
          <w:numId w:val="0"/>
        </w:numPr>
        <w:spacing w:line="360" w:lineRule="auto"/>
        <w:rPr>
          <w:rFonts w:ascii="宋体" w:hAnsi="宋体"/>
          <w:color w:val="000000" w:themeColor="text1"/>
          <w:sz w:val="28"/>
          <w:szCs w:val="28"/>
          <w:highlight w:val="none"/>
        </w:rPr>
      </w:pPr>
      <w:bookmarkStart w:id="311" w:name="_Toc1644"/>
      <w:bookmarkStart w:id="312" w:name="_Toc200414526"/>
      <w:bookmarkStart w:id="313" w:name="_Toc469160796"/>
      <w:r>
        <w:rPr>
          <w:rFonts w:hint="eastAsia" w:ascii="宋体" w:hAnsi="宋体"/>
          <w:color w:val="000000" w:themeColor="text1"/>
          <w:sz w:val="28"/>
          <w:szCs w:val="28"/>
          <w:highlight w:val="none"/>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YXCG-20231220</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阳江市人才驿站日常运营服务项目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元/人/科</w:t>
            </w:r>
            <w:r>
              <w:rPr>
                <w:rFonts w:hint="eastAsia" w:ascii="宋体" w:hAnsi="宋体"/>
                <w:bCs/>
                <w:color w:val="000000" w:themeColor="text1"/>
                <w:szCs w:val="21"/>
                <w:highlight w:val="none"/>
              </w:rPr>
              <w:t>）</w:t>
            </w:r>
          </w:p>
        </w:tc>
        <w:tc>
          <w:tcPr>
            <w:tcW w:w="1501"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2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2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360" w:lineRule="auto"/>
        <w:rPr>
          <w:rFonts w:ascii="宋体" w:hAnsi="宋体"/>
          <w:bCs/>
          <w:color w:val="000000" w:themeColor="text1"/>
          <w:highlight w:val="none"/>
          <w:u w:val="singl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rPr>
      </w:pPr>
      <w:bookmarkStart w:id="314" w:name="_Toc469160798"/>
      <w:bookmarkStart w:id="315" w:name="_Toc200414528"/>
      <w:bookmarkStart w:id="316" w:name="_Toc1301"/>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三</w:t>
      </w:r>
      <w:r>
        <w:rPr>
          <w:rFonts w:hint="eastAsia" w:ascii="宋体" w:hAnsi="宋体"/>
          <w:color w:val="000000" w:themeColor="text1"/>
          <w:sz w:val="28"/>
          <w:szCs w:val="28"/>
          <w:highlight w:val="none"/>
        </w:rPr>
        <w:t>：商务条款偏离一览表</w:t>
      </w:r>
      <w:bookmarkEnd w:id="314"/>
      <w:bookmarkEnd w:id="315"/>
      <w:bookmarkEnd w:id="316"/>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YXCG-20231220</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阳江市人才驿站日常运营服务项目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rPr>
      </w:pPr>
      <w:bookmarkStart w:id="317" w:name="_Toc17882"/>
      <w:bookmarkStart w:id="318" w:name="_Toc469160799"/>
      <w:bookmarkStart w:id="319" w:name="_Toc20041452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：技术条款偏离一览表</w:t>
      </w:r>
      <w:bookmarkEnd w:id="317"/>
      <w:bookmarkEnd w:id="318"/>
      <w:bookmarkEnd w:id="319"/>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YXCG-20231220</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阳江市人才驿站日常运营服务项目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ind w:firstLine="0"/>
        <w:rPr>
          <w:rFonts w:hAnsi="宋体"/>
          <w:bCs/>
          <w:color w:val="000000" w:themeColor="text1"/>
          <w:szCs w:val="21"/>
          <w:highlight w:val="none"/>
        </w:rPr>
      </w:pPr>
    </w:p>
    <w:p>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20" w:name="_Toc15101"/>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：同类业绩一览表</w:t>
      </w:r>
      <w:bookmarkEnd w:id="320"/>
    </w:p>
    <w:p>
      <w:pPr>
        <w:pStyle w:val="5"/>
        <w:rPr>
          <w:color w:val="000000" w:themeColor="text1"/>
          <w:highlight w:val="none"/>
        </w:rPr>
      </w:pPr>
    </w:p>
    <w:p>
      <w:pPr>
        <w:pStyle w:val="5"/>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YXCG-20231220</w:t>
      </w:r>
      <w:r>
        <w:rPr>
          <w:rFonts w:hint="eastAsia"/>
          <w:b/>
          <w:bCs/>
          <w:color w:val="000000" w:themeColor="text1"/>
          <w:sz w:val="21"/>
          <w:szCs w:val="21"/>
          <w:highlight w:val="none"/>
        </w:rPr>
        <w:t xml:space="preserve">  </w:t>
      </w:r>
    </w:p>
    <w:p>
      <w:pPr>
        <w:pStyle w:val="5"/>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阳江市人才驿站日常运营服务项目</w:t>
      </w:r>
    </w:p>
    <w:p>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3"/>
        <w:numPr>
          <w:ilvl w:val="0"/>
          <w:numId w:val="0"/>
        </w:numPr>
        <w:spacing w:line="400" w:lineRule="exact"/>
        <w:rPr>
          <w:rFonts w:hAnsi="黑体" w:cs="黑体"/>
          <w:color w:val="000000" w:themeColor="text1"/>
          <w:sz w:val="28"/>
          <w:szCs w:val="28"/>
          <w:highlight w:val="none"/>
        </w:rPr>
      </w:pPr>
      <w:bookmarkStart w:id="321" w:name="_Toc11866431"/>
      <w:bookmarkStart w:id="322" w:name="_Toc11866689"/>
      <w:bookmarkStart w:id="323" w:name="_Toc432695229"/>
      <w:bookmarkStart w:id="324" w:name="_Toc7149"/>
      <w:bookmarkStart w:id="325" w:name="_Toc430771089"/>
      <w:bookmarkStart w:id="326" w:name="_Toc432682754"/>
      <w:bookmarkStart w:id="327" w:name="_Toc11314"/>
      <w:bookmarkStart w:id="328" w:name="_Toc331512931"/>
      <w:bookmarkStart w:id="329" w:name="_Toc333238664"/>
      <w:bookmarkStart w:id="330" w:name="_Toc342060405"/>
      <w:bookmarkStart w:id="331" w:name="_Toc345312627"/>
      <w:bookmarkStart w:id="332" w:name="_Toc339441117"/>
      <w:bookmarkStart w:id="333" w:name="_Toc336681610"/>
      <w:bookmarkStart w:id="334" w:name="_Toc342398160"/>
      <w:bookmarkStart w:id="335" w:name="_Toc342312473"/>
      <w:bookmarkStart w:id="336" w:name="_Toc365985211"/>
      <w:bookmarkStart w:id="337" w:name="_Toc350756480"/>
      <w:bookmarkStart w:id="338" w:name="_Toc332270377"/>
      <w:bookmarkStart w:id="339" w:name="_Toc333237819"/>
      <w:bookmarkStart w:id="340" w:name="_Toc343248448"/>
      <w:bookmarkStart w:id="341" w:name="_Toc333237708"/>
      <w:bookmarkStart w:id="342" w:name="_Toc340677100"/>
      <w:bookmarkStart w:id="343" w:name="_Toc342296791"/>
      <w:bookmarkStart w:id="344" w:name="_Toc340672899"/>
      <w:bookmarkStart w:id="345" w:name="_Toc343247130"/>
      <w:bookmarkStart w:id="346" w:name="_Toc339020045"/>
      <w:bookmarkStart w:id="347" w:name="_Toc365967105"/>
      <w:bookmarkStart w:id="348" w:name="_Toc339020263"/>
      <w:bookmarkStart w:id="349" w:name="_Toc366072562"/>
      <w:bookmarkStart w:id="350" w:name="_Toc339019919"/>
      <w:bookmarkStart w:id="351" w:name="_Toc337632388"/>
      <w:bookmarkStart w:id="352" w:name="_Toc340507472"/>
      <w:bookmarkStart w:id="353" w:name="_Toc343612950"/>
      <w:bookmarkStart w:id="354" w:name="_Toc333935717"/>
      <w:bookmarkStart w:id="355" w:name="_Toc333935376"/>
      <w:bookmarkStart w:id="356" w:name="_Toc102451601"/>
      <w:bookmarkStart w:id="357" w:name="_Toc330460016"/>
      <w:bookmarkStart w:id="358" w:name="_Toc350438779"/>
      <w:bookmarkStart w:id="359" w:name="_Toc331684072"/>
      <w:bookmarkStart w:id="360" w:name="_Toc332206739"/>
      <w:bookmarkStart w:id="361" w:name="_Toc339362330"/>
      <w:bookmarkStart w:id="362" w:name="_Toc336681965"/>
      <w:bookmarkStart w:id="363" w:name="_Toc341348370"/>
      <w:bookmarkStart w:id="364" w:name="_Toc339020125"/>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spacing w:line="440" w:lineRule="exact"/>
        <w:rPr>
          <w:rFonts w:ascii="宋体"/>
          <w:color w:val="000000" w:themeColor="text1"/>
          <w:highlight w:val="none"/>
        </w:rPr>
      </w:pPr>
      <w:r>
        <w:rPr>
          <w:rFonts w:hint="eastAsia" w:ascii="宋体" w:hAnsi="宋体"/>
          <w:bCs/>
          <w:color w:val="000000" w:themeColor="text1"/>
          <w:szCs w:val="21"/>
          <w:highlight w:val="none"/>
        </w:rPr>
        <w:t>日期：年月日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65" w:name="_Toc16875"/>
      <w:bookmarkStart w:id="366" w:name="_Toc11866432"/>
      <w:bookmarkStart w:id="367" w:name="_Toc32373"/>
      <w:bookmarkStart w:id="368" w:name="_Toc11866690"/>
      <w:bookmarkStart w:id="369" w:name="_Toc20242"/>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pStyle w:val="5"/>
        <w:ind w:firstLine="0"/>
        <w:rPr>
          <w:color w:val="000000" w:themeColor="text1"/>
          <w:highlight w:val="none"/>
        </w:rPr>
      </w:pPr>
      <w:r>
        <w:rPr>
          <w:rFonts w:hint="eastAsia" w:hAnsi="宋体"/>
          <w:bCs/>
          <w:color w:val="000000" w:themeColor="text1"/>
          <w:sz w:val="21"/>
          <w:szCs w:val="21"/>
          <w:highlight w:val="none"/>
        </w:rPr>
        <w:t>日期：年月日</w:t>
      </w:r>
    </w:p>
    <w:p>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highlight w:val="none"/>
        </w:rPr>
      </w:pPr>
      <w:bookmarkStart w:id="370" w:name="_Toc200414534"/>
      <w:bookmarkStart w:id="371" w:name="_Toc29478"/>
      <w:bookmarkStart w:id="372" w:name="_Toc469160804"/>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八</w:t>
      </w:r>
      <w:r>
        <w:rPr>
          <w:rFonts w:hint="eastAsia" w:ascii="宋体" w:hAnsi="宋体"/>
          <w:color w:val="000000" w:themeColor="text1"/>
          <w:sz w:val="28"/>
          <w:szCs w:val="28"/>
          <w:highlight w:val="none"/>
        </w:rPr>
        <w:t>：成交服务费承诺</w:t>
      </w:r>
      <w:bookmarkEnd w:id="370"/>
      <w:bookmarkEnd w:id="371"/>
      <w:bookmarkEnd w:id="372"/>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3"/>
        <w:numPr>
          <w:ilvl w:val="1"/>
          <w:numId w:val="0"/>
        </w:numPr>
        <w:spacing w:line="360" w:lineRule="auto"/>
        <w:rPr>
          <w:rFonts w:ascii="宋体" w:hAnsi="宋体"/>
          <w:color w:val="000000" w:themeColor="text1"/>
          <w:sz w:val="28"/>
          <w:szCs w:val="28"/>
          <w:highlight w:val="none"/>
        </w:rPr>
      </w:pPr>
      <w:bookmarkStart w:id="373" w:name="_Toc469160805"/>
      <w:bookmarkStart w:id="374" w:name="_Toc200414535"/>
      <w:bookmarkStart w:id="375" w:name="_Toc15603"/>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：磋商供应商提交的其他资料</w:t>
      </w:r>
      <w:bookmarkEnd w:id="373"/>
      <w:bookmarkEnd w:id="374"/>
      <w:bookmarkEnd w:id="37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YXCG-20231220</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阳江市人才驿站日常运营服务项目</w:t>
      </w:r>
      <w:r>
        <w:rPr>
          <w:rFonts w:hint="eastAsia" w:ascii="宋体" w:hAnsi="宋体"/>
          <w:b/>
          <w:bC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p>
    <w:p>
      <w:pPr>
        <w:pStyle w:val="5"/>
        <w:spacing w:line="360" w:lineRule="auto"/>
        <w:rPr>
          <w:rFonts w:hAnsi="宋体"/>
          <w:color w:val="000000" w:themeColor="text1"/>
          <w:sz w:val="21"/>
          <w:szCs w:val="21"/>
          <w:highlight w:val="none"/>
        </w:rPr>
      </w:pP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rFonts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5"/>
        <w:spacing w:line="360" w:lineRule="auto"/>
        <w:rPr>
          <w:rFonts w:hAnsi="宋体"/>
          <w:color w:val="000000" w:themeColor="text1"/>
          <w:highlight w:val="none"/>
        </w:rPr>
      </w:pPr>
    </w:p>
    <w:p>
      <w:pPr>
        <w:pStyle w:val="5"/>
        <w:ind w:firstLine="0"/>
        <w:rPr>
          <w:rFonts w:hAnsi="宋体"/>
          <w:color w:val="000000" w:themeColor="text1"/>
          <w:highlight w:val="none"/>
        </w:rPr>
      </w:pPr>
      <w:bookmarkStart w:id="376" w:name="_Toc434832511"/>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3"/>
        <w:numPr>
          <w:ilvl w:val="1"/>
          <w:numId w:val="0"/>
        </w:numPr>
        <w:spacing w:line="360" w:lineRule="auto"/>
        <w:rPr>
          <w:rFonts w:ascii="宋体" w:hAnsi="宋体"/>
          <w:color w:val="000000" w:themeColor="text1"/>
          <w:sz w:val="52"/>
          <w:highlight w:val="none"/>
        </w:rPr>
      </w:pPr>
      <w:bookmarkStart w:id="377" w:name="_Toc26877"/>
      <w:bookmarkStart w:id="378" w:name="_Toc469160806"/>
      <w:r>
        <w:rPr>
          <w:rFonts w:hint="eastAsia" w:ascii="宋体" w:hAnsi="宋体"/>
          <w:color w:val="000000" w:themeColor="text1"/>
          <w:sz w:val="52"/>
          <w:highlight w:val="none"/>
        </w:rPr>
        <w:t>其 他 格 式</w:t>
      </w:r>
      <w:bookmarkEnd w:id="376"/>
      <w:bookmarkEnd w:id="377"/>
      <w:bookmarkEnd w:id="378"/>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rPr>
          <w:rFonts w:hint="eastAsia"/>
          <w:b/>
          <w:bCs/>
          <w:color w:val="000000" w:themeColor="text1"/>
          <w:sz w:val="44"/>
          <w:szCs w:val="44"/>
          <w:highlight w:val="none"/>
        </w:rPr>
      </w:pPr>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pPr>
        <w:pStyle w:val="45"/>
        <w:snapToGrid w:val="0"/>
        <w:spacing w:before="0" w:beforeAutospacing="0" w:after="0" w:afterAutospacing="0" w:line="360" w:lineRule="auto"/>
        <w:jc w:val="both"/>
        <w:rPr>
          <w:color w:val="000000" w:themeColor="text1"/>
          <w:sz w:val="2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rPr>
      </w:pPr>
    </w:p>
    <w:p>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rPr>
      </w:pPr>
    </w:p>
    <w:p>
      <w:pPr>
        <w:tabs>
          <w:tab w:val="left" w:pos="6300"/>
        </w:tabs>
        <w:snapToGrid w:val="0"/>
        <w:spacing w:line="360" w:lineRule="auto"/>
        <w:ind w:firstLine="1260" w:firstLineChars="600"/>
        <w:jc w:val="left"/>
        <w:rPr>
          <w:rFonts w:ascii="宋体" w:hAnsi="宋体"/>
          <w:color w:val="000000" w:themeColor="text1"/>
          <w:szCs w:val="21"/>
          <w:highlight w:val="none"/>
        </w:rPr>
      </w:pPr>
    </w:p>
    <w:p>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snapToGrid w:val="0"/>
        <w:spacing w:line="360" w:lineRule="auto"/>
        <w:ind w:firstLine="378" w:firstLineChars="180"/>
        <w:rPr>
          <w:rFonts w:ascii="宋体" w:hAnsi="宋体"/>
          <w:color w:val="000000" w:themeColor="text1"/>
          <w:szCs w:val="21"/>
          <w:highlight w:val="none"/>
        </w:rPr>
      </w:pPr>
    </w:p>
    <w:p>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1F00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32E5F"/>
    <w:multiLevelType w:val="singleLevel"/>
    <w:tmpl w:val="ED732E5F"/>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2">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4">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6">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10">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1">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4">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7">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2">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4">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1"/>
  </w:num>
  <w:num w:numId="3">
    <w:abstractNumId w:val="22"/>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5"/>
  </w:num>
  <w:num w:numId="25">
    <w:abstractNumId w:val="26"/>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24267"/>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2641C78"/>
    <w:rsid w:val="046C420D"/>
    <w:rsid w:val="05DE311F"/>
    <w:rsid w:val="064424ED"/>
    <w:rsid w:val="07474F91"/>
    <w:rsid w:val="09B5725D"/>
    <w:rsid w:val="09F71624"/>
    <w:rsid w:val="0A2F1BEE"/>
    <w:rsid w:val="0CC60B32"/>
    <w:rsid w:val="0DB25F8E"/>
    <w:rsid w:val="0F262DEA"/>
    <w:rsid w:val="11515425"/>
    <w:rsid w:val="13730200"/>
    <w:rsid w:val="13D84738"/>
    <w:rsid w:val="15B71F81"/>
    <w:rsid w:val="169E79F7"/>
    <w:rsid w:val="16A82624"/>
    <w:rsid w:val="19325F6D"/>
    <w:rsid w:val="1A703458"/>
    <w:rsid w:val="1A89451A"/>
    <w:rsid w:val="1AFB4E47"/>
    <w:rsid w:val="1CDA72AF"/>
    <w:rsid w:val="20DF4E94"/>
    <w:rsid w:val="2114292B"/>
    <w:rsid w:val="21C422DC"/>
    <w:rsid w:val="231057D9"/>
    <w:rsid w:val="23871054"/>
    <w:rsid w:val="248F2A5B"/>
    <w:rsid w:val="26386DFE"/>
    <w:rsid w:val="26835D38"/>
    <w:rsid w:val="26E638F2"/>
    <w:rsid w:val="27182EAE"/>
    <w:rsid w:val="27D011E0"/>
    <w:rsid w:val="2C3D5164"/>
    <w:rsid w:val="2D4E7DEC"/>
    <w:rsid w:val="2D5F046B"/>
    <w:rsid w:val="2E870919"/>
    <w:rsid w:val="2FAA5E8A"/>
    <w:rsid w:val="316A0071"/>
    <w:rsid w:val="34A01C68"/>
    <w:rsid w:val="35505D31"/>
    <w:rsid w:val="35D06983"/>
    <w:rsid w:val="38BD6B23"/>
    <w:rsid w:val="3AD44EE6"/>
    <w:rsid w:val="3BED44B1"/>
    <w:rsid w:val="3C346CB0"/>
    <w:rsid w:val="3EA21003"/>
    <w:rsid w:val="3ECB0721"/>
    <w:rsid w:val="402736CA"/>
    <w:rsid w:val="4054733B"/>
    <w:rsid w:val="42D02437"/>
    <w:rsid w:val="454D4212"/>
    <w:rsid w:val="458A55B2"/>
    <w:rsid w:val="47D87B0B"/>
    <w:rsid w:val="4CEB2649"/>
    <w:rsid w:val="4DAD1CF2"/>
    <w:rsid w:val="4F7505EE"/>
    <w:rsid w:val="51C56D50"/>
    <w:rsid w:val="522B570C"/>
    <w:rsid w:val="53847836"/>
    <w:rsid w:val="53946F93"/>
    <w:rsid w:val="56A96624"/>
    <w:rsid w:val="56B22645"/>
    <w:rsid w:val="57D14C92"/>
    <w:rsid w:val="5D6D4833"/>
    <w:rsid w:val="5DD92690"/>
    <w:rsid w:val="5E0E3303"/>
    <w:rsid w:val="5EF93166"/>
    <w:rsid w:val="5F4F0E5B"/>
    <w:rsid w:val="5FA6034F"/>
    <w:rsid w:val="5FB3660D"/>
    <w:rsid w:val="636E2764"/>
    <w:rsid w:val="63870498"/>
    <w:rsid w:val="63A943A4"/>
    <w:rsid w:val="64FC5595"/>
    <w:rsid w:val="66C57C55"/>
    <w:rsid w:val="6D3276C6"/>
    <w:rsid w:val="6EAB3BD4"/>
    <w:rsid w:val="6F156D3B"/>
    <w:rsid w:val="70585FE8"/>
    <w:rsid w:val="71495E20"/>
    <w:rsid w:val="72247F25"/>
    <w:rsid w:val="72365D0D"/>
    <w:rsid w:val="72C71291"/>
    <w:rsid w:val="72F571CC"/>
    <w:rsid w:val="739A3DFB"/>
    <w:rsid w:val="74185868"/>
    <w:rsid w:val="75252A65"/>
    <w:rsid w:val="75B025BC"/>
    <w:rsid w:val="75EF0D47"/>
    <w:rsid w:val="772269FE"/>
    <w:rsid w:val="78A37C84"/>
    <w:rsid w:val="7A203286"/>
    <w:rsid w:val="7A3A405E"/>
    <w:rsid w:val="7B24371D"/>
    <w:rsid w:val="7BD32074"/>
    <w:rsid w:val="7D1B1F25"/>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8"/>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8"/>
    <w:autoRedefine/>
    <w:qFormat/>
    <w:uiPriority w:val="0"/>
    <w:pPr>
      <w:keepNext/>
      <w:keepLines/>
      <w:spacing w:before="280" w:after="290" w:line="376" w:lineRule="auto"/>
      <w:outlineLvl w:val="4"/>
    </w:pPr>
    <w:rPr>
      <w:b/>
      <w:sz w:val="28"/>
      <w:szCs w:val="20"/>
    </w:rPr>
  </w:style>
  <w:style w:type="paragraph" w:styleId="8">
    <w:name w:val="heading 6"/>
    <w:basedOn w:val="1"/>
    <w:next w:val="5"/>
    <w:link w:val="113"/>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1"/>
    <w:autoRedefine/>
    <w:qFormat/>
    <w:uiPriority w:val="0"/>
    <w:pPr>
      <w:keepNext/>
      <w:keepLines/>
      <w:spacing w:before="240" w:after="64" w:line="320" w:lineRule="auto"/>
      <w:outlineLvl w:val="6"/>
    </w:pPr>
    <w:rPr>
      <w:b/>
      <w:bCs/>
      <w:sz w:val="24"/>
    </w:rPr>
  </w:style>
  <w:style w:type="paragraph" w:styleId="10">
    <w:name w:val="heading 8"/>
    <w:basedOn w:val="1"/>
    <w:next w:val="5"/>
    <w:link w:val="121"/>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5"/>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4"/>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0"/>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0"/>
    <w:autoRedefine/>
    <w:qFormat/>
    <w:uiPriority w:val="0"/>
    <w:pPr>
      <w:spacing w:line="360" w:lineRule="auto"/>
      <w:jc w:val="left"/>
    </w:pPr>
    <w:rPr>
      <w:szCs w:val="20"/>
    </w:rPr>
  </w:style>
  <w:style w:type="paragraph" w:styleId="18">
    <w:name w:val="Body Text 3"/>
    <w:basedOn w:val="1"/>
    <w:link w:val="78"/>
    <w:autoRedefine/>
    <w:qFormat/>
    <w:uiPriority w:val="0"/>
    <w:pPr>
      <w:spacing w:after="120"/>
    </w:pPr>
    <w:rPr>
      <w:sz w:val="16"/>
      <w:szCs w:val="16"/>
    </w:rPr>
  </w:style>
  <w:style w:type="paragraph" w:styleId="19">
    <w:name w:val="Body Text"/>
    <w:basedOn w:val="1"/>
    <w:next w:val="1"/>
    <w:link w:val="94"/>
    <w:autoRedefine/>
    <w:qFormat/>
    <w:uiPriority w:val="0"/>
    <w:pPr>
      <w:spacing w:after="120"/>
    </w:pPr>
  </w:style>
  <w:style w:type="paragraph" w:styleId="20">
    <w:name w:val="Body Text Indent"/>
    <w:basedOn w:val="1"/>
    <w:link w:val="130"/>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5"/>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2"/>
    <w:autoRedefine/>
    <w:qFormat/>
    <w:uiPriority w:val="0"/>
    <w:pPr>
      <w:numPr>
        <w:ilvl w:val="0"/>
        <w:numId w:val="4"/>
      </w:numPr>
      <w:ind w:left="100" w:leftChars="2500"/>
    </w:pPr>
  </w:style>
  <w:style w:type="paragraph" w:styleId="29">
    <w:name w:val="Body Text Indent 2"/>
    <w:basedOn w:val="1"/>
    <w:link w:val="122"/>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1"/>
    <w:autoRedefine/>
    <w:qFormat/>
    <w:uiPriority w:val="0"/>
    <w:rPr>
      <w:sz w:val="18"/>
      <w:szCs w:val="18"/>
    </w:rPr>
  </w:style>
  <w:style w:type="paragraph" w:styleId="31">
    <w:name w:val="footer"/>
    <w:basedOn w:val="1"/>
    <w:link w:val="84"/>
    <w:autoRedefine/>
    <w:qFormat/>
    <w:uiPriority w:val="0"/>
    <w:pPr>
      <w:tabs>
        <w:tab w:val="center" w:pos="4153"/>
        <w:tab w:val="right" w:pos="8306"/>
      </w:tabs>
      <w:snapToGrid w:val="0"/>
      <w:jc w:val="left"/>
    </w:pPr>
    <w:rPr>
      <w:kern w:val="0"/>
      <w:sz w:val="18"/>
      <w:szCs w:val="18"/>
    </w:rPr>
  </w:style>
  <w:style w:type="paragraph" w:styleId="32">
    <w:name w:val="header"/>
    <w:basedOn w:val="1"/>
    <w:link w:val="134"/>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5"/>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7"/>
    <w:autoRedefine/>
    <w:qFormat/>
    <w:uiPriority w:val="0"/>
    <w:pPr>
      <w:spacing w:line="360" w:lineRule="auto"/>
    </w:pPr>
    <w:rPr>
      <w:rFonts w:ascii="仿宋_GB2312" w:eastAsia="仿宋_GB2312"/>
      <w:sz w:val="32"/>
    </w:rPr>
  </w:style>
  <w:style w:type="paragraph" w:styleId="44">
    <w:name w:val="HTML Preformatted"/>
    <w:basedOn w:val="1"/>
    <w:link w:val="1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autoRedefine/>
    <w:qFormat/>
    <w:uiPriority w:val="0"/>
    <w:pPr>
      <w:spacing w:line="240" w:lineRule="auto"/>
    </w:pPr>
    <w:rPr>
      <w:b/>
      <w:bCs/>
      <w:szCs w:val="24"/>
    </w:rPr>
  </w:style>
  <w:style w:type="paragraph" w:styleId="49">
    <w:name w:val="Body Text First Indent"/>
    <w:basedOn w:val="19"/>
    <w:link w:val="158"/>
    <w:autoRedefine/>
    <w:qFormat/>
    <w:uiPriority w:val="0"/>
    <w:pPr>
      <w:ind w:firstLine="100" w:firstLineChars="100"/>
    </w:pPr>
    <w:rPr>
      <w:rFonts w:ascii="Calibri" w:hAnsi="Calibri"/>
      <w:szCs w:val="22"/>
    </w:rPr>
  </w:style>
  <w:style w:type="paragraph" w:styleId="50">
    <w:name w:val="Body Text First Indent 2"/>
    <w:basedOn w:val="20"/>
    <w:link w:val="65"/>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character" w:customStyle="1" w:styleId="60">
    <w:name w:val="文档正文 Char1"/>
    <w:link w:val="61"/>
    <w:autoRedefine/>
    <w:qFormat/>
    <w:uiPriority w:val="0"/>
    <w:rPr>
      <w:rFonts w:ascii="Arial Narrow" w:hAnsi="Arial Narrow"/>
      <w:sz w:val="24"/>
      <w:szCs w:val="24"/>
      <w:lang w:val="en-US" w:eastAsia="zh-CN" w:bidi="ar-SA"/>
    </w:rPr>
  </w:style>
  <w:style w:type="paragraph" w:customStyle="1" w:styleId="61">
    <w:name w:val="文档正文"/>
    <w:link w:val="60"/>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autoRedefine/>
    <w:qFormat/>
    <w:uiPriority w:val="0"/>
    <w:rPr>
      <w:sz w:val="18"/>
      <w:szCs w:val="18"/>
      <w:u w:val="none"/>
    </w:rPr>
  </w:style>
  <w:style w:type="character" w:customStyle="1" w:styleId="63">
    <w:name w:val="标题 4 Char"/>
    <w:link w:val="6"/>
    <w:autoRedefine/>
    <w:qFormat/>
    <w:uiPriority w:val="0"/>
    <w:rPr>
      <w:rFonts w:ascii="Arial" w:hAnsi="Arial" w:eastAsia="黑体"/>
      <w:b/>
      <w:bCs/>
      <w:kern w:val="2"/>
      <w:sz w:val="28"/>
      <w:szCs w:val="28"/>
      <w:lang w:val="en-US" w:eastAsia="zh-CN" w:bidi="ar-SA"/>
    </w:rPr>
  </w:style>
  <w:style w:type="character" w:customStyle="1" w:styleId="64">
    <w:name w:val="font21"/>
    <w:autoRedefine/>
    <w:qFormat/>
    <w:uiPriority w:val="0"/>
    <w:rPr>
      <w:rFonts w:hint="default" w:ascii="Arial" w:hAnsi="Arial" w:cs="Arial"/>
      <w:color w:val="000000"/>
      <w:sz w:val="24"/>
      <w:szCs w:val="24"/>
      <w:u w:val="none"/>
    </w:rPr>
  </w:style>
  <w:style w:type="character" w:customStyle="1" w:styleId="65">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6">
    <w:name w:val="类目1 Char Char"/>
    <w:link w:val="67"/>
    <w:autoRedefine/>
    <w:qFormat/>
    <w:uiPriority w:val="0"/>
    <w:rPr>
      <w:b/>
      <w:color w:val="17365D"/>
      <w:kern w:val="2"/>
      <w:sz w:val="28"/>
      <w:szCs w:val="28"/>
      <w:lang w:bidi="ar-SA"/>
    </w:rPr>
  </w:style>
  <w:style w:type="paragraph" w:customStyle="1" w:styleId="67">
    <w:name w:val="类目1"/>
    <w:basedOn w:val="1"/>
    <w:link w:val="66"/>
    <w:autoRedefine/>
    <w:qFormat/>
    <w:uiPriority w:val="0"/>
    <w:pPr>
      <w:adjustRightInd w:val="0"/>
      <w:snapToGrid w:val="0"/>
      <w:spacing w:line="220" w:lineRule="atLeast"/>
    </w:pPr>
    <w:rPr>
      <w:b/>
      <w:color w:val="17365D"/>
      <w:sz w:val="28"/>
      <w:szCs w:val="28"/>
    </w:rPr>
  </w:style>
  <w:style w:type="character" w:customStyle="1" w:styleId="68">
    <w:name w:val="text1"/>
    <w:autoRedefine/>
    <w:qFormat/>
    <w:uiPriority w:val="0"/>
    <w:rPr>
      <w:sz w:val="20"/>
      <w:szCs w:val="20"/>
    </w:rPr>
  </w:style>
  <w:style w:type="character" w:customStyle="1" w:styleId="69">
    <w:name w:val="ca-5"/>
    <w:basedOn w:val="53"/>
    <w:autoRedefine/>
    <w:qFormat/>
    <w:uiPriority w:val="0"/>
  </w:style>
  <w:style w:type="character" w:customStyle="1" w:styleId="70">
    <w:name w:val="批注文字 Char"/>
    <w:link w:val="17"/>
    <w:autoRedefine/>
    <w:qFormat/>
    <w:uiPriority w:val="0"/>
    <w:rPr>
      <w:kern w:val="2"/>
      <w:sz w:val="21"/>
      <w:lang w:bidi="ar-SA"/>
    </w:rPr>
  </w:style>
  <w:style w:type="character" w:customStyle="1" w:styleId="71">
    <w:name w:val="Char Char14"/>
    <w:autoRedefine/>
    <w:qFormat/>
    <w:uiPriority w:val="0"/>
    <w:rPr>
      <w:rFonts w:ascii="宋体" w:eastAsia="宋体"/>
      <w:sz w:val="34"/>
      <w:lang w:val="en-US" w:eastAsia="zh-CN" w:bidi="ar-SA"/>
    </w:rPr>
  </w:style>
  <w:style w:type="character" w:customStyle="1" w:styleId="72">
    <w:name w:val="日期 Char"/>
    <w:link w:val="28"/>
    <w:autoRedefine/>
    <w:qFormat/>
    <w:uiPriority w:val="0"/>
    <w:rPr>
      <w:kern w:val="2"/>
      <w:sz w:val="21"/>
      <w:szCs w:val="24"/>
    </w:rPr>
  </w:style>
  <w:style w:type="character" w:customStyle="1" w:styleId="73">
    <w:name w:val="font11"/>
    <w:autoRedefine/>
    <w:qFormat/>
    <w:uiPriority w:val="0"/>
    <w:rPr>
      <w:rFonts w:hint="eastAsia" w:ascii="宋体" w:hAnsi="宋体" w:eastAsia="宋体"/>
      <w:color w:val="000000"/>
      <w:sz w:val="24"/>
      <w:szCs w:val="24"/>
      <w:u w:val="none"/>
    </w:rPr>
  </w:style>
  <w:style w:type="character" w:customStyle="1" w:styleId="74">
    <w:name w:val="apple-converted-space"/>
    <w:autoRedefine/>
    <w:qFormat/>
    <w:uiPriority w:val="0"/>
    <w:rPr>
      <w:rFonts w:cs="Times New Roman"/>
    </w:rPr>
  </w:style>
  <w:style w:type="character" w:customStyle="1" w:styleId="75">
    <w:name w:val="标题 1 Char2"/>
    <w:autoRedefine/>
    <w:qFormat/>
    <w:uiPriority w:val="0"/>
    <w:rPr>
      <w:rFonts w:ascii="黑体" w:eastAsia="黑体"/>
      <w:bCs/>
      <w:kern w:val="44"/>
      <w:sz w:val="24"/>
      <w:szCs w:val="24"/>
    </w:rPr>
  </w:style>
  <w:style w:type="character" w:customStyle="1" w:styleId="76">
    <w:name w:val="ca-8"/>
    <w:basedOn w:val="53"/>
    <w:autoRedefine/>
    <w:qFormat/>
    <w:uiPriority w:val="0"/>
  </w:style>
  <w:style w:type="character" w:customStyle="1" w:styleId="77">
    <w:name w:val="Char Char3"/>
    <w:autoRedefine/>
    <w:qFormat/>
    <w:uiPriority w:val="0"/>
    <w:rPr>
      <w:rFonts w:eastAsia="宋体"/>
      <w:kern w:val="2"/>
      <w:sz w:val="18"/>
      <w:lang w:val="en-US" w:eastAsia="zh-CN" w:bidi="ar-SA"/>
    </w:rPr>
  </w:style>
  <w:style w:type="character" w:customStyle="1" w:styleId="78">
    <w:name w:val="正文文本 3 Char"/>
    <w:link w:val="18"/>
    <w:autoRedefine/>
    <w:qFormat/>
    <w:uiPriority w:val="0"/>
    <w:rPr>
      <w:kern w:val="2"/>
      <w:sz w:val="16"/>
      <w:szCs w:val="16"/>
    </w:rPr>
  </w:style>
  <w:style w:type="character" w:customStyle="1" w:styleId="79">
    <w:name w:val="标题 5 Char Char"/>
    <w:autoRedefine/>
    <w:qFormat/>
    <w:uiPriority w:val="0"/>
    <w:rPr>
      <w:rFonts w:eastAsia="宋体"/>
      <w:b/>
      <w:bCs/>
      <w:kern w:val="2"/>
      <w:sz w:val="28"/>
      <w:szCs w:val="28"/>
      <w:lang w:val="en-US" w:eastAsia="zh-CN" w:bidi="ar-SA"/>
    </w:rPr>
  </w:style>
  <w:style w:type="character" w:customStyle="1" w:styleId="80">
    <w:name w:val="ca-10"/>
    <w:basedOn w:val="53"/>
    <w:autoRedefine/>
    <w:qFormat/>
    <w:uiPriority w:val="0"/>
  </w:style>
  <w:style w:type="character" w:customStyle="1" w:styleId="81">
    <w:name w:val="Char Char9"/>
    <w:autoRedefine/>
    <w:qFormat/>
    <w:uiPriority w:val="0"/>
    <w:rPr>
      <w:rFonts w:ascii="宋体" w:hAnsi="Courier New" w:eastAsia="宋体"/>
      <w:kern w:val="2"/>
      <w:sz w:val="21"/>
      <w:lang w:val="en-US" w:eastAsia="zh-CN" w:bidi="ar-SA"/>
    </w:rPr>
  </w:style>
  <w:style w:type="character" w:customStyle="1" w:styleId="82">
    <w:name w:val="标题 2 Char"/>
    <w:link w:val="3"/>
    <w:autoRedefine/>
    <w:qFormat/>
    <w:uiPriority w:val="0"/>
    <w:rPr>
      <w:rFonts w:ascii="Cambria" w:hAnsi="Cambria" w:eastAsia="宋体"/>
      <w:b/>
      <w:bCs/>
      <w:kern w:val="2"/>
      <w:sz w:val="32"/>
      <w:szCs w:val="32"/>
      <w:lang w:val="en-US" w:eastAsia="zh-CN" w:bidi="ar-SA"/>
    </w:rPr>
  </w:style>
  <w:style w:type="character" w:customStyle="1" w:styleId="83">
    <w:name w:val="mark8"/>
    <w:autoRedefine/>
    <w:qFormat/>
    <w:uiPriority w:val="0"/>
    <w:rPr>
      <w:b/>
      <w:bCs/>
      <w:sz w:val="21"/>
      <w:szCs w:val="21"/>
    </w:rPr>
  </w:style>
  <w:style w:type="character" w:customStyle="1" w:styleId="84">
    <w:name w:val="页脚 Char"/>
    <w:link w:val="31"/>
    <w:autoRedefine/>
    <w:qFormat/>
    <w:uiPriority w:val="0"/>
    <w:rPr>
      <w:rFonts w:eastAsia="宋体"/>
      <w:sz w:val="18"/>
      <w:szCs w:val="18"/>
      <w:lang w:bidi="ar-SA"/>
    </w:rPr>
  </w:style>
  <w:style w:type="character" w:customStyle="1" w:styleId="85">
    <w:name w:val="正文文本缩进 3 Char"/>
    <w:link w:val="40"/>
    <w:autoRedefine/>
    <w:qFormat/>
    <w:uiPriority w:val="0"/>
    <w:rPr>
      <w:rFonts w:ascii="宋体" w:hAnsi="宋体" w:eastAsia="宋体"/>
      <w:kern w:val="2"/>
      <w:sz w:val="21"/>
      <w:szCs w:val="24"/>
      <w:lang w:val="en-US" w:eastAsia="zh-CN" w:bidi="ar-SA"/>
    </w:rPr>
  </w:style>
  <w:style w:type="character" w:customStyle="1" w:styleId="86">
    <w:name w:val="List Paragraph Char Char"/>
    <w:link w:val="87"/>
    <w:autoRedefine/>
    <w:qFormat/>
    <w:uiPriority w:val="0"/>
    <w:rPr>
      <w:kern w:val="2"/>
      <w:sz w:val="21"/>
      <w:szCs w:val="24"/>
    </w:rPr>
  </w:style>
  <w:style w:type="paragraph" w:customStyle="1" w:styleId="87">
    <w:name w:val="列出段落1"/>
    <w:basedOn w:val="1"/>
    <w:link w:val="86"/>
    <w:autoRedefine/>
    <w:qFormat/>
    <w:uiPriority w:val="0"/>
    <w:pPr>
      <w:ind w:firstLine="420" w:firstLineChars="200"/>
    </w:pPr>
  </w:style>
  <w:style w:type="character" w:customStyle="1" w:styleId="88">
    <w:name w:val="标题 3 Char"/>
    <w:link w:val="4"/>
    <w:autoRedefine/>
    <w:qFormat/>
    <w:uiPriority w:val="0"/>
    <w:rPr>
      <w:rFonts w:ascii="黑体" w:eastAsia="黑体"/>
      <w:bCs/>
      <w:color w:val="000000"/>
      <w:kern w:val="2"/>
      <w:sz w:val="21"/>
      <w:szCs w:val="24"/>
    </w:rPr>
  </w:style>
  <w:style w:type="character" w:customStyle="1" w:styleId="89">
    <w:name w:val="标题 2 Char1"/>
    <w:autoRedefine/>
    <w:qFormat/>
    <w:uiPriority w:val="0"/>
    <w:rPr>
      <w:rFonts w:ascii="Arial" w:hAnsi="Arial" w:eastAsia="黑体"/>
      <w:b/>
      <w:bCs/>
      <w:kern w:val="2"/>
      <w:sz w:val="32"/>
      <w:szCs w:val="32"/>
    </w:rPr>
  </w:style>
  <w:style w:type="character" w:customStyle="1" w:styleId="90">
    <w:name w:val="标题 Char"/>
    <w:link w:val="47"/>
    <w:autoRedefine/>
    <w:qFormat/>
    <w:uiPriority w:val="0"/>
    <w:rPr>
      <w:rFonts w:ascii="Cambria" w:hAnsi="Cambria"/>
      <w:b/>
      <w:bCs/>
      <w:kern w:val="2"/>
      <w:sz w:val="32"/>
      <w:szCs w:val="32"/>
    </w:rPr>
  </w:style>
  <w:style w:type="character" w:customStyle="1" w:styleId="91">
    <w:name w:val="纯文本 Char"/>
    <w:link w:val="25"/>
    <w:autoRedefine/>
    <w:qFormat/>
    <w:uiPriority w:val="0"/>
    <w:rPr>
      <w:rFonts w:ascii="宋体" w:hAnsi="Courier New"/>
      <w:kern w:val="2"/>
      <w:sz w:val="21"/>
      <w:lang w:bidi="ar-SA"/>
    </w:rPr>
  </w:style>
  <w:style w:type="character" w:customStyle="1" w:styleId="92">
    <w:name w:val="flname7"/>
    <w:basedOn w:val="53"/>
    <w:autoRedefine/>
    <w:qFormat/>
    <w:uiPriority w:val="0"/>
  </w:style>
  <w:style w:type="character" w:customStyle="1" w:styleId="93">
    <w:name w:val="content"/>
    <w:autoRedefine/>
    <w:qFormat/>
    <w:uiPriority w:val="0"/>
  </w:style>
  <w:style w:type="character" w:customStyle="1" w:styleId="94">
    <w:name w:val="正文文本 Char"/>
    <w:link w:val="19"/>
    <w:autoRedefine/>
    <w:qFormat/>
    <w:uiPriority w:val="0"/>
    <w:rPr>
      <w:rFonts w:eastAsia="宋体"/>
      <w:kern w:val="2"/>
      <w:sz w:val="21"/>
      <w:szCs w:val="24"/>
      <w:lang w:val="en-US" w:eastAsia="zh-CN" w:bidi="ar-SA"/>
    </w:rPr>
  </w:style>
  <w:style w:type="character" w:customStyle="1" w:styleId="95">
    <w:name w:val="标题 9 Char"/>
    <w:link w:val="11"/>
    <w:autoRedefine/>
    <w:qFormat/>
    <w:uiPriority w:val="0"/>
    <w:rPr>
      <w:rFonts w:ascii="Arial" w:hAnsi="Arial" w:eastAsia="黑体"/>
      <w:kern w:val="2"/>
      <w:sz w:val="21"/>
      <w:szCs w:val="21"/>
      <w:lang w:val="en-US" w:eastAsia="zh-CN" w:bidi="ar-SA"/>
    </w:rPr>
  </w:style>
  <w:style w:type="character" w:customStyle="1" w:styleId="96">
    <w:name w:val="c_666"/>
    <w:basedOn w:val="53"/>
    <w:autoRedefine/>
    <w:qFormat/>
    <w:uiPriority w:val="0"/>
  </w:style>
  <w:style w:type="character" w:customStyle="1" w:styleId="97">
    <w:name w:val="正文文本 2 Char"/>
    <w:link w:val="43"/>
    <w:autoRedefine/>
    <w:qFormat/>
    <w:uiPriority w:val="0"/>
    <w:rPr>
      <w:rFonts w:ascii="仿宋_GB2312" w:eastAsia="仿宋_GB2312"/>
      <w:kern w:val="2"/>
      <w:sz w:val="32"/>
      <w:szCs w:val="24"/>
      <w:lang w:val="en-US" w:eastAsia="zh-CN" w:bidi="ar-SA"/>
    </w:rPr>
  </w:style>
  <w:style w:type="character" w:customStyle="1" w:styleId="98">
    <w:name w:val="书籍标题3 Char1"/>
    <w:link w:val="99"/>
    <w:autoRedefine/>
    <w:qFormat/>
    <w:uiPriority w:val="0"/>
    <w:rPr>
      <w:b/>
      <w:bCs/>
      <w:spacing w:val="20"/>
      <w:kern w:val="2"/>
      <w:sz w:val="28"/>
      <w:szCs w:val="28"/>
    </w:rPr>
  </w:style>
  <w:style w:type="paragraph" w:customStyle="1" w:styleId="99">
    <w:name w:val="书籍标题3"/>
    <w:basedOn w:val="100"/>
    <w:link w:val="98"/>
    <w:autoRedefine/>
    <w:qFormat/>
    <w:uiPriority w:val="0"/>
    <w:pPr>
      <w:numPr>
        <w:ilvl w:val="2"/>
      </w:numPr>
      <w:tabs>
        <w:tab w:val="left" w:pos="840"/>
      </w:tabs>
      <w:outlineLvl w:val="2"/>
    </w:pPr>
    <w:rPr>
      <w:rFonts w:cs="Times New Roman"/>
      <w:sz w:val="28"/>
      <w:szCs w:val="28"/>
    </w:rPr>
  </w:style>
  <w:style w:type="paragraph" w:customStyle="1" w:styleId="100">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autoRedefine/>
    <w:qFormat/>
    <w:uiPriority w:val="0"/>
    <w:rPr>
      <w:rFonts w:ascii="黑体" w:eastAsia="黑体"/>
      <w:bCs/>
      <w:kern w:val="44"/>
      <w:sz w:val="24"/>
      <w:lang w:val="en-US" w:eastAsia="zh-CN" w:bidi="ar-SA"/>
    </w:rPr>
  </w:style>
  <w:style w:type="character" w:customStyle="1" w:styleId="102">
    <w:name w:val="列出段落 Char"/>
    <w:link w:val="103"/>
    <w:autoRedefine/>
    <w:qFormat/>
    <w:uiPriority w:val="0"/>
    <w:rPr>
      <w:kern w:val="2"/>
      <w:sz w:val="21"/>
      <w:szCs w:val="24"/>
    </w:rPr>
  </w:style>
  <w:style w:type="paragraph" w:styleId="103">
    <w:name w:val="List Paragraph"/>
    <w:basedOn w:val="1"/>
    <w:link w:val="102"/>
    <w:autoRedefine/>
    <w:qFormat/>
    <w:uiPriority w:val="0"/>
    <w:pPr>
      <w:ind w:firstLine="420" w:firstLineChars="200"/>
    </w:pPr>
  </w:style>
  <w:style w:type="character" w:customStyle="1" w:styleId="104">
    <w:name w:val="标题 3 Char1"/>
    <w:autoRedefine/>
    <w:qFormat/>
    <w:uiPriority w:val="0"/>
    <w:rPr>
      <w:rFonts w:ascii="宋体" w:hAnsi="Times New Roman"/>
    </w:rPr>
  </w:style>
  <w:style w:type="character" w:customStyle="1" w:styleId="105">
    <w:name w:val="样式 样式 宋体 小四 行距: 1.5 倍行距 + ˎ̥ 黑色 Char Char"/>
    <w:link w:val="106"/>
    <w:autoRedefine/>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autoRedefine/>
    <w:qFormat/>
    <w:uiPriority w:val="0"/>
  </w:style>
  <w:style w:type="character" w:customStyle="1" w:styleId="107">
    <w:name w:val="样式5 Char Char"/>
    <w:link w:val="108"/>
    <w:autoRedefine/>
    <w:qFormat/>
    <w:uiPriority w:val="0"/>
    <w:rPr>
      <w:rFonts w:ascii="宋体" w:hAnsi="宋体" w:eastAsia="宋体" w:cs="Arial"/>
      <w:b/>
      <w:kern w:val="2"/>
      <w:sz w:val="24"/>
      <w:szCs w:val="24"/>
      <w:lang w:val="en-US" w:eastAsia="zh-CN" w:bidi="ar-SA"/>
    </w:rPr>
  </w:style>
  <w:style w:type="paragraph" w:customStyle="1" w:styleId="108">
    <w:name w:val="样式5"/>
    <w:basedOn w:val="1"/>
    <w:link w:val="107"/>
    <w:autoRedefine/>
    <w:qFormat/>
    <w:uiPriority w:val="0"/>
    <w:pPr>
      <w:spacing w:line="400" w:lineRule="exact"/>
      <w:ind w:left="482"/>
    </w:pPr>
    <w:rPr>
      <w:rFonts w:ascii="宋体" w:hAnsi="宋体" w:cs="Arial"/>
      <w:b/>
      <w:sz w:val="24"/>
    </w:rPr>
  </w:style>
  <w:style w:type="character" w:customStyle="1" w:styleId="109">
    <w:name w:val="标题 1 Char1"/>
    <w:autoRedefine/>
    <w:qFormat/>
    <w:uiPriority w:val="0"/>
    <w:rPr>
      <w:b/>
      <w:bCs/>
      <w:kern w:val="44"/>
      <w:sz w:val="44"/>
      <w:szCs w:val="44"/>
    </w:rPr>
  </w:style>
  <w:style w:type="character" w:customStyle="1" w:styleId="110">
    <w:name w:val="lineitems1"/>
    <w:autoRedefine/>
    <w:qFormat/>
    <w:uiPriority w:val="0"/>
    <w:rPr>
      <w:sz w:val="17"/>
      <w:szCs w:val="17"/>
    </w:rPr>
  </w:style>
  <w:style w:type="character" w:customStyle="1" w:styleId="111">
    <w:name w:val="font31"/>
    <w:autoRedefine/>
    <w:qFormat/>
    <w:uiPriority w:val="0"/>
    <w:rPr>
      <w:rFonts w:hint="eastAsia" w:ascii="宋体" w:hAnsi="宋体" w:eastAsia="宋体" w:cs="宋体"/>
      <w:color w:val="000000"/>
      <w:sz w:val="20"/>
      <w:szCs w:val="20"/>
      <w:u w:val="none"/>
    </w:rPr>
  </w:style>
  <w:style w:type="character" w:customStyle="1" w:styleId="112">
    <w:name w:val="不明显参考1"/>
    <w:autoRedefine/>
    <w:qFormat/>
    <w:uiPriority w:val="0"/>
    <w:rPr>
      <w:smallCaps/>
      <w:color w:val="C0504D"/>
      <w:u w:val="single"/>
    </w:rPr>
  </w:style>
  <w:style w:type="character" w:customStyle="1" w:styleId="113">
    <w:name w:val="标题 6 Char"/>
    <w:link w:val="8"/>
    <w:autoRedefine/>
    <w:qFormat/>
    <w:uiPriority w:val="0"/>
    <w:rPr>
      <w:rFonts w:ascii="Arial" w:hAnsi="Arial" w:eastAsia="黑体"/>
      <w:b/>
      <w:bCs/>
      <w:kern w:val="2"/>
      <w:sz w:val="24"/>
      <w:szCs w:val="24"/>
      <w:lang w:val="en-US" w:eastAsia="zh-CN" w:bidi="ar-SA"/>
    </w:rPr>
  </w:style>
  <w:style w:type="character" w:customStyle="1" w:styleId="114">
    <w:name w:val="style71"/>
    <w:autoRedefine/>
    <w:qFormat/>
    <w:uiPriority w:val="0"/>
    <w:rPr>
      <w:sz w:val="21"/>
      <w:szCs w:val="21"/>
    </w:rPr>
  </w:style>
  <w:style w:type="character" w:customStyle="1" w:styleId="115">
    <w:name w:val="HTML 地址 Char"/>
    <w:link w:val="22"/>
    <w:autoRedefine/>
    <w:qFormat/>
    <w:uiPriority w:val="0"/>
    <w:rPr>
      <w:i/>
      <w:kern w:val="2"/>
      <w:sz w:val="21"/>
      <w:szCs w:val="24"/>
    </w:rPr>
  </w:style>
  <w:style w:type="character" w:customStyle="1" w:styleId="116">
    <w:name w:val="细目1 Char Char"/>
    <w:link w:val="117"/>
    <w:autoRedefine/>
    <w:qFormat/>
    <w:uiPriority w:val="0"/>
    <w:rPr>
      <w:b/>
      <w:color w:val="215868"/>
      <w:kern w:val="2"/>
      <w:sz w:val="24"/>
      <w:szCs w:val="24"/>
    </w:rPr>
  </w:style>
  <w:style w:type="paragraph" w:customStyle="1" w:styleId="117">
    <w:name w:val="细目1"/>
    <w:basedOn w:val="1"/>
    <w:link w:val="11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autoRedefine/>
    <w:qFormat/>
    <w:uiPriority w:val="0"/>
    <w:rPr>
      <w:rFonts w:ascii="宋体" w:hAnsi="宋体"/>
      <w:sz w:val="21"/>
      <w:szCs w:val="21"/>
    </w:rPr>
  </w:style>
  <w:style w:type="paragraph" w:customStyle="1" w:styleId="119">
    <w:name w:val="xl25"/>
    <w:basedOn w:val="1"/>
    <w:link w:val="118"/>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autoRedefine/>
    <w:qFormat/>
    <w:uiPriority w:val="0"/>
    <w:rPr>
      <w:rFonts w:ascii="Arial" w:hAnsi="Arial" w:eastAsia="黑体" w:cs="Arial"/>
      <w:kern w:val="2"/>
    </w:rPr>
  </w:style>
  <w:style w:type="character" w:customStyle="1" w:styleId="121">
    <w:name w:val="标题 8 Char"/>
    <w:link w:val="10"/>
    <w:autoRedefine/>
    <w:qFormat/>
    <w:uiPriority w:val="0"/>
    <w:rPr>
      <w:rFonts w:ascii="Arial" w:hAnsi="Arial" w:eastAsia="黑体"/>
      <w:kern w:val="2"/>
      <w:sz w:val="24"/>
      <w:szCs w:val="24"/>
      <w:lang w:val="en-US" w:eastAsia="zh-CN" w:bidi="ar-SA"/>
    </w:rPr>
  </w:style>
  <w:style w:type="character" w:customStyle="1" w:styleId="122">
    <w:name w:val="正文文本缩进 2 Char"/>
    <w:link w:val="29"/>
    <w:autoRedefine/>
    <w:qFormat/>
    <w:uiPriority w:val="0"/>
    <w:rPr>
      <w:rFonts w:eastAsia="仿宋_GB2312"/>
      <w:sz w:val="30"/>
      <w:lang w:bidi="ar-SA"/>
    </w:rPr>
  </w:style>
  <w:style w:type="character" w:customStyle="1" w:styleId="123">
    <w:name w:val="ca-11"/>
    <w:basedOn w:val="53"/>
    <w:autoRedefine/>
    <w:qFormat/>
    <w:uiPriority w:val="0"/>
  </w:style>
  <w:style w:type="character" w:customStyle="1" w:styleId="124">
    <w:name w:val="正文缩进 Char"/>
    <w:link w:val="5"/>
    <w:autoRedefine/>
    <w:qFormat/>
    <w:uiPriority w:val="0"/>
    <w:rPr>
      <w:rFonts w:ascii="宋体" w:eastAsia="宋体"/>
      <w:sz w:val="34"/>
      <w:lang w:val="en-US" w:eastAsia="zh-CN" w:bidi="ar-SA"/>
    </w:rPr>
  </w:style>
  <w:style w:type="character" w:customStyle="1" w:styleId="125">
    <w:name w:val="副标题 Char"/>
    <w:link w:val="37"/>
    <w:autoRedefine/>
    <w:qFormat/>
    <w:uiPriority w:val="0"/>
    <w:rPr>
      <w:rFonts w:ascii="Calibri Light" w:hAnsi="Calibri Light"/>
      <w:b/>
      <w:bCs/>
      <w:kern w:val="28"/>
      <w:sz w:val="32"/>
      <w:szCs w:val="32"/>
    </w:rPr>
  </w:style>
  <w:style w:type="character" w:customStyle="1" w:styleId="126">
    <w:name w:val="页眉 Char Char"/>
    <w:autoRedefine/>
    <w:qFormat/>
    <w:uiPriority w:val="0"/>
    <w:rPr>
      <w:rFonts w:eastAsia="宋体"/>
      <w:sz w:val="18"/>
      <w:szCs w:val="18"/>
      <w:lang w:bidi="ar-SA"/>
    </w:rPr>
  </w:style>
  <w:style w:type="character" w:customStyle="1" w:styleId="127">
    <w:name w:val="批注主题 Char"/>
    <w:link w:val="48"/>
    <w:autoRedefine/>
    <w:qFormat/>
    <w:uiPriority w:val="0"/>
    <w:rPr>
      <w:b/>
      <w:bCs/>
      <w:kern w:val="2"/>
      <w:sz w:val="21"/>
      <w:szCs w:val="24"/>
    </w:rPr>
  </w:style>
  <w:style w:type="character" w:customStyle="1" w:styleId="128">
    <w:name w:val="p12"/>
    <w:basedOn w:val="53"/>
    <w:autoRedefine/>
    <w:qFormat/>
    <w:uiPriority w:val="0"/>
  </w:style>
  <w:style w:type="character" w:customStyle="1" w:styleId="129">
    <w:name w:val="表格内容"/>
    <w:autoRedefine/>
    <w:qFormat/>
    <w:uiPriority w:val="0"/>
    <w:rPr>
      <w:sz w:val="24"/>
    </w:rPr>
  </w:style>
  <w:style w:type="character" w:customStyle="1" w:styleId="130">
    <w:name w:val="正文文本缩进 Char"/>
    <w:link w:val="20"/>
    <w:autoRedefine/>
    <w:qFormat/>
    <w:uiPriority w:val="0"/>
    <w:rPr>
      <w:rFonts w:ascii="仿宋_GB2312" w:eastAsia="仿宋_GB2312"/>
      <w:sz w:val="28"/>
      <w:lang w:val="en-US" w:eastAsia="zh-CN" w:bidi="ar-SA"/>
    </w:rPr>
  </w:style>
  <w:style w:type="character" w:customStyle="1" w:styleId="131">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2">
    <w:name w:val="纯文本 Char1"/>
    <w:autoRedefine/>
    <w:qFormat/>
    <w:uiPriority w:val="0"/>
    <w:rPr>
      <w:rFonts w:ascii="宋体" w:hAnsi="Courier New" w:eastAsia="宋体" w:cs="Times New Roman"/>
      <w:kern w:val="0"/>
      <w:sz w:val="20"/>
      <w:szCs w:val="20"/>
    </w:rPr>
  </w:style>
  <w:style w:type="character" w:customStyle="1" w:styleId="133">
    <w:name w:val="正文首行缩进 Char Char"/>
    <w:autoRedefine/>
    <w:qFormat/>
    <w:uiPriority w:val="0"/>
    <w:rPr>
      <w:rFonts w:eastAsia="仿宋_GB2312"/>
      <w:kern w:val="2"/>
      <w:sz w:val="28"/>
      <w:szCs w:val="24"/>
      <w:lang w:bidi="ar-SA"/>
    </w:rPr>
  </w:style>
  <w:style w:type="character" w:customStyle="1" w:styleId="134">
    <w:name w:val="页眉 Char"/>
    <w:link w:val="32"/>
    <w:autoRedefine/>
    <w:qFormat/>
    <w:uiPriority w:val="0"/>
    <w:rPr>
      <w:rFonts w:eastAsia="宋体"/>
      <w:kern w:val="2"/>
      <w:sz w:val="18"/>
      <w:lang w:val="en-US" w:eastAsia="zh-CN" w:bidi="ar-SA"/>
    </w:rPr>
  </w:style>
  <w:style w:type="character" w:customStyle="1" w:styleId="135">
    <w:name w:val="标题 1 Char Char"/>
    <w:autoRedefine/>
    <w:qFormat/>
    <w:uiPriority w:val="0"/>
    <w:rPr>
      <w:rFonts w:eastAsia="宋体"/>
      <w:b/>
      <w:bCs/>
      <w:kern w:val="44"/>
      <w:sz w:val="44"/>
      <w:szCs w:val="44"/>
      <w:lang w:val="en-US" w:eastAsia="zh-CN" w:bidi="ar-SA"/>
    </w:rPr>
  </w:style>
  <w:style w:type="character" w:customStyle="1" w:styleId="136">
    <w:name w:val="Font Style17"/>
    <w:autoRedefine/>
    <w:qFormat/>
    <w:uiPriority w:val="0"/>
    <w:rPr>
      <w:rFonts w:ascii="黑体" w:eastAsia="黑体" w:cs="黑体"/>
      <w:sz w:val="28"/>
      <w:szCs w:val="28"/>
    </w:rPr>
  </w:style>
  <w:style w:type="character" w:customStyle="1" w:styleId="137">
    <w:name w:val="Char Char10"/>
    <w:autoRedefine/>
    <w:qFormat/>
    <w:uiPriority w:val="0"/>
    <w:rPr>
      <w:rFonts w:eastAsia="宋体"/>
      <w:kern w:val="2"/>
      <w:sz w:val="18"/>
      <w:szCs w:val="18"/>
      <w:lang w:val="en-US" w:eastAsia="zh-CN" w:bidi="ar-SA"/>
    </w:rPr>
  </w:style>
  <w:style w:type="character" w:customStyle="1" w:styleId="138">
    <w:name w:val="正文文本缩进 3 Char Char"/>
    <w:autoRedefine/>
    <w:qFormat/>
    <w:uiPriority w:val="0"/>
    <w:rPr>
      <w:kern w:val="2"/>
      <w:sz w:val="16"/>
      <w:szCs w:val="16"/>
      <w:lang w:bidi="ar-SA"/>
    </w:rPr>
  </w:style>
  <w:style w:type="character" w:customStyle="1" w:styleId="139">
    <w:name w:val="标题 3 Char Char"/>
    <w:autoRedefine/>
    <w:qFormat/>
    <w:uiPriority w:val="0"/>
    <w:rPr>
      <w:rFonts w:eastAsia="宋体"/>
      <w:b/>
      <w:bCs/>
      <w:kern w:val="2"/>
      <w:sz w:val="32"/>
      <w:szCs w:val="32"/>
      <w:lang w:val="en-US" w:eastAsia="zh-CN" w:bidi="ar-SA"/>
    </w:rPr>
  </w:style>
  <w:style w:type="character" w:customStyle="1" w:styleId="140">
    <w:name w:val="nine-11"/>
    <w:autoRedefine/>
    <w:qFormat/>
    <w:uiPriority w:val="0"/>
    <w:rPr>
      <w:rFonts w:hint="default"/>
      <w:sz w:val="18"/>
      <w:szCs w:val="18"/>
    </w:rPr>
  </w:style>
  <w:style w:type="character" w:customStyle="1" w:styleId="141">
    <w:name w:val="标题 7 Char"/>
    <w:link w:val="9"/>
    <w:autoRedefine/>
    <w:qFormat/>
    <w:uiPriority w:val="0"/>
    <w:rPr>
      <w:rFonts w:eastAsia="宋体"/>
      <w:b/>
      <w:bCs/>
      <w:kern w:val="2"/>
      <w:sz w:val="24"/>
      <w:szCs w:val="24"/>
      <w:lang w:val="en-US" w:eastAsia="zh-CN" w:bidi="ar-SA"/>
    </w:rPr>
  </w:style>
  <w:style w:type="character" w:customStyle="1" w:styleId="142">
    <w:name w:val="题注 Char1"/>
    <w:autoRedefine/>
    <w:qFormat/>
    <w:uiPriority w:val="0"/>
    <w:rPr>
      <w:rFonts w:ascii="Arial" w:hAnsi="Arial" w:eastAsia="宋体" w:cs="Arial"/>
      <w:kern w:val="2"/>
      <w:lang w:val="en-US" w:eastAsia="zh-CN" w:bidi="ar-SA"/>
    </w:rPr>
  </w:style>
  <w:style w:type="character" w:customStyle="1" w:styleId="143">
    <w:name w:val="正文缩进 Char2"/>
    <w:link w:val="144"/>
    <w:autoRedefine/>
    <w:qFormat/>
    <w:uiPriority w:val="0"/>
    <w:rPr>
      <w:rFonts w:ascii="宋体" w:eastAsia="宋体"/>
      <w:sz w:val="34"/>
      <w:lang w:bidi="ar-SA"/>
    </w:rPr>
  </w:style>
  <w:style w:type="paragraph" w:customStyle="1" w:styleId="144">
    <w:name w:val="Normal Indent1"/>
    <w:basedOn w:val="1"/>
    <w:link w:val="143"/>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autoRedefine/>
    <w:qFormat/>
    <w:uiPriority w:val="0"/>
    <w:rPr>
      <w:b/>
    </w:rPr>
  </w:style>
  <w:style w:type="paragraph" w:customStyle="1" w:styleId="146">
    <w:name w:val="表标题"/>
    <w:basedOn w:val="5"/>
    <w:link w:val="145"/>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autoRedefine/>
    <w:qFormat/>
    <w:uiPriority w:val="0"/>
    <w:rPr>
      <w:rFonts w:ascii="宋体" w:hAnsi="Courier New" w:eastAsia="宋体"/>
      <w:kern w:val="2"/>
      <w:sz w:val="21"/>
      <w:lang w:val="en-US" w:eastAsia="zh-CN" w:bidi="ar-SA"/>
    </w:rPr>
  </w:style>
  <w:style w:type="character" w:customStyle="1" w:styleId="148">
    <w:name w:val="标题 5 Char"/>
    <w:link w:val="7"/>
    <w:autoRedefine/>
    <w:qFormat/>
    <w:uiPriority w:val="0"/>
    <w:rPr>
      <w:rFonts w:eastAsia="宋体"/>
      <w:b/>
      <w:kern w:val="2"/>
      <w:sz w:val="28"/>
      <w:lang w:val="en-US" w:eastAsia="zh-CN" w:bidi="ar-SA"/>
    </w:rPr>
  </w:style>
  <w:style w:type="character" w:customStyle="1" w:styleId="149">
    <w:name w:val="Char Char5"/>
    <w:autoRedefine/>
    <w:qFormat/>
    <w:uiPriority w:val="0"/>
    <w:rPr>
      <w:rFonts w:eastAsia="宋体"/>
      <w:kern w:val="2"/>
      <w:sz w:val="18"/>
      <w:lang w:val="en-US" w:eastAsia="zh-CN" w:bidi="ar-SA"/>
    </w:rPr>
  </w:style>
  <w:style w:type="character" w:customStyle="1" w:styleId="150">
    <w:name w:val="style18"/>
    <w:autoRedefine/>
    <w:qFormat/>
    <w:uiPriority w:val="0"/>
  </w:style>
  <w:style w:type="character" w:customStyle="1" w:styleId="151">
    <w:name w:val="批注框文本 Char"/>
    <w:link w:val="30"/>
    <w:autoRedefine/>
    <w:qFormat/>
    <w:uiPriority w:val="0"/>
    <w:rPr>
      <w:rFonts w:eastAsia="宋体"/>
      <w:kern w:val="2"/>
      <w:sz w:val="18"/>
      <w:szCs w:val="18"/>
      <w:lang w:val="en-US" w:eastAsia="zh-CN" w:bidi="ar-SA"/>
    </w:rPr>
  </w:style>
  <w:style w:type="character" w:customStyle="1" w:styleId="152">
    <w:name w:val="mark"/>
    <w:basedOn w:val="53"/>
    <w:autoRedefine/>
    <w:qFormat/>
    <w:uiPriority w:val="0"/>
  </w:style>
  <w:style w:type="character" w:customStyle="1" w:styleId="153">
    <w:name w:val="样式2"/>
    <w:autoRedefine/>
    <w:qFormat/>
    <w:uiPriority w:val="0"/>
    <w:rPr>
      <w:rFonts w:eastAsia="华文楷体"/>
      <w:b/>
      <w:sz w:val="32"/>
    </w:rPr>
  </w:style>
  <w:style w:type="character" w:customStyle="1" w:styleId="154">
    <w:name w:val="ALT+Z Char"/>
    <w:autoRedefine/>
    <w:qFormat/>
    <w:uiPriority w:val="0"/>
    <w:rPr>
      <w:rFonts w:ascii="宋体"/>
      <w:sz w:val="34"/>
    </w:rPr>
  </w:style>
  <w:style w:type="character" w:customStyle="1" w:styleId="155">
    <w:name w:val="标题 1 Char"/>
    <w:link w:val="2"/>
    <w:autoRedefine/>
    <w:qFormat/>
    <w:uiPriority w:val="0"/>
    <w:rPr>
      <w:rFonts w:ascii="黑体" w:eastAsia="黑体"/>
      <w:bCs/>
      <w:kern w:val="44"/>
      <w:sz w:val="24"/>
      <w:szCs w:val="24"/>
    </w:rPr>
  </w:style>
  <w:style w:type="character" w:customStyle="1" w:styleId="156">
    <w:name w:val="正文 A Char Char"/>
    <w:link w:val="157"/>
    <w:autoRedefine/>
    <w:qFormat/>
    <w:uiPriority w:val="0"/>
    <w:rPr>
      <w:rFonts w:ascii="仿宋_GB2312" w:hAnsi="Heiti SC Light" w:eastAsia="仿宋_GB2312"/>
      <w:kern w:val="2"/>
      <w:sz w:val="24"/>
      <w:lang w:val="en-US" w:eastAsia="zh-CN" w:bidi="ar-SA"/>
    </w:rPr>
  </w:style>
  <w:style w:type="paragraph" w:customStyle="1" w:styleId="157">
    <w:name w:val="正文 A"/>
    <w:link w:val="156"/>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autoRedefine/>
    <w:qFormat/>
    <w:uiPriority w:val="0"/>
    <w:rPr>
      <w:rFonts w:ascii="Calibri" w:hAnsi="Calibri" w:eastAsia="宋体"/>
      <w:kern w:val="2"/>
      <w:sz w:val="21"/>
      <w:szCs w:val="22"/>
      <w:lang w:val="en-US" w:eastAsia="zh-CN" w:bidi="ar-SA"/>
    </w:rPr>
  </w:style>
  <w:style w:type="character" w:customStyle="1" w:styleId="159">
    <w:name w:val="ca-9"/>
    <w:basedOn w:val="53"/>
    <w:autoRedefine/>
    <w:qFormat/>
    <w:uiPriority w:val="0"/>
  </w:style>
  <w:style w:type="character" w:customStyle="1" w:styleId="160">
    <w:name w:val="正文（缩进） Char Char"/>
    <w:link w:val="161"/>
    <w:autoRedefine/>
    <w:qFormat/>
    <w:uiPriority w:val="0"/>
    <w:rPr>
      <w:rFonts w:eastAsia="宋体"/>
      <w:kern w:val="2"/>
      <w:sz w:val="24"/>
      <w:szCs w:val="24"/>
      <w:lang w:val="en-US" w:eastAsia="zh-CN" w:bidi="ar-SA"/>
    </w:rPr>
  </w:style>
  <w:style w:type="paragraph" w:customStyle="1" w:styleId="161">
    <w:name w:val="正文（缩进）"/>
    <w:basedOn w:val="1"/>
    <w:link w:val="160"/>
    <w:autoRedefine/>
    <w:qFormat/>
    <w:uiPriority w:val="0"/>
    <w:pPr>
      <w:spacing w:beforeLines="50" w:afterLines="50" w:line="360" w:lineRule="auto"/>
      <w:ind w:firstLine="480" w:firstLineChars="200"/>
    </w:pPr>
    <w:rPr>
      <w:sz w:val="24"/>
    </w:rPr>
  </w:style>
  <w:style w:type="paragraph" w:customStyle="1" w:styleId="162">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autoRedefine/>
    <w:qFormat/>
    <w:uiPriority w:val="0"/>
    <w:pPr>
      <w:spacing w:line="360" w:lineRule="auto"/>
      <w:ind w:firstLine="200" w:firstLineChars="200"/>
    </w:pPr>
    <w:rPr>
      <w:rFonts w:ascii="宋体" w:hAnsi="宋体" w:cs="宋体"/>
      <w:sz w:val="24"/>
    </w:rPr>
  </w:style>
  <w:style w:type="paragraph" w:customStyle="1" w:styleId="165">
    <w:name w:val="列举"/>
    <w:basedOn w:val="1"/>
    <w:autoRedefine/>
    <w:qFormat/>
    <w:uiPriority w:val="0"/>
    <w:pPr>
      <w:numPr>
        <w:ilvl w:val="0"/>
        <w:numId w:val="7"/>
      </w:numPr>
      <w:spacing w:line="360" w:lineRule="auto"/>
    </w:pPr>
    <w:rPr>
      <w:rFonts w:ascii="宋体"/>
    </w:rPr>
  </w:style>
  <w:style w:type="paragraph" w:customStyle="1" w:styleId="16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autoRedefine/>
    <w:qFormat/>
    <w:uiPriority w:val="0"/>
    <w:pPr>
      <w:widowControl/>
      <w:spacing w:after="40" w:line="360" w:lineRule="auto"/>
      <w:ind w:firstLine="200" w:firstLineChars="200"/>
    </w:pPr>
    <w:rPr>
      <w:kern w:val="0"/>
      <w:sz w:val="24"/>
    </w:rPr>
  </w:style>
  <w:style w:type="paragraph" w:customStyle="1" w:styleId="16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autoRedefine/>
    <w:qFormat/>
    <w:uiPriority w:val="0"/>
    <w:pPr>
      <w:numPr>
        <w:ilvl w:val="3"/>
        <w:numId w:val="8"/>
      </w:numPr>
      <w:tabs>
        <w:tab w:val="left" w:pos="425"/>
        <w:tab w:val="clear" w:pos="1984"/>
      </w:tabs>
    </w:pPr>
    <w:rPr>
      <w:bCs w:val="0"/>
    </w:rPr>
  </w:style>
  <w:style w:type="paragraph" w:customStyle="1" w:styleId="170">
    <w:name w:val="p0"/>
    <w:basedOn w:val="1"/>
    <w:autoRedefine/>
    <w:qFormat/>
    <w:uiPriority w:val="0"/>
    <w:pPr>
      <w:widowControl/>
    </w:pPr>
    <w:rPr>
      <w:kern w:val="0"/>
      <w:szCs w:val="21"/>
    </w:rPr>
  </w:style>
  <w:style w:type="paragraph" w:customStyle="1" w:styleId="171">
    <w:name w:val="正文序号 1"/>
    <w:basedOn w:val="1"/>
    <w:autoRedefine/>
    <w:qFormat/>
    <w:uiPriority w:val="0"/>
    <w:pPr>
      <w:numPr>
        <w:ilvl w:val="0"/>
        <w:numId w:val="9"/>
      </w:numPr>
      <w:spacing w:before="60"/>
    </w:pPr>
  </w:style>
  <w:style w:type="paragraph" w:customStyle="1" w:styleId="17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autoRedefine/>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8">
    <w:name w:val="font6"/>
    <w:basedOn w:val="1"/>
    <w:autoRedefine/>
    <w:qFormat/>
    <w:uiPriority w:val="0"/>
    <w:pPr>
      <w:widowControl/>
      <w:spacing w:before="100" w:beforeAutospacing="1" w:after="100" w:afterAutospacing="1"/>
      <w:jc w:val="left"/>
    </w:pPr>
    <w:rPr>
      <w:kern w:val="0"/>
      <w:sz w:val="24"/>
    </w:rPr>
  </w:style>
  <w:style w:type="paragraph" w:customStyle="1" w:styleId="17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autoRedefine/>
    <w:qFormat/>
    <w:uiPriority w:val="0"/>
    <w:pPr>
      <w:numPr>
        <w:ilvl w:val="1"/>
        <w:numId w:val="9"/>
      </w:numPr>
      <w:spacing w:before="60"/>
    </w:p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autoRedefine/>
    <w:qFormat/>
    <w:uiPriority w:val="0"/>
    <w:pPr>
      <w:tabs>
        <w:tab w:val="left" w:pos="425"/>
      </w:tabs>
      <w:ind w:left="425" w:hanging="425"/>
    </w:pPr>
    <w:rPr>
      <w:sz w:val="24"/>
    </w:rPr>
  </w:style>
  <w:style w:type="paragraph" w:customStyle="1" w:styleId="19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autoRedefine/>
    <w:qFormat/>
    <w:uiPriority w:val="0"/>
    <w:pPr>
      <w:numPr>
        <w:ilvl w:val="0"/>
        <w:numId w:val="11"/>
      </w:numPr>
      <w:spacing w:line="360" w:lineRule="auto"/>
    </w:pPr>
    <w:rPr>
      <w:sz w:val="24"/>
    </w:rPr>
  </w:style>
  <w:style w:type="paragraph" w:customStyle="1" w:styleId="192">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autoRedefine/>
    <w:qFormat/>
    <w:uiPriority w:val="0"/>
    <w:rPr>
      <w:rFonts w:ascii="Tahoma" w:hAnsi="Tahoma"/>
      <w:sz w:val="24"/>
      <w:szCs w:val="20"/>
    </w:rPr>
  </w:style>
  <w:style w:type="paragraph" w:customStyle="1" w:styleId="194">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autoRedefine/>
    <w:qFormat/>
    <w:uiPriority w:val="0"/>
    <w:pPr>
      <w:widowControl/>
      <w:spacing w:before="150" w:after="150"/>
      <w:jc w:val="left"/>
    </w:pPr>
    <w:rPr>
      <w:rFonts w:ascii="宋体" w:hAnsi="宋体" w:cs="宋体"/>
      <w:kern w:val="0"/>
      <w:sz w:val="24"/>
    </w:rPr>
  </w:style>
  <w:style w:type="paragraph" w:customStyle="1" w:styleId="205">
    <w:name w:val="MM Topic 5"/>
    <w:basedOn w:val="7"/>
    <w:autoRedefine/>
    <w:qFormat/>
    <w:uiPriority w:val="0"/>
    <w:pPr>
      <w:numPr>
        <w:ilvl w:val="4"/>
        <w:numId w:val="8"/>
      </w:numPr>
      <w:tabs>
        <w:tab w:val="left" w:pos="425"/>
        <w:tab w:val="clear" w:pos="2551"/>
      </w:tabs>
    </w:pPr>
    <w:rPr>
      <w:bCs/>
      <w:szCs w:val="28"/>
    </w:rPr>
  </w:style>
  <w:style w:type="paragraph" w:customStyle="1" w:styleId="20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autoRedefine/>
    <w:qFormat/>
    <w:uiPriority w:val="0"/>
    <w:pPr>
      <w:widowControl/>
      <w:spacing w:before="100" w:beforeAutospacing="1" w:after="100" w:afterAutospacing="1"/>
      <w:jc w:val="left"/>
    </w:pPr>
    <w:rPr>
      <w:kern w:val="0"/>
      <w:sz w:val="22"/>
      <w:szCs w:val="22"/>
    </w:rPr>
  </w:style>
  <w:style w:type="paragraph" w:customStyle="1" w:styleId="20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autoRedefine/>
    <w:qFormat/>
    <w:uiPriority w:val="0"/>
    <w:pPr>
      <w:jc w:val="center"/>
    </w:pPr>
    <w:rPr>
      <w:b/>
      <w:color w:val="000000"/>
      <w:sz w:val="24"/>
      <w:szCs w:val="21"/>
    </w:rPr>
  </w:style>
  <w:style w:type="paragraph" w:customStyle="1" w:styleId="21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5">
    <w:name w:val="Char"/>
    <w:basedOn w:val="1"/>
    <w:autoRedefine/>
    <w:qFormat/>
    <w:uiPriority w:val="0"/>
    <w:pPr>
      <w:tabs>
        <w:tab w:val="left" w:pos="1365"/>
      </w:tabs>
      <w:ind w:left="1365" w:hanging="360"/>
    </w:pPr>
    <w:rPr>
      <w:sz w:val="24"/>
    </w:rPr>
  </w:style>
  <w:style w:type="paragraph" w:customStyle="1" w:styleId="216">
    <w:name w:val="font15"/>
    <w:basedOn w:val="1"/>
    <w:autoRedefine/>
    <w:qFormat/>
    <w:uiPriority w:val="0"/>
    <w:pPr>
      <w:widowControl/>
      <w:spacing w:before="100" w:beforeAutospacing="1" w:after="100" w:afterAutospacing="1"/>
      <w:jc w:val="left"/>
    </w:pPr>
    <w:rPr>
      <w:kern w:val="0"/>
      <w:sz w:val="20"/>
      <w:szCs w:val="20"/>
    </w:rPr>
  </w:style>
  <w:style w:type="paragraph" w:customStyle="1" w:styleId="2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autoRedefine/>
    <w:qFormat/>
    <w:uiPriority w:val="0"/>
    <w:pPr>
      <w:widowControl/>
      <w:spacing w:before="100" w:beforeAutospacing="1" w:after="100" w:afterAutospacing="1"/>
      <w:jc w:val="left"/>
    </w:pPr>
    <w:rPr>
      <w:kern w:val="0"/>
      <w:sz w:val="20"/>
      <w:szCs w:val="20"/>
    </w:rPr>
  </w:style>
  <w:style w:type="paragraph" w:customStyle="1" w:styleId="221">
    <w:name w:val="Char2"/>
    <w:basedOn w:val="1"/>
    <w:autoRedefine/>
    <w:qFormat/>
    <w:uiPriority w:val="0"/>
    <w:pPr>
      <w:tabs>
        <w:tab w:val="left" w:pos="425"/>
      </w:tabs>
      <w:ind w:left="425" w:hanging="425"/>
    </w:pPr>
    <w:rPr>
      <w:sz w:val="24"/>
    </w:rPr>
  </w:style>
  <w:style w:type="paragraph" w:customStyle="1" w:styleId="222">
    <w:name w:val="书籍标题4"/>
    <w:basedOn w:val="99"/>
    <w:next w:val="1"/>
    <w:autoRedefine/>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autoRedefine/>
    <w:qFormat/>
    <w:uiPriority w:val="0"/>
    <w:pPr>
      <w:numPr>
        <w:ilvl w:val="3"/>
        <w:numId w:val="13"/>
      </w:numPr>
      <w:tabs>
        <w:tab w:val="clear" w:pos="1914"/>
      </w:tabs>
    </w:pPr>
    <w:rPr>
      <w:color w:val="auto"/>
    </w:rPr>
  </w:style>
  <w:style w:type="paragraph" w:customStyle="1" w:styleId="224">
    <w:name w:val="表格"/>
    <w:basedOn w:val="1"/>
    <w:autoRedefine/>
    <w:qFormat/>
    <w:uiPriority w:val="0"/>
    <w:pPr>
      <w:jc w:val="center"/>
    </w:pPr>
    <w:rPr>
      <w:rFonts w:ascii="宋体"/>
      <w:b/>
      <w:szCs w:val="20"/>
    </w:rPr>
  </w:style>
  <w:style w:type="paragraph" w:customStyle="1" w:styleId="225">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autoRedefine/>
    <w:qFormat/>
    <w:uiPriority w:val="34"/>
    <w:pPr>
      <w:ind w:firstLine="200" w:firstLineChars="200"/>
    </w:pPr>
    <w:rPr>
      <w:rFonts w:ascii="Calibri" w:hAnsi="Calibri"/>
      <w:szCs w:val="22"/>
    </w:rPr>
  </w:style>
  <w:style w:type="paragraph" w:customStyle="1" w:styleId="241">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autoRedefine/>
    <w:qFormat/>
    <w:uiPriority w:val="0"/>
    <w:pPr>
      <w:numPr>
        <w:ilvl w:val="2"/>
        <w:numId w:val="9"/>
      </w:numPr>
      <w:spacing w:before="60"/>
    </w:pPr>
  </w:style>
  <w:style w:type="paragraph" w:customStyle="1" w:styleId="2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49">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autoRedefine/>
    <w:qFormat/>
    <w:uiPriority w:val="0"/>
    <w:pPr>
      <w:ind w:left="1365" w:hanging="360"/>
    </w:pPr>
    <w:rPr>
      <w:sz w:val="24"/>
    </w:rPr>
  </w:style>
  <w:style w:type="paragraph" w:customStyle="1" w:styleId="254">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23602</Words>
  <Characters>25239</Characters>
  <Lines>241</Lines>
  <Paragraphs>68</Paragraphs>
  <TotalTime>1</TotalTime>
  <ScaleCrop>false</ScaleCrop>
  <LinksUpToDate>false</LinksUpToDate>
  <CharactersWithSpaces>29510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Administrator</cp:lastModifiedBy>
  <cp:lastPrinted>2023-12-22T04:15:00Z</cp:lastPrinted>
  <dcterms:modified xsi:type="dcterms:W3CDTF">2023-12-27T09:01:21Z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F590216C48344EB093F990E4C9F24AF8</vt:lpwstr>
  </property>
</Properties>
</file>