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jc w:val="left"/>
        <w:rPr>
          <w:rFonts w:hAnsi="宋体"/>
          <w:bCs/>
          <w:color w:val="000000" w:themeColor="text1"/>
          <w:sz w:val="32"/>
          <w:highlight w:val="none"/>
        </w:rPr>
      </w:pPr>
      <w:bookmarkStart w:id="0" w:name="_Toc491658631"/>
      <w:r>
        <w:rPr>
          <w:rFonts w:hint="eastAsia" w:hAnsi="宋体"/>
          <w:bCs/>
          <w:color w:val="000000" w:themeColor="text1"/>
          <w:sz w:val="32"/>
          <w:highlight w:val="none"/>
        </w:rPr>
        <w:drawing>
          <wp:inline distT="0" distB="0" distL="0" distR="0">
            <wp:extent cx="2328545" cy="37211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328545" cy="372110"/>
                    </a:xfrm>
                    <a:prstGeom prst="rect">
                      <a:avLst/>
                    </a:prstGeom>
                    <a:noFill/>
                    <a:ln>
                      <a:noFill/>
                    </a:ln>
                  </pic:spPr>
                </pic:pic>
              </a:graphicData>
            </a:graphic>
          </wp:inline>
        </w:drawing>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cs="宋体"/>
          <w:b/>
          <w:color w:val="000000" w:themeColor="text1"/>
          <w:kern w:val="0"/>
          <w:sz w:val="84"/>
          <w:szCs w:val="84"/>
          <w:highlight w:val="none"/>
        </w:rPr>
      </w:pPr>
      <w:r>
        <w:rPr>
          <w:rFonts w:hint="eastAsia" w:hAnsi="宋体" w:cs="宋体"/>
          <w:b/>
          <w:color w:val="000000" w:themeColor="text1"/>
          <w:kern w:val="0"/>
          <w:sz w:val="84"/>
          <w:szCs w:val="84"/>
          <w:highlight w:val="none"/>
        </w:rPr>
        <w:t>竞争性磋商</w:t>
      </w:r>
    </w:p>
    <w:p>
      <w:pPr>
        <w:pStyle w:val="25"/>
        <w:widowControl/>
        <w:adjustRightInd w:val="0"/>
        <w:snapToGrid w:val="0"/>
        <w:spacing w:line="360" w:lineRule="auto"/>
        <w:jc w:val="center"/>
        <w:rPr>
          <w:rFonts w:hAnsi="宋体"/>
          <w:b/>
          <w:bCs/>
          <w:color w:val="000000" w:themeColor="text1"/>
          <w:sz w:val="84"/>
          <w:szCs w:val="84"/>
          <w:highlight w:val="none"/>
        </w:rPr>
      </w:pPr>
    </w:p>
    <w:p>
      <w:pPr>
        <w:pStyle w:val="25"/>
        <w:widowControl/>
        <w:adjustRightInd w:val="0"/>
        <w:snapToGrid w:val="0"/>
        <w:spacing w:line="360" w:lineRule="auto"/>
        <w:jc w:val="center"/>
        <w:rPr>
          <w:rFonts w:hAnsi="宋体"/>
          <w:b/>
          <w:bCs/>
          <w:color w:val="000000" w:themeColor="text1"/>
          <w:sz w:val="84"/>
          <w:szCs w:val="84"/>
          <w:highlight w:val="none"/>
        </w:rPr>
      </w:pPr>
      <w:r>
        <w:rPr>
          <w:rFonts w:hint="eastAsia" w:hAnsi="宋体" w:cs="宋体"/>
          <w:b/>
          <w:color w:val="000000" w:themeColor="text1"/>
          <w:kern w:val="0"/>
          <w:sz w:val="84"/>
          <w:szCs w:val="84"/>
          <w:highlight w:val="none"/>
        </w:rPr>
        <w:t>磋  商</w:t>
      </w:r>
      <w:r>
        <w:rPr>
          <w:rFonts w:hint="eastAsia" w:hAnsi="宋体"/>
          <w:b/>
          <w:bCs/>
          <w:color w:val="000000" w:themeColor="text1"/>
          <w:sz w:val="84"/>
          <w:szCs w:val="84"/>
          <w:highlight w:val="none"/>
        </w:rPr>
        <w:t xml:space="preserve">  文  件</w:t>
      </w: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jc w:val="center"/>
        <w:rPr>
          <w:rFonts w:hAnsi="宋体"/>
          <w:bCs/>
          <w:color w:val="000000" w:themeColor="text1"/>
          <w:sz w:val="52"/>
          <w:szCs w:val="52"/>
          <w:highlight w:val="none"/>
        </w:rPr>
      </w:pPr>
    </w:p>
    <w:p>
      <w:pPr>
        <w:pStyle w:val="25"/>
        <w:widowControl/>
        <w:adjustRightInd w:val="0"/>
        <w:snapToGrid w:val="0"/>
        <w:spacing w:line="360" w:lineRule="auto"/>
        <w:rPr>
          <w:rFonts w:hAnsi="宋体"/>
          <w:bCs/>
          <w:color w:val="000000" w:themeColor="text1"/>
          <w:sz w:val="52"/>
          <w:szCs w:val="52"/>
          <w:highlight w:val="none"/>
        </w:rPr>
      </w:pPr>
    </w:p>
    <w:tbl>
      <w:tblPr>
        <w:tblStyle w:val="51"/>
        <w:tblW w:w="9087" w:type="dxa"/>
        <w:tblInd w:w="0" w:type="dxa"/>
        <w:tblLayout w:type="fixed"/>
        <w:tblCellMar>
          <w:top w:w="0" w:type="dxa"/>
          <w:left w:w="108" w:type="dxa"/>
          <w:bottom w:w="0" w:type="dxa"/>
          <w:right w:w="108" w:type="dxa"/>
        </w:tblCellMar>
      </w:tblPr>
      <w:tblGrid>
        <w:gridCol w:w="1951"/>
        <w:gridCol w:w="284"/>
        <w:gridCol w:w="6852"/>
      </w:tblGrid>
      <w:tr>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YXCG-20231205</w:t>
            </w:r>
          </w:p>
        </w:tc>
      </w:tr>
      <w:tr>
        <w:tblPrEx>
          <w:tblCellMar>
            <w:top w:w="0" w:type="dxa"/>
            <w:left w:w="108" w:type="dxa"/>
            <w:bottom w:w="0" w:type="dxa"/>
            <w:right w:w="108" w:type="dxa"/>
          </w:tblCellMar>
        </w:tblPrEx>
        <w:trPr>
          <w:trHeight w:val="77" w:hRule="atLeast"/>
        </w:trPr>
        <w:tc>
          <w:tcPr>
            <w:tcW w:w="1951" w:type="dxa"/>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2024年阳江市阳东区河长制水质监测项目（二次招标）</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阳江市生态环境局阳东分局</w:t>
            </w:r>
          </w:p>
        </w:tc>
      </w:tr>
      <w:tr>
        <w:tblPrEx>
          <w:tblCellMar>
            <w:top w:w="0" w:type="dxa"/>
            <w:left w:w="108" w:type="dxa"/>
            <w:bottom w:w="0" w:type="dxa"/>
            <w:right w:w="108" w:type="dxa"/>
          </w:tblCellMar>
        </w:tblPrEx>
        <w:trPr>
          <w:trHeight w:val="77" w:hRule="atLeast"/>
        </w:trPr>
        <w:tc>
          <w:tcPr>
            <w:tcW w:w="1951" w:type="dxa"/>
            <w:vAlign w:val="center"/>
          </w:tcPr>
          <w:p>
            <w:pPr>
              <w:pStyle w:val="25"/>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5"/>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52" w:type="dxa"/>
            <w:vAlign w:val="center"/>
          </w:tcPr>
          <w:p>
            <w:pPr>
              <w:pStyle w:val="25"/>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5"/>
        <w:widowControl/>
        <w:adjustRightInd w:val="0"/>
        <w:snapToGrid w:val="0"/>
        <w:spacing w:line="360" w:lineRule="auto"/>
        <w:jc w:val="center"/>
        <w:rPr>
          <w:rFonts w:hAnsi="宋体"/>
          <w:b/>
          <w:bCs/>
          <w:color w:val="000000" w:themeColor="text1"/>
          <w:sz w:val="24"/>
          <w:highlight w:val="none"/>
        </w:rPr>
      </w:pPr>
    </w:p>
    <w:p>
      <w:pPr>
        <w:pStyle w:val="25"/>
        <w:widowControl/>
        <w:adjustRightInd w:val="0"/>
        <w:snapToGrid w:val="0"/>
        <w:spacing w:line="360" w:lineRule="auto"/>
        <w:jc w:val="center"/>
        <w:rPr>
          <w:rFonts w:hAnsi="宋体"/>
          <w:b/>
          <w:bCs/>
          <w:color w:val="000000" w:themeColor="text1"/>
          <w:sz w:val="24"/>
          <w:highlight w:val="none"/>
        </w:rPr>
      </w:pPr>
      <w:r>
        <w:rPr>
          <w:rFonts w:hint="eastAsia" w:hAnsi="宋体"/>
          <w:b/>
          <w:bCs/>
          <w:color w:val="000000" w:themeColor="text1"/>
          <w:sz w:val="24"/>
          <w:highlight w:val="none"/>
        </w:rPr>
        <w:t>二○</w:t>
      </w:r>
      <w:r>
        <w:rPr>
          <w:rFonts w:hint="eastAsia" w:hAnsi="宋体"/>
          <w:b/>
          <w:bCs/>
          <w:color w:val="000000" w:themeColor="text1"/>
          <w:sz w:val="24"/>
          <w:highlight w:val="none"/>
          <w:lang w:val="en-US" w:eastAsia="zh-CN"/>
        </w:rPr>
        <w:t>二四</w:t>
      </w:r>
      <w:r>
        <w:rPr>
          <w:rFonts w:hint="eastAsia" w:hAnsi="宋体"/>
          <w:b/>
          <w:bCs/>
          <w:color w:val="000000" w:themeColor="text1"/>
          <w:sz w:val="24"/>
          <w:highlight w:val="none"/>
        </w:rPr>
        <w:t>年</w:t>
      </w:r>
      <w:r>
        <w:rPr>
          <w:rFonts w:hint="eastAsia" w:hAnsi="宋体"/>
          <w:b/>
          <w:bCs/>
          <w:color w:val="000000" w:themeColor="text1"/>
          <w:sz w:val="24"/>
          <w:highlight w:val="none"/>
          <w:lang w:val="en-US" w:eastAsia="zh-CN"/>
        </w:rPr>
        <w:t>一</w:t>
      </w:r>
      <w:r>
        <w:rPr>
          <w:rFonts w:hint="eastAsia" w:hAnsi="宋体"/>
          <w:b/>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请供应商特别留意磋商文件上注明的投标截止和开标时间，逾期送达或邮寄送达的磋商</w:t>
      </w:r>
      <w:r>
        <w:rPr>
          <w:rFonts w:hint="eastAsia" w:ascii="宋体" w:hAnsi="宋体"/>
          <w:color w:val="000000" w:themeColor="text1"/>
          <w:szCs w:val="21"/>
          <w:highlight w:val="none"/>
        </w:rPr>
        <w:t>响应</w:t>
      </w:r>
      <w:r>
        <w:rPr>
          <w:rFonts w:ascii="宋体" w:hAnsi="宋体"/>
          <w:color w:val="000000" w:themeColor="text1"/>
          <w:szCs w:val="21"/>
          <w:highlight w:val="none"/>
        </w:rPr>
        <w:t>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磋商文件中标有“★”的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请仔细检查《磋商邀请函》、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建议将磋商文件按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，务必将保证金按蹉商文件的要求缴纳，招标代理服务费存入蹉商文件指定的服务费账户。切勿将款项转错账户，以免影响采购活动。</w:t>
      </w:r>
    </w:p>
    <w:p>
      <w:pPr>
        <w:numPr>
          <w:ilvl w:val="0"/>
          <w:numId w:val="21"/>
        </w:numPr>
        <w:spacing w:line="44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为采购代理机构，不对供应商购买磋商文件时提交的相关资料的真伪做出判断，如供应商发现相关资料被盗用或复制，建议遵循法律途径解决，追究侵权者责任。对一家供应商递交两份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磋商小组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5"/>
        <w:widowControl/>
        <w:adjustRightInd w:val="0"/>
        <w:snapToGrid w:val="0"/>
        <w:spacing w:line="440" w:lineRule="exact"/>
        <w:ind w:firstLine="413" w:firstLineChars="196"/>
        <w:rPr>
          <w:rFonts w:hAnsi="宋体"/>
          <w:bCs/>
          <w:color w:val="000000" w:themeColor="text1"/>
          <w:sz w:val="30"/>
          <w:szCs w:val="30"/>
          <w:highlight w:val="none"/>
        </w:rPr>
      </w:pPr>
      <w:r>
        <w:rPr>
          <w:rFonts w:hint="eastAsia" w:hAnsi="宋体" w:cs="仿宋_GB2312"/>
          <w:b/>
          <w:bCs/>
          <w:color w:val="000000" w:themeColor="text1"/>
          <w:highlight w:val="none"/>
          <w:lang w:val="zh-CN"/>
        </w:rPr>
        <w:t>（本提示内容非磋商文件的组成部分，仅为善意提醒。如有不一致，以磋商文件为准。）</w:t>
      </w:r>
    </w:p>
    <w:p>
      <w:pPr>
        <w:pStyle w:val="25"/>
        <w:widowControl/>
        <w:adjustRightInd w:val="0"/>
        <w:snapToGrid w:val="0"/>
        <w:spacing w:line="360" w:lineRule="auto"/>
        <w:jc w:val="center"/>
        <w:rPr>
          <w:rFonts w:hAnsi="宋体"/>
          <w:bCs/>
          <w:color w:val="000000" w:themeColor="text1"/>
          <w:sz w:val="30"/>
          <w:szCs w:val="30"/>
          <w:highlight w:val="none"/>
        </w:rPr>
        <w:sectPr>
          <w:headerReference r:id="rId3" w:type="default"/>
          <w:footerReference r:id="rId4" w:type="default"/>
          <w:footerReference r:id="rId5" w:type="even"/>
          <w:type w:val="continuous"/>
          <w:pgSz w:w="11907" w:h="16840"/>
          <w:pgMar w:top="1985" w:right="1932" w:bottom="1418" w:left="1474"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3"/>
        <w:tabs>
          <w:tab w:val="right" w:leader="dot" w:pos="8959"/>
          <w:tab w:val="clear" w:pos="8949"/>
        </w:tabs>
        <w:rPr>
          <w:highlight w:val="none"/>
        </w:rPr>
      </w:pPr>
      <w:r>
        <w:rPr>
          <w:rFonts w:ascii="宋体" w:hAnsi="宋体"/>
          <w:b w:val="0"/>
          <w:bCs w:val="0"/>
          <w:caps w:val="0"/>
          <w:color w:val="000000" w:themeColor="text1"/>
          <w:highlight w:val="none"/>
        </w:rPr>
        <w:fldChar w:fldCharType="begin"/>
      </w:r>
      <w:r>
        <w:rPr>
          <w:rFonts w:ascii="宋体" w:hAnsi="宋体"/>
          <w:b w:val="0"/>
          <w:bCs w:val="0"/>
          <w:caps w:val="0"/>
          <w:color w:val="000000" w:themeColor="text1"/>
          <w:highlight w:val="none"/>
        </w:rPr>
        <w:instrText xml:space="preserve"> TOC \o "1-3" \h \z \u </w:instrText>
      </w:r>
      <w:r>
        <w:rPr>
          <w:rFonts w:ascii="宋体" w:hAnsi="宋体"/>
          <w:b w:val="0"/>
          <w:bCs w:val="0"/>
          <w:caps w:val="0"/>
          <w:color w:val="000000" w:themeColor="text1"/>
          <w:highlight w:val="none"/>
        </w:rPr>
        <w:fldChar w:fldCharType="separate"/>
      </w:r>
      <w:r>
        <w:rPr>
          <w:rFonts w:ascii="宋体" w:hAnsi="宋体"/>
          <w:bCs w:val="0"/>
          <w:caps w:val="0"/>
          <w:color w:val="000000" w:themeColor="text1"/>
          <w:highlight w:val="none"/>
        </w:rPr>
        <w:fldChar w:fldCharType="begin"/>
      </w:r>
      <w:r>
        <w:rPr>
          <w:rFonts w:ascii="宋体" w:hAnsi="宋体"/>
          <w:bCs w:val="0"/>
          <w:caps w:val="0"/>
          <w:highlight w:val="none"/>
        </w:rPr>
        <w:instrText xml:space="preserve"> HYPERLINK \l _Toc26932 </w:instrText>
      </w:r>
      <w:r>
        <w:rPr>
          <w:rFonts w:ascii="宋体" w:hAnsi="宋体"/>
          <w:bCs w:val="0"/>
          <w:caps w:val="0"/>
          <w:highlight w:val="none"/>
        </w:rPr>
        <w:fldChar w:fldCharType="separate"/>
      </w:r>
      <w:r>
        <w:rPr>
          <w:rFonts w:hint="eastAsia" w:ascii="宋体" w:hAnsi="宋体" w:eastAsia="宋体"/>
          <w:highlight w:val="none"/>
        </w:rPr>
        <w:t>第一部分 竞争性磋商邀请书</w:t>
      </w:r>
      <w:r>
        <w:rPr>
          <w:highlight w:val="none"/>
        </w:rPr>
        <w:tab/>
      </w:r>
      <w:r>
        <w:rPr>
          <w:highlight w:val="none"/>
        </w:rPr>
        <w:fldChar w:fldCharType="begin"/>
      </w:r>
      <w:r>
        <w:rPr>
          <w:highlight w:val="none"/>
        </w:rPr>
        <w:instrText xml:space="preserve"> PAGEREF _Toc26932 \h </w:instrText>
      </w:r>
      <w:r>
        <w:rPr>
          <w:highlight w:val="none"/>
        </w:rPr>
        <w:fldChar w:fldCharType="separate"/>
      </w:r>
      <w:r>
        <w:rPr>
          <w:highlight w:val="none"/>
        </w:rPr>
        <w:t>4</w:t>
      </w:r>
      <w:r>
        <w:rPr>
          <w:highlight w:val="none"/>
        </w:rPr>
        <w:fldChar w:fldCharType="end"/>
      </w:r>
      <w:r>
        <w:rPr>
          <w:rFonts w:ascii="宋体" w:hAnsi="宋体"/>
          <w:bCs w:val="0"/>
          <w:caps w:val="0"/>
          <w:color w:val="000000" w:themeColor="text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_Toc22429 </w:instrText>
      </w:r>
      <w:r>
        <w:rPr>
          <w:rFonts w:ascii="宋体" w:hAnsi="宋体"/>
          <w:bCs/>
          <w:caps/>
          <w:szCs w:val="21"/>
          <w:highlight w:val="none"/>
        </w:rPr>
        <w:fldChar w:fldCharType="separate"/>
      </w:r>
      <w:r>
        <w:rPr>
          <w:rFonts w:hint="eastAsia" w:ascii="宋体" w:hAnsi="宋体" w:eastAsia="宋体"/>
          <w:highlight w:val="none"/>
        </w:rPr>
        <w:t>第二部分 采购项目内容</w:t>
      </w:r>
      <w:r>
        <w:rPr>
          <w:highlight w:val="none"/>
        </w:rPr>
        <w:tab/>
      </w:r>
      <w:r>
        <w:rPr>
          <w:highlight w:val="none"/>
        </w:rPr>
        <w:fldChar w:fldCharType="begin"/>
      </w:r>
      <w:r>
        <w:rPr>
          <w:highlight w:val="none"/>
        </w:rPr>
        <w:instrText xml:space="preserve"> PAGEREF _Toc22429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_Toc19244 </w:instrText>
      </w:r>
      <w:r>
        <w:rPr>
          <w:rFonts w:ascii="宋体" w:hAnsi="宋体"/>
          <w:bCs/>
          <w:caps/>
          <w:szCs w:val="21"/>
          <w:highlight w:val="none"/>
        </w:rPr>
        <w:fldChar w:fldCharType="separate"/>
      </w:r>
      <w:r>
        <w:rPr>
          <w:rFonts w:hint="eastAsia" w:ascii="宋体" w:hAnsi="宋体"/>
          <w:szCs w:val="21"/>
          <w:highlight w:val="none"/>
        </w:rPr>
        <w:t>项目编号：</w:t>
      </w:r>
      <w:r>
        <w:rPr>
          <w:rFonts w:hint="eastAsia" w:ascii="宋体" w:hAnsi="宋体"/>
          <w:szCs w:val="21"/>
          <w:highlight w:val="none"/>
          <w:lang w:eastAsia="zh-CN"/>
        </w:rPr>
        <w:t>YXCG-20231205</w:t>
      </w:r>
      <w:r>
        <w:rPr>
          <w:highlight w:val="none"/>
        </w:rPr>
        <w:tab/>
      </w:r>
      <w:r>
        <w:rPr>
          <w:highlight w:val="none"/>
        </w:rPr>
        <w:fldChar w:fldCharType="begin"/>
      </w:r>
      <w:r>
        <w:rPr>
          <w:highlight w:val="none"/>
        </w:rPr>
        <w:instrText xml:space="preserve"> PAGEREF _Toc19244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_Toc27599 </w:instrText>
      </w:r>
      <w:r>
        <w:rPr>
          <w:rFonts w:ascii="宋体" w:hAnsi="宋体"/>
          <w:bCs/>
          <w:caps/>
          <w:szCs w:val="21"/>
          <w:highlight w:val="none"/>
        </w:rPr>
        <w:fldChar w:fldCharType="separate"/>
      </w:r>
      <w:r>
        <w:rPr>
          <w:rFonts w:hint="eastAsia" w:ascii="宋体" w:hAnsi="宋体"/>
          <w:szCs w:val="21"/>
          <w:highlight w:val="none"/>
        </w:rPr>
        <w:t>项目名称：</w:t>
      </w:r>
      <w:r>
        <w:rPr>
          <w:rFonts w:hint="eastAsia" w:ascii="宋体" w:hAnsi="宋体"/>
          <w:szCs w:val="21"/>
          <w:highlight w:val="none"/>
          <w:lang w:eastAsia="zh-CN"/>
        </w:rPr>
        <w:t>2024年阳江市阳东区河长制水质监测项目（二次招标）</w:t>
      </w:r>
      <w:r>
        <w:rPr>
          <w:highlight w:val="none"/>
        </w:rPr>
        <w:tab/>
      </w:r>
      <w:r>
        <w:rPr>
          <w:highlight w:val="none"/>
        </w:rPr>
        <w:fldChar w:fldCharType="begin"/>
      </w:r>
      <w:r>
        <w:rPr>
          <w:highlight w:val="none"/>
        </w:rPr>
        <w:instrText xml:space="preserve"> PAGEREF _Toc27599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_Toc12512 </w:instrText>
      </w:r>
      <w:r>
        <w:rPr>
          <w:rFonts w:ascii="宋体" w:hAnsi="宋体"/>
          <w:bCs/>
          <w:caps/>
          <w:szCs w:val="21"/>
          <w:highlight w:val="none"/>
        </w:rPr>
        <w:fldChar w:fldCharType="separate"/>
      </w:r>
      <w:r>
        <w:rPr>
          <w:rFonts w:ascii="宋体" w:hAnsi="宋体"/>
          <w:kern w:val="0"/>
          <w:highlight w:val="none"/>
        </w:rPr>
        <w:t xml:space="preserve">A  </w:t>
      </w:r>
      <w:r>
        <w:rPr>
          <w:rFonts w:hint="eastAsia" w:ascii="宋体" w:hAnsi="宋体"/>
          <w:kern w:val="0"/>
          <w:highlight w:val="none"/>
        </w:rPr>
        <w:t>商务要求</w:t>
      </w:r>
      <w:r>
        <w:rPr>
          <w:highlight w:val="none"/>
        </w:rPr>
        <w:tab/>
      </w:r>
      <w:r>
        <w:rPr>
          <w:highlight w:val="none"/>
        </w:rPr>
        <w:fldChar w:fldCharType="begin"/>
      </w:r>
      <w:r>
        <w:rPr>
          <w:highlight w:val="none"/>
        </w:rPr>
        <w:instrText xml:space="preserve"> PAGEREF _Toc12512 \h </w:instrText>
      </w:r>
      <w:r>
        <w:rPr>
          <w:highlight w:val="none"/>
        </w:rPr>
        <w:fldChar w:fldCharType="separate"/>
      </w:r>
      <w:r>
        <w:rPr>
          <w:highlight w:val="none"/>
        </w:rPr>
        <w:t>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_Toc25067 </w:instrText>
      </w:r>
      <w:r>
        <w:rPr>
          <w:rFonts w:ascii="宋体" w:hAnsi="宋体"/>
          <w:bCs/>
          <w:caps/>
          <w:szCs w:val="21"/>
          <w:highlight w:val="none"/>
        </w:rPr>
        <w:fldChar w:fldCharType="separate"/>
      </w:r>
      <w:r>
        <w:rPr>
          <w:rFonts w:hint="eastAsia" w:ascii="宋体" w:hAnsi="宋体"/>
          <w:kern w:val="0"/>
          <w:highlight w:val="none"/>
        </w:rPr>
        <w:t>B  技术要求</w:t>
      </w:r>
      <w:r>
        <w:rPr>
          <w:highlight w:val="none"/>
        </w:rPr>
        <w:tab/>
      </w:r>
      <w:r>
        <w:rPr>
          <w:highlight w:val="none"/>
        </w:rPr>
        <w:fldChar w:fldCharType="begin"/>
      </w:r>
      <w:r>
        <w:rPr>
          <w:highlight w:val="none"/>
        </w:rPr>
        <w:instrText xml:space="preserve"> PAGEREF _Toc25067 \h </w:instrText>
      </w:r>
      <w:r>
        <w:rPr>
          <w:highlight w:val="none"/>
        </w:rPr>
        <w:fldChar w:fldCharType="separate"/>
      </w:r>
      <w:r>
        <w:rPr>
          <w:highlight w:val="none"/>
        </w:rPr>
        <w:t>9</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_Toc11907 </w:instrText>
      </w:r>
      <w:r>
        <w:rPr>
          <w:rFonts w:ascii="宋体" w:hAnsi="宋体"/>
          <w:bCs/>
          <w:caps/>
          <w:szCs w:val="21"/>
          <w:highlight w:val="none"/>
        </w:rPr>
        <w:fldChar w:fldCharType="separate"/>
      </w:r>
      <w:r>
        <w:rPr>
          <w:rFonts w:hint="eastAsia" w:ascii="宋体" w:hAnsi="宋体" w:eastAsia="宋体"/>
          <w:szCs w:val="21"/>
          <w:highlight w:val="none"/>
        </w:rPr>
        <w:t>第三部分 磋商须知</w:t>
      </w:r>
      <w:r>
        <w:rPr>
          <w:highlight w:val="none"/>
        </w:rPr>
        <w:tab/>
      </w:r>
      <w:r>
        <w:rPr>
          <w:highlight w:val="none"/>
        </w:rPr>
        <w:fldChar w:fldCharType="begin"/>
      </w:r>
      <w:r>
        <w:rPr>
          <w:highlight w:val="none"/>
        </w:rPr>
        <w:instrText xml:space="preserve"> PAGEREF _Toc11907 \h </w:instrText>
      </w:r>
      <w:r>
        <w:rPr>
          <w:highlight w:val="none"/>
        </w:rPr>
        <w:fldChar w:fldCharType="separate"/>
      </w:r>
      <w:r>
        <w:rPr>
          <w:highlight w:val="none"/>
        </w:rPr>
        <w:t>12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_Toc18500 </w:instrText>
      </w:r>
      <w:r>
        <w:rPr>
          <w:rFonts w:ascii="宋体" w:hAnsi="宋体"/>
          <w:bCs/>
          <w:caps/>
          <w:szCs w:val="21"/>
          <w:highlight w:val="none"/>
        </w:rPr>
        <w:fldChar w:fldCharType="separate"/>
      </w:r>
      <w:r>
        <w:rPr>
          <w:rFonts w:hint="eastAsia" w:ascii="宋体" w:hAnsi="宋体"/>
          <w:szCs w:val="21"/>
          <w:highlight w:val="none"/>
        </w:rPr>
        <w:t>投标人须知前附表</w:t>
      </w:r>
      <w:r>
        <w:rPr>
          <w:highlight w:val="none"/>
        </w:rPr>
        <w:tab/>
      </w:r>
      <w:r>
        <w:rPr>
          <w:highlight w:val="none"/>
        </w:rPr>
        <w:fldChar w:fldCharType="begin"/>
      </w:r>
      <w:r>
        <w:rPr>
          <w:highlight w:val="none"/>
        </w:rPr>
        <w:instrText xml:space="preserve"> PAGEREF _Toc18500 \h </w:instrText>
      </w:r>
      <w:r>
        <w:rPr>
          <w:highlight w:val="none"/>
        </w:rPr>
        <w:fldChar w:fldCharType="separate"/>
      </w:r>
      <w:r>
        <w:rPr>
          <w:highlight w:val="none"/>
        </w:rPr>
        <w:t>12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_Toc24662 </w:instrText>
      </w:r>
      <w:r>
        <w:rPr>
          <w:rFonts w:ascii="宋体" w:hAnsi="宋体"/>
          <w:bCs/>
          <w:caps/>
          <w:szCs w:val="21"/>
          <w:highlight w:val="none"/>
        </w:rPr>
        <w:fldChar w:fldCharType="separate"/>
      </w:r>
      <w:r>
        <w:rPr>
          <w:rFonts w:hint="eastAsia" w:hAnsi="宋体"/>
          <w:highlight w:val="none"/>
        </w:rPr>
        <w:t>一、说  明</w:t>
      </w:r>
      <w:r>
        <w:rPr>
          <w:highlight w:val="none"/>
        </w:rPr>
        <w:tab/>
      </w:r>
      <w:r>
        <w:rPr>
          <w:highlight w:val="none"/>
        </w:rPr>
        <w:fldChar w:fldCharType="begin"/>
      </w:r>
      <w:r>
        <w:rPr>
          <w:highlight w:val="none"/>
        </w:rPr>
        <w:instrText xml:space="preserve"> PAGEREF _Toc24662 \h </w:instrText>
      </w:r>
      <w:r>
        <w:rPr>
          <w:highlight w:val="none"/>
        </w:rPr>
        <w:fldChar w:fldCharType="separate"/>
      </w:r>
      <w:r>
        <w:rPr>
          <w:highlight w:val="none"/>
        </w:rPr>
        <w:t>13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_Toc31820 </w:instrText>
      </w:r>
      <w:r>
        <w:rPr>
          <w:rFonts w:ascii="宋体" w:hAnsi="宋体"/>
          <w:bCs/>
          <w:caps/>
          <w:szCs w:val="21"/>
          <w:highlight w:val="none"/>
        </w:rPr>
        <w:fldChar w:fldCharType="separate"/>
      </w:r>
      <w:r>
        <w:rPr>
          <w:rFonts w:hint="eastAsia" w:hAnsi="宋体"/>
          <w:highlight w:val="none"/>
        </w:rPr>
        <w:t>二、磋商文件</w:t>
      </w:r>
      <w:r>
        <w:rPr>
          <w:highlight w:val="none"/>
        </w:rPr>
        <w:tab/>
      </w:r>
      <w:r>
        <w:rPr>
          <w:highlight w:val="none"/>
        </w:rPr>
        <w:fldChar w:fldCharType="begin"/>
      </w:r>
      <w:r>
        <w:rPr>
          <w:highlight w:val="none"/>
        </w:rPr>
        <w:instrText xml:space="preserve"> PAGEREF _Toc31820 \h </w:instrText>
      </w:r>
      <w:r>
        <w:rPr>
          <w:highlight w:val="none"/>
        </w:rPr>
        <w:fldChar w:fldCharType="separate"/>
      </w:r>
      <w:r>
        <w:rPr>
          <w:highlight w:val="none"/>
        </w:rPr>
        <w:t>13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_Toc32604 </w:instrText>
      </w:r>
      <w:r>
        <w:rPr>
          <w:rFonts w:ascii="宋体" w:hAnsi="宋体"/>
          <w:bCs/>
          <w:caps/>
          <w:szCs w:val="21"/>
          <w:highlight w:val="none"/>
        </w:rPr>
        <w:fldChar w:fldCharType="separate"/>
      </w:r>
      <w:r>
        <w:rPr>
          <w:rFonts w:hint="eastAsia" w:hAnsi="宋体"/>
          <w:highlight w:val="none"/>
        </w:rPr>
        <w:t>三、响应文件的编制</w:t>
      </w:r>
      <w:r>
        <w:rPr>
          <w:highlight w:val="none"/>
        </w:rPr>
        <w:tab/>
      </w:r>
      <w:r>
        <w:rPr>
          <w:highlight w:val="none"/>
        </w:rPr>
        <w:fldChar w:fldCharType="begin"/>
      </w:r>
      <w:r>
        <w:rPr>
          <w:highlight w:val="none"/>
        </w:rPr>
        <w:instrText xml:space="preserve"> PAGEREF _Toc32604 \h </w:instrText>
      </w:r>
      <w:r>
        <w:rPr>
          <w:highlight w:val="none"/>
        </w:rPr>
        <w:fldChar w:fldCharType="separate"/>
      </w:r>
      <w:r>
        <w:rPr>
          <w:highlight w:val="none"/>
        </w:rPr>
        <w:t>14</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_Toc9990 </w:instrText>
      </w:r>
      <w:r>
        <w:rPr>
          <w:rFonts w:ascii="宋体" w:hAnsi="宋体"/>
          <w:bCs/>
          <w:caps/>
          <w:szCs w:val="21"/>
          <w:highlight w:val="none"/>
        </w:rPr>
        <w:fldChar w:fldCharType="separate"/>
      </w:r>
      <w:r>
        <w:rPr>
          <w:rFonts w:hint="eastAsia" w:hAnsi="宋体"/>
          <w:highlight w:val="none"/>
        </w:rPr>
        <w:t>四、磋商报价要求和供应商资格证明文件的要求</w:t>
      </w:r>
      <w:r>
        <w:rPr>
          <w:highlight w:val="none"/>
        </w:rPr>
        <w:tab/>
      </w:r>
      <w:r>
        <w:rPr>
          <w:highlight w:val="none"/>
        </w:rPr>
        <w:fldChar w:fldCharType="begin"/>
      </w:r>
      <w:r>
        <w:rPr>
          <w:highlight w:val="none"/>
        </w:rPr>
        <w:instrText xml:space="preserve"> PAGEREF _Toc9990 \h </w:instrText>
      </w:r>
      <w:r>
        <w:rPr>
          <w:highlight w:val="none"/>
        </w:rPr>
        <w:fldChar w:fldCharType="separate"/>
      </w:r>
      <w:r>
        <w:rPr>
          <w:highlight w:val="none"/>
        </w:rPr>
        <w:t>14</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_Toc15462 </w:instrText>
      </w:r>
      <w:r>
        <w:rPr>
          <w:rFonts w:ascii="宋体" w:hAnsi="宋体"/>
          <w:bCs/>
          <w:caps/>
          <w:szCs w:val="21"/>
          <w:highlight w:val="none"/>
        </w:rPr>
        <w:fldChar w:fldCharType="separate"/>
      </w:r>
      <w:r>
        <w:rPr>
          <w:rFonts w:hint="eastAsia" w:hAnsi="宋体"/>
          <w:highlight w:val="none"/>
        </w:rPr>
        <w:t>五、保证金</w:t>
      </w:r>
      <w:r>
        <w:rPr>
          <w:highlight w:val="none"/>
        </w:rPr>
        <w:tab/>
      </w:r>
      <w:r>
        <w:rPr>
          <w:highlight w:val="none"/>
        </w:rPr>
        <w:fldChar w:fldCharType="begin"/>
      </w:r>
      <w:r>
        <w:rPr>
          <w:highlight w:val="none"/>
        </w:rPr>
        <w:instrText xml:space="preserve"> PAGEREF _Toc15462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_Toc14939 </w:instrText>
      </w:r>
      <w:r>
        <w:rPr>
          <w:rFonts w:ascii="宋体" w:hAnsi="宋体"/>
          <w:bCs/>
          <w:caps/>
          <w:szCs w:val="21"/>
          <w:highlight w:val="none"/>
        </w:rPr>
        <w:fldChar w:fldCharType="separate"/>
      </w:r>
      <w:r>
        <w:rPr>
          <w:rFonts w:hint="eastAsia" w:hAnsi="宋体"/>
          <w:highlight w:val="none"/>
        </w:rPr>
        <w:t>六、响应文件的份数、封装和递交</w:t>
      </w:r>
      <w:r>
        <w:rPr>
          <w:highlight w:val="none"/>
        </w:rPr>
        <w:tab/>
      </w:r>
      <w:r>
        <w:rPr>
          <w:highlight w:val="none"/>
        </w:rPr>
        <w:fldChar w:fldCharType="begin"/>
      </w:r>
      <w:r>
        <w:rPr>
          <w:highlight w:val="none"/>
        </w:rPr>
        <w:instrText xml:space="preserve"> PAGEREF _Toc14939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_Toc7347 </w:instrText>
      </w:r>
      <w:r>
        <w:rPr>
          <w:rFonts w:ascii="宋体" w:hAnsi="宋体"/>
          <w:bCs/>
          <w:caps/>
          <w:szCs w:val="21"/>
          <w:highlight w:val="none"/>
        </w:rPr>
        <w:fldChar w:fldCharType="separate"/>
      </w:r>
      <w:r>
        <w:rPr>
          <w:rFonts w:hint="eastAsia" w:hAnsi="宋体"/>
          <w:highlight w:val="none"/>
        </w:rPr>
        <w:t>七、磋商的步骤</w:t>
      </w:r>
      <w:r>
        <w:rPr>
          <w:highlight w:val="none"/>
        </w:rPr>
        <w:tab/>
      </w:r>
      <w:r>
        <w:rPr>
          <w:highlight w:val="none"/>
        </w:rPr>
        <w:fldChar w:fldCharType="begin"/>
      </w:r>
      <w:r>
        <w:rPr>
          <w:highlight w:val="none"/>
        </w:rPr>
        <w:instrText xml:space="preserve"> PAGEREF _Toc7347 \h </w:instrText>
      </w:r>
      <w:r>
        <w:rPr>
          <w:highlight w:val="none"/>
        </w:rPr>
        <w:fldChar w:fldCharType="separate"/>
      </w:r>
      <w:r>
        <w:rPr>
          <w:highlight w:val="none"/>
        </w:rPr>
        <w:t>15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_Toc23987 </w:instrText>
      </w:r>
      <w:r>
        <w:rPr>
          <w:rFonts w:ascii="宋体" w:hAnsi="宋体"/>
          <w:bCs/>
          <w:caps/>
          <w:szCs w:val="21"/>
          <w:highlight w:val="none"/>
        </w:rPr>
        <w:fldChar w:fldCharType="separate"/>
      </w:r>
      <w:r>
        <w:rPr>
          <w:rFonts w:hint="eastAsia" w:hAnsi="宋体"/>
          <w:highlight w:val="none"/>
        </w:rPr>
        <w:t>八、确定成交供应商办法</w:t>
      </w:r>
      <w:r>
        <w:rPr>
          <w:highlight w:val="none"/>
        </w:rPr>
        <w:tab/>
      </w:r>
      <w:r>
        <w:rPr>
          <w:highlight w:val="none"/>
        </w:rPr>
        <w:fldChar w:fldCharType="begin"/>
      </w:r>
      <w:r>
        <w:rPr>
          <w:highlight w:val="none"/>
        </w:rPr>
        <w:instrText xml:space="preserve"> PAGEREF _Toc23987 \h </w:instrText>
      </w:r>
      <w:r>
        <w:rPr>
          <w:highlight w:val="none"/>
        </w:rPr>
        <w:fldChar w:fldCharType="separate"/>
      </w:r>
      <w:r>
        <w:rPr>
          <w:highlight w:val="none"/>
        </w:rPr>
        <w:t>17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_Toc11398 </w:instrText>
      </w:r>
      <w:r>
        <w:rPr>
          <w:rFonts w:ascii="宋体" w:hAnsi="宋体"/>
          <w:bCs/>
          <w:caps/>
          <w:szCs w:val="21"/>
          <w:highlight w:val="none"/>
        </w:rPr>
        <w:fldChar w:fldCharType="separate"/>
      </w:r>
      <w:r>
        <w:rPr>
          <w:rFonts w:hint="eastAsia" w:ascii="宋体" w:hAnsi="宋体"/>
          <w:szCs w:val="21"/>
          <w:highlight w:val="none"/>
        </w:rPr>
        <w:t>九、质疑</w:t>
      </w:r>
      <w:r>
        <w:rPr>
          <w:highlight w:val="none"/>
        </w:rPr>
        <w:tab/>
      </w:r>
      <w:r>
        <w:rPr>
          <w:highlight w:val="none"/>
        </w:rPr>
        <w:fldChar w:fldCharType="begin"/>
      </w:r>
      <w:r>
        <w:rPr>
          <w:highlight w:val="none"/>
        </w:rPr>
        <w:instrText xml:space="preserve"> PAGEREF _Toc11398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_Toc27844 </w:instrText>
      </w:r>
      <w:r>
        <w:rPr>
          <w:rFonts w:ascii="宋体" w:hAnsi="宋体"/>
          <w:bCs/>
          <w:caps/>
          <w:szCs w:val="21"/>
          <w:highlight w:val="none"/>
        </w:rPr>
        <w:fldChar w:fldCharType="separate"/>
      </w:r>
      <w:r>
        <w:rPr>
          <w:rFonts w:hint="eastAsia" w:ascii="宋体" w:hAnsi="宋体"/>
          <w:szCs w:val="21"/>
          <w:highlight w:val="none"/>
        </w:rPr>
        <w:t>十、成交服务费</w:t>
      </w:r>
      <w:r>
        <w:rPr>
          <w:highlight w:val="none"/>
        </w:rPr>
        <w:tab/>
      </w:r>
      <w:r>
        <w:rPr>
          <w:highlight w:val="none"/>
        </w:rPr>
        <w:fldChar w:fldCharType="begin"/>
      </w:r>
      <w:r>
        <w:rPr>
          <w:highlight w:val="none"/>
        </w:rPr>
        <w:instrText xml:space="preserve"> PAGEREF _Toc27844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_Toc16211 </w:instrText>
      </w:r>
      <w:r>
        <w:rPr>
          <w:rFonts w:ascii="宋体" w:hAnsi="宋体"/>
          <w:bCs/>
          <w:caps/>
          <w:szCs w:val="21"/>
          <w:highlight w:val="none"/>
        </w:rPr>
        <w:fldChar w:fldCharType="separate"/>
      </w:r>
      <w:r>
        <w:rPr>
          <w:rFonts w:hint="eastAsia" w:ascii="宋体" w:hAnsi="宋体"/>
          <w:szCs w:val="21"/>
          <w:highlight w:val="none"/>
        </w:rPr>
        <w:t>十一、合同的订立和履行</w:t>
      </w:r>
      <w:r>
        <w:rPr>
          <w:highlight w:val="none"/>
        </w:rPr>
        <w:tab/>
      </w:r>
      <w:r>
        <w:rPr>
          <w:highlight w:val="none"/>
        </w:rPr>
        <w:fldChar w:fldCharType="begin"/>
      </w:r>
      <w:r>
        <w:rPr>
          <w:highlight w:val="none"/>
        </w:rPr>
        <w:instrText xml:space="preserve"> PAGEREF _Toc16211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_Toc379 </w:instrText>
      </w:r>
      <w:r>
        <w:rPr>
          <w:rFonts w:ascii="宋体" w:hAnsi="宋体"/>
          <w:bCs/>
          <w:caps/>
          <w:szCs w:val="21"/>
          <w:highlight w:val="none"/>
        </w:rPr>
        <w:fldChar w:fldCharType="separate"/>
      </w:r>
      <w:r>
        <w:rPr>
          <w:rFonts w:hint="eastAsia" w:ascii="宋体" w:hAnsi="宋体"/>
          <w:szCs w:val="21"/>
          <w:highlight w:val="none"/>
        </w:rPr>
        <w:t>十二、适用法律</w:t>
      </w:r>
      <w:r>
        <w:rPr>
          <w:highlight w:val="none"/>
        </w:rPr>
        <w:tab/>
      </w:r>
      <w:r>
        <w:rPr>
          <w:highlight w:val="none"/>
        </w:rPr>
        <w:fldChar w:fldCharType="begin"/>
      </w:r>
      <w:r>
        <w:rPr>
          <w:highlight w:val="none"/>
        </w:rPr>
        <w:instrText xml:space="preserve"> PAGEREF _Toc379 \h </w:instrText>
      </w:r>
      <w:r>
        <w:rPr>
          <w:highlight w:val="none"/>
        </w:rPr>
        <w:fldChar w:fldCharType="separate"/>
      </w:r>
      <w:r>
        <w:rPr>
          <w:highlight w:val="none"/>
        </w:rPr>
        <w:t>18</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_Toc29304 </w:instrText>
      </w:r>
      <w:r>
        <w:rPr>
          <w:rFonts w:ascii="宋体" w:hAnsi="宋体"/>
          <w:bCs/>
          <w:caps/>
          <w:szCs w:val="21"/>
          <w:highlight w:val="none"/>
        </w:rPr>
        <w:fldChar w:fldCharType="separate"/>
      </w:r>
      <w:r>
        <w:rPr>
          <w:highlight w:val="none"/>
        </w:rPr>
        <w:t>第四部分</w:t>
      </w:r>
      <w:r>
        <w:rPr>
          <w:rFonts w:hint="eastAsia"/>
          <w:highlight w:val="none"/>
        </w:rPr>
        <w:t xml:space="preserve">  </w:t>
      </w:r>
      <w:r>
        <w:rPr>
          <w:highlight w:val="none"/>
        </w:rPr>
        <w:t>磋商、评审、成交</w:t>
      </w:r>
      <w:r>
        <w:rPr>
          <w:highlight w:val="none"/>
        </w:rPr>
        <w:tab/>
      </w:r>
      <w:r>
        <w:rPr>
          <w:highlight w:val="none"/>
        </w:rPr>
        <w:fldChar w:fldCharType="begin"/>
      </w:r>
      <w:r>
        <w:rPr>
          <w:highlight w:val="none"/>
        </w:rPr>
        <w:instrText xml:space="preserve"> PAGEREF _Toc29304 \h </w:instrText>
      </w:r>
      <w:r>
        <w:rPr>
          <w:highlight w:val="none"/>
        </w:rPr>
        <w:fldChar w:fldCharType="separate"/>
      </w:r>
      <w:r>
        <w:rPr>
          <w:highlight w:val="none"/>
        </w:rPr>
        <w:t>19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_Toc2650 </w:instrText>
      </w:r>
      <w:r>
        <w:rPr>
          <w:rFonts w:ascii="宋体" w:hAnsi="宋体"/>
          <w:bCs/>
          <w:caps/>
          <w:szCs w:val="21"/>
          <w:highlight w:val="none"/>
        </w:rPr>
        <w:fldChar w:fldCharType="separate"/>
      </w:r>
      <w:r>
        <w:rPr>
          <w:rFonts w:hint="eastAsia"/>
          <w:highlight w:val="none"/>
        </w:rPr>
        <w:t>政府采购政策</w:t>
      </w:r>
      <w:r>
        <w:rPr>
          <w:highlight w:val="none"/>
        </w:rPr>
        <w:tab/>
      </w:r>
      <w:r>
        <w:rPr>
          <w:highlight w:val="none"/>
        </w:rPr>
        <w:fldChar w:fldCharType="begin"/>
      </w:r>
      <w:r>
        <w:rPr>
          <w:highlight w:val="none"/>
        </w:rPr>
        <w:instrText xml:space="preserve"> PAGEREF _Toc2650 \h </w:instrText>
      </w:r>
      <w:r>
        <w:rPr>
          <w:highlight w:val="none"/>
        </w:rPr>
        <w:fldChar w:fldCharType="separate"/>
      </w:r>
      <w:r>
        <w:rPr>
          <w:highlight w:val="none"/>
        </w:rPr>
        <w:t>22</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_Toc3738 </w:instrText>
      </w:r>
      <w:r>
        <w:rPr>
          <w:rFonts w:ascii="宋体" w:hAnsi="宋体"/>
          <w:bCs/>
          <w:caps/>
          <w:szCs w:val="21"/>
          <w:highlight w:val="none"/>
        </w:rPr>
        <w:fldChar w:fldCharType="separate"/>
      </w:r>
      <w:r>
        <w:rPr>
          <w:rFonts w:hint="eastAsia" w:ascii="宋体" w:hAnsi="宋体" w:eastAsia="宋体"/>
          <w:highlight w:val="none"/>
        </w:rPr>
        <w:t xml:space="preserve">第五部分  </w:t>
      </w:r>
      <w:r>
        <w:rPr>
          <w:rFonts w:hint="eastAsia" w:ascii="宋体" w:hAnsi="宋体"/>
          <w:szCs w:val="21"/>
          <w:highlight w:val="none"/>
        </w:rPr>
        <w:t>合同书格式（参考范本）</w:t>
      </w:r>
      <w:r>
        <w:rPr>
          <w:highlight w:val="none"/>
        </w:rPr>
        <w:tab/>
      </w:r>
      <w:r>
        <w:rPr>
          <w:highlight w:val="none"/>
        </w:rPr>
        <w:fldChar w:fldCharType="begin"/>
      </w:r>
      <w:r>
        <w:rPr>
          <w:highlight w:val="none"/>
        </w:rPr>
        <w:instrText xml:space="preserve"> PAGEREF _Toc3738 \h </w:instrText>
      </w:r>
      <w:r>
        <w:rPr>
          <w:highlight w:val="none"/>
        </w:rPr>
        <w:fldChar w:fldCharType="separate"/>
      </w:r>
      <w:r>
        <w:rPr>
          <w:highlight w:val="none"/>
        </w:rPr>
        <w:t>24</w:t>
      </w:r>
      <w:r>
        <w:rPr>
          <w:highlight w:val="none"/>
        </w:rPr>
        <w:fldChar w:fldCharType="end"/>
      </w:r>
      <w:r>
        <w:rPr>
          <w:rFonts w:ascii="宋体" w:hAnsi="宋体"/>
          <w:bCs/>
          <w:caps/>
          <w:color w:val="000000" w:themeColor="text1"/>
          <w:szCs w:val="21"/>
          <w:highlight w:val="none"/>
        </w:rPr>
        <w:fldChar w:fldCharType="end"/>
      </w:r>
    </w:p>
    <w:p>
      <w:pPr>
        <w:pStyle w:val="33"/>
        <w:tabs>
          <w:tab w:val="right" w:leader="dot" w:pos="8959"/>
          <w:tab w:val="clear" w:pos="8949"/>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_Toc14547 </w:instrText>
      </w:r>
      <w:r>
        <w:rPr>
          <w:rFonts w:ascii="宋体" w:hAnsi="宋体"/>
          <w:bCs/>
          <w:caps/>
          <w:szCs w:val="21"/>
          <w:highlight w:val="none"/>
        </w:rPr>
        <w:fldChar w:fldCharType="separate"/>
      </w:r>
      <w:r>
        <w:rPr>
          <w:rFonts w:hint="eastAsia" w:ascii="宋体" w:hAnsi="宋体" w:eastAsia="宋体"/>
          <w:highlight w:val="none"/>
        </w:rPr>
        <w:t xml:space="preserve">第六部分 </w:t>
      </w:r>
      <w:r>
        <w:rPr>
          <w:rFonts w:ascii="宋体" w:hAnsi="宋体" w:eastAsia="宋体"/>
          <w:highlight w:val="none"/>
        </w:rPr>
        <w:t xml:space="preserve"> </w:t>
      </w:r>
      <w:r>
        <w:rPr>
          <w:rFonts w:hint="eastAsia" w:ascii="宋体" w:hAnsi="宋体" w:eastAsia="宋体"/>
          <w:highlight w:val="none"/>
        </w:rPr>
        <w:t>磋商响应文件格式</w:t>
      </w:r>
      <w:r>
        <w:rPr>
          <w:highlight w:val="none"/>
        </w:rPr>
        <w:tab/>
      </w:r>
      <w:r>
        <w:rPr>
          <w:highlight w:val="none"/>
        </w:rPr>
        <w:fldChar w:fldCharType="begin"/>
      </w:r>
      <w:r>
        <w:rPr>
          <w:highlight w:val="none"/>
        </w:rPr>
        <w:instrText xml:space="preserve"> PAGEREF _Toc14547 \h </w:instrText>
      </w:r>
      <w:r>
        <w:rPr>
          <w:highlight w:val="none"/>
        </w:rPr>
        <w:fldChar w:fldCharType="separate"/>
      </w:r>
      <w:r>
        <w:rPr>
          <w:highlight w:val="none"/>
        </w:rPr>
        <w:t>26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_Toc1318 </w:instrText>
      </w:r>
      <w:r>
        <w:rPr>
          <w:rFonts w:ascii="宋体" w:hAnsi="宋体"/>
          <w:bCs/>
          <w:caps/>
          <w:szCs w:val="21"/>
          <w:highlight w:val="none"/>
        </w:rPr>
        <w:fldChar w:fldCharType="separate"/>
      </w:r>
      <w:r>
        <w:rPr>
          <w:rFonts w:hint="eastAsia" w:ascii="宋体" w:hAnsi="宋体"/>
          <w:highlight w:val="none"/>
        </w:rPr>
        <w:t>封面格式</w:t>
      </w:r>
      <w:r>
        <w:rPr>
          <w:highlight w:val="none"/>
        </w:rPr>
        <w:tab/>
      </w:r>
      <w:r>
        <w:rPr>
          <w:highlight w:val="none"/>
        </w:rPr>
        <w:fldChar w:fldCharType="begin"/>
      </w:r>
      <w:r>
        <w:rPr>
          <w:highlight w:val="none"/>
        </w:rPr>
        <w:instrText xml:space="preserve"> PAGEREF _Toc1318 \h </w:instrText>
      </w:r>
      <w:r>
        <w:rPr>
          <w:highlight w:val="none"/>
        </w:rPr>
        <w:fldChar w:fldCharType="separate"/>
      </w:r>
      <w:r>
        <w:rPr>
          <w:highlight w:val="none"/>
        </w:rPr>
        <w:t>26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_Toc12131 </w:instrText>
      </w:r>
      <w:r>
        <w:rPr>
          <w:rFonts w:ascii="宋体" w:hAnsi="宋体"/>
          <w:bCs/>
          <w:caps/>
          <w:szCs w:val="21"/>
          <w:highlight w:val="none"/>
        </w:rPr>
        <w:fldChar w:fldCharType="separate"/>
      </w:r>
      <w:r>
        <w:rPr>
          <w:rFonts w:hint="default" w:ascii="宋体" w:hAnsi="宋体"/>
          <w:highlight w:val="none"/>
        </w:rPr>
        <w:t xml:space="preserve">第一章 </w:t>
      </w:r>
      <w:r>
        <w:rPr>
          <w:rFonts w:hint="eastAsia" w:ascii="宋体" w:hAnsi="宋体"/>
          <w:highlight w:val="none"/>
        </w:rPr>
        <w:t>自查表</w:t>
      </w:r>
      <w:r>
        <w:rPr>
          <w:highlight w:val="none"/>
        </w:rPr>
        <w:tab/>
      </w:r>
      <w:r>
        <w:rPr>
          <w:highlight w:val="none"/>
        </w:rPr>
        <w:fldChar w:fldCharType="begin"/>
      </w:r>
      <w:r>
        <w:rPr>
          <w:highlight w:val="none"/>
        </w:rPr>
        <w:instrText xml:space="preserve"> PAGEREF _Toc12131 \h </w:instrText>
      </w:r>
      <w:r>
        <w:rPr>
          <w:highlight w:val="none"/>
        </w:rPr>
        <w:fldChar w:fldCharType="separate"/>
      </w:r>
      <w:r>
        <w:rPr>
          <w:highlight w:val="none"/>
        </w:rPr>
        <w:t>27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_Toc29309 </w:instrText>
      </w:r>
      <w:r>
        <w:rPr>
          <w:rFonts w:ascii="宋体" w:hAnsi="宋体"/>
          <w:bCs/>
          <w:caps/>
          <w:szCs w:val="21"/>
          <w:highlight w:val="none"/>
        </w:rPr>
        <w:fldChar w:fldCharType="separate"/>
      </w:r>
      <w:r>
        <w:rPr>
          <w:rFonts w:hint="eastAsia" w:ascii="宋体"/>
          <w:bCs w:val="0"/>
          <w:szCs w:val="21"/>
          <w:highlight w:val="none"/>
        </w:rPr>
        <w:t>1.1  资格性/符合性自查表</w:t>
      </w:r>
      <w:r>
        <w:rPr>
          <w:highlight w:val="none"/>
        </w:rPr>
        <w:tab/>
      </w:r>
      <w:r>
        <w:rPr>
          <w:highlight w:val="none"/>
        </w:rPr>
        <w:fldChar w:fldCharType="begin"/>
      </w:r>
      <w:r>
        <w:rPr>
          <w:highlight w:val="none"/>
        </w:rPr>
        <w:instrText xml:space="preserve"> PAGEREF _Toc29309 \h </w:instrText>
      </w:r>
      <w:r>
        <w:rPr>
          <w:highlight w:val="none"/>
        </w:rPr>
        <w:fldChar w:fldCharType="separate"/>
      </w:r>
      <w:r>
        <w:rPr>
          <w:highlight w:val="none"/>
        </w:rPr>
        <w:t>27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_Toc21870 </w:instrText>
      </w:r>
      <w:r>
        <w:rPr>
          <w:rFonts w:ascii="宋体" w:hAnsi="宋体"/>
          <w:bCs/>
          <w:caps/>
          <w:szCs w:val="21"/>
          <w:highlight w:val="none"/>
        </w:rPr>
        <w:fldChar w:fldCharType="separate"/>
      </w:r>
      <w:r>
        <w:rPr>
          <w:rFonts w:hint="eastAsia" w:ascii="宋体" w:hAnsi="宋体"/>
          <w:szCs w:val="28"/>
          <w:highlight w:val="none"/>
        </w:rPr>
        <w:t>（一）无重大违法记录声明函</w:t>
      </w:r>
      <w:r>
        <w:rPr>
          <w:highlight w:val="none"/>
        </w:rPr>
        <w:tab/>
      </w:r>
      <w:r>
        <w:rPr>
          <w:highlight w:val="none"/>
        </w:rPr>
        <w:fldChar w:fldCharType="begin"/>
      </w:r>
      <w:r>
        <w:rPr>
          <w:highlight w:val="none"/>
        </w:rPr>
        <w:instrText xml:space="preserve"> PAGEREF _Toc21870 \h </w:instrText>
      </w:r>
      <w:r>
        <w:rPr>
          <w:highlight w:val="none"/>
        </w:rPr>
        <w:fldChar w:fldCharType="separate"/>
      </w:r>
      <w:r>
        <w:rPr>
          <w:highlight w:val="none"/>
        </w:rPr>
        <w:t>29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_Toc4817 </w:instrText>
      </w:r>
      <w:r>
        <w:rPr>
          <w:rFonts w:ascii="宋体" w:hAnsi="宋体"/>
          <w:bCs/>
          <w:caps/>
          <w:szCs w:val="21"/>
          <w:highlight w:val="none"/>
        </w:rPr>
        <w:fldChar w:fldCharType="separate"/>
      </w:r>
      <w:r>
        <w:rPr>
          <w:rFonts w:hint="eastAsia" w:ascii="宋体" w:hAnsi="宋体"/>
          <w:kern w:val="0"/>
          <w:szCs w:val="28"/>
          <w:highlight w:val="none"/>
        </w:rPr>
        <w:t>（二）法定代表人（负责人）证明书</w:t>
      </w:r>
      <w:r>
        <w:rPr>
          <w:highlight w:val="none"/>
        </w:rPr>
        <w:tab/>
      </w:r>
      <w:r>
        <w:rPr>
          <w:highlight w:val="none"/>
        </w:rPr>
        <w:fldChar w:fldCharType="begin"/>
      </w:r>
      <w:r>
        <w:rPr>
          <w:highlight w:val="none"/>
        </w:rPr>
        <w:instrText xml:space="preserve"> PAGEREF _Toc4817 \h </w:instrText>
      </w:r>
      <w:r>
        <w:rPr>
          <w:highlight w:val="none"/>
        </w:rPr>
        <w:fldChar w:fldCharType="separate"/>
      </w:r>
      <w:r>
        <w:rPr>
          <w:highlight w:val="none"/>
        </w:rPr>
        <w:t>30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_Toc10038 </w:instrText>
      </w:r>
      <w:r>
        <w:rPr>
          <w:rFonts w:ascii="宋体" w:hAnsi="宋体"/>
          <w:bCs/>
          <w:caps/>
          <w:szCs w:val="21"/>
          <w:highlight w:val="none"/>
        </w:rPr>
        <w:fldChar w:fldCharType="separate"/>
      </w:r>
      <w:r>
        <w:rPr>
          <w:rFonts w:hint="eastAsia" w:ascii="宋体" w:hAnsi="宋体"/>
          <w:szCs w:val="28"/>
          <w:highlight w:val="none"/>
        </w:rPr>
        <w:t>（三）法定代表人（负责人）授权书</w:t>
      </w:r>
      <w:r>
        <w:rPr>
          <w:highlight w:val="none"/>
        </w:rPr>
        <w:tab/>
      </w:r>
      <w:r>
        <w:rPr>
          <w:highlight w:val="none"/>
        </w:rPr>
        <w:fldChar w:fldCharType="begin"/>
      </w:r>
      <w:r>
        <w:rPr>
          <w:highlight w:val="none"/>
        </w:rPr>
        <w:instrText xml:space="preserve"> PAGEREF _Toc10038 \h </w:instrText>
      </w:r>
      <w:r>
        <w:rPr>
          <w:highlight w:val="none"/>
        </w:rPr>
        <w:fldChar w:fldCharType="separate"/>
      </w:r>
      <w:r>
        <w:rPr>
          <w:highlight w:val="none"/>
        </w:rPr>
        <w:t>31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_Toc18123 </w:instrText>
      </w:r>
      <w:r>
        <w:rPr>
          <w:rFonts w:ascii="宋体" w:hAnsi="宋体"/>
          <w:bCs/>
          <w:caps/>
          <w:szCs w:val="21"/>
          <w:highlight w:val="none"/>
        </w:rPr>
        <w:fldChar w:fldCharType="separate"/>
      </w:r>
      <w:r>
        <w:rPr>
          <w:rFonts w:hint="eastAsia" w:ascii="宋体" w:hAnsi="宋体"/>
          <w:szCs w:val="28"/>
          <w:highlight w:val="none"/>
        </w:rPr>
        <w:t>（四） 资格审查文件要求提交的其它有效证明文件</w:t>
      </w:r>
      <w:r>
        <w:rPr>
          <w:highlight w:val="none"/>
        </w:rPr>
        <w:tab/>
      </w:r>
      <w:r>
        <w:rPr>
          <w:highlight w:val="none"/>
        </w:rPr>
        <w:fldChar w:fldCharType="begin"/>
      </w:r>
      <w:r>
        <w:rPr>
          <w:highlight w:val="none"/>
        </w:rPr>
        <w:instrText xml:space="preserve"> PAGEREF _Toc18123 \h </w:instrText>
      </w:r>
      <w:r>
        <w:rPr>
          <w:highlight w:val="none"/>
        </w:rPr>
        <w:fldChar w:fldCharType="separate"/>
      </w:r>
      <w:r>
        <w:rPr>
          <w:highlight w:val="none"/>
        </w:rPr>
        <w:t>32</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_Toc19049 </w:instrText>
      </w:r>
      <w:r>
        <w:rPr>
          <w:rFonts w:ascii="宋体" w:hAnsi="宋体"/>
          <w:bCs/>
          <w:caps/>
          <w:szCs w:val="21"/>
          <w:highlight w:val="none"/>
        </w:rPr>
        <w:fldChar w:fldCharType="separate"/>
      </w:r>
      <w:r>
        <w:rPr>
          <w:rFonts w:hint="eastAsia" w:ascii="宋体" w:hAnsi="宋体"/>
          <w:szCs w:val="28"/>
          <w:highlight w:val="none"/>
        </w:rPr>
        <w:t>第二章  磋商响应文件商务及技术部分</w:t>
      </w:r>
      <w:r>
        <w:rPr>
          <w:highlight w:val="none"/>
        </w:rPr>
        <w:tab/>
      </w:r>
      <w:r>
        <w:rPr>
          <w:highlight w:val="none"/>
        </w:rPr>
        <w:fldChar w:fldCharType="begin"/>
      </w:r>
      <w:r>
        <w:rPr>
          <w:highlight w:val="none"/>
        </w:rPr>
        <w:instrText xml:space="preserve"> PAGEREF _Toc19049 \h </w:instrText>
      </w:r>
      <w:r>
        <w:rPr>
          <w:highlight w:val="none"/>
        </w:rPr>
        <w:fldChar w:fldCharType="separate"/>
      </w:r>
      <w:r>
        <w:rPr>
          <w:highlight w:val="none"/>
        </w:rPr>
        <w:t>33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_Toc28266 </w:instrText>
      </w:r>
      <w:r>
        <w:rPr>
          <w:rFonts w:ascii="宋体" w:hAnsi="宋体"/>
          <w:bCs/>
          <w:caps/>
          <w:szCs w:val="21"/>
          <w:highlight w:val="none"/>
        </w:rPr>
        <w:fldChar w:fldCharType="separate"/>
      </w:r>
      <w:r>
        <w:rPr>
          <w:rFonts w:hint="eastAsia" w:ascii="宋体" w:hAnsi="宋体"/>
          <w:szCs w:val="28"/>
          <w:highlight w:val="none"/>
        </w:rPr>
        <w:t>附件一：磋商邀请函</w:t>
      </w:r>
      <w:r>
        <w:rPr>
          <w:highlight w:val="none"/>
        </w:rPr>
        <w:tab/>
      </w:r>
      <w:r>
        <w:rPr>
          <w:highlight w:val="none"/>
        </w:rPr>
        <w:fldChar w:fldCharType="begin"/>
      </w:r>
      <w:r>
        <w:rPr>
          <w:highlight w:val="none"/>
        </w:rPr>
        <w:instrText xml:space="preserve"> PAGEREF _Toc28266 \h </w:instrText>
      </w:r>
      <w:r>
        <w:rPr>
          <w:highlight w:val="none"/>
        </w:rPr>
        <w:fldChar w:fldCharType="separate"/>
      </w:r>
      <w:r>
        <w:rPr>
          <w:highlight w:val="none"/>
        </w:rPr>
        <w:t>33</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_Toc13321 </w:instrText>
      </w:r>
      <w:r>
        <w:rPr>
          <w:rFonts w:ascii="宋体" w:hAnsi="宋体"/>
          <w:bCs/>
          <w:caps/>
          <w:szCs w:val="21"/>
          <w:highlight w:val="none"/>
        </w:rPr>
        <w:fldChar w:fldCharType="separate"/>
      </w:r>
      <w:r>
        <w:rPr>
          <w:rFonts w:hint="eastAsia" w:ascii="宋体" w:hAnsi="宋体"/>
          <w:szCs w:val="28"/>
          <w:highlight w:val="none"/>
        </w:rPr>
        <w:t>附件二：第一次报价一览表</w:t>
      </w:r>
      <w:r>
        <w:rPr>
          <w:highlight w:val="none"/>
        </w:rPr>
        <w:tab/>
      </w:r>
      <w:r>
        <w:rPr>
          <w:highlight w:val="none"/>
        </w:rPr>
        <w:fldChar w:fldCharType="begin"/>
      </w:r>
      <w:r>
        <w:rPr>
          <w:highlight w:val="none"/>
        </w:rPr>
        <w:instrText xml:space="preserve"> PAGEREF _Toc13321 \h </w:instrText>
      </w:r>
      <w:r>
        <w:rPr>
          <w:highlight w:val="none"/>
        </w:rPr>
        <w:fldChar w:fldCharType="separate"/>
      </w:r>
      <w:r>
        <w:rPr>
          <w:highlight w:val="none"/>
        </w:rPr>
        <w:t>34</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_Toc21430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三</w:t>
      </w:r>
      <w:r>
        <w:rPr>
          <w:rFonts w:hint="eastAsia" w:ascii="宋体" w:hAnsi="宋体"/>
          <w:szCs w:val="28"/>
          <w:highlight w:val="none"/>
        </w:rPr>
        <w:t>：商务条款偏离一览表</w:t>
      </w:r>
      <w:r>
        <w:rPr>
          <w:highlight w:val="none"/>
        </w:rPr>
        <w:tab/>
      </w:r>
      <w:r>
        <w:rPr>
          <w:highlight w:val="none"/>
        </w:rPr>
        <w:fldChar w:fldCharType="begin"/>
      </w:r>
      <w:r>
        <w:rPr>
          <w:highlight w:val="none"/>
        </w:rPr>
        <w:instrText xml:space="preserve"> PAGEREF _Toc21430 \h </w:instrText>
      </w:r>
      <w:r>
        <w:rPr>
          <w:highlight w:val="none"/>
        </w:rPr>
        <w:fldChar w:fldCharType="separate"/>
      </w:r>
      <w:r>
        <w:rPr>
          <w:highlight w:val="none"/>
        </w:rPr>
        <w:t>35</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_Toc21190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四</w:t>
      </w:r>
      <w:r>
        <w:rPr>
          <w:rFonts w:hint="eastAsia" w:ascii="宋体" w:hAnsi="宋体"/>
          <w:szCs w:val="28"/>
          <w:highlight w:val="none"/>
        </w:rPr>
        <w:t>：技术条款偏离一览表</w:t>
      </w:r>
      <w:r>
        <w:rPr>
          <w:highlight w:val="none"/>
        </w:rPr>
        <w:tab/>
      </w:r>
      <w:r>
        <w:rPr>
          <w:highlight w:val="none"/>
        </w:rPr>
        <w:fldChar w:fldCharType="begin"/>
      </w:r>
      <w:r>
        <w:rPr>
          <w:highlight w:val="none"/>
        </w:rPr>
        <w:instrText xml:space="preserve"> PAGEREF _Toc21190 \h </w:instrText>
      </w:r>
      <w:r>
        <w:rPr>
          <w:highlight w:val="none"/>
        </w:rPr>
        <w:fldChar w:fldCharType="separate"/>
      </w:r>
      <w:r>
        <w:rPr>
          <w:highlight w:val="none"/>
        </w:rPr>
        <w:t>36</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_Toc27712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五</w:t>
      </w:r>
      <w:r>
        <w:rPr>
          <w:rFonts w:hint="eastAsia" w:ascii="宋体" w:hAnsi="宋体"/>
          <w:szCs w:val="28"/>
          <w:highlight w:val="none"/>
        </w:rPr>
        <w:t>：同类业绩一览表</w:t>
      </w:r>
      <w:r>
        <w:rPr>
          <w:highlight w:val="none"/>
        </w:rPr>
        <w:tab/>
      </w:r>
      <w:r>
        <w:rPr>
          <w:highlight w:val="none"/>
        </w:rPr>
        <w:fldChar w:fldCharType="begin"/>
      </w:r>
      <w:r>
        <w:rPr>
          <w:highlight w:val="none"/>
        </w:rPr>
        <w:instrText xml:space="preserve"> PAGEREF _Toc27712 \h </w:instrText>
      </w:r>
      <w:r>
        <w:rPr>
          <w:highlight w:val="none"/>
        </w:rPr>
        <w:fldChar w:fldCharType="separate"/>
      </w:r>
      <w:r>
        <w:rPr>
          <w:highlight w:val="none"/>
        </w:rPr>
        <w:t>37</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_Toc2308 </w:instrText>
      </w:r>
      <w:r>
        <w:rPr>
          <w:rFonts w:ascii="宋体" w:hAnsi="宋体"/>
          <w:bCs/>
          <w:caps/>
          <w:szCs w:val="21"/>
          <w:highlight w:val="none"/>
        </w:rPr>
        <w:fldChar w:fldCharType="separate"/>
      </w:r>
      <w:r>
        <w:rPr>
          <w:rFonts w:hint="eastAsia"/>
          <w:szCs w:val="28"/>
          <w:highlight w:val="none"/>
        </w:rPr>
        <w:t>附件</w:t>
      </w:r>
      <w:r>
        <w:rPr>
          <w:rFonts w:hint="eastAsia"/>
          <w:szCs w:val="28"/>
          <w:highlight w:val="none"/>
          <w:lang w:val="en-US" w:eastAsia="zh-CN"/>
        </w:rPr>
        <w:t>六</w:t>
      </w:r>
      <w:r>
        <w:rPr>
          <w:rFonts w:hint="eastAsia"/>
          <w:szCs w:val="28"/>
          <w:highlight w:val="none"/>
        </w:rPr>
        <w:t>：</w:t>
      </w:r>
      <w:r>
        <w:rPr>
          <w:rFonts w:hint="eastAsia" w:hAnsi="黑体" w:cs="黑体"/>
          <w:szCs w:val="28"/>
          <w:highlight w:val="none"/>
        </w:rPr>
        <w:t>中小微企业声明函</w:t>
      </w:r>
      <w:r>
        <w:rPr>
          <w:highlight w:val="none"/>
        </w:rPr>
        <w:tab/>
      </w:r>
      <w:r>
        <w:rPr>
          <w:highlight w:val="none"/>
        </w:rPr>
        <w:fldChar w:fldCharType="begin"/>
      </w:r>
      <w:r>
        <w:rPr>
          <w:highlight w:val="none"/>
        </w:rPr>
        <w:instrText xml:space="preserve"> PAGEREF _Toc2308 \h </w:instrText>
      </w:r>
      <w:r>
        <w:rPr>
          <w:highlight w:val="none"/>
        </w:rPr>
        <w:fldChar w:fldCharType="separate"/>
      </w:r>
      <w:r>
        <w:rPr>
          <w:highlight w:val="none"/>
        </w:rPr>
        <w:t>38</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_Toc12175 </w:instrText>
      </w:r>
      <w:r>
        <w:rPr>
          <w:rFonts w:ascii="宋体" w:hAnsi="宋体"/>
          <w:bCs/>
          <w:caps/>
          <w:szCs w:val="21"/>
          <w:highlight w:val="none"/>
        </w:rPr>
        <w:fldChar w:fldCharType="separate"/>
      </w:r>
      <w:r>
        <w:rPr>
          <w:rFonts w:hint="eastAsia"/>
          <w:szCs w:val="28"/>
          <w:highlight w:val="none"/>
        </w:rPr>
        <w:t>附件</w:t>
      </w:r>
      <w:r>
        <w:rPr>
          <w:rFonts w:hint="eastAsia"/>
          <w:szCs w:val="28"/>
          <w:highlight w:val="none"/>
          <w:lang w:val="en-US" w:eastAsia="zh-CN"/>
        </w:rPr>
        <w:t>七</w:t>
      </w:r>
      <w:r>
        <w:rPr>
          <w:rFonts w:hint="eastAsia"/>
          <w:szCs w:val="28"/>
          <w:highlight w:val="none"/>
        </w:rPr>
        <w:t>：</w:t>
      </w:r>
      <w:r>
        <w:rPr>
          <w:rFonts w:hint="eastAsia" w:hAnsi="黑体" w:cs="黑体"/>
          <w:szCs w:val="28"/>
          <w:highlight w:val="none"/>
        </w:rPr>
        <w:t>残疾人福利性单位声明函</w:t>
      </w:r>
      <w:r>
        <w:rPr>
          <w:highlight w:val="none"/>
        </w:rPr>
        <w:tab/>
      </w:r>
      <w:r>
        <w:rPr>
          <w:highlight w:val="none"/>
        </w:rPr>
        <w:fldChar w:fldCharType="begin"/>
      </w:r>
      <w:r>
        <w:rPr>
          <w:highlight w:val="none"/>
        </w:rPr>
        <w:instrText xml:space="preserve"> PAGEREF _Toc12175 \h </w:instrText>
      </w:r>
      <w:r>
        <w:rPr>
          <w:highlight w:val="none"/>
        </w:rPr>
        <w:fldChar w:fldCharType="separate"/>
      </w:r>
      <w:r>
        <w:rPr>
          <w:highlight w:val="none"/>
        </w:rPr>
        <w:t>39</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_Toc23579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八</w:t>
      </w:r>
      <w:r>
        <w:rPr>
          <w:rFonts w:hint="eastAsia" w:ascii="宋体" w:hAnsi="宋体"/>
          <w:szCs w:val="28"/>
          <w:highlight w:val="none"/>
        </w:rPr>
        <w:t>：成交服务费承诺</w:t>
      </w:r>
      <w:r>
        <w:rPr>
          <w:highlight w:val="none"/>
        </w:rPr>
        <w:tab/>
      </w:r>
      <w:r>
        <w:rPr>
          <w:highlight w:val="none"/>
        </w:rPr>
        <w:fldChar w:fldCharType="begin"/>
      </w:r>
      <w:r>
        <w:rPr>
          <w:highlight w:val="none"/>
        </w:rPr>
        <w:instrText xml:space="preserve"> PAGEREF _Toc23579 \h </w:instrText>
      </w:r>
      <w:r>
        <w:rPr>
          <w:highlight w:val="none"/>
        </w:rPr>
        <w:fldChar w:fldCharType="separate"/>
      </w:r>
      <w:r>
        <w:rPr>
          <w:highlight w:val="none"/>
        </w:rPr>
        <w:t>40</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_Toc29148 </w:instrText>
      </w:r>
      <w:r>
        <w:rPr>
          <w:rFonts w:ascii="宋体" w:hAnsi="宋体"/>
          <w:bCs/>
          <w:caps/>
          <w:szCs w:val="21"/>
          <w:highlight w:val="none"/>
        </w:rPr>
        <w:fldChar w:fldCharType="separate"/>
      </w:r>
      <w:r>
        <w:rPr>
          <w:rFonts w:hint="eastAsia" w:ascii="宋体" w:hAnsi="宋体"/>
          <w:szCs w:val="28"/>
          <w:highlight w:val="none"/>
        </w:rPr>
        <w:t>附件</w:t>
      </w:r>
      <w:r>
        <w:rPr>
          <w:rFonts w:hint="eastAsia" w:ascii="宋体" w:hAnsi="宋体"/>
          <w:szCs w:val="28"/>
          <w:highlight w:val="none"/>
          <w:lang w:val="en-US" w:eastAsia="zh-CN"/>
        </w:rPr>
        <w:t>九</w:t>
      </w:r>
      <w:r>
        <w:rPr>
          <w:rFonts w:hint="eastAsia" w:ascii="宋体" w:hAnsi="宋体"/>
          <w:szCs w:val="28"/>
          <w:highlight w:val="none"/>
        </w:rPr>
        <w:t>：磋商供应商提交的其他资料</w:t>
      </w:r>
      <w:r>
        <w:rPr>
          <w:highlight w:val="none"/>
        </w:rPr>
        <w:tab/>
      </w:r>
      <w:r>
        <w:rPr>
          <w:highlight w:val="none"/>
        </w:rPr>
        <w:fldChar w:fldCharType="begin"/>
      </w:r>
      <w:r>
        <w:rPr>
          <w:highlight w:val="none"/>
        </w:rPr>
        <w:instrText xml:space="preserve"> PAGEREF _Toc29148 \h </w:instrText>
      </w:r>
      <w:r>
        <w:rPr>
          <w:highlight w:val="none"/>
        </w:rPr>
        <w:fldChar w:fldCharType="separate"/>
      </w:r>
      <w:r>
        <w:rPr>
          <w:highlight w:val="none"/>
        </w:rPr>
        <w:t>41</w:t>
      </w:r>
      <w:r>
        <w:rPr>
          <w:highlight w:val="none"/>
        </w:rPr>
        <w:fldChar w:fldCharType="end"/>
      </w:r>
      <w:r>
        <w:rPr>
          <w:rFonts w:ascii="宋体" w:hAnsi="宋体"/>
          <w:bCs/>
          <w:caps/>
          <w:color w:val="000000" w:themeColor="text1"/>
          <w:szCs w:val="21"/>
          <w:highlight w:val="none"/>
        </w:rPr>
        <w:fldChar w:fldCharType="end"/>
      </w:r>
    </w:p>
    <w:p>
      <w:pPr>
        <w:pStyle w:val="41"/>
        <w:tabs>
          <w:tab w:val="right" w:leader="dot" w:pos="8959"/>
          <w:tab w:val="clear" w:pos="8948"/>
        </w:tabs>
        <w:rPr>
          <w:highlight w:val="none"/>
        </w:rPr>
      </w:pPr>
      <w:r>
        <w:rPr>
          <w:rFonts w:ascii="宋体" w:hAnsi="宋体"/>
          <w:bCs/>
          <w:caps/>
          <w:color w:val="000000" w:themeColor="text1"/>
          <w:szCs w:val="21"/>
          <w:highlight w:val="none"/>
        </w:rPr>
        <w:fldChar w:fldCharType="begin"/>
      </w:r>
      <w:r>
        <w:rPr>
          <w:rFonts w:ascii="宋体" w:hAnsi="宋体"/>
          <w:bCs/>
          <w:caps/>
          <w:szCs w:val="21"/>
          <w:highlight w:val="none"/>
        </w:rPr>
        <w:instrText xml:space="preserve"> HYPERLINK \l _Toc10906 </w:instrText>
      </w:r>
      <w:r>
        <w:rPr>
          <w:rFonts w:ascii="宋体" w:hAnsi="宋体"/>
          <w:bCs/>
          <w:caps/>
          <w:szCs w:val="21"/>
          <w:highlight w:val="none"/>
        </w:rPr>
        <w:fldChar w:fldCharType="separate"/>
      </w:r>
      <w:r>
        <w:rPr>
          <w:rFonts w:hint="eastAsia" w:ascii="宋体" w:hAnsi="宋体"/>
          <w:highlight w:val="none"/>
        </w:rPr>
        <w:t>其 他 格 式</w:t>
      </w:r>
      <w:r>
        <w:rPr>
          <w:highlight w:val="none"/>
        </w:rPr>
        <w:tab/>
      </w:r>
      <w:r>
        <w:rPr>
          <w:highlight w:val="none"/>
        </w:rPr>
        <w:fldChar w:fldCharType="begin"/>
      </w:r>
      <w:r>
        <w:rPr>
          <w:highlight w:val="none"/>
        </w:rPr>
        <w:instrText xml:space="preserve"> PAGEREF _Toc10906 \h </w:instrText>
      </w:r>
      <w:r>
        <w:rPr>
          <w:highlight w:val="none"/>
        </w:rPr>
        <w:fldChar w:fldCharType="separate"/>
      </w:r>
      <w:r>
        <w:rPr>
          <w:highlight w:val="none"/>
        </w:rPr>
        <w:t>42</w:t>
      </w:r>
      <w:r>
        <w:rPr>
          <w:highlight w:val="none"/>
        </w:rPr>
        <w:fldChar w:fldCharType="end"/>
      </w:r>
      <w:r>
        <w:rPr>
          <w:rFonts w:ascii="宋体" w:hAnsi="宋体"/>
          <w:bCs/>
          <w:caps/>
          <w:color w:val="000000" w:themeColor="text1"/>
          <w:szCs w:val="21"/>
          <w:highlight w:val="none"/>
        </w:rPr>
        <w:fldChar w:fldCharType="end"/>
      </w:r>
    </w:p>
    <w:p>
      <w:pPr>
        <w:rPr>
          <w:rFonts w:ascii="宋体" w:hAnsi="宋体"/>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titlePg/>
          <w:docGrid w:linePitch="462" w:charSpace="0"/>
        </w:sectPr>
      </w:pPr>
      <w:r>
        <w:rPr>
          <w:rFonts w:ascii="宋体" w:hAnsi="宋体"/>
          <w:bCs/>
          <w:caps/>
          <w:color w:val="000000" w:themeColor="text1"/>
          <w:szCs w:val="21"/>
          <w:highlight w:val="none"/>
        </w:rPr>
        <w:fldChar w:fldCharType="end"/>
      </w:r>
    </w:p>
    <w:bookmarkEnd w:id="0"/>
    <w:p>
      <w:pPr>
        <w:pStyle w:val="3"/>
        <w:numPr>
          <w:ilvl w:val="0"/>
          <w:numId w:val="0"/>
        </w:numPr>
        <w:spacing w:beforeLines="0"/>
        <w:rPr>
          <w:rFonts w:ascii="宋体" w:hAnsi="宋体" w:eastAsia="宋体"/>
          <w:b/>
          <w:color w:val="000000" w:themeColor="text1"/>
          <w:highlight w:val="none"/>
        </w:rPr>
      </w:pPr>
      <w:bookmarkStart w:id="1" w:name="_Toc339441044"/>
      <w:bookmarkStart w:id="2" w:name="_Toc333237723"/>
      <w:bookmarkStart w:id="3" w:name="_Toc365967002"/>
      <w:bookmarkStart w:id="4" w:name="_Toc339020186"/>
      <w:bookmarkStart w:id="5" w:name="_Toc336681892"/>
      <w:bookmarkStart w:id="6" w:name="_Toc349143546"/>
      <w:bookmarkStart w:id="7" w:name="_Toc340677031"/>
      <w:bookmarkStart w:id="8" w:name="_Toc365985108"/>
      <w:bookmarkStart w:id="9" w:name="_Toc333238571"/>
      <w:bookmarkStart w:id="10" w:name="_Toc331512856"/>
      <w:bookmarkStart w:id="11" w:name="_Toc340672830"/>
      <w:bookmarkStart w:id="12" w:name="_Toc333935619"/>
      <w:bookmarkStart w:id="13" w:name="_Toc349127583"/>
      <w:bookmarkStart w:id="14" w:name="_Toc340507403"/>
      <w:bookmarkStart w:id="15" w:name="_Toc331683994"/>
      <w:bookmarkStart w:id="16" w:name="_Toc345513762"/>
      <w:bookmarkStart w:id="17" w:name="_Toc330459945"/>
      <w:bookmarkStart w:id="18" w:name="_Toc339362257"/>
      <w:bookmarkStart w:id="19" w:name="_Toc339019828"/>
      <w:bookmarkStart w:id="20" w:name="_Toc350438702"/>
      <w:bookmarkStart w:id="21" w:name="_Toc332206657"/>
      <w:bookmarkStart w:id="22" w:name="_Toc339020048"/>
      <w:bookmarkStart w:id="23" w:name="_Toc339019954"/>
      <w:bookmarkStart w:id="24" w:name="_Toc333935278"/>
      <w:bookmarkStart w:id="25" w:name="_Toc350756403"/>
      <w:bookmarkStart w:id="26" w:name="_Toc336681537"/>
      <w:bookmarkStart w:id="27" w:name="_Toc333237612"/>
      <w:bookmarkStart w:id="28" w:name="_Toc341348291"/>
      <w:bookmarkStart w:id="29" w:name="_Toc342296708"/>
      <w:bookmarkStart w:id="30" w:name="_Toc342060322"/>
      <w:bookmarkStart w:id="31" w:name="_Toc26932"/>
      <w:bookmarkStart w:id="32" w:name="_Toc332270305"/>
      <w:bookmarkStart w:id="33" w:name="_Toc337632315"/>
      <w:bookmarkStart w:id="34" w:name="_Toc366072457"/>
      <w:bookmarkStart w:id="35" w:name="_Toc500860978"/>
      <w:r>
        <w:rPr>
          <w:rFonts w:hint="eastAsia" w:ascii="宋体" w:hAnsi="宋体" w:eastAsia="宋体"/>
          <w:b/>
          <w:color w:val="000000" w:themeColor="text1"/>
          <w:highlight w:val="none"/>
        </w:rPr>
        <w:t>第一</w:t>
      </w:r>
      <w:bookmarkStart w:id="36" w:name="_Hlt23321731"/>
      <w:bookmarkEnd w:id="36"/>
      <w:r>
        <w:rPr>
          <w:rFonts w:hint="eastAsia" w:ascii="宋体" w:hAnsi="宋体" w:eastAsia="宋体"/>
          <w:b/>
          <w:color w:val="000000" w:themeColor="text1"/>
          <w:highlight w:val="none"/>
        </w:rPr>
        <w:t>部分 竞争性磋商邀请书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阳江市生态环境局阳东分局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2024年阳江市阳东区河长制水质监测项目（二次招标）</w:t>
      </w:r>
      <w:r>
        <w:rPr>
          <w:rFonts w:hint="eastAsia" w:ascii="宋体" w:hAnsi="宋体"/>
          <w:bCs/>
          <w:color w:val="000000" w:themeColor="text1"/>
          <w:highlight w:val="none"/>
        </w:rPr>
        <w:t>进行竞争性磋商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YXCG-20231205</w:t>
      </w:r>
      <w:r>
        <w:rPr>
          <w:rFonts w:hint="eastAsia" w:ascii="宋体" w:hAnsi="宋体"/>
          <w:bCs/>
          <w:color w:val="000000" w:themeColor="text1"/>
          <w:highlight w:val="none"/>
        </w:rPr>
        <w:t>)，欢迎符合条件的投标人参加。有关事项如下：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highlight w:val="none"/>
        </w:rPr>
        <w:t>一、</w:t>
      </w:r>
      <w:r>
        <w:rPr>
          <w:rFonts w:hint="eastAsia" w:ascii="宋体" w:hAnsi="宋体" w:cs="Tahoma"/>
          <w:b/>
          <w:bCs/>
          <w:color w:val="000000" w:themeColor="text1"/>
          <w:szCs w:val="21"/>
          <w:highlight w:val="none"/>
        </w:rPr>
        <w:t>招标项目的名称、用途、数量、采购方式</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1.项目名称：</w:t>
      </w:r>
      <w:r>
        <w:rPr>
          <w:rFonts w:hint="eastAsia" w:ascii="宋体" w:hAnsi="宋体"/>
          <w:bCs/>
          <w:color w:val="000000" w:themeColor="text1"/>
          <w:highlight w:val="none"/>
          <w:lang w:eastAsia="zh-CN"/>
        </w:rPr>
        <w:t>2024年阳江市阳东区河长制水质监测项目（二次招标）</w:t>
      </w:r>
    </w:p>
    <w:p>
      <w:pPr>
        <w:widowControl/>
        <w:tabs>
          <w:tab w:val="left" w:pos="735"/>
        </w:tabs>
        <w:adjustRightInd w:val="0"/>
        <w:snapToGrid w:val="0"/>
        <w:spacing w:line="360" w:lineRule="auto"/>
        <w:ind w:firstLine="210" w:firstLineChars="100"/>
        <w:rPr>
          <w:rFonts w:hint="eastAsia" w:ascii="宋体" w:hAnsi="宋体" w:eastAsia="宋体"/>
          <w:bCs/>
          <w:color w:val="000000" w:themeColor="text1"/>
          <w:highlight w:val="none"/>
          <w:lang w:eastAsia="zh-CN"/>
        </w:rPr>
      </w:pPr>
      <w:r>
        <w:rPr>
          <w:rFonts w:hint="eastAsia" w:ascii="宋体" w:hAnsi="宋体"/>
          <w:bCs/>
          <w:color w:val="000000" w:themeColor="text1"/>
          <w:highlight w:val="none"/>
        </w:rPr>
        <w:t xml:space="preserve">2.项目编号: </w:t>
      </w:r>
      <w:r>
        <w:rPr>
          <w:rFonts w:hint="eastAsia" w:ascii="宋体" w:hAnsi="宋体"/>
          <w:bCs/>
          <w:color w:val="000000" w:themeColor="text1"/>
          <w:highlight w:val="none"/>
          <w:lang w:eastAsia="zh-CN"/>
        </w:rPr>
        <w:t>YXCG-20231205</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rPr>
        <w:t>3.投标报价上限：人民币</w:t>
      </w:r>
      <w:r>
        <w:rPr>
          <w:rFonts w:hint="eastAsia" w:ascii="宋体" w:hAnsi="宋体" w:cs="宋体"/>
          <w:color w:val="000000" w:themeColor="text1"/>
          <w:sz w:val="21"/>
          <w:szCs w:val="21"/>
          <w:highlight w:val="none"/>
          <w:lang w:val="en-US" w:eastAsia="zh-CN"/>
        </w:rPr>
        <w:t>800000.00</w:t>
      </w:r>
      <w:r>
        <w:rPr>
          <w:rFonts w:hint="eastAsia" w:ascii="宋体" w:hAnsi="宋体"/>
          <w:bCs/>
          <w:color w:val="000000" w:themeColor="text1"/>
          <w:highlight w:val="none"/>
        </w:rPr>
        <w:t>元（超出该上限的投标报价将作为无效投标处理）</w:t>
      </w:r>
    </w:p>
    <w:p>
      <w:pPr>
        <w:widowControl/>
        <w:tabs>
          <w:tab w:val="left" w:pos="735"/>
        </w:tabs>
        <w:adjustRightInd w:val="0"/>
        <w:snapToGrid w:val="0"/>
        <w:spacing w:line="360" w:lineRule="auto"/>
        <w:ind w:firstLine="210" w:firstLineChars="10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.数  量：一项</w:t>
      </w:r>
    </w:p>
    <w:p>
      <w:pPr>
        <w:widowControl/>
        <w:tabs>
          <w:tab w:val="left" w:pos="735"/>
        </w:tabs>
        <w:adjustRightInd w:val="0"/>
        <w:snapToGrid w:val="0"/>
        <w:spacing w:line="360" w:lineRule="auto"/>
        <w:ind w:left="525" w:leftChars="1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lang w:eastAsia="zh-CN"/>
        </w:rPr>
        <w:t>.</w:t>
      </w:r>
      <w:r>
        <w:rPr>
          <w:rFonts w:hint="eastAsia" w:ascii="宋体" w:hAnsi="宋体"/>
          <w:bCs/>
          <w:color w:val="000000" w:themeColor="text1"/>
          <w:szCs w:val="21"/>
          <w:highlight w:val="none"/>
        </w:rPr>
        <w:t>服务期：</w:t>
      </w:r>
      <w:r>
        <w:rPr>
          <w:rFonts w:hint="eastAsia" w:hAnsi="宋体" w:eastAsia="宋体" w:cs="宋体"/>
          <w:color w:val="000000" w:themeColor="text1"/>
          <w:sz w:val="21"/>
          <w:szCs w:val="21"/>
          <w:highlight w:val="none"/>
          <w:lang w:eastAsia="zh-CN"/>
        </w:rPr>
        <w:t>自合同签订后</w:t>
      </w:r>
      <w:r>
        <w:rPr>
          <w:rFonts w:hint="eastAsia" w:hAnsi="宋体" w:eastAsia="宋体" w:cs="宋体"/>
          <w:color w:val="000000" w:themeColor="text1"/>
          <w:sz w:val="21"/>
          <w:szCs w:val="21"/>
          <w:highlight w:val="none"/>
          <w:lang w:val="en-US" w:eastAsia="zh-CN"/>
        </w:rPr>
        <w:t>一年</w:t>
      </w:r>
      <w:r>
        <w:rPr>
          <w:rFonts w:hint="eastAsia" w:hAnsi="宋体" w:eastAsia="宋体" w:cs="宋体"/>
          <w:color w:val="000000" w:themeColor="text1"/>
          <w:sz w:val="21"/>
          <w:szCs w:val="21"/>
          <w:highlight w:val="none"/>
          <w:lang w:eastAsia="zh-CN"/>
        </w:rPr>
        <w:t>内。（</w:t>
      </w:r>
      <w:r>
        <w:rPr>
          <w:rFonts w:hint="eastAsia" w:ascii="宋体" w:hAnsi="宋体" w:cs="Times New Roman"/>
          <w:color w:val="000000" w:themeColor="text1"/>
          <w:szCs w:val="21"/>
          <w:highlight w:val="none"/>
        </w:rPr>
        <w:t>投标人所提供的服务须满足检测服务要求一览表所述监测频次</w:t>
      </w:r>
      <w:r>
        <w:rPr>
          <w:rFonts w:hint="eastAsia" w:ascii="宋体" w:hAnsi="宋体" w:cs="Times New Roman"/>
          <w:color w:val="000000" w:themeColor="text1"/>
          <w:szCs w:val="21"/>
          <w:highlight w:val="none"/>
          <w:lang w:eastAsia="zh-CN"/>
        </w:rPr>
        <w:t>、</w:t>
      </w:r>
      <w:r>
        <w:rPr>
          <w:rFonts w:hint="eastAsia" w:ascii="宋体" w:hAnsi="宋体" w:cs="Times New Roman"/>
          <w:color w:val="000000" w:themeColor="text1"/>
          <w:szCs w:val="21"/>
          <w:highlight w:val="none"/>
        </w:rPr>
        <w:t>点数及检测项目</w:t>
      </w:r>
      <w:r>
        <w:rPr>
          <w:rFonts w:hint="eastAsia" w:ascii="宋体" w:hAnsi="宋体" w:cs="Times New Roman"/>
          <w:color w:val="000000" w:themeColor="text1"/>
          <w:szCs w:val="21"/>
          <w:highlight w:val="none"/>
          <w:lang w:eastAsia="zh-CN"/>
        </w:rPr>
        <w:t>，</w:t>
      </w:r>
      <w:r>
        <w:rPr>
          <w:rFonts w:hint="eastAsia" w:ascii="宋体" w:hAnsi="宋体" w:eastAsia="宋体" w:cs="宋体"/>
          <w:color w:val="000000" w:themeColor="text1"/>
          <w:sz w:val="21"/>
          <w:szCs w:val="21"/>
          <w:highlight w:val="none"/>
        </w:rPr>
        <w:t>超出</w:t>
      </w:r>
      <w:r>
        <w:rPr>
          <w:rFonts w:hint="eastAsia" w:ascii="宋体" w:hAnsi="宋体" w:cs="宋体"/>
          <w:color w:val="000000" w:themeColor="text1"/>
          <w:sz w:val="21"/>
          <w:szCs w:val="21"/>
          <w:highlight w:val="none"/>
          <w:lang w:val="en-US" w:eastAsia="zh-CN"/>
        </w:rPr>
        <w:t>该服务期</w:t>
      </w:r>
      <w:r>
        <w:rPr>
          <w:rFonts w:hint="eastAsia" w:ascii="宋体" w:hAnsi="宋体" w:eastAsia="宋体" w:cs="宋体"/>
          <w:color w:val="000000" w:themeColor="text1"/>
          <w:sz w:val="21"/>
          <w:szCs w:val="21"/>
          <w:highlight w:val="none"/>
        </w:rPr>
        <w:t>将作为无效</w:t>
      </w:r>
      <w:r>
        <w:rPr>
          <w:rFonts w:hint="eastAsia" w:ascii="宋体" w:hAnsi="宋体" w:cs="宋体"/>
          <w:color w:val="000000" w:themeColor="text1"/>
          <w:sz w:val="21"/>
          <w:szCs w:val="21"/>
          <w:highlight w:val="none"/>
          <w:lang w:val="en-US" w:eastAsia="zh-CN"/>
        </w:rPr>
        <w:t>投标</w:t>
      </w:r>
      <w:r>
        <w:rPr>
          <w:rFonts w:hint="eastAsia" w:ascii="宋体" w:hAnsi="宋体" w:eastAsia="宋体" w:cs="宋体"/>
          <w:color w:val="000000" w:themeColor="text1"/>
          <w:sz w:val="21"/>
          <w:szCs w:val="21"/>
          <w:highlight w:val="none"/>
        </w:rPr>
        <w:t>处理）</w:t>
      </w:r>
    </w:p>
    <w:p>
      <w:pPr>
        <w:widowControl/>
        <w:tabs>
          <w:tab w:val="left" w:pos="315"/>
          <w:tab w:val="left" w:pos="735"/>
        </w:tabs>
        <w:adjustRightInd w:val="0"/>
        <w:snapToGrid w:val="0"/>
        <w:spacing w:line="360" w:lineRule="auto"/>
        <w:ind w:firstLine="210" w:firstLineChars="1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.项目采购方式：竞争性磋商</w:t>
      </w:r>
    </w:p>
    <w:p>
      <w:pPr>
        <w:widowControl/>
        <w:tabs>
          <w:tab w:val="left" w:pos="502"/>
        </w:tabs>
        <w:adjustRightInd w:val="0"/>
        <w:snapToGrid w:val="0"/>
        <w:spacing w:line="360" w:lineRule="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spacing w:line="360" w:lineRule="auto"/>
        <w:ind w:left="420" w:leftChars="200"/>
        <w:rPr>
          <w:rFonts w:ascii="宋体" w:hAnsi="宋体"/>
          <w:color w:val="000000" w:themeColor="text1"/>
          <w:szCs w:val="2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szCs w:val="21"/>
          <w:highlight w:val="none"/>
        </w:rPr>
        <w:t>4）有依法缴纳税收和社会保障资金的良好记录；</w:t>
      </w:r>
      <w:r>
        <w:rPr>
          <w:rFonts w:ascii="宋体" w:hAnsi="宋体"/>
          <w:color w:val="000000" w:themeColor="text1"/>
          <w:szCs w:val="21"/>
          <w:highlight w:val="none"/>
        </w:rPr>
        <w:br w:type="textWrapping"/>
      </w:r>
      <w:r>
        <w:rPr>
          <w:rFonts w:ascii="宋体" w:hAnsi="宋体"/>
          <w:color w:val="000000" w:themeColor="text1"/>
          <w:szCs w:val="21"/>
          <w:highlight w:val="none"/>
        </w:rPr>
        <w:t>5）参加政府采购活动前三年内，在经营活动中没有重大违法记录；</w:t>
      </w:r>
      <w:r>
        <w:rPr>
          <w:rFonts w:ascii="宋体" w:hAnsi="宋体"/>
          <w:color w:val="000000" w:themeColor="text1"/>
          <w:szCs w:val="21"/>
          <w:highlight w:val="none"/>
        </w:rPr>
        <w:br w:type="textWrapping"/>
      </w:r>
      <w:r>
        <w:rPr>
          <w:rFonts w:ascii="宋体" w:hAnsi="宋体"/>
          <w:color w:val="000000" w:themeColor="text1"/>
          <w:szCs w:val="21"/>
          <w:highlight w:val="none"/>
        </w:rPr>
        <w:t>6）法律、行政法规规定的其他条件。</w:t>
      </w:r>
    </w:p>
    <w:p>
      <w:pPr>
        <w:widowControl/>
        <w:tabs>
          <w:tab w:val="left" w:pos="735"/>
        </w:tabs>
        <w:adjustRightInd w:val="0"/>
        <w:snapToGrid w:val="0"/>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2.</w:t>
      </w: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rPr>
        <w:t>（提供《磋商邀请函》承诺）</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3</w:t>
      </w:r>
      <w:r>
        <w:rPr>
          <w:rFonts w:ascii="宋体" w:hAnsi="宋体"/>
          <w:color w:val="000000" w:themeColor="text1"/>
          <w:szCs w:val="21"/>
          <w:highlight w:val="none"/>
        </w:rPr>
        <w:t>.</w:t>
      </w: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p>
      <w:pPr>
        <w:spacing w:line="360" w:lineRule="auto"/>
        <w:ind w:firstLine="210" w:firstLineChars="100"/>
        <w:rPr>
          <w:rFonts w:ascii="宋体" w:hAnsi="宋体"/>
          <w:color w:val="000000" w:themeColor="text1"/>
          <w:szCs w:val="21"/>
          <w:highlight w:val="none"/>
        </w:rPr>
      </w:pP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sz w:val="21"/>
          <w:szCs w:val="21"/>
          <w:highlight w:val="none"/>
          <w:lang w:val="en-US" w:eastAsia="zh-CN"/>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r>
        <w:rPr>
          <w:rFonts w:hint="eastAsia" w:ascii="宋体" w:hAnsi="宋体" w:eastAsia="宋体" w:cs="宋体"/>
          <w:color w:val="000000" w:themeColor="text1"/>
          <w:highlight w:val="none"/>
          <w:lang w:val="en-US" w:eastAsia="zh-CN"/>
        </w:rPr>
        <w:t>。</w:t>
      </w:r>
    </w:p>
    <w:p>
      <w:pPr>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5.投标人具有检验检测机构资质认定CMA证书，并覆盖本项目所有监测项目。</w:t>
      </w:r>
    </w:p>
    <w:p>
      <w:pPr>
        <w:spacing w:line="360" w:lineRule="auto"/>
        <w:ind w:firstLine="210" w:firstLineChars="1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6.投标人具有独立完成本项目的能力，不接受联合体投标和任何形式分包（包括采样和检测）。</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在招标代理机构登记并购买磋商文件。</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三、</w:t>
      </w:r>
      <w:r>
        <w:rPr>
          <w:rFonts w:ascii="宋体" w:hAnsi="宋体" w:cs="Tahoma"/>
          <w:b/>
          <w:bCs/>
          <w:color w:val="000000" w:themeColor="text1"/>
          <w:szCs w:val="21"/>
          <w:highlight w:val="none"/>
        </w:rPr>
        <w:t>磋商文件的公示</w:t>
      </w:r>
    </w:p>
    <w:p>
      <w:pPr>
        <w:widowControl/>
        <w:spacing w:line="360" w:lineRule="auto"/>
        <w:jc w:val="left"/>
        <w:rPr>
          <w:rFonts w:ascii="宋体" w:hAnsi="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磋商文件公示时</w:t>
      </w:r>
      <w:r>
        <w:rPr>
          <w:rFonts w:hint="eastAsia" w:ascii="宋体" w:hAnsi="宋体"/>
          <w:bCs/>
          <w:color w:val="000000" w:themeColor="text1"/>
          <w:highlight w:val="none"/>
        </w:rPr>
        <w:t>间及下载：</w:t>
      </w:r>
      <w:r>
        <w:rPr>
          <w:rFonts w:hint="eastAsia" w:ascii="宋体" w:hAnsi="宋体" w:eastAsia="宋体" w:cs="Times New Roman"/>
          <w:bCs/>
          <w:color w:val="000000" w:themeColor="text1"/>
          <w:kern w:val="2"/>
          <w:sz w:val="21"/>
          <w:szCs w:val="24"/>
          <w:highlight w:val="none"/>
          <w:lang w:val="en-US" w:eastAsia="zh-CN" w:bidi="ar-SA"/>
        </w:rPr>
        <w:t>2024年1月12日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2024年1月19日</w:t>
      </w:r>
      <w:r>
        <w:rPr>
          <w:rFonts w:hint="eastAsia" w:ascii="宋体" w:hAnsi="宋体"/>
          <w:bCs/>
          <w:color w:val="000000" w:themeColor="text1"/>
          <w:highlight w:val="none"/>
        </w:rPr>
        <w:t>。</w:t>
      </w:r>
    </w:p>
    <w:p>
      <w:pPr>
        <w:widowControl/>
        <w:adjustRightInd w:val="0"/>
        <w:snapToGrid w:val="0"/>
        <w:spacing w:line="360" w:lineRule="auto"/>
        <w:ind w:left="105" w:leftChars="50"/>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四、购买磋商文件的时间、地点、方式及磋商文件售价</w:t>
      </w:r>
    </w:p>
    <w:p>
      <w:pPr>
        <w:widowControl/>
        <w:tabs>
          <w:tab w:val="left" w:pos="735"/>
        </w:tabs>
        <w:adjustRightInd w:val="0"/>
        <w:snapToGrid w:val="0"/>
        <w:spacing w:line="360" w:lineRule="auto"/>
        <w:ind w:left="210" w:hanging="210" w:hangingChars="100"/>
        <w:rPr>
          <w:rFonts w:ascii="宋体" w:hAnsi="宋体" w:cs="Arial"/>
          <w:color w:val="000000" w:themeColor="text1"/>
          <w:highlight w:val="none"/>
        </w:rPr>
      </w:pPr>
      <w:r>
        <w:rPr>
          <w:rFonts w:hint="eastAsia" w:ascii="宋体" w:hAnsi="宋体" w:cs="Tahoma"/>
          <w:color w:val="000000" w:themeColor="text1"/>
          <w:highlight w:val="none"/>
        </w:rPr>
        <w:t xml:space="preserve"> 1.购买磋商文件</w:t>
      </w:r>
      <w:r>
        <w:rPr>
          <w:rFonts w:hint="eastAsia" w:ascii="宋体" w:hAnsi="宋体"/>
          <w:bCs/>
          <w:color w:val="000000" w:themeColor="text1"/>
          <w:highlight w:val="none"/>
        </w:rPr>
        <w:t>时间：</w:t>
      </w:r>
      <w:r>
        <w:rPr>
          <w:rFonts w:hint="eastAsia" w:ascii="宋体" w:hAnsi="宋体" w:eastAsia="宋体" w:cs="Times New Roman"/>
          <w:bCs/>
          <w:color w:val="000000" w:themeColor="text1"/>
          <w:kern w:val="2"/>
          <w:sz w:val="21"/>
          <w:szCs w:val="24"/>
          <w:highlight w:val="none"/>
          <w:lang w:val="en-US" w:eastAsia="zh-CN" w:bidi="ar-SA"/>
        </w:rPr>
        <w:t>2024年1月12日</w:t>
      </w:r>
      <w:r>
        <w:rPr>
          <w:rFonts w:hint="eastAsia" w:ascii="宋体" w:hAnsi="宋体"/>
          <w:color w:val="000000" w:themeColor="text1"/>
          <w:szCs w:val="21"/>
          <w:highlight w:val="none"/>
        </w:rPr>
        <w:t>至</w:t>
      </w:r>
      <w:r>
        <w:rPr>
          <w:rFonts w:hint="eastAsia" w:ascii="宋体" w:hAnsi="宋体" w:eastAsia="宋体" w:cs="Times New Roman"/>
          <w:bCs/>
          <w:color w:val="000000" w:themeColor="text1"/>
          <w:kern w:val="2"/>
          <w:sz w:val="21"/>
          <w:szCs w:val="24"/>
          <w:highlight w:val="none"/>
          <w:lang w:val="en-US" w:eastAsia="zh-CN" w:bidi="ar-SA"/>
        </w:rPr>
        <w:t>2024年1月19日</w:t>
      </w:r>
      <w:r>
        <w:rPr>
          <w:rFonts w:hint="eastAsia" w:ascii="宋体" w:hAnsi="宋体"/>
          <w:bCs/>
          <w:color w:val="000000" w:themeColor="text1"/>
          <w:highlight w:val="none"/>
        </w:rPr>
        <w:t>，上午9:00～12:00，下午2:30～5:30（节假日除外）（北</w:t>
      </w:r>
      <w:r>
        <w:rPr>
          <w:rFonts w:hint="eastAsia" w:ascii="宋体" w:hAnsi="宋体" w:cs="Arial"/>
          <w:color w:val="000000" w:themeColor="text1"/>
          <w:highlight w:val="none"/>
        </w:rPr>
        <w:t>京时间）。</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2.购买磋商文件地点：阳江市江城区猫山四街33号A座2楼</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05室。</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3.磋商文件售价：</w:t>
      </w:r>
      <w:r>
        <w:rPr>
          <w:rFonts w:hint="eastAsia" w:ascii="宋体" w:hAnsi="宋体"/>
          <w:bCs/>
          <w:color w:val="000000" w:themeColor="text1"/>
          <w:szCs w:val="21"/>
          <w:highlight w:val="none"/>
        </w:rPr>
        <w:t>磋商文件每套人民币200元，售后不退</w:t>
      </w:r>
      <w:r>
        <w:rPr>
          <w:rFonts w:hint="eastAsia" w:ascii="宋体" w:hAnsi="宋体"/>
          <w:bCs/>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 4.磋商文件获取方式：现场发售。</w:t>
      </w:r>
    </w:p>
    <w:p>
      <w:pPr>
        <w:widowControl/>
        <w:tabs>
          <w:tab w:val="left" w:pos="735"/>
        </w:tabs>
        <w:adjustRightInd w:val="0"/>
        <w:snapToGrid w:val="0"/>
        <w:spacing w:line="360" w:lineRule="auto"/>
        <w:ind w:firstLine="105" w:firstLineChars="50"/>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购买磋商文件必须携带：</w:t>
      </w:r>
    </w:p>
    <w:p>
      <w:pPr>
        <w:widowControl/>
        <w:tabs>
          <w:tab w:val="left" w:pos="735"/>
        </w:tabs>
        <w:adjustRightInd w:val="0"/>
        <w:snapToGrid w:val="0"/>
        <w:spacing w:line="360" w:lineRule="auto"/>
        <w:ind w:left="420" w:leftChars="100" w:hanging="210" w:hangingChars="10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加盖公章到指定地址购买。</w:t>
      </w:r>
      <w:r>
        <w:rPr>
          <w:rFonts w:hint="eastAsia" w:ascii="宋体" w:hAnsi="宋体"/>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388" w:leftChars="135" w:hanging="105" w:hangingChars="50"/>
        <w:rPr>
          <w:rFonts w:ascii="宋体" w:hAnsi="宋体" w:cs="Arial"/>
          <w:b/>
          <w:color w:val="000000" w:themeColor="text1"/>
          <w:highlight w:val="none"/>
        </w:rPr>
      </w:pPr>
      <w:r>
        <w:rPr>
          <w:rFonts w:hint="eastAsia" w:ascii="宋体" w:hAnsi="宋体"/>
          <w:bCs/>
          <w:color w:val="000000" w:themeColor="text1"/>
          <w:highlight w:val="none"/>
        </w:rPr>
        <w:t>2）</w:t>
      </w:r>
      <w:r>
        <w:rPr>
          <w:rFonts w:hint="eastAsia" w:ascii="宋体" w:hAnsi="宋体"/>
          <w:b/>
          <w:bCs/>
          <w:color w:val="000000" w:themeColor="text1"/>
          <w:highlight w:val="none"/>
        </w:rPr>
        <w:t>供应商须提供未被列入“信用中国”网站(</w:t>
      </w:r>
      <w:r>
        <w:rPr>
          <w:color w:val="000000" w:themeColor="text1"/>
          <w:highlight w:val="none"/>
        </w:rPr>
        <w:fldChar w:fldCharType="begin"/>
      </w:r>
      <w:r>
        <w:rPr>
          <w:color w:val="000000" w:themeColor="text1"/>
          <w:highlight w:val="none"/>
        </w:rPr>
        <w:instrText xml:space="preserve"> HYPERLINK "http://www.creditchina.gov.cn)" </w:instrText>
      </w:r>
      <w:r>
        <w:rPr>
          <w:color w:val="000000" w:themeColor="text1"/>
          <w:highlight w:val="none"/>
        </w:rPr>
        <w:fldChar w:fldCharType="separate"/>
      </w:r>
      <w:r>
        <w:rPr>
          <w:rStyle w:val="58"/>
          <w:rFonts w:hint="eastAsia" w:ascii="宋体" w:hAnsi="宋体"/>
          <w:b/>
          <w:bCs/>
          <w:color w:val="000000" w:themeColor="text1"/>
          <w:highlight w:val="none"/>
        </w:rPr>
        <w:t>www.creditchina.gov.cn)“记录失信被执行人或重大</w:t>
      </w:r>
      <w:r>
        <w:rPr>
          <w:rStyle w:val="58"/>
          <w:rFonts w:hint="eastAsia" w:ascii="宋体" w:hAnsi="宋体"/>
          <w:b/>
          <w:bCs/>
          <w:color w:val="000000" w:themeColor="text1"/>
          <w:highlight w:val="none"/>
        </w:rPr>
        <w:fldChar w:fldCharType="end"/>
      </w:r>
      <w:r>
        <w:rPr>
          <w:rFonts w:hint="eastAsia" w:ascii="宋体" w:hAnsi="宋体"/>
          <w:b/>
          <w:bCs/>
          <w:color w:val="000000" w:themeColor="text1"/>
          <w:highlight w:val="none"/>
        </w:rPr>
        <w:t>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numPr>
          <w:ilvl w:val="0"/>
          <w:numId w:val="22"/>
        </w:numPr>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投标截止时间、开标时间及地点</w:t>
      </w:r>
    </w:p>
    <w:p>
      <w:pPr>
        <w:widowControl/>
        <w:tabs>
          <w:tab w:val="left" w:pos="735"/>
        </w:tabs>
        <w:adjustRightInd w:val="0"/>
        <w:snapToGrid w:val="0"/>
        <w:spacing w:line="360" w:lineRule="auto"/>
        <w:rPr>
          <w:rFonts w:ascii="宋体" w:hAnsi="宋体" w:cs="Arial"/>
          <w:color w:val="000000" w:themeColor="text1"/>
          <w:highlight w:val="none"/>
        </w:rPr>
      </w:pPr>
      <w:r>
        <w:rPr>
          <w:rFonts w:hint="eastAsia" w:ascii="宋体" w:hAnsi="宋体" w:cs="Tahoma"/>
          <w:color w:val="000000" w:themeColor="text1"/>
          <w:highlight w:val="none"/>
        </w:rPr>
        <w:t xml:space="preserve"> 1.递交磋商响应文件时间：</w:t>
      </w:r>
      <w:r>
        <w:rPr>
          <w:rFonts w:hint="eastAsia" w:ascii="宋体" w:hAnsi="宋体" w:eastAsia="宋体" w:cs="Times New Roman"/>
          <w:bCs/>
          <w:color w:val="000000" w:themeColor="text1"/>
          <w:kern w:val="2"/>
          <w:sz w:val="21"/>
          <w:szCs w:val="24"/>
          <w:highlight w:val="none"/>
          <w:lang w:val="en-US" w:eastAsia="zh-CN" w:bidi="ar-SA"/>
        </w:rPr>
        <w:t>2024年1月23日</w:t>
      </w:r>
      <w:r>
        <w:rPr>
          <w:rFonts w:hint="eastAsia" w:ascii="宋体" w:hAnsi="宋体"/>
          <w:color w:val="000000" w:themeColor="text1"/>
          <w:highlight w:val="none"/>
        </w:rPr>
        <w:t xml:space="preserve"> 09:</w:t>
      </w:r>
      <w:r>
        <w:rPr>
          <w:rFonts w:hint="eastAsia" w:ascii="宋体" w:hAnsi="宋体"/>
          <w:color w:val="000000" w:themeColor="text1"/>
          <w:highlight w:val="none"/>
          <w:lang w:val="en-US" w:eastAsia="zh-CN"/>
        </w:rPr>
        <w:t>00</w:t>
      </w:r>
      <w:r>
        <w:rPr>
          <w:rFonts w:hint="eastAsia" w:ascii="宋体" w:hAnsi="宋体"/>
          <w:color w:val="000000" w:themeColor="text1"/>
          <w:highlight w:val="none"/>
        </w:rPr>
        <w:t>-</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rPr>
          <w:rFonts w:ascii="宋体" w:hAnsi="宋体"/>
          <w:bCs/>
          <w:color w:val="000000" w:themeColor="text1"/>
          <w:highlight w:val="none"/>
        </w:rPr>
      </w:pPr>
      <w:r>
        <w:rPr>
          <w:rFonts w:hint="eastAsia" w:ascii="宋体" w:hAnsi="宋体" w:cs="Tahoma"/>
          <w:color w:val="000000" w:themeColor="text1"/>
          <w:highlight w:val="none"/>
        </w:rPr>
        <w:t xml:space="preserve"> 2.投标截止时间、开标时间：</w:t>
      </w:r>
      <w:r>
        <w:rPr>
          <w:rFonts w:hint="eastAsia" w:ascii="宋体" w:hAnsi="宋体" w:eastAsia="宋体" w:cs="Times New Roman"/>
          <w:bCs/>
          <w:color w:val="000000" w:themeColor="text1"/>
          <w:kern w:val="2"/>
          <w:sz w:val="21"/>
          <w:szCs w:val="24"/>
          <w:highlight w:val="none"/>
          <w:lang w:val="en-US" w:eastAsia="zh-CN" w:bidi="ar-SA"/>
        </w:rPr>
        <w:t>2024年1月23日</w:t>
      </w:r>
      <w:r>
        <w:rPr>
          <w:rFonts w:hint="eastAsia" w:ascii="宋体" w:hAnsi="宋体"/>
          <w:color w:val="000000" w:themeColor="text1"/>
          <w:highlight w:val="none"/>
          <w:lang w:val="en-US" w:eastAsia="zh-CN"/>
        </w:rPr>
        <w:t>9</w:t>
      </w:r>
      <w:r>
        <w:rPr>
          <w:rFonts w:hint="eastAsia" w:ascii="宋体" w:hAnsi="宋体"/>
          <w:color w:val="000000" w:themeColor="text1"/>
          <w:highlight w:val="none"/>
        </w:rPr>
        <w:t>:</w:t>
      </w:r>
      <w:r>
        <w:rPr>
          <w:rFonts w:hint="eastAsia" w:ascii="宋体" w:hAnsi="宋体"/>
          <w:color w:val="000000" w:themeColor="text1"/>
          <w:highlight w:val="none"/>
          <w:lang w:val="en-US" w:eastAsia="zh-CN"/>
        </w:rPr>
        <w:t>3</w:t>
      </w:r>
      <w:r>
        <w:rPr>
          <w:rFonts w:hint="eastAsia" w:ascii="宋体" w:hAnsi="宋体"/>
          <w:color w:val="000000" w:themeColor="text1"/>
          <w:highlight w:val="none"/>
        </w:rPr>
        <w:t>0</w:t>
      </w:r>
      <w:r>
        <w:rPr>
          <w:rFonts w:hint="eastAsia" w:ascii="宋体" w:hAnsi="宋体" w:cs="Arial"/>
          <w:color w:val="000000" w:themeColor="text1"/>
          <w:szCs w:val="21"/>
          <w:highlight w:val="none"/>
        </w:rPr>
        <w:t xml:space="preserve"> </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widowControl/>
        <w:tabs>
          <w:tab w:val="left" w:pos="735"/>
        </w:tabs>
        <w:adjustRightInd w:val="0"/>
        <w:snapToGrid w:val="0"/>
        <w:spacing w:line="360" w:lineRule="auto"/>
        <w:ind w:firstLine="105" w:firstLineChars="50"/>
        <w:rPr>
          <w:rFonts w:ascii="宋体" w:hAnsi="宋体" w:cs="Tahoma"/>
          <w:b/>
          <w:bCs/>
          <w:color w:val="000000" w:themeColor="text1"/>
          <w:szCs w:val="21"/>
          <w:highlight w:val="none"/>
        </w:rPr>
      </w:pPr>
      <w:r>
        <w:rPr>
          <w:rFonts w:hint="eastAsia" w:ascii="宋体" w:hAnsi="宋体" w:cs="Tahoma"/>
          <w:color w:val="000000" w:themeColor="text1"/>
          <w:highlight w:val="none"/>
        </w:rPr>
        <w:t>3.递交磋商响应文件地点、开标地点：阳江市江城区猫山四街33号A座2楼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widowControl/>
        <w:tabs>
          <w:tab w:val="left" w:pos="735"/>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六、采购人、代理采购机构的名称、地址和联系方式</w:t>
      </w:r>
    </w:p>
    <w:p>
      <w:pPr>
        <w:widowControl/>
        <w:tabs>
          <w:tab w:val="left" w:pos="630"/>
        </w:tabs>
        <w:adjustRightInd w:val="0"/>
        <w:snapToGrid w:val="0"/>
        <w:spacing w:line="360" w:lineRule="auto"/>
        <w:ind w:firstLine="105" w:firstLineChars="50"/>
        <w:rPr>
          <w:rFonts w:ascii="宋体" w:hAnsi="宋体"/>
          <w:bCs/>
          <w:color w:val="000000" w:themeColor="text1"/>
          <w:highlight w:val="none"/>
        </w:rPr>
      </w:pPr>
      <w:r>
        <w:rPr>
          <w:rFonts w:hint="eastAsia" w:ascii="宋体" w:hAnsi="宋体" w:cs="Tahoma"/>
          <w:color w:val="000000" w:themeColor="text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阳江市生态环境局阳东分局</w:t>
      </w:r>
    </w:p>
    <w:p>
      <w:pPr>
        <w:tabs>
          <w:tab w:val="left" w:pos="735"/>
          <w:tab w:val="left" w:pos="4680"/>
        </w:tabs>
        <w:adjustRightInd w:val="0"/>
        <w:snapToGrid w:val="0"/>
        <w:spacing w:line="360" w:lineRule="auto"/>
        <w:ind w:firstLine="420" w:firstLineChars="200"/>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地    址：阳江市阳东区东城镇滨河路3号</w:t>
      </w:r>
    </w:p>
    <w:p>
      <w:pPr>
        <w:tabs>
          <w:tab w:val="left" w:pos="735"/>
          <w:tab w:val="left" w:pos="4680"/>
        </w:tabs>
        <w:adjustRightInd w:val="0"/>
        <w:snapToGrid w:val="0"/>
        <w:spacing w:line="360" w:lineRule="auto"/>
        <w:ind w:firstLine="420" w:firstLineChars="200"/>
        <w:rPr>
          <w:rFonts w:hint="eastAsia"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 系 人：</w:t>
      </w:r>
      <w:r>
        <w:rPr>
          <w:rFonts w:hint="eastAsia" w:ascii="宋体" w:hAnsi="宋体" w:eastAsia="宋体" w:cs="宋体"/>
          <w:color w:val="000000" w:themeColor="text1"/>
          <w:kern w:val="28"/>
          <w:szCs w:val="21"/>
          <w:highlight w:val="none"/>
        </w:rPr>
        <w:t>黄名雄</w:t>
      </w:r>
    </w:p>
    <w:p>
      <w:pPr>
        <w:tabs>
          <w:tab w:val="left" w:pos="735"/>
          <w:tab w:val="left" w:pos="4680"/>
        </w:tabs>
        <w:adjustRightInd w:val="0"/>
        <w:snapToGrid w:val="0"/>
        <w:spacing w:line="360" w:lineRule="auto"/>
        <w:ind w:firstLine="420" w:firstLineChars="20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联系电话：</w:t>
      </w:r>
      <w:r>
        <w:rPr>
          <w:rFonts w:hint="eastAsia" w:ascii="宋体" w:hAnsi="宋体" w:eastAsia="宋体" w:cs="宋体"/>
          <w:color w:val="000000" w:themeColor="text1"/>
          <w:kern w:val="28"/>
          <w:szCs w:val="21"/>
          <w:highlight w:val="none"/>
          <w:lang w:val="en-US" w:eastAsia="zh-CN"/>
        </w:rPr>
        <w:t>0662-6611850</w:t>
      </w:r>
    </w:p>
    <w:p>
      <w:pPr>
        <w:tabs>
          <w:tab w:val="left" w:pos="735"/>
          <w:tab w:val="left" w:pos="4680"/>
        </w:tabs>
        <w:adjustRightInd w:val="0"/>
        <w:snapToGrid w:val="0"/>
        <w:spacing w:line="360" w:lineRule="auto"/>
        <w:ind w:firstLine="105" w:firstLineChars="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联系电话：0662-3167266</w:t>
      </w:r>
    </w:p>
    <w:p>
      <w:pPr>
        <w:widowControl/>
        <w:tabs>
          <w:tab w:val="left" w:pos="735"/>
        </w:tabs>
        <w:adjustRightInd w:val="0"/>
        <w:snapToGrid w:val="0"/>
        <w:spacing w:line="360" w:lineRule="auto"/>
        <w:ind w:firstLine="420" w:firstLineChars="200"/>
        <w:rPr>
          <w:rFonts w:ascii="宋体" w:hAnsi="宋体" w:cs="Tahoma"/>
          <w:color w:val="000000" w:themeColor="text1"/>
          <w:highlight w:val="none"/>
        </w:rPr>
      </w:pPr>
      <w:r>
        <w:rPr>
          <w:rFonts w:hint="eastAsia" w:ascii="宋体" w:hAnsi="宋体" w:cs="Tahoma"/>
          <w:color w:val="000000" w:themeColor="text1"/>
          <w:highlight w:val="none"/>
        </w:rPr>
        <w:t>传    真：0662-2669666</w:t>
      </w:r>
    </w:p>
    <w:p>
      <w:pPr>
        <w:tabs>
          <w:tab w:val="left" w:pos="4680"/>
        </w:tabs>
        <w:adjustRightInd w:val="0"/>
        <w:snapToGrid w:val="0"/>
        <w:spacing w:line="360" w:lineRule="auto"/>
        <w:ind w:firstLine="420" w:firstLineChars="200"/>
        <w:rPr>
          <w:rFonts w:ascii="宋体" w:hAnsi="宋体"/>
          <w:bCs/>
          <w:color w:val="000000" w:themeColor="text1"/>
          <w:highlight w:val="none"/>
        </w:rPr>
      </w:pPr>
      <w:r>
        <w:rPr>
          <w:rFonts w:hint="eastAsia" w:ascii="宋体" w:hAnsi="宋体" w:cs="Tahoma"/>
          <w:color w:val="000000" w:themeColor="text1"/>
          <w:highlight w:val="none"/>
        </w:rPr>
        <w:t>网    址：</w:t>
      </w:r>
      <w:r>
        <w:rPr>
          <w:rFonts w:ascii="宋体" w:hAnsi="宋体"/>
          <w:bCs/>
          <w:color w:val="000000" w:themeColor="text1"/>
          <w:highlight w:val="none"/>
        </w:rPr>
        <w:t>http://www.</w:t>
      </w:r>
      <w:r>
        <w:rPr>
          <w:rFonts w:hint="eastAsia" w:ascii="宋体" w:hAnsi="宋体"/>
          <w:bCs/>
          <w:color w:val="000000" w:themeColor="text1"/>
          <w:highlight w:val="none"/>
        </w:rPr>
        <w:t>yjcg</w:t>
      </w:r>
      <w:r>
        <w:rPr>
          <w:rFonts w:ascii="宋体" w:hAnsi="宋体"/>
          <w:bCs/>
          <w:color w:val="000000" w:themeColor="text1"/>
          <w:highlight w:val="none"/>
        </w:rPr>
        <w:t>.</w:t>
      </w:r>
      <w:r>
        <w:rPr>
          <w:rFonts w:hint="eastAsia" w:ascii="宋体" w:hAnsi="宋体"/>
          <w:bCs/>
          <w:color w:val="000000" w:themeColor="text1"/>
          <w:highlight w:val="none"/>
        </w:rPr>
        <w:t>cc</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广东业信采购招标有限公司</w:t>
      </w:r>
    </w:p>
    <w:p>
      <w:pPr>
        <w:widowControl/>
        <w:tabs>
          <w:tab w:val="left" w:pos="4769"/>
        </w:tabs>
        <w:adjustRightInd w:val="0"/>
        <w:snapToGrid w:val="0"/>
        <w:spacing w:line="360" w:lineRule="auto"/>
        <w:ind w:left="105" w:leftChars="50" w:firstLine="420" w:firstLineChars="200"/>
        <w:jc w:val="center"/>
        <w:rPr>
          <w:rFonts w:ascii="宋体" w:hAnsi="宋体"/>
          <w:bCs/>
          <w:color w:val="000000" w:themeColor="text1"/>
          <w:highlight w:val="none"/>
        </w:rPr>
      </w:pPr>
      <w:r>
        <w:rPr>
          <w:rFonts w:hint="eastAsia" w:ascii="宋体" w:hAnsi="宋体"/>
          <w:bCs/>
          <w:color w:val="000000" w:themeColor="text1"/>
          <w:highlight w:val="none"/>
        </w:rPr>
        <w:t xml:space="preserve">                                                               </w:t>
      </w:r>
      <w:bookmarkStart w:id="37" w:name="_Toc332206658"/>
      <w:bookmarkStart w:id="38" w:name="_Toc336681893"/>
      <w:bookmarkStart w:id="39" w:name="_Toc333237724"/>
      <w:bookmarkStart w:id="40" w:name="_Toc342060323"/>
      <w:bookmarkStart w:id="41" w:name="_Toc336681538"/>
      <w:bookmarkStart w:id="42" w:name="_Toc350438703"/>
      <w:bookmarkStart w:id="43" w:name="_Toc333935279"/>
      <w:bookmarkStart w:id="44" w:name="_Toc339019955"/>
      <w:bookmarkStart w:id="45" w:name="_Toc333238572"/>
      <w:bookmarkStart w:id="46" w:name="_Toc339441045"/>
      <w:bookmarkStart w:id="47" w:name="_Toc333237613"/>
      <w:bookmarkStart w:id="48" w:name="_Toc340507404"/>
      <w:bookmarkStart w:id="49" w:name="_Toc339019829"/>
      <w:bookmarkStart w:id="50" w:name="_Toc365985109"/>
      <w:bookmarkStart w:id="51" w:name="_Toc340677032"/>
      <w:bookmarkStart w:id="52" w:name="_Toc341348292"/>
      <w:bookmarkStart w:id="53" w:name="_Toc342296709"/>
      <w:bookmarkStart w:id="54" w:name="_Toc339020049"/>
      <w:bookmarkStart w:id="55" w:name="_Toc365967003"/>
      <w:bookmarkStart w:id="56" w:name="_Toc331683995"/>
      <w:bookmarkStart w:id="57" w:name="_Toc337632316"/>
      <w:bookmarkStart w:id="58" w:name="_Toc349127584"/>
      <w:bookmarkStart w:id="59" w:name="_Toc333935620"/>
      <w:bookmarkStart w:id="60" w:name="_Toc339020187"/>
      <w:bookmarkStart w:id="61" w:name="_Toc340672831"/>
      <w:bookmarkStart w:id="62" w:name="_Toc345513763"/>
      <w:bookmarkStart w:id="63" w:name="_Toc350756404"/>
      <w:bookmarkStart w:id="64" w:name="_Toc366072458"/>
      <w:bookmarkStart w:id="65" w:name="_Toc339362258"/>
      <w:bookmarkStart w:id="66" w:name="_Toc349143547"/>
      <w:bookmarkStart w:id="67" w:name="_Toc332270306"/>
      <w:bookmarkStart w:id="68" w:name="_Toc331512857"/>
      <w:bookmarkStart w:id="69" w:name="_Toc330459946"/>
      <w:r>
        <w:rPr>
          <w:rFonts w:hint="eastAsia" w:ascii="宋体" w:hAnsi="宋体" w:eastAsia="宋体" w:cs="Times New Roman"/>
          <w:bCs/>
          <w:color w:val="000000" w:themeColor="text1"/>
          <w:kern w:val="2"/>
          <w:sz w:val="21"/>
          <w:szCs w:val="24"/>
          <w:highlight w:val="none"/>
          <w:lang w:val="en-US" w:eastAsia="zh-CN" w:bidi="ar-SA"/>
        </w:rPr>
        <w:t>2024年1月12日</w:t>
      </w:r>
    </w:p>
    <w:p>
      <w:pPr>
        <w:widowControl/>
        <w:tabs>
          <w:tab w:val="left" w:pos="4769"/>
        </w:tabs>
        <w:adjustRightInd w:val="0"/>
        <w:snapToGrid w:val="0"/>
        <w:spacing w:line="360" w:lineRule="auto"/>
        <w:rPr>
          <w:rFonts w:ascii="宋体" w:hAnsi="宋体"/>
          <w:bCs/>
          <w:color w:val="000000" w:themeColor="text1"/>
          <w:highlight w:val="none"/>
        </w:rPr>
      </w:pPr>
    </w:p>
    <w:p>
      <w:pPr>
        <w:rPr>
          <w:rFonts w:hint="eastAsia" w:ascii="宋体" w:hAnsi="宋体" w:eastAsia="宋体"/>
          <w:b/>
          <w:color w:val="000000" w:themeColor="text1"/>
          <w:highlight w:val="none"/>
        </w:rPr>
      </w:pPr>
      <w:r>
        <w:rPr>
          <w:rFonts w:hint="eastAsia" w:ascii="宋体" w:hAnsi="宋体" w:eastAsia="宋体"/>
          <w:b/>
          <w:color w:val="000000" w:themeColor="text1"/>
          <w:highlight w:val="none"/>
        </w:rPr>
        <w:br w:type="page"/>
      </w:r>
    </w:p>
    <w:p>
      <w:pPr>
        <w:pStyle w:val="3"/>
        <w:numPr>
          <w:ilvl w:val="0"/>
          <w:numId w:val="0"/>
        </w:numPr>
        <w:spacing w:beforeLines="0" w:afterLines="50" w:line="390" w:lineRule="exact"/>
        <w:ind w:left="105" w:leftChars="50" w:firstLine="482" w:firstLineChars="200"/>
        <w:rPr>
          <w:rFonts w:ascii="宋体" w:hAnsi="宋体" w:eastAsia="宋体"/>
          <w:b/>
          <w:color w:val="000000" w:themeColor="text1"/>
          <w:highlight w:val="none"/>
        </w:rPr>
      </w:pPr>
      <w:bookmarkStart w:id="70" w:name="_Toc22429"/>
      <w:r>
        <w:rPr>
          <w:rFonts w:hint="eastAsia" w:ascii="宋体" w:hAnsi="宋体" w:eastAsia="宋体"/>
          <w:b/>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0459949"/>
      <w:bookmarkStart w:id="74" w:name="_Toc75570886"/>
      <w:bookmarkStart w:id="75" w:name="_Toc333237614"/>
      <w:bookmarkStart w:id="76" w:name="_Toc333935621"/>
      <w:bookmarkStart w:id="77" w:name="_Toc333935280"/>
      <w:bookmarkStart w:id="78" w:name="_Toc333238573"/>
      <w:r>
        <w:rPr>
          <w:rFonts w:hint="eastAsia" w:ascii="宋体" w:hAnsi="宋体" w:eastAsia="宋体"/>
          <w:b/>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1"/>
          <w:numId w:val="0"/>
        </w:numPr>
        <w:spacing w:beforeLines="150" w:after="0" w:line="360" w:lineRule="auto"/>
        <w:jc w:val="left"/>
        <w:rPr>
          <w:rFonts w:ascii="宋体" w:hAnsi="宋体"/>
          <w:color w:val="000000" w:themeColor="text1"/>
          <w:sz w:val="21"/>
          <w:szCs w:val="21"/>
          <w:highlight w:val="none"/>
        </w:rPr>
      </w:pPr>
      <w:bookmarkStart w:id="79" w:name="_Toc19244"/>
      <w:bookmarkStart w:id="80" w:name="_Toc365985146"/>
      <w:bookmarkStart w:id="81" w:name="_Toc339362267"/>
      <w:bookmarkStart w:id="82" w:name="_Toc333237755"/>
      <w:bookmarkStart w:id="83" w:name="_Toc350756417"/>
      <w:bookmarkStart w:id="84" w:name="_Toc349143556"/>
      <w:bookmarkStart w:id="85" w:name="_Toc339020062"/>
      <w:bookmarkStart w:id="86" w:name="_Toc337632325"/>
      <w:bookmarkStart w:id="87" w:name="_Toc333935313"/>
      <w:bookmarkStart w:id="88" w:name="_Toc336681547"/>
      <w:bookmarkStart w:id="89" w:name="_Toc350438716"/>
      <w:bookmarkStart w:id="90" w:name="_Toc345513834"/>
      <w:bookmarkStart w:id="91" w:name="_Toc331512865"/>
      <w:bookmarkStart w:id="92" w:name="_Toc333935654"/>
      <w:bookmarkStart w:id="93" w:name="_Toc340672836"/>
      <w:bookmarkStart w:id="94" w:name="_Toc336681902"/>
      <w:bookmarkStart w:id="95" w:name="_Toc332270313"/>
      <w:bookmarkStart w:id="96" w:name="_Toc349127593"/>
      <w:bookmarkStart w:id="97" w:name="_Toc339020200"/>
      <w:bookmarkStart w:id="98" w:name="_Toc366072495"/>
      <w:bookmarkStart w:id="99" w:name="_Toc333238600"/>
      <w:bookmarkStart w:id="100" w:name="_Toc339019982"/>
      <w:bookmarkStart w:id="101" w:name="_Toc331684005"/>
      <w:bookmarkStart w:id="102" w:name="_Toc342060341"/>
      <w:bookmarkStart w:id="103" w:name="_Toc340507409"/>
      <w:bookmarkStart w:id="104" w:name="_Toc332206675"/>
      <w:bookmarkStart w:id="105" w:name="_Toc333237644"/>
      <w:bookmarkStart w:id="106" w:name="_Toc341348305"/>
      <w:bookmarkStart w:id="107" w:name="_Toc340677037"/>
      <w:bookmarkStart w:id="108" w:name="_Toc339441054"/>
      <w:bookmarkStart w:id="109" w:name="_Toc365967040"/>
      <w:bookmarkStart w:id="110" w:name="_Toc339019856"/>
      <w:bookmarkStart w:id="111" w:name="_Toc330459952"/>
      <w:bookmarkStart w:id="112" w:name="_Toc342296727"/>
      <w:r>
        <w:rPr>
          <w:rFonts w:hint="eastAsia" w:ascii="宋体" w:hAnsi="宋体"/>
          <w:color w:val="000000" w:themeColor="text1"/>
          <w:sz w:val="21"/>
          <w:szCs w:val="21"/>
          <w:highlight w:val="none"/>
        </w:rPr>
        <w:t>项目编号：</w:t>
      </w:r>
      <w:r>
        <w:rPr>
          <w:rFonts w:hint="eastAsia" w:ascii="宋体" w:hAnsi="宋体"/>
          <w:color w:val="000000" w:themeColor="text1"/>
          <w:sz w:val="21"/>
          <w:szCs w:val="21"/>
          <w:highlight w:val="none"/>
          <w:u w:val="single"/>
          <w:lang w:eastAsia="zh-CN"/>
        </w:rPr>
        <w:t>YXCG-20231205</w:t>
      </w:r>
      <w:bookmarkEnd w:id="79"/>
      <w:r>
        <w:rPr>
          <w:rFonts w:hint="eastAsia" w:ascii="宋体" w:hAnsi="宋体"/>
          <w:color w:val="000000" w:themeColor="text1"/>
          <w:sz w:val="21"/>
          <w:szCs w:val="21"/>
          <w:highlight w:val="none"/>
        </w:rPr>
        <w:t xml:space="preserve"> </w:t>
      </w:r>
    </w:p>
    <w:p>
      <w:pPr>
        <w:pStyle w:val="4"/>
        <w:numPr>
          <w:ilvl w:val="1"/>
          <w:numId w:val="0"/>
        </w:numPr>
        <w:spacing w:before="0" w:after="0" w:line="360" w:lineRule="auto"/>
        <w:ind w:left="1107" w:hanging="1107" w:hangingChars="525"/>
        <w:jc w:val="left"/>
        <w:rPr>
          <w:rFonts w:hint="eastAsia" w:ascii="宋体" w:hAnsi="宋体" w:eastAsia="宋体"/>
          <w:b w:val="0"/>
          <w:color w:val="000000" w:themeColor="text1"/>
          <w:szCs w:val="21"/>
          <w:highlight w:val="none"/>
          <w:u w:val="single"/>
          <w:lang w:eastAsia="zh-CN"/>
        </w:rPr>
      </w:pPr>
      <w:bookmarkStart w:id="113" w:name="_Toc27599"/>
      <w:r>
        <w:rPr>
          <w:rFonts w:hint="eastAsia" w:ascii="宋体" w:hAnsi="宋体"/>
          <w:color w:val="000000" w:themeColor="text1"/>
          <w:sz w:val="21"/>
          <w:szCs w:val="21"/>
          <w:highlight w:val="none"/>
        </w:rPr>
        <w:t>项目名称：</w:t>
      </w:r>
      <w:r>
        <w:rPr>
          <w:rFonts w:hint="eastAsia" w:ascii="宋体" w:hAnsi="宋体"/>
          <w:color w:val="000000" w:themeColor="text1"/>
          <w:sz w:val="21"/>
          <w:szCs w:val="21"/>
          <w:highlight w:val="none"/>
          <w:u w:val="single"/>
          <w:lang w:eastAsia="zh-CN"/>
        </w:rPr>
        <w:t>2024年阳江市阳东区河长制水质监测项目（二次招标）</w:t>
      </w:r>
      <w:bookmarkEnd w:id="113"/>
    </w:p>
    <w:p>
      <w:pPr>
        <w:pStyle w:val="4"/>
        <w:numPr>
          <w:ilvl w:val="1"/>
          <w:numId w:val="0"/>
        </w:numPr>
        <w:spacing w:beforeLines="150" w:after="0" w:line="360" w:lineRule="auto"/>
        <w:rPr>
          <w:rFonts w:ascii="宋体" w:hAnsi="宋体"/>
          <w:color w:val="000000" w:themeColor="text1"/>
          <w:kern w:val="0"/>
          <w:sz w:val="24"/>
          <w:highlight w:val="none"/>
        </w:rPr>
      </w:pPr>
      <w:bookmarkStart w:id="114" w:name="_Toc12512"/>
      <w:r>
        <w:rPr>
          <w:rFonts w:ascii="宋体" w:hAnsi="宋体"/>
          <w:color w:val="000000" w:themeColor="text1"/>
          <w:kern w:val="0"/>
          <w:sz w:val="24"/>
          <w:highlight w:val="none"/>
        </w:rPr>
        <w:t xml:space="preserve">A  </w:t>
      </w:r>
      <w:r>
        <w:rPr>
          <w:rFonts w:hint="eastAsia" w:ascii="宋体" w:hAnsi="宋体"/>
          <w:color w:val="000000" w:themeColor="text1"/>
          <w:kern w:val="0"/>
          <w:sz w:val="24"/>
          <w:highlight w:val="none"/>
        </w:rPr>
        <w:t>商务要求</w:t>
      </w:r>
      <w:bookmarkEnd w:id="114"/>
    </w:p>
    <w:tbl>
      <w:tblPr>
        <w:tblStyle w:val="51"/>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  目</w:t>
            </w:r>
          </w:p>
        </w:tc>
        <w:tc>
          <w:tcPr>
            <w:tcW w:w="6095"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详见第一部份《竞争性磋商邀请书》。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w:t>
            </w:r>
            <w:r>
              <w:rPr>
                <w:rFonts w:hint="eastAsia" w:ascii="宋体" w:hAnsi="宋体" w:eastAsia="宋体" w:cs="宋体"/>
                <w:color w:val="000000" w:themeColor="text1"/>
                <w:highlight w:val="none"/>
                <w:lang w:val="en-US" w:eastAsia="zh-CN"/>
              </w:rPr>
              <w:t>投标报价以人民币报价，检测任务费用为包干价，以</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供应商投标总价为签订合同价格。在合同有效期内，合同价不受市场价格变化的影响。</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由</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包采样费、样品处理费等各项费用。投标人应根据实际情况，结合现场检测条件、及招标文件等要求进行投标报价。检测现场所有临时设施以及影响检测的各类障碍所发生的费用都被认为包含在报价中。投标人应考虑并承担一定的风险，如物价、气候、安全等情况的变化及其他意外困难等。</w:t>
            </w:r>
          </w:p>
          <w:p>
            <w:pPr>
              <w:spacing w:line="320" w:lineRule="exact"/>
              <w:rPr>
                <w:color w:val="000000" w:themeColor="text1"/>
                <w:highlight w:val="none"/>
              </w:rPr>
            </w:pPr>
            <w:r>
              <w:rPr>
                <w:rFonts w:hint="eastAsia" w:ascii="宋体" w:hAnsi="宋体" w:cs="宋体"/>
                <w:color w:val="000000" w:themeColor="text1"/>
                <w:highlight w:val="none"/>
                <w:lang w:val="en-US" w:eastAsia="zh-CN"/>
              </w:rPr>
              <w:t>3.成交</w:t>
            </w:r>
            <w:r>
              <w:rPr>
                <w:rFonts w:hint="eastAsia" w:ascii="宋体" w:hAnsi="宋体" w:eastAsia="宋体" w:cs="宋体"/>
                <w:color w:val="000000" w:themeColor="text1"/>
                <w:highlight w:val="none"/>
                <w:lang w:val="en-US" w:eastAsia="zh-CN"/>
              </w:rPr>
              <w:t>供应商包全过程检测服务、各项税费及合同实施过程中不可预见费用等。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采购合同由成交供应商凭《成交通知书》与采购人双方签订，签订时间为《成交通知书》</w:t>
            </w:r>
            <w:r>
              <w:rPr>
                <w:rFonts w:hint="eastAsia" w:ascii="宋体" w:hAnsi="宋体" w:eastAsia="宋体" w:cs="宋体"/>
                <w:color w:val="000000" w:themeColor="text1"/>
                <w:kern w:val="2"/>
                <w:sz w:val="21"/>
                <w:szCs w:val="21"/>
                <w:highlight w:val="none"/>
                <w:lang w:val="en-US" w:eastAsia="zh-CN" w:bidi="ar-SA"/>
              </w:rPr>
              <w:t>发出之日起30日内。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1.具体付款要求如下：</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供应商凭以下有效文件与采购人结算</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（1）合同；</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供应商开具的正式增值税发票；</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（3）结算期限内有资质的检测报告（加盖采购人公章）；</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w:t>
            </w:r>
            <w:r>
              <w:rPr>
                <w:rFonts w:hint="eastAsia" w:ascii="宋体" w:hAnsi="宋体" w:cs="宋体"/>
                <w:color w:val="000000" w:themeColor="text1"/>
                <w:highlight w:val="none"/>
                <w:lang w:val="en-US" w:eastAsia="zh-CN"/>
              </w:rPr>
              <w:t>成交</w:t>
            </w:r>
            <w:r>
              <w:rPr>
                <w:rFonts w:hint="eastAsia" w:ascii="宋体" w:hAnsi="宋体" w:eastAsia="宋体" w:cs="宋体"/>
                <w:color w:val="000000" w:themeColor="text1"/>
                <w:highlight w:val="none"/>
                <w:lang w:val="en-US" w:eastAsia="zh-CN"/>
              </w:rPr>
              <w:t>通知书。</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本合同按两笔结算，2024年6月份完成当年度上半年检测任务后，凭以上资料支付上半年检测费用；2024年12月份完成当年度下半年检测任务后，凭以上资料支付下半年检测费用。</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采用银行转账、银行汇付（含电汇）等方式。</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r>
              <w:rPr>
                <w:rFonts w:hint="eastAsia" w:ascii="宋体" w:hAnsi="宋体" w:cs="宋体"/>
                <w:color w:val="000000" w:themeColor="text1"/>
                <w:highlight w:val="none"/>
                <w:lang w:val="en-US" w:eastAsia="zh-CN"/>
              </w:rPr>
              <w:t>.</w:t>
            </w:r>
            <w:r>
              <w:rPr>
                <w:rFonts w:hint="eastAsia" w:ascii="宋体" w:hAnsi="宋体" w:eastAsia="宋体" w:cs="宋体"/>
                <w:color w:val="000000" w:themeColor="text1"/>
                <w:highlight w:val="none"/>
                <w:lang w:val="en-US" w:eastAsia="zh-CN"/>
              </w:rPr>
              <w:t>履约保证金：无。</w:t>
            </w:r>
          </w:p>
          <w:p>
            <w:pPr>
              <w:spacing w:line="320" w:lineRule="exact"/>
              <w:rPr>
                <w:color w:val="000000" w:themeColor="text1"/>
                <w:highlight w:val="none"/>
              </w:rPr>
            </w:pPr>
            <w:r>
              <w:rPr>
                <w:rFonts w:hint="eastAsia" w:ascii="宋体" w:hAnsi="宋体" w:eastAsia="宋体" w:cs="宋体"/>
                <w:color w:val="000000" w:themeColor="text1"/>
                <w:highlight w:val="none"/>
                <w:lang w:val="en-US" w:eastAsia="zh-CN"/>
              </w:rPr>
              <w:t>3.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r>
              <w:rPr>
                <w:rFonts w:hint="eastAsia" w:ascii="宋体" w:hAnsi="宋体"/>
                <w:b/>
                <w:color w:val="000000" w:themeColor="text1"/>
                <w:szCs w:val="21"/>
                <w:highlight w:val="none"/>
              </w:rPr>
              <w:t>投标保证金</w:t>
            </w:r>
          </w:p>
        </w:tc>
        <w:tc>
          <w:tcPr>
            <w:tcW w:w="609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default" w:ascii="宋体" w:hAnsi="宋体" w:eastAsia="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服务费由</w:t>
            </w:r>
            <w:r>
              <w:rPr>
                <w:rFonts w:hint="eastAsia" w:ascii="宋体" w:hAnsi="宋体" w:eastAsia="宋体" w:cs="宋体"/>
                <w:color w:val="000000" w:themeColor="text1"/>
                <w:szCs w:val="21"/>
                <w:highlight w:val="none"/>
                <w:lang w:val="en-US" w:eastAsia="zh-CN"/>
              </w:rPr>
              <w:t>成交供应商</w:t>
            </w:r>
            <w:r>
              <w:rPr>
                <w:rFonts w:hint="eastAsia" w:ascii="宋体" w:hAnsi="宋体" w:eastAsia="宋体" w:cs="宋体"/>
                <w:color w:val="000000" w:themeColor="text1"/>
                <w:szCs w:val="21"/>
                <w:highlight w:val="none"/>
              </w:rPr>
              <w:t>在领取</w:t>
            </w:r>
            <w:r>
              <w:rPr>
                <w:rFonts w:hint="eastAsia" w:ascii="宋体" w:hAnsi="宋体" w:eastAsia="宋体" w:cs="宋体"/>
                <w:color w:val="000000" w:themeColor="text1"/>
                <w:szCs w:val="21"/>
                <w:highlight w:val="none"/>
                <w:lang w:val="en-US" w:eastAsia="zh-CN"/>
              </w:rPr>
              <w:t>成交</w:t>
            </w:r>
            <w:r>
              <w:rPr>
                <w:rFonts w:hint="eastAsia" w:ascii="宋体" w:hAnsi="宋体" w:eastAsia="宋体" w:cs="宋体"/>
                <w:color w:val="000000" w:themeColor="text1"/>
                <w:szCs w:val="21"/>
                <w:highlight w:val="none"/>
              </w:rPr>
              <w:t>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pStyle w:val="2"/>
        <w:rPr>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rPr>
          <w:rFonts w:hint="eastAsia" w:ascii="宋体" w:hAnsi="宋体"/>
          <w:color w:val="000000" w:themeColor="text1"/>
          <w:kern w:val="0"/>
          <w:sz w:val="24"/>
          <w:highlight w:val="none"/>
        </w:rPr>
      </w:pPr>
      <w:r>
        <w:rPr>
          <w:rFonts w:hint="eastAsia" w:ascii="宋体" w:hAnsi="宋体"/>
          <w:color w:val="000000" w:themeColor="text1"/>
          <w:kern w:val="0"/>
          <w:sz w:val="24"/>
          <w:highlight w:val="none"/>
        </w:rPr>
        <w:br w:type="page"/>
      </w:r>
    </w:p>
    <w:p>
      <w:pPr>
        <w:pStyle w:val="4"/>
        <w:numPr>
          <w:ilvl w:val="1"/>
          <w:numId w:val="0"/>
        </w:numPr>
        <w:spacing w:beforeLines="150" w:after="0" w:line="360" w:lineRule="auto"/>
        <w:rPr>
          <w:rFonts w:ascii="宋体" w:hAnsi="宋体"/>
          <w:color w:val="000000" w:themeColor="text1"/>
          <w:kern w:val="0"/>
          <w:sz w:val="24"/>
          <w:highlight w:val="none"/>
        </w:rPr>
      </w:pPr>
      <w:bookmarkStart w:id="115" w:name="_Toc25067"/>
      <w:r>
        <w:rPr>
          <w:rFonts w:hint="eastAsia" w:ascii="宋体" w:hAnsi="宋体"/>
          <w:color w:val="000000" w:themeColor="text1"/>
          <w:kern w:val="0"/>
          <w:sz w:val="24"/>
          <w:highlight w:val="none"/>
        </w:rPr>
        <w:t>B  技术要求</w:t>
      </w:r>
      <w:bookmarkEnd w:id="115"/>
    </w:p>
    <w:p>
      <w:pPr>
        <w:pStyle w:val="328"/>
        <w:keepNext w:val="0"/>
        <w:keepLines w:val="0"/>
        <w:pageBreakBefore w:val="0"/>
        <w:numPr>
          <w:ilvl w:val="0"/>
          <w:numId w:val="0"/>
        </w:numPr>
        <w:tabs>
          <w:tab w:val="left" w:pos="360"/>
        </w:tabs>
        <w:kinsoku/>
        <w:wordWrap/>
        <w:overflowPunct/>
        <w:topLinePunct w:val="0"/>
        <w:bidi w:val="0"/>
        <w:spacing w:line="360" w:lineRule="auto"/>
        <w:jc w:val="both"/>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一、项目背景</w:t>
      </w:r>
    </w:p>
    <w:p>
      <w:pPr>
        <w:keepNext w:val="0"/>
        <w:keepLines w:val="0"/>
        <w:pageBreakBefore w:val="0"/>
        <w:kinsoku/>
        <w:wordWrap/>
        <w:overflowPunct/>
        <w:topLinePunct w:val="0"/>
        <w:bidi w:val="0"/>
        <w:spacing w:line="360" w:lineRule="auto"/>
        <w:ind w:firstLine="420" w:firstLineChars="200"/>
        <w:jc w:val="lef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eastAsia="zh-CN"/>
        </w:rPr>
        <w:t>为准确、及时、全面地反映我区河流、湖库水质现状及变化趋势，为水环境、污染源控制、环境规划、全面推行河长制等工作提供技术数据，</w:t>
      </w:r>
      <w:r>
        <w:rPr>
          <w:rFonts w:hint="eastAsia" w:ascii="宋体" w:hAnsi="宋体" w:eastAsia="宋体" w:cs="宋体"/>
          <w:color w:val="000000" w:themeColor="text1"/>
          <w:sz w:val="21"/>
          <w:szCs w:val="21"/>
          <w:highlight w:val="none"/>
        </w:rPr>
        <w:t>必需开展</w:t>
      </w:r>
      <w:r>
        <w:rPr>
          <w:rFonts w:hint="eastAsia" w:ascii="宋体" w:hAnsi="宋体" w:eastAsia="宋体" w:cs="宋体"/>
          <w:color w:val="000000" w:themeColor="text1"/>
          <w:sz w:val="21"/>
          <w:szCs w:val="21"/>
          <w:highlight w:val="none"/>
          <w:lang w:val="en-US" w:eastAsia="zh-CN"/>
        </w:rPr>
        <w:t>2024</w:t>
      </w:r>
      <w:r>
        <w:rPr>
          <w:rFonts w:hint="eastAsia" w:ascii="宋体" w:hAnsi="宋体" w:eastAsia="宋体" w:cs="宋体"/>
          <w:color w:val="000000" w:themeColor="text1"/>
          <w:sz w:val="21"/>
          <w:szCs w:val="21"/>
          <w:highlight w:val="none"/>
        </w:rPr>
        <w:t>年阳江市阳东区环境保护局河长制水质监测工作。</w:t>
      </w:r>
      <w:r>
        <w:rPr>
          <w:rFonts w:hint="eastAsia" w:ascii="宋体" w:hAnsi="宋体" w:eastAsia="宋体" w:cs="宋体"/>
          <w:color w:val="000000" w:themeColor="text1"/>
          <w:kern w:val="2"/>
          <w:sz w:val="21"/>
          <w:szCs w:val="21"/>
          <w:highlight w:val="none"/>
          <w:lang w:val="en-US" w:eastAsia="zh-CN" w:bidi="ar-SA"/>
        </w:rPr>
        <w:t>为确保数据的真实性、可靠性和时效性，经研究，我局拟通过公开招标采购方式选取有相关资质能力的第三方检测机构负责对本辖区“河长制”水质进行监测，形成有资质的检测报告。</w:t>
      </w:r>
    </w:p>
    <w:p>
      <w:pPr>
        <w:keepNext w:val="0"/>
        <w:keepLines w:val="0"/>
        <w:pageBreakBefore w:val="0"/>
        <w:widowControl w:val="0"/>
        <w:numPr>
          <w:ilvl w:val="0"/>
          <w:numId w:val="0"/>
        </w:numPr>
        <w:tabs>
          <w:tab w:val="left" w:pos="420"/>
          <w:tab w:val="left" w:pos="540"/>
        </w:tabs>
        <w:kinsoku/>
        <w:wordWrap/>
        <w:overflowPunct/>
        <w:topLinePunct w:val="0"/>
        <w:bidi w:val="0"/>
        <w:adjustRightInd w:val="0"/>
        <w:snapToGrid w:val="0"/>
        <w:spacing w:line="360" w:lineRule="auto"/>
        <w:jc w:val="both"/>
        <w:outlineLvl w:val="9"/>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eastAsia="宋体" w:cs="宋体"/>
          <w:b/>
          <w:color w:val="000000" w:themeColor="text1"/>
          <w:kern w:val="2"/>
          <w:sz w:val="21"/>
          <w:szCs w:val="21"/>
          <w:highlight w:val="none"/>
          <w:lang w:val="en-US" w:eastAsia="zh-CN" w:bidi="ar-SA"/>
        </w:rPr>
        <w:t>二、项目服务内容及要求</w:t>
      </w:r>
    </w:p>
    <w:p>
      <w:pPr>
        <w:keepNext w:val="0"/>
        <w:keepLines w:val="0"/>
        <w:pageBreakBefore w:val="0"/>
        <w:kinsoku/>
        <w:wordWrap/>
        <w:overflowPunct/>
        <w:topLinePunct w:val="0"/>
        <w:bidi w:val="0"/>
        <w:spacing w:before="120" w:beforeLines="50" w:after="120" w:afterLines="50" w:line="30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（一）项目内容</w:t>
      </w:r>
    </w:p>
    <w:tbl>
      <w:tblPr>
        <w:tblStyle w:val="51"/>
        <w:tblW w:w="9051"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4409"/>
        <w:gridCol w:w="3403"/>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39" w:type="dxa"/>
            <w:tcBorders>
              <w:top w:val="double" w:color="auto" w:sz="6" w:space="0"/>
            </w:tcBorders>
            <w:vAlign w:val="center"/>
          </w:tcPr>
          <w:p>
            <w:pPr>
              <w:keepNext w:val="0"/>
              <w:keepLines w:val="0"/>
              <w:pageBreakBefore w:val="0"/>
              <w:widowControl/>
              <w:tabs>
                <w:tab w:val="left" w:pos="-360"/>
              </w:tabs>
              <w:kinsoku/>
              <w:wordWrap/>
              <w:overflowPunct/>
              <w:topLinePunct w:val="0"/>
              <w:bidi w:val="0"/>
              <w:ind w:right="-34"/>
              <w:jc w:val="center"/>
              <w:textAlignment w:val="bottom"/>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序号</w:t>
            </w:r>
          </w:p>
        </w:tc>
        <w:tc>
          <w:tcPr>
            <w:tcW w:w="4409" w:type="dxa"/>
            <w:tcBorders>
              <w:top w:val="double" w:color="auto" w:sz="6" w:space="0"/>
            </w:tcBorders>
            <w:vAlign w:val="center"/>
          </w:tcPr>
          <w:p>
            <w:pPr>
              <w:keepNext w:val="0"/>
              <w:keepLines w:val="0"/>
              <w:pageBreakBefore w:val="0"/>
              <w:widowControl/>
              <w:tabs>
                <w:tab w:val="left" w:pos="-360"/>
              </w:tabs>
              <w:kinsoku/>
              <w:wordWrap/>
              <w:overflowPunct/>
              <w:topLinePunct w:val="0"/>
              <w:bidi w:val="0"/>
              <w:ind w:right="-34"/>
              <w:jc w:val="center"/>
              <w:textAlignment w:val="bottom"/>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采购内容</w:t>
            </w:r>
          </w:p>
        </w:tc>
        <w:tc>
          <w:tcPr>
            <w:tcW w:w="3403" w:type="dxa"/>
            <w:tcBorders>
              <w:top w:val="double" w:color="auto" w:sz="6" w:space="0"/>
            </w:tcBorders>
            <w:vAlign w:val="center"/>
          </w:tcPr>
          <w:p>
            <w:pPr>
              <w:keepNext w:val="0"/>
              <w:keepLines w:val="0"/>
              <w:pageBreakBefore w:val="0"/>
              <w:widowControl/>
              <w:tabs>
                <w:tab w:val="left" w:pos="-360"/>
              </w:tabs>
              <w:kinsoku/>
              <w:wordWrap/>
              <w:overflowPunct/>
              <w:topLinePunct w:val="0"/>
              <w:bidi w:val="0"/>
              <w:ind w:right="-34"/>
              <w:jc w:val="center"/>
              <w:textAlignment w:val="bottom"/>
              <w:outlineLvl w:val="9"/>
              <w:rPr>
                <w:rFonts w:hint="eastAsia" w:ascii="宋体" w:hAnsi="宋体" w:eastAsia="宋体" w:cs="宋体"/>
                <w:b/>
                <w:color w:val="000000" w:themeColor="text1"/>
                <w:sz w:val="21"/>
                <w:szCs w:val="21"/>
                <w:highlight w:val="none"/>
                <w:lang w:eastAsia="zh-CN"/>
              </w:rPr>
            </w:pPr>
            <w:r>
              <w:rPr>
                <w:rFonts w:hint="eastAsia" w:ascii="宋体" w:hAnsi="宋体" w:eastAsia="宋体" w:cs="宋体"/>
                <w:b/>
                <w:color w:val="000000" w:themeColor="text1"/>
                <w:sz w:val="21"/>
                <w:szCs w:val="21"/>
                <w:highlight w:val="none"/>
                <w:lang w:val="en-US" w:eastAsia="zh-CN"/>
              </w:rPr>
              <w:t>数量</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239" w:type="dxa"/>
            <w:tcBorders>
              <w:bottom w:val="double" w:color="auto" w:sz="6" w:space="0"/>
            </w:tcBorders>
            <w:vAlign w:val="center"/>
          </w:tcPr>
          <w:p>
            <w:pPr>
              <w:keepNext w:val="0"/>
              <w:keepLines w:val="0"/>
              <w:pageBreakBefore w:val="0"/>
              <w:kinsoku/>
              <w:wordWrap/>
              <w:overflowPunct/>
              <w:topLinePunct w:val="0"/>
              <w:bidi w:val="0"/>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4409" w:type="dxa"/>
            <w:tcBorders>
              <w:bottom w:val="double" w:color="auto" w:sz="6" w:space="0"/>
            </w:tcBorders>
            <w:vAlign w:val="center"/>
          </w:tcPr>
          <w:p>
            <w:pPr>
              <w:keepNext w:val="0"/>
              <w:keepLines w:val="0"/>
              <w:pageBreakBefore w:val="0"/>
              <w:widowControl w:val="0"/>
              <w:kinsoku/>
              <w:wordWrap/>
              <w:overflowPunct/>
              <w:topLinePunct w:val="0"/>
              <w:bidi w:val="0"/>
              <w:spacing w:before="240" w:after="60"/>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b w:val="0"/>
                <w:bCs w:val="0"/>
                <w:color w:val="000000" w:themeColor="text1"/>
                <w:kern w:val="2"/>
                <w:sz w:val="21"/>
                <w:szCs w:val="21"/>
                <w:highlight w:val="none"/>
                <w:lang w:val="en-US" w:eastAsia="zh-CN" w:bidi="ar-SA"/>
              </w:rPr>
              <w:t>2024年阳江市阳东区河长制水质监测项目</w:t>
            </w:r>
          </w:p>
        </w:tc>
        <w:tc>
          <w:tcPr>
            <w:tcW w:w="3403" w:type="dxa"/>
            <w:tcBorders>
              <w:bottom w:val="double" w:color="auto" w:sz="6" w:space="0"/>
            </w:tcBorders>
            <w:vAlign w:val="center"/>
          </w:tcPr>
          <w:p>
            <w:pPr>
              <w:keepNext w:val="0"/>
              <w:keepLines w:val="0"/>
              <w:pageBreakBefore w:val="0"/>
              <w:widowControl/>
              <w:tabs>
                <w:tab w:val="left" w:pos="-360"/>
              </w:tabs>
              <w:kinsoku/>
              <w:wordWrap/>
              <w:overflowPunct/>
              <w:topLinePunct w:val="0"/>
              <w:bidi w:val="0"/>
              <w:ind w:right="-34"/>
              <w:jc w:val="center"/>
              <w:textAlignment w:val="bottom"/>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1项</w:t>
            </w:r>
          </w:p>
        </w:tc>
      </w:tr>
    </w:tbl>
    <w:p>
      <w:pPr>
        <w:keepNext w:val="0"/>
        <w:keepLines w:val="0"/>
        <w:pageBreakBefore w:val="0"/>
        <w:kinsoku/>
        <w:wordWrap/>
        <w:overflowPunct/>
        <w:topLinePunct w:val="0"/>
        <w:autoSpaceDE w:val="0"/>
        <w:autoSpaceDN w:val="0"/>
        <w:bidi w:val="0"/>
        <w:snapToGrid w:val="0"/>
        <w:spacing w:line="360" w:lineRule="auto"/>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备注：投标人应对所有的招标内容进行投标，不允许只对部分内容进行投标。</w:t>
      </w:r>
    </w:p>
    <w:p>
      <w:pPr>
        <w:keepNext w:val="0"/>
        <w:keepLines w:val="0"/>
        <w:pageBreakBefore w:val="0"/>
        <w:kinsoku/>
        <w:wordWrap/>
        <w:overflowPunct/>
        <w:topLinePunct w:val="0"/>
        <w:bidi w:val="0"/>
        <w:spacing w:before="120" w:beforeLines="50" w:after="120" w:afterLines="50" w:line="30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（二）服务内容：</w:t>
      </w:r>
    </w:p>
    <w:p>
      <w:pPr>
        <w:keepNext w:val="0"/>
        <w:keepLines w:val="0"/>
        <w:pageBreakBefore w:val="0"/>
        <w:kinsoku/>
        <w:wordWrap/>
        <w:overflowPunct/>
        <w:topLinePunct w:val="0"/>
        <w:bidi w:val="0"/>
        <w:spacing w:line="36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1.</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color w:val="000000" w:themeColor="text1"/>
          <w:sz w:val="21"/>
          <w:szCs w:val="21"/>
          <w:highlight w:val="none"/>
        </w:rPr>
        <w:t>检测服务内容一览表</w:t>
      </w:r>
    </w:p>
    <w:p>
      <w:pPr>
        <w:keepNext w:val="0"/>
        <w:keepLines w:val="0"/>
        <w:pageBreakBefore w:val="0"/>
        <w:kinsoku/>
        <w:wordWrap/>
        <w:overflowPunct/>
        <w:topLinePunct w:val="0"/>
        <w:bidi w:val="0"/>
        <w:spacing w:line="320" w:lineRule="exact"/>
        <w:jc w:val="center"/>
        <w:outlineLvl w:val="9"/>
        <w:rPr>
          <w:rFonts w:hint="eastAsia" w:ascii="宋体" w:hAnsi="宋体" w:eastAsia="宋体" w:cs="宋体"/>
          <w:b/>
          <w:color w:val="000000" w:themeColor="text1"/>
          <w:sz w:val="21"/>
          <w:szCs w:val="21"/>
          <w:highlight w:val="none"/>
        </w:rPr>
      </w:pPr>
    </w:p>
    <w:p>
      <w:pPr>
        <w:keepNext w:val="0"/>
        <w:keepLines w:val="0"/>
        <w:pageBreakBefore w:val="0"/>
        <w:kinsoku/>
        <w:wordWrap/>
        <w:overflowPunct/>
        <w:topLinePunct w:val="0"/>
        <w:bidi w:val="0"/>
        <w:spacing w:line="320" w:lineRule="exact"/>
        <w:jc w:val="center"/>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20</w:t>
      </w:r>
      <w:r>
        <w:rPr>
          <w:rFonts w:hint="eastAsia" w:ascii="宋体" w:hAnsi="宋体" w:eastAsia="宋体" w:cs="宋体"/>
          <w:b/>
          <w:color w:val="000000" w:themeColor="text1"/>
          <w:sz w:val="21"/>
          <w:szCs w:val="21"/>
          <w:highlight w:val="none"/>
          <w:lang w:val="en-US" w:eastAsia="zh-CN"/>
        </w:rPr>
        <w:t>24</w:t>
      </w:r>
      <w:r>
        <w:rPr>
          <w:rFonts w:hint="eastAsia" w:ascii="宋体" w:hAnsi="宋体" w:eastAsia="宋体" w:cs="宋体"/>
          <w:b/>
          <w:color w:val="000000" w:themeColor="text1"/>
          <w:sz w:val="21"/>
          <w:szCs w:val="21"/>
          <w:highlight w:val="none"/>
        </w:rPr>
        <w:t>年阳江市阳东区环境保护局</w:t>
      </w:r>
      <w:r>
        <w:rPr>
          <w:rFonts w:hint="eastAsia" w:ascii="宋体" w:hAnsi="宋体" w:eastAsia="宋体" w:cs="宋体"/>
          <w:b/>
          <w:color w:val="000000" w:themeColor="text1"/>
          <w:sz w:val="21"/>
          <w:szCs w:val="21"/>
          <w:highlight w:val="none"/>
          <w:lang w:eastAsia="zh-CN"/>
        </w:rPr>
        <w:t>河长制水质监测</w:t>
      </w:r>
      <w:r>
        <w:rPr>
          <w:rFonts w:hint="eastAsia" w:ascii="宋体" w:hAnsi="宋体" w:eastAsia="宋体" w:cs="宋体"/>
          <w:b/>
          <w:color w:val="000000" w:themeColor="text1"/>
          <w:sz w:val="21"/>
          <w:szCs w:val="21"/>
          <w:highlight w:val="none"/>
        </w:rPr>
        <w:t>水样分析项目表</w:t>
      </w:r>
    </w:p>
    <w:p>
      <w:pPr>
        <w:keepNext w:val="0"/>
        <w:keepLines w:val="0"/>
        <w:pageBreakBefore w:val="0"/>
        <w:kinsoku/>
        <w:wordWrap/>
        <w:overflowPunct/>
        <w:topLinePunct w:val="0"/>
        <w:bidi w:val="0"/>
        <w:spacing w:line="32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表1：</w:t>
      </w:r>
    </w:p>
    <w:tbl>
      <w:tblPr>
        <w:tblStyle w:val="51"/>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5186"/>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类别</w:t>
            </w:r>
          </w:p>
        </w:tc>
        <w:tc>
          <w:tcPr>
            <w:tcW w:w="5186"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监测断面（采样点）</w:t>
            </w:r>
          </w:p>
        </w:tc>
        <w:tc>
          <w:tcPr>
            <w:tcW w:w="2858"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444" w:type="dxa"/>
            <w:gridSpan w:val="3"/>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河流水质</w:t>
            </w:r>
          </w:p>
        </w:tc>
        <w:tc>
          <w:tcPr>
            <w:tcW w:w="5186"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佛子湖围边、分界龙、红江拦河坝</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左、中、右）、树头河口下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左、中、右）、太运旧闸下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左、右）、丹黎水闸下</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左、中、右）、田畔河口（那顿）、周亨河口（那梢、那庆）、马仔河口、黄泥塘桥、那帮河口、翠山渡槽、宁江新村仔</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左、中、右）、樟木咀</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lang w:val="en-US" w:eastAsia="zh-CN"/>
              </w:rPr>
              <w:t xml:space="preserve">左、中、右）、双麻荔枝垌、轮水河口、湾弓龙上、税仔河口、牛公山尾基、乌石河下崩氹、大八河口、军村路桥、北环敦、海蓢新桥、河仔村路桥 </w:t>
            </w:r>
          </w:p>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水温、pH、溶解氧、电导率、高锰酸盐指数、化学需氧量、五日生化需氧量、氨氮、总磷等9项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入海</w:t>
            </w:r>
          </w:p>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河口</w:t>
            </w:r>
          </w:p>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p>
        </w:tc>
        <w:tc>
          <w:tcPr>
            <w:tcW w:w="5186"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寿长、尖山（左、中、右）</w:t>
            </w:r>
          </w:p>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水温、pH、溶解氧、电导率、盐度、高锰酸盐指数、化学需氧量、五日生化需氧量、氨氮、总磷、总氮、硝酸盐氮、亚硝酸盐氮等13项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44" w:type="dxa"/>
            <w:gridSpan w:val="3"/>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3、6、9、12月份检测项目明细表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类别</w:t>
            </w:r>
          </w:p>
        </w:tc>
        <w:tc>
          <w:tcPr>
            <w:tcW w:w="5186"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监测断面（采样点）</w:t>
            </w:r>
          </w:p>
        </w:tc>
        <w:tc>
          <w:tcPr>
            <w:tcW w:w="2858"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分析项目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湖库</w:t>
            </w:r>
          </w:p>
        </w:tc>
        <w:tc>
          <w:tcPr>
            <w:tcW w:w="5186"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江河水库库出口、东湖水库库出口、夏水水库库出口、马岗水库库出口、沙湾水库库出口、上水水库库出口、清湾水库库出口、狗尾水库库出口、漠地洞水库库出口</w:t>
            </w:r>
          </w:p>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采样时间：1次/1季度</w:t>
            </w:r>
          </w:p>
        </w:tc>
        <w:tc>
          <w:tcPr>
            <w:tcW w:w="2858"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水温、pH、溶解氧、电导率、透明度、高锰酸盐指数、化学需氧量、五日生化需氧量、氨氮、总磷、总氮等11项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jc w:val="center"/>
        </w:trPr>
        <w:tc>
          <w:tcPr>
            <w:tcW w:w="1400" w:type="dxa"/>
            <w:vAlign w:val="center"/>
          </w:tcPr>
          <w:p>
            <w:pPr>
              <w:keepNext w:val="0"/>
              <w:keepLines w:val="0"/>
              <w:pageBreakBefore w:val="0"/>
              <w:kinsoku/>
              <w:wordWrap/>
              <w:overflowPunct/>
              <w:topLinePunct w:val="0"/>
              <w:bidi w:val="0"/>
              <w:spacing w:line="260" w:lineRule="exact"/>
              <w:jc w:val="center"/>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河长制加密监测点位</w:t>
            </w:r>
          </w:p>
        </w:tc>
        <w:tc>
          <w:tcPr>
            <w:tcW w:w="5186"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那龙河河长制加密监测5个点位，寿长河河长制加密监测5个点位，漠阳江河长制加密监测2个点（具体点位以上级文件为准）。</w:t>
            </w:r>
          </w:p>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采样频次：1次/1月</w:t>
            </w:r>
          </w:p>
        </w:tc>
        <w:tc>
          <w:tcPr>
            <w:tcW w:w="2858" w:type="dxa"/>
            <w:vAlign w:val="center"/>
          </w:tcPr>
          <w:p>
            <w:pPr>
              <w:keepNext w:val="0"/>
              <w:keepLines w:val="0"/>
              <w:pageBreakBefore w:val="0"/>
              <w:kinsoku/>
              <w:wordWrap/>
              <w:overflowPunct/>
              <w:topLinePunct w:val="0"/>
              <w:bidi w:val="0"/>
              <w:spacing w:line="260" w:lineRule="exact"/>
              <w:outlineLvl w:val="9"/>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pH、溶解氧、高锰酸盐指数、化学需氧量、氨氮、总磷、</w:t>
            </w:r>
          </w:p>
        </w:tc>
      </w:tr>
    </w:tbl>
    <w:p>
      <w:pPr>
        <w:keepNext w:val="0"/>
        <w:keepLines w:val="0"/>
        <w:pageBreakBefore w:val="0"/>
        <w:widowControl w:val="0"/>
        <w:kinsoku/>
        <w:wordWrap/>
        <w:overflowPunct/>
        <w:topLinePunct w:val="0"/>
        <w:bidi w:val="0"/>
        <w:spacing w:line="360" w:lineRule="auto"/>
        <w:jc w:val="both"/>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三、采购项目要求：</w:t>
      </w:r>
    </w:p>
    <w:p>
      <w:pPr>
        <w:keepNext w:val="0"/>
        <w:keepLines w:val="0"/>
        <w:pageBreakBefore w:val="0"/>
        <w:widowControl w:val="0"/>
        <w:kinsoku/>
        <w:wordWrap/>
        <w:overflowPunct/>
        <w:topLinePunct w:val="0"/>
        <w:bidi w:val="0"/>
        <w:spacing w:line="360" w:lineRule="auto"/>
        <w:jc w:val="both"/>
        <w:outlineLvl w:val="9"/>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（1）服务要求：</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A. </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供应商应设有固定实验室。</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B. </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供应商应具有专业的检测仪器设备。</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C. </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供应商应提交项目的检测服务方案及进度表。</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D. </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供应商应设检测项目负责人，负责检测协调管理工作。</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E. 检测服务项目完成后需由</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供应商组织进行验收。</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F. 验收由采购人、</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供应商及相关人员依国家有关标准、合同及有关附件要求进行。</w:t>
      </w:r>
    </w:p>
    <w:p>
      <w:pPr>
        <w:keepNext w:val="0"/>
        <w:keepLines w:val="0"/>
        <w:pageBreakBefore w:val="0"/>
        <w:widowControl w:val="0"/>
        <w:kinsoku/>
        <w:wordWrap/>
        <w:overflowPunct/>
        <w:topLinePunct w:val="0"/>
        <w:bidi w:val="0"/>
        <w:spacing w:line="360" w:lineRule="auto"/>
        <w:ind w:firstLine="630" w:firstLineChars="300"/>
        <w:jc w:val="both"/>
        <w:outlineLvl w:val="9"/>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G. </w:t>
      </w:r>
      <w:r>
        <w:rPr>
          <w:rFonts w:hint="eastAsia" w:ascii="宋体" w:hAnsi="宋体" w:cs="宋体"/>
          <w:color w:val="000000" w:themeColor="text1"/>
          <w:kern w:val="2"/>
          <w:sz w:val="21"/>
          <w:szCs w:val="21"/>
          <w:highlight w:val="none"/>
          <w:lang w:val="en-US" w:eastAsia="zh-CN" w:bidi="ar-SA"/>
        </w:rPr>
        <w:t>成交</w:t>
      </w:r>
      <w:r>
        <w:rPr>
          <w:rFonts w:hint="eastAsia" w:ascii="宋体" w:hAnsi="宋体" w:eastAsia="宋体" w:cs="宋体"/>
          <w:color w:val="000000" w:themeColor="text1"/>
          <w:kern w:val="2"/>
          <w:sz w:val="21"/>
          <w:szCs w:val="21"/>
          <w:highlight w:val="none"/>
          <w:lang w:val="en-US" w:eastAsia="zh-CN" w:bidi="ar-SA"/>
        </w:rPr>
        <w:t>供应商不能以任何形式分包该项目（包括采样和检测）。</w:t>
      </w:r>
    </w:p>
    <w:p>
      <w:pPr>
        <w:keepNext w:val="0"/>
        <w:keepLines w:val="0"/>
        <w:pageBreakBefore w:val="0"/>
        <w:kinsoku/>
        <w:wordWrap/>
        <w:overflowPunct/>
        <w:topLinePunct w:val="0"/>
        <w:bidi w:val="0"/>
        <w:spacing w:line="36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（2）</w:t>
      </w:r>
      <w:r>
        <w:rPr>
          <w:rFonts w:hint="eastAsia" w:ascii="宋体" w:hAnsi="宋体" w:eastAsia="宋体" w:cs="宋体"/>
          <w:b/>
          <w:color w:val="000000" w:themeColor="text1"/>
          <w:sz w:val="21"/>
          <w:szCs w:val="21"/>
          <w:highlight w:val="none"/>
        </w:rPr>
        <w:t>分析方法：</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w:t>
      </w:r>
      <w:r>
        <w:rPr>
          <w:rFonts w:hint="eastAsia" w:ascii="宋体" w:hAnsi="宋体" w:eastAsia="宋体" w:cs="宋体"/>
          <w:color w:val="000000" w:themeColor="text1"/>
          <w:sz w:val="21"/>
          <w:szCs w:val="21"/>
          <w:highlight w:val="none"/>
        </w:rPr>
        <w:t>必须在监测实施方案中列明监测项目的分析方法，并注明所有选用检测方法的认定情况。</w:t>
      </w:r>
    </w:p>
    <w:p>
      <w:pPr>
        <w:keepNext w:val="0"/>
        <w:keepLines w:val="0"/>
        <w:pageBreakBefore w:val="0"/>
        <w:kinsoku/>
        <w:wordWrap/>
        <w:overflowPunct/>
        <w:topLinePunct w:val="0"/>
        <w:bidi w:val="0"/>
        <w:spacing w:line="36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（3）</w:t>
      </w:r>
      <w:r>
        <w:rPr>
          <w:rFonts w:hint="eastAsia" w:ascii="宋体" w:hAnsi="宋体" w:eastAsia="宋体" w:cs="宋体"/>
          <w:b/>
          <w:color w:val="000000" w:themeColor="text1"/>
          <w:sz w:val="21"/>
          <w:szCs w:val="21"/>
          <w:highlight w:val="none"/>
        </w:rPr>
        <w:t>质量控制方案</w:t>
      </w:r>
    </w:p>
    <w:p>
      <w:pPr>
        <w:keepNext w:val="0"/>
        <w:keepLines w:val="0"/>
        <w:pageBreakBefore w:val="0"/>
        <w:kinsoku/>
        <w:wordWrap/>
        <w:overflowPunct/>
        <w:topLinePunct w:val="0"/>
        <w:bidi w:val="0"/>
        <w:spacing w:line="420" w:lineRule="exact"/>
        <w:ind w:firstLine="420" w:firstLineChars="200"/>
        <w:outlineLvl w:val="9"/>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分析工作的质量控制必须按照</w:t>
      </w:r>
      <w:r>
        <w:rPr>
          <w:rFonts w:hint="eastAsia" w:ascii="宋体" w:hAnsi="宋体" w:eastAsia="宋体" w:cs="宋体"/>
          <w:color w:val="000000" w:themeColor="text1"/>
          <w:sz w:val="21"/>
          <w:szCs w:val="21"/>
          <w:highlight w:val="none"/>
          <w:lang w:eastAsia="zh-CN"/>
        </w:rPr>
        <w:t>《环境监测质量管理技术导则》（</w:t>
      </w:r>
      <w:r>
        <w:rPr>
          <w:rFonts w:hint="eastAsia" w:ascii="宋体" w:hAnsi="宋体" w:eastAsia="宋体" w:cs="宋体"/>
          <w:color w:val="000000" w:themeColor="text1"/>
          <w:sz w:val="21"/>
          <w:szCs w:val="21"/>
          <w:highlight w:val="none"/>
          <w:lang w:val="en-US" w:eastAsia="zh-CN"/>
        </w:rPr>
        <w:t>HJ 630-2011</w:t>
      </w:r>
      <w:r>
        <w:rPr>
          <w:rFonts w:hint="eastAsia" w:ascii="宋体" w:hAnsi="宋体" w:eastAsia="宋体" w:cs="宋体"/>
          <w:color w:val="000000" w:themeColor="text1"/>
          <w:sz w:val="21"/>
          <w:szCs w:val="21"/>
          <w:highlight w:val="none"/>
          <w:lang w:eastAsia="zh-CN"/>
        </w:rPr>
        <w:t>）及《环境水质监测质量保证手册》（第二版）</w:t>
      </w:r>
      <w:r>
        <w:rPr>
          <w:rFonts w:hint="eastAsia" w:ascii="宋体" w:hAnsi="宋体" w:eastAsia="宋体" w:cs="宋体"/>
          <w:color w:val="000000" w:themeColor="text1"/>
          <w:sz w:val="21"/>
          <w:szCs w:val="21"/>
          <w:highlight w:val="none"/>
        </w:rPr>
        <w:t>要求的实施方式进行。</w:t>
      </w:r>
    </w:p>
    <w:p>
      <w:pPr>
        <w:keepNext w:val="0"/>
        <w:keepLines w:val="0"/>
        <w:pageBreakBefore w:val="0"/>
        <w:kinsoku/>
        <w:wordWrap/>
        <w:overflowPunct/>
        <w:topLinePunct w:val="0"/>
        <w:bidi w:val="0"/>
        <w:spacing w:line="360" w:lineRule="auto"/>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（4）</w:t>
      </w:r>
      <w:r>
        <w:rPr>
          <w:rFonts w:hint="eastAsia" w:ascii="宋体" w:hAnsi="宋体" w:eastAsia="宋体" w:cs="宋体"/>
          <w:b/>
          <w:color w:val="000000" w:themeColor="text1"/>
          <w:sz w:val="21"/>
          <w:szCs w:val="21"/>
          <w:highlight w:val="none"/>
        </w:rPr>
        <w:t>采样依据和检测方法</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1)投标人通过CMA计量认证的环境监测项目满足《地表水环境质量标准》（GB3838-2002）。</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2）采样监测依据：HJ/T 91-2002地表水和污水监测技术规范指导。</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3）检测方法：</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a、检测机构已通过资质认定（CMA）</w:t>
      </w:r>
      <w:r>
        <w:rPr>
          <w:rFonts w:hint="eastAsia" w:ascii="宋体" w:hAnsi="宋体" w:eastAsia="宋体" w:cs="宋体"/>
          <w:color w:val="000000" w:themeColor="text1"/>
          <w:sz w:val="21"/>
          <w:szCs w:val="21"/>
          <w:highlight w:val="none"/>
          <w:lang w:eastAsia="zh-CN"/>
        </w:rPr>
        <w:t>的</w:t>
      </w:r>
      <w:r>
        <w:rPr>
          <w:rFonts w:hint="eastAsia" w:ascii="宋体" w:hAnsi="宋体" w:eastAsia="宋体" w:cs="宋体"/>
          <w:color w:val="000000" w:themeColor="text1"/>
          <w:sz w:val="21"/>
          <w:szCs w:val="21"/>
          <w:highlight w:val="none"/>
        </w:rPr>
        <w:t>国家标准分析方法；</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w:t>
      </w:r>
      <w:r>
        <w:rPr>
          <w:rFonts w:hint="eastAsia" w:ascii="宋体" w:hAnsi="宋体" w:eastAsia="宋体" w:cs="宋体"/>
          <w:color w:val="000000" w:themeColor="text1"/>
          <w:sz w:val="21"/>
          <w:szCs w:val="21"/>
          <w:highlight w:val="none"/>
          <w:lang w:val="en-US" w:eastAsia="zh-CN"/>
        </w:rPr>
        <w:t>符合</w:t>
      </w:r>
      <w:r>
        <w:rPr>
          <w:rFonts w:hint="eastAsia" w:ascii="宋体" w:hAnsi="宋体" w:eastAsia="宋体" w:cs="宋体"/>
          <w:color w:val="000000" w:themeColor="text1"/>
          <w:sz w:val="21"/>
          <w:szCs w:val="21"/>
          <w:highlight w:val="none"/>
        </w:rPr>
        <w:t>《地表水环境质量标准》（GB3838－2002）</w:t>
      </w:r>
      <w:r>
        <w:rPr>
          <w:rFonts w:hint="eastAsia" w:ascii="宋体" w:hAnsi="宋体" w:eastAsia="宋体" w:cs="宋体"/>
          <w:color w:val="000000" w:themeColor="text1"/>
          <w:sz w:val="21"/>
          <w:szCs w:val="21"/>
          <w:highlight w:val="none"/>
          <w:lang w:val="en-US" w:eastAsia="zh-CN"/>
        </w:rPr>
        <w:t>有关规范</w:t>
      </w:r>
      <w:r>
        <w:rPr>
          <w:rFonts w:hint="eastAsia" w:ascii="宋体" w:hAnsi="宋体" w:eastAsia="宋体" w:cs="宋体"/>
          <w:color w:val="000000" w:themeColor="text1"/>
          <w:sz w:val="21"/>
          <w:szCs w:val="21"/>
          <w:highlight w:val="none"/>
        </w:rPr>
        <w:t>。</w:t>
      </w:r>
    </w:p>
    <w:p>
      <w:pPr>
        <w:keepNext w:val="0"/>
        <w:keepLines w:val="0"/>
        <w:pageBreakBefore w:val="0"/>
        <w:kinsoku/>
        <w:wordWrap/>
        <w:overflowPunct/>
        <w:topLinePunct w:val="0"/>
        <w:bidi w:val="0"/>
        <w:adjustRightInd w:val="0"/>
        <w:snapToGrid w:val="0"/>
        <w:spacing w:before="72" w:beforeLines="30" w:line="360" w:lineRule="auto"/>
        <w:ind w:firstLine="105" w:firstLineChars="50"/>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5</w:t>
      </w:r>
      <w:r>
        <w:rPr>
          <w:rFonts w:hint="eastAsia" w:ascii="宋体" w:hAnsi="宋体" w:eastAsia="宋体" w:cs="宋体"/>
          <w:b/>
          <w:color w:val="000000" w:themeColor="text1"/>
          <w:sz w:val="21"/>
          <w:szCs w:val="21"/>
          <w:highlight w:val="none"/>
        </w:rPr>
        <w:t>）相关标准：</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1.《阳江市</w:t>
      </w:r>
      <w:r>
        <w:rPr>
          <w:rFonts w:hint="eastAsia" w:ascii="宋体" w:hAnsi="宋体" w:eastAsia="宋体" w:cs="宋体"/>
          <w:color w:val="000000" w:themeColor="text1"/>
          <w:sz w:val="21"/>
          <w:szCs w:val="21"/>
          <w:highlight w:val="none"/>
          <w:lang w:val="en-US" w:eastAsia="zh-CN"/>
        </w:rPr>
        <w:t>生态环境局阳东分局</w:t>
      </w:r>
      <w:r>
        <w:rPr>
          <w:rFonts w:hint="eastAsia" w:ascii="宋体" w:hAnsi="宋体" w:eastAsia="宋体" w:cs="宋体"/>
          <w:color w:val="000000" w:themeColor="text1"/>
          <w:sz w:val="21"/>
          <w:szCs w:val="21"/>
          <w:highlight w:val="none"/>
        </w:rPr>
        <w:t>河长制</w:t>
      </w:r>
      <w:r>
        <w:rPr>
          <w:rFonts w:hint="eastAsia" w:ascii="宋体" w:hAnsi="宋体" w:eastAsia="宋体" w:cs="宋体"/>
          <w:color w:val="000000" w:themeColor="text1"/>
          <w:sz w:val="21"/>
          <w:szCs w:val="21"/>
          <w:highlight w:val="none"/>
          <w:lang w:val="en-US" w:eastAsia="zh-CN"/>
        </w:rPr>
        <w:t>水质监测</w:t>
      </w:r>
      <w:r>
        <w:rPr>
          <w:rFonts w:hint="eastAsia" w:ascii="宋体" w:hAnsi="宋体" w:eastAsia="宋体" w:cs="宋体"/>
          <w:color w:val="000000" w:themeColor="text1"/>
          <w:sz w:val="21"/>
          <w:szCs w:val="21"/>
          <w:highlight w:val="none"/>
        </w:rPr>
        <w:t>方案》</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2.《地表水和污水监测技术规范》（HJ/T 91-2002）</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3.《环境水质监测质量保证手册》（第二版）</w:t>
      </w:r>
    </w:p>
    <w:p>
      <w:pPr>
        <w:keepNext w:val="0"/>
        <w:keepLines w:val="0"/>
        <w:pageBreakBefore w:val="0"/>
        <w:kinsoku/>
        <w:wordWrap/>
        <w:overflowPunct/>
        <w:topLinePunct w:val="0"/>
        <w:bidi w:val="0"/>
        <w:spacing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4.《地表水环境质量标准》（GB 3838-2002）</w:t>
      </w:r>
    </w:p>
    <w:p>
      <w:pPr>
        <w:keepNext w:val="0"/>
        <w:keepLines w:val="0"/>
        <w:pageBreakBefore w:val="0"/>
        <w:kinsoku/>
        <w:wordWrap/>
        <w:overflowPunct/>
        <w:topLinePunct w:val="0"/>
        <w:bidi w:val="0"/>
        <w:adjustRightInd w:val="0"/>
        <w:snapToGrid w:val="0"/>
        <w:spacing w:before="72" w:beforeLines="30" w:line="360" w:lineRule="auto"/>
        <w:ind w:firstLine="105" w:firstLineChars="50"/>
        <w:outlineLvl w:val="9"/>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w:t>
      </w:r>
      <w:r>
        <w:rPr>
          <w:rFonts w:hint="eastAsia" w:ascii="宋体" w:hAnsi="宋体" w:eastAsia="宋体" w:cs="宋体"/>
          <w:b/>
          <w:color w:val="000000" w:themeColor="text1"/>
          <w:sz w:val="21"/>
          <w:szCs w:val="21"/>
          <w:highlight w:val="none"/>
          <w:lang w:val="en-US" w:eastAsia="zh-CN"/>
        </w:rPr>
        <w:t>6</w:t>
      </w:r>
      <w:r>
        <w:rPr>
          <w:rFonts w:hint="eastAsia" w:ascii="宋体" w:hAnsi="宋体" w:eastAsia="宋体" w:cs="宋体"/>
          <w:b/>
          <w:color w:val="000000" w:themeColor="text1"/>
          <w:sz w:val="21"/>
          <w:szCs w:val="21"/>
          <w:highlight w:val="none"/>
        </w:rPr>
        <w:t>）成果要求</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1）经验收的检测报告；</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2）成果编制要求：</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a.报告格式由采购人统一提供；</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b.提供监测报告原件及电子版。</w:t>
      </w:r>
    </w:p>
    <w:p>
      <w:pPr>
        <w:pStyle w:val="29"/>
        <w:keepNext w:val="0"/>
        <w:keepLines w:val="0"/>
        <w:pageBreakBefore w:val="0"/>
        <w:kinsoku/>
        <w:wordWrap/>
        <w:overflowPunct/>
        <w:topLinePunct w:val="0"/>
        <w:bidi w:val="0"/>
        <w:ind w:left="0" w:leftChars="0" w:firstLine="211" w:firstLineChars="100"/>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七</w:t>
      </w:r>
      <w:r>
        <w:rPr>
          <w:rFonts w:hint="eastAsia" w:ascii="宋体" w:hAnsi="宋体" w:eastAsia="宋体" w:cs="宋体"/>
          <w:b/>
          <w:bCs/>
          <w:color w:val="000000" w:themeColor="text1"/>
          <w:sz w:val="21"/>
          <w:szCs w:val="21"/>
          <w:highlight w:val="none"/>
          <w:lang w:eastAsia="zh-CN"/>
        </w:rPr>
        <w:t>）</w:t>
      </w:r>
      <w:r>
        <w:rPr>
          <w:rFonts w:hint="eastAsia" w:ascii="宋体" w:hAnsi="宋体" w:eastAsia="宋体" w:cs="宋体"/>
          <w:b/>
          <w:bCs/>
          <w:color w:val="000000" w:themeColor="text1"/>
          <w:sz w:val="21"/>
          <w:szCs w:val="21"/>
          <w:highlight w:val="none"/>
          <w:lang w:val="en-US" w:eastAsia="zh-CN"/>
        </w:rPr>
        <w:t>其他要求：</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成交</w:t>
      </w:r>
      <w:r>
        <w:rPr>
          <w:rFonts w:hint="eastAsia" w:ascii="宋体" w:hAnsi="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须在指定的时间完成采样送检工作，</w:t>
      </w:r>
      <w:r>
        <w:rPr>
          <w:rFonts w:hint="eastAsia" w:ascii="宋体" w:hAnsi="宋体" w:cs="宋体"/>
          <w:color w:val="000000" w:themeColor="text1"/>
          <w:sz w:val="21"/>
          <w:szCs w:val="21"/>
          <w:highlight w:val="none"/>
          <w:lang w:eastAsia="zh-CN"/>
        </w:rPr>
        <w:t>成交</w:t>
      </w:r>
      <w:r>
        <w:rPr>
          <w:rFonts w:hint="eastAsia" w:ascii="宋体" w:hAnsi="宋体" w:cs="宋体"/>
          <w:color w:val="000000" w:themeColor="text1"/>
          <w:sz w:val="21"/>
          <w:szCs w:val="21"/>
          <w:highlight w:val="none"/>
          <w:lang w:val="en-US" w:eastAsia="zh-CN"/>
        </w:rPr>
        <w:t>供应商</w:t>
      </w:r>
      <w:r>
        <w:rPr>
          <w:rFonts w:hint="eastAsia" w:ascii="宋体" w:hAnsi="宋体" w:eastAsia="宋体" w:cs="宋体"/>
          <w:color w:val="000000" w:themeColor="text1"/>
          <w:sz w:val="21"/>
          <w:szCs w:val="21"/>
          <w:highlight w:val="none"/>
        </w:rPr>
        <w:t xml:space="preserve">须在水样采集后 </w:t>
      </w: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天内向采购人提交监测结果（包括纸质版和电子版）。</w:t>
      </w:r>
    </w:p>
    <w:p>
      <w:pPr>
        <w:keepNext w:val="0"/>
        <w:keepLines w:val="0"/>
        <w:pageBreakBefore w:val="0"/>
        <w:kinsoku/>
        <w:wordWrap/>
        <w:overflowPunct/>
        <w:topLinePunct w:val="0"/>
        <w:bidi w:val="0"/>
        <w:adjustRightInd w:val="0"/>
        <w:snapToGrid w:val="0"/>
        <w:spacing w:before="72" w:beforeLines="30" w:line="360" w:lineRule="auto"/>
        <w:ind w:firstLine="422"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b/>
          <w:bCs/>
          <w:color w:val="000000" w:themeColor="text1"/>
          <w:sz w:val="21"/>
          <w:szCs w:val="21"/>
          <w:highlight w:val="none"/>
        </w:rPr>
        <w:t>提交监测资料的具体要求如下：</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报告编写</w:t>
      </w:r>
    </w:p>
    <w:p>
      <w:pPr>
        <w:keepNext w:val="0"/>
        <w:keepLines w:val="0"/>
        <w:pageBreakBefore w:val="0"/>
        <w:kinsoku/>
        <w:wordWrap/>
        <w:overflowPunct/>
        <w:topLinePunct w:val="0"/>
        <w:bidi w:val="0"/>
        <w:adjustRightInd w:val="0"/>
        <w:snapToGrid w:val="0"/>
        <w:spacing w:before="72" w:beforeLines="30" w:line="360" w:lineRule="auto"/>
        <w:ind w:firstLine="420" w:firstLineChars="200"/>
        <w:outlineLvl w:val="9"/>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sz w:val="21"/>
          <w:szCs w:val="21"/>
          <w:highlight w:val="none"/>
        </w:rPr>
        <w:t>正式报告内容和包括的信息应满足CMA计量认证</w:t>
      </w:r>
      <w:r>
        <w:rPr>
          <w:rFonts w:hint="eastAsia" w:ascii="宋体" w:hAnsi="宋体" w:eastAsia="宋体" w:cs="宋体"/>
          <w:color w:val="000000" w:themeColor="text1"/>
          <w:sz w:val="21"/>
          <w:szCs w:val="21"/>
          <w:highlight w:val="none"/>
          <w:lang w:val="en-US" w:eastAsia="zh-CN"/>
        </w:rPr>
        <w:t>相关</w:t>
      </w:r>
      <w:r>
        <w:rPr>
          <w:rFonts w:hint="eastAsia" w:ascii="宋体" w:hAnsi="宋体" w:eastAsia="宋体" w:cs="宋体"/>
          <w:color w:val="000000" w:themeColor="text1"/>
          <w:sz w:val="21"/>
          <w:szCs w:val="21"/>
          <w:highlight w:val="none"/>
        </w:rPr>
        <w:t>要求。报告包括纸质版和电子版，加盖公章纸质版一式</w:t>
      </w:r>
      <w:r>
        <w:rPr>
          <w:rFonts w:hint="eastAsia" w:ascii="宋体" w:hAnsi="宋体" w:eastAsia="宋体" w:cs="宋体"/>
          <w:color w:val="000000" w:themeColor="text1"/>
          <w:sz w:val="21"/>
          <w:szCs w:val="21"/>
          <w:highlight w:val="none"/>
          <w:lang w:eastAsia="zh-CN"/>
        </w:rPr>
        <w:t>两</w:t>
      </w:r>
      <w:r>
        <w:rPr>
          <w:rFonts w:hint="eastAsia" w:ascii="宋体" w:hAnsi="宋体" w:eastAsia="宋体" w:cs="宋体"/>
          <w:color w:val="000000" w:themeColor="text1"/>
          <w:sz w:val="21"/>
          <w:szCs w:val="21"/>
          <w:highlight w:val="none"/>
        </w:rPr>
        <w:t>份。</w:t>
      </w:r>
    </w:p>
    <w:p>
      <w:pPr>
        <w:rPr>
          <w:rFonts w:ascii="宋体" w:hAnsi="宋体"/>
          <w:b/>
          <w:bCs/>
          <w:color w:val="000000" w:themeColor="text1"/>
          <w:kern w:val="44"/>
          <w:sz w:val="24"/>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ascii="宋体" w:hAnsi="宋体" w:eastAsia="宋体"/>
          <w:b/>
          <w:color w:val="000000" w:themeColor="text1"/>
          <w:sz w:val="21"/>
          <w:szCs w:val="21"/>
          <w:highlight w:val="none"/>
        </w:rPr>
      </w:pPr>
      <w:r>
        <w:rPr>
          <w:rFonts w:hint="eastAsia" w:ascii="宋体" w:hAnsi="宋体" w:eastAsia="宋体"/>
          <w:b/>
          <w:color w:val="000000" w:themeColor="text1"/>
          <w:sz w:val="21"/>
          <w:szCs w:val="21"/>
          <w:highlight w:val="none"/>
        </w:rPr>
        <w:br w:type="page"/>
      </w:r>
    </w:p>
    <w:p>
      <w:pPr>
        <w:pStyle w:val="3"/>
        <w:numPr>
          <w:ilvl w:val="0"/>
          <w:numId w:val="0"/>
        </w:numPr>
        <w:spacing w:beforeLines="0" w:line="240" w:lineRule="auto"/>
        <w:rPr>
          <w:rFonts w:ascii="宋体" w:hAnsi="宋体" w:eastAsia="宋体"/>
          <w:b/>
          <w:color w:val="000000" w:themeColor="text1"/>
          <w:sz w:val="21"/>
          <w:szCs w:val="21"/>
          <w:highlight w:val="none"/>
        </w:rPr>
      </w:pPr>
      <w:bookmarkStart w:id="116" w:name="_Toc11907"/>
      <w:r>
        <w:rPr>
          <w:rFonts w:hint="eastAsia" w:ascii="宋体" w:hAnsi="宋体" w:eastAsia="宋体"/>
          <w:b/>
          <w:color w:val="000000" w:themeColor="text1"/>
          <w:sz w:val="21"/>
          <w:szCs w:val="21"/>
          <w:highlight w:val="none"/>
        </w:rPr>
        <w:t>第三部分 磋商须知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pPr>
        <w:pStyle w:val="4"/>
        <w:numPr>
          <w:ilvl w:val="1"/>
          <w:numId w:val="0"/>
        </w:numPr>
        <w:rPr>
          <w:rFonts w:ascii="宋体" w:hAnsi="宋体"/>
          <w:color w:val="000000" w:themeColor="text1"/>
          <w:sz w:val="21"/>
          <w:szCs w:val="21"/>
          <w:highlight w:val="none"/>
        </w:rPr>
      </w:pPr>
      <w:bookmarkStart w:id="117" w:name="_Toc18500"/>
      <w:bookmarkStart w:id="118" w:name="_Toc456648358"/>
      <w:bookmarkStart w:id="119" w:name="_Toc456272919"/>
      <w:bookmarkStart w:id="120" w:name="_Toc434832495"/>
      <w:r>
        <w:rPr>
          <w:rFonts w:hint="eastAsia" w:ascii="宋体" w:hAnsi="宋体"/>
          <w:color w:val="000000" w:themeColor="text1"/>
          <w:sz w:val="21"/>
          <w:szCs w:val="21"/>
          <w:highlight w:val="none"/>
        </w:rPr>
        <w:t>投标人须知前附表</w:t>
      </w:r>
      <w:bookmarkEnd w:id="117"/>
      <w:bookmarkEnd w:id="118"/>
      <w:bookmarkEnd w:id="119"/>
      <w:bookmarkEnd w:id="120"/>
    </w:p>
    <w:tbl>
      <w:tblPr>
        <w:tblStyle w:val="51"/>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2998"/>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磋商小组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ascii="宋体"/>
                <w:b/>
                <w:bCs/>
                <w:color w:val="000000" w:themeColor="text1"/>
                <w:highlight w:val="none"/>
                <w:u w:val="single"/>
              </w:rPr>
              <w:t xml:space="preserve">3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rPr>
            </w:pPr>
            <w:r>
              <w:rPr>
                <w:rFonts w:hint="eastAsia" w:ascii="宋体"/>
                <w:bCs/>
                <w:color w:val="000000" w:themeColor="text1"/>
                <w:highlight w:val="none"/>
              </w:rPr>
              <w:t>投标人在每一份磋商响应文件上明确标明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为了方便唱标，投标人在递交磋商响应文件的同时，向代理采购机构提交包含“第一次报价一览表”、</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（磋商响应截止时间）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投标人未按上述规定对磋商响应文件进行密封和加写标记，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ind w:left="26" w:firstLine="0"/>
              <w:jc w:val="both"/>
              <w:rPr>
                <w:b/>
                <w:color w:val="000000" w:themeColor="text1"/>
                <w:sz w:val="21"/>
                <w:szCs w:val="21"/>
                <w:highlight w:val="none"/>
              </w:rPr>
            </w:pPr>
            <w:r>
              <w:rPr>
                <w:rFonts w:hint="eastAsia"/>
                <w:b/>
                <w:color w:val="000000" w:themeColor="text1"/>
                <w:sz w:val="21"/>
                <w:szCs w:val="21"/>
                <w:highlight w:val="none"/>
              </w:rPr>
              <w:t>1、磋商响应文件中打“★”号条款必须实质性响应，负偏离（不满足要求）将导致投标无效。</w:t>
            </w:r>
          </w:p>
          <w:p>
            <w:pPr>
              <w:pStyle w:val="2"/>
              <w:tabs>
                <w:tab w:val="left" w:pos="26"/>
              </w:tabs>
              <w:ind w:left="26" w:firstLine="0"/>
              <w:jc w:val="both"/>
              <w:rPr>
                <w:bCs/>
                <w:color w:val="000000" w:themeColor="text1"/>
                <w:highlight w:val="none"/>
              </w:rPr>
            </w:pPr>
            <w:r>
              <w:rPr>
                <w:rFonts w:hint="eastAsia"/>
                <w:b/>
                <w:color w:val="000000" w:themeColor="text1"/>
                <w:sz w:val="21"/>
                <w:szCs w:val="21"/>
                <w:highlight w:val="none"/>
              </w:rPr>
              <w:t>2、磋商响应文件中带“▲”为实质性参数要求响应,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29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中国政府采购网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宋体" w:hAnsi="宋体" w:eastAsia="宋体" w:cs="Times New Roman"/>
                <w:color w:val="000000" w:themeColor="text1"/>
                <w:kern w:val="2"/>
                <w:sz w:val="21"/>
                <w:szCs w:val="21"/>
                <w:highlight w:val="none"/>
                <w:lang w:val="en-US" w:eastAsia="zh-CN" w:bidi="ar-SA"/>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p>
        </w:tc>
        <w:tc>
          <w:tcPr>
            <w:tcW w:w="2998" w:type="dxa"/>
            <w:vMerge w:val="restart"/>
            <w:tcBorders>
              <w:top w:val="single" w:color="auto" w:sz="4" w:space="0"/>
              <w:left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hAnsi="宋体"/>
                <w:color w:val="000000" w:themeColor="text1"/>
                <w:szCs w:val="21"/>
                <w:highlight w:val="none"/>
              </w:rPr>
              <w:t>广东业信采购招标有限公司网</w:t>
            </w:r>
          </w:p>
        </w:tc>
        <w:tc>
          <w:tcPr>
            <w:tcW w:w="358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rPr>
            </w:pPr>
          </w:p>
        </w:tc>
        <w:tc>
          <w:tcPr>
            <w:tcW w:w="2998" w:type="dxa"/>
            <w:vMerge w:val="continue"/>
            <w:tcBorders>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p>
        </w:tc>
        <w:tc>
          <w:tcPr>
            <w:tcW w:w="3580" w:type="dxa"/>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1" w:name="_Hlt21938668"/>
      <w:bookmarkEnd w:id="121"/>
      <w:bookmarkStart w:id="122" w:name="_Hlt21938665"/>
      <w:bookmarkEnd w:id="122"/>
      <w:bookmarkStart w:id="123" w:name="_Toc24662"/>
      <w:bookmarkStart w:id="124" w:name="_Toc464632120"/>
      <w:r>
        <w:rPr>
          <w:rFonts w:hint="eastAsia" w:hAnsi="宋体"/>
          <w:color w:val="000000" w:themeColor="text1"/>
          <w:highlight w:val="none"/>
        </w:rPr>
        <w:t>一、说  明</w:t>
      </w:r>
      <w:bookmarkEnd w:id="123"/>
      <w:bookmarkEnd w:id="124"/>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 适用范围</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1.1本磋商文件适用于本竞争性磋商的采购项目。</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 定义</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 xml:space="preserve">2.1“采购人”：是指本次采购项目的最终服务对象。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2.2 “监管部门”是指：同级政府采购监管部门</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2.3“采购代理机构”：是指广东业信采购招标有限公司。</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2.4“招标采购单位”是指：采购人。</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2.5 “供应商”是指响应本文件要求，参加磋商的法人或者其他组织、自然人。</w:t>
      </w:r>
    </w:p>
    <w:p>
      <w:pPr>
        <w:autoSpaceDE w:val="0"/>
        <w:autoSpaceDN w:val="0"/>
        <w:adjustRightInd w:val="0"/>
        <w:snapToGrid w:val="0"/>
        <w:spacing w:line="300" w:lineRule="auto"/>
        <w:ind w:left="531" w:leftChars="228" w:right="32" w:hanging="52" w:hangingChars="25"/>
        <w:rPr>
          <w:rFonts w:ascii="宋体" w:hAnsi="宋体"/>
          <w:color w:val="000000" w:themeColor="text1"/>
          <w:kern w:val="0"/>
          <w:szCs w:val="21"/>
          <w:highlight w:val="none"/>
        </w:rPr>
      </w:pPr>
      <w:r>
        <w:rPr>
          <w:rFonts w:hint="eastAsia" w:ascii="宋体" w:hAnsi="宋体"/>
          <w:color w:val="000000" w:themeColor="text1"/>
          <w:kern w:val="0"/>
          <w:szCs w:val="21"/>
          <w:highlight w:val="none"/>
        </w:rPr>
        <w:t>合格的供应商指：</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(1)符合《政府采购法》第二十二条规定的供应商。</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(2)符合磋商文件规定的资格要求及特殊条件要求。</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(3)本项目是否允许联合体，详见《</w:t>
      </w:r>
      <w:r>
        <w:rPr>
          <w:rFonts w:hint="eastAsia" w:ascii="宋体" w:hAnsi="宋体"/>
          <w:color w:val="000000" w:themeColor="text1"/>
          <w:highlight w:val="none"/>
        </w:rPr>
        <w:t>采购项目内容</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2.6“成交供应商”是指经法定程序确定并授予合同的供应商。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2.7“响应文件”是指：供应商根据本文件要求，编制包含报价、技术和服务等所有内容的实质性响应文件。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2.8“采购合同”：是指由采购人和成交供应商签订的规定双方权利和义务的协议。</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2.9“日”、“天”系指公历日。</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3. 合格的货物和服务</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20" w:hanging="420" w:hangingChars="200"/>
        <w:rPr>
          <w:rFonts w:ascii="宋体" w:hAnsi="宋体"/>
          <w:color w:val="000000" w:themeColor="text1"/>
          <w:szCs w:val="21"/>
          <w:highlight w:val="none"/>
        </w:rPr>
      </w:pPr>
      <w:r>
        <w:rPr>
          <w:rFonts w:hint="eastAsia" w:ascii="宋体" w:hAnsi="宋体"/>
          <w:color w:val="000000" w:themeColor="text1"/>
          <w:szCs w:val="21"/>
          <w:highlight w:val="none"/>
        </w:rPr>
        <w:t>3.2 “服务”是指除货物和工程以外的其他政府采购对象,其中包括：供应商须承担的运输、安装、技术支持、培训以及磋商文件规定的其它服务。</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4． 磋商费用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4.1 供应商应承担所有与准备和参加磋商有关的费用。不论磋商的结果如何，采购代理机构和采购人均无义务和责任承担这些费用。</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4.2本次采购向成交供应商收取的成交服务费，按国家有关规定执行。</w:t>
      </w:r>
    </w:p>
    <w:p>
      <w:pPr>
        <w:pStyle w:val="25"/>
        <w:adjustRightInd w:val="0"/>
        <w:snapToGrid w:val="0"/>
        <w:spacing w:line="300" w:lineRule="auto"/>
        <w:ind w:left="420" w:hanging="42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25" w:name="_Toc31820"/>
      <w:bookmarkStart w:id="126" w:name="_Toc464632121"/>
      <w:r>
        <w:rPr>
          <w:rFonts w:hint="eastAsia" w:hAnsi="宋体"/>
          <w:color w:val="000000" w:themeColor="text1"/>
          <w:highlight w:val="none"/>
        </w:rPr>
        <w:t>二、磋商文件</w:t>
      </w:r>
      <w:bookmarkEnd w:id="125"/>
      <w:bookmarkEnd w:id="126"/>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  磋商文件的构成</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5.1磋商文件由下列文件以及在磋商过程中发出的修正和补充文件组成：</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 采购邀请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2) 采购项目内容</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3) 磋商须知</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4) 合同书格式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5) 响应文件格式</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6) 其他：详见《磋商须知前附表》</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 在磋商过程中由招标采购单位发出的修正和补充文件等；</w:t>
      </w:r>
    </w:p>
    <w:p>
      <w:pPr>
        <w:pStyle w:val="25"/>
        <w:adjustRightInd w:val="0"/>
        <w:snapToGrid w:val="0"/>
        <w:spacing w:line="300" w:lineRule="auto"/>
        <w:ind w:left="420" w:hanging="420"/>
        <w:rPr>
          <w:rFonts w:hAnsi="宋体"/>
          <w:color w:val="000000" w:themeColor="text1"/>
          <w:highlight w:val="none"/>
        </w:rPr>
      </w:pPr>
      <w:r>
        <w:rPr>
          <w:rFonts w:hint="eastAsia" w:hAnsi="宋体"/>
          <w:color w:val="000000" w:themeColor="text1"/>
          <w:highlight w:val="none"/>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25"/>
        <w:adjustRightInd w:val="0"/>
        <w:snapToGrid w:val="0"/>
        <w:spacing w:line="300" w:lineRule="auto"/>
        <w:rPr>
          <w:rFonts w:hAnsi="宋体"/>
          <w:color w:val="000000" w:themeColor="text1"/>
          <w:kern w:val="0"/>
          <w:highlight w:val="none"/>
        </w:rPr>
      </w:pPr>
      <w:r>
        <w:rPr>
          <w:rFonts w:hint="eastAsia" w:hAnsi="宋体"/>
          <w:color w:val="000000" w:themeColor="text1"/>
          <w:kern w:val="0"/>
          <w:highlight w:val="none"/>
        </w:rPr>
        <w:t>6.  踏勘现场</w:t>
      </w:r>
      <w:r>
        <w:rPr>
          <w:rFonts w:hint="eastAsia" w:hAnsi="宋体"/>
          <w:b/>
          <w:snapToGrid w:val="0"/>
          <w:color w:val="000000" w:themeColor="text1"/>
          <w:kern w:val="0"/>
          <w:highlight w:val="none"/>
          <w:u w:val="single"/>
        </w:rPr>
        <w:t>(本条款不适用)</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6.1 供应商应按所述时间和要求对现场及周围环境进行踏勘，供应商应充分重视和仔细地进行这种考察，以便获取那些须供应商自己负责的有关编制响应文件和签署合同所涉及现场所有的资料。</w:t>
      </w:r>
    </w:p>
    <w:p>
      <w:pPr>
        <w:pStyle w:val="25"/>
        <w:adjustRightInd w:val="0"/>
        <w:snapToGrid w:val="0"/>
        <w:spacing w:line="300" w:lineRule="auto"/>
        <w:ind w:left="360" w:hanging="360"/>
        <w:rPr>
          <w:rFonts w:hAnsi="宋体"/>
          <w:color w:val="000000" w:themeColor="text1"/>
          <w:kern w:val="0"/>
          <w:highlight w:val="none"/>
        </w:rPr>
      </w:pPr>
      <w:r>
        <w:rPr>
          <w:rFonts w:hint="eastAsia" w:hAnsi="宋体"/>
          <w:color w:val="000000" w:themeColor="text1"/>
          <w:kern w:val="0"/>
          <w:highlight w:val="none"/>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7" w:name="_Toc32604"/>
      <w:bookmarkStart w:id="128" w:name="_Toc464632122"/>
      <w:r>
        <w:rPr>
          <w:rFonts w:hint="eastAsia" w:hAnsi="宋体"/>
          <w:color w:val="000000" w:themeColor="text1"/>
          <w:highlight w:val="none"/>
        </w:rPr>
        <w:t>三、响应文件的编制</w:t>
      </w:r>
      <w:bookmarkEnd w:id="127"/>
      <w:bookmarkEnd w:id="128"/>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7．响应文件的组成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7.1供应商编写的响应文件应包括资格性文件、商务部分、技术部分、价格部分四部分组成。</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7.2 报价信封必须另单独分装。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7.3 报价样板</w:t>
      </w:r>
      <w:r>
        <w:rPr>
          <w:rFonts w:hint="eastAsia" w:ascii="宋体" w:hAnsi="宋体"/>
          <w:b/>
          <w:snapToGrid w:val="0"/>
          <w:color w:val="000000" w:themeColor="text1"/>
          <w:kern w:val="0"/>
          <w:szCs w:val="21"/>
          <w:highlight w:val="none"/>
          <w:u w:val="single"/>
        </w:rPr>
        <w:t>(本条款不适用)</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20" w:firstLine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供应商提交的报价样板应标注：项目名称、采购项目编号、货物/样板名称、型号/规格、供应商名称等内容，报价样板内容及数量。</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8 响应文件编制基本要求</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8.1 供应商对响应文件的编制应按要求装订和封装。</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8.3响应文件必须按本文件的全部内容，包括所有的补充通知及附件进行编制。</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 xml:space="preserve">8.4如因供应商只填写和提供了本文件要求的部分内容和附件，而给磋商造成困难的，其可能导致的结果和责任由供应商自行承担。 </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9. 计量单位：</w:t>
      </w:r>
    </w:p>
    <w:p>
      <w:pPr>
        <w:spacing w:line="300" w:lineRule="auto"/>
        <w:ind w:left="360" w:hanging="360"/>
        <w:rPr>
          <w:rFonts w:ascii="宋体" w:hAnsi="宋体"/>
          <w:color w:val="000000" w:themeColor="text1"/>
          <w:szCs w:val="21"/>
          <w:highlight w:val="none"/>
        </w:rPr>
      </w:pPr>
      <w:r>
        <w:rPr>
          <w:rFonts w:hint="eastAsia" w:ascii="宋体" w:hAnsi="宋体"/>
          <w:color w:val="000000" w:themeColor="text1"/>
          <w:szCs w:val="21"/>
          <w:highlight w:val="none"/>
        </w:rPr>
        <w:t>9.1除技术要求中另有规定外，本文件所要求使用的计量单位均采用国家法定的度、量、衡标准单位计量。</w:t>
      </w:r>
    </w:p>
    <w:p>
      <w:pPr>
        <w:spacing w:line="300" w:lineRule="auto"/>
        <w:ind w:left="360" w:hanging="360"/>
        <w:rPr>
          <w:rFonts w:ascii="宋体" w:hAnsi="宋体"/>
          <w:color w:val="000000" w:themeColor="text1"/>
          <w:szCs w:val="21"/>
          <w:highlight w:val="none"/>
        </w:rPr>
      </w:pPr>
    </w:p>
    <w:p>
      <w:pPr>
        <w:pStyle w:val="25"/>
        <w:adjustRightInd w:val="0"/>
        <w:snapToGrid w:val="0"/>
        <w:spacing w:line="300" w:lineRule="auto"/>
        <w:outlineLvl w:val="1"/>
        <w:rPr>
          <w:rFonts w:hAnsi="宋体"/>
          <w:color w:val="000000" w:themeColor="text1"/>
          <w:highlight w:val="none"/>
        </w:rPr>
      </w:pPr>
      <w:bookmarkStart w:id="129" w:name="_Toc464632123"/>
      <w:bookmarkStart w:id="130" w:name="_Toc9990"/>
      <w:r>
        <w:rPr>
          <w:rFonts w:hint="eastAsia" w:hAnsi="宋体"/>
          <w:color w:val="000000" w:themeColor="text1"/>
          <w:highlight w:val="none"/>
        </w:rPr>
        <w:t>四、磋商报价要求和供应商资格证明文件的要求</w:t>
      </w:r>
      <w:bookmarkEnd w:id="129"/>
      <w:bookmarkEnd w:id="130"/>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10. 对于本文件中未列明，而供应商认为必需的费用也需列入总报价。在合同实施时，采购人将不予支付成交供应商没有列入的项目费用，并认为此项目的费用已包括在总报价中。</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11. 成交供应商负责本项目所需货物的制造、运输、售后服务等全部工作。</w:t>
      </w:r>
    </w:p>
    <w:p>
      <w:pPr>
        <w:pStyle w:val="25"/>
        <w:adjustRightInd w:val="0"/>
        <w:snapToGrid w:val="0"/>
        <w:spacing w:line="300" w:lineRule="auto"/>
        <w:ind w:left="420" w:hanging="420"/>
        <w:rPr>
          <w:rFonts w:hAnsi="宋体"/>
          <w:color w:val="000000" w:themeColor="text1"/>
          <w:kern w:val="0"/>
          <w:highlight w:val="none"/>
        </w:rPr>
      </w:pPr>
      <w:r>
        <w:rPr>
          <w:rFonts w:hint="eastAsia" w:hAnsi="宋体"/>
          <w:color w:val="000000" w:themeColor="text1"/>
          <w:kern w:val="0"/>
          <w:highlight w:val="none"/>
        </w:rPr>
        <w:t>12. 本项目投标报价不能高于采购预算（或最高限价），否则将被视为无效投标。</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ab/>
      </w:r>
      <w:r>
        <w:rPr>
          <w:rFonts w:hint="eastAsia" w:hAnsi="宋体"/>
          <w:color w:val="000000" w:themeColor="text1"/>
          <w:highlight w:val="none"/>
        </w:rPr>
        <w:t>供应商资格证明文件</w:t>
      </w:r>
    </w:p>
    <w:p>
      <w:pPr>
        <w:pStyle w:val="25"/>
        <w:adjustRightInd w:val="0"/>
        <w:snapToGrid w:val="0"/>
        <w:spacing w:line="300" w:lineRule="auto"/>
        <w:rPr>
          <w:rFonts w:hAnsi="宋体"/>
          <w:color w:val="000000" w:themeColor="text1"/>
          <w:highlight w:val="none"/>
        </w:rPr>
      </w:pPr>
      <w:r>
        <w:rPr>
          <w:rFonts w:hAnsi="宋体"/>
          <w:color w:val="000000" w:themeColor="text1"/>
          <w:highlight w:val="none"/>
        </w:rPr>
        <w:t>1</w:t>
      </w:r>
      <w:r>
        <w:rPr>
          <w:rFonts w:hint="eastAsia" w:hAnsi="宋体"/>
          <w:color w:val="000000" w:themeColor="text1"/>
          <w:highlight w:val="none"/>
        </w:rPr>
        <w:t>3</w:t>
      </w:r>
      <w:r>
        <w:rPr>
          <w:rFonts w:hAnsi="宋体"/>
          <w:color w:val="000000" w:themeColor="text1"/>
          <w:highlight w:val="none"/>
        </w:rPr>
        <w:t>.1</w:t>
      </w:r>
      <w:r>
        <w:rPr>
          <w:rFonts w:hint="eastAsia" w:hAnsi="宋体"/>
          <w:color w:val="000000" w:themeColor="text1"/>
          <w:highlight w:val="none"/>
        </w:rPr>
        <w:t>供应商应按磋商文件的要求，提交证明其有资格参加磋商和成交后有履行合同能力的文件，并作为其响应文件的组成部分。</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13.2资格证明文件必须真实有效，复印件必须加盖单位印章。</w:t>
      </w:r>
    </w:p>
    <w:p>
      <w:pPr>
        <w:pStyle w:val="25"/>
        <w:adjustRightInd w:val="0"/>
        <w:snapToGrid w:val="0"/>
        <w:spacing w:line="300" w:lineRule="auto"/>
        <w:rPr>
          <w:rFonts w:hAnsi="宋体"/>
          <w:color w:val="000000" w:themeColor="text1"/>
          <w:highlight w:val="none"/>
        </w:rPr>
      </w:pPr>
      <w:r>
        <w:rPr>
          <w:rFonts w:hint="eastAsia" w:hAnsi="宋体"/>
          <w:color w:val="000000" w:themeColor="text1"/>
          <w:highlight w:val="none"/>
        </w:rPr>
        <w:t>14. 证明响应文件标的合格性和符合磋商文件规定的文件：</w:t>
      </w:r>
    </w:p>
    <w:p>
      <w:pPr>
        <w:tabs>
          <w:tab w:val="left" w:pos="567"/>
        </w:tabs>
        <w:spacing w:line="300" w:lineRule="auto"/>
        <w:ind w:left="567" w:hanging="567"/>
        <w:rPr>
          <w:rFonts w:ascii="宋体" w:hAnsi="宋体"/>
          <w:color w:val="000000" w:themeColor="text1"/>
          <w:szCs w:val="21"/>
          <w:highlight w:val="none"/>
        </w:rPr>
      </w:pPr>
      <w:r>
        <w:rPr>
          <w:rFonts w:hint="eastAsia" w:ascii="宋体" w:hAnsi="宋体"/>
          <w:color w:val="000000" w:themeColor="text1"/>
          <w:szCs w:val="21"/>
          <w:highlight w:val="none"/>
        </w:rPr>
        <w:t>14.1 供应商提交证明其所提供的货物和服务的合格性并符合磋商文件规定的声明文件。</w:t>
      </w:r>
    </w:p>
    <w:p>
      <w:pPr>
        <w:tabs>
          <w:tab w:val="left" w:pos="567"/>
        </w:tabs>
        <w:spacing w:line="300" w:lineRule="auto"/>
        <w:ind w:left="567" w:hanging="567"/>
        <w:rPr>
          <w:rFonts w:ascii="宋体" w:hAnsi="宋体"/>
          <w:color w:val="000000" w:themeColor="text1"/>
          <w:szCs w:val="21"/>
          <w:highlight w:val="none"/>
        </w:rPr>
      </w:pPr>
      <w:r>
        <w:rPr>
          <w:rFonts w:ascii="宋体" w:hAnsi="宋体"/>
          <w:color w:val="000000" w:themeColor="text1"/>
          <w:szCs w:val="21"/>
          <w:highlight w:val="none"/>
        </w:rPr>
        <w:t>1</w:t>
      </w:r>
      <w:r>
        <w:rPr>
          <w:rFonts w:hint="eastAsia" w:ascii="宋体" w:hAnsi="宋体"/>
          <w:color w:val="000000" w:themeColor="text1"/>
          <w:szCs w:val="21"/>
          <w:highlight w:val="none"/>
        </w:rPr>
        <w:t>4</w:t>
      </w:r>
      <w:r>
        <w:rPr>
          <w:rFonts w:ascii="宋体" w:hAnsi="宋体"/>
          <w:color w:val="000000" w:themeColor="text1"/>
          <w:szCs w:val="21"/>
          <w:highlight w:val="none"/>
        </w:rPr>
        <w:t>.2</w:t>
      </w:r>
      <w:r>
        <w:rPr>
          <w:rFonts w:hint="eastAsia" w:ascii="宋体" w:hAnsi="宋体"/>
          <w:color w:val="000000" w:themeColor="text1"/>
          <w:szCs w:val="21"/>
          <w:highlight w:val="none"/>
        </w:rPr>
        <w:t>证明货物和服务与磋商文件的要求相一致的文件可以是文字资料、图纸、数据资料等。</w:t>
      </w:r>
    </w:p>
    <w:p>
      <w:pPr>
        <w:pStyle w:val="25"/>
        <w:adjustRightInd w:val="0"/>
        <w:snapToGrid w:val="0"/>
        <w:spacing w:line="300" w:lineRule="auto"/>
        <w:ind w:left="420" w:hanging="420"/>
        <w:rPr>
          <w:rFonts w:hAnsi="宋体"/>
          <w:b/>
          <w:color w:val="000000" w:themeColor="text1"/>
          <w:kern w:val="0"/>
          <w:highlight w:val="none"/>
          <w:u w:val="single"/>
        </w:rPr>
      </w:pPr>
    </w:p>
    <w:p>
      <w:pPr>
        <w:pStyle w:val="25"/>
        <w:adjustRightInd w:val="0"/>
        <w:snapToGrid w:val="0"/>
        <w:spacing w:line="300" w:lineRule="auto"/>
        <w:outlineLvl w:val="1"/>
        <w:rPr>
          <w:rFonts w:hAnsi="宋体"/>
          <w:color w:val="000000" w:themeColor="text1"/>
          <w:highlight w:val="none"/>
        </w:rPr>
      </w:pPr>
      <w:bookmarkStart w:id="131" w:name="_Toc464632124"/>
      <w:bookmarkStart w:id="132" w:name="_Toc15462"/>
      <w:r>
        <w:rPr>
          <w:rFonts w:hint="eastAsia" w:hAnsi="宋体"/>
          <w:color w:val="000000" w:themeColor="text1"/>
          <w:highlight w:val="none"/>
        </w:rPr>
        <w:t>五、保证金</w:t>
      </w:r>
      <w:bookmarkEnd w:id="131"/>
      <w:bookmarkEnd w:id="132"/>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15.1 供应商应按磋商文件规定的金额和期限交纳磋商保证金，磋商保证金作为响应文件的组成部分。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15.2磋商保证金金额、交纳形式、交纳时间及磋商保证金账户。</w:t>
      </w:r>
    </w:p>
    <w:p>
      <w:pPr>
        <w:autoSpaceDE w:val="0"/>
        <w:autoSpaceDN w:val="0"/>
        <w:adjustRightInd w:val="0"/>
        <w:snapToGrid w:val="0"/>
        <w:spacing w:line="300" w:lineRule="auto"/>
        <w:ind w:left="831" w:leftChars="171" w:right="31" w:rightChars="15"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 1)汇款账号必须与供应商的名称相一致，否则将不予受理。</w:t>
      </w:r>
    </w:p>
    <w:p>
      <w:pPr>
        <w:adjustRightInd w:val="0"/>
        <w:snapToGrid w:val="0"/>
        <w:spacing w:line="300" w:lineRule="auto"/>
        <w:ind w:left="420" w:hanging="420"/>
        <w:rPr>
          <w:rFonts w:ascii="宋体" w:hAnsi="宋体"/>
          <w:color w:val="000000" w:themeColor="text1"/>
          <w:kern w:val="0"/>
          <w:szCs w:val="21"/>
          <w:highlight w:val="none"/>
        </w:rPr>
      </w:pPr>
      <w:r>
        <w:rPr>
          <w:rFonts w:hint="eastAsia" w:ascii="宋体" w:hAnsi="宋体"/>
          <w:color w:val="000000" w:themeColor="text1"/>
          <w:kern w:val="0"/>
          <w:szCs w:val="21"/>
          <w:highlight w:val="none"/>
        </w:rPr>
        <w:t>15.3凡未按规定交纳磋商保证金的报价响应，其报价响应被确定为响应无效。</w:t>
      </w:r>
    </w:p>
    <w:p>
      <w:pPr>
        <w:adjustRightInd w:val="0"/>
        <w:snapToGrid w:val="0"/>
        <w:spacing w:line="300" w:lineRule="auto"/>
        <w:ind w:left="473"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15.4如无质疑或投诉，未成交的供应商保证金，在成交通知书发出后5个工作日内不计利息原额退还；如有质疑或投诉，</w:t>
      </w:r>
      <w:r>
        <w:rPr>
          <w:rFonts w:hint="eastAsia" w:ascii="宋体" w:hAnsi="宋体"/>
          <w:color w:val="000000" w:themeColor="text1"/>
          <w:kern w:val="0"/>
          <w:szCs w:val="21"/>
          <w:highlight w:val="none"/>
        </w:rPr>
        <w:t>招标采购单位</w:t>
      </w:r>
      <w:r>
        <w:rPr>
          <w:rFonts w:hint="eastAsia" w:ascii="宋体" w:hAnsi="宋体"/>
          <w:color w:val="000000" w:themeColor="text1"/>
          <w:szCs w:val="21"/>
          <w:highlight w:val="none"/>
        </w:rPr>
        <w:t>将在质疑和投诉处理完毕后不计利息原额退还。</w:t>
      </w:r>
    </w:p>
    <w:p>
      <w:pPr>
        <w:adjustRightInd w:val="0"/>
        <w:snapToGrid w:val="0"/>
        <w:spacing w:line="300" w:lineRule="auto"/>
        <w:ind w:left="473" w:right="31" w:rightChars="15" w:hanging="472" w:hangingChars="225"/>
        <w:rPr>
          <w:rFonts w:ascii="宋体" w:hAnsi="宋体"/>
          <w:color w:val="000000" w:themeColor="text1"/>
          <w:szCs w:val="21"/>
          <w:highlight w:val="none"/>
        </w:rPr>
      </w:pPr>
      <w:r>
        <w:rPr>
          <w:rFonts w:hint="eastAsia" w:ascii="宋体" w:hAnsi="宋体"/>
          <w:color w:val="000000" w:themeColor="text1"/>
          <w:szCs w:val="21"/>
          <w:highlight w:val="none"/>
        </w:rPr>
        <w:t>15.5</w:t>
      </w:r>
      <w:r>
        <w:rPr>
          <w:rFonts w:hint="eastAsia" w:ascii="宋体" w:hAnsi="宋体"/>
          <w:color w:val="000000" w:themeColor="text1"/>
          <w:kern w:val="0"/>
          <w:szCs w:val="21"/>
          <w:highlight w:val="none"/>
        </w:rPr>
        <w:t>成交供应商的磋商保证金,在成交供应商与采购人签订采购合同并执行了缴交成交服务费的规定后5个工作日内不计利息原额退还。</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15.6 若有下列情况之一，磋商保证金将被没收，因此而造成采购人的损失须由供应商承担：</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 供应商在磋商文件规定的报价有效期内撤回其响应文件；</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 成交后无正当理由不与采购人签订合同的；</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 成交供应商在规定期限内未能按本须知的规定提交履约保证金（如有）；</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4) 成交后未按磋商文件中的规定缴付成交服务费；</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5) 有违反国家有关法律法规的行为。</w:t>
      </w:r>
    </w:p>
    <w:p>
      <w:pPr>
        <w:tabs>
          <w:tab w:val="left" w:pos="567"/>
        </w:tabs>
        <w:spacing w:line="300" w:lineRule="auto"/>
        <w:ind w:left="500" w:leftChars="238"/>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3" w:name="_Toc14939"/>
      <w:bookmarkStart w:id="134" w:name="_Toc464632125"/>
      <w:r>
        <w:rPr>
          <w:rFonts w:hint="eastAsia" w:hAnsi="宋体"/>
          <w:color w:val="000000" w:themeColor="text1"/>
          <w:highlight w:val="none"/>
        </w:rPr>
        <w:t>六、响应文件的份数、封装和递交</w:t>
      </w:r>
      <w:bookmarkEnd w:id="133"/>
      <w:bookmarkEnd w:id="134"/>
    </w:p>
    <w:p>
      <w:pPr>
        <w:autoSpaceDE w:val="0"/>
        <w:autoSpaceDN w:val="0"/>
        <w:adjustRightInd w:val="0"/>
        <w:snapToGrid w:val="0"/>
        <w:spacing w:line="300" w:lineRule="auto"/>
        <w:ind w:left="420" w:right="32" w:hanging="420" w:hangingChars="200"/>
        <w:rPr>
          <w:rFonts w:ascii="宋体" w:hAnsi="宋体"/>
          <w:color w:val="000000" w:themeColor="text1"/>
          <w:szCs w:val="21"/>
          <w:highlight w:val="none"/>
        </w:rPr>
      </w:pPr>
      <w:r>
        <w:rPr>
          <w:rFonts w:hint="eastAsia" w:ascii="宋体" w:hAnsi="宋体"/>
          <w:color w:val="000000" w:themeColor="text1"/>
          <w:szCs w:val="21"/>
          <w:highlight w:val="none"/>
        </w:rPr>
        <w:t>16.  响应文件的数量和签署</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16.1 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16.2 响应文件的正本需打印或用不褪色墨水书写，并由法定代表人（负责人）或经其正式授权的代表签字。授权代表须出具书面授权证明，其《法定代表人（负责人）授权书》应附在响应文件中。</w:t>
      </w:r>
    </w:p>
    <w:p>
      <w:pPr>
        <w:pStyle w:val="25"/>
        <w:adjustRightInd w:val="0"/>
        <w:snapToGrid w:val="0"/>
        <w:spacing w:line="300" w:lineRule="auto"/>
        <w:ind w:left="473" w:hanging="472" w:hangingChars="225"/>
        <w:rPr>
          <w:rFonts w:hAnsi="宋体"/>
          <w:color w:val="000000" w:themeColor="text1"/>
          <w:kern w:val="0"/>
          <w:highlight w:val="none"/>
        </w:rPr>
      </w:pPr>
      <w:r>
        <w:rPr>
          <w:rFonts w:hint="eastAsia" w:hAnsi="宋体"/>
          <w:color w:val="000000" w:themeColor="text1"/>
          <w:kern w:val="0"/>
          <w:highlight w:val="none"/>
        </w:rPr>
        <w:t>16.3 响应文件中的任何重要的插字、涂改和增删，必须由法定代表人（负责人）或经其正式授权的代表在旁边签章或签字才有效。</w:t>
      </w:r>
    </w:p>
    <w:p>
      <w:pPr>
        <w:tabs>
          <w:tab w:val="left" w:pos="8280"/>
        </w:tabs>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kern w:val="0"/>
          <w:szCs w:val="21"/>
          <w:highlight w:val="none"/>
        </w:rPr>
        <w:t>16.4 响应文件的报价有效期为从报价截止日起</w:t>
      </w:r>
      <w:r>
        <w:rPr>
          <w:rFonts w:hint="eastAsia" w:ascii="宋体" w:hAnsi="宋体"/>
          <w:color w:val="000000" w:themeColor="text1"/>
          <w:kern w:val="0"/>
          <w:szCs w:val="21"/>
          <w:highlight w:val="none"/>
          <w:u w:val="single"/>
        </w:rPr>
        <w:t>90天</w:t>
      </w:r>
      <w:r>
        <w:rPr>
          <w:rFonts w:hint="eastAsia" w:ascii="宋体" w:hAnsi="宋体"/>
          <w:color w:val="000000" w:themeColor="text1"/>
          <w:kern w:val="0"/>
          <w:szCs w:val="21"/>
          <w:highlight w:val="none"/>
        </w:rPr>
        <w:t>。</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  响应文件的递交</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17.1 所有响应文件应于规定的截止时点前递交到采购代理机构。</w:t>
      </w:r>
    </w:p>
    <w:p>
      <w:pPr>
        <w:autoSpaceDE w:val="0"/>
        <w:autoSpaceDN w:val="0"/>
        <w:adjustRightInd w:val="0"/>
        <w:snapToGrid w:val="0"/>
        <w:spacing w:line="300" w:lineRule="auto"/>
        <w:ind w:left="420" w:right="32"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17.2 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p>
    <w:p>
      <w:pPr>
        <w:pStyle w:val="25"/>
        <w:adjustRightInd w:val="0"/>
        <w:snapToGrid w:val="0"/>
        <w:spacing w:line="300" w:lineRule="auto"/>
        <w:outlineLvl w:val="1"/>
        <w:rPr>
          <w:rFonts w:hAnsi="宋体"/>
          <w:color w:val="000000" w:themeColor="text1"/>
          <w:highlight w:val="none"/>
        </w:rPr>
      </w:pPr>
      <w:bookmarkStart w:id="135" w:name="_Toc464632126"/>
      <w:bookmarkStart w:id="136" w:name="_Toc7347"/>
      <w:r>
        <w:rPr>
          <w:rFonts w:hint="eastAsia" w:hAnsi="宋体"/>
          <w:color w:val="000000" w:themeColor="text1"/>
          <w:highlight w:val="none"/>
        </w:rPr>
        <w:t>七、磋商的步骤</w:t>
      </w:r>
      <w:bookmarkEnd w:id="135"/>
      <w:bookmarkEnd w:id="136"/>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  磋商文件的澄清</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18.2供应商在规定的时间内未要求对磋商文件澄清或提出疑问的，采购代理机构将视其为无异议。对磋商文件中描述有歧意或前后不一致的地方，磋商小组有权进行评判，但对同一条款的评判应适用于每个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  磋商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19.1磋商小组成员从相关专家库随机抽取产生。磋商小组对所有响应文件进行资格性审查和符合性审查。所有符合相应资格条件的供应商参加磋商。</w:t>
      </w:r>
    </w:p>
    <w:p>
      <w:pPr>
        <w:autoSpaceDE w:val="0"/>
        <w:autoSpaceDN w:val="0"/>
        <w:adjustRightInd w:val="0"/>
        <w:snapToGrid w:val="0"/>
        <w:spacing w:line="300" w:lineRule="auto"/>
        <w:ind w:right="32" w:firstLine="316" w:firstLineChars="150"/>
        <w:rPr>
          <w:rFonts w:ascii="宋体" w:hAnsi="宋体"/>
          <w:b/>
          <w:color w:val="000000" w:themeColor="text1"/>
          <w:szCs w:val="21"/>
          <w:highlight w:val="none"/>
        </w:rPr>
      </w:pPr>
      <w:r>
        <w:rPr>
          <w:rFonts w:hint="eastAsia" w:ascii="宋体" w:hAnsi="宋体"/>
          <w:b/>
          <w:color w:val="000000" w:themeColor="text1"/>
          <w:szCs w:val="21"/>
          <w:highlight w:val="none"/>
        </w:rPr>
        <w:t>在资格性审查、符合性检查时，如发现下列情形之一的，响应文件将被视为</w:t>
      </w:r>
      <w:r>
        <w:rPr>
          <w:rFonts w:hint="eastAsia" w:ascii="宋体" w:hAnsi="宋体"/>
          <w:b/>
          <w:color w:val="000000" w:themeColor="text1"/>
          <w:kern w:val="0"/>
          <w:szCs w:val="21"/>
          <w:highlight w:val="none"/>
        </w:rPr>
        <w:t>响应无效</w:t>
      </w:r>
      <w:r>
        <w:rPr>
          <w:rFonts w:hint="eastAsia" w:ascii="宋体" w:hAnsi="宋体"/>
          <w:b/>
          <w:color w:val="000000" w:themeColor="text1"/>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1)供应商未提交磋商保证金或金额不足、磋商保证金提交形式不符合磋商文件要求的；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2)</w:t>
      </w:r>
      <w:r>
        <w:rPr>
          <w:rFonts w:hint="eastAsia" w:ascii="宋体" w:hAnsi="宋体"/>
          <w:color w:val="000000" w:themeColor="text1"/>
          <w:szCs w:val="21"/>
          <w:highlight w:val="none"/>
        </w:rPr>
        <w:t>投标下浮率不符合招标文件规定的</w:t>
      </w:r>
      <w:r>
        <w:rPr>
          <w:rFonts w:hint="eastAsia" w:ascii="宋体" w:hAnsi="宋体"/>
          <w:color w:val="000000" w:themeColor="text1"/>
          <w:kern w:val="0"/>
          <w:szCs w:val="21"/>
          <w:highlight w:val="none"/>
        </w:rPr>
        <w:t>；</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3)响应文件或资格证明文件未提供或不符合磋商文件要求的；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4)不具备磋商文件中规定资格要求的；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5)未按照磋商文件规定要求签署、盖章的；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6)响应文件无法定代表人（负责人）签字或签字人无法定代表人（负责人）有效授权的；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7)参加政府采购活动前三年内，在经营活动中有重大违法记录的；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8)响应文件对磋商文件的实质性技术与商务的（即标注*号条款）条款产生偏离的。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9)符合磋商文件中规定的被确定为响应无效的其它条款的。</w:t>
      </w:r>
    </w:p>
    <w:p>
      <w:pPr>
        <w:tabs>
          <w:tab w:val="left" w:pos="567"/>
        </w:tabs>
        <w:spacing w:line="300" w:lineRule="auto"/>
        <w:ind w:firstLine="525" w:firstLineChars="250"/>
        <w:rPr>
          <w:rFonts w:ascii="宋体" w:hAnsi="宋体"/>
          <w:color w:val="000000" w:themeColor="text1"/>
          <w:kern w:val="0"/>
          <w:szCs w:val="21"/>
          <w:highlight w:val="none"/>
        </w:rPr>
      </w:pPr>
      <w:r>
        <w:rPr>
          <w:rFonts w:hint="eastAsia" w:ascii="宋体" w:hAnsi="宋体"/>
          <w:color w:val="000000" w:themeColor="text1"/>
          <w:kern w:val="0"/>
          <w:szCs w:val="21"/>
          <w:highlight w:val="none"/>
        </w:rPr>
        <w:t>10)不符合法律、法规规定的其他实质性要求的。</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19.2磋商小组成员根据磋商文件规定的评审程序、评审方法和评审标准进行独立评审。未实质性响应磋商文件的响应文件按无效响应处理，磋商小组应当告知提交响应文件的供应商。如实质性响应的供应商不足3家，应当终止磋商采购活动。</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19.3磋商小组与单一供应商围绕技术、商务、合同条款等内容分别进行磋商。在磋商过程中，磋商小组应当严格遵循保密原则，未经供应商同意不得向任何人透露当事人技术、价格和其他重要信息。</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19.6磋商小组要求供应商澄清、说明或者更正响应文件应当以书面形式作出。供应商的澄清、说明或者更正应当由法定代表人（负责人）或其授权代表签字或者加盖公章。由授权代表签字的，应当附法定代表人（负责人）授权书。供应商为自然人的，应当由本人签字并附身份证明。</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19.7最终报价：磋商结束后，所有作出实质性响应的有效供应商应在规定的时间内集中密封提交最终报价（最终报价时间视磋商进程由磋商小组决定）。除非在磋商中磋商小组调整或修改采购需求内容，否则采购人不接受高于前面轮次磋商报价的最终报价。对成交供应商的价格出现明显低于或高于同业同期市场平均价的情形时，磋商小组应当在评审意见中详细说明推荐理由。</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19.8代理机构对磋商过程和重要磋商内容进行记录。</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19.9 经磋商确定最终采购需求和提交最后报价的供应商后，由磋商小组采用评审方法</w:t>
      </w:r>
      <w:r>
        <w:rPr>
          <w:rFonts w:hint="eastAsia" w:hAnsi="宋体"/>
          <w:color w:val="000000" w:themeColor="text1"/>
          <w:szCs w:val="21"/>
          <w:highlight w:val="none"/>
        </w:rPr>
        <w:t>详见</w:t>
      </w:r>
      <w:r>
        <w:rPr>
          <w:rFonts w:hint="eastAsia" w:hAnsi="宋体"/>
          <w:color w:val="000000" w:themeColor="text1"/>
          <w:kern w:val="0"/>
          <w:szCs w:val="21"/>
          <w:highlight w:val="none"/>
        </w:rPr>
        <w:t>《</w:t>
      </w:r>
      <w:r>
        <w:rPr>
          <w:rFonts w:hint="eastAsia" w:hAnsi="宋体"/>
          <w:color w:val="000000" w:themeColor="text1"/>
          <w:szCs w:val="21"/>
          <w:highlight w:val="none"/>
        </w:rPr>
        <w:t>第四部分</w:t>
      </w:r>
      <w:r>
        <w:rPr>
          <w:rFonts w:hAnsi="宋体" w:cs="宋体"/>
          <w:color w:val="000000" w:themeColor="text1"/>
          <w:szCs w:val="21"/>
          <w:highlight w:val="none"/>
        </w:rPr>
        <w:t>磋商、评审、成交</w:t>
      </w:r>
      <w:r>
        <w:rPr>
          <w:rFonts w:hint="eastAsia" w:hAnsi="宋体"/>
          <w:color w:val="000000" w:themeColor="text1"/>
          <w:kern w:val="0"/>
          <w:szCs w:val="21"/>
          <w:highlight w:val="none"/>
        </w:rPr>
        <w:t>》</w:t>
      </w:r>
      <w:r>
        <w:rPr>
          <w:rFonts w:hint="eastAsia" w:hAnsi="宋体"/>
          <w:color w:val="000000" w:themeColor="text1"/>
          <w:szCs w:val="21"/>
          <w:highlight w:val="none"/>
        </w:rPr>
        <w:t>:</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1)商务评审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2)技术评审</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color w:val="000000" w:themeColor="text1"/>
          <w:kern w:val="0"/>
          <w:szCs w:val="21"/>
          <w:highlight w:val="none"/>
        </w:rPr>
      </w:pPr>
      <w:r>
        <w:rPr>
          <w:rFonts w:hint="eastAsia" w:ascii="宋体" w:hAnsi="宋体"/>
          <w:color w:val="000000" w:themeColor="text1"/>
          <w:kern w:val="0"/>
          <w:szCs w:val="21"/>
          <w:highlight w:val="none"/>
        </w:rPr>
        <w:t>评分标准（公式）：磋商报价得分＝</w:t>
      </w:r>
      <w:r>
        <w:rPr>
          <w:rFonts w:ascii="宋体" w:hAnsi="宋体"/>
          <w:color w:val="000000" w:themeColor="text1"/>
          <w:kern w:val="0"/>
          <w:szCs w:val="21"/>
          <w:highlight w:val="none"/>
        </w:rPr>
        <w:fldChar w:fldCharType="begin"/>
      </w:r>
      <w:r>
        <w:rPr>
          <w:rFonts w:ascii="宋体" w:hAnsi="宋体"/>
          <w:color w:val="000000" w:themeColor="text1"/>
          <w:kern w:val="0"/>
          <w:szCs w:val="21"/>
          <w:highlight w:val="none"/>
        </w:rPr>
        <w:instrText xml:space="preserve"> EQ \F(</w:instrText>
      </w:r>
      <w:r>
        <w:rPr>
          <w:rFonts w:hint="eastAsia" w:ascii="宋体" w:hAnsi="宋体"/>
          <w:color w:val="000000" w:themeColor="text1"/>
          <w:kern w:val="0"/>
          <w:szCs w:val="21"/>
          <w:highlight w:val="none"/>
        </w:rPr>
        <w:instrText xml:space="preserve">磋商基准价</w:instrText>
      </w:r>
      <w:r>
        <w:rPr>
          <w:rFonts w:ascii="宋体" w:hAnsi="宋体"/>
          <w:color w:val="000000" w:themeColor="text1"/>
          <w:kern w:val="0"/>
          <w:szCs w:val="21"/>
          <w:highlight w:val="none"/>
        </w:rPr>
        <w:instrText xml:space="preserve">,</w:instrText>
      </w:r>
      <w:r>
        <w:rPr>
          <w:rFonts w:hint="eastAsia" w:ascii="宋体" w:hAnsi="宋体"/>
          <w:color w:val="000000" w:themeColor="text1"/>
          <w:highlight w:val="none"/>
        </w:rPr>
        <w:instrText xml:space="preserve"> </w:instrText>
      </w:r>
      <w:r>
        <w:rPr>
          <w:rFonts w:hint="eastAsia" w:ascii="宋体" w:hAnsi="宋体"/>
          <w:color w:val="000000" w:themeColor="text1"/>
          <w:kern w:val="0"/>
          <w:szCs w:val="21"/>
          <w:highlight w:val="none"/>
        </w:rPr>
        <w:instrText xml:space="preserve">最后磋商报价</w:instrText>
      </w:r>
      <w:r>
        <w:rPr>
          <w:rFonts w:ascii="宋体" w:hAnsi="宋体"/>
          <w:color w:val="000000" w:themeColor="text1"/>
          <w:kern w:val="0"/>
          <w:szCs w:val="21"/>
          <w:highlight w:val="none"/>
        </w:rPr>
        <w:instrText xml:space="preserve">) </w:instrText>
      </w:r>
      <w:r>
        <w:rPr>
          <w:rFonts w:ascii="宋体" w:hAnsi="宋体"/>
          <w:color w:val="000000" w:themeColor="text1"/>
          <w:kern w:val="0"/>
          <w:szCs w:val="21"/>
          <w:highlight w:val="none"/>
        </w:rPr>
        <w:fldChar w:fldCharType="end"/>
      </w:r>
      <w:r>
        <w:rPr>
          <w:rFonts w:hint="eastAsia" w:ascii="宋体" w:hAnsi="宋体"/>
          <w:color w:val="000000" w:themeColor="text1"/>
          <w:kern w:val="0"/>
          <w:szCs w:val="21"/>
          <w:highlight w:val="none"/>
        </w:rPr>
        <w:t>×价格分值</w:t>
      </w:r>
    </w:p>
    <w:p>
      <w:pPr>
        <w:pStyle w:val="45"/>
        <w:widowControl w:val="0"/>
        <w:spacing w:before="0" w:beforeAutospacing="0" w:after="0" w:afterAutospacing="0" w:line="300" w:lineRule="auto"/>
        <w:ind w:left="840" w:leftChars="400" w:right="657" w:rightChars="313"/>
        <w:rPr>
          <w:color w:val="000000" w:themeColor="text1"/>
          <w:sz w:val="21"/>
          <w:szCs w:val="21"/>
          <w:highlight w:val="none"/>
        </w:rPr>
      </w:pPr>
      <w:r>
        <w:rPr>
          <w:rFonts w:hint="eastAsia"/>
          <w:iCs/>
          <w:color w:val="000000" w:themeColor="text1"/>
          <w:szCs w:val="21"/>
          <w:highlight w:val="none"/>
        </w:rPr>
        <w:t>备注：</w:t>
      </w:r>
      <w:r>
        <w:rPr>
          <w:rFonts w:hint="eastAsia"/>
          <w:color w:val="000000" w:themeColor="text1"/>
          <w:sz w:val="21"/>
          <w:szCs w:val="21"/>
          <w:highlight w:val="none"/>
        </w:rPr>
        <w:t>1、价格修正：投标人的投标报价中经磋商小组确定为供货范围（包括货物、工程和服务）缺漏项，而进行调整的，调整价为该项目在其他有效投标中的最高报价。</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2、磋商小组将按照上述修正错误的方法调整该投标人的投标文件中的投标报价，调整后的价格对投标人具有约束力。如果投标人不接受修正后的投标价格，则其投标将被拒绝。</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根据《政府采购促进中小企业发展暂行办法》（财库【2011】181号）的相关规定：对于非专门面向中小企业的项目，采购人或者采购代理机构应当在招标文件或者磋商文件、询价文件中作出规定，对小型和微型企业产品的价格给予6%-10%的扣除，用扣除后的价格参与评审，具体扣除比例由采购人或者采购代理机构确定。采购人确定本采购项目对小型和微型企业产品的价格给予6%的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3.1中小企业划分标准以《工业和信息化部、国家统计局、国家发展和改革委员会、财政部关于印发中小企业划型标准规定的通知》（工信部联企业[2011]300号）规定的划分标准为准。</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3.2小型、微型企业提供中型企业制造的货物的，视同为中型企业。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3.3参加政府采购活动的中小企业应当提供《中小企业声明函》（格式见第五部分投标文件格式），如投标人为非制造商，其代理产品的制造商也应同时提交《中小企业声明函》，否则评审时不能享受相应的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4、监狱企业视同小型、微型企业，享受评审中价格扣除。</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45"/>
        <w:widowControl w:val="0"/>
        <w:spacing w:before="0" w:beforeAutospacing="0" w:after="0" w:afterAutospacing="0" w:line="300" w:lineRule="auto"/>
        <w:ind w:left="840" w:leftChars="400" w:right="657" w:rightChars="313" w:firstLine="420" w:firstLineChars="200"/>
        <w:rPr>
          <w:color w:val="000000" w:themeColor="text1"/>
          <w:sz w:val="21"/>
          <w:szCs w:val="21"/>
          <w:highlight w:val="none"/>
        </w:rPr>
      </w:pPr>
      <w:r>
        <w:rPr>
          <w:rFonts w:hint="eastAsia"/>
          <w:color w:val="000000" w:themeColor="text1"/>
          <w:sz w:val="21"/>
          <w:szCs w:val="21"/>
          <w:highlight w:val="none"/>
        </w:rPr>
        <w:t>4.2.监狱企业参加政府采购活动时，应当提供由省级以上监狱管理局、戒毒管理局（含新疆生产建设兵团）出具的属于监狱企业的证明文件，否则不予认可。</w:t>
      </w:r>
    </w:p>
    <w:p>
      <w:pPr>
        <w:tabs>
          <w:tab w:val="left" w:pos="1022"/>
        </w:tabs>
        <w:spacing w:line="300" w:lineRule="auto"/>
        <w:ind w:left="464" w:leftChars="221" w:right="657" w:rightChars="313" w:firstLine="735" w:firstLineChars="350"/>
        <w:jc w:val="left"/>
        <w:rPr>
          <w:rFonts w:ascii="宋体" w:hAnsi="宋体" w:cs="宋体"/>
          <w:i/>
          <w:iCs/>
          <w:color w:val="000000" w:themeColor="text1"/>
          <w:kern w:val="0"/>
          <w:szCs w:val="21"/>
          <w:highlight w:val="none"/>
        </w:rPr>
      </w:pPr>
      <w:r>
        <w:rPr>
          <w:rFonts w:hint="eastAsia" w:ascii="宋体" w:hAnsi="宋体"/>
          <w:color w:val="000000" w:themeColor="text1"/>
          <w:szCs w:val="21"/>
          <w:highlight w:val="none"/>
        </w:rPr>
        <w:t>5.投标人同时为小型、微型企业和监狱企业的，评审中只享受一次价格扣除。不重复进行价格扣除。</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19.10推荐成交候选人：</w:t>
      </w:r>
      <w:r>
        <w:rPr>
          <w:rFonts w:hint="eastAsia" w:hAnsi="宋体"/>
          <w:color w:val="000000" w:themeColor="text1"/>
          <w:kern w:val="0"/>
          <w:highlight w:val="none"/>
        </w:rPr>
        <w:t>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w:t>
      </w:r>
      <w:r>
        <w:rPr>
          <w:rFonts w:hint="eastAsia" w:hAnsi="宋体"/>
          <w:color w:val="000000" w:themeColor="text1"/>
          <w:highlight w:val="none"/>
        </w:rPr>
        <w:t>将综合得分从高到低排序，得出</w:t>
      </w:r>
      <w:r>
        <w:rPr>
          <w:rFonts w:hint="eastAsia" w:hAnsi="宋体"/>
          <w:color w:val="000000" w:themeColor="text1"/>
          <w:kern w:val="0"/>
          <w:highlight w:val="none"/>
        </w:rPr>
        <w:t>供应商</w:t>
      </w:r>
      <w:r>
        <w:rPr>
          <w:rFonts w:hint="eastAsia" w:hAnsi="宋体"/>
          <w:color w:val="000000" w:themeColor="text1"/>
          <w:highlight w:val="none"/>
        </w:rPr>
        <w:t>名次（</w:t>
      </w:r>
      <w:r>
        <w:rPr>
          <w:rFonts w:hAnsi="宋体"/>
          <w:color w:val="000000" w:themeColor="text1"/>
          <w:highlight w:val="none"/>
        </w:rPr>
        <w:t>得分相同的，按</w:t>
      </w:r>
      <w:r>
        <w:rPr>
          <w:rFonts w:hint="eastAsia" w:hAnsi="宋体"/>
          <w:color w:val="000000" w:themeColor="text1"/>
          <w:highlight w:val="none"/>
        </w:rPr>
        <w:t>最后</w:t>
      </w:r>
      <w:r>
        <w:rPr>
          <w:rFonts w:hAnsi="宋体"/>
          <w:color w:val="000000" w:themeColor="text1"/>
          <w:highlight w:val="none"/>
        </w:rPr>
        <w:t>报价由低到高顺序排列</w:t>
      </w:r>
      <w:r>
        <w:rPr>
          <w:rFonts w:hint="eastAsia" w:hAnsi="宋体"/>
          <w:color w:val="000000" w:themeColor="text1"/>
          <w:highlight w:val="none"/>
        </w:rPr>
        <w:t>；</w:t>
      </w:r>
      <w:r>
        <w:rPr>
          <w:rFonts w:hAnsi="宋体"/>
          <w:color w:val="000000" w:themeColor="text1"/>
          <w:highlight w:val="none"/>
        </w:rPr>
        <w:t>得分且</w:t>
      </w:r>
      <w:r>
        <w:rPr>
          <w:rFonts w:hint="eastAsia" w:hAnsi="宋体"/>
          <w:color w:val="000000" w:themeColor="text1"/>
          <w:highlight w:val="none"/>
        </w:rPr>
        <w:t>最后</w:t>
      </w:r>
      <w:r>
        <w:rPr>
          <w:rFonts w:hAnsi="宋体"/>
          <w:color w:val="000000" w:themeColor="text1"/>
          <w:highlight w:val="none"/>
        </w:rPr>
        <w:t>报价相同的，按</w:t>
      </w:r>
      <w:r>
        <w:rPr>
          <w:rFonts w:hint="eastAsia" w:hAnsi="宋体"/>
          <w:color w:val="000000" w:themeColor="text1"/>
          <w:highlight w:val="none"/>
        </w:rPr>
        <w:t>技术</w:t>
      </w:r>
      <w:r>
        <w:rPr>
          <w:rFonts w:hAnsi="宋体"/>
          <w:color w:val="000000" w:themeColor="text1"/>
          <w:highlight w:val="none"/>
        </w:rPr>
        <w:t>优劣顺序排列</w:t>
      </w:r>
      <w:r>
        <w:rPr>
          <w:rFonts w:hint="eastAsia" w:hAnsi="宋体"/>
          <w:color w:val="000000" w:themeColor="text1"/>
          <w:highlight w:val="none"/>
        </w:rPr>
        <w:t>），推荐 3 名成交候选人。</w:t>
      </w:r>
    </w:p>
    <w:p>
      <w:pPr>
        <w:pStyle w:val="25"/>
        <w:adjustRightInd w:val="0"/>
        <w:snapToGrid w:val="0"/>
        <w:spacing w:line="300" w:lineRule="auto"/>
        <w:ind w:left="420" w:hanging="420" w:hangingChars="200"/>
        <w:rPr>
          <w:rFonts w:hAnsi="宋体"/>
          <w:color w:val="000000" w:themeColor="text1"/>
          <w:highlight w:val="none"/>
        </w:rPr>
      </w:pPr>
    </w:p>
    <w:p>
      <w:pPr>
        <w:pStyle w:val="25"/>
        <w:adjustRightInd w:val="0"/>
        <w:snapToGrid w:val="0"/>
        <w:spacing w:line="300" w:lineRule="auto"/>
        <w:outlineLvl w:val="1"/>
        <w:rPr>
          <w:rFonts w:hAnsi="宋体"/>
          <w:color w:val="000000" w:themeColor="text1"/>
          <w:highlight w:val="none"/>
        </w:rPr>
      </w:pPr>
      <w:bookmarkStart w:id="137" w:name="_Toc464632127"/>
      <w:bookmarkStart w:id="138" w:name="_Toc23987"/>
      <w:r>
        <w:rPr>
          <w:rFonts w:hint="eastAsia" w:hAnsi="宋体"/>
          <w:color w:val="000000" w:themeColor="text1"/>
          <w:highlight w:val="none"/>
        </w:rPr>
        <w:t>八、确定成交供应商办法</w:t>
      </w:r>
      <w:bookmarkEnd w:id="137"/>
      <w:bookmarkEnd w:id="138"/>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  确定成交供应商</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20.1磋商小组根据综合评分情况，按照评审得分由高到低顺序推荐成交候选供应商，并编写评审报告。</w:t>
      </w:r>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 xml:space="preserve">20.2 </w:t>
      </w:r>
      <w:r>
        <w:rPr>
          <w:rFonts w:hint="eastAsia" w:ascii="宋体" w:hAnsi="宋体"/>
          <w:color w:val="000000" w:themeColor="text1"/>
          <w:kern w:val="0"/>
          <w:szCs w:val="21"/>
          <w:highlight w:val="none"/>
        </w:rPr>
        <w:t>成交供应商确定后，</w:t>
      </w:r>
      <w:r>
        <w:rPr>
          <w:rFonts w:hint="eastAsia" w:ascii="宋体" w:hAnsi="宋体"/>
          <w:color w:val="000000" w:themeColor="text1"/>
          <w:szCs w:val="21"/>
          <w:highlight w:val="none"/>
        </w:rPr>
        <w:t>成交结果将于指定媒体公告：</w:t>
      </w:r>
      <w:r>
        <w:rPr>
          <w:rFonts w:hint="eastAsia" w:ascii="黑体" w:eastAsia="黑体"/>
          <w:bCs/>
          <w:color w:val="000000" w:themeColor="text1"/>
          <w:highlight w:val="none"/>
        </w:rPr>
        <w:t>详见第三部份《磋商须知〈投标人须知前附表〉》</w:t>
      </w:r>
      <w:r>
        <w:rPr>
          <w:rFonts w:hint="eastAsia" w:ascii="宋体" w:hAnsi="宋体"/>
          <w:color w:val="000000" w:themeColor="text1"/>
          <w:szCs w:val="21"/>
          <w:highlight w:val="none"/>
        </w:rPr>
        <w:t>。发布成交结果公告的同时，代理采购机构向成交</w:t>
      </w:r>
      <w:r>
        <w:rPr>
          <w:rFonts w:hint="eastAsia" w:ascii="宋体" w:hAnsi="宋体"/>
          <w:color w:val="000000" w:themeColor="text1"/>
          <w:kern w:val="0"/>
          <w:szCs w:val="21"/>
          <w:highlight w:val="none"/>
        </w:rPr>
        <w:t>供应商</w:t>
      </w:r>
      <w:r>
        <w:rPr>
          <w:rFonts w:hint="eastAsia" w:ascii="宋体" w:hAnsi="宋体"/>
          <w:color w:val="000000" w:themeColor="text1"/>
          <w:szCs w:val="21"/>
          <w:highlight w:val="none"/>
        </w:rPr>
        <w:t>发出成交通知书。</w:t>
      </w:r>
    </w:p>
    <w:p>
      <w:pPr>
        <w:pStyle w:val="25"/>
        <w:adjustRightInd w:val="0"/>
        <w:snapToGrid w:val="0"/>
        <w:spacing w:line="300" w:lineRule="auto"/>
        <w:ind w:left="420" w:hanging="420" w:hangingChars="200"/>
        <w:rPr>
          <w:rFonts w:hAnsi="宋体"/>
          <w:color w:val="000000" w:themeColor="text1"/>
          <w:highlight w:val="none"/>
        </w:rPr>
      </w:pPr>
      <w:r>
        <w:rPr>
          <w:rFonts w:hint="eastAsia" w:hAnsi="宋体"/>
          <w:color w:val="000000" w:themeColor="text1"/>
          <w:highlight w:val="none"/>
        </w:rPr>
        <w:t>21. 替补候选人的设定与使用。</w:t>
      </w:r>
      <w:r>
        <w:rPr>
          <w:rFonts w:hint="eastAsia" w:hAnsi="宋体"/>
          <w:color w:val="000000" w:themeColor="text1"/>
          <w:kern w:val="0"/>
          <w:highlight w:val="none"/>
        </w:rPr>
        <w:t>成交供应商放弃成交、不按要求与采购人签订政府采购合同、因不可抗拒力或自身原因不能履行政府采购合同的，经本项目</w:t>
      </w:r>
      <w:r>
        <w:rPr>
          <w:rFonts w:hint="eastAsia" w:hAnsi="宋体"/>
          <w:color w:val="000000" w:themeColor="text1"/>
          <w:highlight w:val="none"/>
        </w:rPr>
        <w:t>监管部门批准后，</w:t>
      </w:r>
      <w:r>
        <w:rPr>
          <w:rFonts w:hint="eastAsia" w:hAnsi="宋体"/>
          <w:color w:val="000000" w:themeColor="text1"/>
          <w:kern w:val="0"/>
          <w:highlight w:val="none"/>
        </w:rPr>
        <w:t>采购人可以与排位在成交供应商之后第一位的成交候选人签订政府采购合同，以此类推，或者重新进行组织采购。</w:t>
      </w:r>
    </w:p>
    <w:p>
      <w:pPr>
        <w:tabs>
          <w:tab w:val="left" w:pos="0"/>
        </w:tabs>
        <w:adjustRightInd w:val="0"/>
        <w:snapToGrid w:val="0"/>
        <w:spacing w:line="300" w:lineRule="auto"/>
        <w:ind w:left="540" w:hanging="539" w:hangingChars="257"/>
        <w:rPr>
          <w:rFonts w:ascii="宋体" w:hAnsi="宋体"/>
          <w:color w:val="000000" w:themeColor="text1"/>
          <w:kern w:val="0"/>
          <w:szCs w:val="21"/>
          <w:highlight w:val="none"/>
        </w:rPr>
      </w:pPr>
      <w:r>
        <w:rPr>
          <w:rFonts w:hint="eastAsia" w:ascii="宋体" w:hAnsi="宋体"/>
          <w:color w:val="000000" w:themeColor="text1"/>
          <w:kern w:val="0"/>
          <w:szCs w:val="21"/>
          <w:highlight w:val="none"/>
        </w:rPr>
        <w:t>22. 项目响应无效处理</w:t>
      </w:r>
    </w:p>
    <w:p>
      <w:pPr>
        <w:spacing w:line="300" w:lineRule="auto"/>
        <w:ind w:left="420" w:hanging="420" w:hanging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22.1 根据《政府采购法》、《政府采购竞争性磋商采购方式管理暂行办法》相关规定，下列情况出现将被确定为响应无效：</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 xml:space="preserve">2) 出现影响采购公正的违法、违规行为的； </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3) 供应商的报价均超过了采购预算，采购人不能支付的；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4) 因重大变故，采购任务取消的。</w:t>
      </w:r>
    </w:p>
    <w:p>
      <w:pPr>
        <w:tabs>
          <w:tab w:val="left" w:pos="540"/>
        </w:tabs>
        <w:spacing w:line="300" w:lineRule="auto"/>
        <w:ind w:left="420" w:leftChars="200"/>
        <w:rPr>
          <w:rFonts w:ascii="宋体" w:hAnsi="宋体"/>
          <w:color w:val="000000" w:themeColor="text1"/>
          <w:kern w:val="0"/>
          <w:szCs w:val="21"/>
          <w:highlight w:val="none"/>
        </w:rPr>
      </w:pPr>
      <w:r>
        <w:rPr>
          <w:rFonts w:hint="eastAsia" w:ascii="宋体" w:hAnsi="宋体"/>
          <w:color w:val="000000" w:themeColor="text1"/>
          <w:kern w:val="0"/>
          <w:szCs w:val="21"/>
          <w:highlight w:val="none"/>
        </w:rPr>
        <w:t>5)</w:t>
      </w:r>
      <w:r>
        <w:rPr>
          <w:rFonts w:hint="eastAsia" w:ascii="宋体" w:hAnsi="宋体"/>
          <w:color w:val="000000" w:themeColor="text1"/>
          <w:highlight w:val="none"/>
        </w:rPr>
        <w:t xml:space="preserve"> </w:t>
      </w:r>
      <w:r>
        <w:rPr>
          <w:rFonts w:hint="eastAsia" w:ascii="宋体" w:hAnsi="宋体"/>
          <w:color w:val="000000" w:themeColor="text1"/>
          <w:kern w:val="0"/>
          <w:szCs w:val="21"/>
          <w:highlight w:val="none"/>
        </w:rPr>
        <w:t>因情况变化，不再符合规定的竞争性磋商采购方式适用情形的；</w:t>
      </w:r>
    </w:p>
    <w:p>
      <w:pPr>
        <w:autoSpaceDE w:val="0"/>
        <w:autoSpaceDN w:val="0"/>
        <w:adjustRightInd w:val="0"/>
        <w:snapToGrid w:val="0"/>
        <w:spacing w:line="300" w:lineRule="auto"/>
        <w:ind w:left="473" w:right="32" w:hanging="472" w:hangingChars="225"/>
        <w:outlineLvl w:val="1"/>
        <w:rPr>
          <w:rFonts w:ascii="宋体" w:hAnsi="宋体"/>
          <w:color w:val="000000" w:themeColor="text1"/>
          <w:szCs w:val="21"/>
          <w:highlight w:val="none"/>
        </w:rPr>
      </w:pPr>
      <w:bookmarkStart w:id="139" w:name="_Toc464632128"/>
      <w:bookmarkStart w:id="140" w:name="_Toc11398"/>
      <w:r>
        <w:rPr>
          <w:rFonts w:hint="eastAsia" w:ascii="宋体" w:hAnsi="宋体"/>
          <w:color w:val="000000" w:themeColor="text1"/>
          <w:szCs w:val="21"/>
          <w:highlight w:val="none"/>
        </w:rPr>
        <w:t>九、质疑</w:t>
      </w:r>
      <w:bookmarkEnd w:id="139"/>
      <w:bookmarkEnd w:id="140"/>
    </w:p>
    <w:p>
      <w:pPr>
        <w:autoSpaceDE w:val="0"/>
        <w:autoSpaceDN w:val="0"/>
        <w:adjustRightInd w:val="0"/>
        <w:snapToGrid w:val="0"/>
        <w:spacing w:line="300" w:lineRule="auto"/>
        <w:ind w:left="473" w:right="32" w:hanging="472" w:hangingChars="225"/>
        <w:rPr>
          <w:rFonts w:ascii="宋体" w:hAnsi="宋体"/>
          <w:color w:val="000000" w:themeColor="text1"/>
          <w:kern w:val="0"/>
          <w:szCs w:val="21"/>
          <w:highlight w:val="none"/>
        </w:rPr>
      </w:pPr>
      <w:r>
        <w:rPr>
          <w:rFonts w:hint="eastAsia" w:ascii="宋体" w:hAnsi="宋体"/>
          <w:color w:val="000000" w:themeColor="text1"/>
          <w:szCs w:val="21"/>
          <w:highlight w:val="none"/>
        </w:rPr>
        <w:t>23. 如果供应商对此次采购活动有疑问，可依法向采购代理机构提出质疑。采购代理机构应当依法给与答复，并将结果告知有关当事人。</w:t>
      </w:r>
    </w:p>
    <w:p>
      <w:pPr>
        <w:spacing w:line="300" w:lineRule="auto"/>
        <w:outlineLvl w:val="1"/>
        <w:rPr>
          <w:rFonts w:ascii="宋体" w:hAnsi="宋体"/>
          <w:color w:val="000000" w:themeColor="text1"/>
          <w:szCs w:val="21"/>
          <w:highlight w:val="none"/>
        </w:rPr>
      </w:pPr>
      <w:bookmarkStart w:id="141" w:name="_Toc464632129"/>
      <w:bookmarkStart w:id="142" w:name="_Toc345675374"/>
      <w:bookmarkStart w:id="143" w:name="_Toc322033397"/>
      <w:bookmarkStart w:id="144" w:name="_Toc27844"/>
      <w:r>
        <w:rPr>
          <w:rFonts w:hint="eastAsia" w:ascii="宋体" w:hAnsi="宋体"/>
          <w:color w:val="000000" w:themeColor="text1"/>
          <w:szCs w:val="21"/>
          <w:highlight w:val="none"/>
        </w:rPr>
        <w:t>十、成交服务费</w:t>
      </w:r>
      <w:bookmarkEnd w:id="141"/>
      <w:bookmarkEnd w:id="142"/>
      <w:bookmarkEnd w:id="143"/>
      <w:bookmarkEnd w:id="144"/>
    </w:p>
    <w:p>
      <w:pPr>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24.  成交服务费:</w:t>
      </w:r>
      <w:r>
        <w:rPr>
          <w:rFonts w:hint="eastAsia" w:ascii="黑体" w:eastAsia="黑体"/>
          <w:bCs/>
          <w:color w:val="000000" w:themeColor="text1"/>
          <w:highlight w:val="none"/>
        </w:rPr>
        <w:t xml:space="preserve"> 详见第二部份《采购项目内容〈A 商务要求〉》</w:t>
      </w:r>
      <w:r>
        <w:rPr>
          <w:rFonts w:hint="eastAsia" w:ascii="宋体" w:hAnsi="宋体"/>
          <w:color w:val="000000" w:themeColor="text1"/>
          <w:szCs w:val="21"/>
          <w:highlight w:val="none"/>
        </w:rPr>
        <w:t>。</w:t>
      </w:r>
    </w:p>
    <w:p>
      <w:pPr>
        <w:spacing w:line="300" w:lineRule="auto"/>
        <w:outlineLvl w:val="1"/>
        <w:rPr>
          <w:rFonts w:ascii="宋体" w:hAnsi="宋体"/>
          <w:color w:val="000000" w:themeColor="text1"/>
          <w:szCs w:val="21"/>
          <w:highlight w:val="none"/>
        </w:rPr>
      </w:pPr>
      <w:bookmarkStart w:id="145" w:name="_Toc464632131"/>
      <w:bookmarkStart w:id="146" w:name="_Toc16211"/>
      <w:bookmarkStart w:id="147" w:name="_Toc536594109"/>
      <w:r>
        <w:rPr>
          <w:rFonts w:hint="eastAsia" w:ascii="宋体" w:hAnsi="宋体"/>
          <w:color w:val="000000" w:themeColor="text1"/>
          <w:szCs w:val="21"/>
          <w:highlight w:val="none"/>
        </w:rPr>
        <w:t>十一、合同的订立和履行</w:t>
      </w:r>
      <w:bookmarkEnd w:id="145"/>
      <w:bookmarkEnd w:id="146"/>
    </w:p>
    <w:bookmarkEnd w:id="147"/>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25.合同的订立</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25.1 采购人与成交供应商自成交通知书发出之日，按磋商文件要求和成交供应商竞争性磋商响应文件承诺签订政府采购合同，但不得超出磋商文件和成交供应商竞争性磋商响应文件的范围、也不得再行订立背离合同实质性内容的其他协议。</w:t>
      </w:r>
    </w:p>
    <w:p>
      <w:pPr>
        <w:spacing w:line="300" w:lineRule="auto"/>
        <w:ind w:left="567" w:leftChars="-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25.2 签订政府采购合同后7个工作日内，采购人应将政府采购合同副本报同级政府采购监督管理部门备案。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26. 合同的履行</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kern w:val="0"/>
          <w:szCs w:val="21"/>
          <w:highlight w:val="none"/>
        </w:rPr>
        <w:t>26.1 政府采购合同订立后，合同各方不得擅自变更、中止或者终止合同。政府采购合同</w:t>
      </w:r>
      <w:r>
        <w:rPr>
          <w:rFonts w:hint="eastAsia" w:ascii="宋体" w:hAnsi="宋体"/>
          <w:color w:val="000000" w:themeColor="text1"/>
          <w:szCs w:val="21"/>
          <w:highlight w:val="none"/>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26.2 政府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30" w:hanging="630" w:hangingChars="300"/>
        <w:rPr>
          <w:rFonts w:ascii="宋体" w:hAnsi="宋体"/>
          <w:color w:val="000000" w:themeColor="text1"/>
          <w:szCs w:val="21"/>
          <w:highlight w:val="none"/>
        </w:rPr>
      </w:pPr>
      <w:r>
        <w:rPr>
          <w:rFonts w:hint="eastAsia" w:ascii="宋体" w:hAnsi="宋体"/>
          <w:color w:val="000000" w:themeColor="text1"/>
          <w:szCs w:val="21"/>
          <w:highlight w:val="none"/>
        </w:rPr>
        <w:t>27.  发票</w:t>
      </w:r>
    </w:p>
    <w:p>
      <w:pPr>
        <w:spacing w:line="300" w:lineRule="auto"/>
        <w:ind w:left="567" w:hanging="567" w:hangingChars="270"/>
        <w:rPr>
          <w:rFonts w:ascii="宋体" w:hAnsi="宋体"/>
          <w:color w:val="000000" w:themeColor="text1"/>
          <w:szCs w:val="21"/>
          <w:highlight w:val="none"/>
        </w:rPr>
      </w:pPr>
      <w:r>
        <w:rPr>
          <w:rFonts w:hint="eastAsia" w:ascii="宋体" w:hAnsi="宋体"/>
          <w:color w:val="000000" w:themeColor="text1"/>
          <w:szCs w:val="21"/>
          <w:highlight w:val="none"/>
        </w:rPr>
        <w:t>27.1 该项目获得成交的成交供应商在执行合同过程中，向采购人出具的发票必须是由成交供应商开具，不得以其他单位或个人名义出具。</w:t>
      </w:r>
    </w:p>
    <w:p>
      <w:pPr>
        <w:spacing w:line="300" w:lineRule="auto"/>
        <w:outlineLvl w:val="1"/>
        <w:rPr>
          <w:rFonts w:ascii="宋体" w:hAnsi="宋体"/>
          <w:color w:val="000000" w:themeColor="text1"/>
          <w:szCs w:val="21"/>
          <w:highlight w:val="none"/>
        </w:rPr>
      </w:pPr>
      <w:bookmarkStart w:id="148" w:name="_Toc322033399"/>
      <w:bookmarkStart w:id="149" w:name="_Toc379"/>
      <w:bookmarkStart w:id="150" w:name="_Toc464632132"/>
      <w:bookmarkStart w:id="151" w:name="_Toc345675376"/>
      <w:r>
        <w:rPr>
          <w:rFonts w:hint="eastAsia" w:ascii="宋体" w:hAnsi="宋体"/>
          <w:color w:val="000000" w:themeColor="text1"/>
          <w:szCs w:val="21"/>
          <w:highlight w:val="none"/>
        </w:rPr>
        <w:t>十二、适用法律</w:t>
      </w:r>
      <w:bookmarkEnd w:id="148"/>
      <w:bookmarkEnd w:id="149"/>
      <w:bookmarkEnd w:id="150"/>
      <w:bookmarkEnd w:id="151"/>
    </w:p>
    <w:p>
      <w:pPr>
        <w:spacing w:line="300" w:lineRule="auto"/>
        <w:ind w:left="424" w:hanging="424" w:hangingChars="202"/>
        <w:rPr>
          <w:rFonts w:ascii="宋体" w:hAnsi="宋体"/>
          <w:color w:val="000000" w:themeColor="text1"/>
          <w:szCs w:val="21"/>
          <w:highlight w:val="none"/>
        </w:rPr>
      </w:pPr>
      <w:r>
        <w:rPr>
          <w:rFonts w:hint="eastAsia" w:ascii="宋体" w:hAnsi="宋体"/>
          <w:color w:val="000000" w:themeColor="text1"/>
          <w:szCs w:val="21"/>
          <w:highlight w:val="none"/>
        </w:rPr>
        <w:t>28. 采购人及供应商的一切竞争性磋商采购活动均按照《中华人民共和国政府采购法》、《政府采购竞争性磋商采购方式管理暂行办法》及其配套的法规、规章、政策。</w:t>
      </w:r>
    </w:p>
    <w:p>
      <w:pPr>
        <w:spacing w:line="300" w:lineRule="auto"/>
        <w:ind w:left="630" w:hanging="630" w:hangingChars="300"/>
        <w:rPr>
          <w:rFonts w:ascii="宋体" w:hAnsi="宋体"/>
          <w:color w:val="000000" w:themeColor="text1"/>
          <w:szCs w:val="21"/>
          <w:highlight w:val="none"/>
        </w:rPr>
      </w:pPr>
    </w:p>
    <w:p>
      <w:pPr>
        <w:pStyle w:val="3"/>
        <w:numPr>
          <w:ilvl w:val="0"/>
          <w:numId w:val="0"/>
        </w:numPr>
        <w:spacing w:before="240"/>
        <w:rPr>
          <w:color w:val="000000" w:themeColor="text1"/>
          <w:highlight w:val="none"/>
        </w:rPr>
      </w:pPr>
      <w:r>
        <w:rPr>
          <w:color w:val="000000" w:themeColor="text1"/>
          <w:highlight w:val="none"/>
        </w:rPr>
        <w:br w:type="page"/>
      </w:r>
      <w:bookmarkStart w:id="152" w:name="_Toc29304"/>
      <w:r>
        <w:rPr>
          <w:color w:val="000000" w:themeColor="text1"/>
          <w:highlight w:val="none"/>
        </w:rPr>
        <w:t>第四部分</w:t>
      </w:r>
      <w:r>
        <w:rPr>
          <w:rFonts w:hint="eastAsia"/>
          <w:color w:val="000000" w:themeColor="text1"/>
          <w:highlight w:val="none"/>
        </w:rPr>
        <w:t xml:space="preserve">  </w:t>
      </w:r>
      <w:r>
        <w:rPr>
          <w:color w:val="000000" w:themeColor="text1"/>
          <w:highlight w:val="none"/>
        </w:rPr>
        <w:t>磋商、评审、成交</w:t>
      </w:r>
      <w:bookmarkEnd w:id="152"/>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51"/>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50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51"/>
        <w:tblW w:w="9582" w:type="dxa"/>
        <w:jc w:val="center"/>
        <w:shd w:val="clear" w:color="auto" w:fill="FFFFFF"/>
        <w:tblLayout w:type="fixed"/>
        <w:tblCellMar>
          <w:top w:w="0" w:type="dxa"/>
          <w:left w:w="0" w:type="dxa"/>
          <w:bottom w:w="0" w:type="dxa"/>
          <w:right w:w="0" w:type="dxa"/>
        </w:tblCellMar>
      </w:tblPr>
      <w:tblGrid>
        <w:gridCol w:w="913"/>
        <w:gridCol w:w="1563"/>
        <w:gridCol w:w="978"/>
        <w:gridCol w:w="6128"/>
      </w:tblGrid>
      <w:tr>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项目实施方案</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根据投标人针对本项目制定的服务实施方案情况进行评分。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1.服务实施方案合理，内容详细，完全满足或优于采购人要求的，得10分；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2.服务实施方案基本合理，内容较详细，基本满足采购人要求的，得6分；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3.服务实施方案一般，内容不详细，不能满足或部分不满足采购人要求的，得2分；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tblPrEx>
          <w:tblCellMar>
            <w:top w:w="0" w:type="dxa"/>
            <w:left w:w="0" w:type="dxa"/>
            <w:bottom w:w="0" w:type="dxa"/>
            <w:right w:w="0" w:type="dxa"/>
          </w:tblCellMar>
        </w:tblPrEx>
        <w:trPr>
          <w:cantSplit/>
          <w:jc w:val="center"/>
        </w:trPr>
        <w:tc>
          <w:tcPr>
            <w:tcW w:w="91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63" w:type="dxa"/>
            <w:vMerge w:val="restart"/>
            <w:tcBorders>
              <w:top w:val="single" w:color="auto" w:sz="8" w:space="0"/>
              <w:left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人员配备情况</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12</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9"/>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投入本项目监测技术人员须取得上岗证，1</w:t>
            </w:r>
            <w:r>
              <w:rPr>
                <w:rFonts w:hint="eastAsia" w:ascii="宋体" w:hAnsi="宋体" w:eastAsia="宋体" w:cs="宋体"/>
                <w:color w:val="000000" w:themeColor="text1"/>
                <w:kern w:val="0"/>
                <w:sz w:val="21"/>
                <w:szCs w:val="21"/>
                <w:highlight w:val="none"/>
              </w:rPr>
              <w:t>人得</w:t>
            </w:r>
            <w:r>
              <w:rPr>
                <w:rFonts w:hint="eastAsia" w:ascii="宋体" w:hAnsi="宋体" w:eastAsia="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分，本项最多得</w:t>
            </w:r>
            <w:r>
              <w:rPr>
                <w:rFonts w:hint="eastAsia" w:ascii="宋体" w:hAnsi="宋体" w:eastAsia="宋体" w:cs="宋体"/>
                <w:color w:val="000000" w:themeColor="text1"/>
                <w:kern w:val="0"/>
                <w:sz w:val="21"/>
                <w:szCs w:val="21"/>
                <w:highlight w:val="none"/>
                <w:lang w:val="en-US" w:eastAsia="zh-CN"/>
              </w:rPr>
              <w:t>12</w:t>
            </w:r>
            <w:r>
              <w:rPr>
                <w:rFonts w:hint="eastAsia" w:ascii="宋体" w:hAnsi="宋体" w:eastAsia="宋体" w:cs="宋体"/>
                <w:color w:val="000000" w:themeColor="text1"/>
                <w:kern w:val="0"/>
                <w:sz w:val="21"/>
                <w:szCs w:val="21"/>
                <w:highlight w:val="none"/>
              </w:rPr>
              <w:t>分。</w:t>
            </w:r>
          </w:p>
          <w:p>
            <w:pPr>
              <w:pStyle w:val="19"/>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提供人员证明材料复印件加盖投标人公章，</w:t>
            </w:r>
            <w:r>
              <w:rPr>
                <w:rFonts w:hint="eastAsia" w:ascii="宋体" w:hAnsi="宋体" w:eastAsia="宋体" w:cs="宋体"/>
                <w:color w:val="000000" w:themeColor="text1"/>
                <w:kern w:val="0"/>
                <w:sz w:val="21"/>
                <w:szCs w:val="21"/>
                <w:highlight w:val="none"/>
                <w:lang w:val="en-US" w:eastAsia="zh-CN"/>
              </w:rPr>
              <w:t>不提供不得分</w:t>
            </w:r>
            <w:r>
              <w:rPr>
                <w:rFonts w:hint="eastAsia" w:ascii="宋体" w:hAnsi="宋体" w:eastAsia="宋体" w:cs="宋体"/>
                <w:color w:val="000000" w:themeColor="text1"/>
                <w:kern w:val="0"/>
                <w:sz w:val="21"/>
                <w:szCs w:val="21"/>
                <w:highlight w:val="none"/>
              </w:rPr>
              <w:t>。</w:t>
            </w:r>
          </w:p>
        </w:tc>
      </w:tr>
      <w:tr>
        <w:tblPrEx>
          <w:shd w:val="clear" w:color="auto" w:fill="FFFFFF"/>
          <w:tblCellMar>
            <w:top w:w="0" w:type="dxa"/>
            <w:left w:w="0" w:type="dxa"/>
            <w:bottom w:w="0" w:type="dxa"/>
            <w:right w:w="0" w:type="dxa"/>
          </w:tblCellMar>
        </w:tblPrEx>
        <w:trPr>
          <w:cantSplit/>
          <w:jc w:val="center"/>
        </w:trPr>
        <w:tc>
          <w:tcPr>
            <w:tcW w:w="91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c>
          <w:tcPr>
            <w:tcW w:w="1563" w:type="dxa"/>
            <w:vMerge w:val="continue"/>
            <w:tcBorders>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val="0"/>
              <w:autoSpaceDN w:val="0"/>
              <w:bidi w:val="0"/>
              <w:adjustRightInd w:val="0"/>
              <w:snapToGrid/>
              <w:spacing w:before="100" w:beforeAutospacing="1" w:line="320" w:lineRule="exact"/>
              <w:jc w:val="center"/>
              <w:textAlignment w:val="auto"/>
              <w:rPr>
                <w:rFonts w:hint="eastAsia" w:ascii="宋体" w:hAnsi="宋体" w:eastAsia="宋体" w:cs="宋体"/>
                <w:color w:val="000000" w:themeColor="text1"/>
                <w:kern w:val="0"/>
                <w:sz w:val="21"/>
                <w:szCs w:val="21"/>
                <w:highlight w:val="none"/>
              </w:rPr>
            </w:pP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pStyle w:val="19"/>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eastAsia="zh-CN"/>
              </w:rPr>
            </w:pPr>
            <w:r>
              <w:rPr>
                <w:rFonts w:hint="eastAsia" w:ascii="宋体" w:hAnsi="宋体" w:eastAsia="宋体" w:cs="宋体"/>
                <w:color w:val="000000" w:themeColor="text1"/>
                <w:kern w:val="0"/>
                <w:sz w:val="21"/>
                <w:szCs w:val="21"/>
                <w:highlight w:val="none"/>
              </w:rPr>
              <w:t>投入本项目负责人具有环境监测类和化学分析类相关专业高级以上（含高级）职称的得6分，具有中级上职称的得</w:t>
            </w:r>
            <w:r>
              <w:rPr>
                <w:rFonts w:hint="eastAsia" w:ascii="宋体" w:hAnsi="宋体" w:eastAsia="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分，没有不得分，本项最多得</w:t>
            </w:r>
            <w:r>
              <w:rPr>
                <w:rFonts w:hint="eastAsia" w:ascii="宋体" w:hAnsi="宋体" w:eastAsia="宋体" w:cs="宋体"/>
                <w:color w:val="000000" w:themeColor="text1"/>
                <w:kern w:val="0"/>
                <w:sz w:val="21"/>
                <w:szCs w:val="21"/>
                <w:highlight w:val="none"/>
                <w:lang w:val="en-US" w:eastAsia="zh-CN"/>
              </w:rPr>
              <w:t>6</w:t>
            </w:r>
            <w:r>
              <w:rPr>
                <w:rFonts w:hint="eastAsia" w:ascii="宋体" w:hAnsi="宋体" w:eastAsia="宋体" w:cs="宋体"/>
                <w:color w:val="000000" w:themeColor="text1"/>
                <w:kern w:val="0"/>
                <w:sz w:val="21"/>
                <w:szCs w:val="21"/>
                <w:highlight w:val="none"/>
              </w:rPr>
              <w:t>分</w:t>
            </w:r>
            <w:r>
              <w:rPr>
                <w:rFonts w:hint="eastAsia" w:ascii="宋体" w:hAnsi="宋体" w:eastAsia="宋体" w:cs="宋体"/>
                <w:color w:val="000000" w:themeColor="text1"/>
                <w:kern w:val="0"/>
                <w:sz w:val="21"/>
                <w:szCs w:val="21"/>
                <w:highlight w:val="none"/>
                <w:lang w:eastAsia="zh-CN"/>
              </w:rPr>
              <w:t>。</w:t>
            </w:r>
          </w:p>
          <w:p>
            <w:pPr>
              <w:pStyle w:val="19"/>
              <w:keepNext w:val="0"/>
              <w:keepLines w:val="0"/>
              <w:pageBreakBefore w:val="0"/>
              <w:widowControl w:val="0"/>
              <w:kinsoku/>
              <w:wordWrap/>
              <w:overflowPunct/>
              <w:topLinePunct w:val="0"/>
              <w:bidi w:val="0"/>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提供人员职称证书复印件加盖投标人公章，未提供的不得分。</w:t>
            </w:r>
          </w:p>
        </w:tc>
      </w:tr>
      <w:tr>
        <w:tblPrEx>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0"/>
                <w:sz w:val="21"/>
                <w:szCs w:val="21"/>
                <w:highlight w:val="none"/>
              </w:rPr>
              <w:t>设备配置</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lang w:val="en-US" w:eastAsia="zh-CN"/>
              </w:rPr>
              <w:t>12分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投标人具有检测仪器设备包括原子吸收分光光度计、红外分光测油仪、紫外可见分光光度计、气相色谱仪、微波消解仪、原子荧光光度计，提供一项得2分，本项最多得12分。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注：提供仪器设备购置发票扫描件或合同扫描件，须加盖投标人公章；未按要求提供相关材料或扫描件不清晰导致无法识别的不计得分。</w:t>
            </w:r>
          </w:p>
        </w:tc>
      </w:tr>
      <w:tr>
        <w:tblPrEx>
          <w:shd w:val="clear" w:color="auto" w:fill="FFFFFF"/>
          <w:tblCellMar>
            <w:top w:w="0" w:type="dxa"/>
            <w:left w:w="0" w:type="dxa"/>
            <w:bottom w:w="0" w:type="dxa"/>
            <w:right w:w="0" w:type="dxa"/>
          </w:tblCellMar>
        </w:tblPrEx>
        <w:trPr>
          <w:cantSpli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6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质控措施</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根据投标人针对本项目制定的质控措施进行对比评分：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1.质控措施合理、可操作性高，优于文件要求，得10分；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2.质控措施较合理，符合文件要求，得6分； </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3.质控措施可操作性一般，基本满足文件要求，得2分；</w:t>
            </w:r>
          </w:p>
          <w:p>
            <w:pPr>
              <w:keepNext w:val="0"/>
              <w:keepLines w:val="0"/>
              <w:pageBreakBefore w:val="0"/>
              <w:widowControl w:val="0"/>
              <w:kinsoku/>
              <w:wordWrap/>
              <w:overflowPunct/>
              <w:topLinePunct w:val="0"/>
              <w:bidi w:val="0"/>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不提供不得分。</w:t>
            </w:r>
          </w:p>
        </w:tc>
      </w:tr>
      <w:tr>
        <w:tblPrEx>
          <w:shd w:val="clear" w:color="auto" w:fill="FFFFFF"/>
          <w:tblCellMar>
            <w:top w:w="0" w:type="dxa"/>
            <w:left w:w="0" w:type="dxa"/>
            <w:bottom w:w="0" w:type="dxa"/>
            <w:right w:w="0" w:type="dxa"/>
          </w:tblCellMar>
        </w:tblPrEx>
        <w:trPr>
          <w:cantSplit/>
          <w:trHeight w:val="504" w:hRule="atLeast"/>
          <w:jc w:val="center"/>
        </w:trPr>
        <w:tc>
          <w:tcPr>
            <w:tcW w:w="2476"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50</w:t>
            </w:r>
            <w:r>
              <w:rPr>
                <w:rFonts w:hint="eastAsia" w:ascii="宋体" w:hAnsi="宋体" w:eastAsia="宋体" w:cs="宋体"/>
                <w:color w:val="000000" w:themeColor="text1"/>
                <w:sz w:val="21"/>
                <w:szCs w:val="21"/>
                <w:highlight w:val="none"/>
              </w:rPr>
              <w:t>分</w:t>
            </w:r>
          </w:p>
        </w:tc>
        <w:tc>
          <w:tcPr>
            <w:tcW w:w="61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br w:type="page"/>
      </w: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51"/>
        <w:tblW w:w="9662" w:type="dxa"/>
        <w:jc w:val="center"/>
        <w:tblLayout w:type="fixed"/>
        <w:tblCellMar>
          <w:top w:w="0" w:type="dxa"/>
          <w:left w:w="0" w:type="dxa"/>
          <w:bottom w:w="0" w:type="dxa"/>
          <w:right w:w="0" w:type="dxa"/>
        </w:tblCellMar>
      </w:tblPr>
      <w:tblGrid>
        <w:gridCol w:w="967"/>
        <w:gridCol w:w="1549"/>
        <w:gridCol w:w="1011"/>
        <w:gridCol w:w="6135"/>
      </w:tblGrid>
      <w:tr>
        <w:tblPrEx>
          <w:tblCellMar>
            <w:top w:w="0" w:type="dxa"/>
            <w:left w:w="0" w:type="dxa"/>
            <w:bottom w:w="0" w:type="dxa"/>
            <w:right w:w="0" w:type="dxa"/>
          </w:tblCellMar>
        </w:tblPrEx>
        <w:trPr>
          <w:cantSplit/>
          <w:trHeight w:val="403"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639"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同类项目经验</w:t>
            </w:r>
          </w:p>
        </w:tc>
        <w:tc>
          <w:tcPr>
            <w:tcW w:w="101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10</w:t>
            </w:r>
            <w:r>
              <w:rPr>
                <w:rFonts w:hint="eastAsia" w:ascii="宋体" w:hAnsi="宋体" w:cs="宋体"/>
                <w:color w:val="000000" w:themeColor="text1"/>
                <w:kern w:val="0"/>
                <w:sz w:val="21"/>
                <w:szCs w:val="21"/>
                <w:highlight w:val="none"/>
                <w:lang w:val="en-US" w:eastAsia="zh-CN"/>
              </w:rPr>
              <w:t>分</w:t>
            </w:r>
          </w:p>
        </w:tc>
        <w:tc>
          <w:tcPr>
            <w:tcW w:w="6135"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提供近 1 年的同类项目业绩，每提供一份合同得2分，满分10分。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注：</w:t>
            </w:r>
            <w:r>
              <w:rPr>
                <w:rFonts w:hint="eastAsia" w:ascii="宋体" w:hAnsi="宋体" w:eastAsia="宋体" w:cs="宋体"/>
                <w:color w:val="000000" w:themeColor="text1"/>
                <w:kern w:val="0"/>
                <w:sz w:val="21"/>
                <w:szCs w:val="21"/>
                <w:highlight w:val="none"/>
              </w:rPr>
              <w:t>以合同签订时间为准，提供合同关键页复印件加盖公章，提供不全或未提供不得分。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履约便利</w:t>
            </w:r>
          </w:p>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程度</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20</w:t>
            </w:r>
            <w:r>
              <w:rPr>
                <w:rFonts w:hint="eastAsia" w:ascii="宋体" w:hAnsi="宋体" w:cs="宋体"/>
                <w:color w:val="000000" w:themeColor="text1"/>
                <w:kern w:val="0"/>
                <w:sz w:val="21"/>
                <w:szCs w:val="21"/>
                <w:highlight w:val="none"/>
                <w:lang w:val="en-US" w:eastAsia="zh-CN"/>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根据</w:t>
            </w: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的实验室售后服务方案时效性、工作对接便捷性、监督方便性及应急响应性进行评分：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eastAsia="宋体" w:cs="宋体"/>
                <w:color w:val="000000" w:themeColor="text1"/>
                <w:kern w:val="0"/>
                <w:sz w:val="21"/>
                <w:szCs w:val="21"/>
                <w:highlight w:val="none"/>
              </w:rPr>
              <w:t>实验室售后服务方案的时效性高、工作对接便捷、监督方便及应急响应快捷、</w:t>
            </w:r>
            <w:r>
              <w:rPr>
                <w:rFonts w:hint="eastAsia" w:ascii="宋体" w:hAnsi="宋体" w:cs="宋体"/>
                <w:color w:val="000000" w:themeColor="text1"/>
                <w:kern w:val="0"/>
                <w:sz w:val="21"/>
                <w:szCs w:val="21"/>
                <w:highlight w:val="none"/>
                <w:lang w:val="en-US" w:eastAsia="zh-CN"/>
              </w:rPr>
              <w:t>优于文件要求，</w:t>
            </w:r>
            <w:r>
              <w:rPr>
                <w:rFonts w:hint="eastAsia" w:ascii="宋体" w:hAnsi="宋体" w:eastAsia="宋体" w:cs="宋体"/>
                <w:color w:val="000000" w:themeColor="text1"/>
                <w:kern w:val="0"/>
                <w:sz w:val="21"/>
                <w:szCs w:val="21"/>
                <w:highlight w:val="none"/>
              </w:rPr>
              <w:t>响应并到场时间1.5小时内（含1.5小时），得20分；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实验室售后服务方案的时效性较高、工作对接便捷、监督方便及应急响应相对便捷、</w:t>
            </w:r>
            <w:r>
              <w:rPr>
                <w:rFonts w:hint="eastAsia" w:ascii="宋体" w:hAnsi="宋体" w:cs="宋体"/>
                <w:color w:val="000000" w:themeColor="text1"/>
                <w:kern w:val="0"/>
                <w:sz w:val="21"/>
                <w:szCs w:val="21"/>
                <w:highlight w:val="none"/>
                <w:lang w:val="en-US" w:eastAsia="zh-CN"/>
              </w:rPr>
              <w:t>符合文件要求，</w:t>
            </w:r>
            <w:r>
              <w:rPr>
                <w:rFonts w:hint="eastAsia" w:ascii="宋体" w:hAnsi="宋体" w:eastAsia="宋体" w:cs="宋体"/>
                <w:color w:val="000000" w:themeColor="text1"/>
                <w:kern w:val="0"/>
                <w:sz w:val="21"/>
                <w:szCs w:val="21"/>
                <w:highlight w:val="none"/>
              </w:rPr>
              <w:t>响应并到场时间2小时内（含2小时），得12分；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eastAsia="宋体" w:cs="宋体"/>
                <w:color w:val="000000" w:themeColor="text1"/>
                <w:kern w:val="0"/>
                <w:sz w:val="21"/>
                <w:szCs w:val="21"/>
                <w:highlight w:val="none"/>
              </w:rPr>
              <w:t>实验室售后服务方案的时效性一般、工作对接不太方便、监督较方便及应急响较慢、</w:t>
            </w:r>
            <w:r>
              <w:rPr>
                <w:rFonts w:hint="eastAsia" w:ascii="宋体" w:hAnsi="宋体" w:cs="宋体"/>
                <w:color w:val="000000" w:themeColor="text1"/>
                <w:kern w:val="0"/>
                <w:sz w:val="21"/>
                <w:szCs w:val="21"/>
                <w:highlight w:val="none"/>
                <w:lang w:val="en-US" w:eastAsia="zh-CN"/>
              </w:rPr>
              <w:t>基本满足文件要求，</w:t>
            </w:r>
            <w:r>
              <w:rPr>
                <w:rFonts w:hint="eastAsia" w:ascii="宋体" w:hAnsi="宋体" w:eastAsia="宋体" w:cs="宋体"/>
                <w:color w:val="000000" w:themeColor="text1"/>
                <w:kern w:val="0"/>
                <w:sz w:val="21"/>
                <w:szCs w:val="21"/>
                <w:highlight w:val="none"/>
              </w:rPr>
              <w:t>响应并到场时间3小时内（含3小时），得5分；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不提供不得分。</w:t>
            </w:r>
          </w:p>
        </w:tc>
      </w:tr>
      <w:tr>
        <w:tblPrEx>
          <w:tblCellMar>
            <w:top w:w="0" w:type="dxa"/>
            <w:left w:w="0" w:type="dxa"/>
            <w:bottom w:w="0" w:type="dxa"/>
            <w:right w:w="0" w:type="dxa"/>
          </w:tblCellMar>
        </w:tblPrEx>
        <w:trPr>
          <w:cantSplit/>
          <w:trHeight w:val="620" w:hRule="atLeast"/>
          <w:jc w:val="center"/>
        </w:trPr>
        <w:tc>
          <w:tcPr>
            <w:tcW w:w="9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5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rPr>
              <w:t>实验室能力</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10分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投标人</w:t>
            </w:r>
            <w:r>
              <w:rPr>
                <w:rFonts w:hint="eastAsia" w:ascii="宋体" w:hAnsi="宋体" w:eastAsia="宋体" w:cs="宋体"/>
                <w:color w:val="000000" w:themeColor="text1"/>
                <w:kern w:val="0"/>
                <w:sz w:val="21"/>
                <w:szCs w:val="21"/>
                <w:highlight w:val="none"/>
              </w:rPr>
              <w:t>提供其实验室，</w:t>
            </w:r>
            <w:r>
              <w:rPr>
                <w:rFonts w:hint="eastAsia" w:ascii="宋体" w:hAnsi="宋体" w:eastAsia="宋体" w:cs="宋体"/>
                <w:color w:val="000000" w:themeColor="text1"/>
                <w:kern w:val="0"/>
                <w:sz w:val="21"/>
                <w:szCs w:val="21"/>
                <w:highlight w:val="none"/>
                <w:lang w:eastAsia="zh-CN"/>
              </w:rPr>
              <w:t>近一年</w:t>
            </w:r>
            <w:r>
              <w:rPr>
                <w:rFonts w:hint="eastAsia" w:ascii="宋体" w:hAnsi="宋体" w:eastAsia="宋体" w:cs="宋体"/>
                <w:color w:val="000000" w:themeColor="text1"/>
                <w:kern w:val="0"/>
                <w:sz w:val="21"/>
                <w:szCs w:val="21"/>
                <w:highlight w:val="none"/>
              </w:rPr>
              <w:t>参加国家级/省级本项目所需环境监测项目的能力验证相关资料的，每提供一项证明得</w:t>
            </w:r>
            <w:r>
              <w:rPr>
                <w:rFonts w:hint="eastAsia" w:ascii="宋体" w:hAnsi="宋体" w:cs="宋体"/>
                <w:color w:val="000000" w:themeColor="text1"/>
                <w:kern w:val="0"/>
                <w:sz w:val="21"/>
                <w:szCs w:val="21"/>
                <w:highlight w:val="none"/>
                <w:lang w:val="en-US" w:eastAsia="zh-CN"/>
              </w:rPr>
              <w:t>2</w:t>
            </w:r>
            <w:r>
              <w:rPr>
                <w:rFonts w:hint="eastAsia" w:ascii="宋体" w:hAnsi="宋体" w:eastAsia="宋体" w:cs="宋体"/>
                <w:color w:val="000000" w:themeColor="text1"/>
                <w:kern w:val="0"/>
                <w:sz w:val="21"/>
                <w:szCs w:val="21"/>
                <w:highlight w:val="none"/>
              </w:rPr>
              <w:t>分；本项最高得</w:t>
            </w:r>
            <w:r>
              <w:rPr>
                <w:rFonts w:hint="eastAsia" w:ascii="宋体" w:hAnsi="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p>
            <w:pPr>
              <w:pStyle w:val="19"/>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0"/>
                <w:sz w:val="21"/>
                <w:szCs w:val="21"/>
                <w:highlight w:val="none"/>
                <w:lang w:val="en-US" w:eastAsia="zh-CN" w:bidi="ar-SA"/>
              </w:rPr>
            </w:pPr>
            <w:r>
              <w:rPr>
                <w:rFonts w:hint="eastAsia" w:ascii="宋体" w:hAnsi="宋体" w:cs="宋体"/>
                <w:color w:val="000000" w:themeColor="text1"/>
                <w:kern w:val="0"/>
                <w:sz w:val="21"/>
                <w:szCs w:val="21"/>
                <w:highlight w:val="none"/>
                <w:lang w:val="en-US" w:eastAsia="zh-CN"/>
              </w:rPr>
              <w:t>注：提供证明材料复印件</w:t>
            </w:r>
            <w:r>
              <w:rPr>
                <w:rFonts w:hint="eastAsia" w:ascii="宋体" w:hAnsi="宋体" w:eastAsia="宋体" w:cs="宋体"/>
                <w:color w:val="000000" w:themeColor="text1"/>
                <w:kern w:val="0"/>
                <w:sz w:val="21"/>
                <w:szCs w:val="21"/>
                <w:highlight w:val="none"/>
              </w:rPr>
              <w:t>加盖公章，提供不全或未提供不得分。</w:t>
            </w:r>
          </w:p>
        </w:tc>
      </w:tr>
      <w:tr>
        <w:tblPrEx>
          <w:tblCellMar>
            <w:top w:w="0" w:type="dxa"/>
            <w:left w:w="0" w:type="dxa"/>
            <w:bottom w:w="0" w:type="dxa"/>
            <w:right w:w="0" w:type="dxa"/>
          </w:tblCellMar>
        </w:tblPrEx>
        <w:trPr>
          <w:cantSplit/>
          <w:trHeight w:val="546" w:hRule="atLeast"/>
          <w:jc w:val="center"/>
        </w:trPr>
        <w:tc>
          <w:tcPr>
            <w:tcW w:w="2516"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10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40</w:t>
            </w:r>
            <w:r>
              <w:rPr>
                <w:rFonts w:hint="eastAsia" w:ascii="宋体" w:hAnsi="宋体" w:eastAsia="宋体" w:cs="宋体"/>
                <w:color w:val="000000" w:themeColor="text1"/>
                <w:sz w:val="21"/>
                <w:szCs w:val="21"/>
                <w:highlight w:val="none"/>
              </w:rPr>
              <w:t>分</w:t>
            </w:r>
          </w:p>
        </w:tc>
        <w:tc>
          <w:tcPr>
            <w:tcW w:w="613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p>
    <w:p>
      <w:pPr>
        <w:spacing w:line="360" w:lineRule="auto"/>
        <w:rPr>
          <w:rFonts w:ascii="宋体" w:hAnsi="宋体"/>
          <w:b/>
          <w:color w:val="000000" w:themeColor="text1"/>
          <w:highlight w:val="none"/>
        </w:rPr>
      </w:pPr>
      <w:r>
        <w:rPr>
          <w:rFonts w:hint="eastAsia" w:ascii="宋体" w:hAnsi="宋体"/>
          <w:b/>
          <w:color w:val="000000" w:themeColor="text1"/>
          <w:highlight w:val="none"/>
        </w:rPr>
        <w:t>价 格 评 分 表</w:t>
      </w:r>
    </w:p>
    <w:p>
      <w:pPr>
        <w:spacing w:line="360" w:lineRule="auto"/>
        <w:rPr>
          <w:rFonts w:ascii="宋体" w:hAnsi="宋体"/>
          <w:color w:val="000000" w:themeColor="text1"/>
          <w:highlight w:val="none"/>
        </w:rPr>
      </w:pPr>
      <w:r>
        <w:rPr>
          <w:rFonts w:hint="eastAsia" w:ascii="宋体" w:hAnsi="宋体"/>
          <w:color w:val="000000" w:themeColor="text1"/>
          <w:highlight w:val="none"/>
        </w:rPr>
        <w:t>价格核准：磋商小组详细分析、核准价格表，检查其是否存在计算上或累加上的算术错误，修正错误的原则。</w:t>
      </w:r>
    </w:p>
    <w:p>
      <w:pPr>
        <w:spacing w:line="360" w:lineRule="auto"/>
        <w:rPr>
          <w:rFonts w:ascii="宋体" w:hAnsi="宋体"/>
          <w:color w:val="000000" w:themeColor="text1"/>
          <w:highlight w:val="none"/>
        </w:rPr>
      </w:pPr>
      <w:r>
        <w:rPr>
          <w:rFonts w:ascii="宋体" w:hAnsi="宋体"/>
          <w:color w:val="000000" w:themeColor="text1"/>
          <w:highlight w:val="none"/>
        </w:rPr>
        <w:t>综合评分法中的价格分统一采用低价优先法计算，即满足招标文件要求</w:t>
      </w:r>
      <w:r>
        <w:rPr>
          <w:rFonts w:hint="eastAsia" w:ascii="宋体" w:hAnsi="宋体"/>
          <w:color w:val="000000" w:themeColor="text1"/>
          <w:highlight w:val="none"/>
        </w:rPr>
        <w:t>（通过资格性、符合性审查）</w:t>
      </w:r>
      <w:r>
        <w:rPr>
          <w:rFonts w:ascii="宋体" w:hAnsi="宋体"/>
          <w:color w:val="000000" w:themeColor="text1"/>
          <w:highlight w:val="none"/>
        </w:rPr>
        <w:t>且投标价格最低的</w:t>
      </w:r>
      <w:r>
        <w:rPr>
          <w:rFonts w:hint="eastAsia" w:ascii="宋体" w:hAnsi="宋体"/>
          <w:color w:val="000000" w:themeColor="text1"/>
          <w:highlight w:val="none"/>
        </w:rPr>
        <w:t>有效</w:t>
      </w:r>
      <w:r>
        <w:rPr>
          <w:rFonts w:ascii="宋体" w:hAnsi="宋体"/>
          <w:color w:val="000000" w:themeColor="text1"/>
          <w:highlight w:val="none"/>
        </w:rPr>
        <w:t>投标报价</w:t>
      </w:r>
      <w:r>
        <w:rPr>
          <w:rFonts w:hint="eastAsia" w:ascii="宋体" w:hAnsi="宋体"/>
          <w:color w:val="000000" w:themeColor="text1"/>
          <w:highlight w:val="none"/>
        </w:rPr>
        <w:t>（指价格核准后的价格，下同）</w:t>
      </w:r>
      <w:r>
        <w:rPr>
          <w:rFonts w:ascii="宋体" w:hAnsi="宋体"/>
          <w:color w:val="000000" w:themeColor="text1"/>
          <w:highlight w:val="none"/>
        </w:rPr>
        <w:t>为评标基准价，其价格分为满分。其他投标人的价格分统一按照下列公式计算：</w:t>
      </w:r>
    </w:p>
    <w:p>
      <w:pPr>
        <w:spacing w:line="360" w:lineRule="auto"/>
        <w:rPr>
          <w:rFonts w:ascii="宋体" w:hAnsi="宋体"/>
          <w:color w:val="000000" w:themeColor="text1"/>
          <w:highlight w:val="none"/>
        </w:rPr>
      </w:pPr>
      <w:r>
        <w:rPr>
          <w:rFonts w:hint="eastAsia" w:ascii="宋体" w:hAnsi="宋体"/>
          <w:color w:val="000000" w:themeColor="text1"/>
          <w:highlight w:val="none"/>
        </w:rPr>
        <w:t>投标报价得分=(评标基准价/投标报价)×价格权值×100</w:t>
      </w:r>
    </w:p>
    <w:p>
      <w:pPr>
        <w:spacing w:line="360" w:lineRule="auto"/>
        <w:rPr>
          <w:rFonts w:ascii="宋体" w:hAnsi="宋体"/>
          <w:color w:val="000000" w:themeColor="text1"/>
          <w:highlight w:val="none"/>
        </w:rPr>
      </w:pPr>
      <w:r>
        <w:rPr>
          <w:rFonts w:hint="eastAsia" w:ascii="宋体" w:hAnsi="宋体"/>
          <w:color w:val="000000" w:themeColor="text1"/>
          <w:highlight w:val="none"/>
        </w:rPr>
        <w:t>备注：投标报价得分四舍五入后，小数点后保留两位有效数；</w:t>
      </w:r>
    </w:p>
    <w:p>
      <w:pPr>
        <w:spacing w:line="360" w:lineRule="auto"/>
        <w:rPr>
          <w:rFonts w:ascii="宋体" w:hAnsi="宋体"/>
          <w:color w:val="000000" w:themeColor="text1"/>
          <w:highlight w:val="none"/>
        </w:rPr>
      </w:pPr>
      <w:r>
        <w:rPr>
          <w:rFonts w:hint="eastAsia" w:ascii="宋体" w:hAnsi="宋体"/>
          <w:color w:val="000000" w:themeColor="text1"/>
          <w:highlight w:val="none"/>
        </w:rPr>
        <w:t>小型和微型企业产品价格扣除（所投产品全部生产厂家为小微型企业才享受价格扣除）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3.1根据财政部、工业和信息化部印发的《政府采购促进中小企业发展暂行办法》（财库[2011]181号）的规定，对小型和微型企业产品的价格给予</w:t>
      </w:r>
      <w:r>
        <w:rPr>
          <w:rFonts w:hint="eastAsia" w:ascii="宋体" w:hAnsi="宋体"/>
          <w:color w:val="000000" w:themeColor="text1"/>
          <w:highlight w:val="none"/>
          <w:lang w:val="en-US" w:eastAsia="zh-CN"/>
        </w:rPr>
        <w:t>10</w:t>
      </w:r>
      <w:bookmarkStart w:id="379" w:name="_GoBack"/>
      <w:bookmarkEnd w:id="379"/>
      <w:r>
        <w:rPr>
          <w:rFonts w:hint="eastAsia" w:ascii="宋体" w:hAnsi="宋体"/>
          <w:color w:val="000000" w:themeColor="text1"/>
          <w:highlight w:val="none"/>
        </w:rPr>
        <w:t>%的扣除，用扣除后的价格参与评审。</w:t>
      </w:r>
    </w:p>
    <w:p>
      <w:pPr>
        <w:spacing w:line="360" w:lineRule="auto"/>
        <w:rPr>
          <w:rFonts w:ascii="宋体" w:hAnsi="宋体"/>
          <w:color w:val="000000" w:themeColor="text1"/>
          <w:highlight w:val="none"/>
        </w:rPr>
      </w:pPr>
      <w:r>
        <w:rPr>
          <w:rFonts w:hint="eastAsia" w:ascii="宋体" w:hAnsi="宋体"/>
          <w:color w:val="000000" w:themeColor="text1"/>
          <w:highlight w:val="none"/>
        </w:rPr>
        <w:t>3.2 《政府采购促进中小企业发展暂行办法》所称中小企业（含中型、小型、微型企业，下同）应当同时符合以下条件：</w:t>
      </w:r>
    </w:p>
    <w:p>
      <w:pPr>
        <w:spacing w:line="360" w:lineRule="auto"/>
        <w:rPr>
          <w:rFonts w:ascii="宋体" w:hAnsi="宋体"/>
          <w:color w:val="000000" w:themeColor="text1"/>
          <w:highlight w:val="none"/>
        </w:rPr>
      </w:pPr>
      <w:r>
        <w:rPr>
          <w:rFonts w:hint="eastAsia" w:ascii="宋体" w:hAnsi="宋体"/>
          <w:color w:val="000000" w:themeColor="text1"/>
          <w:highlight w:val="none"/>
        </w:rPr>
        <w:t xml:space="preserve">3.2.1符合中小企业划分标准； </w:t>
      </w:r>
    </w:p>
    <w:p>
      <w:pPr>
        <w:spacing w:line="360" w:lineRule="auto"/>
        <w:rPr>
          <w:rFonts w:ascii="宋体" w:hAnsi="宋体"/>
          <w:color w:val="000000" w:themeColor="text1"/>
          <w:highlight w:val="none"/>
        </w:rPr>
      </w:pPr>
      <w:r>
        <w:rPr>
          <w:rFonts w:hint="eastAsia" w:ascii="宋体" w:hAnsi="宋体"/>
          <w:color w:val="000000" w:themeColor="text1"/>
          <w:highlight w:val="none"/>
        </w:rPr>
        <w:t>3.2.2提供本企业制造的货物、承担的工程或者服务，或者提供其他中小企业制造的货物。本项所称货物不包括使用大型企业注册商标的货物。</w:t>
      </w:r>
    </w:p>
    <w:p>
      <w:pPr>
        <w:spacing w:line="360" w:lineRule="auto"/>
        <w:rPr>
          <w:rFonts w:ascii="宋体" w:hAnsi="宋体"/>
          <w:color w:val="000000" w:themeColor="text1"/>
          <w:highlight w:val="none"/>
        </w:rPr>
      </w:pPr>
      <w:r>
        <w:rPr>
          <w:rFonts w:hint="eastAsia" w:ascii="宋体" w:hAnsi="宋体"/>
          <w:color w:val="000000" w:themeColor="text1"/>
          <w:highlight w:val="none"/>
        </w:rPr>
        <w:t>中小企业划分标准以《工业和信息化部、国家统计局、国家发展和改革委员会、财政部关于印发中小企业划型标准规定的通知》（工信部联企业[2011]300号）规定的划分标准为准。</w:t>
      </w:r>
    </w:p>
    <w:p>
      <w:pPr>
        <w:spacing w:line="360" w:lineRule="auto"/>
        <w:rPr>
          <w:rFonts w:ascii="宋体" w:hAnsi="宋体"/>
          <w:color w:val="000000" w:themeColor="text1"/>
          <w:highlight w:val="none"/>
        </w:rPr>
      </w:pPr>
      <w:r>
        <w:rPr>
          <w:rFonts w:hint="eastAsia" w:ascii="宋体" w:hAnsi="宋体"/>
          <w:color w:val="000000" w:themeColor="text1"/>
          <w:highlight w:val="none"/>
        </w:rPr>
        <w:t>小型、微型企业提供中型企业制造的货物的，视同为中型企业。</w:t>
      </w:r>
    </w:p>
    <w:p>
      <w:pPr>
        <w:spacing w:line="360" w:lineRule="auto"/>
        <w:rPr>
          <w:rFonts w:ascii="宋体" w:hAnsi="宋体"/>
          <w:color w:val="000000" w:themeColor="text1"/>
          <w:highlight w:val="none"/>
        </w:rPr>
      </w:pPr>
      <w:r>
        <w:rPr>
          <w:rFonts w:hint="eastAsia" w:ascii="宋体" w:hAnsi="宋体"/>
          <w:color w:val="000000" w:themeColor="text1"/>
          <w:highlight w:val="none"/>
        </w:rPr>
        <w:t>3.3 参加政府采购活动的中小企业应当提供《中小企业声明函》（格式见第七章投标文件格式），如投标人为非制造商，其代理产品的制造商也应同时提交《中小企业声明函》，否则评审时不能享受相应的价格扣除。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 监狱企业视同小型、微型企业，享受评审中价格扣除。</w:t>
      </w:r>
    </w:p>
    <w:p>
      <w:pPr>
        <w:spacing w:line="360" w:lineRule="auto"/>
        <w:rPr>
          <w:rFonts w:ascii="宋体" w:hAnsi="宋体"/>
          <w:color w:val="000000" w:themeColor="text1"/>
          <w:highlight w:val="none"/>
        </w:rPr>
      </w:pPr>
      <w:r>
        <w:rPr>
          <w:rFonts w:hint="eastAsia" w:ascii="宋体" w:hAnsi="宋体"/>
          <w:color w:val="000000" w:themeColor="text1"/>
          <w:highlight w:val="none"/>
        </w:rPr>
        <w:t>3.4.1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360" w:lineRule="auto"/>
        <w:rPr>
          <w:rFonts w:ascii="宋体" w:hAnsi="宋体"/>
          <w:color w:val="000000" w:themeColor="text1"/>
          <w:highlight w:val="none"/>
        </w:rPr>
      </w:pPr>
      <w:r>
        <w:rPr>
          <w:rFonts w:hint="eastAsia" w:ascii="宋体" w:hAnsi="宋体"/>
          <w:color w:val="000000" w:themeColor="text1"/>
          <w:highlight w:val="none"/>
        </w:rPr>
        <w:t>3.4.2监狱企业参加政府采购活动时，应当提供由省级以上监狱管理局、戒毒管理局（含新疆生产建设兵团）出具的属于监狱企业的证明文件，否则不予认可。</w:t>
      </w:r>
    </w:p>
    <w:p>
      <w:pPr>
        <w:spacing w:line="360" w:lineRule="auto"/>
        <w:rPr>
          <w:rFonts w:ascii="宋体" w:hAnsi="宋体"/>
          <w:color w:val="000000" w:themeColor="text1"/>
          <w:highlight w:val="none"/>
        </w:rPr>
      </w:pPr>
      <w:r>
        <w:rPr>
          <w:rFonts w:hint="eastAsia" w:ascii="宋体" w:hAnsi="宋体"/>
          <w:color w:val="000000" w:themeColor="text1"/>
          <w:highlight w:val="none"/>
        </w:rPr>
        <w:t>3.5 投标人同时为小型、微型企业和监狱企业的，评审中只享受一次价格扣除。不重复进行价格扣除。</w:t>
      </w:r>
    </w:p>
    <w:bookmarkEnd w:id="35"/>
    <w:p>
      <w:pPr>
        <w:spacing w:line="360" w:lineRule="auto"/>
        <w:jc w:val="center"/>
        <w:rPr>
          <w:rFonts w:ascii="宋体" w:hAnsi="宋体"/>
          <w:b/>
          <w:color w:val="000000" w:themeColor="text1"/>
          <w:highlight w:val="none"/>
        </w:rPr>
      </w:pPr>
      <w:bookmarkStart w:id="153" w:name="_Toc432682726"/>
      <w:bookmarkStart w:id="154" w:name="_Toc430771059"/>
      <w:bookmarkStart w:id="155" w:name="_Toc479991608"/>
      <w:bookmarkStart w:id="156" w:name="_Toc467987849"/>
      <w:bookmarkStart w:id="157" w:name="_Toc467236766"/>
      <w:bookmarkStart w:id="158" w:name="_Toc468157562"/>
      <w:bookmarkStart w:id="159" w:name="_Toc468606055"/>
      <w:bookmarkStart w:id="160" w:name="_Toc480021079"/>
      <w:bookmarkStart w:id="161" w:name="_Toc480010734"/>
      <w:bookmarkStart w:id="162" w:name="_Toc500861024"/>
      <w:bookmarkStart w:id="163" w:name="_Toc480020283"/>
      <w:bookmarkStart w:id="164" w:name="_Toc491658677"/>
      <w:bookmarkStart w:id="165" w:name="_Toc500861027"/>
      <w:bookmarkStart w:id="166" w:name="_Toc26066260"/>
      <w:bookmarkStart w:id="167" w:name="_Toc6727972"/>
      <w:bookmarkStart w:id="168" w:name="_Toc491658680"/>
      <w:bookmarkStart w:id="169" w:name="_Toc6397151"/>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p>
      <w:pPr>
        <w:spacing w:line="360" w:lineRule="auto"/>
        <w:jc w:val="center"/>
        <w:rPr>
          <w:rFonts w:ascii="宋体" w:hAnsi="宋体"/>
          <w:b/>
          <w:color w:val="000000" w:themeColor="text1"/>
          <w:highlight w:val="none"/>
        </w:rPr>
      </w:pPr>
    </w:p>
    <w:bookmarkEnd w:id="153"/>
    <w:bookmarkEnd w:id="154"/>
    <w:p>
      <w:pPr>
        <w:rPr>
          <w:rFonts w:hint="eastAsia"/>
          <w:color w:val="000000" w:themeColor="text1"/>
          <w:sz w:val="24"/>
          <w:highlight w:val="none"/>
        </w:rPr>
      </w:pPr>
      <w:bookmarkStart w:id="170" w:name="_Toc500843104"/>
      <w:bookmarkStart w:id="171" w:name="_Toc430185803"/>
      <w:bookmarkStart w:id="172" w:name="_Toc430771060"/>
      <w:r>
        <w:rPr>
          <w:rFonts w:hint="eastAsia"/>
          <w:color w:val="000000" w:themeColor="text1"/>
          <w:sz w:val="24"/>
          <w:highlight w:val="none"/>
        </w:rPr>
        <w:br w:type="page"/>
      </w:r>
    </w:p>
    <w:p>
      <w:pPr>
        <w:pStyle w:val="4"/>
        <w:numPr>
          <w:ilvl w:val="0"/>
          <w:numId w:val="0"/>
        </w:numPr>
        <w:rPr>
          <w:color w:val="000000" w:themeColor="text1"/>
          <w:sz w:val="24"/>
          <w:highlight w:val="none"/>
        </w:rPr>
      </w:pPr>
      <w:bookmarkStart w:id="173" w:name="_Toc2650"/>
      <w:r>
        <w:rPr>
          <w:rFonts w:hint="eastAsia"/>
          <w:color w:val="000000" w:themeColor="text1"/>
          <w:sz w:val="24"/>
          <w:highlight w:val="none"/>
        </w:rPr>
        <w:t>政府采购政策</w:t>
      </w:r>
      <w:bookmarkEnd w:id="170"/>
      <w:bookmarkEnd w:id="173"/>
    </w:p>
    <w:p>
      <w:pPr>
        <w:spacing w:line="360" w:lineRule="auto"/>
        <w:rPr>
          <w:rFonts w:ascii="宋体" w:hAnsi="宋体"/>
          <w:color w:val="000000" w:themeColor="text1"/>
          <w:highlight w:val="none"/>
        </w:rPr>
      </w:pPr>
      <w:r>
        <w:rPr>
          <w:rFonts w:hint="eastAsia" w:ascii="宋体" w:hAnsi="宋体"/>
          <w:color w:val="000000" w:themeColor="text1"/>
          <w:highlight w:val="none"/>
        </w:rPr>
        <w:t>1．</w:t>
      </w:r>
      <w:bookmarkEnd w:id="171"/>
      <w:bookmarkEnd w:id="172"/>
      <w:r>
        <w:rPr>
          <w:rFonts w:hint="eastAsia"/>
          <w:color w:val="000000" w:themeColor="text1"/>
          <w:highlight w:val="none"/>
        </w:rPr>
        <w:t>若没有明示采购进口产品的，则视为采购产品为非进口产品（进口产品指中国海关验放进入中国境内且产自关境外的产品）。</w:t>
      </w:r>
    </w:p>
    <w:p>
      <w:pPr>
        <w:spacing w:line="360" w:lineRule="auto"/>
        <w:rPr>
          <w:rFonts w:ascii="宋体" w:hAnsi="宋体"/>
          <w:color w:val="000000" w:themeColor="text1"/>
          <w:highlight w:val="none"/>
        </w:rPr>
      </w:pPr>
      <w:bookmarkStart w:id="174" w:name="_Toc430185804"/>
      <w:bookmarkStart w:id="175" w:name="_Toc430771061"/>
      <w:r>
        <w:rPr>
          <w:rFonts w:hint="eastAsia" w:ascii="宋体" w:hAnsi="宋体"/>
          <w:color w:val="000000" w:themeColor="text1"/>
          <w:highlight w:val="none"/>
        </w:rPr>
        <w:t>2．若采购产品属政府强制采购节能产品的，投标人所投产品应已列入最新一期的《节能产品政府采购清单》（该清单投标人可查询中国政府采购网</w:t>
      </w:r>
      <w:r>
        <w:rPr>
          <w:rFonts w:ascii="宋体" w:hAnsi="宋体"/>
          <w:color w:val="000000" w:themeColor="text1"/>
          <w:highlight w:val="none"/>
        </w:rPr>
        <w:t>http://www.ccgp.gov.cn</w:t>
      </w:r>
      <w:r>
        <w:rPr>
          <w:rFonts w:hint="eastAsia" w:ascii="宋体" w:hAnsi="宋体"/>
          <w:color w:val="000000" w:themeColor="text1"/>
          <w:highlight w:val="none"/>
        </w:rPr>
        <w:t>）。</w:t>
      </w:r>
      <w:r>
        <w:rPr>
          <w:rFonts w:ascii="宋体" w:hAnsi="宋体"/>
          <w:color w:val="000000" w:themeColor="text1"/>
          <w:highlight w:val="none"/>
        </w:rPr>
        <w:t xml:space="preserve"> </w:t>
      </w:r>
      <w:r>
        <w:rPr>
          <w:rFonts w:hint="eastAsia" w:ascii="宋体" w:hAnsi="宋体"/>
          <w:color w:val="000000" w:themeColor="text1"/>
          <w:highlight w:val="none"/>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磋商文件公告后国家有关部门再发布新一期的节能清单，则两期清单中的产品都接受。</w:t>
      </w:r>
      <w:bookmarkEnd w:id="174"/>
      <w:bookmarkEnd w:id="175"/>
    </w:p>
    <w:p>
      <w:pPr>
        <w:spacing w:line="360" w:lineRule="auto"/>
        <w:rPr>
          <w:rFonts w:ascii="宋体" w:hAnsi="宋体"/>
          <w:color w:val="000000" w:themeColor="text1"/>
          <w:highlight w:val="none"/>
        </w:rPr>
      </w:pPr>
      <w:bookmarkStart w:id="176" w:name="_Toc430185805"/>
      <w:bookmarkStart w:id="177" w:name="_Toc430771062"/>
      <w:r>
        <w:rPr>
          <w:rFonts w:hint="eastAsia" w:ascii="宋体" w:hAnsi="宋体"/>
          <w:color w:val="000000" w:themeColor="text1"/>
          <w:highlight w:val="none"/>
        </w:rPr>
        <w:t>3. 根据《财政部、国家环保总局联合印发</w:t>
      </w:r>
      <w:r>
        <w:rPr>
          <w:rFonts w:ascii="宋体" w:hAnsi="宋体"/>
          <w:color w:val="000000" w:themeColor="text1"/>
          <w:highlight w:val="none"/>
        </w:rPr>
        <w:t>&lt;</w:t>
      </w:r>
      <w:r>
        <w:rPr>
          <w:rFonts w:hint="eastAsia" w:ascii="宋体" w:hAnsi="宋体"/>
          <w:color w:val="000000" w:themeColor="text1"/>
          <w:highlight w:val="none"/>
        </w:rPr>
        <w:t>关于环境标志产品政府采购实施意见</w:t>
      </w:r>
      <w:r>
        <w:rPr>
          <w:rFonts w:ascii="宋体" w:hAnsi="宋体"/>
          <w:color w:val="000000" w:themeColor="text1"/>
          <w:highlight w:val="none"/>
        </w:rPr>
        <w:t>&gt;</w:t>
      </w:r>
      <w:r>
        <w:rPr>
          <w:rFonts w:hint="eastAsia" w:ascii="宋体" w:hAnsi="宋体"/>
          <w:color w:val="000000" w:themeColor="text1"/>
          <w:highlight w:val="none"/>
        </w:rPr>
        <w:t>》（财库</w:t>
      </w:r>
      <w:r>
        <w:rPr>
          <w:rFonts w:ascii="宋体" w:hAnsi="宋体"/>
          <w:color w:val="000000" w:themeColor="text1"/>
          <w:highlight w:val="none"/>
        </w:rPr>
        <w:t>[2006]90</w:t>
      </w:r>
      <w:r>
        <w:rPr>
          <w:rFonts w:hint="eastAsia" w:ascii="宋体" w:hAnsi="宋体"/>
          <w:color w:val="000000" w:themeColor="text1"/>
          <w:highlight w:val="none"/>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http://www.ccgp.gov.cn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）、国家环境保护总局网（</w:t>
      </w:r>
      <w:r>
        <w:rPr>
          <w:color w:val="000000" w:themeColor="text1"/>
          <w:highlight w:val="none"/>
        </w:rPr>
        <w:fldChar w:fldCharType="begin"/>
      </w:r>
      <w:r>
        <w:rPr>
          <w:color w:val="000000" w:themeColor="text1"/>
          <w:highlight w:val="none"/>
        </w:rPr>
        <w:instrText xml:space="preserve"> HYPERLINK "http://www.ccgp.gov.cn" </w:instrText>
      </w:r>
      <w:r>
        <w:rPr>
          <w:color w:val="000000" w:themeColor="text1"/>
          <w:highlight w:val="none"/>
        </w:rPr>
        <w:fldChar w:fldCharType="separate"/>
      </w:r>
      <w:r>
        <w:rPr>
          <w:rStyle w:val="58"/>
          <w:rFonts w:ascii="宋体" w:hAnsi="宋体"/>
          <w:color w:val="000000" w:themeColor="text1"/>
          <w:highlight w:val="none"/>
        </w:rPr>
        <w:t>http://www.sepa.gov.cn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）、中国绿色采购网（</w:t>
      </w:r>
      <w:r>
        <w:rPr>
          <w:color w:val="000000" w:themeColor="text1"/>
          <w:highlight w:val="none"/>
        </w:rPr>
        <w:fldChar w:fldCharType="begin"/>
      </w:r>
      <w:r>
        <w:rPr>
          <w:color w:val="000000" w:themeColor="text1"/>
          <w:highlight w:val="none"/>
        </w:rPr>
        <w:instrText xml:space="preserve"> HYPERLINK "http://www.cgpn.cn" </w:instrText>
      </w:r>
      <w:r>
        <w:rPr>
          <w:color w:val="000000" w:themeColor="text1"/>
          <w:highlight w:val="none"/>
        </w:rPr>
        <w:fldChar w:fldCharType="separate"/>
      </w:r>
      <w:r>
        <w:rPr>
          <w:rStyle w:val="58"/>
          <w:rFonts w:ascii="宋体" w:hAnsi="宋体"/>
          <w:color w:val="000000" w:themeColor="text1"/>
          <w:highlight w:val="none"/>
        </w:rPr>
        <w:t>http://www.cgpn.cn</w:t>
      </w:r>
      <w:r>
        <w:rPr>
          <w:rStyle w:val="58"/>
          <w:rFonts w:ascii="宋体" w:hAnsi="宋体"/>
          <w:color w:val="000000" w:themeColor="text1"/>
          <w:highlight w:val="none"/>
        </w:rPr>
        <w:fldChar w:fldCharType="end"/>
      </w:r>
      <w:r>
        <w:rPr>
          <w:rFonts w:ascii="宋体" w:hAnsi="宋体"/>
          <w:color w:val="000000" w:themeColor="text1"/>
          <w:highlight w:val="none"/>
        </w:rPr>
        <w:t>/</w:t>
      </w:r>
      <w:r>
        <w:rPr>
          <w:rFonts w:hint="eastAsia" w:ascii="宋体" w:hAnsi="宋体"/>
          <w:color w:val="000000" w:themeColor="text1"/>
          <w:highlight w:val="none"/>
        </w:rPr>
        <w:t>）上发布。</w:t>
      </w:r>
      <w:bookmarkEnd w:id="176"/>
      <w:bookmarkEnd w:id="177"/>
    </w:p>
    <w:p>
      <w:pPr>
        <w:spacing w:line="360" w:lineRule="auto"/>
        <w:rPr>
          <w:rFonts w:ascii="宋体" w:hAnsi="宋体"/>
          <w:color w:val="000000" w:themeColor="text1"/>
          <w:highlight w:val="none"/>
        </w:rPr>
      </w:pPr>
      <w:bookmarkStart w:id="178" w:name="_Toc430185806"/>
      <w:bookmarkStart w:id="179" w:name="_Toc430771063"/>
      <w:r>
        <w:rPr>
          <w:rFonts w:hint="eastAsia" w:ascii="宋体" w:hAnsi="宋体"/>
          <w:color w:val="000000" w:themeColor="text1"/>
          <w:highlight w:val="none"/>
        </w:rPr>
        <w:t>4．</w:t>
      </w:r>
      <w:bookmarkEnd w:id="178"/>
      <w:bookmarkEnd w:id="179"/>
      <w:r>
        <w:rPr>
          <w:rFonts w:hint="eastAsia" w:ascii="宋体" w:hAnsi="宋体" w:eastAsia="宋体" w:cs="宋体"/>
          <w:color w:val="000000" w:themeColor="text1"/>
          <w:highlight w:val="none"/>
        </w:rPr>
        <w:t>根据《关于印发《政府采购促进中小企业发展管理方法》的通知》（财库[2020]46号）的规定，投标人投标时需注意：</w:t>
      </w:r>
    </w:p>
    <w:p>
      <w:pPr>
        <w:spacing w:line="360" w:lineRule="auto"/>
        <w:rPr>
          <w:rFonts w:ascii="宋体" w:hAnsi="宋体"/>
          <w:color w:val="000000" w:themeColor="text1"/>
          <w:highlight w:val="none"/>
        </w:rPr>
      </w:pPr>
      <w:r>
        <w:rPr>
          <w:rFonts w:hint="eastAsia" w:ascii="宋体" w:hAnsi="宋体"/>
          <w:color w:val="000000" w:themeColor="text1"/>
          <w:highlight w:val="none"/>
        </w:rPr>
        <w:t>4.1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olor w:val="000000" w:themeColor="text1"/>
          <w:highlight w:val="none"/>
        </w:rPr>
        <w:t>[2011]300</w:t>
      </w:r>
      <w:r>
        <w:rPr>
          <w:rFonts w:hint="eastAsia" w:ascii="宋体" w:hAnsi="宋体"/>
          <w:color w:val="000000" w:themeColor="text1"/>
          <w:highlight w:val="none"/>
        </w:rPr>
        <w:t>号）执行。</w:t>
      </w:r>
    </w:p>
    <w:p>
      <w:pPr>
        <w:spacing w:line="360" w:lineRule="auto"/>
        <w:rPr>
          <w:rFonts w:ascii="宋体" w:hAnsi="宋体"/>
          <w:color w:val="000000" w:themeColor="text1"/>
          <w:highlight w:val="none"/>
        </w:rPr>
      </w:pPr>
      <w:r>
        <w:rPr>
          <w:rFonts w:hint="eastAsia" w:ascii="宋体" w:hAnsi="宋体"/>
          <w:color w:val="000000" w:themeColor="text1"/>
          <w:highlight w:val="none"/>
        </w:rPr>
        <w:t>4.2参加政府采购活动的中小企业投标时需提供《中小企业声明函》。否则不予认可。</w:t>
      </w:r>
    </w:p>
    <w:p>
      <w:pPr>
        <w:spacing w:line="360" w:lineRule="auto"/>
        <w:rPr>
          <w:rFonts w:hint="eastAsia" w:ascii="宋体" w:hAnsi="宋体"/>
          <w:color w:val="000000" w:themeColor="text1"/>
          <w:highlight w:val="none"/>
        </w:rPr>
      </w:pPr>
      <w:r>
        <w:rPr>
          <w:rFonts w:hint="eastAsia" w:ascii="宋体" w:hAnsi="宋体"/>
          <w:color w:val="000000" w:themeColor="text1"/>
          <w:highlight w:val="none"/>
        </w:rPr>
        <w:t>4.3根据财库〔</w:t>
      </w:r>
      <w:r>
        <w:rPr>
          <w:rFonts w:ascii="宋体" w:hAnsi="宋体"/>
          <w:color w:val="000000" w:themeColor="text1"/>
          <w:highlight w:val="none"/>
        </w:rPr>
        <w:t xml:space="preserve"> 2014</w:t>
      </w:r>
      <w:r>
        <w:rPr>
          <w:rFonts w:hint="eastAsia" w:ascii="宋体" w:hAnsi="宋体"/>
          <w:color w:val="000000" w:themeColor="text1"/>
          <w:highlight w:val="none"/>
        </w:rPr>
        <w:t>〕</w:t>
      </w:r>
      <w:r>
        <w:rPr>
          <w:rFonts w:ascii="宋体" w:hAnsi="宋体"/>
          <w:color w:val="000000" w:themeColor="text1"/>
          <w:highlight w:val="none"/>
        </w:rPr>
        <w:t xml:space="preserve"> 68 </w:t>
      </w:r>
      <w:r>
        <w:rPr>
          <w:rFonts w:hint="eastAsia" w:ascii="宋体" w:hAnsi="宋体"/>
          <w:color w:val="000000" w:themeColor="text1"/>
          <w:highlight w:val="none"/>
        </w:rPr>
        <w:t>号《财政部</w:t>
      </w:r>
      <w:r>
        <w:rPr>
          <w:rFonts w:ascii="宋体" w:hAnsi="宋体"/>
          <w:color w:val="000000" w:themeColor="text1"/>
          <w:highlight w:val="none"/>
        </w:rPr>
        <w:t xml:space="preserve"> </w:t>
      </w:r>
      <w:r>
        <w:rPr>
          <w:rFonts w:hint="eastAsia" w:ascii="宋体" w:hAnsi="宋体"/>
          <w:color w:val="000000" w:themeColor="text1"/>
          <w:highlight w:val="none"/>
        </w:rPr>
        <w:t>司法部关于政府采购支持监狱企业发展有关问题的</w:t>
      </w:r>
      <w:r>
        <w:rPr>
          <w:rFonts w:ascii="宋体" w:hAnsi="宋体"/>
          <w:color w:val="000000" w:themeColor="text1"/>
          <w:highlight w:val="none"/>
        </w:rPr>
        <w:t xml:space="preserve"> </w:t>
      </w:r>
      <w:r>
        <w:rPr>
          <w:rFonts w:hint="eastAsia" w:ascii="宋体" w:hAnsi="宋体"/>
          <w:color w:val="000000" w:themeColor="text1"/>
          <w:highlight w:val="none"/>
        </w:rPr>
        <w:t>通知》，监狱企业视同小微企业。监狱企业是指由司法部认定的为罪犯、戒毒人员提供生产</w:t>
      </w:r>
      <w:r>
        <w:rPr>
          <w:rFonts w:ascii="宋体" w:hAnsi="宋体"/>
          <w:color w:val="000000" w:themeColor="text1"/>
          <w:highlight w:val="none"/>
        </w:rPr>
        <w:t xml:space="preserve"> </w:t>
      </w:r>
      <w:r>
        <w:rPr>
          <w:rFonts w:hint="eastAsia" w:ascii="宋体" w:hAnsi="宋体"/>
          <w:color w:val="000000" w:themeColor="text1"/>
          <w:highlight w:val="none"/>
        </w:rPr>
        <w:t>项目和劳动对象，且全部产权属于司法部监狱管理局、戒毒管理局、直属煤矿管理局，各省、自治区、直辖市监狱管理局、戒毒管理局，各地</w:t>
      </w:r>
      <w:r>
        <w:rPr>
          <w:rFonts w:ascii="宋体" w:hAnsi="宋体"/>
          <w:color w:val="000000" w:themeColor="text1"/>
          <w:highlight w:val="none"/>
        </w:rPr>
        <w:t>(</w:t>
      </w:r>
      <w:r>
        <w:rPr>
          <w:rFonts w:hint="eastAsia" w:ascii="宋体" w:hAnsi="宋体"/>
          <w:color w:val="000000" w:themeColor="text1"/>
          <w:highlight w:val="none"/>
        </w:rPr>
        <w:t>设区的市</w:t>
      </w:r>
      <w:r>
        <w:rPr>
          <w:rFonts w:ascii="宋体" w:hAnsi="宋体"/>
          <w:color w:val="000000" w:themeColor="text1"/>
          <w:highlight w:val="none"/>
        </w:rPr>
        <w:t>)</w:t>
      </w:r>
      <w:r>
        <w:rPr>
          <w:rFonts w:hint="eastAsia" w:ascii="宋体" w:hAnsi="宋体"/>
          <w:color w:val="000000" w:themeColor="text1"/>
          <w:highlight w:val="none"/>
        </w:rPr>
        <w:t>监狱、强制隔离戒毒所、</w:t>
      </w:r>
      <w:r>
        <w:rPr>
          <w:rFonts w:ascii="宋体" w:hAnsi="宋体"/>
          <w:color w:val="000000" w:themeColor="text1"/>
          <w:highlight w:val="none"/>
        </w:rPr>
        <w:t xml:space="preserve"> </w:t>
      </w:r>
      <w:r>
        <w:rPr>
          <w:rFonts w:hint="eastAsia" w:ascii="宋体" w:hAnsi="宋体"/>
          <w:color w:val="000000" w:themeColor="text1"/>
          <w:highlight w:val="none"/>
        </w:rPr>
        <w:t>戒毒康复所，以及新疆生产建设兵团监狱管理局、戒毒管理局的企业。监狱企业投标时，</w:t>
      </w:r>
      <w:r>
        <w:rPr>
          <w:rFonts w:ascii="宋体" w:hAnsi="宋体"/>
          <w:color w:val="000000" w:themeColor="text1"/>
          <w:highlight w:val="none"/>
        </w:rPr>
        <w:t xml:space="preserve"> </w:t>
      </w:r>
      <w:r>
        <w:rPr>
          <w:rFonts w:hint="eastAsia" w:ascii="宋体" w:hAnsi="宋体"/>
          <w:color w:val="000000" w:themeColor="text1"/>
          <w:highlight w:val="none"/>
        </w:rPr>
        <w:t>提供由省级以上监狱管理局、戒毒管理局</w:t>
      </w:r>
      <w:r>
        <w:rPr>
          <w:rFonts w:ascii="宋体" w:hAnsi="宋体"/>
          <w:color w:val="000000" w:themeColor="text1"/>
          <w:highlight w:val="none"/>
        </w:rPr>
        <w:t>(</w:t>
      </w:r>
      <w:r>
        <w:rPr>
          <w:rFonts w:hint="eastAsia" w:ascii="宋体" w:hAnsi="宋体"/>
          <w:color w:val="000000" w:themeColor="text1"/>
          <w:highlight w:val="none"/>
        </w:rPr>
        <w:t>含新疆生产建设兵团</w:t>
      </w:r>
      <w:r>
        <w:rPr>
          <w:rFonts w:ascii="宋体" w:hAnsi="宋体"/>
          <w:color w:val="000000" w:themeColor="text1"/>
          <w:highlight w:val="none"/>
        </w:rPr>
        <w:t>)</w:t>
      </w:r>
      <w:r>
        <w:rPr>
          <w:rFonts w:hint="eastAsia" w:ascii="宋体" w:hAnsi="宋体"/>
          <w:color w:val="000000" w:themeColor="text1"/>
          <w:highlight w:val="none"/>
        </w:rPr>
        <w:t>出具的属于监狱企业的证明文件，不再提供《中小微企业声明函》。</w:t>
      </w:r>
    </w:p>
    <w:p>
      <w:pPr>
        <w:spacing w:line="360" w:lineRule="auto"/>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4.4</w:t>
      </w:r>
      <w:r>
        <w:rPr>
          <w:rFonts w:hint="eastAsia" w:ascii="宋体" w:hAnsi="宋体" w:eastAsia="宋体" w:cs="宋体"/>
          <w:bCs/>
          <w:color w:val="000000" w:themeColor="text1"/>
          <w:highlight w:val="none"/>
          <w:lang w:val="en-US" w:eastAsia="zh-CN"/>
        </w:rPr>
        <w:t>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rPr>
          <w:rFonts w:ascii="宋体" w:hAnsi="宋体"/>
          <w:color w:val="000000" w:themeColor="text1"/>
          <w:highlight w:val="none"/>
        </w:rPr>
      </w:pPr>
      <w:r>
        <w:rPr>
          <w:rFonts w:hint="eastAsia" w:ascii="宋体" w:hAnsi="宋体"/>
          <w:color w:val="000000" w:themeColor="text1"/>
          <w:highlight w:val="none"/>
        </w:rPr>
        <w:t>4.</w:t>
      </w:r>
      <w:r>
        <w:rPr>
          <w:rFonts w:hint="eastAsia" w:ascii="宋体" w:hAnsi="宋体"/>
          <w:color w:val="000000" w:themeColor="text1"/>
          <w:highlight w:val="none"/>
          <w:lang w:val="en-US" w:eastAsia="zh-CN"/>
        </w:rPr>
        <w:t>5</w:t>
      </w:r>
      <w:r>
        <w:rPr>
          <w:rFonts w:hint="eastAsia" w:ascii="宋体" w:hAnsi="宋体"/>
          <w:color w:val="000000" w:themeColor="text1"/>
          <w:highlight w:val="none"/>
        </w:rPr>
        <w:t>对于非专门面向中小微型企业采购的项目，依照《政府采购促进中小企业发展暂行办法》的规定，凡符合要求的有效投标人，按照以下比例给予相应的价格扣除：</w:t>
      </w:r>
    </w:p>
    <w:tbl>
      <w:tblPr>
        <w:tblStyle w:val="51"/>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rPr>
              <w:t>-</w:t>
            </w:r>
            <w:r>
              <w:rPr>
                <w:rFonts w:hint="eastAsia" w:ascii="宋体" w:hAnsi="宋体"/>
                <w:color w:val="000000" w:themeColor="text1"/>
                <w:highlight w:val="none"/>
              </w:rPr>
              <w:t>小型和微型企业产品的价格×</w:t>
            </w:r>
            <w:r>
              <w:rPr>
                <w:rFonts w:hint="eastAsia" w:ascii="宋体" w:hAnsi="宋体"/>
                <w:color w:val="000000" w:themeColor="text1"/>
                <w:highlight w:val="none"/>
                <w:lang w:val="en-US" w:eastAsia="zh-CN"/>
              </w:rPr>
              <w:t>10</w:t>
            </w:r>
            <w:r>
              <w:rPr>
                <w:rFonts w:ascii="宋体" w:hAnsi="宋体"/>
                <w:color w:val="000000" w:themeColor="text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对小型和微型企业产品的价格扣除</w:t>
            </w:r>
            <w:r>
              <w:rPr>
                <w:rFonts w:hint="eastAsia" w:ascii="宋体" w:hAnsi="宋体"/>
                <w:color w:val="000000" w:themeColor="text1"/>
                <w:highlight w:val="none"/>
                <w:lang w:val="en-US" w:eastAsia="zh-CN"/>
              </w:rPr>
              <w:t>10</w:t>
            </w:r>
            <w:r>
              <w:rPr>
                <w:rFonts w:ascii="宋体" w:hAnsi="宋体"/>
                <w:color w:val="000000" w:themeColor="text1"/>
                <w:highlight w:val="none"/>
              </w:rPr>
              <w:t>%(</w:t>
            </w:r>
            <w:r>
              <w:rPr>
                <w:rFonts w:hint="eastAsia" w:ascii="宋体" w:hAnsi="宋体"/>
                <w:color w:val="000000" w:themeColor="text1"/>
                <w:highlight w:val="none"/>
              </w:rPr>
              <w:t>不再享受序号</w:t>
            </w:r>
            <w:r>
              <w:rPr>
                <w:rFonts w:ascii="宋体" w:hAnsi="宋体"/>
                <w:color w:val="000000" w:themeColor="text1"/>
                <w:highlight w:val="none"/>
              </w:rPr>
              <w:t>3</w:t>
            </w:r>
            <w:r>
              <w:rPr>
                <w:rFonts w:hint="eastAsia" w:ascii="宋体" w:hAnsi="宋体"/>
                <w:color w:val="000000" w:themeColor="text1"/>
                <w:highlight w:val="none"/>
              </w:rPr>
              <w:t>的价格折扣</w:t>
            </w:r>
            <w:r>
              <w:rPr>
                <w:rFonts w:ascii="宋体" w:hAnsi="宋体"/>
                <w:color w:val="000000" w:themeColor="text1"/>
                <w:highlight w:val="none"/>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ascii="宋体" w:hAnsi="宋体"/>
                <w:color w:val="000000" w:themeColor="text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联合体一方为小型、微型企业且小型、微型企业协议合同金额占联合体协议合同总金额</w:t>
            </w:r>
            <w:r>
              <w:rPr>
                <w:rFonts w:ascii="宋体" w:hAnsi="宋体"/>
                <w:color w:val="000000" w:themeColor="text1"/>
                <w:highlight w:val="none"/>
              </w:rPr>
              <w:t>30%</w:t>
            </w:r>
            <w:r>
              <w:rPr>
                <w:rFonts w:hint="eastAsia" w:ascii="宋体" w:hAnsi="宋体"/>
                <w:color w:val="000000" w:themeColor="text1"/>
                <w:highlight w:val="none"/>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对联合体总金额扣除</w:t>
            </w:r>
            <w:r>
              <w:rPr>
                <w:rFonts w:hint="eastAsia" w:ascii="宋体" w:hAnsi="宋体"/>
                <w:color w:val="000000" w:themeColor="text1"/>
                <w:highlight w:val="none"/>
                <w:lang w:val="en-US" w:eastAsia="zh-CN"/>
              </w:rPr>
              <w:t>4</w:t>
            </w:r>
            <w:r>
              <w:rPr>
                <w:rFonts w:ascii="宋体" w:hAnsi="宋体"/>
                <w:color w:val="000000" w:themeColor="text1"/>
                <w:highlight w:val="non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spacing w:line="360" w:lineRule="auto"/>
              <w:rPr>
                <w:rFonts w:ascii="宋体" w:hAnsi="宋体"/>
                <w:color w:val="000000" w:themeColor="text1"/>
                <w:highlight w:val="none"/>
              </w:rPr>
            </w:pPr>
            <w:r>
              <w:rPr>
                <w:rFonts w:hint="eastAsia" w:ascii="宋体" w:hAnsi="宋体"/>
                <w:color w:val="000000" w:themeColor="text1"/>
                <w:highlight w:val="none"/>
              </w:rPr>
              <w:t>评标价</w:t>
            </w:r>
            <w:r>
              <w:rPr>
                <w:rFonts w:ascii="宋体" w:hAnsi="宋体"/>
                <w:color w:val="000000" w:themeColor="text1"/>
                <w:highlight w:val="none"/>
              </w:rPr>
              <w:t>=</w:t>
            </w:r>
            <w:r>
              <w:rPr>
                <w:rFonts w:hint="eastAsia" w:ascii="宋体" w:hAnsi="宋体"/>
                <w:color w:val="000000" w:themeColor="text1"/>
                <w:highlight w:val="none"/>
              </w:rPr>
              <w:t>总投标报价×（</w:t>
            </w:r>
            <w:r>
              <w:rPr>
                <w:rFonts w:ascii="宋体" w:hAnsi="宋体"/>
                <w:color w:val="000000" w:themeColor="text1"/>
                <w:highlight w:val="none"/>
                <w:u w:val="single"/>
              </w:rPr>
              <w:t>1-</w:t>
            </w:r>
            <w:r>
              <w:rPr>
                <w:rFonts w:hint="eastAsia" w:ascii="宋体" w:hAnsi="宋体"/>
                <w:color w:val="000000" w:themeColor="text1"/>
                <w:highlight w:val="none"/>
                <w:u w:val="single"/>
                <w:lang w:val="en-US" w:eastAsia="zh-CN"/>
              </w:rPr>
              <w:t>4</w:t>
            </w:r>
            <w:r>
              <w:rPr>
                <w:rFonts w:ascii="宋体" w:hAnsi="宋体"/>
                <w:color w:val="000000" w:themeColor="text1"/>
                <w:highlight w:val="none"/>
                <w:u w:val="single"/>
              </w:rPr>
              <w:t>%</w:t>
            </w:r>
            <w:r>
              <w:rPr>
                <w:rFonts w:hint="eastAsia" w:ascii="宋体" w:hAnsi="宋体"/>
                <w:color w:val="000000" w:themeColor="text1"/>
                <w:highlight w:val="none"/>
              </w:rPr>
              <w:t>）</w:t>
            </w:r>
          </w:p>
        </w:tc>
      </w:tr>
    </w:tbl>
    <w:p>
      <w:pPr>
        <w:spacing w:line="360" w:lineRule="auto"/>
        <w:rPr>
          <w:rFonts w:ascii="宋体" w:hAnsi="宋体"/>
          <w:color w:val="000000" w:themeColor="text1"/>
          <w:highlight w:val="none"/>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8" w:right="1230" w:bottom="1134" w:left="1230" w:header="851" w:footer="851" w:gutter="0"/>
          <w:cols w:space="720" w:num="1"/>
          <w:titlePg/>
          <w:docGrid w:linePitch="312" w:charSpace="0"/>
        </w:sectPr>
      </w:pPr>
    </w:p>
    <w:bookmarkEnd w:id="155"/>
    <w:bookmarkEnd w:id="156"/>
    <w:bookmarkEnd w:id="157"/>
    <w:bookmarkEnd w:id="158"/>
    <w:bookmarkEnd w:id="159"/>
    <w:bookmarkEnd w:id="160"/>
    <w:bookmarkEnd w:id="161"/>
    <w:bookmarkEnd w:id="162"/>
    <w:bookmarkEnd w:id="163"/>
    <w:bookmarkEnd w:id="164"/>
    <w:p>
      <w:pPr>
        <w:pStyle w:val="3"/>
        <w:numPr>
          <w:ilvl w:val="0"/>
          <w:numId w:val="0"/>
        </w:numPr>
        <w:spacing w:beforeLines="0"/>
        <w:rPr>
          <w:rFonts w:ascii="宋体" w:hAnsi="宋体" w:eastAsia="宋体"/>
          <w:b/>
          <w:color w:val="000000" w:themeColor="text1"/>
          <w:highlight w:val="none"/>
        </w:rPr>
      </w:pPr>
      <w:bookmarkStart w:id="180" w:name="_Hlt21939000"/>
      <w:bookmarkEnd w:id="180"/>
      <w:bookmarkStart w:id="181" w:name="_Toc332206717"/>
      <w:bookmarkStart w:id="182" w:name="_Toc365985187"/>
      <w:bookmarkStart w:id="183" w:name="_Toc331512907"/>
      <w:bookmarkStart w:id="184" w:name="_Toc339020242"/>
      <w:bookmarkStart w:id="185" w:name="_Toc366072538"/>
      <w:bookmarkStart w:id="186" w:name="_Toc339020024"/>
      <w:bookmarkStart w:id="187" w:name="_Toc340677079"/>
      <w:bookmarkStart w:id="188" w:name="_Toc350438758"/>
      <w:bookmarkStart w:id="189" w:name="_Toc333237686"/>
      <w:bookmarkStart w:id="190" w:name="_Toc339020104"/>
      <w:bookmarkStart w:id="191" w:name="_Toc333935696"/>
      <w:bookmarkStart w:id="192" w:name="_Toc342060383"/>
      <w:bookmarkStart w:id="193" w:name="_Toc333238642"/>
      <w:bookmarkStart w:id="194" w:name="_Toc349143598"/>
      <w:bookmarkStart w:id="195" w:name="_Toc336681944"/>
      <w:bookmarkStart w:id="196" w:name="_Toc350756459"/>
      <w:bookmarkStart w:id="197" w:name="_Toc331684047"/>
      <w:bookmarkStart w:id="198" w:name="_Toc332270355"/>
      <w:bookmarkStart w:id="199" w:name="_Toc365967081"/>
      <w:bookmarkStart w:id="200" w:name="_Toc341348347"/>
      <w:bookmarkStart w:id="201" w:name="_Toc339019898"/>
      <w:bookmarkStart w:id="202" w:name="_Toc333935355"/>
      <w:bookmarkStart w:id="203" w:name="_Toc340672878"/>
      <w:bookmarkStart w:id="204" w:name="_Toc339362309"/>
      <w:bookmarkStart w:id="205" w:name="_Toc340507451"/>
      <w:bookmarkStart w:id="206" w:name="_Toc349127635"/>
      <w:bookmarkStart w:id="207" w:name="_Toc333237797"/>
      <w:bookmarkStart w:id="208" w:name="_Toc339441096"/>
      <w:bookmarkStart w:id="209" w:name="_Toc374454610"/>
      <w:bookmarkStart w:id="210" w:name="_Toc336681589"/>
      <w:bookmarkStart w:id="211" w:name="_Toc345513910"/>
      <w:bookmarkStart w:id="212" w:name="_Toc330459994"/>
      <w:bookmarkStart w:id="213" w:name="_Toc342296769"/>
      <w:bookmarkStart w:id="214" w:name="_Toc337632367"/>
      <w:bookmarkStart w:id="215" w:name="_Toc3738"/>
      <w:r>
        <w:rPr>
          <w:rFonts w:hint="eastAsia" w:ascii="宋体" w:hAnsi="宋体" w:eastAsia="宋体"/>
          <w:b/>
          <w:color w:val="000000" w:themeColor="text1"/>
          <w:highlight w:val="none"/>
        </w:rPr>
        <w:t xml:space="preserve">第五部分  </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Start w:id="216" w:name="_Hlt97188170"/>
      <w:bookmarkEnd w:id="216"/>
      <w:r>
        <w:rPr>
          <w:rFonts w:hint="eastAsia" w:ascii="宋体" w:hAnsi="宋体"/>
          <w:b/>
          <w:color w:val="000000" w:themeColor="text1"/>
          <w:sz w:val="21"/>
          <w:szCs w:val="21"/>
          <w:highlight w:val="none"/>
        </w:rPr>
        <w:t>合同书格式（参考范本）</w:t>
      </w:r>
      <w:bookmarkEnd w:id="215"/>
    </w:p>
    <w:p>
      <w:pPr>
        <w:spacing w:line="360" w:lineRule="auto"/>
        <w:ind w:firstLine="420" w:firstLineChars="200"/>
        <w:rPr>
          <w:rFonts w:ascii="宋体" w:hAnsi="宋体"/>
          <w:bCs/>
          <w:color w:val="000000" w:themeColor="text1"/>
          <w:highlight w:val="none"/>
        </w:rPr>
      </w:pPr>
      <w:r>
        <w:rPr>
          <w:rFonts w:hint="eastAsia" w:ascii="宋体" w:hAnsi="宋体"/>
          <w:bCs/>
          <w:color w:val="000000" w:themeColor="text1"/>
          <w:szCs w:val="21"/>
          <w:highlight w:val="none"/>
        </w:rPr>
        <w:t>甲乙双方根据</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年</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月</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hAnsi="宋体"/>
          <w:b/>
          <w:color w:val="000000" w:themeColor="text1"/>
          <w:sz w:val="32"/>
          <w:szCs w:val="32"/>
          <w:highlight w:val="none"/>
        </w:rPr>
        <w:t xml:space="preserve"> </w:t>
      </w:r>
      <w:r>
        <w:rPr>
          <w:rFonts w:hint="eastAsia" w:ascii="宋体" w:hAnsi="宋体"/>
          <w:b/>
          <w:color w:val="000000" w:themeColor="text1"/>
          <w:szCs w:val="21"/>
          <w:highlight w:val="none"/>
          <w:u w:val="single"/>
        </w:rPr>
        <w:t xml:space="preserve">       </w:t>
      </w:r>
      <w:r>
        <w:rPr>
          <w:rFonts w:hint="eastAsia" w:ascii="宋体" w:hAnsi="宋体"/>
          <w:bCs/>
          <w:color w:val="000000" w:themeColor="text1"/>
          <w:szCs w:val="21"/>
          <w:highlight w:val="none"/>
        </w:rPr>
        <w:t>）成交结果和有关磋商文件、磋商响应文件的要求，经双方协商一致，订立以下合同：</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36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u w:val="single"/>
        </w:rPr>
        <w:t xml:space="preserve">（大写）                               </w:t>
      </w:r>
    </w:p>
    <w:p>
      <w:pPr>
        <w:tabs>
          <w:tab w:val="left" w:pos="1004"/>
        </w:tabs>
        <w:spacing w:line="36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360" w:lineRule="auto"/>
        <w:ind w:left="1079" w:leftChars="514" w:right="31" w:rightChars="15"/>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完工和验收</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36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36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23"/>
        </w:numPr>
        <w:tabs>
          <w:tab w:val="left" w:pos="1680"/>
        </w:tabs>
        <w:spacing w:line="36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质量符合磋商文件和磋商响应文件的要求；</w:t>
      </w:r>
    </w:p>
    <w:p>
      <w:pPr>
        <w:numPr>
          <w:ilvl w:val="6"/>
          <w:numId w:val="23"/>
        </w:numPr>
        <w:tabs>
          <w:tab w:val="left" w:pos="1680"/>
          <w:tab w:val="clear" w:pos="4830"/>
        </w:tabs>
        <w:spacing w:line="36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24"/>
        </w:numPr>
        <w:tabs>
          <w:tab w:val="left" w:pos="945"/>
        </w:tabs>
        <w:adjustRightInd w:val="0"/>
        <w:snapToGrid w:val="0"/>
        <w:spacing w:line="36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24"/>
        </w:numPr>
        <w:tabs>
          <w:tab w:val="left" w:pos="1155"/>
          <w:tab w:val="clear" w:pos="1203"/>
        </w:tabs>
        <w:adjustRightInd w:val="0"/>
        <w:snapToGrid w:val="0"/>
        <w:spacing w:line="36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36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甲方在验收中，如果发现乙方所提供的服务质量或相关服务不合规定的，在2日内向乙方提出书面异议。</w:t>
      </w:r>
    </w:p>
    <w:p>
      <w:pPr>
        <w:tabs>
          <w:tab w:val="left" w:pos="1255"/>
        </w:tabs>
        <w:spacing w:line="36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乙方在接到甲方书面异议后，应在10日历日内负责处理，否则，即视为默认甲方提出的异议和处理意见。</w:t>
      </w:r>
    </w:p>
    <w:p>
      <w:pPr>
        <w:tabs>
          <w:tab w:val="left" w:pos="1004"/>
        </w:tabs>
        <w:spacing w:line="360" w:lineRule="auto"/>
        <w:rPr>
          <w:rFonts w:ascii="宋体" w:hAnsi="宋体"/>
          <w:bCs/>
          <w:color w:val="000000" w:themeColor="text1"/>
          <w:szCs w:val="21"/>
          <w:highlight w:val="none"/>
        </w:rPr>
      </w:pP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乙方所提供的服务质量、拟投入人员不符合合同规定的，由乙方负责按照原磋商文件、更正公告内容和质疑答疑文件（若有）、磋商响应文件、中标（成交）通知书等实质性内容重新免费提供该项目服务内容。</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每推迟一天按总价的1%</w:t>
      </w:r>
      <w:r>
        <w:rPr>
          <w:rFonts w:hint="eastAsia" w:ascii="宋体" w:hAnsi="宋体"/>
          <w:bCs/>
          <w:color w:val="000000" w:themeColor="text1"/>
          <w:szCs w:val="21"/>
          <w:highlight w:val="none"/>
          <w:lang w:val="en-US" w:eastAsia="zh-CN"/>
        </w:rPr>
        <w:t>支付违约金</w:t>
      </w:r>
      <w:r>
        <w:rPr>
          <w:rFonts w:hint="eastAsia" w:ascii="宋体" w:hAnsi="宋体"/>
          <w:bCs/>
          <w:color w:val="000000" w:themeColor="text1"/>
          <w:szCs w:val="21"/>
          <w:highlight w:val="none"/>
        </w:rPr>
        <w:t>。</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甲方逾期付款的，每日应向乙方偿付合同总额的千分之五作为违约金。</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rPr>
        <w:t>1</w:t>
      </w:r>
      <w:r>
        <w:rPr>
          <w:rFonts w:hint="eastAsia" w:ascii="宋体" w:hAnsi="宋体"/>
          <w:bCs/>
          <w:color w:val="000000" w:themeColor="text1"/>
          <w:szCs w:val="21"/>
          <w:highlight w:val="none"/>
        </w:rPr>
        <w:t>0个工作日内将有关当局出具的证明文件用专人递交、特快专递或挂号信寄给对方审阅确认。</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36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w:t>
      </w:r>
      <w:r>
        <w:rPr>
          <w:rFonts w:hint="eastAsia" w:ascii="宋体" w:hAnsi="宋体"/>
          <w:color w:val="000000" w:themeColor="text1"/>
          <w:szCs w:val="21"/>
          <w:highlight w:val="none"/>
          <w:lang w:val="en-US" w:eastAsia="zh-CN"/>
        </w:rPr>
        <w:t>向阳春市人民</w:t>
      </w:r>
      <w:r>
        <w:rPr>
          <w:rFonts w:hint="eastAsia" w:ascii="宋体" w:hAnsi="宋体"/>
          <w:color w:val="000000" w:themeColor="text1"/>
          <w:szCs w:val="21"/>
          <w:highlight w:val="none"/>
        </w:rPr>
        <w:t>法院提出诉讼。诉讼费应由败诉方负担。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36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份，甲乙双方各执</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360" w:lineRule="auto"/>
        <w:ind w:left="752" w:leftChars="358" w:firstLine="420"/>
        <w:rPr>
          <w:rFonts w:ascii="宋体" w:hAnsi="宋体"/>
          <w:bCs/>
          <w:color w:val="000000" w:themeColor="text1"/>
          <w:szCs w:val="21"/>
          <w:highlight w:val="none"/>
        </w:rPr>
      </w:pPr>
    </w:p>
    <w:p>
      <w:pPr>
        <w:spacing w:line="360" w:lineRule="auto"/>
        <w:ind w:left="752" w:leftChars="358" w:firstLine="420"/>
        <w:rPr>
          <w:rFonts w:ascii="宋体" w:hAnsi="宋体"/>
          <w:bCs/>
          <w:color w:val="000000" w:themeColor="text1"/>
          <w:szCs w:val="21"/>
          <w:highlight w:val="none"/>
        </w:rPr>
      </w:pP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1004"/>
          <w:tab w:val="left" w:pos="4267"/>
        </w:tabs>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36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440" w:lineRule="exact"/>
        <w:ind w:right="31" w:rightChars="15"/>
        <w:rPr>
          <w:rFonts w:ascii="宋体" w:hAnsi="宋体"/>
          <w:b/>
          <w:bCs/>
          <w:color w:val="000000" w:themeColor="text1"/>
          <w:szCs w:val="21"/>
          <w:highlight w:val="none"/>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rFonts w:ascii="宋体" w:hAnsi="宋体" w:eastAsia="宋体"/>
          <w:b/>
          <w:color w:val="000000" w:themeColor="text1"/>
          <w:highlight w:val="none"/>
        </w:rPr>
      </w:pPr>
      <w:bookmarkStart w:id="217" w:name="_Toc332270356"/>
      <w:bookmarkStart w:id="218" w:name="_Toc336681590"/>
      <w:bookmarkStart w:id="219" w:name="_Toc340672879"/>
      <w:bookmarkStart w:id="220" w:name="_Toc333935356"/>
      <w:bookmarkStart w:id="221" w:name="_Toc331684048"/>
      <w:bookmarkStart w:id="222" w:name="_Toc333237687"/>
      <w:bookmarkStart w:id="223" w:name="_Toc349127636"/>
      <w:bookmarkStart w:id="224" w:name="_Toc350756460"/>
      <w:bookmarkStart w:id="225" w:name="_Toc336681945"/>
      <w:bookmarkStart w:id="226" w:name="_Toc340677080"/>
      <w:bookmarkStart w:id="227" w:name="_Toc339019899"/>
      <w:bookmarkStart w:id="228" w:name="_Toc330459995"/>
      <w:bookmarkStart w:id="229" w:name="_Toc333238643"/>
      <w:bookmarkStart w:id="230" w:name="_Toc333237798"/>
      <w:bookmarkStart w:id="231" w:name="_Toc342060384"/>
      <w:bookmarkStart w:id="232" w:name="_Toc341348348"/>
      <w:bookmarkStart w:id="233" w:name="_Toc340507452"/>
      <w:bookmarkStart w:id="234" w:name="_Toc342296770"/>
      <w:bookmarkStart w:id="235" w:name="_Toc339362310"/>
      <w:bookmarkStart w:id="236" w:name="_Toc366072539"/>
      <w:bookmarkStart w:id="237" w:name="_Toc349143599"/>
      <w:bookmarkStart w:id="238" w:name="_Toc365985188"/>
      <w:bookmarkStart w:id="239" w:name="_Toc350438759"/>
      <w:bookmarkStart w:id="240" w:name="_Toc333935697"/>
      <w:bookmarkStart w:id="241" w:name="_Toc365967082"/>
      <w:bookmarkStart w:id="242" w:name="_Toc491658678"/>
      <w:bookmarkStart w:id="243" w:name="_Toc332206718"/>
      <w:bookmarkStart w:id="244" w:name="_Toc339020243"/>
      <w:bookmarkStart w:id="245" w:name="_Toc331512908"/>
      <w:bookmarkStart w:id="246" w:name="_Toc339441097"/>
      <w:bookmarkStart w:id="247" w:name="_Toc500861025"/>
      <w:bookmarkStart w:id="248" w:name="_Toc339020025"/>
      <w:bookmarkStart w:id="249" w:name="_Toc339020105"/>
      <w:bookmarkStart w:id="250" w:name="_Toc337632368"/>
      <w:bookmarkStart w:id="251" w:name="_Toc14547"/>
      <w:bookmarkStart w:id="252" w:name="_Toc345513911"/>
      <w:r>
        <w:rPr>
          <w:rFonts w:hint="eastAsia" w:ascii="宋体" w:hAnsi="宋体" w:eastAsia="宋体"/>
          <w:b/>
          <w:color w:val="000000" w:themeColor="text1"/>
          <w:highlight w:val="none"/>
        </w:rPr>
        <w:t>第六部分</w:t>
      </w:r>
      <w:bookmarkStart w:id="253" w:name="_Hlt97188172"/>
      <w:bookmarkEnd w:id="253"/>
      <w:r>
        <w:rPr>
          <w:rFonts w:hint="eastAsia" w:ascii="宋体" w:hAnsi="宋体" w:eastAsia="宋体"/>
          <w:b/>
          <w:color w:val="000000" w:themeColor="text1"/>
          <w:highlight w:val="none"/>
        </w:rPr>
        <w:t xml:space="preserve"> </w:t>
      </w:r>
      <w:r>
        <w:rPr>
          <w:rFonts w:ascii="宋体" w:hAnsi="宋体" w:eastAsia="宋体"/>
          <w:b/>
          <w:color w:val="000000" w:themeColor="text1"/>
          <w:highlight w:val="none"/>
        </w:rPr>
        <w:t xml:space="preserve"> </w:t>
      </w:r>
      <w:r>
        <w:rPr>
          <w:rFonts w:hint="eastAsia" w:ascii="宋体" w:hAnsi="宋体" w:eastAsia="宋体"/>
          <w:b/>
          <w:color w:val="000000" w:themeColor="text1"/>
          <w:highlight w:val="none"/>
        </w:rPr>
        <w:t>磋商响应文件格式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Start w:id="254" w:name="_Hlt21938933"/>
      <w:bookmarkEnd w:id="254"/>
    </w:p>
    <w:p>
      <w:pPr>
        <w:rPr>
          <w:rFonts w:ascii="宋体" w:hAnsi="宋体"/>
          <w:color w:val="000000" w:themeColor="text1"/>
          <w:highlight w:val="none"/>
        </w:rPr>
      </w:pPr>
    </w:p>
    <w:p>
      <w:pPr>
        <w:pStyle w:val="4"/>
        <w:numPr>
          <w:ilvl w:val="1"/>
          <w:numId w:val="0"/>
        </w:numPr>
        <w:rPr>
          <w:rFonts w:ascii="宋体" w:hAnsi="宋体"/>
          <w:color w:val="000000" w:themeColor="text1"/>
          <w:sz w:val="24"/>
          <w:highlight w:val="none"/>
        </w:rPr>
      </w:pPr>
      <w:bookmarkStart w:id="255" w:name="_Toc333237799"/>
      <w:bookmarkStart w:id="256" w:name="_Toc350756461"/>
      <w:bookmarkStart w:id="257" w:name="_Toc345513912"/>
      <w:bookmarkStart w:id="258" w:name="_Toc339020026"/>
      <w:bookmarkStart w:id="259" w:name="_Toc342296771"/>
      <w:bookmarkStart w:id="260" w:name="_Toc333935357"/>
      <w:bookmarkStart w:id="261" w:name="_Toc340677081"/>
      <w:bookmarkStart w:id="262" w:name="_Toc350438760"/>
      <w:bookmarkStart w:id="263" w:name="_Toc340672880"/>
      <w:bookmarkStart w:id="264" w:name="_Toc336681946"/>
      <w:bookmarkStart w:id="265" w:name="_Toc365985189"/>
      <w:bookmarkStart w:id="266" w:name="_Toc331684049"/>
      <w:bookmarkStart w:id="267" w:name="_Toc349143600"/>
      <w:bookmarkStart w:id="268" w:name="_Toc339020106"/>
      <w:bookmarkStart w:id="269" w:name="_Toc341348349"/>
      <w:bookmarkStart w:id="270" w:name="_Toc339441098"/>
      <w:bookmarkStart w:id="271" w:name="_Toc1318"/>
      <w:bookmarkStart w:id="272" w:name="_Toc337632369"/>
      <w:bookmarkStart w:id="273" w:name="_Toc365967083"/>
      <w:bookmarkStart w:id="274" w:name="_Toc339020244"/>
      <w:bookmarkStart w:id="275" w:name="_Toc331512909"/>
      <w:bookmarkStart w:id="276" w:name="_Toc332270357"/>
      <w:bookmarkStart w:id="277" w:name="_Toc339362311"/>
      <w:bookmarkStart w:id="278" w:name="_Toc333935698"/>
      <w:bookmarkStart w:id="279" w:name="_Toc342060385"/>
      <w:bookmarkStart w:id="280" w:name="_Toc333238644"/>
      <w:bookmarkStart w:id="281" w:name="_Toc339019900"/>
      <w:bookmarkStart w:id="282" w:name="_Toc333237688"/>
      <w:bookmarkStart w:id="283" w:name="_Toc340507453"/>
      <w:bookmarkStart w:id="284" w:name="_Toc336681591"/>
      <w:bookmarkStart w:id="285" w:name="_Toc332206719"/>
      <w:bookmarkStart w:id="286" w:name="_Toc330459996"/>
      <w:bookmarkStart w:id="287" w:name="_Toc366072540"/>
      <w:bookmarkStart w:id="288" w:name="_Toc349127637"/>
      <w:r>
        <w:rPr>
          <w:rFonts w:hint="eastAsia" w:ascii="宋体" w:hAnsi="宋体"/>
          <w:color w:val="000000" w:themeColor="text1"/>
          <w:sz w:val="24"/>
          <w:highlight w:val="none"/>
        </w:rPr>
        <w:t>封面格式</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2"/>
        <w:rPr>
          <w:rFonts w:hAnsi="宋体"/>
          <w:bCs/>
          <w:color w:val="000000" w:themeColor="text1"/>
          <w:sz w:val="21"/>
          <w:highlight w:val="none"/>
        </w:rPr>
      </w:pPr>
    </w:p>
    <w:p>
      <w:pPr>
        <w:pStyle w:val="2"/>
        <w:spacing w:line="360" w:lineRule="auto"/>
        <w:rPr>
          <w:rFonts w:hAnsi="宋体"/>
          <w:bCs/>
          <w:color w:val="000000" w:themeColor="text1"/>
          <w:sz w:val="21"/>
          <w:highlight w:val="none"/>
        </w:rPr>
      </w:pPr>
      <w:r>
        <w:rPr>
          <w:rFonts w:hint="eastAsia" w:hAnsi="宋体"/>
          <w:bCs/>
          <w:color w:val="000000" w:themeColor="text1"/>
          <w:sz w:val="21"/>
          <w:highlight w:val="none"/>
        </w:rPr>
        <w:t>投标内容应当编有目录、页码，按页码排序并装订成册；一切未装订成册的磋商响应文件在开标、评标过程中若出现缺页、漏页等现象可能影响投标人评审结果的，后果将由投标人本人负责。</w:t>
      </w:r>
    </w:p>
    <w:p>
      <w:pPr>
        <w:pStyle w:val="2"/>
        <w:spacing w:line="360" w:lineRule="auto"/>
        <w:rPr>
          <w:rFonts w:hAnsi="宋体"/>
          <w:b/>
          <w:color w:val="000000" w:themeColor="text1"/>
          <w:sz w:val="21"/>
          <w:szCs w:val="21"/>
          <w:highlight w:val="none"/>
        </w:rPr>
      </w:pPr>
      <w:r>
        <w:rPr>
          <w:rFonts w:hint="eastAsia" w:hAnsi="宋体"/>
          <w:bCs/>
          <w:color w:val="000000" w:themeColor="text1"/>
          <w:sz w:val="21"/>
          <w:highlight w:val="none"/>
        </w:rPr>
        <w:t>文件的封面格式由投标人自拟，并应注明“磋商响应文件、项目编号、项目名称、投标人名称及地址、法定代表人（负责人）或授权代理人、联系电话、传真、邮编，并加盖投标人公章。如：</w:t>
      </w:r>
      <w:r>
        <w:rPr>
          <w:rFonts w:hint="eastAsia" w:hAnsi="宋体"/>
          <w:b/>
          <w:color w:val="000000" w:themeColor="text1"/>
          <w:sz w:val="21"/>
          <w:szCs w:val="21"/>
          <w:highlight w:val="none"/>
        </w:rPr>
        <w:t xml:space="preserve"> </w:t>
      </w: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rPr>
          <w:rFonts w:hAnsi="宋体"/>
          <w:bCs/>
          <w:color w:val="000000" w:themeColor="text1"/>
          <w:sz w:val="21"/>
          <w:highlight w:val="none"/>
        </w:rPr>
      </w:pPr>
    </w:p>
    <w:p>
      <w:pPr>
        <w:pStyle w:val="2"/>
        <w:spacing w:line="440" w:lineRule="exact"/>
        <w:jc w:val="center"/>
        <w:rPr>
          <w:rFonts w:hAnsi="宋体"/>
          <w:bCs/>
          <w:color w:val="000000" w:themeColor="text1"/>
          <w:sz w:val="21"/>
          <w:highlight w:val="none"/>
        </w:rPr>
      </w:pPr>
      <w:r>
        <w:rPr>
          <w:rFonts w:hint="eastAsia" w:hAnsi="宋体"/>
          <w:bCs/>
          <w:color w:val="000000" w:themeColor="text1"/>
          <w:sz w:val="21"/>
          <w:highlight w:val="none"/>
        </w:rPr>
        <w:t>磋商响应文件（□正本、□副本）</w:t>
      </w:r>
    </w:p>
    <w:p>
      <w:pPr>
        <w:pStyle w:val="2"/>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eastAsia="zh-CN"/>
        </w:rPr>
        <w:t>YXCG-20231205</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2"/>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2"/>
        <w:spacing w:line="440" w:lineRule="exact"/>
        <w:rPr>
          <w:rFonts w:hAnsi="宋体"/>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18" w:right="1474" w:bottom="1418" w:left="1474" w:header="851" w:footer="851" w:gutter="0"/>
          <w:cols w:space="720" w:num="1"/>
          <w:titlePg/>
          <w:docGrid w:linePitch="312" w:charSpace="0"/>
        </w:sectPr>
      </w:pPr>
      <w:r>
        <w:rPr>
          <w:rFonts w:hint="eastAsia" w:ascii="宋体" w:hAnsi="宋体"/>
          <w:bCs/>
          <w:color w:val="000000" w:themeColor="text1"/>
          <w:highlight w:val="none"/>
        </w:rPr>
        <w:t xml:space="preserve"> </w:t>
      </w:r>
    </w:p>
    <w:p>
      <w:pPr>
        <w:pStyle w:val="4"/>
        <w:numPr>
          <w:ilvl w:val="7"/>
          <w:numId w:val="6"/>
        </w:numPr>
        <w:tabs>
          <w:tab w:val="clear" w:pos="720"/>
        </w:tabs>
        <w:spacing w:before="240" w:after="240" w:line="240" w:lineRule="exact"/>
        <w:ind w:left="0" w:firstLine="0"/>
        <w:rPr>
          <w:rFonts w:ascii="宋体" w:hAnsi="宋体"/>
          <w:b w:val="0"/>
          <w:color w:val="000000" w:themeColor="text1"/>
          <w:sz w:val="24"/>
          <w:highlight w:val="none"/>
        </w:rPr>
      </w:pPr>
      <w:bookmarkStart w:id="289" w:name="_Toc12131"/>
      <w:r>
        <w:rPr>
          <w:rFonts w:hint="eastAsia" w:ascii="宋体" w:hAnsi="宋体"/>
          <w:b w:val="0"/>
          <w:color w:val="000000" w:themeColor="text1"/>
          <w:sz w:val="24"/>
          <w:highlight w:val="none"/>
        </w:rPr>
        <w:t>自查表</w:t>
      </w:r>
      <w:bookmarkEnd w:id="289"/>
    </w:p>
    <w:p>
      <w:pPr>
        <w:pStyle w:val="4"/>
        <w:keepLines w:val="0"/>
        <w:numPr>
          <w:ilvl w:val="0"/>
          <w:numId w:val="0"/>
        </w:numPr>
        <w:tabs>
          <w:tab w:val="left" w:pos="4320"/>
        </w:tabs>
        <w:spacing w:before="240" w:after="60" w:line="480" w:lineRule="exact"/>
        <w:rPr>
          <w:rFonts w:ascii="宋体"/>
          <w:b w:val="0"/>
          <w:bCs w:val="0"/>
          <w:color w:val="000000" w:themeColor="text1"/>
          <w:szCs w:val="21"/>
          <w:highlight w:val="none"/>
        </w:rPr>
      </w:pPr>
      <w:bookmarkStart w:id="290" w:name="_Toc31777"/>
      <w:bookmarkStart w:id="291" w:name="_Toc29309"/>
      <w:bookmarkStart w:id="292" w:name="_Toc18086"/>
      <w:r>
        <w:rPr>
          <w:rFonts w:hint="eastAsia" w:ascii="宋体"/>
          <w:bCs w:val="0"/>
          <w:color w:val="000000" w:themeColor="text1"/>
          <w:szCs w:val="21"/>
          <w:highlight w:val="none"/>
        </w:rPr>
        <w:t>1.1  资格性/符合性自查表</w:t>
      </w:r>
      <w:bookmarkEnd w:id="290"/>
      <w:bookmarkEnd w:id="291"/>
      <w:bookmarkEnd w:id="292"/>
    </w:p>
    <w:p>
      <w:pPr>
        <w:jc w:val="center"/>
        <w:rPr>
          <w:rFonts w:ascii="宋体" w:hAnsi="宋体"/>
          <w:b/>
          <w:bCs/>
          <w:color w:val="000000" w:themeColor="text1"/>
          <w:szCs w:val="21"/>
          <w:highlight w:val="none"/>
        </w:rPr>
      </w:pPr>
    </w:p>
    <w:tbl>
      <w:tblPr>
        <w:tblStyle w:val="51"/>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369"/>
        <w:gridCol w:w="3393"/>
        <w:gridCol w:w="1682"/>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393"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磋商</w:t>
            </w:r>
            <w:r>
              <w:rPr>
                <w:rFonts w:hint="eastAsia" w:ascii="宋体" w:hAnsi="宋体"/>
                <w:b/>
                <w:bCs/>
                <w:color w:val="000000" w:themeColor="text1"/>
                <w:szCs w:val="21"/>
                <w:highlight w:val="none"/>
              </w:rPr>
              <w:t>文件要求</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vAlign w:val="center"/>
          </w:tcPr>
          <w:p>
            <w:pPr>
              <w:tabs>
                <w:tab w:val="left" w:pos="480"/>
              </w:tabs>
              <w:ind w:left="480" w:hanging="480"/>
              <w:rPr>
                <w:rFonts w:hint="eastAsia" w:ascii="宋体" w:hAnsi="宋体"/>
                <w:color w:val="000000" w:themeColor="text1"/>
                <w:szCs w:val="21"/>
                <w:highlight w:val="none"/>
              </w:rPr>
            </w:pPr>
            <w:r>
              <w:rPr>
                <w:rFonts w:hint="eastAsia" w:ascii="宋体" w:hAnsi="宋体"/>
                <w:color w:val="000000" w:themeColor="text1"/>
                <w:szCs w:val="21"/>
                <w:highlight w:val="none"/>
              </w:rPr>
              <w:t>资格性</w:t>
            </w:r>
          </w:p>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检查</w:t>
            </w:r>
          </w:p>
        </w:tc>
        <w:tc>
          <w:tcPr>
            <w:tcW w:w="1369" w:type="dxa"/>
            <w:vMerge w:val="restart"/>
            <w:vAlign w:val="center"/>
          </w:tcPr>
          <w:p>
            <w:pPr>
              <w:tabs>
                <w:tab w:val="left" w:pos="146"/>
              </w:tabs>
              <w:ind w:left="146"/>
              <w:rPr>
                <w:rFonts w:hint="eastAsia" w:ascii="宋体" w:hAnsi="宋体"/>
                <w:color w:val="000000" w:themeColor="text1"/>
                <w:szCs w:val="21"/>
                <w:highlight w:val="none"/>
              </w:rPr>
            </w:pPr>
            <w:r>
              <w:rPr>
                <w:rFonts w:hint="eastAsia" w:ascii="宋体" w:hAnsi="宋体"/>
                <w:color w:val="000000" w:themeColor="text1"/>
                <w:szCs w:val="21"/>
                <w:highlight w:val="none"/>
              </w:rPr>
              <w:t>投标人要</w:t>
            </w:r>
          </w:p>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求</w:t>
            </w: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w:t>
            </w:r>
            <w:r>
              <w:rPr>
                <w:rFonts w:hint="eastAsia" w:ascii="宋体" w:hAnsi="宋体"/>
                <w:color w:val="000000" w:themeColor="text1"/>
                <w:szCs w:val="21"/>
                <w:highlight w:val="none"/>
              </w:rPr>
              <w:t>磋商响应</w:t>
            </w:r>
            <w:r>
              <w:rPr>
                <w:rFonts w:hint="eastAsia" w:ascii="宋体" w:hAnsi="宋体"/>
                <w:b/>
                <w:color w:val="000000" w:themeColor="text1"/>
                <w:szCs w:val="21"/>
                <w:highlight w:val="none"/>
              </w:rPr>
              <w:t>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9" w:type="dxa"/>
            <w:vMerge w:val="continue"/>
            <w:vAlign w:val="center"/>
          </w:tcPr>
          <w:p>
            <w:pPr>
              <w:tabs>
                <w:tab w:val="left" w:pos="146"/>
              </w:tabs>
              <w:ind w:left="146"/>
              <w:rPr>
                <w:rFonts w:hint="eastAsia" w:ascii="宋体" w:hAnsi="宋体"/>
                <w:color w:val="000000" w:themeColor="text1"/>
                <w:szCs w:val="21"/>
                <w:highlight w:val="none"/>
              </w:rPr>
            </w:pP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eastAsia="宋体" w:cs="宋体"/>
                <w:color w:val="000000" w:themeColor="text1"/>
                <w:sz w:val="21"/>
                <w:szCs w:val="21"/>
                <w:highlight w:val="none"/>
                <w:lang w:val="en-US" w:eastAsia="zh-CN"/>
              </w:rPr>
              <w:t>为采购项目提供整体设计、规范编制或者项目管理、监理、检测等服务的供应商，不得再参加该采购项目的其他采购活动。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rPr>
                <w:rFonts w:hint="eastAsia" w:ascii="宋体" w:hAnsi="宋体"/>
                <w:color w:val="000000" w:themeColor="text1"/>
                <w:szCs w:val="21"/>
                <w:highlight w:val="none"/>
              </w:rPr>
            </w:pPr>
          </w:p>
        </w:tc>
        <w:tc>
          <w:tcPr>
            <w:tcW w:w="1369" w:type="dxa"/>
            <w:vMerge w:val="continue"/>
            <w:vAlign w:val="center"/>
          </w:tcPr>
          <w:p>
            <w:pPr>
              <w:tabs>
                <w:tab w:val="left" w:pos="146"/>
              </w:tabs>
              <w:ind w:left="146"/>
              <w:rPr>
                <w:rFonts w:hint="eastAsia" w:ascii="宋体" w:hAnsi="宋体"/>
                <w:color w:val="000000" w:themeColor="text1"/>
                <w:szCs w:val="21"/>
                <w:highlight w:val="none"/>
              </w:rPr>
            </w:pPr>
          </w:p>
        </w:tc>
        <w:tc>
          <w:tcPr>
            <w:tcW w:w="3393" w:type="dxa"/>
            <w:vAlign w:val="center"/>
          </w:tcPr>
          <w:p>
            <w:pPr>
              <w:tabs>
                <w:tab w:val="left" w:pos="0"/>
              </w:tabs>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单位负责人为同一人或者存在直接控股、管理关系的不同供应商，不得参加同一合同项下的政府采购活动。</w:t>
            </w:r>
            <w:r>
              <w:rPr>
                <w:rFonts w:hint="eastAsia" w:ascii="宋体" w:hAnsi="宋体" w:eastAsia="宋体" w:cs="宋体"/>
                <w:color w:val="000000" w:themeColor="text1"/>
                <w:highlight w:val="none"/>
                <w:lang w:val="en-US" w:eastAsia="zh-CN"/>
              </w:rPr>
              <w:t>（提供《磋商邀请函》承诺）</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 w:val="18"/>
                <w:szCs w:val="18"/>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9" w:type="dxa"/>
            <w:vMerge w:val="continue"/>
            <w:vAlign w:val="center"/>
          </w:tcPr>
          <w:p>
            <w:pPr>
              <w:tabs>
                <w:tab w:val="left" w:pos="146"/>
              </w:tabs>
              <w:ind w:left="146"/>
              <w:rPr>
                <w:rFonts w:ascii="宋体" w:hAnsi="宋体"/>
                <w:color w:val="000000" w:themeColor="text1"/>
                <w:szCs w:val="21"/>
                <w:highlight w:val="none"/>
              </w:rPr>
            </w:pP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投标人未被列入“信用中国”网站( www.creditchina.gov.cn)“记录失信被执行人或重大税收违法案件当事人名或政府采购严重违法失信行为”记录名单；未处于中国政府采购网(ww.ccgp.gov.cn)“政府采购严重违法失信行为信息记录”中的禁止参加政府采购活动期间。(投标人需提供相关证明资料)。</w:t>
            </w:r>
          </w:p>
        </w:tc>
        <w:tc>
          <w:tcPr>
            <w:tcW w:w="1682"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vAlign w:val="center"/>
          </w:tcPr>
          <w:p>
            <w:pPr>
              <w:tabs>
                <w:tab w:val="left" w:pos="480"/>
              </w:tabs>
              <w:ind w:left="480" w:hanging="480"/>
              <w:jc w:val="center"/>
              <w:rPr>
                <w:rFonts w:ascii="宋体" w:hAnsi="宋体"/>
                <w:color w:val="000000" w:themeColor="text1"/>
                <w:szCs w:val="21"/>
                <w:highlight w:val="none"/>
              </w:rPr>
            </w:pPr>
          </w:p>
        </w:tc>
        <w:tc>
          <w:tcPr>
            <w:tcW w:w="1369" w:type="dxa"/>
            <w:vMerge w:val="continue"/>
            <w:vAlign w:val="center"/>
          </w:tcPr>
          <w:p>
            <w:pPr>
              <w:tabs>
                <w:tab w:val="left" w:pos="146"/>
              </w:tabs>
              <w:ind w:left="146"/>
              <w:rPr>
                <w:rFonts w:ascii="宋体" w:hAnsi="宋体"/>
                <w:color w:val="000000" w:themeColor="text1"/>
                <w:szCs w:val="21"/>
                <w:highlight w:val="none"/>
              </w:rPr>
            </w:pPr>
          </w:p>
        </w:tc>
        <w:tc>
          <w:tcPr>
            <w:tcW w:w="3393" w:type="dxa"/>
            <w:vAlign w:val="center"/>
          </w:tcPr>
          <w:p>
            <w:pPr>
              <w:tabs>
                <w:tab w:val="left" w:pos="0"/>
              </w:tabs>
              <w:rPr>
                <w:rFonts w:hint="eastAsia" w:ascii="宋体" w:hAnsi="宋体"/>
                <w:color w:val="000000" w:themeColor="text1"/>
                <w:szCs w:val="21"/>
                <w:highlight w:val="none"/>
                <w:lang w:val="en-US" w:eastAsia="zh-CN"/>
              </w:rPr>
            </w:pPr>
            <w:r>
              <w:rPr>
                <w:rFonts w:hint="eastAsia" w:ascii="宋体" w:hAnsi="宋体" w:eastAsia="宋体" w:cs="宋体"/>
                <w:color w:val="000000" w:themeColor="text1"/>
                <w:sz w:val="21"/>
                <w:szCs w:val="21"/>
                <w:highlight w:val="none"/>
                <w:lang w:eastAsia="zh-CN"/>
              </w:rPr>
              <w:t>投标人具有检验检测机构资质认定CMA证书</w:t>
            </w:r>
            <w:r>
              <w:rPr>
                <w:rFonts w:hint="eastAsia" w:ascii="宋体" w:hAnsi="宋体" w:eastAsia="宋体" w:cs="宋体"/>
                <w:color w:val="000000" w:themeColor="text1"/>
                <w:sz w:val="21"/>
                <w:szCs w:val="21"/>
                <w:highlight w:val="none"/>
                <w:lang w:val="en-US" w:eastAsia="zh-CN"/>
              </w:rPr>
              <w:t>，并覆盖本项目所有监测项目。</w:t>
            </w:r>
          </w:p>
        </w:tc>
        <w:tc>
          <w:tcPr>
            <w:tcW w:w="1682"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restart"/>
            <w:vAlign w:val="center"/>
          </w:tcPr>
          <w:p>
            <w:pPr>
              <w:tabs>
                <w:tab w:val="left" w:pos="480"/>
              </w:tabs>
              <w:ind w:left="480" w:hanging="480"/>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符合性</w:t>
            </w:r>
          </w:p>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审查</w:t>
            </w: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lang w:val="en-US" w:eastAsia="zh-CN"/>
              </w:rPr>
              <w:t>服务期</w:t>
            </w:r>
            <w:r>
              <w:rPr>
                <w:rFonts w:hint="eastAsia" w:ascii="宋体" w:hAnsi="宋体"/>
                <w:color w:val="000000" w:themeColor="text1"/>
                <w:szCs w:val="21"/>
                <w:highlight w:val="none"/>
              </w:rPr>
              <w:t>须满足要求</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color w:val="000000" w:themeColor="text1"/>
                <w:szCs w:val="21"/>
                <w:highlight w:val="none"/>
              </w:rPr>
            </w:pPr>
            <w:r>
              <w:rPr>
                <w:rFonts w:hint="eastAsia" w:ascii="宋体" w:hAnsi="宋体" w:eastAsia="宋体" w:cs="宋体"/>
                <w:color w:val="000000" w:themeColor="text1"/>
                <w:sz w:val="21"/>
                <w:szCs w:val="21"/>
                <w:highlight w:val="none"/>
                <w:lang w:val="en-US" w:eastAsia="zh-CN"/>
              </w:rPr>
              <w:t>投标人具有独立完成本项目的能力，不接受联合体投标和任何形式分包（包括采样和检测）</w:t>
            </w:r>
          </w:p>
        </w:tc>
        <w:tc>
          <w:tcPr>
            <w:tcW w:w="3393"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按磋商</w:t>
            </w:r>
            <w:r>
              <w:rPr>
                <w:rFonts w:hint="eastAsia" w:ascii="宋体" w:hAnsi="宋体"/>
                <w:bCs/>
                <w:color w:val="000000" w:themeColor="text1"/>
                <w:szCs w:val="21"/>
                <w:highlight w:val="none"/>
              </w:rPr>
              <w:t>文件</w:t>
            </w:r>
            <w:r>
              <w:rPr>
                <w:rFonts w:hint="eastAsia" w:ascii="宋体" w:hAnsi="宋体"/>
                <w:color w:val="000000" w:themeColor="text1"/>
                <w:szCs w:val="21"/>
                <w:highlight w:val="none"/>
              </w:rPr>
              <w:t>要求</w:t>
            </w:r>
          </w:p>
        </w:tc>
        <w:tc>
          <w:tcPr>
            <w:tcW w:w="1682"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889" w:type="dxa"/>
            <w:vMerge w:val="continue"/>
          </w:tcPr>
          <w:p>
            <w:pPr>
              <w:tabs>
                <w:tab w:val="left" w:pos="480"/>
              </w:tabs>
              <w:ind w:left="480" w:hanging="480"/>
              <w:jc w:val="center"/>
              <w:rPr>
                <w:rFonts w:ascii="宋体" w:hAnsi="宋体"/>
                <w:b/>
                <w:bCs/>
                <w:color w:val="000000" w:themeColor="text1"/>
                <w:szCs w:val="21"/>
                <w:highlight w:val="none"/>
              </w:rPr>
            </w:pPr>
          </w:p>
        </w:tc>
        <w:tc>
          <w:tcPr>
            <w:tcW w:w="1369"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3393"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682"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见磋商响应文件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注：1、以上材料将作为投标人资格性和符合性审核的重要内容之一，投标人必须严格按照其内容及序列要求在</w:t>
      </w:r>
      <w:r>
        <w:rPr>
          <w:rFonts w:hint="eastAsia" w:ascii="宋体" w:hAnsi="宋体"/>
          <w:bCs/>
          <w:color w:val="000000" w:themeColor="text1"/>
          <w:szCs w:val="21"/>
          <w:highlight w:val="none"/>
        </w:rPr>
        <w:t>磋商响应文件</w:t>
      </w:r>
      <w:r>
        <w:rPr>
          <w:rFonts w:hint="eastAsia" w:ascii="宋体" w:hAnsi="宋体"/>
          <w:color w:val="000000" w:themeColor="text1"/>
          <w:szCs w:val="21"/>
          <w:highlight w:val="none"/>
        </w:rPr>
        <w:t>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、投标人的磋商响应文件为法定代表人（负责人）签署并由法定代表人（负责人）亲自递交投标文件和参加开标会的，可不提供“法定代表人（负责人）授权书”及“代理人身份证”。</w:t>
      </w:r>
    </w:p>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b/>
          <w:bCs/>
          <w:color w:val="000000" w:themeColor="text1"/>
          <w:szCs w:val="21"/>
          <w:highlight w:val="none"/>
          <w:u w:val="single"/>
        </w:rPr>
      </w:pPr>
      <w:r>
        <w:rPr>
          <w:rFonts w:hint="eastAsia" w:ascii="宋体" w:hAnsi="宋体"/>
          <w:color w:val="000000" w:themeColor="text1"/>
          <w:szCs w:val="21"/>
          <w:highlight w:val="none"/>
        </w:rPr>
        <w:t>日期：   年   月   日</w:t>
      </w:r>
    </w:p>
    <w:p>
      <w:pPr>
        <w:pStyle w:val="2"/>
        <w:rPr>
          <w:rFonts w:hAnsi="宋体"/>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p>
    <w:bookmarkEnd w:id="165"/>
    <w:bookmarkEnd w:id="166"/>
    <w:bookmarkEnd w:id="167"/>
    <w:bookmarkEnd w:id="168"/>
    <w:bookmarkEnd w:id="169"/>
    <w:p>
      <w:pPr>
        <w:pStyle w:val="4"/>
        <w:numPr>
          <w:ilvl w:val="1"/>
          <w:numId w:val="0"/>
        </w:numPr>
        <w:spacing w:line="360" w:lineRule="auto"/>
        <w:rPr>
          <w:rFonts w:ascii="宋体" w:hAnsi="宋体"/>
          <w:color w:val="000000" w:themeColor="text1"/>
          <w:highlight w:val="none"/>
        </w:rPr>
      </w:pPr>
      <w:bookmarkStart w:id="293" w:name="_Toc200414515"/>
      <w:bookmarkStart w:id="294" w:name="_Toc469160785"/>
      <w:bookmarkStart w:id="295" w:name="_Toc21870"/>
      <w:r>
        <w:rPr>
          <w:rFonts w:hint="eastAsia" w:ascii="宋体" w:hAnsi="宋体"/>
          <w:color w:val="000000" w:themeColor="text1"/>
          <w:sz w:val="28"/>
          <w:szCs w:val="28"/>
          <w:highlight w:val="none"/>
        </w:rPr>
        <w:t>（一）无重大违法记录声明函</w:t>
      </w:r>
      <w:bookmarkEnd w:id="293"/>
      <w:bookmarkEnd w:id="294"/>
      <w:bookmarkEnd w:id="29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u w:val="single"/>
        </w:rPr>
        <w:t>）</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hint="eastAsia" w:ascii="宋体" w:hAnsi="宋体"/>
          <w:color w:val="000000" w:themeColor="text1"/>
          <w:szCs w:val="21"/>
          <w:highlight w:val="none"/>
        </w:rPr>
        <w:t xml:space="preserve">                       </w:t>
      </w: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2"/>
        <w:spacing w:line="360" w:lineRule="auto"/>
        <w:ind w:left="420" w:firstLine="0"/>
        <w:rPr>
          <w:rFonts w:hAnsi="宋体"/>
          <w:color w:val="000000" w:themeColor="text1"/>
          <w:highlight w:val="none"/>
        </w:rPr>
      </w:pPr>
    </w:p>
    <w:p>
      <w:pPr>
        <w:pStyle w:val="4"/>
        <w:numPr>
          <w:ilvl w:val="1"/>
          <w:numId w:val="0"/>
        </w:numPr>
        <w:spacing w:line="360" w:lineRule="auto"/>
        <w:rPr>
          <w:rFonts w:ascii="宋体" w:hAnsi="宋体"/>
          <w:color w:val="000000" w:themeColor="text1"/>
          <w:kern w:val="0"/>
          <w:sz w:val="28"/>
          <w:szCs w:val="28"/>
          <w:highlight w:val="none"/>
        </w:rPr>
      </w:pPr>
      <w:bookmarkStart w:id="296" w:name="_Toc200414516"/>
      <w:bookmarkStart w:id="297" w:name="_Toc4817"/>
      <w:bookmarkStart w:id="298" w:name="_Toc469160786"/>
      <w:r>
        <w:rPr>
          <w:rFonts w:hint="eastAsia" w:ascii="宋体" w:hAnsi="宋体"/>
          <w:color w:val="000000" w:themeColor="text1"/>
          <w:kern w:val="0"/>
          <w:sz w:val="28"/>
          <w:szCs w:val="28"/>
          <w:highlight w:val="none"/>
        </w:rPr>
        <w:t>（二）法定代表人（负责人）证明书</w:t>
      </w:r>
      <w:bookmarkEnd w:id="296"/>
      <w:bookmarkEnd w:id="297"/>
      <w:bookmarkEnd w:id="298"/>
    </w:p>
    <w:p>
      <w:pPr>
        <w:pStyle w:val="2"/>
        <w:spacing w:line="360" w:lineRule="auto"/>
        <w:rPr>
          <w:rFonts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r>
        <w:rPr>
          <w:rFonts w:hint="eastAsia" w:ascii="宋体" w:hAnsi="宋体"/>
          <w:color w:val="000000" w:themeColor="text1"/>
          <w:highlight w:val="none"/>
        </w:rPr>
        <w:t xml:space="preserve">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ind w:firstLine="0"/>
        <w:rPr>
          <w:rFonts w:hAnsi="宋体"/>
          <w:color w:val="000000" w:themeColor="text1"/>
          <w:highlight w:val="none"/>
        </w:rPr>
      </w:pPr>
      <w:r>
        <w:rPr>
          <w:rFonts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C7FdzR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r>
        <w:rPr>
          <w:rFonts w:hint="eastAsia" w:hAnsi="宋体"/>
          <w:color w:val="000000" w:themeColor="text1"/>
          <w:highlight w:val="none"/>
        </w:rPr>
        <w:t xml:space="preserve">    </w:t>
      </w:r>
    </w:p>
    <w:p>
      <w:pPr>
        <w:pStyle w:val="2"/>
        <w:spacing w:line="360" w:lineRule="auto"/>
        <w:ind w:firstLine="0"/>
        <w:rPr>
          <w:rFonts w:hAnsi="宋体"/>
          <w:color w:val="000000" w:themeColor="text1"/>
          <w:highlight w:val="none"/>
        </w:rPr>
      </w:pPr>
    </w:p>
    <w:p>
      <w:pPr>
        <w:pStyle w:val="2"/>
        <w:spacing w:line="360" w:lineRule="auto"/>
        <w:ind w:firstLine="0"/>
        <w:rPr>
          <w:rFonts w:hAnsi="宋体"/>
          <w:color w:val="000000" w:themeColor="text1"/>
          <w:highlight w:val="none"/>
        </w:rPr>
      </w:pPr>
      <w:r>
        <w:rPr>
          <w:rFonts w:hint="eastAsia" w:hAnsi="宋体"/>
          <w:color w:val="000000" w:themeColor="text1"/>
          <w:highlight w:val="none"/>
        </w:rPr>
        <w:t xml:space="preserve">   </w:t>
      </w:r>
    </w:p>
    <w:p>
      <w:pPr>
        <w:pStyle w:val="2"/>
        <w:spacing w:line="360" w:lineRule="auto"/>
        <w:ind w:firstLine="0"/>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2"/>
        <w:spacing w:line="360" w:lineRule="auto"/>
        <w:rPr>
          <w:rFonts w:hAnsi="宋体"/>
          <w:color w:val="000000" w:themeColor="text1"/>
          <w:highlight w:val="none"/>
        </w:rPr>
      </w:pPr>
    </w:p>
    <w:p>
      <w:pPr>
        <w:pStyle w:val="4"/>
        <w:numPr>
          <w:ilvl w:val="1"/>
          <w:numId w:val="0"/>
        </w:numPr>
        <w:spacing w:line="360" w:lineRule="auto"/>
        <w:rPr>
          <w:rFonts w:ascii="宋体" w:hAnsi="宋体"/>
          <w:color w:val="000000" w:themeColor="text1"/>
          <w:sz w:val="28"/>
          <w:szCs w:val="28"/>
          <w:highlight w:val="none"/>
        </w:rPr>
      </w:pPr>
      <w:bookmarkStart w:id="299" w:name="_Toc10038"/>
      <w:bookmarkStart w:id="300" w:name="_Toc469160787"/>
      <w:bookmarkStart w:id="301" w:name="_Toc200414517"/>
      <w:r>
        <w:rPr>
          <w:rFonts w:hint="eastAsia" w:ascii="宋体" w:hAnsi="宋体"/>
          <w:color w:val="000000" w:themeColor="text1"/>
          <w:sz w:val="28"/>
          <w:szCs w:val="28"/>
          <w:highlight w:val="none"/>
        </w:rPr>
        <w:t>（三）法定代表人（负责人）授权书</w:t>
      </w:r>
      <w:bookmarkEnd w:id="299"/>
      <w:bookmarkEnd w:id="300"/>
      <w:bookmarkEnd w:id="301"/>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为我公司代理人，以本公司的名义参加广东业信采购招标有限公司组织的</w:t>
      </w:r>
      <w:r>
        <w:rPr>
          <w:rFonts w:hint="eastAsia" w:ascii="宋体" w:hAnsi="宋体"/>
          <w:bCs/>
          <w:color w:val="000000" w:themeColor="text1"/>
          <w:kern w:val="0"/>
          <w:szCs w:val="21"/>
          <w:highlight w:val="none"/>
          <w:u w:val="single"/>
        </w:rPr>
        <w:t xml:space="preserve">  </w:t>
      </w:r>
      <w:r>
        <w:rPr>
          <w:rFonts w:hint="eastAsia" w:ascii="宋体" w:hAnsi="宋体" w:cs="宋体"/>
          <w:b/>
          <w:color w:val="000000" w:themeColor="text1"/>
          <w:szCs w:val="21"/>
          <w:highlight w:val="none"/>
          <w:u w:val="single"/>
        </w:rPr>
        <w:t>项目名称，由供应商填写</w:t>
      </w:r>
      <w:r>
        <w:rPr>
          <w:rFonts w:hint="eastAsia" w:ascii="宋体" w:hAnsi="宋体" w:cs="宋体"/>
          <w:color w:val="000000" w:themeColor="text1"/>
          <w:szCs w:val="21"/>
          <w:highlight w:val="none"/>
          <w:u w:val="single"/>
        </w:rPr>
        <w:t xml:space="preserve">   </w:t>
      </w:r>
      <w:r>
        <w:rPr>
          <w:rFonts w:hint="eastAsia" w:ascii="宋体" w:hAnsi="宋体"/>
          <w:bCs/>
          <w:color w:val="000000" w:themeColor="text1"/>
          <w:szCs w:val="21"/>
          <w:highlight w:val="none"/>
        </w:rPr>
        <w:t>磋商项目（项目编号:</w:t>
      </w:r>
      <w:r>
        <w:rPr>
          <w:rFonts w:hint="eastAsia" w:ascii="宋体" w:hAnsi="宋体" w:cs="宋体"/>
          <w:b/>
          <w:color w:val="000000" w:themeColor="text1"/>
          <w:szCs w:val="21"/>
          <w:highlight w:val="none"/>
          <w:u w:val="single"/>
        </w:rPr>
        <w:t xml:space="preserve">                </w:t>
      </w:r>
      <w:r>
        <w:rPr>
          <w:rFonts w:hint="eastAsia" w:ascii="宋体" w:hAnsi="宋体"/>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 </w:t>
      </w:r>
      <w:r>
        <w:rPr>
          <w:rFonts w:hint="eastAsia" w:ascii="宋体" w:hAnsi="宋体"/>
          <w:bCs/>
          <w:color w:val="000000" w:themeColor="text1"/>
          <w:szCs w:val="21"/>
          <w:highlight w:val="none"/>
        </w:rPr>
        <w:t>）</w:t>
      </w:r>
      <w:r>
        <w:rPr>
          <w:rFonts w:hint="eastAsia" w:ascii="宋体" w:hAnsi="宋体"/>
          <w:bCs/>
          <w:color w:val="000000" w:themeColor="text1"/>
          <w:kern w:val="0"/>
          <w:szCs w:val="21"/>
          <w:highlight w:val="none"/>
        </w:rPr>
        <w:t>的活动。代理人在开标、评标、合同磋商过程中所签署的一切文件和处理与之有关的一切事务，我均予以承认。本授权委托书自签署之日起生效，特此声明。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w:t>
      </w:r>
      <w:r>
        <w:rPr>
          <w:rFonts w:hint="eastAsia" w:ascii="宋体" w:hAnsi="宋体"/>
          <w:bCs/>
          <w:color w:val="000000" w:themeColor="text1"/>
          <w:kern w:val="0"/>
          <w:szCs w:val="21"/>
          <w:highlight w:val="none"/>
          <w:u w:val="single"/>
        </w:rPr>
        <w:t xml:space="preserve">   </w:t>
      </w:r>
      <w:r>
        <w:rPr>
          <w:rFonts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性别：</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年龄：</w:t>
      </w:r>
      <w:r>
        <w:rPr>
          <w:rFonts w:hint="eastAsia" w:ascii="宋体" w:hAnsi="宋体"/>
          <w:bCs/>
          <w:color w:val="000000" w:themeColor="text1"/>
          <w:kern w:val="0"/>
          <w:szCs w:val="21"/>
          <w:highlight w:val="none"/>
          <w:u w:val="single"/>
        </w:rPr>
        <w:t xml:space="preserve">           </w:t>
      </w:r>
      <w:r>
        <w:rPr>
          <w:rFonts w:hint="eastAsia" w:ascii="宋体" w:hAnsi="宋体"/>
          <w:bCs/>
          <w:color w:val="000000" w:themeColor="text1"/>
          <w:kern w:val="0"/>
          <w:szCs w:val="21"/>
          <w:highlight w:val="none"/>
        </w:rPr>
        <w:t xml:space="preserve">   职务：</w:t>
      </w:r>
      <w:r>
        <w:rPr>
          <w:rFonts w:hint="eastAsia" w:ascii="宋体" w:hAnsi="宋体"/>
          <w:bCs/>
          <w:color w:val="000000" w:themeColor="text1"/>
          <w:kern w:val="0"/>
          <w:szCs w:val="21"/>
          <w:highlight w:val="none"/>
          <w:u w:val="single"/>
        </w:rPr>
        <w:t xml:space="preserve">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签发日期：</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 xml:space="preserve">  有效日期至：</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（注：供应商的磋商响应文件为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亲自递交磋商响应文件和参加磋商的，不须提供该委托书，但需提供法定代表人（负责人）证明书及法定代表人（负责人）的身份证复印件。）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p2tJRl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4"/>
        <w:numPr>
          <w:ilvl w:val="1"/>
          <w:numId w:val="0"/>
        </w:numPr>
        <w:spacing w:line="360" w:lineRule="auto"/>
        <w:rPr>
          <w:rFonts w:ascii="宋体" w:hAnsi="宋体"/>
          <w:color w:val="000000" w:themeColor="text1"/>
          <w:sz w:val="28"/>
          <w:szCs w:val="28"/>
          <w:highlight w:val="none"/>
        </w:rPr>
      </w:pPr>
      <w:bookmarkStart w:id="302" w:name="_Toc200414523"/>
      <w:bookmarkStart w:id="303" w:name="_Toc18123"/>
      <w:bookmarkStart w:id="304" w:name="_Toc469160793"/>
      <w:r>
        <w:rPr>
          <w:rFonts w:hint="eastAsia" w:ascii="宋体" w:hAnsi="宋体"/>
          <w:color w:val="000000" w:themeColor="text1"/>
          <w:sz w:val="28"/>
          <w:szCs w:val="28"/>
          <w:highlight w:val="none"/>
        </w:rPr>
        <w:t>（四） 资格审查文件要求提交的其它有效证明文件</w:t>
      </w:r>
      <w:bookmarkEnd w:id="302"/>
      <w:bookmarkEnd w:id="303"/>
      <w:bookmarkEnd w:id="304"/>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1、合法有效的企业法人营业执照副本复印件加盖公章；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2、无重大违法记录声明函；</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3、财务报表复印件加盖公章；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4、社会保险证明复印件加盖公章；</w:t>
      </w:r>
    </w:p>
    <w:p>
      <w:pPr>
        <w:tabs>
          <w:tab w:val="center" w:pos="4483"/>
        </w:tabs>
        <w:spacing w:line="360" w:lineRule="auto"/>
        <w:ind w:firstLine="840" w:firstLineChars="400"/>
        <w:rPr>
          <w:rFonts w:ascii="宋体" w:hAnsi="宋体"/>
          <w:color w:val="000000" w:themeColor="text1"/>
          <w:kern w:val="0"/>
          <w:szCs w:val="21"/>
          <w:highlight w:val="none"/>
        </w:rPr>
      </w:pPr>
      <w:r>
        <w:rPr>
          <w:rFonts w:hint="eastAsia" w:ascii="宋体" w:hAnsi="宋体"/>
          <w:color w:val="000000" w:themeColor="text1"/>
          <w:kern w:val="0"/>
          <w:szCs w:val="21"/>
          <w:highlight w:val="none"/>
        </w:rPr>
        <w:t>5、缴税证明复印件加盖公章；</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14" w:type="default"/>
          <w:pgSz w:w="11906" w:h="16838"/>
          <w:pgMar w:top="1418" w:right="1474" w:bottom="1418" w:left="1474" w:header="851" w:footer="851" w:gutter="0"/>
          <w:cols w:space="720" w:num="1"/>
          <w:titlePg/>
          <w:docGrid w:linePitch="312" w:charSpace="0"/>
        </w:sectPr>
      </w:pPr>
      <w:r>
        <w:rPr>
          <w:rFonts w:hint="eastAsia" w:ascii="宋体" w:hAnsi="宋体"/>
          <w:color w:val="000000" w:themeColor="text1"/>
          <w:kern w:val="0"/>
          <w:szCs w:val="21"/>
          <w:highlight w:val="none"/>
        </w:rPr>
        <w:t>……</w:t>
      </w:r>
    </w:p>
    <w:p>
      <w:pPr>
        <w:pStyle w:val="4"/>
        <w:numPr>
          <w:ilvl w:val="1"/>
          <w:numId w:val="0"/>
        </w:numPr>
        <w:spacing w:line="360" w:lineRule="auto"/>
        <w:ind w:firstLine="2249" w:firstLineChars="800"/>
        <w:jc w:val="both"/>
        <w:rPr>
          <w:rFonts w:ascii="宋体" w:hAnsi="宋体"/>
          <w:color w:val="000000" w:themeColor="text1"/>
          <w:sz w:val="28"/>
          <w:szCs w:val="28"/>
          <w:highlight w:val="none"/>
        </w:rPr>
      </w:pPr>
      <w:bookmarkStart w:id="305" w:name="_Toc200414524"/>
      <w:bookmarkStart w:id="306" w:name="_Toc19049"/>
      <w:bookmarkStart w:id="307" w:name="_Toc469160794"/>
      <w:r>
        <w:rPr>
          <w:rFonts w:hint="eastAsia" w:ascii="宋体" w:hAnsi="宋体"/>
          <w:color w:val="000000" w:themeColor="text1"/>
          <w:sz w:val="28"/>
          <w:szCs w:val="28"/>
          <w:highlight w:val="none"/>
        </w:rPr>
        <w:t>第二章  磋商响应文件商务及技术部分</w:t>
      </w:r>
      <w:bookmarkEnd w:id="305"/>
      <w:bookmarkEnd w:id="306"/>
      <w:bookmarkEnd w:id="307"/>
    </w:p>
    <w:p>
      <w:pPr>
        <w:pStyle w:val="4"/>
        <w:numPr>
          <w:ilvl w:val="1"/>
          <w:numId w:val="0"/>
        </w:numPr>
        <w:spacing w:line="360" w:lineRule="auto"/>
        <w:ind w:firstLine="3373" w:firstLineChars="1200"/>
        <w:jc w:val="both"/>
        <w:rPr>
          <w:rFonts w:ascii="宋体" w:hAnsi="宋体"/>
          <w:color w:val="000000" w:themeColor="text1"/>
          <w:sz w:val="28"/>
          <w:szCs w:val="28"/>
          <w:highlight w:val="none"/>
        </w:rPr>
      </w:pPr>
      <w:bookmarkStart w:id="308" w:name="_Toc469160795"/>
      <w:bookmarkStart w:id="309" w:name="_Toc200414525"/>
      <w:bookmarkStart w:id="310" w:name="_Toc28266"/>
      <w:r>
        <w:rPr>
          <w:rFonts w:hint="eastAsia" w:ascii="宋体" w:hAnsi="宋体"/>
          <w:color w:val="000000" w:themeColor="text1"/>
          <w:sz w:val="28"/>
          <w:szCs w:val="28"/>
          <w:highlight w:val="none"/>
        </w:rPr>
        <w:t>附件一：磋商邀请函</w:t>
      </w:r>
      <w:bookmarkEnd w:id="308"/>
      <w:bookmarkEnd w:id="309"/>
      <w:bookmarkEnd w:id="310"/>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360" w:lineRule="auto"/>
        <w:ind w:firstLine="420"/>
        <w:rPr>
          <w:rFonts w:ascii="宋体" w:hAnsi="宋体"/>
          <w:bCs/>
          <w:color w:val="000000" w:themeColor="text1"/>
          <w:szCs w:val="21"/>
          <w:highlight w:val="none"/>
        </w:rPr>
      </w:pPr>
      <w:r>
        <w:rPr>
          <w:rFonts w:hint="eastAsia" w:ascii="宋体" w:hAnsi="宋体"/>
          <w:bCs/>
          <w:color w:val="000000" w:themeColor="text1"/>
          <w:szCs w:val="21"/>
          <w:highlight w:val="none"/>
        </w:rPr>
        <w:t>根据贵方就</w:t>
      </w:r>
      <w:r>
        <w:rPr>
          <w:rFonts w:hint="eastAsia" w:ascii="宋体" w:hAnsi="宋体"/>
          <w:bCs/>
          <w:color w:val="000000" w:themeColor="text1"/>
          <w:szCs w:val="21"/>
          <w:highlight w:val="none"/>
          <w:u w:val="single"/>
        </w:rPr>
        <w:t xml:space="preserve">      </w:t>
      </w:r>
      <w:r>
        <w:rPr>
          <w:rFonts w:hint="eastAsia" w:ascii="宋体" w:hAnsi="宋体" w:cs="宋体"/>
          <w:b/>
          <w:color w:val="000000" w:themeColor="text1"/>
          <w:szCs w:val="21"/>
          <w:highlight w:val="none"/>
          <w:u w:val="single"/>
        </w:rPr>
        <w:t xml:space="preserve">项目名称，由供应商填写      </w:t>
      </w:r>
      <w:r>
        <w:rPr>
          <w:rFonts w:hint="eastAsia" w:ascii="宋体" w:hAnsi="宋体"/>
          <w:bCs/>
          <w:color w:val="000000" w:themeColor="text1"/>
          <w:szCs w:val="21"/>
          <w:highlight w:val="none"/>
        </w:rPr>
        <w:t>的投标邀请（项目编号：</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，我方正式响应磋商文件内容并提交磋商响应文件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Cs/>
          <w:color w:val="000000" w:themeColor="text1"/>
          <w:szCs w:val="2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szCs w:val="21"/>
          <w:highlight w:val="none"/>
        </w:rPr>
      </w:pPr>
      <w:r>
        <w:rPr>
          <w:rFonts w:hint="eastAsia" w:ascii="宋体" w:hAnsi="宋体"/>
          <w:bCs/>
          <w:color w:val="000000" w:themeColor="text1"/>
          <w:szCs w:val="21"/>
          <w:highlight w:val="none"/>
        </w:rPr>
        <w:t>据此函，签字代表宣布同意如下：</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（用文字和数字表示的磋商总价）  </w:t>
      </w:r>
      <w:r>
        <w:rPr>
          <w:rFonts w:hint="eastAsia" w:ascii="宋体" w:hAnsi="宋体"/>
          <w:color w:val="000000" w:themeColor="text1"/>
          <w:szCs w:val="21"/>
          <w:highlight w:val="none"/>
        </w:rPr>
        <w:t>。</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单位负责人为同一人或者存在直接控股、管理关系的不同供应商，不得参加同一合同项下的政府采购活动。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本次投标所报内容完全按照磋商文件要求填报，所有内容都是真实、准确的。</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供应商将按磋商文件的规定履行全部合同责任和义务。</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供应商已详细审查全部磋商文件，包括修改文件（如有的话）以及全部参考资料和有关附件。我们完全理解并同意放弃对这方面有不明及误解的权利。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本次投标自递交磋商响应文件截止之日起有效期为90天。</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如果在规定的递交磋商响应文件截止之日后，供应商在投标有效期内撤回投标，投标保证金将被贵方没收。</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25"/>
        </w:numPr>
        <w:tabs>
          <w:tab w:val="left" w:pos="840"/>
        </w:tabs>
        <w:adjustRightInd w:val="0"/>
        <w:snapToGrid w:val="0"/>
        <w:spacing w:line="36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与本投标有关的一切正式往来通讯请寄至磋商响应文件封面指定地址、联系方式。</w:t>
      </w:r>
    </w:p>
    <w:p>
      <w:pPr>
        <w:adjustRightInd w:val="0"/>
        <w:snapToGrid w:val="0"/>
        <w:spacing w:line="360" w:lineRule="auto"/>
        <w:rPr>
          <w:rFonts w:hint="eastAsia"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pStyle w:val="25"/>
        <w:spacing w:line="360" w:lineRule="auto"/>
        <w:rPr>
          <w:rFonts w:hAnsi="宋体"/>
          <w:color w:val="000000" w:themeColor="text1"/>
          <w:highlight w:val="none"/>
        </w:rPr>
      </w:pPr>
      <w:r>
        <w:rPr>
          <w:rFonts w:hint="eastAsia" w:hAnsi="宋体"/>
          <w:color w:val="000000" w:themeColor="text1"/>
          <w:highlight w:val="none"/>
        </w:rPr>
        <w:t>注：本磋商邀请函为供应商响应本次磋商项目的郑重承诺，供应商不得改动且必须满足。</w:t>
      </w: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4"/>
        <w:numPr>
          <w:ilvl w:val="1"/>
          <w:numId w:val="0"/>
        </w:numPr>
        <w:spacing w:line="360" w:lineRule="auto"/>
        <w:rPr>
          <w:rFonts w:ascii="宋体" w:hAnsi="宋体"/>
          <w:color w:val="000000" w:themeColor="text1"/>
          <w:sz w:val="28"/>
          <w:szCs w:val="28"/>
          <w:highlight w:val="none"/>
        </w:rPr>
      </w:pPr>
      <w:bookmarkStart w:id="311" w:name="_Toc13321"/>
      <w:bookmarkStart w:id="312" w:name="_Toc469160796"/>
      <w:bookmarkStart w:id="313" w:name="_Toc200414526"/>
      <w:r>
        <w:rPr>
          <w:rFonts w:hint="eastAsia" w:ascii="宋体" w:hAnsi="宋体"/>
          <w:color w:val="000000" w:themeColor="text1"/>
          <w:sz w:val="28"/>
          <w:szCs w:val="28"/>
          <w:highlight w:val="none"/>
        </w:rPr>
        <w:t>附件二：第一次报价一览表</w:t>
      </w:r>
      <w:bookmarkEnd w:id="311"/>
      <w:bookmarkEnd w:id="312"/>
      <w:bookmarkEnd w:id="31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YXCG-20231205</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2024年阳江市阳东区河长制水质监测项目（二次招标）</w:t>
      </w:r>
      <w:r>
        <w:rPr>
          <w:rFonts w:hint="eastAsia" w:ascii="宋体" w:hAnsi="宋体"/>
          <w:b/>
          <w:bCs/>
          <w:color w:val="000000" w:themeColor="text1"/>
          <w:szCs w:val="21"/>
          <w:highlight w:val="none"/>
          <w:u w:val="single"/>
        </w:rPr>
        <w:t xml:space="preserve"> </w:t>
      </w:r>
      <w:r>
        <w:rPr>
          <w:rFonts w:hint="eastAsia" w:ascii="宋体" w:hAnsi="宋体"/>
          <w:color w:val="000000" w:themeColor="text1"/>
          <w:spacing w:val="10"/>
          <w:szCs w:val="21"/>
          <w:highlight w:val="none"/>
        </w:rPr>
        <w:t xml:space="preserve">  </w:t>
      </w:r>
    </w:p>
    <w:p>
      <w:pPr>
        <w:tabs>
          <w:tab w:val="center" w:pos="4483"/>
        </w:tabs>
        <w:spacing w:line="360" w:lineRule="auto"/>
        <w:rPr>
          <w:rFonts w:ascii="宋体" w:hAnsi="宋体"/>
          <w:bCs/>
          <w:color w:val="000000" w:themeColor="text1"/>
          <w:szCs w:val="21"/>
          <w:highlight w:val="none"/>
          <w:u w:val="single"/>
        </w:rPr>
      </w:pPr>
    </w:p>
    <w:tbl>
      <w:tblPr>
        <w:tblStyle w:val="51"/>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w:t>
            </w:r>
            <w:r>
              <w:rPr>
                <w:rFonts w:hint="eastAsia" w:ascii="宋体" w:hAnsi="宋体" w:eastAsia="宋体" w:cs="宋体"/>
                <w:color w:val="000000" w:themeColor="text1"/>
                <w:highlight w:val="none"/>
                <w:lang w:val="en-US" w:eastAsia="zh-CN"/>
              </w:rPr>
              <w:t>元</w:t>
            </w:r>
            <w:r>
              <w:rPr>
                <w:rFonts w:hint="eastAsia" w:ascii="宋体" w:hAnsi="宋体" w:cs="宋体"/>
                <w:color w:val="000000" w:themeColor="text1"/>
                <w:highlight w:val="none"/>
                <w:lang w:val="en-US" w:eastAsia="zh-CN"/>
              </w:rPr>
              <w:t>）</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本报价表为供应商的第一次报价，磋商后，代理采购机构将向合格的供应商发最终报价表。</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26"/>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r>
        <w:rPr>
          <w:rFonts w:ascii="宋体" w:hAnsi="宋体"/>
          <w:bCs/>
          <w:color w:val="000000" w:themeColor="text1"/>
          <w:szCs w:val="21"/>
          <w:highlight w:val="none"/>
        </w:rPr>
        <w:t xml:space="preserve"> </w:t>
      </w:r>
    </w:p>
    <w:p>
      <w:pPr>
        <w:widowControl/>
        <w:adjustRightInd w:val="0"/>
        <w:snapToGrid w:val="0"/>
        <w:spacing w:line="360" w:lineRule="auto"/>
        <w:rPr>
          <w:rFonts w:ascii="宋体" w:hAnsi="宋体"/>
          <w:bCs/>
          <w:color w:val="000000" w:themeColor="text1"/>
          <w:highlight w:val="none"/>
          <w:u w:val="singl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pPr>
    </w:p>
    <w:p>
      <w:pPr>
        <w:pStyle w:val="25"/>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rPr>
      </w:pPr>
      <w:bookmarkStart w:id="314" w:name="_Toc21430"/>
      <w:bookmarkStart w:id="315" w:name="_Toc200414528"/>
      <w:bookmarkStart w:id="316" w:name="_Toc469160798"/>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三</w:t>
      </w:r>
      <w:r>
        <w:rPr>
          <w:rFonts w:hint="eastAsia" w:ascii="宋体" w:hAnsi="宋体"/>
          <w:color w:val="000000" w:themeColor="text1"/>
          <w:sz w:val="28"/>
          <w:szCs w:val="28"/>
          <w:highlight w:val="none"/>
        </w:rPr>
        <w:t>：商务条款偏离一览表</w:t>
      </w:r>
      <w:bookmarkEnd w:id="314"/>
      <w:bookmarkEnd w:id="315"/>
      <w:bookmarkEnd w:id="316"/>
    </w:p>
    <w:p>
      <w:pPr>
        <w:adjustRightInd w:val="0"/>
        <w:snapToGrid w:val="0"/>
        <w:spacing w:line="360" w:lineRule="auto"/>
        <w:jc w:val="left"/>
        <w:rPr>
          <w:rFonts w:hint="eastAsia" w:ascii="宋体" w:hAnsi="宋体" w:eastAsia="宋体"/>
          <w:b/>
          <w:bCs/>
          <w:caps/>
          <w:color w:val="000000" w:themeColor="text1"/>
          <w:szCs w:val="21"/>
          <w:highlight w:val="none"/>
          <w:u w:val="single"/>
          <w:lang w:eastAsia="zh-CN"/>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YXCG-20231205</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2024年阳江市阳东区河长制水质监测项目（二次招标）</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77"/>
        <w:gridCol w:w="998"/>
        <w:gridCol w:w="3047"/>
        <w:gridCol w:w="2906"/>
        <w:gridCol w:w="993"/>
        <w:gridCol w:w="750"/>
      </w:tblGrid>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7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8"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供应商声明：表中未列全的商务条款，我方均表示完全响应磋商文件商务条款的所有要求。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rPr>
          <w:rFonts w:ascii="宋体" w:hAnsi="宋体"/>
          <w:color w:val="000000" w:themeColor="text1"/>
          <w:sz w:val="28"/>
          <w:szCs w:val="28"/>
          <w:highlight w:val="none"/>
        </w:rPr>
      </w:pPr>
      <w:bookmarkStart w:id="317" w:name="_Toc21190"/>
      <w:bookmarkStart w:id="318" w:name="_Toc469160799"/>
      <w:bookmarkStart w:id="319" w:name="_Toc200414529"/>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四</w:t>
      </w:r>
      <w:r>
        <w:rPr>
          <w:rFonts w:hint="eastAsia" w:ascii="宋体" w:hAnsi="宋体"/>
          <w:color w:val="000000" w:themeColor="text1"/>
          <w:sz w:val="28"/>
          <w:szCs w:val="28"/>
          <w:highlight w:val="none"/>
        </w:rPr>
        <w:t>：技术条款偏离一览表</w:t>
      </w:r>
      <w:bookmarkEnd w:id="317"/>
      <w:bookmarkEnd w:id="318"/>
      <w:bookmarkEnd w:id="319"/>
    </w:p>
    <w:p>
      <w:pPr>
        <w:adjustRightInd w:val="0"/>
        <w:snapToGrid w:val="0"/>
        <w:spacing w:line="360" w:lineRule="auto"/>
        <w:rPr>
          <w:rFonts w:ascii="宋体" w:hAnsi="宋体"/>
          <w:color w:val="000000" w:themeColor="text1"/>
          <w:szCs w:val="21"/>
          <w:highlight w:val="none"/>
          <w:u w:val="single"/>
        </w:rPr>
      </w:pPr>
      <w:r>
        <w:rPr>
          <w:rFonts w:hint="eastAsia" w:ascii="宋体" w:hAnsi="宋体"/>
          <w:color w:val="000000" w:themeColor="text1"/>
          <w:szCs w:val="21"/>
          <w:highlight w:val="none"/>
        </w:rPr>
        <w:t>项目编号：</w:t>
      </w:r>
      <w:r>
        <w:rPr>
          <w:rFonts w:hint="eastAsia" w:ascii="宋体" w:hAnsi="宋体"/>
          <w:b/>
          <w:bCs/>
          <w:color w:val="000000" w:themeColor="text1"/>
          <w:szCs w:val="21"/>
          <w:highlight w:val="none"/>
          <w:u w:val="single"/>
          <w:lang w:eastAsia="zh-CN"/>
        </w:rPr>
        <w:t>YXCG-20231205</w:t>
      </w:r>
      <w:r>
        <w:rPr>
          <w:rFonts w:hint="eastAsia" w:ascii="宋体" w:hAnsi="宋体"/>
          <w:color w:val="000000" w:themeColor="text1"/>
          <w:szCs w:val="21"/>
          <w:highlight w:val="none"/>
          <w:u w:val="single"/>
        </w:rPr>
        <w:t xml:space="preserve"> </w:t>
      </w: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2024年阳江市阳东区河长制水质监测项目（二次招标）</w:t>
      </w:r>
      <w:r>
        <w:rPr>
          <w:rFonts w:hint="eastAsia" w:ascii="宋体" w:hAnsi="宋体"/>
          <w:b/>
          <w:bCs/>
          <w:color w:val="000000" w:themeColor="text1"/>
          <w:szCs w:val="21"/>
          <w:highlight w:val="none"/>
          <w:u w:val="single"/>
        </w:rPr>
        <w:t xml:space="preserve">  </w:t>
      </w:r>
    </w:p>
    <w:tbl>
      <w:tblPr>
        <w:tblStyle w:val="51"/>
        <w:tblW w:w="9271" w:type="dxa"/>
        <w:jc w:val="center"/>
        <w:tblLayout w:type="fixed"/>
        <w:tblCellMar>
          <w:top w:w="0" w:type="dxa"/>
          <w:left w:w="54" w:type="dxa"/>
          <w:bottom w:w="0" w:type="dxa"/>
          <w:right w:w="54" w:type="dxa"/>
        </w:tblCellMar>
      </w:tblPr>
      <w:tblGrid>
        <w:gridCol w:w="593"/>
        <w:gridCol w:w="982"/>
        <w:gridCol w:w="3047"/>
        <w:gridCol w:w="3190"/>
        <w:gridCol w:w="850"/>
        <w:gridCol w:w="609"/>
      </w:tblGrid>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磋商文件规格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磋商响应文件</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9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82"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说明：1）对“偏离”一栏，填写“</w:t>
      </w:r>
      <w:r>
        <w:rPr>
          <w:rFonts w:hint="eastAsia" w:ascii="宋体" w:hAnsi="宋体"/>
          <w:bCs/>
          <w:color w:val="000000" w:themeColor="text1"/>
          <w:highlight w:val="none"/>
        </w:rPr>
        <w:t>无偏离、正偏离、负偏离</w:t>
      </w:r>
      <w:r>
        <w:rPr>
          <w:rFonts w:hint="eastAsia" w:ascii="宋体" w:hAnsi="宋体"/>
          <w:bCs/>
          <w:color w:val="000000" w:themeColor="text1"/>
          <w:szCs w:val="21"/>
          <w:highlight w:val="none"/>
        </w:rPr>
        <w:t>”；</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2）对磋商文件中技术条款按上列格式逐条说明。</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供应商声明：表中未列全的技术条款，我方均表示完全响应磋商文件技术条款的所有要求。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spacing w:line="360" w:lineRule="auto"/>
        <w:ind w:firstLine="0"/>
        <w:rPr>
          <w:rFonts w:hAnsi="宋体"/>
          <w:bCs/>
          <w:color w:val="000000" w:themeColor="text1"/>
          <w:szCs w:val="21"/>
          <w:highlight w:val="none"/>
        </w:rPr>
      </w:pPr>
    </w:p>
    <w:p>
      <w:pPr>
        <w:pStyle w:val="4"/>
        <w:numPr>
          <w:ilvl w:val="1"/>
          <w:numId w:val="0"/>
        </w:numPr>
        <w:tabs>
          <w:tab w:val="left" w:pos="420"/>
        </w:tabs>
        <w:spacing w:before="200" w:after="200" w:line="360" w:lineRule="auto"/>
        <w:ind w:left="420" w:hanging="420"/>
        <w:rPr>
          <w:rFonts w:ascii="宋体" w:hAnsi="宋体"/>
          <w:color w:val="000000" w:themeColor="text1"/>
          <w:highlight w:val="none"/>
        </w:rPr>
      </w:pPr>
      <w:bookmarkStart w:id="320" w:name="_Toc27712"/>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五</w:t>
      </w:r>
      <w:r>
        <w:rPr>
          <w:rFonts w:hint="eastAsia" w:ascii="宋体" w:hAnsi="宋体"/>
          <w:color w:val="000000" w:themeColor="text1"/>
          <w:sz w:val="28"/>
          <w:szCs w:val="28"/>
          <w:highlight w:val="none"/>
        </w:rPr>
        <w:t>：同类业绩一览表</w:t>
      </w:r>
      <w:bookmarkEnd w:id="320"/>
    </w:p>
    <w:p>
      <w:pPr>
        <w:pStyle w:val="2"/>
        <w:rPr>
          <w:color w:val="000000" w:themeColor="text1"/>
          <w:highlight w:val="none"/>
        </w:rPr>
      </w:pPr>
    </w:p>
    <w:p>
      <w:pPr>
        <w:pStyle w:val="2"/>
        <w:spacing w:line="360" w:lineRule="auto"/>
        <w:rPr>
          <w:b/>
          <w:bCs/>
          <w:color w:val="000000" w:themeColor="text1"/>
          <w:sz w:val="21"/>
          <w:szCs w:val="21"/>
          <w:highlight w:val="none"/>
        </w:rPr>
      </w:pPr>
      <w:r>
        <w:rPr>
          <w:rFonts w:hint="eastAsia"/>
          <w:b/>
          <w:bCs/>
          <w:color w:val="000000" w:themeColor="text1"/>
          <w:sz w:val="21"/>
          <w:szCs w:val="21"/>
          <w:highlight w:val="none"/>
        </w:rPr>
        <w:t xml:space="preserve">项目编号: </w:t>
      </w:r>
      <w:r>
        <w:rPr>
          <w:rFonts w:hint="eastAsia"/>
          <w:b/>
          <w:bCs/>
          <w:color w:val="000000" w:themeColor="text1"/>
          <w:sz w:val="21"/>
          <w:szCs w:val="21"/>
          <w:highlight w:val="none"/>
          <w:u w:val="single"/>
          <w:lang w:eastAsia="zh-CN"/>
        </w:rPr>
        <w:t>YXCG-20231205</w:t>
      </w:r>
      <w:r>
        <w:rPr>
          <w:rFonts w:hint="eastAsia"/>
          <w:b/>
          <w:bCs/>
          <w:color w:val="000000" w:themeColor="text1"/>
          <w:sz w:val="21"/>
          <w:szCs w:val="21"/>
          <w:highlight w:val="none"/>
        </w:rPr>
        <w:t xml:space="preserve">  </w:t>
      </w:r>
    </w:p>
    <w:p>
      <w:pPr>
        <w:pStyle w:val="2"/>
        <w:spacing w:line="360" w:lineRule="auto"/>
        <w:rPr>
          <w:rFonts w:hint="eastAsia" w:eastAsia="宋体"/>
          <w:b/>
          <w:bCs/>
          <w:color w:val="000000" w:themeColor="text1"/>
          <w:sz w:val="21"/>
          <w:szCs w:val="21"/>
          <w:highlight w:val="none"/>
          <w:u w:val="single"/>
          <w:lang w:eastAsia="zh-CN"/>
        </w:rPr>
      </w:pPr>
      <w:r>
        <w:rPr>
          <w:rFonts w:hint="eastAsia"/>
          <w:b/>
          <w:bCs/>
          <w:color w:val="000000" w:themeColor="text1"/>
          <w:sz w:val="21"/>
          <w:szCs w:val="21"/>
          <w:highlight w:val="none"/>
        </w:rPr>
        <w:t>项目名称：</w:t>
      </w:r>
      <w:r>
        <w:rPr>
          <w:rFonts w:hint="eastAsia"/>
          <w:b/>
          <w:bCs/>
          <w:color w:val="000000" w:themeColor="text1"/>
          <w:sz w:val="21"/>
          <w:szCs w:val="21"/>
          <w:highlight w:val="none"/>
          <w:u w:val="single"/>
          <w:lang w:eastAsia="zh-CN"/>
        </w:rPr>
        <w:t>2024年阳江市阳东区河长制水质监测项目（二次招标）</w:t>
      </w:r>
    </w:p>
    <w:p>
      <w:pPr>
        <w:pStyle w:val="2"/>
        <w:ind w:firstLine="0"/>
        <w:rPr>
          <w:b/>
          <w:bCs/>
          <w:color w:val="000000" w:themeColor="text1"/>
          <w:sz w:val="21"/>
          <w:szCs w:val="21"/>
          <w:highlight w:val="none"/>
          <w:u w:val="single"/>
        </w:rPr>
      </w:pPr>
    </w:p>
    <w:tbl>
      <w:tblPr>
        <w:tblStyle w:val="51"/>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成交额（元）</w:t>
            </w:r>
          </w:p>
        </w:tc>
        <w:tc>
          <w:tcPr>
            <w:tcW w:w="123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rPr>
            </w:pPr>
          </w:p>
        </w:tc>
        <w:tc>
          <w:tcPr>
            <w:tcW w:w="1215" w:type="dxa"/>
            <w:vAlign w:val="center"/>
          </w:tcPr>
          <w:p>
            <w:pPr>
              <w:pStyle w:val="2"/>
              <w:snapToGrid w:val="0"/>
              <w:ind w:firstLine="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ind w:firstLine="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rPr>
            </w:pPr>
          </w:p>
        </w:tc>
        <w:tc>
          <w:tcPr>
            <w:tcW w:w="1215" w:type="dxa"/>
            <w:vAlign w:val="center"/>
          </w:tcPr>
          <w:p>
            <w:pPr>
              <w:pStyle w:val="2"/>
              <w:snapToGrid w:val="0"/>
              <w:jc w:val="center"/>
              <w:rPr>
                <w:rFonts w:hAnsi="宋体"/>
                <w:bCs/>
                <w:color w:val="000000" w:themeColor="text1"/>
                <w:kern w:val="2"/>
                <w:sz w:val="21"/>
                <w:szCs w:val="24"/>
                <w:highlight w:val="none"/>
              </w:rPr>
            </w:pPr>
          </w:p>
        </w:tc>
        <w:tc>
          <w:tcPr>
            <w:tcW w:w="1267" w:type="dxa"/>
            <w:vAlign w:val="center"/>
          </w:tcPr>
          <w:p>
            <w:pPr>
              <w:pStyle w:val="2"/>
              <w:snapToGrid w:val="0"/>
              <w:jc w:val="center"/>
              <w:rPr>
                <w:rFonts w:hAnsi="宋体"/>
                <w:bCs/>
                <w:color w:val="000000" w:themeColor="text1"/>
                <w:kern w:val="2"/>
                <w:sz w:val="21"/>
                <w:szCs w:val="24"/>
                <w:highlight w:val="none"/>
              </w:rPr>
            </w:pPr>
          </w:p>
        </w:tc>
        <w:tc>
          <w:tcPr>
            <w:tcW w:w="1117" w:type="dxa"/>
            <w:vAlign w:val="center"/>
          </w:tcPr>
          <w:p>
            <w:pPr>
              <w:pStyle w:val="2"/>
              <w:snapToGrid w:val="0"/>
              <w:jc w:val="center"/>
              <w:rPr>
                <w:rFonts w:hAnsi="宋体"/>
                <w:bCs/>
                <w:color w:val="000000" w:themeColor="text1"/>
                <w:kern w:val="2"/>
                <w:sz w:val="21"/>
                <w:szCs w:val="24"/>
                <w:highlight w:val="none"/>
              </w:rPr>
            </w:pPr>
          </w:p>
        </w:tc>
        <w:tc>
          <w:tcPr>
            <w:tcW w:w="1400" w:type="dxa"/>
            <w:vAlign w:val="center"/>
          </w:tcPr>
          <w:p>
            <w:pPr>
              <w:pStyle w:val="2"/>
              <w:snapToGrid w:val="0"/>
              <w:jc w:val="center"/>
              <w:rPr>
                <w:rFonts w:hAnsi="宋体"/>
                <w:bCs/>
                <w:color w:val="000000" w:themeColor="text1"/>
                <w:kern w:val="2"/>
                <w:sz w:val="21"/>
                <w:szCs w:val="24"/>
                <w:highlight w:val="none"/>
              </w:rPr>
            </w:pPr>
          </w:p>
        </w:tc>
        <w:tc>
          <w:tcPr>
            <w:tcW w:w="1233" w:type="dxa"/>
            <w:vAlign w:val="center"/>
          </w:tcPr>
          <w:p>
            <w:pPr>
              <w:pStyle w:val="2"/>
              <w:snapToGrid w:val="0"/>
              <w:jc w:val="center"/>
              <w:rPr>
                <w:rFonts w:hAnsi="宋体"/>
                <w:bCs/>
                <w:color w:val="000000" w:themeColor="text1"/>
                <w:kern w:val="2"/>
                <w:sz w:val="21"/>
                <w:szCs w:val="24"/>
                <w:highlight w:val="none"/>
              </w:rPr>
            </w:pPr>
          </w:p>
        </w:tc>
        <w:tc>
          <w:tcPr>
            <w:tcW w:w="1183" w:type="dxa"/>
            <w:vAlign w:val="center"/>
          </w:tcPr>
          <w:p>
            <w:pPr>
              <w:pStyle w:val="2"/>
              <w:snapToGrid w:val="0"/>
              <w:jc w:val="center"/>
              <w:rPr>
                <w:rFonts w:hAnsi="宋体"/>
                <w:bCs/>
                <w:color w:val="000000" w:themeColor="text1"/>
                <w:kern w:val="2"/>
                <w:sz w:val="21"/>
                <w:szCs w:val="24"/>
                <w:highlight w:val="none"/>
              </w:rPr>
            </w:pPr>
          </w:p>
        </w:tc>
        <w:tc>
          <w:tcPr>
            <w:tcW w:w="1220" w:type="dxa"/>
            <w:vAlign w:val="center"/>
          </w:tcPr>
          <w:p>
            <w:pPr>
              <w:pStyle w:val="2"/>
              <w:snapToGrid w:val="0"/>
              <w:jc w:val="center"/>
              <w:rPr>
                <w:rFonts w:hAnsi="宋体"/>
                <w:bCs/>
                <w:color w:val="000000" w:themeColor="text1"/>
                <w:kern w:val="2"/>
                <w:sz w:val="21"/>
                <w:szCs w:val="24"/>
                <w:highlight w:val="none"/>
              </w:rPr>
            </w:pPr>
          </w:p>
        </w:tc>
        <w:tc>
          <w:tcPr>
            <w:tcW w:w="817" w:type="dxa"/>
            <w:vAlign w:val="center"/>
          </w:tcPr>
          <w:p>
            <w:pPr>
              <w:pStyle w:val="2"/>
              <w:snapToGrid w:val="0"/>
              <w:jc w:val="center"/>
              <w:rPr>
                <w:rFonts w:hAnsi="宋体"/>
                <w:bCs/>
                <w:color w:val="000000" w:themeColor="text1"/>
                <w:kern w:val="2"/>
                <w:sz w:val="21"/>
                <w:szCs w:val="24"/>
                <w:highlight w:val="none"/>
              </w:rPr>
            </w:pPr>
          </w:p>
        </w:tc>
      </w:tr>
    </w:tbl>
    <w:p>
      <w:pPr>
        <w:pStyle w:val="2"/>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2"/>
        <w:ind w:firstLine="0"/>
        <w:rPr>
          <w:rFonts w:hAnsi="宋体"/>
          <w:bCs/>
          <w:color w:val="000000" w:themeColor="text1"/>
          <w:sz w:val="21"/>
          <w:highlight w:val="none"/>
        </w:rPr>
      </w:pPr>
    </w:p>
    <w:p>
      <w:pPr>
        <w:pStyle w:val="2"/>
        <w:ind w:firstLine="0"/>
        <w:rPr>
          <w:rFonts w:hAnsi="宋体"/>
          <w:bCs/>
          <w:color w:val="000000" w:themeColor="text1"/>
          <w:sz w:val="21"/>
          <w:highlight w:val="none"/>
        </w:rPr>
      </w:pPr>
    </w:p>
    <w:p>
      <w:pPr>
        <w:pStyle w:val="2"/>
        <w:ind w:firstLine="0"/>
        <w:rPr>
          <w:rFonts w:hAnsi="宋体"/>
          <w:bCs/>
          <w:color w:val="000000" w:themeColor="text1"/>
          <w:sz w:val="21"/>
          <w:highlight w:val="none"/>
        </w:rPr>
      </w:pPr>
    </w:p>
    <w:p>
      <w:pPr>
        <w:pStyle w:val="2"/>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p>
    <w:p>
      <w:pPr>
        <w:pStyle w:val="2"/>
        <w:ind w:firstLine="0"/>
        <w:rPr>
          <w:rFonts w:hAnsi="宋体"/>
          <w:bCs/>
          <w:color w:val="000000" w:themeColor="text1"/>
          <w:sz w:val="21"/>
          <w:szCs w:val="21"/>
          <w:highlight w:val="none"/>
        </w:rPr>
      </w:pPr>
      <w:r>
        <w:rPr>
          <w:rFonts w:hint="eastAsia" w:hAnsi="宋体"/>
          <w:bCs/>
          <w:color w:val="000000" w:themeColor="text1"/>
          <w:sz w:val="21"/>
          <w:szCs w:val="21"/>
          <w:highlight w:val="none"/>
        </w:rPr>
        <w:t>日期：</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u w:val="single"/>
        </w:rPr>
        <w:t xml:space="preserve">  </w:t>
      </w:r>
      <w:r>
        <w:rPr>
          <w:rFonts w:hAnsi="宋体"/>
          <w:bCs/>
          <w:color w:val="000000" w:themeColor="text1"/>
          <w:sz w:val="21"/>
          <w:szCs w:val="21"/>
          <w:highlight w:val="none"/>
          <w:u w:val="single"/>
        </w:rPr>
        <w:t xml:space="preserve"> </w:t>
      </w:r>
      <w:r>
        <w:rPr>
          <w:rFonts w:hAnsi="宋体"/>
          <w:bCs/>
          <w:color w:val="000000" w:themeColor="text1"/>
          <w:sz w:val="21"/>
          <w:szCs w:val="21"/>
          <w:highlight w:val="none"/>
        </w:rPr>
        <w:t xml:space="preserve"> </w:t>
      </w:r>
      <w:r>
        <w:rPr>
          <w:rFonts w:hint="eastAsia" w:hAnsi="宋体"/>
          <w:bCs/>
          <w:color w:val="000000" w:themeColor="text1"/>
          <w:sz w:val="21"/>
          <w:szCs w:val="21"/>
          <w:highlight w:val="none"/>
        </w:rPr>
        <w:t>年</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月</w:t>
      </w:r>
      <w:r>
        <w:rPr>
          <w:rFonts w:hAnsi="宋体"/>
          <w:bCs/>
          <w:color w:val="000000" w:themeColor="text1"/>
          <w:sz w:val="21"/>
          <w:szCs w:val="21"/>
          <w:highlight w:val="none"/>
        </w:rPr>
        <w:t xml:space="preserve"> </w:t>
      </w:r>
      <w:r>
        <w:rPr>
          <w:rFonts w:hAnsi="宋体"/>
          <w:bCs/>
          <w:color w:val="000000" w:themeColor="text1"/>
          <w:sz w:val="21"/>
          <w:szCs w:val="21"/>
          <w:highlight w:val="none"/>
          <w:u w:val="single"/>
        </w:rPr>
        <w:t xml:space="preserve">    </w:t>
      </w:r>
      <w:r>
        <w:rPr>
          <w:rFonts w:hint="eastAsia" w:hAnsi="宋体"/>
          <w:bCs/>
          <w:color w:val="000000" w:themeColor="text1"/>
          <w:sz w:val="21"/>
          <w:szCs w:val="21"/>
          <w:highlight w:val="none"/>
        </w:rPr>
        <w:t>日</w:t>
      </w: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2"/>
        <w:ind w:firstLine="0"/>
        <w:rPr>
          <w:rFonts w:hAnsi="宋体"/>
          <w:bCs/>
          <w:color w:val="000000" w:themeColor="text1"/>
          <w:sz w:val="21"/>
          <w:szCs w:val="21"/>
          <w:highlight w:val="none"/>
        </w:rPr>
      </w:pPr>
    </w:p>
    <w:p>
      <w:pPr>
        <w:pStyle w:val="4"/>
        <w:numPr>
          <w:ilvl w:val="0"/>
          <w:numId w:val="0"/>
        </w:numPr>
        <w:spacing w:line="400" w:lineRule="exact"/>
        <w:rPr>
          <w:rFonts w:hAnsi="黑体" w:cs="黑体"/>
          <w:color w:val="000000" w:themeColor="text1"/>
          <w:sz w:val="28"/>
          <w:szCs w:val="28"/>
          <w:highlight w:val="none"/>
        </w:rPr>
      </w:pPr>
      <w:bookmarkStart w:id="321" w:name="_Toc11866431"/>
      <w:bookmarkStart w:id="322" w:name="_Toc432682754"/>
      <w:bookmarkStart w:id="323" w:name="_Toc2308"/>
      <w:bookmarkStart w:id="324" w:name="_Toc432695229"/>
      <w:bookmarkStart w:id="325" w:name="_Toc11866689"/>
      <w:bookmarkStart w:id="326" w:name="_Toc430771089"/>
      <w:bookmarkStart w:id="327" w:name="_Toc7149"/>
      <w:bookmarkStart w:id="328" w:name="_Toc343247130"/>
      <w:bookmarkStart w:id="329" w:name="_Toc341348370"/>
      <w:bookmarkStart w:id="330" w:name="_Toc342060405"/>
      <w:bookmarkStart w:id="331" w:name="_Toc365985211"/>
      <w:bookmarkStart w:id="332" w:name="_Toc339020125"/>
      <w:bookmarkStart w:id="333" w:name="_Toc339362330"/>
      <w:bookmarkStart w:id="334" w:name="_Toc343612950"/>
      <w:bookmarkStart w:id="335" w:name="_Toc350438779"/>
      <w:bookmarkStart w:id="336" w:name="_Toc333237708"/>
      <w:bookmarkStart w:id="337" w:name="_Toc336681965"/>
      <w:bookmarkStart w:id="338" w:name="_Toc330460016"/>
      <w:bookmarkStart w:id="339" w:name="_Toc336681610"/>
      <w:bookmarkStart w:id="340" w:name="_Toc339441117"/>
      <w:bookmarkStart w:id="341" w:name="_Toc333238664"/>
      <w:bookmarkStart w:id="342" w:name="_Toc345312627"/>
      <w:bookmarkStart w:id="343" w:name="_Toc333935376"/>
      <w:bookmarkStart w:id="344" w:name="_Toc331684072"/>
      <w:bookmarkStart w:id="345" w:name="_Toc102451601"/>
      <w:bookmarkStart w:id="346" w:name="_Toc365967105"/>
      <w:bookmarkStart w:id="347" w:name="_Toc337632388"/>
      <w:bookmarkStart w:id="348" w:name="_Toc340672899"/>
      <w:bookmarkStart w:id="349" w:name="_Toc342296791"/>
      <w:bookmarkStart w:id="350" w:name="_Toc333237819"/>
      <w:bookmarkStart w:id="351" w:name="_Toc340677100"/>
      <w:bookmarkStart w:id="352" w:name="_Toc332270377"/>
      <w:bookmarkStart w:id="353" w:name="_Toc339019919"/>
      <w:bookmarkStart w:id="354" w:name="_Toc343248448"/>
      <w:bookmarkStart w:id="355" w:name="_Toc331512931"/>
      <w:bookmarkStart w:id="356" w:name="_Toc366072562"/>
      <w:bookmarkStart w:id="357" w:name="_Toc339020045"/>
      <w:bookmarkStart w:id="358" w:name="_Toc333935717"/>
      <w:bookmarkStart w:id="359" w:name="_Toc332206739"/>
      <w:bookmarkStart w:id="360" w:name="_Toc339020263"/>
      <w:bookmarkStart w:id="361" w:name="_Toc350756480"/>
      <w:bookmarkStart w:id="362" w:name="_Toc342312473"/>
      <w:bookmarkStart w:id="363" w:name="_Toc340507472"/>
      <w:bookmarkStart w:id="364" w:name="_Toc342398160"/>
      <w:r>
        <w:rPr>
          <w:rFonts w:hint="eastAsia"/>
          <w:color w:val="000000" w:themeColor="text1"/>
          <w:sz w:val="28"/>
          <w:szCs w:val="28"/>
          <w:highlight w:val="none"/>
        </w:rPr>
        <w:t>附件</w:t>
      </w:r>
      <w:r>
        <w:rPr>
          <w:rFonts w:hint="eastAsia"/>
          <w:color w:val="000000" w:themeColor="text1"/>
          <w:sz w:val="28"/>
          <w:szCs w:val="28"/>
          <w:highlight w:val="none"/>
          <w:lang w:val="en-US" w:eastAsia="zh-CN"/>
        </w:rPr>
        <w:t>六</w:t>
      </w:r>
      <w:r>
        <w:rPr>
          <w:rFonts w:hint="eastAsia"/>
          <w:color w:val="000000" w:themeColor="text1"/>
          <w:sz w:val="28"/>
          <w:szCs w:val="28"/>
          <w:highlight w:val="none"/>
        </w:rPr>
        <w:t>：</w:t>
      </w:r>
      <w:r>
        <w:rPr>
          <w:rFonts w:hint="eastAsia" w:hAnsi="黑体" w:cs="黑体"/>
          <w:color w:val="000000" w:themeColor="text1"/>
          <w:sz w:val="28"/>
          <w:szCs w:val="28"/>
          <w:highlight w:val="none"/>
        </w:rPr>
        <w:t>中小微企业声明函</w:t>
      </w:r>
      <w:bookmarkEnd w:id="321"/>
      <w:bookmarkEnd w:id="322"/>
      <w:bookmarkEnd w:id="323"/>
      <w:bookmarkEnd w:id="324"/>
      <w:bookmarkEnd w:id="325"/>
      <w:bookmarkEnd w:id="326"/>
      <w:bookmarkEnd w:id="327"/>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spacing w:line="440" w:lineRule="exact"/>
        <w:rPr>
          <w:rFonts w:ascii="宋体"/>
          <w:color w:val="000000" w:themeColor="text1"/>
          <w:highlight w:val="none"/>
        </w:rPr>
      </w:pPr>
      <w:r>
        <w:rPr>
          <w:rFonts w:hint="eastAsia" w:ascii="宋体" w:hAnsi="宋体"/>
          <w:bCs/>
          <w:color w:val="000000" w:themeColor="text1"/>
          <w:szCs w:val="21"/>
          <w:highlight w:val="none"/>
        </w:rPr>
        <w:t>日期：年月日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rPr>
          <w:color w:val="000000" w:themeColor="text1"/>
          <w:highlight w:val="none"/>
        </w:rPr>
      </w:pPr>
    </w:p>
    <w:p>
      <w:pPr>
        <w:pStyle w:val="2"/>
        <w:ind w:firstLine="0"/>
        <w:rPr>
          <w:color w:val="000000" w:themeColor="text1"/>
          <w:highlight w:val="none"/>
        </w:rPr>
      </w:pPr>
    </w:p>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Pr>
        <w:pStyle w:val="4"/>
        <w:keepLines w:val="0"/>
        <w:numPr>
          <w:ilvl w:val="0"/>
          <w:numId w:val="0"/>
        </w:numPr>
        <w:tabs>
          <w:tab w:val="left" w:pos="851"/>
        </w:tabs>
        <w:spacing w:before="0" w:after="0" w:line="360" w:lineRule="auto"/>
        <w:rPr>
          <w:rFonts w:ascii="宋体"/>
          <w:color w:val="000000" w:themeColor="text1"/>
          <w:sz w:val="28"/>
          <w:szCs w:val="28"/>
          <w:highlight w:val="none"/>
        </w:rPr>
      </w:pPr>
      <w:bookmarkStart w:id="365" w:name="_Toc32373"/>
      <w:bookmarkStart w:id="366" w:name="_Toc20242"/>
      <w:bookmarkStart w:id="367" w:name="_Toc12175"/>
      <w:bookmarkStart w:id="368" w:name="_Toc11866432"/>
      <w:bookmarkStart w:id="369" w:name="_Toc11866690"/>
      <w:r>
        <w:rPr>
          <w:rFonts w:hint="eastAsia"/>
          <w:color w:val="000000" w:themeColor="text1"/>
          <w:sz w:val="28"/>
          <w:szCs w:val="28"/>
          <w:highlight w:val="none"/>
        </w:rPr>
        <w:t>附件</w:t>
      </w:r>
      <w:r>
        <w:rPr>
          <w:rFonts w:hint="eastAsia"/>
          <w:color w:val="000000" w:themeColor="text1"/>
          <w:sz w:val="28"/>
          <w:szCs w:val="28"/>
          <w:highlight w:val="none"/>
          <w:lang w:val="en-US" w:eastAsia="zh-CN"/>
        </w:rPr>
        <w:t>七</w:t>
      </w:r>
      <w:r>
        <w:rPr>
          <w:rFonts w:hint="eastAsia"/>
          <w:color w:val="000000" w:themeColor="text1"/>
          <w:sz w:val="28"/>
          <w:szCs w:val="28"/>
          <w:highlight w:val="none"/>
        </w:rPr>
        <w:t>：</w:t>
      </w:r>
      <w:r>
        <w:rPr>
          <w:rFonts w:hint="eastAsia" w:hAnsi="黑体" w:cs="黑体"/>
          <w:color w:val="000000" w:themeColor="text1"/>
          <w:sz w:val="28"/>
          <w:szCs w:val="28"/>
          <w:highlight w:val="none"/>
        </w:rPr>
        <w:t>残疾人福利性单位声明函</w:t>
      </w:r>
      <w:bookmarkEnd w:id="365"/>
      <w:bookmarkEnd w:id="366"/>
      <w:bookmarkEnd w:id="367"/>
      <w:bookmarkEnd w:id="368"/>
      <w:bookmarkEnd w:id="369"/>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供应商名称（加盖公章）：</w:t>
      </w:r>
    </w:p>
    <w:p>
      <w:pPr>
        <w:pStyle w:val="2"/>
        <w:ind w:firstLine="0"/>
        <w:rPr>
          <w:color w:val="000000" w:themeColor="text1"/>
          <w:highlight w:val="none"/>
        </w:rPr>
      </w:pPr>
      <w:r>
        <w:rPr>
          <w:rFonts w:hint="eastAsia" w:hAnsi="宋体"/>
          <w:bCs/>
          <w:color w:val="000000" w:themeColor="text1"/>
          <w:sz w:val="21"/>
          <w:szCs w:val="21"/>
          <w:highlight w:val="none"/>
        </w:rPr>
        <w:t>日期：年月日</w:t>
      </w:r>
    </w:p>
    <w:p>
      <w:pPr>
        <w:pStyle w:val="2"/>
        <w:ind w:firstLine="0"/>
        <w:rPr>
          <w:rFonts w:hAnsi="宋体"/>
          <w:bCs/>
          <w:color w:val="000000" w:themeColor="text1"/>
          <w:sz w:val="21"/>
          <w:szCs w:val="21"/>
          <w:highlight w:val="none"/>
        </w:rPr>
        <w:sectPr>
          <w:pgSz w:w="11906" w:h="16838"/>
          <w:pgMar w:top="1418" w:right="1474" w:bottom="1418" w:left="1474" w:header="851" w:footer="992" w:gutter="0"/>
          <w:cols w:space="720" w:num="1"/>
          <w:docGrid w:linePitch="312" w:charSpace="0"/>
        </w:sectPr>
      </w:pPr>
    </w:p>
    <w:p>
      <w:pPr>
        <w:pStyle w:val="4"/>
        <w:numPr>
          <w:ilvl w:val="1"/>
          <w:numId w:val="0"/>
        </w:numPr>
        <w:spacing w:line="360" w:lineRule="auto"/>
        <w:rPr>
          <w:rFonts w:ascii="宋体" w:hAnsi="宋体"/>
          <w:color w:val="000000" w:themeColor="text1"/>
          <w:sz w:val="28"/>
          <w:szCs w:val="28"/>
          <w:highlight w:val="none"/>
        </w:rPr>
      </w:pPr>
      <w:bookmarkStart w:id="370" w:name="_Toc200414534"/>
      <w:bookmarkStart w:id="371" w:name="_Toc23579"/>
      <w:bookmarkStart w:id="372" w:name="_Toc469160804"/>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八</w:t>
      </w:r>
      <w:r>
        <w:rPr>
          <w:rFonts w:hint="eastAsia" w:ascii="宋体" w:hAnsi="宋体"/>
          <w:color w:val="000000" w:themeColor="text1"/>
          <w:sz w:val="28"/>
          <w:szCs w:val="28"/>
          <w:highlight w:val="none"/>
        </w:rPr>
        <w:t>：成交服务费承诺</w:t>
      </w:r>
      <w:bookmarkEnd w:id="370"/>
      <w:bookmarkEnd w:id="371"/>
      <w:bookmarkEnd w:id="372"/>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b/>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color w:val="000000" w:themeColor="text1"/>
          <w:szCs w:val="21"/>
          <w:highlight w:val="none"/>
        </w:rPr>
        <w:t>磋商项目（</w:t>
      </w:r>
      <w:r>
        <w:rPr>
          <w:rFonts w:hint="eastAsia" w:ascii="宋体" w:hAnsi="宋体"/>
          <w:bCs/>
          <w:color w:val="000000" w:themeColor="text1"/>
          <w:szCs w:val="21"/>
          <w:highlight w:val="none"/>
        </w:rPr>
        <w:t xml:space="preserve">项目编号： </w:t>
      </w:r>
      <w:r>
        <w:rPr>
          <w:rFonts w:hint="eastAsia" w:ascii="宋体" w:hAnsi="宋体"/>
          <w:b/>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1.若我方成交，将严格遵照本项目磋商文件的规定向代理采购机构缴纳成交服务费。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2.若我方成交后拒绝如数缴纳或未按本项目磋商文件规定的期限缴纳成交服务费，则视为我方自动放弃该成交结果，贵方有权重新确定成交结果，我方对此无任何异议。</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w:t>
      </w: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年</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color w:val="000000" w:themeColor="text1"/>
          <w:szCs w:val="21"/>
          <w:highlight w:val="none"/>
          <w:u w:val="single"/>
        </w:rPr>
        <w:t xml:space="preserve">      </w:t>
      </w:r>
      <w:r>
        <w:rPr>
          <w:rFonts w:hint="eastAsia" w:ascii="宋体" w:hAnsi="宋体"/>
          <w:bCs/>
          <w:color w:val="000000" w:themeColor="text1"/>
          <w:szCs w:val="21"/>
          <w:highlight w:val="none"/>
        </w:rPr>
        <w:t>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4"/>
        <w:numPr>
          <w:ilvl w:val="1"/>
          <w:numId w:val="0"/>
        </w:numPr>
        <w:spacing w:line="360" w:lineRule="auto"/>
        <w:rPr>
          <w:rFonts w:ascii="宋体" w:hAnsi="宋体"/>
          <w:color w:val="000000" w:themeColor="text1"/>
          <w:sz w:val="28"/>
          <w:szCs w:val="28"/>
          <w:highlight w:val="none"/>
        </w:rPr>
      </w:pPr>
      <w:bookmarkStart w:id="373" w:name="_Toc200414535"/>
      <w:bookmarkStart w:id="374" w:name="_Toc469160805"/>
      <w:bookmarkStart w:id="375" w:name="_Toc29148"/>
      <w:r>
        <w:rPr>
          <w:rFonts w:hint="eastAsia" w:ascii="宋体" w:hAnsi="宋体"/>
          <w:color w:val="000000" w:themeColor="text1"/>
          <w:sz w:val="28"/>
          <w:szCs w:val="28"/>
          <w:highlight w:val="none"/>
        </w:rPr>
        <w:t>附件</w:t>
      </w:r>
      <w:r>
        <w:rPr>
          <w:rFonts w:hint="eastAsia" w:ascii="宋体" w:hAnsi="宋体"/>
          <w:color w:val="000000" w:themeColor="text1"/>
          <w:sz w:val="28"/>
          <w:szCs w:val="28"/>
          <w:highlight w:val="none"/>
          <w:lang w:val="en-US" w:eastAsia="zh-CN"/>
        </w:rPr>
        <w:t>九</w:t>
      </w:r>
      <w:r>
        <w:rPr>
          <w:rFonts w:hint="eastAsia" w:ascii="宋体" w:hAnsi="宋体"/>
          <w:color w:val="000000" w:themeColor="text1"/>
          <w:sz w:val="28"/>
          <w:szCs w:val="28"/>
          <w:highlight w:val="none"/>
        </w:rPr>
        <w:t>：磋商供应商提交的其他资料</w:t>
      </w:r>
      <w:bookmarkEnd w:id="373"/>
      <w:bookmarkEnd w:id="374"/>
      <w:bookmarkEnd w:id="37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u w:val="single"/>
          <w:lang w:eastAsia="zh-CN"/>
        </w:rPr>
        <w:t>YXCG-20231205</w:t>
      </w:r>
      <w:r>
        <w:rPr>
          <w:rFonts w:hint="eastAsia" w:ascii="宋体" w:hAnsi="宋体"/>
          <w:b/>
          <w:bCs/>
          <w:cap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r>
        <w:rPr>
          <w:rFonts w:hint="eastAsia" w:ascii="宋体" w:hAnsi="宋体"/>
          <w:b/>
          <w:bCs/>
          <w:color w:val="000000" w:themeColor="text1"/>
          <w:szCs w:val="21"/>
          <w:highlight w:val="none"/>
          <w:u w:val="single"/>
          <w:lang w:eastAsia="zh-CN"/>
        </w:rPr>
        <w:t>2024年阳江市阳东区河长制水质监测项目（二次招标）</w:t>
      </w:r>
      <w:r>
        <w:rPr>
          <w:rFonts w:hint="eastAsia" w:ascii="宋体" w:hAnsi="宋体"/>
          <w:b/>
          <w:bCs/>
          <w:color w:val="000000" w:themeColor="text1"/>
          <w:szCs w:val="21"/>
          <w:highlight w:val="none"/>
          <w:u w:val="single"/>
        </w:rPr>
        <w:t xml:space="preserve"> </w:t>
      </w:r>
    </w:p>
    <w:p>
      <w:pPr>
        <w:adjustRightInd w:val="0"/>
        <w:snapToGrid w:val="0"/>
        <w:spacing w:line="360" w:lineRule="auto"/>
        <w:jc w:val="left"/>
        <w:rPr>
          <w:rFonts w:ascii="宋体" w:hAnsi="宋体"/>
          <w:bCs/>
          <w:color w:val="000000" w:themeColor="text1"/>
          <w:szCs w:val="21"/>
          <w:highlight w:val="none"/>
          <w:u w:val="single"/>
        </w:rPr>
      </w:pPr>
    </w:p>
    <w:p>
      <w:pPr>
        <w:pStyle w:val="2"/>
        <w:spacing w:line="360" w:lineRule="auto"/>
        <w:rPr>
          <w:rFonts w:hAnsi="宋体"/>
          <w:color w:val="000000" w:themeColor="text1"/>
          <w:sz w:val="21"/>
          <w:szCs w:val="21"/>
          <w:highlight w:val="none"/>
        </w:rPr>
      </w:pPr>
    </w:p>
    <w:p>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本节无格式要求，供应商可根据自身实际情况以及磋商文件规定的“磋商采购项目要求”等进行编制。</w:t>
      </w:r>
    </w:p>
    <w:p>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一、</w:t>
      </w:r>
    </w:p>
    <w:p>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二、</w:t>
      </w:r>
    </w:p>
    <w:p>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三、</w:t>
      </w:r>
      <w:r>
        <w:rPr>
          <w:rFonts w:hAnsi="宋体"/>
          <w:bCs/>
          <w:color w:val="000000" w:themeColor="text1"/>
          <w:sz w:val="21"/>
          <w:szCs w:val="21"/>
          <w:highlight w:val="none"/>
        </w:rPr>
        <w:t>...</w:t>
      </w:r>
    </w:p>
    <w:p>
      <w:pPr>
        <w:pStyle w:val="2"/>
        <w:spacing w:line="360" w:lineRule="auto"/>
        <w:rPr>
          <w:rFonts w:hAnsi="宋体"/>
          <w:bCs/>
          <w:color w:val="000000" w:themeColor="text1"/>
          <w:sz w:val="21"/>
          <w:szCs w:val="21"/>
          <w:highlight w:val="none"/>
        </w:rPr>
      </w:pPr>
      <w:r>
        <w:rPr>
          <w:rFonts w:hint="eastAsia" w:hAnsi="宋体"/>
          <w:bCs/>
          <w:color w:val="000000" w:themeColor="text1"/>
          <w:sz w:val="21"/>
          <w:szCs w:val="21"/>
          <w:highlight w:val="none"/>
        </w:rPr>
        <w:t>四、</w:t>
      </w:r>
      <w:r>
        <w:rPr>
          <w:rFonts w:hAnsi="宋体"/>
          <w:bCs/>
          <w:color w:val="000000" w:themeColor="text1"/>
          <w:sz w:val="2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年</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月</w:t>
      </w:r>
      <w:r>
        <w:rPr>
          <w:rFonts w:ascii="宋体" w:hAnsi="宋体"/>
          <w:bCs/>
          <w:color w:val="000000" w:themeColor="text1"/>
          <w:szCs w:val="21"/>
          <w:highlight w:val="non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2"/>
        <w:spacing w:line="360" w:lineRule="auto"/>
        <w:rPr>
          <w:rFonts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2"/>
        <w:spacing w:line="360" w:lineRule="auto"/>
        <w:rPr>
          <w:rFonts w:hAnsi="宋体"/>
          <w:color w:val="000000" w:themeColor="text1"/>
          <w:highlight w:val="none"/>
        </w:rPr>
      </w:pPr>
    </w:p>
    <w:p>
      <w:pPr>
        <w:pStyle w:val="2"/>
        <w:ind w:firstLine="0"/>
        <w:rPr>
          <w:rFonts w:hAnsi="宋体"/>
          <w:color w:val="000000" w:themeColor="text1"/>
          <w:highlight w:val="none"/>
        </w:rPr>
      </w:pPr>
      <w:bookmarkStart w:id="376" w:name="_Toc434832511"/>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2"/>
        <w:ind w:firstLine="0"/>
        <w:rPr>
          <w:rFonts w:hAnsi="宋体"/>
          <w:color w:val="000000" w:themeColor="text1"/>
          <w:highlight w:val="none"/>
        </w:rPr>
      </w:pPr>
    </w:p>
    <w:p>
      <w:pPr>
        <w:pStyle w:val="4"/>
        <w:numPr>
          <w:ilvl w:val="1"/>
          <w:numId w:val="0"/>
        </w:numPr>
        <w:spacing w:line="360" w:lineRule="auto"/>
        <w:rPr>
          <w:rFonts w:ascii="宋体" w:hAnsi="宋体"/>
          <w:color w:val="000000" w:themeColor="text1"/>
          <w:sz w:val="52"/>
          <w:highlight w:val="none"/>
        </w:rPr>
      </w:pPr>
      <w:bookmarkStart w:id="377" w:name="_Toc10906"/>
      <w:bookmarkStart w:id="378" w:name="_Toc469160806"/>
      <w:r>
        <w:rPr>
          <w:rFonts w:hint="eastAsia" w:ascii="宋体" w:hAnsi="宋体"/>
          <w:color w:val="000000" w:themeColor="text1"/>
          <w:sz w:val="52"/>
          <w:highlight w:val="none"/>
        </w:rPr>
        <w:t>其 他 格 式</w:t>
      </w:r>
      <w:bookmarkEnd w:id="376"/>
      <w:bookmarkEnd w:id="377"/>
      <w:bookmarkEnd w:id="378"/>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b/>
          <w:color w:val="000000" w:themeColor="text1"/>
          <w:highlight w:val="none"/>
        </w:rPr>
      </w:pPr>
    </w:p>
    <w:p>
      <w:pPr>
        <w:rPr>
          <w:rFonts w:hint="eastAsia"/>
          <w:b/>
          <w:bCs/>
          <w:color w:val="000000" w:themeColor="text1"/>
          <w:sz w:val="44"/>
          <w:szCs w:val="44"/>
          <w:highlight w:val="none"/>
        </w:rPr>
      </w:pP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51"/>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hint="eastAsia" w:ascii="宋体" w:hAnsi="宋体"/>
          <w:b/>
          <w:color w:val="000000" w:themeColor="text1"/>
          <w:sz w:val="28"/>
          <w:szCs w:val="28"/>
          <w:highlight w:val="none"/>
        </w:rPr>
      </w:pPr>
    </w:p>
    <w:p>
      <w:pPr>
        <w:spacing w:line="360" w:lineRule="auto"/>
        <w:jc w:val="center"/>
        <w:rPr>
          <w:rFonts w:ascii="宋体" w:hAnsi="宋体"/>
          <w:b/>
          <w:color w:val="000000" w:themeColor="text1"/>
          <w:sz w:val="28"/>
          <w:szCs w:val="28"/>
          <w:highlight w:val="none"/>
        </w:rPr>
      </w:pPr>
      <w:r>
        <w:rPr>
          <w:rFonts w:hint="eastAsia" w:ascii="宋体" w:hAnsi="宋体"/>
          <w:b/>
          <w:color w:val="000000" w:themeColor="text1"/>
          <w:sz w:val="28"/>
          <w:szCs w:val="28"/>
          <w:highlight w:val="none"/>
        </w:rPr>
        <w:t>询问函、质疑函格式</w:t>
      </w:r>
    </w:p>
    <w:p>
      <w:pPr>
        <w:pStyle w:val="45"/>
        <w:snapToGrid w:val="0"/>
        <w:spacing w:before="0" w:beforeAutospacing="0" w:after="0" w:afterAutospacing="0" w:line="360" w:lineRule="auto"/>
        <w:jc w:val="both"/>
        <w:rPr>
          <w:color w:val="000000" w:themeColor="text1"/>
          <w:sz w:val="2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5"/>
        <w:snapToGrid w:val="0"/>
        <w:spacing w:before="0" w:beforeAutospacing="0" w:after="0" w:afterAutospacing="0" w:line="360" w:lineRule="auto"/>
        <w:jc w:val="both"/>
        <w:rPr>
          <w:color w:val="000000" w:themeColor="text1"/>
          <w:sz w:val="21"/>
          <w:szCs w:val="21"/>
          <w:highlight w:val="none"/>
        </w:rPr>
      </w:pPr>
    </w:p>
    <w:p>
      <w:pPr>
        <w:pStyle w:val="45"/>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t>1：询问函格式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询问函</w:t>
      </w:r>
    </w:p>
    <w:p>
      <w:pPr>
        <w:widowControl/>
        <w:tabs>
          <w:tab w:val="left" w:pos="6300"/>
        </w:tabs>
        <w:snapToGrid w:val="0"/>
        <w:spacing w:line="360" w:lineRule="auto"/>
        <w:jc w:val="lef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我单位已报名并准备参与</w:t>
      </w:r>
      <w:r>
        <w:rPr>
          <w:rFonts w:hint="eastAsia" w:ascii="宋体" w:hAnsi="宋体"/>
          <w:color w:val="000000" w:themeColor="text1"/>
          <w:szCs w:val="21"/>
          <w:highlight w:val="none"/>
          <w:u w:val="single"/>
        </w:rPr>
        <w:t>（项目名称）</w:t>
      </w:r>
      <w:r>
        <w:rPr>
          <w:rFonts w:hint="eastAsia" w:ascii="宋体" w:hAnsi="宋体"/>
          <w:color w:val="000000" w:themeColor="text1"/>
          <w:szCs w:val="21"/>
          <w:highlight w:val="none"/>
        </w:rPr>
        <w:t>项目（采购文件编号：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）的投标（或报价）活动，现有以下几个内容（或条款）存在疑问（或无法理解），特提出询问。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一、_____________________（事项一）</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（1）____________________（问题或条款内容）</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（2）____________________（说明疑问或无法理解原因）</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（3）____________________（建议）</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二、_____________________（事项二）</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w:t>
      </w:r>
    </w:p>
    <w:p>
      <w:pPr>
        <w:widowControl/>
        <w:tabs>
          <w:tab w:val="left" w:pos="6300"/>
        </w:tabs>
        <w:snapToGrid w:val="0"/>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随附相关证明材料如下：（目录）。</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询问人：（公章）</w:t>
      </w:r>
    </w:p>
    <w:p>
      <w:pPr>
        <w:widowControl/>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法定代表人（负责人）（授权代表）：</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地址/邮编：</w:t>
      </w:r>
    </w:p>
    <w:p>
      <w:pPr>
        <w:tabs>
          <w:tab w:val="left" w:pos="6300"/>
        </w:tabs>
        <w:snapToGrid w:val="0"/>
        <w:spacing w:line="360" w:lineRule="auto"/>
        <w:ind w:firstLine="1260" w:firstLineChars="600"/>
        <w:jc w:val="left"/>
        <w:rPr>
          <w:rFonts w:ascii="宋体" w:hAnsi="宋体"/>
          <w:color w:val="000000" w:themeColor="text1"/>
          <w:szCs w:val="21"/>
          <w:highlight w:val="none"/>
        </w:rPr>
      </w:pPr>
      <w:r>
        <w:rPr>
          <w:rFonts w:hint="eastAsia" w:ascii="宋体" w:hAnsi="宋体"/>
          <w:color w:val="000000" w:themeColor="text1"/>
          <w:szCs w:val="21"/>
          <w:highlight w:val="none"/>
        </w:rPr>
        <w:t>电话/传真：</w:t>
      </w:r>
    </w:p>
    <w:p>
      <w:pPr>
        <w:tabs>
          <w:tab w:val="left" w:pos="6300"/>
        </w:tabs>
        <w:snapToGrid w:val="0"/>
        <w:spacing w:line="360" w:lineRule="auto"/>
        <w:ind w:firstLine="1260" w:firstLineChars="600"/>
        <w:jc w:val="left"/>
        <w:rPr>
          <w:rFonts w:ascii="宋体" w:hAnsi="宋体"/>
          <w:color w:val="000000" w:themeColor="text1"/>
          <w:szCs w:val="21"/>
          <w:highlight w:val="none"/>
        </w:rPr>
      </w:pPr>
    </w:p>
    <w:p>
      <w:pPr>
        <w:tabs>
          <w:tab w:val="left" w:pos="6300"/>
        </w:tabs>
        <w:snapToGrid w:val="0"/>
        <w:spacing w:line="360" w:lineRule="auto"/>
        <w:ind w:firstLine="1260" w:firstLineChars="600"/>
        <w:jc w:val="left"/>
        <w:rPr>
          <w:rFonts w:ascii="宋体" w:hAnsi="宋体"/>
          <w:color w:val="000000" w:themeColor="text1"/>
          <w:szCs w:val="21"/>
          <w:highlight w:val="none"/>
        </w:rPr>
      </w:pPr>
    </w:p>
    <w:p>
      <w:pPr>
        <w:spacing w:line="360" w:lineRule="auto"/>
        <w:jc w:val="right"/>
        <w:rPr>
          <w:rFonts w:ascii="宋体" w:hAnsi="宋体"/>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年</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月</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日</w:t>
      </w:r>
    </w:p>
    <w:p>
      <w:pPr>
        <w:snapToGrid w:val="0"/>
        <w:spacing w:line="360" w:lineRule="auto"/>
        <w:ind w:firstLine="378" w:firstLineChars="180"/>
        <w:rPr>
          <w:rFonts w:ascii="宋体" w:hAnsi="宋体"/>
          <w:color w:val="000000" w:themeColor="text1"/>
          <w:szCs w:val="21"/>
          <w:highlight w:val="none"/>
        </w:rPr>
      </w:pPr>
    </w:p>
    <w:p>
      <w:pPr>
        <w:pStyle w:val="45"/>
        <w:adjustRightInd w:val="0"/>
        <w:snapToGrid w:val="0"/>
        <w:spacing w:before="0" w:beforeAutospacing="0" w:after="0" w:afterAutospacing="0" w:line="360" w:lineRule="auto"/>
        <w:jc w:val="both"/>
        <w:rPr>
          <w:color w:val="000000" w:themeColor="text1"/>
          <w:sz w:val="21"/>
          <w:szCs w:val="21"/>
          <w:highlight w:val="none"/>
        </w:rPr>
      </w:pPr>
      <w:r>
        <w:rPr>
          <w:rFonts w:hint="eastAsia"/>
          <w:color w:val="000000" w:themeColor="text1"/>
          <w:sz w:val="21"/>
          <w:szCs w:val="21"/>
          <w:highlight w:val="none"/>
        </w:rPr>
        <w:br w:type="page"/>
      </w:r>
      <w:r>
        <w:rPr>
          <w:rFonts w:hint="eastAsia"/>
          <w:color w:val="000000" w:themeColor="text1"/>
          <w:sz w:val="21"/>
          <w:szCs w:val="21"/>
          <w:highlight w:val="none"/>
        </w:rPr>
        <w:t>2：质疑函格式</w:t>
      </w:r>
    </w:p>
    <w:p>
      <w:pPr>
        <w:pStyle w:val="45"/>
        <w:spacing w:before="0" w:beforeAutospacing="0" w:after="0" w:afterAutospacing="0" w:line="360" w:lineRule="auto"/>
        <w:jc w:val="center"/>
        <w:rPr>
          <w:rStyle w:val="54"/>
          <w:rFonts w:cs="Times New Roman"/>
          <w:b w:val="0"/>
          <w:color w:val="000000" w:themeColor="text1"/>
          <w:sz w:val="21"/>
          <w:szCs w:val="21"/>
          <w:highlight w:val="none"/>
        </w:rPr>
      </w:pPr>
      <w:r>
        <w:rPr>
          <w:rStyle w:val="54"/>
          <w:rFonts w:hint="eastAsia" w:cs="Times New Roman"/>
          <w:b w:val="0"/>
          <w:color w:val="000000" w:themeColor="text1"/>
          <w:sz w:val="21"/>
          <w:szCs w:val="21"/>
          <w:highlight w:val="none"/>
        </w:rPr>
        <w:t>质疑函</w:t>
      </w:r>
    </w:p>
    <w:p>
      <w:pPr>
        <w:adjustRightInd w:val="0"/>
        <w:snapToGrid w:val="0"/>
        <w:spacing w:beforeLines="100"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一、质疑供应商基本信息</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质疑供应商：</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联系人：</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授权代表：</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联系电话：</w:t>
      </w:r>
      <w:r>
        <w:rPr>
          <w:rFonts w:hint="eastAsia" w:ascii="宋体" w:hAnsi="宋体" w:cs="仿宋"/>
          <w:color w:val="000000" w:themeColor="text1"/>
          <w:szCs w:val="21"/>
          <w:highlight w:val="none"/>
          <w:u w:val="dotted"/>
        </w:rPr>
        <w:t xml:space="preserve">                                           </w:t>
      </w:r>
      <w:r>
        <w:rPr>
          <w:rFonts w:ascii="宋体" w:hAnsi="宋体" w:cs="仿宋"/>
          <w:color w:val="000000" w:themeColor="text1"/>
          <w:szCs w:val="21"/>
          <w:highlight w:val="none"/>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地址：</w:t>
      </w:r>
      <w:r>
        <w:rPr>
          <w:rFonts w:ascii="宋体" w:hAnsi="宋体" w:cs="仿宋"/>
          <w:color w:val="000000" w:themeColor="text1"/>
          <w:szCs w:val="21"/>
          <w:highlight w:val="none"/>
        </w:rPr>
        <w:t xml:space="preserve"> </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邮编：</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二、质疑项目基本情况</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质疑项目的编号：</w:t>
      </w:r>
      <w:r>
        <w:rPr>
          <w:rFonts w:hint="eastAsia" w:ascii="宋体" w:hAnsi="宋体" w:cs="仿宋"/>
          <w:color w:val="000000" w:themeColor="text1"/>
          <w:szCs w:val="21"/>
          <w:highlight w:val="none"/>
          <w:u w:val="dotted"/>
        </w:rPr>
        <w:t xml:space="preserve">               </w:t>
      </w:r>
      <w:r>
        <w:rPr>
          <w:rFonts w:hint="eastAsia" w:ascii="宋体" w:hAnsi="宋体" w:cs="仿宋"/>
          <w:color w:val="000000" w:themeColor="text1"/>
          <w:szCs w:val="21"/>
          <w:highlight w:val="none"/>
        </w:rPr>
        <w:t>包号：</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采购人名称：</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采购文件获取日期：</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三、质疑事项具体内容</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质疑事项1：</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事实依据：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法律依据：</w:t>
      </w: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u w:val="dotted"/>
        </w:rPr>
        <w:t xml:space="preserve">                                                     </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质疑事项2</w:t>
      </w:r>
    </w:p>
    <w:p>
      <w:pPr>
        <w:adjustRightInd w:val="0"/>
        <w:snapToGrid w:val="0"/>
        <w:spacing w:line="360" w:lineRule="auto"/>
        <w:rPr>
          <w:rFonts w:ascii="宋体" w:hAnsi="宋体" w:cs="仿宋"/>
          <w:color w:val="000000" w:themeColor="text1"/>
          <w:szCs w:val="21"/>
          <w:highlight w:val="none"/>
        </w:rPr>
      </w:pPr>
      <w:r>
        <w:rPr>
          <w:rFonts w:hint="eastAsia" w:ascii="宋体" w:hAnsi="宋体" w:cs="仿宋"/>
          <w:color w:val="000000" w:themeColor="text1"/>
          <w:szCs w:val="21"/>
          <w:highlight w:val="none"/>
        </w:rPr>
        <w:t>……</w:t>
      </w:r>
    </w:p>
    <w:p>
      <w:pPr>
        <w:adjustRightInd w:val="0"/>
        <w:snapToGrid w:val="0"/>
        <w:spacing w:line="360" w:lineRule="auto"/>
        <w:rPr>
          <w:rFonts w:ascii="宋体" w:hAnsi="宋体" w:cs="仿宋"/>
          <w:bCs/>
          <w:color w:val="000000" w:themeColor="text1"/>
          <w:szCs w:val="21"/>
          <w:highlight w:val="none"/>
        </w:rPr>
      </w:pPr>
      <w:r>
        <w:rPr>
          <w:rFonts w:hint="eastAsia" w:ascii="宋体" w:hAnsi="宋体" w:cs="仿宋"/>
          <w:bCs/>
          <w:color w:val="000000" w:themeColor="text1"/>
          <w:szCs w:val="21"/>
          <w:highlight w:val="none"/>
        </w:rPr>
        <w:t>四、与质疑事项相关的质疑请求</w:t>
      </w:r>
    </w:p>
    <w:p>
      <w:pPr>
        <w:adjustRightInd w:val="0"/>
        <w:snapToGrid w:val="0"/>
        <w:spacing w:line="360" w:lineRule="auto"/>
        <w:rPr>
          <w:rFonts w:ascii="宋体" w:hAnsi="宋体" w:cs="仿宋"/>
          <w:color w:val="000000" w:themeColor="text1"/>
          <w:szCs w:val="21"/>
          <w:highlight w:val="none"/>
          <w:u w:val="dotted"/>
        </w:rPr>
      </w:pPr>
      <w:r>
        <w:rPr>
          <w:rFonts w:hint="eastAsia" w:ascii="宋体" w:hAnsi="宋体" w:cs="仿宋"/>
          <w:color w:val="000000" w:themeColor="text1"/>
          <w:szCs w:val="21"/>
          <w:highlight w:val="none"/>
        </w:rPr>
        <w:t>请求：</w:t>
      </w:r>
      <w:r>
        <w:rPr>
          <w:rFonts w:hint="eastAsia" w:ascii="宋体" w:hAnsi="宋体" w:cs="仿宋"/>
          <w:color w:val="000000" w:themeColor="text1"/>
          <w:szCs w:val="21"/>
          <w:highlight w:val="none"/>
          <w:u w:val="dotted"/>
        </w:rPr>
        <w:t xml:space="preserve">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签字(签章)：                   公章：                      </w:t>
      </w:r>
    </w:p>
    <w:p>
      <w:pPr>
        <w:rPr>
          <w:rFonts w:ascii="宋体" w:hAnsi="宋体"/>
          <w:color w:val="000000" w:themeColor="text1"/>
          <w:szCs w:val="21"/>
          <w:highlight w:val="none"/>
        </w:rPr>
      </w:pPr>
    </w:p>
    <w:p>
      <w:pPr>
        <w:rPr>
          <w:rFonts w:ascii="宋体" w:hAnsi="宋体"/>
          <w:color w:val="000000" w:themeColor="text1"/>
          <w:szCs w:val="21"/>
          <w:highlight w:val="none"/>
        </w:rPr>
      </w:pPr>
      <w:r>
        <w:rPr>
          <w:rFonts w:hint="eastAsia" w:ascii="宋体" w:hAnsi="宋体"/>
          <w:color w:val="000000" w:themeColor="text1"/>
          <w:szCs w:val="21"/>
          <w:highlight w:val="none"/>
        </w:rPr>
        <w:t xml:space="preserve">日期：    </w:t>
      </w: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adjustRightInd w:val="0"/>
        <w:snapToGrid w:val="0"/>
        <w:spacing w:line="360" w:lineRule="auto"/>
        <w:rPr>
          <w:rFonts w:ascii="宋体" w:hAnsi="宋体" w:cs="仿宋"/>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spacing w:line="360" w:lineRule="auto"/>
        <w:ind w:firstLine="420" w:firstLineChars="200"/>
        <w:rPr>
          <w:rFonts w:ascii="宋体" w:hAnsi="宋体"/>
          <w:b/>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rPr>
          <w:rFonts w:ascii="宋体" w:hAnsi="宋体"/>
          <w:b/>
          <w:color w:val="000000" w:themeColor="text1"/>
          <w:szCs w:val="21"/>
          <w:highlight w:val="none"/>
        </w:rPr>
      </w:pPr>
    </w:p>
    <w:sectPr>
      <w:headerReference r:id="rId1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roman"/>
    <w:pitch w:val="default"/>
    <w:sig w:usb0="00000000" w:usb1="00000000" w:usb2="0000003F" w:usb3="00000000" w:csb0="601F00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ì.">
    <w:altName w:val="宋体"/>
    <w:panose1 w:val="00000000000000000000"/>
    <w:charset w:val="86"/>
    <w:family w:val="roman"/>
    <w:pitch w:val="default"/>
    <w:sig w:usb0="00000000" w:usb1="00000000" w:usb2="00000000" w:usb3="00000000" w:csb0="0000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53</w:t>
    </w:r>
    <w:r>
      <w:rPr>
        <w:szCs w:val="21"/>
      </w:rPr>
      <w:fldChar w:fldCharType="end"/>
    </w:r>
    <w:r>
      <w:rPr>
        <w:rFonts w:hint="eastAsia"/>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33</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33</w:t>
    </w:r>
    <w:r>
      <w:rPr>
        <w:szCs w:val="21"/>
      </w:rPr>
      <w:fldChar w:fldCharType="end"/>
    </w:r>
    <w:r>
      <w:rPr>
        <w:rFonts w:hint="eastAsia"/>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45</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45</w:t>
    </w:r>
    <w:r>
      <w:rPr>
        <w:szCs w:val="21"/>
      </w:rPr>
      <w:fldChar w:fldCharType="end"/>
    </w:r>
    <w:r>
      <w:rPr>
        <w:rFonts w:hint="eastAsia"/>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bullet"/>
      <w:pStyle w:val="287"/>
      <w:lvlText w:val=""/>
      <w:lvlJc w:val="left"/>
      <w:pPr>
        <w:tabs>
          <w:tab w:val="left" w:pos="360"/>
        </w:tabs>
        <w:ind w:left="360" w:hanging="360"/>
      </w:pPr>
      <w:rPr>
        <w:rFonts w:hint="default" w:ascii="Wingdings" w:hAnsi="Wingdings"/>
      </w:rPr>
    </w:lvl>
  </w:abstractNum>
  <w:abstractNum w:abstractNumId="1">
    <w:nsid w:val="0000000A"/>
    <w:multiLevelType w:val="multilevel"/>
    <w:tmpl w:val="0000000A"/>
    <w:lvl w:ilvl="0" w:tentative="0">
      <w:start w:val="1"/>
      <w:numFmt w:val="decimal"/>
      <w:lvlText w:val="（%1）"/>
      <w:lvlJc w:val="left"/>
      <w:pPr>
        <w:tabs>
          <w:tab w:val="left" w:pos="1275"/>
        </w:tabs>
        <w:ind w:left="1275" w:hanging="855"/>
      </w:pPr>
      <w:rPr>
        <w:rFonts w:hint="eastAsia"/>
      </w:rPr>
    </w:lvl>
    <w:lvl w:ilvl="1" w:tentative="0">
      <w:start w:val="1"/>
      <w:numFmt w:val="decimal"/>
      <w:pStyle w:val="174"/>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singleLevel"/>
    <w:tmpl w:val="0000000C"/>
    <w:lvl w:ilvl="0" w:tentative="0">
      <w:start w:val="1"/>
      <w:numFmt w:val="decimal"/>
      <w:pStyle w:val="328"/>
      <w:lvlText w:val="%1."/>
      <w:lvlJc w:val="left"/>
      <w:pPr>
        <w:tabs>
          <w:tab w:val="left" w:pos="360"/>
        </w:tabs>
        <w:ind w:left="360" w:hanging="360"/>
      </w:pPr>
    </w:lvl>
  </w:abstractNum>
  <w:abstractNum w:abstractNumId="3">
    <w:nsid w:val="0000000E"/>
    <w:multiLevelType w:val="multilevel"/>
    <w:tmpl w:val="0000000E"/>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23"/>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0000000F"/>
    <w:multiLevelType w:val="singleLevel"/>
    <w:tmpl w:val="0000000F"/>
    <w:lvl w:ilvl="0" w:tentative="0">
      <w:start w:val="1"/>
      <w:numFmt w:val="decimal"/>
      <w:pStyle w:val="28"/>
      <w:lvlText w:val="%1."/>
      <w:lvlJc w:val="left"/>
      <w:pPr>
        <w:tabs>
          <w:tab w:val="left" w:pos="425"/>
        </w:tabs>
        <w:ind w:left="425" w:hanging="425"/>
      </w:pPr>
      <w:rPr>
        <w:rFonts w:hint="eastAsia"/>
      </w:rPr>
    </w:lvl>
  </w:abstractNum>
  <w:abstractNum w:abstractNumId="5">
    <w:nsid w:val="00000010"/>
    <w:multiLevelType w:val="multilevel"/>
    <w:tmpl w:val="00000010"/>
    <w:lvl w:ilvl="0" w:tentative="0">
      <w:start w:val="1"/>
      <w:numFmt w:val="decimal"/>
      <w:pStyle w:val="19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1"/>
    <w:multiLevelType w:val="multilevel"/>
    <w:tmpl w:val="00000011"/>
    <w:lvl w:ilvl="0" w:tentative="0">
      <w:start w:val="1"/>
      <w:numFmt w:val="decimal"/>
      <w:pStyle w:val="171"/>
      <w:lvlText w:val="%1. "/>
      <w:lvlJc w:val="left"/>
      <w:pPr>
        <w:tabs>
          <w:tab w:val="left" w:pos="839"/>
        </w:tabs>
        <w:ind w:left="839" w:hanging="419"/>
      </w:pPr>
    </w:lvl>
    <w:lvl w:ilvl="1" w:tentative="0">
      <w:start w:val="1"/>
      <w:numFmt w:val="upperLetter"/>
      <w:pStyle w:val="185"/>
      <w:lvlText w:val="%2. "/>
      <w:lvlJc w:val="left"/>
      <w:pPr>
        <w:tabs>
          <w:tab w:val="left" w:pos="1049"/>
        </w:tabs>
        <w:ind w:left="1049" w:hanging="420"/>
      </w:pPr>
    </w:lvl>
    <w:lvl w:ilvl="2" w:tentative="0">
      <w:start w:val="1"/>
      <w:numFmt w:val="lowerLetter"/>
      <w:pStyle w:val="245"/>
      <w:lvlText w:val="%3. "/>
      <w:lvlJc w:val="left"/>
      <w:pPr>
        <w:tabs>
          <w:tab w:val="left" w:pos="1259"/>
        </w:tabs>
        <w:ind w:left="1259" w:hanging="420"/>
      </w:pPr>
    </w:lvl>
    <w:lvl w:ilvl="3" w:tentative="0">
      <w:start w:val="1"/>
      <w:numFmt w:val="lowerLetter"/>
      <w:pStyle w:val="324"/>
      <w:lvlText w:val="%4) "/>
      <w:lvlJc w:val="left"/>
      <w:pPr>
        <w:tabs>
          <w:tab w:val="left" w:pos="1469"/>
        </w:tabs>
        <w:ind w:left="1469" w:hanging="420"/>
      </w:pPr>
    </w:lvl>
    <w:lvl w:ilvl="4" w:tentative="0">
      <w:start w:val="1"/>
      <w:numFmt w:val="none"/>
      <w:suff w:val="nothing"/>
      <w:lvlText w:val=""/>
      <w:lvlJc w:val="left"/>
      <w:pPr>
        <w:ind w:left="1259" w:firstLine="0"/>
      </w:pPr>
    </w:lvl>
    <w:lvl w:ilvl="5" w:tentative="0">
      <w:start w:val="1"/>
      <w:numFmt w:val="none"/>
      <w:suff w:val="nothing"/>
      <w:lvlText w:val=""/>
      <w:lvlJc w:val="left"/>
      <w:pPr>
        <w:ind w:left="1259" w:firstLine="0"/>
      </w:pPr>
    </w:lvl>
    <w:lvl w:ilvl="6" w:tentative="0">
      <w:start w:val="1"/>
      <w:numFmt w:val="none"/>
      <w:suff w:val="nothing"/>
      <w:lvlText w:val=""/>
      <w:lvlJc w:val="left"/>
      <w:pPr>
        <w:ind w:left="1259" w:firstLine="0"/>
      </w:pPr>
    </w:lvl>
    <w:lvl w:ilvl="7" w:tentative="0">
      <w:start w:val="1"/>
      <w:numFmt w:val="none"/>
      <w:suff w:val="nothing"/>
      <w:lvlText w:val=""/>
      <w:lvlJc w:val="left"/>
      <w:pPr>
        <w:ind w:left="1259" w:firstLine="0"/>
      </w:pPr>
    </w:lvl>
    <w:lvl w:ilvl="8" w:tentative="0">
      <w:start w:val="1"/>
      <w:numFmt w:val="none"/>
      <w:suff w:val="nothing"/>
      <w:lvlText w:val=""/>
      <w:lvlJc w:val="left"/>
      <w:pPr>
        <w:ind w:left="1259" w:firstLine="0"/>
      </w:pPr>
    </w:lvl>
  </w:abstractNum>
  <w:abstractNum w:abstractNumId="7">
    <w:nsid w:val="00000012"/>
    <w:multiLevelType w:val="multilevel"/>
    <w:tmpl w:val="00000012"/>
    <w:lvl w:ilvl="0" w:tentative="0">
      <w:start w:val="1"/>
      <w:numFmt w:val="decimal"/>
      <w:pStyle w:val="11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00000013"/>
    <w:multiLevelType w:val="singleLevel"/>
    <w:tmpl w:val="00000013"/>
    <w:lvl w:ilvl="0" w:tentative="0">
      <w:start w:val="1"/>
      <w:numFmt w:val="decimal"/>
      <w:pStyle w:val="254"/>
      <w:lvlText w:val="%1."/>
      <w:lvlJc w:val="left"/>
      <w:pPr>
        <w:tabs>
          <w:tab w:val="left" w:pos="2040"/>
        </w:tabs>
        <w:ind w:left="2040" w:hanging="360"/>
      </w:pPr>
    </w:lvl>
  </w:abstractNum>
  <w:abstractNum w:abstractNumId="9">
    <w:nsid w:val="00000014"/>
    <w:multiLevelType w:val="singleLevel"/>
    <w:tmpl w:val="00000014"/>
    <w:lvl w:ilvl="0" w:tentative="0">
      <w:start w:val="1"/>
      <w:numFmt w:val="bullet"/>
      <w:pStyle w:val="243"/>
      <w:lvlText w:val=""/>
      <w:lvlJc w:val="left"/>
      <w:pPr>
        <w:tabs>
          <w:tab w:val="left" w:pos="2040"/>
        </w:tabs>
        <w:ind w:left="2040" w:hanging="360"/>
      </w:pPr>
      <w:rPr>
        <w:rFonts w:hint="default" w:ascii="Wingdings" w:hAnsi="Wingdings"/>
      </w:rPr>
    </w:lvl>
  </w:abstractNum>
  <w:abstractNum w:abstractNumId="10">
    <w:nsid w:val="00000016"/>
    <w:multiLevelType w:val="multilevel"/>
    <w:tmpl w:val="00000016"/>
    <w:lvl w:ilvl="0" w:tentative="0">
      <w:start w:val="2"/>
      <w:numFmt w:val="decimal"/>
      <w:pStyle w:val="165"/>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8"/>
    <w:multiLevelType w:val="multilevel"/>
    <w:tmpl w:val="00000018"/>
    <w:lvl w:ilvl="0" w:tentative="0">
      <w:start w:val="1"/>
      <w:numFmt w:val="decimal"/>
      <w:pStyle w:val="236"/>
      <w:lvlText w:val="%1)"/>
      <w:lvlJc w:val="left"/>
      <w:pPr>
        <w:tabs>
          <w:tab w:val="left" w:pos="420"/>
        </w:tabs>
        <w:ind w:left="420" w:hanging="420"/>
      </w:pPr>
    </w:lvl>
    <w:lvl w:ilvl="1" w:tentative="0">
      <w:start w:val="1"/>
      <w:numFmt w:val="lowerLetter"/>
      <w:pStyle w:val="100"/>
      <w:lvlText w:val="%2)"/>
      <w:lvlJc w:val="left"/>
      <w:pPr>
        <w:tabs>
          <w:tab w:val="left" w:pos="840"/>
        </w:tabs>
        <w:ind w:left="840" w:hanging="420"/>
      </w:pPr>
    </w:lvl>
    <w:lvl w:ilvl="2" w:tentative="0">
      <w:start w:val="1"/>
      <w:numFmt w:val="lowerRoman"/>
      <w:pStyle w:val="99"/>
      <w:lvlText w:val="%3."/>
      <w:lvlJc w:val="right"/>
      <w:pPr>
        <w:tabs>
          <w:tab w:val="left" w:pos="1260"/>
        </w:tabs>
        <w:ind w:left="1260" w:hanging="420"/>
      </w:pPr>
    </w:lvl>
    <w:lvl w:ilvl="3" w:tentative="0">
      <w:start w:val="1"/>
      <w:numFmt w:val="decimal"/>
      <w:pStyle w:val="222"/>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9"/>
    <w:multiLevelType w:val="singleLevel"/>
    <w:tmpl w:val="00000019"/>
    <w:lvl w:ilvl="0" w:tentative="0">
      <w:start w:val="1"/>
      <w:numFmt w:val="decimal"/>
      <w:pStyle w:val="342"/>
      <w:lvlText w:val="%1."/>
      <w:lvlJc w:val="left"/>
      <w:pPr>
        <w:tabs>
          <w:tab w:val="left" w:pos="1145"/>
        </w:tabs>
        <w:ind w:left="902" w:hanging="477"/>
      </w:pPr>
      <w:rPr>
        <w:rFonts w:hint="eastAsia"/>
      </w:rPr>
    </w:lvl>
  </w:abstractNum>
  <w:abstractNum w:abstractNumId="13">
    <w:nsid w:val="0000001A"/>
    <w:multiLevelType w:val="multilevel"/>
    <w:tmpl w:val="0000001A"/>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4">
    <w:nsid w:val="0000001B"/>
    <w:multiLevelType w:val="multilevel"/>
    <w:tmpl w:val="0000001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1C"/>
    <w:multiLevelType w:val="singleLevel"/>
    <w:tmpl w:val="0000001C"/>
    <w:lvl w:ilvl="0" w:tentative="0">
      <w:start w:val="1"/>
      <w:numFmt w:val="decimal"/>
      <w:pStyle w:val="194"/>
      <w:lvlText w:val="%1."/>
      <w:lvlJc w:val="left"/>
      <w:pPr>
        <w:tabs>
          <w:tab w:val="left" w:pos="1200"/>
        </w:tabs>
        <w:ind w:left="1200" w:hanging="360"/>
      </w:pPr>
    </w:lvl>
  </w:abstractNum>
  <w:abstractNum w:abstractNumId="16">
    <w:nsid w:val="0000001D"/>
    <w:multiLevelType w:val="multilevel"/>
    <w:tmpl w:val="0000001D"/>
    <w:lvl w:ilvl="0" w:tentative="0">
      <w:start w:val="1"/>
      <w:numFmt w:val="bullet"/>
      <w:pStyle w:val="344"/>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1E"/>
    <w:multiLevelType w:val="multilevel"/>
    <w:tmpl w:val="0000001E"/>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92"/>
      <w:suff w:val="space"/>
      <w:lvlText w:val="%1.%2.%3"/>
      <w:lvlJc w:val="left"/>
      <w:pPr>
        <w:tabs>
          <w:tab w:val="left" w:pos="1418"/>
        </w:tabs>
        <w:ind w:left="0" w:firstLine="0"/>
      </w:pPr>
    </w:lvl>
    <w:lvl w:ilvl="3" w:tentative="0">
      <w:start w:val="1"/>
      <w:numFmt w:val="decimal"/>
      <w:pStyle w:val="169"/>
      <w:suff w:val="space"/>
      <w:lvlText w:val="%1.%2.%3.%4"/>
      <w:lvlJc w:val="left"/>
      <w:pPr>
        <w:tabs>
          <w:tab w:val="left" w:pos="1984"/>
        </w:tabs>
        <w:ind w:left="0" w:firstLine="0"/>
      </w:pPr>
    </w:lvl>
    <w:lvl w:ilvl="4" w:tentative="0">
      <w:start w:val="1"/>
      <w:numFmt w:val="decimal"/>
      <w:pStyle w:val="205"/>
      <w:suff w:val="space"/>
      <w:lvlText w:val="%1.%2.%3.%4.%5"/>
      <w:lvlJc w:val="left"/>
      <w:pPr>
        <w:tabs>
          <w:tab w:val="left" w:pos="2551"/>
        </w:tabs>
        <w:ind w:left="0" w:firstLine="0"/>
      </w:pPr>
    </w:lvl>
    <w:lvl w:ilvl="5" w:tentative="0">
      <w:start w:val="1"/>
      <w:numFmt w:val="decimal"/>
      <w:pStyle w:val="25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0000001F"/>
    <w:multiLevelType w:val="singleLevel"/>
    <w:tmpl w:val="0000001F"/>
    <w:lvl w:ilvl="0" w:tentative="0">
      <w:start w:val="1"/>
      <w:numFmt w:val="decimal"/>
      <w:lvlText w:val="%1."/>
      <w:lvlJc w:val="left"/>
      <w:pPr>
        <w:tabs>
          <w:tab w:val="left" w:pos="425"/>
        </w:tabs>
        <w:ind w:left="425" w:hanging="425"/>
      </w:pPr>
      <w:rPr>
        <w:rFonts w:hint="eastAsia" w:ascii="宋体" w:hAnsi="宋体" w:eastAsia="宋体"/>
      </w:rPr>
    </w:lvl>
  </w:abstractNum>
  <w:abstractNum w:abstractNumId="19">
    <w:nsid w:val="00000020"/>
    <w:multiLevelType w:val="multilevel"/>
    <w:tmpl w:val="00000020"/>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21"/>
    <w:multiLevelType w:val="multilevel"/>
    <w:tmpl w:val="00000021"/>
    <w:lvl w:ilvl="0" w:tentative="0">
      <w:start w:val="1"/>
      <w:numFmt w:val="bullet"/>
      <w:pStyle w:val="21"/>
      <w:lvlText w:val=""/>
      <w:lvlJc w:val="left"/>
      <w:pPr>
        <w:tabs>
          <w:tab w:val="left" w:pos="780"/>
        </w:tabs>
        <w:ind w:left="780" w:hanging="360"/>
      </w:pPr>
      <w:rPr>
        <w:rFonts w:hint="default" w:ascii="Wingdings" w:hAnsi="Wingdings"/>
      </w:rPr>
    </w:lvl>
    <w:lvl w:ilvl="1" w:tentative="0">
      <w:start w:val="1"/>
      <w:numFmt w:val="decimal"/>
      <w:lvlText w:val="%1.%2"/>
      <w:lvlJc w:val="left"/>
      <w:pPr>
        <w:tabs>
          <w:tab w:val="left" w:pos="1200"/>
        </w:tabs>
        <w:ind w:left="1200" w:hanging="360"/>
      </w:pPr>
      <w:rPr>
        <w:rFonts w:hint="default"/>
      </w:rPr>
    </w:lvl>
    <w:lvl w:ilvl="2" w:tentative="0">
      <w:start w:val="1"/>
      <w:numFmt w:val="decimal"/>
      <w:lvlText w:val="%1.%2.%3"/>
      <w:lvlJc w:val="left"/>
      <w:pPr>
        <w:tabs>
          <w:tab w:val="left" w:pos="2400"/>
        </w:tabs>
        <w:ind w:left="2400" w:hanging="720"/>
      </w:pPr>
      <w:rPr>
        <w:rFonts w:hint="default"/>
      </w:rPr>
    </w:lvl>
    <w:lvl w:ilvl="3" w:tentative="0">
      <w:start w:val="1"/>
      <w:numFmt w:val="decimal"/>
      <w:lvlText w:val="%1.%2.%3.%4"/>
      <w:lvlJc w:val="left"/>
      <w:pPr>
        <w:tabs>
          <w:tab w:val="left" w:pos="3600"/>
        </w:tabs>
        <w:ind w:left="3600" w:hanging="1080"/>
      </w:pPr>
      <w:rPr>
        <w:rFonts w:hint="default"/>
      </w:rPr>
    </w:lvl>
    <w:lvl w:ilvl="4" w:tentative="0">
      <w:start w:val="1"/>
      <w:numFmt w:val="decimal"/>
      <w:lvlText w:val="%1.%2.%3.%4.%5"/>
      <w:lvlJc w:val="left"/>
      <w:pPr>
        <w:tabs>
          <w:tab w:val="left" w:pos="4440"/>
        </w:tabs>
        <w:ind w:left="4440" w:hanging="1080"/>
      </w:pPr>
      <w:rPr>
        <w:rFonts w:hint="default"/>
      </w:rPr>
    </w:lvl>
    <w:lvl w:ilvl="5" w:tentative="0">
      <w:start w:val="1"/>
      <w:numFmt w:val="decimal"/>
      <w:lvlText w:val="%1.%2.%3.%4.%5.%6"/>
      <w:lvlJc w:val="left"/>
      <w:pPr>
        <w:tabs>
          <w:tab w:val="left" w:pos="5640"/>
        </w:tabs>
        <w:ind w:left="5640" w:hanging="1440"/>
      </w:pPr>
      <w:rPr>
        <w:rFonts w:hint="default"/>
      </w:rPr>
    </w:lvl>
    <w:lvl w:ilvl="6" w:tentative="0">
      <w:start w:val="1"/>
      <w:numFmt w:val="decimal"/>
      <w:lvlText w:val="%1.%2.%3.%4.%5.%6.%7"/>
      <w:lvlJc w:val="left"/>
      <w:pPr>
        <w:tabs>
          <w:tab w:val="left" w:pos="6480"/>
        </w:tabs>
        <w:ind w:left="6480" w:hanging="1440"/>
      </w:pPr>
      <w:rPr>
        <w:rFonts w:hint="default"/>
      </w:rPr>
    </w:lvl>
    <w:lvl w:ilvl="7" w:tentative="0">
      <w:start w:val="1"/>
      <w:numFmt w:val="decimal"/>
      <w:lvlText w:val="%1.%2.%3.%4.%5.%6.%7.%8"/>
      <w:lvlJc w:val="left"/>
      <w:pPr>
        <w:tabs>
          <w:tab w:val="left" w:pos="7680"/>
        </w:tabs>
        <w:ind w:left="7680" w:hanging="1800"/>
      </w:pPr>
      <w:rPr>
        <w:rFonts w:hint="default"/>
      </w:rPr>
    </w:lvl>
    <w:lvl w:ilvl="8" w:tentative="0">
      <w:start w:val="1"/>
      <w:numFmt w:val="decimal"/>
      <w:lvlText w:val="%1.%2.%3.%4.%5.%6.%7.%8.%9"/>
      <w:lvlJc w:val="left"/>
      <w:pPr>
        <w:tabs>
          <w:tab w:val="left" w:pos="8520"/>
        </w:tabs>
        <w:ind w:left="8520" w:hanging="1800"/>
      </w:pPr>
      <w:rPr>
        <w:rFonts w:hint="default"/>
      </w:rPr>
    </w:lvl>
  </w:abstractNum>
  <w:abstractNum w:abstractNumId="21">
    <w:nsid w:val="00000024"/>
    <w:multiLevelType w:val="multilevel"/>
    <w:tmpl w:val="00000024"/>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2">
    <w:nsid w:val="00000025"/>
    <w:multiLevelType w:val="singleLevel"/>
    <w:tmpl w:val="00000025"/>
    <w:lvl w:ilvl="0" w:tentative="0">
      <w:start w:val="1"/>
      <w:numFmt w:val="decimal"/>
      <w:pStyle w:val="239"/>
      <w:lvlText w:val="%1."/>
      <w:lvlJc w:val="left"/>
      <w:pPr>
        <w:tabs>
          <w:tab w:val="left" w:pos="1620"/>
        </w:tabs>
        <w:ind w:left="1620" w:hanging="360"/>
      </w:pPr>
    </w:lvl>
  </w:abstractNum>
  <w:abstractNum w:abstractNumId="23">
    <w:nsid w:val="00000027"/>
    <w:multiLevelType w:val="multilevel"/>
    <w:tmpl w:val="00000027"/>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5">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3"/>
  </w:num>
  <w:num w:numId="2">
    <w:abstractNumId w:val="20"/>
  </w:num>
  <w:num w:numId="3">
    <w:abstractNumId w:val="21"/>
  </w:num>
  <w:num w:numId="4">
    <w:abstractNumId w:val="4"/>
  </w:num>
  <w:num w:numId="5">
    <w:abstractNumId w:val="11"/>
  </w:num>
  <w:num w:numId="6">
    <w:abstractNumId w:val="7"/>
  </w:num>
  <w:num w:numId="7">
    <w:abstractNumId w:val="10"/>
  </w:num>
  <w:num w:numId="8">
    <w:abstractNumId w:val="17"/>
  </w:num>
  <w:num w:numId="9">
    <w:abstractNumId w:val="6"/>
  </w:num>
  <w:num w:numId="10">
    <w:abstractNumId w:val="1"/>
  </w:num>
  <w:num w:numId="11">
    <w:abstractNumId w:val="5"/>
  </w:num>
  <w:num w:numId="12">
    <w:abstractNumId w:val="15"/>
  </w:num>
  <w:num w:numId="13">
    <w:abstractNumId w:val="3"/>
  </w:num>
  <w:num w:numId="14">
    <w:abstractNumId w:val="22"/>
  </w:num>
  <w:num w:numId="15">
    <w:abstractNumId w:val="9"/>
  </w:num>
  <w:num w:numId="16">
    <w:abstractNumId w:val="8"/>
  </w:num>
  <w:num w:numId="17">
    <w:abstractNumId w:val="0"/>
  </w:num>
  <w:num w:numId="18">
    <w:abstractNumId w:val="2"/>
  </w:num>
  <w:num w:numId="19">
    <w:abstractNumId w:val="12"/>
  </w:num>
  <w:num w:numId="20">
    <w:abstractNumId w:val="16"/>
  </w:num>
  <w:num w:numId="21">
    <w:abstractNumId w:val="14"/>
  </w:num>
  <w:num w:numId="22">
    <w:abstractNumId w:val="19"/>
  </w:num>
  <w:num w:numId="23">
    <w:abstractNumId w:val="24"/>
  </w:num>
  <w:num w:numId="24">
    <w:abstractNumId w:val="25"/>
  </w:num>
  <w:num w:numId="25">
    <w:abstractNumId w:val="2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FiNmYyYjVkNGE3NTBlNTI5NjhmNDJhNWZkOWZiMmQifQ=="/>
  </w:docVars>
  <w:rsids>
    <w:rsidRoot w:val="00172A27"/>
    <w:rsid w:val="00003715"/>
    <w:rsid w:val="00015EFC"/>
    <w:rsid w:val="00022A82"/>
    <w:rsid w:val="000351F0"/>
    <w:rsid w:val="00043F63"/>
    <w:rsid w:val="00044719"/>
    <w:rsid w:val="000545F6"/>
    <w:rsid w:val="000551CA"/>
    <w:rsid w:val="0006223B"/>
    <w:rsid w:val="00065D85"/>
    <w:rsid w:val="0007599D"/>
    <w:rsid w:val="00085289"/>
    <w:rsid w:val="00086AD4"/>
    <w:rsid w:val="000A02A9"/>
    <w:rsid w:val="000A6122"/>
    <w:rsid w:val="000B78E5"/>
    <w:rsid w:val="000C01BB"/>
    <w:rsid w:val="000D107A"/>
    <w:rsid w:val="000E04B0"/>
    <w:rsid w:val="000F5037"/>
    <w:rsid w:val="001177C2"/>
    <w:rsid w:val="00127F6A"/>
    <w:rsid w:val="00136D79"/>
    <w:rsid w:val="00145D46"/>
    <w:rsid w:val="00151D5C"/>
    <w:rsid w:val="00153512"/>
    <w:rsid w:val="00172A27"/>
    <w:rsid w:val="0017770B"/>
    <w:rsid w:val="001932CC"/>
    <w:rsid w:val="001A3E95"/>
    <w:rsid w:val="001A7A72"/>
    <w:rsid w:val="001B171D"/>
    <w:rsid w:val="001B2FD4"/>
    <w:rsid w:val="001B36A2"/>
    <w:rsid w:val="001C182A"/>
    <w:rsid w:val="001C7D6D"/>
    <w:rsid w:val="001D2131"/>
    <w:rsid w:val="001D4265"/>
    <w:rsid w:val="001E0218"/>
    <w:rsid w:val="001E0C1B"/>
    <w:rsid w:val="001E7BCE"/>
    <w:rsid w:val="001F6D8F"/>
    <w:rsid w:val="0020509E"/>
    <w:rsid w:val="00222B53"/>
    <w:rsid w:val="0023140D"/>
    <w:rsid w:val="00234769"/>
    <w:rsid w:val="0028241F"/>
    <w:rsid w:val="00283364"/>
    <w:rsid w:val="002935BB"/>
    <w:rsid w:val="00295DB3"/>
    <w:rsid w:val="002A2C48"/>
    <w:rsid w:val="002B07A0"/>
    <w:rsid w:val="002D6B63"/>
    <w:rsid w:val="00306744"/>
    <w:rsid w:val="00321E5F"/>
    <w:rsid w:val="00324222"/>
    <w:rsid w:val="00335E4A"/>
    <w:rsid w:val="00341880"/>
    <w:rsid w:val="003502B3"/>
    <w:rsid w:val="00355B82"/>
    <w:rsid w:val="00360111"/>
    <w:rsid w:val="0039067B"/>
    <w:rsid w:val="003B027A"/>
    <w:rsid w:val="003B0AFE"/>
    <w:rsid w:val="003B5A21"/>
    <w:rsid w:val="003B5E67"/>
    <w:rsid w:val="003D6964"/>
    <w:rsid w:val="003F3CB2"/>
    <w:rsid w:val="00402FD8"/>
    <w:rsid w:val="00420B8A"/>
    <w:rsid w:val="00424329"/>
    <w:rsid w:val="004315AB"/>
    <w:rsid w:val="004369FC"/>
    <w:rsid w:val="00440768"/>
    <w:rsid w:val="00474A02"/>
    <w:rsid w:val="00476C57"/>
    <w:rsid w:val="004917A7"/>
    <w:rsid w:val="00496944"/>
    <w:rsid w:val="004C23C7"/>
    <w:rsid w:val="004C65B0"/>
    <w:rsid w:val="004C6E50"/>
    <w:rsid w:val="00503F38"/>
    <w:rsid w:val="0053004E"/>
    <w:rsid w:val="00533BC8"/>
    <w:rsid w:val="0054003D"/>
    <w:rsid w:val="005552B4"/>
    <w:rsid w:val="00566DB7"/>
    <w:rsid w:val="005752A1"/>
    <w:rsid w:val="0057745C"/>
    <w:rsid w:val="0059009C"/>
    <w:rsid w:val="0059146A"/>
    <w:rsid w:val="00592019"/>
    <w:rsid w:val="00597777"/>
    <w:rsid w:val="005A0C5D"/>
    <w:rsid w:val="005A5099"/>
    <w:rsid w:val="005D7F9C"/>
    <w:rsid w:val="00627224"/>
    <w:rsid w:val="006348F9"/>
    <w:rsid w:val="006433B8"/>
    <w:rsid w:val="00670FD0"/>
    <w:rsid w:val="00673A22"/>
    <w:rsid w:val="006A11E6"/>
    <w:rsid w:val="006F49A2"/>
    <w:rsid w:val="007052A3"/>
    <w:rsid w:val="00722460"/>
    <w:rsid w:val="00777915"/>
    <w:rsid w:val="00784E14"/>
    <w:rsid w:val="00797633"/>
    <w:rsid w:val="007C1727"/>
    <w:rsid w:val="007C24B2"/>
    <w:rsid w:val="007C26FA"/>
    <w:rsid w:val="007E59D4"/>
    <w:rsid w:val="007F44B6"/>
    <w:rsid w:val="008123D8"/>
    <w:rsid w:val="00827C44"/>
    <w:rsid w:val="008502BA"/>
    <w:rsid w:val="00863411"/>
    <w:rsid w:val="0086799B"/>
    <w:rsid w:val="00873084"/>
    <w:rsid w:val="00881EBB"/>
    <w:rsid w:val="00885134"/>
    <w:rsid w:val="00895107"/>
    <w:rsid w:val="00896D8E"/>
    <w:rsid w:val="008A23C4"/>
    <w:rsid w:val="008A37B3"/>
    <w:rsid w:val="008D24F3"/>
    <w:rsid w:val="008D2741"/>
    <w:rsid w:val="008E0973"/>
    <w:rsid w:val="008F44CD"/>
    <w:rsid w:val="009035E3"/>
    <w:rsid w:val="00912CA6"/>
    <w:rsid w:val="00915061"/>
    <w:rsid w:val="0092418F"/>
    <w:rsid w:val="00934E15"/>
    <w:rsid w:val="009534A7"/>
    <w:rsid w:val="00954327"/>
    <w:rsid w:val="009566D5"/>
    <w:rsid w:val="00977DB6"/>
    <w:rsid w:val="00984A80"/>
    <w:rsid w:val="009A07F1"/>
    <w:rsid w:val="009A5A4C"/>
    <w:rsid w:val="009B2FF3"/>
    <w:rsid w:val="009E6A50"/>
    <w:rsid w:val="009F5C05"/>
    <w:rsid w:val="00A00D54"/>
    <w:rsid w:val="00A05F94"/>
    <w:rsid w:val="00A217AC"/>
    <w:rsid w:val="00A21EBA"/>
    <w:rsid w:val="00A2271D"/>
    <w:rsid w:val="00A3140B"/>
    <w:rsid w:val="00A31DEE"/>
    <w:rsid w:val="00A36356"/>
    <w:rsid w:val="00A431A0"/>
    <w:rsid w:val="00A5681E"/>
    <w:rsid w:val="00A746D0"/>
    <w:rsid w:val="00A9202D"/>
    <w:rsid w:val="00A95744"/>
    <w:rsid w:val="00AA00AC"/>
    <w:rsid w:val="00AE359E"/>
    <w:rsid w:val="00AF7220"/>
    <w:rsid w:val="00B004AE"/>
    <w:rsid w:val="00B047C2"/>
    <w:rsid w:val="00B06AAE"/>
    <w:rsid w:val="00B15C14"/>
    <w:rsid w:val="00B37F75"/>
    <w:rsid w:val="00B4320B"/>
    <w:rsid w:val="00B44BA6"/>
    <w:rsid w:val="00B5114D"/>
    <w:rsid w:val="00B64C13"/>
    <w:rsid w:val="00B81D65"/>
    <w:rsid w:val="00B83610"/>
    <w:rsid w:val="00B9270F"/>
    <w:rsid w:val="00BC7ED8"/>
    <w:rsid w:val="00BE75FC"/>
    <w:rsid w:val="00BF7601"/>
    <w:rsid w:val="00C01F69"/>
    <w:rsid w:val="00C062D9"/>
    <w:rsid w:val="00C11ED5"/>
    <w:rsid w:val="00C133DC"/>
    <w:rsid w:val="00C14800"/>
    <w:rsid w:val="00C157E1"/>
    <w:rsid w:val="00C2614B"/>
    <w:rsid w:val="00C30816"/>
    <w:rsid w:val="00C34C74"/>
    <w:rsid w:val="00C36823"/>
    <w:rsid w:val="00C41A1B"/>
    <w:rsid w:val="00C43A8D"/>
    <w:rsid w:val="00C74BD8"/>
    <w:rsid w:val="00C75A7F"/>
    <w:rsid w:val="00CC284F"/>
    <w:rsid w:val="00CD0D7C"/>
    <w:rsid w:val="00CD348D"/>
    <w:rsid w:val="00D2469D"/>
    <w:rsid w:val="00D34D2C"/>
    <w:rsid w:val="00D44D99"/>
    <w:rsid w:val="00D45336"/>
    <w:rsid w:val="00D7340E"/>
    <w:rsid w:val="00DA67BE"/>
    <w:rsid w:val="00DB3973"/>
    <w:rsid w:val="00DC21F0"/>
    <w:rsid w:val="00DF5D8B"/>
    <w:rsid w:val="00E01359"/>
    <w:rsid w:val="00E07441"/>
    <w:rsid w:val="00E076D2"/>
    <w:rsid w:val="00E07C15"/>
    <w:rsid w:val="00E12ACA"/>
    <w:rsid w:val="00E23B70"/>
    <w:rsid w:val="00E410A6"/>
    <w:rsid w:val="00E52135"/>
    <w:rsid w:val="00E56839"/>
    <w:rsid w:val="00E66286"/>
    <w:rsid w:val="00E72CF2"/>
    <w:rsid w:val="00E8147C"/>
    <w:rsid w:val="00E957FD"/>
    <w:rsid w:val="00E96FDC"/>
    <w:rsid w:val="00EB0735"/>
    <w:rsid w:val="00EB0FB7"/>
    <w:rsid w:val="00EB1640"/>
    <w:rsid w:val="00EC10D8"/>
    <w:rsid w:val="00EC293F"/>
    <w:rsid w:val="00ED3E65"/>
    <w:rsid w:val="00EE1D0E"/>
    <w:rsid w:val="00EE3783"/>
    <w:rsid w:val="00F11B47"/>
    <w:rsid w:val="00F37254"/>
    <w:rsid w:val="00F401A0"/>
    <w:rsid w:val="00F4052C"/>
    <w:rsid w:val="00F44B52"/>
    <w:rsid w:val="00F451DC"/>
    <w:rsid w:val="00F50717"/>
    <w:rsid w:val="00F63276"/>
    <w:rsid w:val="00F6389E"/>
    <w:rsid w:val="00F714A3"/>
    <w:rsid w:val="00F7740A"/>
    <w:rsid w:val="00F81494"/>
    <w:rsid w:val="00F93CC1"/>
    <w:rsid w:val="00FA3136"/>
    <w:rsid w:val="00FB4F8E"/>
    <w:rsid w:val="00FB5933"/>
    <w:rsid w:val="00FC1758"/>
    <w:rsid w:val="00FD6B2A"/>
    <w:rsid w:val="00FE2BF1"/>
    <w:rsid w:val="00FF51C1"/>
    <w:rsid w:val="00FF58C2"/>
    <w:rsid w:val="01D96468"/>
    <w:rsid w:val="02641C78"/>
    <w:rsid w:val="0465073B"/>
    <w:rsid w:val="046C420D"/>
    <w:rsid w:val="064424ED"/>
    <w:rsid w:val="068427B9"/>
    <w:rsid w:val="07474F91"/>
    <w:rsid w:val="09B5725D"/>
    <w:rsid w:val="09F71624"/>
    <w:rsid w:val="0A2F1BEE"/>
    <w:rsid w:val="0CC60B32"/>
    <w:rsid w:val="0DB25F8E"/>
    <w:rsid w:val="0F262DEA"/>
    <w:rsid w:val="10D601E5"/>
    <w:rsid w:val="10EC06AA"/>
    <w:rsid w:val="11515425"/>
    <w:rsid w:val="13730200"/>
    <w:rsid w:val="15B71F81"/>
    <w:rsid w:val="179E1921"/>
    <w:rsid w:val="19325F6D"/>
    <w:rsid w:val="1AFB4E47"/>
    <w:rsid w:val="1CDA72AF"/>
    <w:rsid w:val="20216FA3"/>
    <w:rsid w:val="2114292B"/>
    <w:rsid w:val="23871054"/>
    <w:rsid w:val="256C2A6E"/>
    <w:rsid w:val="26386DFE"/>
    <w:rsid w:val="265D3FD8"/>
    <w:rsid w:val="26835D38"/>
    <w:rsid w:val="26E638F2"/>
    <w:rsid w:val="27D011E0"/>
    <w:rsid w:val="28101DD7"/>
    <w:rsid w:val="2D4E7DEC"/>
    <w:rsid w:val="2E870919"/>
    <w:rsid w:val="2EA25E08"/>
    <w:rsid w:val="2FAA5E8A"/>
    <w:rsid w:val="316A0071"/>
    <w:rsid w:val="3337290D"/>
    <w:rsid w:val="34A01C68"/>
    <w:rsid w:val="35505D31"/>
    <w:rsid w:val="38BD6B23"/>
    <w:rsid w:val="39033292"/>
    <w:rsid w:val="3C346CB0"/>
    <w:rsid w:val="402736CA"/>
    <w:rsid w:val="415E7F28"/>
    <w:rsid w:val="42D02437"/>
    <w:rsid w:val="458A55B2"/>
    <w:rsid w:val="47D87B0B"/>
    <w:rsid w:val="4CEB2649"/>
    <w:rsid w:val="4DAD1CF2"/>
    <w:rsid w:val="4E2B70BB"/>
    <w:rsid w:val="53847836"/>
    <w:rsid w:val="56A96624"/>
    <w:rsid w:val="56B22645"/>
    <w:rsid w:val="57D14C92"/>
    <w:rsid w:val="5D6D4833"/>
    <w:rsid w:val="5DD92690"/>
    <w:rsid w:val="5E0E3303"/>
    <w:rsid w:val="5EF93166"/>
    <w:rsid w:val="5F4F0E5B"/>
    <w:rsid w:val="5FA6034F"/>
    <w:rsid w:val="5FB3660D"/>
    <w:rsid w:val="608B3A3E"/>
    <w:rsid w:val="63663D5E"/>
    <w:rsid w:val="636E2764"/>
    <w:rsid w:val="63870498"/>
    <w:rsid w:val="644E3D19"/>
    <w:rsid w:val="64FC5595"/>
    <w:rsid w:val="66C57C55"/>
    <w:rsid w:val="6E463EA2"/>
    <w:rsid w:val="6EAB3BD4"/>
    <w:rsid w:val="6F156D3B"/>
    <w:rsid w:val="71495E20"/>
    <w:rsid w:val="72365D0D"/>
    <w:rsid w:val="72F571CC"/>
    <w:rsid w:val="73B47087"/>
    <w:rsid w:val="74185868"/>
    <w:rsid w:val="75252A65"/>
    <w:rsid w:val="75B025BC"/>
    <w:rsid w:val="75EF0D47"/>
    <w:rsid w:val="76361FD5"/>
    <w:rsid w:val="76950BB7"/>
    <w:rsid w:val="772C4C9B"/>
    <w:rsid w:val="78A37C84"/>
    <w:rsid w:val="7AC2590B"/>
    <w:rsid w:val="7B24371D"/>
    <w:rsid w:val="7BB60917"/>
    <w:rsid w:val="7BD32074"/>
    <w:rsid w:val="7D1B1F25"/>
    <w:rsid w:val="7F264BB1"/>
    <w:rsid w:val="7FAE7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8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Cambria" w:hAnsi="Cambria"/>
      <w:b/>
      <w:bCs/>
      <w:sz w:val="32"/>
      <w:szCs w:val="32"/>
    </w:rPr>
  </w:style>
  <w:style w:type="paragraph" w:styleId="5">
    <w:name w:val="heading 3"/>
    <w:basedOn w:val="1"/>
    <w:next w:val="2"/>
    <w:link w:val="88"/>
    <w:qFormat/>
    <w:uiPriority w:val="0"/>
    <w:pPr>
      <w:keepNext/>
      <w:keepLines/>
      <w:widowControl/>
      <w:numPr>
        <w:ilvl w:val="2"/>
        <w:numId w:val="1"/>
      </w:numPr>
      <w:tabs>
        <w:tab w:val="left" w:pos="753"/>
        <w:tab w:val="clear" w:pos="432"/>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2"/>
    <w:link w:val="148"/>
    <w:qFormat/>
    <w:uiPriority w:val="0"/>
    <w:pPr>
      <w:keepNext/>
      <w:keepLines/>
      <w:spacing w:before="280" w:after="290" w:line="376" w:lineRule="auto"/>
      <w:outlineLvl w:val="4"/>
    </w:pPr>
    <w:rPr>
      <w:b/>
      <w:sz w:val="28"/>
      <w:szCs w:val="20"/>
    </w:rPr>
  </w:style>
  <w:style w:type="paragraph" w:styleId="8">
    <w:name w:val="heading 6"/>
    <w:basedOn w:val="1"/>
    <w:next w:val="2"/>
    <w:link w:val="113"/>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2"/>
    <w:link w:val="141"/>
    <w:autoRedefine/>
    <w:qFormat/>
    <w:uiPriority w:val="0"/>
    <w:pPr>
      <w:keepNext/>
      <w:keepLines/>
      <w:spacing w:before="240" w:after="64" w:line="320" w:lineRule="auto"/>
      <w:outlineLvl w:val="6"/>
    </w:pPr>
    <w:rPr>
      <w:b/>
      <w:bCs/>
      <w:sz w:val="24"/>
    </w:rPr>
  </w:style>
  <w:style w:type="paragraph" w:styleId="10">
    <w:name w:val="heading 8"/>
    <w:basedOn w:val="1"/>
    <w:next w:val="2"/>
    <w:link w:val="12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2"/>
    <w:link w:val="95"/>
    <w:qFormat/>
    <w:uiPriority w:val="0"/>
    <w:pPr>
      <w:keepNext/>
      <w:keepLines/>
      <w:spacing w:before="240" w:after="64" w:line="320" w:lineRule="auto"/>
      <w:outlineLvl w:val="8"/>
    </w:pPr>
    <w:rPr>
      <w:rFonts w:ascii="Arial" w:hAnsi="Arial" w:eastAsia="黑体"/>
      <w:szCs w:val="21"/>
    </w:rPr>
  </w:style>
  <w:style w:type="character" w:default="1" w:styleId="53">
    <w:name w:val="Default Paragraph Font"/>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24"/>
    <w:autoRedefine/>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link w:val="120"/>
    <w:autoRedefine/>
    <w:qFormat/>
    <w:uiPriority w:val="0"/>
    <w:pPr>
      <w:spacing w:line="360" w:lineRule="auto"/>
    </w:pPr>
    <w:rPr>
      <w:rFonts w:ascii="Arial" w:hAnsi="Arial" w:eastAsia="黑体"/>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szCs w:val="20"/>
    </w:rPr>
  </w:style>
  <w:style w:type="paragraph" w:styleId="17">
    <w:name w:val="annotation text"/>
    <w:basedOn w:val="1"/>
    <w:link w:val="70"/>
    <w:autoRedefine/>
    <w:qFormat/>
    <w:uiPriority w:val="0"/>
    <w:pPr>
      <w:spacing w:line="360" w:lineRule="auto"/>
      <w:jc w:val="left"/>
    </w:pPr>
    <w:rPr>
      <w:szCs w:val="20"/>
    </w:rPr>
  </w:style>
  <w:style w:type="paragraph" w:styleId="18">
    <w:name w:val="Body Text 3"/>
    <w:basedOn w:val="1"/>
    <w:link w:val="78"/>
    <w:autoRedefine/>
    <w:qFormat/>
    <w:uiPriority w:val="0"/>
    <w:pPr>
      <w:spacing w:after="120"/>
    </w:pPr>
    <w:rPr>
      <w:sz w:val="16"/>
      <w:szCs w:val="16"/>
    </w:rPr>
  </w:style>
  <w:style w:type="paragraph" w:styleId="19">
    <w:name w:val="Body Text"/>
    <w:basedOn w:val="1"/>
    <w:link w:val="94"/>
    <w:autoRedefine/>
    <w:qFormat/>
    <w:uiPriority w:val="0"/>
    <w:pPr>
      <w:spacing w:after="120"/>
    </w:pPr>
  </w:style>
  <w:style w:type="paragraph" w:styleId="20">
    <w:name w:val="Body Text Indent"/>
    <w:basedOn w:val="1"/>
    <w:link w:val="130"/>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List Bullet 2"/>
    <w:basedOn w:val="1"/>
    <w:autoRedefine/>
    <w:qFormat/>
    <w:uiPriority w:val="0"/>
    <w:pPr>
      <w:numPr>
        <w:ilvl w:val="0"/>
        <w:numId w:val="2"/>
      </w:numPr>
    </w:pPr>
  </w:style>
  <w:style w:type="paragraph" w:styleId="22">
    <w:name w:val="HTML Address"/>
    <w:basedOn w:val="1"/>
    <w:link w:val="115"/>
    <w:autoRedefine/>
    <w:qFormat/>
    <w:uiPriority w:val="0"/>
    <w:pPr>
      <w:numPr>
        <w:ilvl w:val="0"/>
        <w:numId w:val="3"/>
      </w:numPr>
      <w:tabs>
        <w:tab w:val="clear" w:pos="432"/>
      </w:tabs>
      <w:ind w:left="0" w:firstLine="0"/>
    </w:pPr>
    <w:rPr>
      <w:i/>
    </w:rPr>
  </w:style>
  <w:style w:type="paragraph" w:styleId="23">
    <w:name w:val="toc 5"/>
    <w:basedOn w:val="1"/>
    <w:next w:val="1"/>
    <w:autoRedefine/>
    <w:qFormat/>
    <w:uiPriority w:val="0"/>
    <w:pPr>
      <w:ind w:left="800" w:leftChars="800"/>
    </w:pPr>
    <w:rPr>
      <w:rFonts w:ascii="Calibri" w:hAnsi="Calibri"/>
      <w:szCs w:val="22"/>
    </w:rPr>
  </w:style>
  <w:style w:type="paragraph" w:styleId="24">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5">
    <w:name w:val="Plain Text"/>
    <w:basedOn w:val="1"/>
    <w:link w:val="91"/>
    <w:autoRedefine/>
    <w:qFormat/>
    <w:uiPriority w:val="0"/>
    <w:rPr>
      <w:rFonts w:ascii="宋体" w:hAnsi="Courier New"/>
      <w:szCs w:val="20"/>
    </w:rPr>
  </w:style>
  <w:style w:type="paragraph" w:styleId="26">
    <w:name w:val="toc 8"/>
    <w:basedOn w:val="1"/>
    <w:next w:val="1"/>
    <w:autoRedefine/>
    <w:qFormat/>
    <w:uiPriority w:val="0"/>
    <w:pPr>
      <w:ind w:left="1400" w:leftChars="1400"/>
    </w:pPr>
    <w:rPr>
      <w:rFonts w:ascii="Calibri" w:hAnsi="Calibri"/>
      <w:szCs w:val="22"/>
    </w:rPr>
  </w:style>
  <w:style w:type="paragraph" w:styleId="27">
    <w:name w:val="index 3"/>
    <w:basedOn w:val="1"/>
    <w:next w:val="1"/>
    <w:autoRedefine/>
    <w:qFormat/>
    <w:uiPriority w:val="0"/>
    <w:pPr>
      <w:ind w:left="400" w:leftChars="400"/>
    </w:pPr>
  </w:style>
  <w:style w:type="paragraph" w:styleId="28">
    <w:name w:val="Date"/>
    <w:basedOn w:val="1"/>
    <w:next w:val="1"/>
    <w:link w:val="72"/>
    <w:autoRedefine/>
    <w:qFormat/>
    <w:uiPriority w:val="0"/>
    <w:pPr>
      <w:numPr>
        <w:ilvl w:val="0"/>
        <w:numId w:val="4"/>
      </w:numPr>
      <w:ind w:left="100" w:leftChars="2500"/>
    </w:pPr>
  </w:style>
  <w:style w:type="paragraph" w:styleId="29">
    <w:name w:val="Body Text Indent 2"/>
    <w:basedOn w:val="1"/>
    <w:next w:val="1"/>
    <w:link w:val="122"/>
    <w:autoRedefine/>
    <w:qFormat/>
    <w:uiPriority w:val="0"/>
    <w:pPr>
      <w:spacing w:line="480" w:lineRule="exact"/>
      <w:ind w:left="810" w:firstLine="675"/>
    </w:pPr>
    <w:rPr>
      <w:rFonts w:eastAsia="仿宋_GB2312"/>
      <w:kern w:val="0"/>
      <w:sz w:val="30"/>
      <w:szCs w:val="20"/>
    </w:rPr>
  </w:style>
  <w:style w:type="paragraph" w:styleId="30">
    <w:name w:val="Balloon Text"/>
    <w:basedOn w:val="1"/>
    <w:link w:val="151"/>
    <w:autoRedefine/>
    <w:qFormat/>
    <w:uiPriority w:val="0"/>
    <w:rPr>
      <w:sz w:val="18"/>
      <w:szCs w:val="18"/>
    </w:rPr>
  </w:style>
  <w:style w:type="paragraph" w:styleId="31">
    <w:name w:val="footer"/>
    <w:basedOn w:val="1"/>
    <w:link w:val="84"/>
    <w:autoRedefine/>
    <w:qFormat/>
    <w:uiPriority w:val="0"/>
    <w:pPr>
      <w:tabs>
        <w:tab w:val="center" w:pos="4153"/>
        <w:tab w:val="right" w:pos="8306"/>
      </w:tabs>
      <w:snapToGrid w:val="0"/>
      <w:jc w:val="left"/>
    </w:pPr>
    <w:rPr>
      <w:kern w:val="0"/>
      <w:sz w:val="18"/>
      <w:szCs w:val="18"/>
    </w:rPr>
  </w:style>
  <w:style w:type="paragraph" w:styleId="32">
    <w:name w:val="header"/>
    <w:basedOn w:val="1"/>
    <w:link w:val="134"/>
    <w:autoRedefine/>
    <w:qFormat/>
    <w:uiPriority w:val="0"/>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autoRedefine/>
    <w:qFormat/>
    <w:uiPriority w:val="0"/>
  </w:style>
  <w:style w:type="paragraph" w:styleId="37">
    <w:name w:val="Subtitle"/>
    <w:basedOn w:val="1"/>
    <w:next w:val="1"/>
    <w:link w:val="125"/>
    <w:autoRedefine/>
    <w:qFormat/>
    <w:uiPriority w:val="0"/>
    <w:pPr>
      <w:spacing w:before="240" w:after="60" w:line="312" w:lineRule="atLeast"/>
      <w:ind w:left="420" w:hanging="420"/>
      <w:jc w:val="center"/>
      <w:outlineLvl w:val="1"/>
    </w:pPr>
    <w:rPr>
      <w:rFonts w:ascii="Calibri Light" w:hAnsi="Calibri Light"/>
      <w:b/>
      <w:bCs/>
      <w:kern w:val="28"/>
      <w:sz w:val="32"/>
      <w:szCs w:val="32"/>
    </w:rPr>
  </w:style>
  <w:style w:type="paragraph" w:styleId="38">
    <w:name w:val="List"/>
    <w:basedOn w:val="1"/>
    <w:autoRedefine/>
    <w:qFormat/>
    <w:uiPriority w:val="0"/>
    <w:pPr>
      <w:ind w:left="200" w:hanging="200" w:hangingChars="200"/>
    </w:pPr>
  </w:style>
  <w:style w:type="paragraph" w:styleId="39">
    <w:name w:val="toc 6"/>
    <w:basedOn w:val="1"/>
    <w:next w:val="1"/>
    <w:autoRedefine/>
    <w:qFormat/>
    <w:uiPriority w:val="0"/>
    <w:pPr>
      <w:ind w:left="1000" w:leftChars="1000"/>
    </w:pPr>
    <w:rPr>
      <w:rFonts w:ascii="Calibri" w:hAnsi="Calibri"/>
      <w:szCs w:val="22"/>
    </w:rPr>
  </w:style>
  <w:style w:type="paragraph" w:styleId="40">
    <w:name w:val="Body Text Indent 3"/>
    <w:basedOn w:val="1"/>
    <w:link w:val="85"/>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41">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2">
    <w:name w:val="toc 9"/>
    <w:basedOn w:val="1"/>
    <w:next w:val="1"/>
    <w:qFormat/>
    <w:uiPriority w:val="0"/>
    <w:pPr>
      <w:ind w:left="1600" w:leftChars="1600"/>
    </w:pPr>
    <w:rPr>
      <w:rFonts w:ascii="Calibri" w:hAnsi="Calibri"/>
      <w:szCs w:val="22"/>
    </w:rPr>
  </w:style>
  <w:style w:type="paragraph" w:styleId="43">
    <w:name w:val="Body Text 2"/>
    <w:basedOn w:val="1"/>
    <w:link w:val="97"/>
    <w:autoRedefine/>
    <w:qFormat/>
    <w:uiPriority w:val="0"/>
    <w:pPr>
      <w:spacing w:line="360" w:lineRule="auto"/>
    </w:pPr>
    <w:rPr>
      <w:rFonts w:ascii="仿宋_GB2312" w:eastAsia="仿宋_GB2312"/>
      <w:sz w:val="32"/>
    </w:rPr>
  </w:style>
  <w:style w:type="paragraph" w:styleId="44">
    <w:name w:val="HTML Preformatted"/>
    <w:basedOn w:val="1"/>
    <w:link w:val="13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6">
    <w:name w:val="index 2"/>
    <w:basedOn w:val="1"/>
    <w:next w:val="1"/>
    <w:autoRedefine/>
    <w:qFormat/>
    <w:uiPriority w:val="0"/>
    <w:pPr>
      <w:ind w:left="420" w:hanging="210"/>
      <w:jc w:val="left"/>
    </w:pPr>
    <w:rPr>
      <w:sz w:val="20"/>
      <w:szCs w:val="20"/>
    </w:rPr>
  </w:style>
  <w:style w:type="paragraph" w:styleId="47">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48">
    <w:name w:val="annotation subject"/>
    <w:basedOn w:val="17"/>
    <w:next w:val="17"/>
    <w:link w:val="127"/>
    <w:autoRedefine/>
    <w:qFormat/>
    <w:uiPriority w:val="0"/>
    <w:pPr>
      <w:spacing w:line="240" w:lineRule="auto"/>
    </w:pPr>
    <w:rPr>
      <w:b/>
      <w:bCs/>
      <w:szCs w:val="24"/>
    </w:rPr>
  </w:style>
  <w:style w:type="paragraph" w:styleId="49">
    <w:name w:val="Body Text First Indent"/>
    <w:basedOn w:val="19"/>
    <w:link w:val="158"/>
    <w:autoRedefine/>
    <w:qFormat/>
    <w:uiPriority w:val="0"/>
    <w:pPr>
      <w:ind w:firstLine="100" w:firstLineChars="100"/>
    </w:pPr>
    <w:rPr>
      <w:rFonts w:ascii="Calibri" w:hAnsi="Calibri"/>
      <w:szCs w:val="22"/>
    </w:rPr>
  </w:style>
  <w:style w:type="paragraph" w:styleId="50">
    <w:name w:val="Body Text First Indent 2"/>
    <w:basedOn w:val="20"/>
    <w:link w:val="65"/>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2">
    <w:name w:val="Table Grid"/>
    <w:basedOn w:val="5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4">
    <w:name w:val="Strong"/>
    <w:autoRedefine/>
    <w:qFormat/>
    <w:uiPriority w:val="0"/>
    <w:rPr>
      <w:b/>
      <w:bCs/>
    </w:rPr>
  </w:style>
  <w:style w:type="character" w:styleId="55">
    <w:name w:val="page number"/>
    <w:basedOn w:val="53"/>
    <w:autoRedefine/>
    <w:qFormat/>
    <w:uiPriority w:val="0"/>
  </w:style>
  <w:style w:type="character" w:styleId="56">
    <w:name w:val="FollowedHyperlink"/>
    <w:autoRedefine/>
    <w:qFormat/>
    <w:uiPriority w:val="0"/>
    <w:rPr>
      <w:color w:val="800080"/>
      <w:u w:val="single"/>
    </w:rPr>
  </w:style>
  <w:style w:type="character" w:styleId="57">
    <w:name w:val="Emphasis"/>
    <w:autoRedefine/>
    <w:qFormat/>
    <w:uiPriority w:val="0"/>
    <w:rPr>
      <w:i/>
      <w:iCs/>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文档正文 Char1"/>
    <w:link w:val="61"/>
    <w:autoRedefine/>
    <w:qFormat/>
    <w:uiPriority w:val="0"/>
    <w:rPr>
      <w:rFonts w:ascii="Arial Narrow" w:hAnsi="Arial Narrow"/>
      <w:sz w:val="24"/>
      <w:szCs w:val="24"/>
      <w:lang w:val="en-US" w:eastAsia="zh-CN" w:bidi="ar-SA"/>
    </w:rPr>
  </w:style>
  <w:style w:type="paragraph" w:customStyle="1" w:styleId="61">
    <w:name w:val="文档正文"/>
    <w:link w:val="60"/>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2">
    <w:name w:val="font1"/>
    <w:autoRedefine/>
    <w:qFormat/>
    <w:uiPriority w:val="0"/>
    <w:rPr>
      <w:sz w:val="18"/>
      <w:szCs w:val="18"/>
      <w:u w:val="none"/>
    </w:rPr>
  </w:style>
  <w:style w:type="character" w:customStyle="1" w:styleId="63">
    <w:name w:val="标题 4 Char"/>
    <w:link w:val="6"/>
    <w:autoRedefine/>
    <w:qFormat/>
    <w:uiPriority w:val="0"/>
    <w:rPr>
      <w:rFonts w:ascii="Arial" w:hAnsi="Arial" w:eastAsia="黑体"/>
      <w:b/>
      <w:bCs/>
      <w:kern w:val="2"/>
      <w:sz w:val="28"/>
      <w:szCs w:val="28"/>
      <w:lang w:val="en-US" w:eastAsia="zh-CN" w:bidi="ar-SA"/>
    </w:rPr>
  </w:style>
  <w:style w:type="character" w:customStyle="1" w:styleId="64">
    <w:name w:val="font21"/>
    <w:autoRedefine/>
    <w:qFormat/>
    <w:uiPriority w:val="0"/>
    <w:rPr>
      <w:rFonts w:hint="default" w:ascii="Arial" w:hAnsi="Arial" w:cs="Arial"/>
      <w:color w:val="000000"/>
      <w:sz w:val="24"/>
      <w:szCs w:val="24"/>
      <w:u w:val="none"/>
    </w:rPr>
  </w:style>
  <w:style w:type="character" w:customStyle="1" w:styleId="65">
    <w:name w:val="正文首行缩进 2 Char"/>
    <w:link w:val="50"/>
    <w:autoRedefine/>
    <w:qFormat/>
    <w:uiPriority w:val="0"/>
    <w:rPr>
      <w:rFonts w:ascii="Calibri" w:hAnsi="Calibri" w:eastAsia="仿宋_GB2312"/>
      <w:kern w:val="2"/>
      <w:sz w:val="21"/>
      <w:szCs w:val="22"/>
      <w:lang w:val="en-US" w:eastAsia="zh-CN" w:bidi="ar-SA"/>
    </w:rPr>
  </w:style>
  <w:style w:type="character" w:customStyle="1" w:styleId="66">
    <w:name w:val="类目1 Char Char"/>
    <w:link w:val="67"/>
    <w:autoRedefine/>
    <w:qFormat/>
    <w:uiPriority w:val="0"/>
    <w:rPr>
      <w:b/>
      <w:color w:val="17365D"/>
      <w:kern w:val="2"/>
      <w:sz w:val="28"/>
      <w:szCs w:val="28"/>
      <w:lang w:bidi="ar-SA"/>
    </w:rPr>
  </w:style>
  <w:style w:type="paragraph" w:customStyle="1" w:styleId="67">
    <w:name w:val="类目1"/>
    <w:basedOn w:val="1"/>
    <w:link w:val="66"/>
    <w:autoRedefine/>
    <w:qFormat/>
    <w:uiPriority w:val="0"/>
    <w:pPr>
      <w:adjustRightInd w:val="0"/>
      <w:snapToGrid w:val="0"/>
      <w:spacing w:line="220" w:lineRule="atLeast"/>
    </w:pPr>
    <w:rPr>
      <w:b/>
      <w:color w:val="17365D"/>
      <w:sz w:val="28"/>
      <w:szCs w:val="28"/>
    </w:rPr>
  </w:style>
  <w:style w:type="character" w:customStyle="1" w:styleId="68">
    <w:name w:val="text1"/>
    <w:autoRedefine/>
    <w:qFormat/>
    <w:uiPriority w:val="0"/>
    <w:rPr>
      <w:sz w:val="20"/>
      <w:szCs w:val="20"/>
    </w:rPr>
  </w:style>
  <w:style w:type="character" w:customStyle="1" w:styleId="69">
    <w:name w:val="ca-5"/>
    <w:basedOn w:val="53"/>
    <w:autoRedefine/>
    <w:qFormat/>
    <w:uiPriority w:val="0"/>
  </w:style>
  <w:style w:type="character" w:customStyle="1" w:styleId="70">
    <w:name w:val="批注文字 Char"/>
    <w:link w:val="17"/>
    <w:autoRedefine/>
    <w:qFormat/>
    <w:uiPriority w:val="0"/>
    <w:rPr>
      <w:kern w:val="2"/>
      <w:sz w:val="21"/>
      <w:lang w:bidi="ar-SA"/>
    </w:rPr>
  </w:style>
  <w:style w:type="character" w:customStyle="1" w:styleId="71">
    <w:name w:val="Char Char14"/>
    <w:autoRedefine/>
    <w:qFormat/>
    <w:uiPriority w:val="0"/>
    <w:rPr>
      <w:rFonts w:ascii="宋体" w:eastAsia="宋体"/>
      <w:sz w:val="34"/>
      <w:lang w:val="en-US" w:eastAsia="zh-CN" w:bidi="ar-SA"/>
    </w:rPr>
  </w:style>
  <w:style w:type="character" w:customStyle="1" w:styleId="72">
    <w:name w:val="日期 Char"/>
    <w:link w:val="28"/>
    <w:autoRedefine/>
    <w:qFormat/>
    <w:uiPriority w:val="0"/>
    <w:rPr>
      <w:kern w:val="2"/>
      <w:sz w:val="21"/>
      <w:szCs w:val="24"/>
    </w:rPr>
  </w:style>
  <w:style w:type="character" w:customStyle="1" w:styleId="73">
    <w:name w:val="font11"/>
    <w:autoRedefine/>
    <w:qFormat/>
    <w:uiPriority w:val="0"/>
    <w:rPr>
      <w:rFonts w:hint="eastAsia" w:ascii="宋体" w:hAnsi="宋体" w:eastAsia="宋体"/>
      <w:color w:val="000000"/>
      <w:sz w:val="24"/>
      <w:szCs w:val="24"/>
      <w:u w:val="none"/>
    </w:rPr>
  </w:style>
  <w:style w:type="character" w:customStyle="1" w:styleId="74">
    <w:name w:val="apple-converted-space"/>
    <w:autoRedefine/>
    <w:qFormat/>
    <w:uiPriority w:val="0"/>
    <w:rPr>
      <w:rFonts w:cs="Times New Roman"/>
    </w:rPr>
  </w:style>
  <w:style w:type="character" w:customStyle="1" w:styleId="75">
    <w:name w:val="标题 1 Char2"/>
    <w:autoRedefine/>
    <w:qFormat/>
    <w:uiPriority w:val="0"/>
    <w:rPr>
      <w:rFonts w:ascii="黑体" w:eastAsia="黑体"/>
      <w:bCs/>
      <w:kern w:val="44"/>
      <w:sz w:val="24"/>
      <w:szCs w:val="24"/>
    </w:rPr>
  </w:style>
  <w:style w:type="character" w:customStyle="1" w:styleId="76">
    <w:name w:val="ca-8"/>
    <w:basedOn w:val="53"/>
    <w:autoRedefine/>
    <w:qFormat/>
    <w:uiPriority w:val="0"/>
  </w:style>
  <w:style w:type="character" w:customStyle="1" w:styleId="77">
    <w:name w:val="Char Char3"/>
    <w:autoRedefine/>
    <w:qFormat/>
    <w:uiPriority w:val="0"/>
    <w:rPr>
      <w:rFonts w:eastAsia="宋体"/>
      <w:kern w:val="2"/>
      <w:sz w:val="18"/>
      <w:lang w:val="en-US" w:eastAsia="zh-CN" w:bidi="ar-SA"/>
    </w:rPr>
  </w:style>
  <w:style w:type="character" w:customStyle="1" w:styleId="78">
    <w:name w:val="正文文本 3 Char"/>
    <w:link w:val="18"/>
    <w:autoRedefine/>
    <w:qFormat/>
    <w:uiPriority w:val="0"/>
    <w:rPr>
      <w:kern w:val="2"/>
      <w:sz w:val="16"/>
      <w:szCs w:val="16"/>
    </w:rPr>
  </w:style>
  <w:style w:type="character" w:customStyle="1" w:styleId="79">
    <w:name w:val="标题 5 Char Char"/>
    <w:autoRedefine/>
    <w:qFormat/>
    <w:uiPriority w:val="0"/>
    <w:rPr>
      <w:rFonts w:eastAsia="宋体"/>
      <w:b/>
      <w:bCs/>
      <w:kern w:val="2"/>
      <w:sz w:val="28"/>
      <w:szCs w:val="28"/>
      <w:lang w:val="en-US" w:eastAsia="zh-CN" w:bidi="ar-SA"/>
    </w:rPr>
  </w:style>
  <w:style w:type="character" w:customStyle="1" w:styleId="80">
    <w:name w:val="ca-10"/>
    <w:basedOn w:val="53"/>
    <w:autoRedefine/>
    <w:qFormat/>
    <w:uiPriority w:val="0"/>
  </w:style>
  <w:style w:type="character" w:customStyle="1" w:styleId="81">
    <w:name w:val="Char Char9"/>
    <w:autoRedefine/>
    <w:qFormat/>
    <w:uiPriority w:val="0"/>
    <w:rPr>
      <w:rFonts w:ascii="宋体" w:hAnsi="Courier New" w:eastAsia="宋体"/>
      <w:kern w:val="2"/>
      <w:sz w:val="21"/>
      <w:lang w:val="en-US" w:eastAsia="zh-CN" w:bidi="ar-SA"/>
    </w:rPr>
  </w:style>
  <w:style w:type="character" w:customStyle="1" w:styleId="82">
    <w:name w:val="标题 2 Char"/>
    <w:link w:val="4"/>
    <w:autoRedefine/>
    <w:qFormat/>
    <w:uiPriority w:val="0"/>
    <w:rPr>
      <w:rFonts w:ascii="Cambria" w:hAnsi="Cambria" w:eastAsia="宋体"/>
      <w:b/>
      <w:bCs/>
      <w:kern w:val="2"/>
      <w:sz w:val="32"/>
      <w:szCs w:val="32"/>
      <w:lang w:val="en-US" w:eastAsia="zh-CN" w:bidi="ar-SA"/>
    </w:rPr>
  </w:style>
  <w:style w:type="character" w:customStyle="1" w:styleId="83">
    <w:name w:val="mark8"/>
    <w:autoRedefine/>
    <w:qFormat/>
    <w:uiPriority w:val="0"/>
    <w:rPr>
      <w:b/>
      <w:bCs/>
      <w:sz w:val="21"/>
      <w:szCs w:val="21"/>
    </w:rPr>
  </w:style>
  <w:style w:type="character" w:customStyle="1" w:styleId="84">
    <w:name w:val="页脚 Char"/>
    <w:link w:val="31"/>
    <w:autoRedefine/>
    <w:qFormat/>
    <w:uiPriority w:val="0"/>
    <w:rPr>
      <w:rFonts w:eastAsia="宋体"/>
      <w:sz w:val="18"/>
      <w:szCs w:val="18"/>
      <w:lang w:bidi="ar-SA"/>
    </w:rPr>
  </w:style>
  <w:style w:type="character" w:customStyle="1" w:styleId="85">
    <w:name w:val="正文文本缩进 3 Char"/>
    <w:link w:val="40"/>
    <w:autoRedefine/>
    <w:qFormat/>
    <w:uiPriority w:val="0"/>
    <w:rPr>
      <w:rFonts w:ascii="宋体" w:hAnsi="宋体" w:eastAsia="宋体"/>
      <w:kern w:val="2"/>
      <w:sz w:val="21"/>
      <w:szCs w:val="24"/>
      <w:lang w:val="en-US" w:eastAsia="zh-CN" w:bidi="ar-SA"/>
    </w:rPr>
  </w:style>
  <w:style w:type="character" w:customStyle="1" w:styleId="86">
    <w:name w:val="List Paragraph Char Char"/>
    <w:link w:val="87"/>
    <w:autoRedefine/>
    <w:qFormat/>
    <w:uiPriority w:val="0"/>
    <w:rPr>
      <w:kern w:val="2"/>
      <w:sz w:val="21"/>
      <w:szCs w:val="24"/>
    </w:rPr>
  </w:style>
  <w:style w:type="paragraph" w:customStyle="1" w:styleId="87">
    <w:name w:val="列出段落1"/>
    <w:basedOn w:val="1"/>
    <w:link w:val="86"/>
    <w:autoRedefine/>
    <w:qFormat/>
    <w:uiPriority w:val="0"/>
    <w:pPr>
      <w:ind w:firstLine="420" w:firstLineChars="200"/>
    </w:pPr>
  </w:style>
  <w:style w:type="character" w:customStyle="1" w:styleId="88">
    <w:name w:val="标题 3 Char"/>
    <w:link w:val="5"/>
    <w:autoRedefine/>
    <w:qFormat/>
    <w:uiPriority w:val="0"/>
    <w:rPr>
      <w:rFonts w:ascii="黑体" w:eastAsia="黑体"/>
      <w:bCs/>
      <w:color w:val="000000"/>
      <w:kern w:val="2"/>
      <w:sz w:val="21"/>
      <w:szCs w:val="24"/>
    </w:rPr>
  </w:style>
  <w:style w:type="character" w:customStyle="1" w:styleId="89">
    <w:name w:val="标题 2 Char1"/>
    <w:autoRedefine/>
    <w:qFormat/>
    <w:uiPriority w:val="0"/>
    <w:rPr>
      <w:rFonts w:ascii="Arial" w:hAnsi="Arial" w:eastAsia="黑体"/>
      <w:b/>
      <w:bCs/>
      <w:kern w:val="2"/>
      <w:sz w:val="32"/>
      <w:szCs w:val="32"/>
    </w:rPr>
  </w:style>
  <w:style w:type="character" w:customStyle="1" w:styleId="90">
    <w:name w:val="标题 Char"/>
    <w:link w:val="47"/>
    <w:autoRedefine/>
    <w:qFormat/>
    <w:uiPriority w:val="0"/>
    <w:rPr>
      <w:rFonts w:ascii="Cambria" w:hAnsi="Cambria"/>
      <w:b/>
      <w:bCs/>
      <w:kern w:val="2"/>
      <w:sz w:val="32"/>
      <w:szCs w:val="32"/>
    </w:rPr>
  </w:style>
  <w:style w:type="character" w:customStyle="1" w:styleId="91">
    <w:name w:val="纯文本 Char"/>
    <w:link w:val="25"/>
    <w:autoRedefine/>
    <w:qFormat/>
    <w:uiPriority w:val="0"/>
    <w:rPr>
      <w:rFonts w:ascii="宋体" w:hAnsi="Courier New"/>
      <w:kern w:val="2"/>
      <w:sz w:val="21"/>
      <w:lang w:bidi="ar-SA"/>
    </w:rPr>
  </w:style>
  <w:style w:type="character" w:customStyle="1" w:styleId="92">
    <w:name w:val="flname7"/>
    <w:basedOn w:val="53"/>
    <w:autoRedefine/>
    <w:qFormat/>
    <w:uiPriority w:val="0"/>
  </w:style>
  <w:style w:type="character" w:customStyle="1" w:styleId="93">
    <w:name w:val="content"/>
    <w:autoRedefine/>
    <w:qFormat/>
    <w:uiPriority w:val="0"/>
  </w:style>
  <w:style w:type="character" w:customStyle="1" w:styleId="94">
    <w:name w:val="正文文本 Char"/>
    <w:link w:val="19"/>
    <w:autoRedefine/>
    <w:qFormat/>
    <w:uiPriority w:val="0"/>
    <w:rPr>
      <w:rFonts w:eastAsia="宋体"/>
      <w:kern w:val="2"/>
      <w:sz w:val="21"/>
      <w:szCs w:val="24"/>
      <w:lang w:val="en-US" w:eastAsia="zh-CN" w:bidi="ar-SA"/>
    </w:rPr>
  </w:style>
  <w:style w:type="character" w:customStyle="1" w:styleId="95">
    <w:name w:val="标题 9 Char"/>
    <w:link w:val="11"/>
    <w:autoRedefine/>
    <w:qFormat/>
    <w:uiPriority w:val="0"/>
    <w:rPr>
      <w:rFonts w:ascii="Arial" w:hAnsi="Arial" w:eastAsia="黑体"/>
      <w:kern w:val="2"/>
      <w:sz w:val="21"/>
      <w:szCs w:val="21"/>
      <w:lang w:val="en-US" w:eastAsia="zh-CN" w:bidi="ar-SA"/>
    </w:rPr>
  </w:style>
  <w:style w:type="character" w:customStyle="1" w:styleId="96">
    <w:name w:val="c_666"/>
    <w:basedOn w:val="53"/>
    <w:autoRedefine/>
    <w:qFormat/>
    <w:uiPriority w:val="0"/>
  </w:style>
  <w:style w:type="character" w:customStyle="1" w:styleId="97">
    <w:name w:val="正文文本 2 Char"/>
    <w:link w:val="43"/>
    <w:autoRedefine/>
    <w:qFormat/>
    <w:uiPriority w:val="0"/>
    <w:rPr>
      <w:rFonts w:ascii="仿宋_GB2312" w:eastAsia="仿宋_GB2312"/>
      <w:kern w:val="2"/>
      <w:sz w:val="32"/>
      <w:szCs w:val="24"/>
      <w:lang w:val="en-US" w:eastAsia="zh-CN" w:bidi="ar-SA"/>
    </w:rPr>
  </w:style>
  <w:style w:type="character" w:customStyle="1" w:styleId="98">
    <w:name w:val="书籍标题3 Char1"/>
    <w:link w:val="99"/>
    <w:autoRedefine/>
    <w:qFormat/>
    <w:uiPriority w:val="0"/>
    <w:rPr>
      <w:b/>
      <w:bCs/>
      <w:spacing w:val="20"/>
      <w:kern w:val="2"/>
      <w:sz w:val="28"/>
      <w:szCs w:val="28"/>
    </w:rPr>
  </w:style>
  <w:style w:type="paragraph" w:customStyle="1" w:styleId="99">
    <w:name w:val="书籍标题3"/>
    <w:basedOn w:val="100"/>
    <w:link w:val="98"/>
    <w:autoRedefine/>
    <w:qFormat/>
    <w:uiPriority w:val="0"/>
    <w:pPr>
      <w:numPr>
        <w:ilvl w:val="2"/>
      </w:numPr>
      <w:tabs>
        <w:tab w:val="left" w:pos="840"/>
      </w:tabs>
      <w:outlineLvl w:val="2"/>
    </w:pPr>
    <w:rPr>
      <w:rFonts w:cs="Times New Roman"/>
      <w:sz w:val="28"/>
      <w:szCs w:val="28"/>
    </w:rPr>
  </w:style>
  <w:style w:type="paragraph" w:customStyle="1" w:styleId="100">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01">
    <w:name w:val="标题 1 1 Char"/>
    <w:autoRedefine/>
    <w:qFormat/>
    <w:uiPriority w:val="0"/>
    <w:rPr>
      <w:rFonts w:ascii="黑体" w:eastAsia="黑体"/>
      <w:bCs/>
      <w:kern w:val="44"/>
      <w:sz w:val="24"/>
      <w:lang w:val="en-US" w:eastAsia="zh-CN" w:bidi="ar-SA"/>
    </w:rPr>
  </w:style>
  <w:style w:type="character" w:customStyle="1" w:styleId="102">
    <w:name w:val="列出段落 Char"/>
    <w:link w:val="103"/>
    <w:autoRedefine/>
    <w:qFormat/>
    <w:uiPriority w:val="0"/>
    <w:rPr>
      <w:kern w:val="2"/>
      <w:sz w:val="21"/>
      <w:szCs w:val="24"/>
    </w:rPr>
  </w:style>
  <w:style w:type="paragraph" w:styleId="103">
    <w:name w:val="List Paragraph"/>
    <w:basedOn w:val="1"/>
    <w:link w:val="102"/>
    <w:autoRedefine/>
    <w:qFormat/>
    <w:uiPriority w:val="0"/>
    <w:pPr>
      <w:ind w:firstLine="420" w:firstLineChars="200"/>
    </w:pPr>
  </w:style>
  <w:style w:type="character" w:customStyle="1" w:styleId="104">
    <w:name w:val="标题 3 Char1"/>
    <w:autoRedefine/>
    <w:qFormat/>
    <w:uiPriority w:val="0"/>
    <w:rPr>
      <w:rFonts w:ascii="宋体" w:hAnsi="Times New Roman"/>
    </w:rPr>
  </w:style>
  <w:style w:type="character" w:customStyle="1" w:styleId="105">
    <w:name w:val="样式 样式 宋体 小四 行距: 1.5 倍行距 + ˎ̥ 黑色 Char Char"/>
    <w:link w:val="106"/>
    <w:autoRedefine/>
    <w:qFormat/>
    <w:uiPriority w:val="0"/>
    <w:rPr>
      <w:rFonts w:ascii="Calibri" w:hAnsi="Calibri" w:eastAsia="仿宋_GB2312"/>
      <w:kern w:val="2"/>
      <w:sz w:val="21"/>
      <w:szCs w:val="22"/>
      <w:lang w:val="en-US" w:eastAsia="zh-CN" w:bidi="ar-SA"/>
    </w:rPr>
  </w:style>
  <w:style w:type="paragraph" w:customStyle="1" w:styleId="106">
    <w:name w:val="样式 样式 宋体 小四 行距: 1.5 倍行距 + ˎ̥ 黑色"/>
    <w:basedOn w:val="50"/>
    <w:link w:val="105"/>
    <w:autoRedefine/>
    <w:qFormat/>
    <w:uiPriority w:val="0"/>
  </w:style>
  <w:style w:type="character" w:customStyle="1" w:styleId="107">
    <w:name w:val="样式5 Char Char"/>
    <w:link w:val="108"/>
    <w:autoRedefine/>
    <w:qFormat/>
    <w:uiPriority w:val="0"/>
    <w:rPr>
      <w:rFonts w:ascii="宋体" w:hAnsi="宋体" w:eastAsia="宋体" w:cs="Arial"/>
      <w:b/>
      <w:kern w:val="2"/>
      <w:sz w:val="24"/>
      <w:szCs w:val="24"/>
      <w:lang w:val="en-US" w:eastAsia="zh-CN" w:bidi="ar-SA"/>
    </w:rPr>
  </w:style>
  <w:style w:type="paragraph" w:customStyle="1" w:styleId="108">
    <w:name w:val="样式5"/>
    <w:basedOn w:val="1"/>
    <w:link w:val="107"/>
    <w:autoRedefine/>
    <w:qFormat/>
    <w:uiPriority w:val="0"/>
    <w:pPr>
      <w:spacing w:line="400" w:lineRule="exact"/>
      <w:ind w:left="482"/>
    </w:pPr>
    <w:rPr>
      <w:rFonts w:ascii="宋体" w:hAnsi="宋体" w:cs="Arial"/>
      <w:b/>
      <w:sz w:val="24"/>
    </w:rPr>
  </w:style>
  <w:style w:type="character" w:customStyle="1" w:styleId="109">
    <w:name w:val="标题 1 Char1"/>
    <w:autoRedefine/>
    <w:qFormat/>
    <w:uiPriority w:val="0"/>
    <w:rPr>
      <w:b/>
      <w:bCs/>
      <w:kern w:val="44"/>
      <w:sz w:val="44"/>
      <w:szCs w:val="44"/>
    </w:rPr>
  </w:style>
  <w:style w:type="character" w:customStyle="1" w:styleId="110">
    <w:name w:val="lineitems1"/>
    <w:autoRedefine/>
    <w:qFormat/>
    <w:uiPriority w:val="0"/>
    <w:rPr>
      <w:sz w:val="17"/>
      <w:szCs w:val="17"/>
    </w:rPr>
  </w:style>
  <w:style w:type="character" w:customStyle="1" w:styleId="111">
    <w:name w:val="font31"/>
    <w:autoRedefine/>
    <w:qFormat/>
    <w:uiPriority w:val="0"/>
    <w:rPr>
      <w:rFonts w:hint="eastAsia" w:ascii="宋体" w:hAnsi="宋体" w:eastAsia="宋体" w:cs="宋体"/>
      <w:color w:val="000000"/>
      <w:sz w:val="20"/>
      <w:szCs w:val="20"/>
      <w:u w:val="none"/>
    </w:rPr>
  </w:style>
  <w:style w:type="character" w:customStyle="1" w:styleId="112">
    <w:name w:val="不明显参考1"/>
    <w:autoRedefine/>
    <w:qFormat/>
    <w:uiPriority w:val="0"/>
    <w:rPr>
      <w:smallCaps/>
      <w:color w:val="C0504D"/>
      <w:u w:val="single"/>
    </w:rPr>
  </w:style>
  <w:style w:type="character" w:customStyle="1" w:styleId="113">
    <w:name w:val="标题 6 Char"/>
    <w:link w:val="8"/>
    <w:autoRedefine/>
    <w:qFormat/>
    <w:uiPriority w:val="0"/>
    <w:rPr>
      <w:rFonts w:ascii="Arial" w:hAnsi="Arial" w:eastAsia="黑体"/>
      <w:b/>
      <w:bCs/>
      <w:kern w:val="2"/>
      <w:sz w:val="24"/>
      <w:szCs w:val="24"/>
      <w:lang w:val="en-US" w:eastAsia="zh-CN" w:bidi="ar-SA"/>
    </w:rPr>
  </w:style>
  <w:style w:type="character" w:customStyle="1" w:styleId="114">
    <w:name w:val="style71"/>
    <w:autoRedefine/>
    <w:qFormat/>
    <w:uiPriority w:val="0"/>
    <w:rPr>
      <w:sz w:val="21"/>
      <w:szCs w:val="21"/>
    </w:rPr>
  </w:style>
  <w:style w:type="character" w:customStyle="1" w:styleId="115">
    <w:name w:val="HTML 地址 Char"/>
    <w:link w:val="22"/>
    <w:autoRedefine/>
    <w:qFormat/>
    <w:uiPriority w:val="0"/>
    <w:rPr>
      <w:i/>
      <w:kern w:val="2"/>
      <w:sz w:val="21"/>
      <w:szCs w:val="24"/>
    </w:rPr>
  </w:style>
  <w:style w:type="character" w:customStyle="1" w:styleId="116">
    <w:name w:val="细目1 Char Char"/>
    <w:link w:val="117"/>
    <w:autoRedefine/>
    <w:qFormat/>
    <w:uiPriority w:val="0"/>
    <w:rPr>
      <w:b/>
      <w:color w:val="215868"/>
      <w:kern w:val="2"/>
      <w:sz w:val="24"/>
      <w:szCs w:val="24"/>
    </w:rPr>
  </w:style>
  <w:style w:type="paragraph" w:customStyle="1" w:styleId="117">
    <w:name w:val="细目1"/>
    <w:basedOn w:val="1"/>
    <w:link w:val="116"/>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18">
    <w:name w:val="xl25 Char Char"/>
    <w:link w:val="119"/>
    <w:autoRedefine/>
    <w:qFormat/>
    <w:uiPriority w:val="0"/>
    <w:rPr>
      <w:rFonts w:ascii="宋体" w:hAnsi="宋体"/>
      <w:sz w:val="21"/>
      <w:szCs w:val="21"/>
    </w:rPr>
  </w:style>
  <w:style w:type="paragraph" w:customStyle="1" w:styleId="119">
    <w:name w:val="xl25"/>
    <w:basedOn w:val="1"/>
    <w:link w:val="118"/>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120">
    <w:name w:val="题注 Char"/>
    <w:link w:val="13"/>
    <w:autoRedefine/>
    <w:qFormat/>
    <w:uiPriority w:val="0"/>
    <w:rPr>
      <w:rFonts w:ascii="Arial" w:hAnsi="Arial" w:eastAsia="黑体" w:cs="Arial"/>
      <w:kern w:val="2"/>
    </w:rPr>
  </w:style>
  <w:style w:type="character" w:customStyle="1" w:styleId="121">
    <w:name w:val="标题 8 Char"/>
    <w:link w:val="10"/>
    <w:autoRedefine/>
    <w:qFormat/>
    <w:uiPriority w:val="0"/>
    <w:rPr>
      <w:rFonts w:ascii="Arial" w:hAnsi="Arial" w:eastAsia="黑体"/>
      <w:kern w:val="2"/>
      <w:sz w:val="24"/>
      <w:szCs w:val="24"/>
      <w:lang w:val="en-US" w:eastAsia="zh-CN" w:bidi="ar-SA"/>
    </w:rPr>
  </w:style>
  <w:style w:type="character" w:customStyle="1" w:styleId="122">
    <w:name w:val="正文文本缩进 2 Char"/>
    <w:link w:val="29"/>
    <w:autoRedefine/>
    <w:qFormat/>
    <w:uiPriority w:val="0"/>
    <w:rPr>
      <w:rFonts w:eastAsia="仿宋_GB2312"/>
      <w:sz w:val="30"/>
      <w:lang w:bidi="ar-SA"/>
    </w:rPr>
  </w:style>
  <w:style w:type="character" w:customStyle="1" w:styleId="123">
    <w:name w:val="ca-11"/>
    <w:basedOn w:val="53"/>
    <w:autoRedefine/>
    <w:qFormat/>
    <w:uiPriority w:val="0"/>
  </w:style>
  <w:style w:type="character" w:customStyle="1" w:styleId="124">
    <w:name w:val="正文缩进 Char"/>
    <w:link w:val="2"/>
    <w:autoRedefine/>
    <w:qFormat/>
    <w:uiPriority w:val="0"/>
    <w:rPr>
      <w:rFonts w:ascii="宋体" w:eastAsia="宋体"/>
      <w:sz w:val="34"/>
      <w:lang w:val="en-US" w:eastAsia="zh-CN" w:bidi="ar-SA"/>
    </w:rPr>
  </w:style>
  <w:style w:type="character" w:customStyle="1" w:styleId="125">
    <w:name w:val="副标题 Char"/>
    <w:link w:val="37"/>
    <w:autoRedefine/>
    <w:qFormat/>
    <w:uiPriority w:val="0"/>
    <w:rPr>
      <w:rFonts w:ascii="Calibri Light" w:hAnsi="Calibri Light"/>
      <w:b/>
      <w:bCs/>
      <w:kern w:val="28"/>
      <w:sz w:val="32"/>
      <w:szCs w:val="32"/>
    </w:rPr>
  </w:style>
  <w:style w:type="character" w:customStyle="1" w:styleId="126">
    <w:name w:val="页眉 Char Char"/>
    <w:autoRedefine/>
    <w:qFormat/>
    <w:uiPriority w:val="0"/>
    <w:rPr>
      <w:rFonts w:eastAsia="宋体"/>
      <w:sz w:val="18"/>
      <w:szCs w:val="18"/>
      <w:lang w:bidi="ar-SA"/>
    </w:rPr>
  </w:style>
  <w:style w:type="character" w:customStyle="1" w:styleId="127">
    <w:name w:val="批注主题 Char"/>
    <w:link w:val="48"/>
    <w:autoRedefine/>
    <w:qFormat/>
    <w:uiPriority w:val="0"/>
    <w:rPr>
      <w:b/>
      <w:bCs/>
      <w:kern w:val="2"/>
      <w:sz w:val="21"/>
      <w:szCs w:val="24"/>
    </w:rPr>
  </w:style>
  <w:style w:type="character" w:customStyle="1" w:styleId="128">
    <w:name w:val="p12"/>
    <w:basedOn w:val="53"/>
    <w:autoRedefine/>
    <w:qFormat/>
    <w:uiPriority w:val="0"/>
  </w:style>
  <w:style w:type="character" w:customStyle="1" w:styleId="129">
    <w:name w:val="表格内容"/>
    <w:autoRedefine/>
    <w:qFormat/>
    <w:uiPriority w:val="0"/>
    <w:rPr>
      <w:sz w:val="24"/>
    </w:rPr>
  </w:style>
  <w:style w:type="character" w:customStyle="1" w:styleId="130">
    <w:name w:val="正文文本缩进 Char"/>
    <w:link w:val="20"/>
    <w:autoRedefine/>
    <w:qFormat/>
    <w:uiPriority w:val="0"/>
    <w:rPr>
      <w:rFonts w:ascii="仿宋_GB2312" w:eastAsia="仿宋_GB2312"/>
      <w:sz w:val="28"/>
      <w:lang w:val="en-US" w:eastAsia="zh-CN" w:bidi="ar-SA"/>
    </w:rPr>
  </w:style>
  <w:style w:type="character" w:customStyle="1" w:styleId="131">
    <w:name w:val="HTML 预设格式 Char"/>
    <w:link w:val="44"/>
    <w:autoRedefine/>
    <w:qFormat/>
    <w:uiPriority w:val="0"/>
    <w:rPr>
      <w:rFonts w:ascii="黑体" w:hAnsi="Courier New" w:eastAsia="黑体" w:cs="Courier New"/>
      <w:kern w:val="2"/>
      <w:sz w:val="21"/>
      <w:szCs w:val="24"/>
      <w:lang w:val="en-US" w:eastAsia="zh-CN" w:bidi="ar-SA"/>
    </w:rPr>
  </w:style>
  <w:style w:type="character" w:customStyle="1" w:styleId="132">
    <w:name w:val="纯文本 Char1"/>
    <w:autoRedefine/>
    <w:qFormat/>
    <w:uiPriority w:val="0"/>
    <w:rPr>
      <w:rFonts w:ascii="宋体" w:hAnsi="Courier New" w:eastAsia="宋体" w:cs="Times New Roman"/>
      <w:kern w:val="0"/>
      <w:sz w:val="20"/>
      <w:szCs w:val="20"/>
    </w:rPr>
  </w:style>
  <w:style w:type="character" w:customStyle="1" w:styleId="133">
    <w:name w:val="正文首行缩进 Char Char"/>
    <w:autoRedefine/>
    <w:qFormat/>
    <w:uiPriority w:val="0"/>
    <w:rPr>
      <w:rFonts w:eastAsia="仿宋_GB2312"/>
      <w:kern w:val="2"/>
      <w:sz w:val="28"/>
      <w:szCs w:val="24"/>
      <w:lang w:bidi="ar-SA"/>
    </w:rPr>
  </w:style>
  <w:style w:type="character" w:customStyle="1" w:styleId="134">
    <w:name w:val="页眉 Char"/>
    <w:link w:val="32"/>
    <w:autoRedefine/>
    <w:qFormat/>
    <w:uiPriority w:val="0"/>
    <w:rPr>
      <w:rFonts w:eastAsia="宋体"/>
      <w:kern w:val="2"/>
      <w:sz w:val="18"/>
      <w:lang w:val="en-US" w:eastAsia="zh-CN" w:bidi="ar-SA"/>
    </w:rPr>
  </w:style>
  <w:style w:type="character" w:customStyle="1" w:styleId="135">
    <w:name w:val="标题 1 Char Char"/>
    <w:autoRedefine/>
    <w:qFormat/>
    <w:uiPriority w:val="0"/>
    <w:rPr>
      <w:rFonts w:eastAsia="宋体"/>
      <w:b/>
      <w:bCs/>
      <w:kern w:val="44"/>
      <w:sz w:val="44"/>
      <w:szCs w:val="44"/>
      <w:lang w:val="en-US" w:eastAsia="zh-CN" w:bidi="ar-SA"/>
    </w:rPr>
  </w:style>
  <w:style w:type="character" w:customStyle="1" w:styleId="136">
    <w:name w:val="Font Style17"/>
    <w:autoRedefine/>
    <w:qFormat/>
    <w:uiPriority w:val="0"/>
    <w:rPr>
      <w:rFonts w:ascii="黑体" w:eastAsia="黑体" w:cs="黑体"/>
      <w:sz w:val="28"/>
      <w:szCs w:val="28"/>
    </w:rPr>
  </w:style>
  <w:style w:type="character" w:customStyle="1" w:styleId="137">
    <w:name w:val="Char Char10"/>
    <w:autoRedefine/>
    <w:qFormat/>
    <w:uiPriority w:val="0"/>
    <w:rPr>
      <w:rFonts w:eastAsia="宋体"/>
      <w:kern w:val="2"/>
      <w:sz w:val="18"/>
      <w:szCs w:val="18"/>
      <w:lang w:val="en-US" w:eastAsia="zh-CN" w:bidi="ar-SA"/>
    </w:rPr>
  </w:style>
  <w:style w:type="character" w:customStyle="1" w:styleId="138">
    <w:name w:val="正文文本缩进 3 Char Char"/>
    <w:autoRedefine/>
    <w:qFormat/>
    <w:uiPriority w:val="0"/>
    <w:rPr>
      <w:kern w:val="2"/>
      <w:sz w:val="16"/>
      <w:szCs w:val="16"/>
      <w:lang w:bidi="ar-SA"/>
    </w:rPr>
  </w:style>
  <w:style w:type="character" w:customStyle="1" w:styleId="139">
    <w:name w:val="标题 3 Char Char"/>
    <w:autoRedefine/>
    <w:qFormat/>
    <w:uiPriority w:val="0"/>
    <w:rPr>
      <w:rFonts w:eastAsia="宋体"/>
      <w:b/>
      <w:bCs/>
      <w:kern w:val="2"/>
      <w:sz w:val="32"/>
      <w:szCs w:val="32"/>
      <w:lang w:val="en-US" w:eastAsia="zh-CN" w:bidi="ar-SA"/>
    </w:rPr>
  </w:style>
  <w:style w:type="character" w:customStyle="1" w:styleId="140">
    <w:name w:val="nine-11"/>
    <w:autoRedefine/>
    <w:qFormat/>
    <w:uiPriority w:val="0"/>
    <w:rPr>
      <w:rFonts w:hint="default"/>
      <w:sz w:val="18"/>
      <w:szCs w:val="18"/>
    </w:rPr>
  </w:style>
  <w:style w:type="character" w:customStyle="1" w:styleId="141">
    <w:name w:val="标题 7 Char"/>
    <w:link w:val="9"/>
    <w:autoRedefine/>
    <w:qFormat/>
    <w:uiPriority w:val="0"/>
    <w:rPr>
      <w:rFonts w:eastAsia="宋体"/>
      <w:b/>
      <w:bCs/>
      <w:kern w:val="2"/>
      <w:sz w:val="24"/>
      <w:szCs w:val="24"/>
      <w:lang w:val="en-US" w:eastAsia="zh-CN" w:bidi="ar-SA"/>
    </w:rPr>
  </w:style>
  <w:style w:type="character" w:customStyle="1" w:styleId="142">
    <w:name w:val="题注 Char1"/>
    <w:autoRedefine/>
    <w:qFormat/>
    <w:uiPriority w:val="0"/>
    <w:rPr>
      <w:rFonts w:ascii="Arial" w:hAnsi="Arial" w:eastAsia="宋体" w:cs="Arial"/>
      <w:kern w:val="2"/>
      <w:lang w:val="en-US" w:eastAsia="zh-CN" w:bidi="ar-SA"/>
    </w:rPr>
  </w:style>
  <w:style w:type="character" w:customStyle="1" w:styleId="143">
    <w:name w:val="正文缩进 Char2"/>
    <w:link w:val="144"/>
    <w:autoRedefine/>
    <w:qFormat/>
    <w:uiPriority w:val="0"/>
    <w:rPr>
      <w:rFonts w:ascii="宋体" w:eastAsia="宋体"/>
      <w:sz w:val="34"/>
      <w:lang w:bidi="ar-SA"/>
    </w:rPr>
  </w:style>
  <w:style w:type="paragraph" w:customStyle="1" w:styleId="144">
    <w:name w:val="Normal Indent1"/>
    <w:basedOn w:val="1"/>
    <w:link w:val="143"/>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45">
    <w:name w:val="表标题 Char Char"/>
    <w:link w:val="146"/>
    <w:autoRedefine/>
    <w:qFormat/>
    <w:uiPriority w:val="0"/>
    <w:rPr>
      <w:b/>
    </w:rPr>
  </w:style>
  <w:style w:type="paragraph" w:customStyle="1" w:styleId="146">
    <w:name w:val="表标题"/>
    <w:basedOn w:val="2"/>
    <w:link w:val="145"/>
    <w:autoRedefine/>
    <w:qFormat/>
    <w:uiPriority w:val="0"/>
    <w:pPr>
      <w:autoSpaceDE/>
      <w:autoSpaceDN/>
      <w:snapToGrid w:val="0"/>
      <w:spacing w:before="62" w:after="62"/>
      <w:ind w:firstLine="0"/>
      <w:jc w:val="center"/>
      <w:textAlignment w:val="auto"/>
    </w:pPr>
    <w:rPr>
      <w:rFonts w:ascii="Times New Roman"/>
      <w:b/>
      <w:sz w:val="20"/>
    </w:rPr>
  </w:style>
  <w:style w:type="character" w:customStyle="1" w:styleId="147">
    <w:name w:val="Char Char8"/>
    <w:autoRedefine/>
    <w:qFormat/>
    <w:uiPriority w:val="0"/>
    <w:rPr>
      <w:rFonts w:ascii="宋体" w:hAnsi="Courier New" w:eastAsia="宋体"/>
      <w:kern w:val="2"/>
      <w:sz w:val="21"/>
      <w:lang w:val="en-US" w:eastAsia="zh-CN" w:bidi="ar-SA"/>
    </w:rPr>
  </w:style>
  <w:style w:type="character" w:customStyle="1" w:styleId="148">
    <w:name w:val="标题 5 Char"/>
    <w:link w:val="7"/>
    <w:autoRedefine/>
    <w:qFormat/>
    <w:uiPriority w:val="0"/>
    <w:rPr>
      <w:rFonts w:eastAsia="宋体"/>
      <w:b/>
      <w:kern w:val="2"/>
      <w:sz w:val="28"/>
      <w:lang w:val="en-US" w:eastAsia="zh-CN" w:bidi="ar-SA"/>
    </w:rPr>
  </w:style>
  <w:style w:type="character" w:customStyle="1" w:styleId="149">
    <w:name w:val="Char Char5"/>
    <w:autoRedefine/>
    <w:qFormat/>
    <w:uiPriority w:val="0"/>
    <w:rPr>
      <w:rFonts w:eastAsia="宋体"/>
      <w:kern w:val="2"/>
      <w:sz w:val="18"/>
      <w:lang w:val="en-US" w:eastAsia="zh-CN" w:bidi="ar-SA"/>
    </w:rPr>
  </w:style>
  <w:style w:type="character" w:customStyle="1" w:styleId="150">
    <w:name w:val="style18"/>
    <w:autoRedefine/>
    <w:qFormat/>
    <w:uiPriority w:val="0"/>
  </w:style>
  <w:style w:type="character" w:customStyle="1" w:styleId="151">
    <w:name w:val="批注框文本 Char"/>
    <w:link w:val="30"/>
    <w:autoRedefine/>
    <w:qFormat/>
    <w:uiPriority w:val="0"/>
    <w:rPr>
      <w:rFonts w:eastAsia="宋体"/>
      <w:kern w:val="2"/>
      <w:sz w:val="18"/>
      <w:szCs w:val="18"/>
      <w:lang w:val="en-US" w:eastAsia="zh-CN" w:bidi="ar-SA"/>
    </w:rPr>
  </w:style>
  <w:style w:type="character" w:customStyle="1" w:styleId="152">
    <w:name w:val="mark"/>
    <w:basedOn w:val="53"/>
    <w:autoRedefine/>
    <w:qFormat/>
    <w:uiPriority w:val="0"/>
  </w:style>
  <w:style w:type="character" w:customStyle="1" w:styleId="153">
    <w:name w:val="样式2"/>
    <w:autoRedefine/>
    <w:qFormat/>
    <w:uiPriority w:val="0"/>
    <w:rPr>
      <w:rFonts w:eastAsia="华文楷体"/>
      <w:b/>
      <w:sz w:val="32"/>
    </w:rPr>
  </w:style>
  <w:style w:type="character" w:customStyle="1" w:styleId="154">
    <w:name w:val="ALT+Z Char"/>
    <w:autoRedefine/>
    <w:qFormat/>
    <w:uiPriority w:val="0"/>
    <w:rPr>
      <w:rFonts w:ascii="宋体"/>
      <w:sz w:val="34"/>
    </w:rPr>
  </w:style>
  <w:style w:type="character" w:customStyle="1" w:styleId="155">
    <w:name w:val="标题 1 Char"/>
    <w:link w:val="3"/>
    <w:autoRedefine/>
    <w:qFormat/>
    <w:uiPriority w:val="0"/>
    <w:rPr>
      <w:rFonts w:ascii="黑体" w:eastAsia="黑体"/>
      <w:bCs/>
      <w:kern w:val="44"/>
      <w:sz w:val="24"/>
      <w:szCs w:val="24"/>
    </w:rPr>
  </w:style>
  <w:style w:type="character" w:customStyle="1" w:styleId="156">
    <w:name w:val="正文 A Char Char"/>
    <w:link w:val="157"/>
    <w:autoRedefine/>
    <w:qFormat/>
    <w:uiPriority w:val="0"/>
    <w:rPr>
      <w:rFonts w:ascii="仿宋_GB2312" w:hAnsi="Heiti SC Light" w:eastAsia="仿宋_GB2312"/>
      <w:kern w:val="2"/>
      <w:sz w:val="24"/>
      <w:lang w:val="en-US" w:eastAsia="zh-CN" w:bidi="ar-SA"/>
    </w:rPr>
  </w:style>
  <w:style w:type="paragraph" w:customStyle="1" w:styleId="157">
    <w:name w:val="正文 A"/>
    <w:link w:val="156"/>
    <w:autoRedefine/>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158">
    <w:name w:val="正文首行缩进 Char"/>
    <w:link w:val="49"/>
    <w:autoRedefine/>
    <w:qFormat/>
    <w:uiPriority w:val="0"/>
    <w:rPr>
      <w:rFonts w:ascii="Calibri" w:hAnsi="Calibri" w:eastAsia="宋体"/>
      <w:kern w:val="2"/>
      <w:sz w:val="21"/>
      <w:szCs w:val="22"/>
      <w:lang w:val="en-US" w:eastAsia="zh-CN" w:bidi="ar-SA"/>
    </w:rPr>
  </w:style>
  <w:style w:type="character" w:customStyle="1" w:styleId="159">
    <w:name w:val="ca-9"/>
    <w:basedOn w:val="53"/>
    <w:autoRedefine/>
    <w:qFormat/>
    <w:uiPriority w:val="0"/>
  </w:style>
  <w:style w:type="character" w:customStyle="1" w:styleId="160">
    <w:name w:val="正文（缩进） Char Char"/>
    <w:link w:val="161"/>
    <w:autoRedefine/>
    <w:qFormat/>
    <w:uiPriority w:val="0"/>
    <w:rPr>
      <w:rFonts w:eastAsia="宋体"/>
      <w:kern w:val="2"/>
      <w:sz w:val="24"/>
      <w:szCs w:val="24"/>
      <w:lang w:val="en-US" w:eastAsia="zh-CN" w:bidi="ar-SA"/>
    </w:rPr>
  </w:style>
  <w:style w:type="paragraph" w:customStyle="1" w:styleId="161">
    <w:name w:val="正文（缩进）"/>
    <w:basedOn w:val="1"/>
    <w:link w:val="160"/>
    <w:autoRedefine/>
    <w:qFormat/>
    <w:uiPriority w:val="0"/>
    <w:pPr>
      <w:spacing w:beforeLines="50" w:afterLines="50" w:line="360" w:lineRule="auto"/>
      <w:ind w:firstLine="480" w:firstLineChars="200"/>
    </w:pPr>
    <w:rPr>
      <w:sz w:val="24"/>
    </w:rPr>
  </w:style>
  <w:style w:type="paragraph" w:customStyle="1" w:styleId="162">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6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64">
    <w:name w:val="字元 字元"/>
    <w:basedOn w:val="1"/>
    <w:qFormat/>
    <w:uiPriority w:val="0"/>
    <w:pPr>
      <w:spacing w:line="360" w:lineRule="auto"/>
      <w:ind w:firstLine="200" w:firstLineChars="200"/>
    </w:pPr>
    <w:rPr>
      <w:rFonts w:ascii="宋体" w:hAnsi="宋体" w:cs="宋体"/>
      <w:sz w:val="24"/>
    </w:rPr>
  </w:style>
  <w:style w:type="paragraph" w:customStyle="1" w:styleId="165">
    <w:name w:val="列举"/>
    <w:basedOn w:val="1"/>
    <w:qFormat/>
    <w:uiPriority w:val="0"/>
    <w:pPr>
      <w:numPr>
        <w:ilvl w:val="0"/>
        <w:numId w:val="7"/>
      </w:numPr>
      <w:spacing w:line="360" w:lineRule="auto"/>
    </w:pPr>
    <w:rPr>
      <w:rFonts w:ascii="宋体"/>
    </w:rPr>
  </w:style>
  <w:style w:type="paragraph" w:customStyle="1" w:styleId="1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67">
    <w:name w:val="正文段落"/>
    <w:basedOn w:val="1"/>
    <w:autoRedefine/>
    <w:qFormat/>
    <w:uiPriority w:val="0"/>
    <w:pPr>
      <w:widowControl/>
      <w:spacing w:after="40" w:line="360" w:lineRule="auto"/>
      <w:ind w:firstLine="200" w:firstLineChars="200"/>
    </w:pPr>
    <w:rPr>
      <w:kern w:val="0"/>
      <w:sz w:val="24"/>
    </w:rPr>
  </w:style>
  <w:style w:type="paragraph" w:customStyle="1" w:styleId="168">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9">
    <w:name w:val="MM Topic 4"/>
    <w:basedOn w:val="6"/>
    <w:autoRedefine/>
    <w:qFormat/>
    <w:uiPriority w:val="0"/>
    <w:pPr>
      <w:numPr>
        <w:ilvl w:val="3"/>
        <w:numId w:val="8"/>
      </w:numPr>
      <w:tabs>
        <w:tab w:val="left" w:pos="425"/>
        <w:tab w:val="clear" w:pos="1984"/>
      </w:tabs>
    </w:pPr>
    <w:rPr>
      <w:bCs w:val="0"/>
    </w:rPr>
  </w:style>
  <w:style w:type="paragraph" w:customStyle="1" w:styleId="170">
    <w:name w:val="p0"/>
    <w:basedOn w:val="1"/>
    <w:autoRedefine/>
    <w:qFormat/>
    <w:uiPriority w:val="0"/>
    <w:pPr>
      <w:widowControl/>
    </w:pPr>
    <w:rPr>
      <w:kern w:val="0"/>
      <w:szCs w:val="21"/>
    </w:rPr>
  </w:style>
  <w:style w:type="paragraph" w:customStyle="1" w:styleId="171">
    <w:name w:val="正文序号 1"/>
    <w:basedOn w:val="1"/>
    <w:qFormat/>
    <w:uiPriority w:val="0"/>
    <w:pPr>
      <w:numPr>
        <w:ilvl w:val="0"/>
        <w:numId w:val="9"/>
      </w:numPr>
      <w:spacing w:before="60"/>
    </w:pPr>
  </w:style>
  <w:style w:type="paragraph" w:customStyle="1" w:styleId="172">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3">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74">
    <w:name w:val="样式 书籍标题3 + Arial 段前: 1 行 段后: 1 行"/>
    <w:basedOn w:val="99"/>
    <w:qFormat/>
    <w:uiPriority w:val="0"/>
    <w:pPr>
      <w:numPr>
        <w:ilvl w:val="1"/>
        <w:numId w:val="10"/>
      </w:numPr>
    </w:pPr>
    <w:rPr>
      <w:rFonts w:ascii="Arial" w:hAnsi="Arial" w:cs="宋体"/>
      <w:b w:val="0"/>
      <w:bCs w:val="0"/>
    </w:rPr>
  </w:style>
  <w:style w:type="paragraph" w:customStyle="1" w:styleId="175">
    <w:name w:val="样式 标题 4Alt+41.1.1.1 Heading 4bulletblbbH44h4H41h41H42... Char"/>
    <w:basedOn w:val="6"/>
    <w:autoRedefine/>
    <w:qFormat/>
    <w:uiPriority w:val="0"/>
    <w:pPr>
      <w:tabs>
        <w:tab w:val="left" w:pos="1914"/>
      </w:tabs>
      <w:spacing w:before="120" w:after="120"/>
      <w:ind w:left="1914" w:hanging="864"/>
    </w:pPr>
    <w:rPr>
      <w:rFonts w:ascii="宋体" w:hAnsi="宋体"/>
      <w:bCs w:val="0"/>
      <w:color w:val="000000"/>
    </w:rPr>
  </w:style>
  <w:style w:type="paragraph" w:customStyle="1" w:styleId="176">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78">
    <w:name w:val="font6"/>
    <w:basedOn w:val="1"/>
    <w:autoRedefine/>
    <w:qFormat/>
    <w:uiPriority w:val="0"/>
    <w:pPr>
      <w:widowControl/>
      <w:spacing w:before="100" w:beforeAutospacing="1" w:after="100" w:afterAutospacing="1"/>
      <w:jc w:val="left"/>
    </w:pPr>
    <w:rPr>
      <w:kern w:val="0"/>
      <w:sz w:val="24"/>
    </w:rPr>
  </w:style>
  <w:style w:type="paragraph" w:customStyle="1" w:styleId="17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0">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81">
    <w:name w:val="正文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2">
    <w:name w:val="infoblue"/>
    <w:basedOn w:val="1"/>
    <w:autoRedefine/>
    <w:qFormat/>
    <w:uiPriority w:val="0"/>
    <w:pPr>
      <w:widowControl/>
      <w:spacing w:after="120" w:line="240" w:lineRule="atLeast"/>
      <w:ind w:left="450"/>
      <w:jc w:val="left"/>
    </w:pPr>
    <w:rPr>
      <w:i/>
      <w:iCs/>
      <w:color w:val="0000FF"/>
      <w:kern w:val="0"/>
      <w:sz w:val="20"/>
      <w:szCs w:val="20"/>
    </w:rPr>
  </w:style>
  <w:style w:type="paragraph" w:customStyle="1" w:styleId="18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84">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5">
    <w:name w:val="正文序号 2"/>
    <w:basedOn w:val="1"/>
    <w:qFormat/>
    <w:uiPriority w:val="0"/>
    <w:pPr>
      <w:numPr>
        <w:ilvl w:val="1"/>
        <w:numId w:val="9"/>
      </w:numPr>
      <w:spacing w:before="60"/>
    </w:pPr>
  </w:style>
  <w:style w:type="paragraph" w:customStyle="1" w:styleId="186">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7">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88">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9">
    <w:name w:val="Char1 Char Char Char"/>
    <w:basedOn w:val="1"/>
    <w:autoRedefine/>
    <w:qFormat/>
    <w:uiPriority w:val="0"/>
    <w:pPr>
      <w:tabs>
        <w:tab w:val="left" w:pos="425"/>
      </w:tabs>
      <w:ind w:left="425" w:hanging="425"/>
    </w:pPr>
    <w:rPr>
      <w:sz w:val="24"/>
    </w:rPr>
  </w:style>
  <w:style w:type="paragraph" w:customStyle="1" w:styleId="19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91">
    <w:name w:val="加点标题"/>
    <w:basedOn w:val="1"/>
    <w:autoRedefine/>
    <w:qFormat/>
    <w:uiPriority w:val="0"/>
    <w:pPr>
      <w:numPr>
        <w:ilvl w:val="0"/>
        <w:numId w:val="11"/>
      </w:numPr>
      <w:spacing w:line="360" w:lineRule="auto"/>
    </w:pPr>
    <w:rPr>
      <w:sz w:val="24"/>
    </w:rPr>
  </w:style>
  <w:style w:type="paragraph" w:customStyle="1" w:styleId="192">
    <w:name w:val="Char Char Char"/>
    <w:basedOn w:val="1"/>
    <w:autoRedefine/>
    <w:qFormat/>
    <w:uiPriority w:val="0"/>
    <w:pPr>
      <w:widowControl/>
      <w:spacing w:after="160" w:line="240" w:lineRule="exact"/>
      <w:jc w:val="left"/>
    </w:pPr>
    <w:rPr>
      <w:rFonts w:ascii="Verdana" w:hAnsi="Verdana" w:cs="Verdana"/>
      <w:kern w:val="0"/>
      <w:szCs w:val="21"/>
      <w:lang w:eastAsia="en-US"/>
    </w:rPr>
  </w:style>
  <w:style w:type="paragraph" w:customStyle="1" w:styleId="193">
    <w:name w:val="默认段落字体 Para Char Char Char Char Char Char Char Char Char Char"/>
    <w:basedOn w:val="1"/>
    <w:autoRedefine/>
    <w:qFormat/>
    <w:uiPriority w:val="0"/>
    <w:rPr>
      <w:rFonts w:ascii="Tahoma" w:hAnsi="Tahoma"/>
      <w:sz w:val="24"/>
      <w:szCs w:val="20"/>
    </w:rPr>
  </w:style>
  <w:style w:type="paragraph" w:customStyle="1" w:styleId="194">
    <w:name w:val="段"/>
    <w:autoRedefine/>
    <w:qFormat/>
    <w:uiPriority w:val="0"/>
    <w:pPr>
      <w:numPr>
        <w:ilvl w:val="0"/>
        <w:numId w:val="12"/>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195">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9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19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99">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0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20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03">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204">
    <w:name w:val="pa-14"/>
    <w:basedOn w:val="1"/>
    <w:autoRedefine/>
    <w:qFormat/>
    <w:uiPriority w:val="0"/>
    <w:pPr>
      <w:widowControl/>
      <w:spacing w:before="150" w:after="150"/>
      <w:jc w:val="left"/>
    </w:pPr>
    <w:rPr>
      <w:rFonts w:ascii="宋体" w:hAnsi="宋体" w:cs="宋体"/>
      <w:kern w:val="0"/>
      <w:sz w:val="24"/>
    </w:rPr>
  </w:style>
  <w:style w:type="paragraph" w:customStyle="1" w:styleId="205">
    <w:name w:val="MM Topic 5"/>
    <w:basedOn w:val="7"/>
    <w:autoRedefine/>
    <w:qFormat/>
    <w:uiPriority w:val="0"/>
    <w:pPr>
      <w:numPr>
        <w:ilvl w:val="4"/>
        <w:numId w:val="8"/>
      </w:numPr>
      <w:tabs>
        <w:tab w:val="left" w:pos="425"/>
        <w:tab w:val="clear" w:pos="2551"/>
      </w:tabs>
    </w:pPr>
    <w:rPr>
      <w:bCs/>
      <w:szCs w:val="28"/>
    </w:rPr>
  </w:style>
  <w:style w:type="paragraph" w:customStyle="1" w:styleId="20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207">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08">
    <w:name w:val="font12"/>
    <w:basedOn w:val="1"/>
    <w:autoRedefine/>
    <w:qFormat/>
    <w:uiPriority w:val="0"/>
    <w:pPr>
      <w:widowControl/>
      <w:spacing w:before="100" w:beforeAutospacing="1" w:after="100" w:afterAutospacing="1"/>
      <w:jc w:val="left"/>
    </w:pPr>
    <w:rPr>
      <w:kern w:val="0"/>
      <w:sz w:val="22"/>
      <w:szCs w:val="22"/>
    </w:rPr>
  </w:style>
  <w:style w:type="paragraph" w:customStyle="1" w:styleId="20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0">
    <w:name w:val="题注5"/>
    <w:basedOn w:val="1"/>
    <w:next w:val="13"/>
    <w:autoRedefine/>
    <w:qFormat/>
    <w:uiPriority w:val="0"/>
    <w:pPr>
      <w:jc w:val="center"/>
    </w:pPr>
    <w:rPr>
      <w:b/>
      <w:color w:val="000000"/>
      <w:sz w:val="24"/>
      <w:szCs w:val="21"/>
    </w:rPr>
  </w:style>
  <w:style w:type="paragraph" w:customStyle="1" w:styleId="211">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12">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4">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215">
    <w:name w:val="Char"/>
    <w:basedOn w:val="1"/>
    <w:autoRedefine/>
    <w:qFormat/>
    <w:uiPriority w:val="0"/>
    <w:pPr>
      <w:tabs>
        <w:tab w:val="left" w:pos="1365"/>
      </w:tabs>
      <w:ind w:left="1365" w:hanging="360"/>
    </w:pPr>
    <w:rPr>
      <w:sz w:val="24"/>
    </w:rPr>
  </w:style>
  <w:style w:type="paragraph" w:customStyle="1" w:styleId="216">
    <w:name w:val="font15"/>
    <w:basedOn w:val="1"/>
    <w:autoRedefine/>
    <w:qFormat/>
    <w:uiPriority w:val="0"/>
    <w:pPr>
      <w:widowControl/>
      <w:spacing w:before="100" w:beforeAutospacing="1" w:after="100" w:afterAutospacing="1"/>
      <w:jc w:val="left"/>
    </w:pPr>
    <w:rPr>
      <w:kern w:val="0"/>
      <w:sz w:val="20"/>
      <w:szCs w:val="20"/>
    </w:rPr>
  </w:style>
  <w:style w:type="paragraph" w:customStyle="1" w:styleId="217">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19">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20">
    <w:name w:val="font8"/>
    <w:basedOn w:val="1"/>
    <w:autoRedefine/>
    <w:qFormat/>
    <w:uiPriority w:val="0"/>
    <w:pPr>
      <w:widowControl/>
      <w:spacing w:before="100" w:beforeAutospacing="1" w:after="100" w:afterAutospacing="1"/>
      <w:jc w:val="left"/>
    </w:pPr>
    <w:rPr>
      <w:kern w:val="0"/>
      <w:sz w:val="20"/>
      <w:szCs w:val="20"/>
    </w:rPr>
  </w:style>
  <w:style w:type="paragraph" w:customStyle="1" w:styleId="221">
    <w:name w:val="Char2"/>
    <w:basedOn w:val="1"/>
    <w:autoRedefine/>
    <w:qFormat/>
    <w:uiPriority w:val="0"/>
    <w:pPr>
      <w:tabs>
        <w:tab w:val="left" w:pos="425"/>
      </w:tabs>
      <w:ind w:left="425" w:hanging="425"/>
    </w:pPr>
    <w:rPr>
      <w:sz w:val="24"/>
    </w:rPr>
  </w:style>
  <w:style w:type="paragraph" w:customStyle="1" w:styleId="222">
    <w:name w:val="书籍标题4"/>
    <w:basedOn w:val="99"/>
    <w:next w:val="1"/>
    <w:autoRedefine/>
    <w:qFormat/>
    <w:uiPriority w:val="0"/>
    <w:pPr>
      <w:numPr>
        <w:ilvl w:val="3"/>
      </w:numPr>
      <w:tabs>
        <w:tab w:val="left" w:pos="2160"/>
      </w:tabs>
      <w:ind w:left="2160"/>
      <w:outlineLvl w:val="3"/>
    </w:pPr>
    <w:rPr>
      <w:sz w:val="24"/>
      <w:szCs w:val="24"/>
      <w:lang w:val="zh-CN"/>
    </w:rPr>
  </w:style>
  <w:style w:type="paragraph" w:customStyle="1" w:styleId="223">
    <w:name w:val="样式 样式 标题 4Alt+41.1.1.1 Heading 4bulletblbbH44h4H41h41H42... + 自动..."/>
    <w:basedOn w:val="175"/>
    <w:autoRedefine/>
    <w:qFormat/>
    <w:uiPriority w:val="0"/>
    <w:pPr>
      <w:numPr>
        <w:ilvl w:val="3"/>
        <w:numId w:val="13"/>
      </w:numPr>
      <w:tabs>
        <w:tab w:val="clear" w:pos="1914"/>
      </w:tabs>
    </w:pPr>
    <w:rPr>
      <w:color w:val="auto"/>
    </w:rPr>
  </w:style>
  <w:style w:type="paragraph" w:customStyle="1" w:styleId="224">
    <w:name w:val="表格"/>
    <w:basedOn w:val="1"/>
    <w:autoRedefine/>
    <w:qFormat/>
    <w:uiPriority w:val="0"/>
    <w:pPr>
      <w:jc w:val="center"/>
    </w:pPr>
    <w:rPr>
      <w:rFonts w:ascii="宋体"/>
      <w:b/>
      <w:szCs w:val="20"/>
    </w:rPr>
  </w:style>
  <w:style w:type="paragraph" w:customStyle="1" w:styleId="225">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6">
    <w:name w:val="xl8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样式 首行缩进:  0.85 厘米"/>
    <w:basedOn w:val="1"/>
    <w:autoRedefine/>
    <w:qFormat/>
    <w:uiPriority w:val="0"/>
    <w:pPr>
      <w:spacing w:line="360" w:lineRule="auto"/>
      <w:ind w:firstLine="200" w:firstLineChars="200"/>
    </w:pPr>
    <w:rPr>
      <w:rFonts w:cs="宋体"/>
      <w:sz w:val="24"/>
      <w:szCs w:val="20"/>
    </w:rPr>
  </w:style>
  <w:style w:type="paragraph" w:customStyle="1" w:styleId="228">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29">
    <w:name w:val="普通(网站)1"/>
    <w:basedOn w:val="1"/>
    <w:autoRedefine/>
    <w:qFormat/>
    <w:uiPriority w:val="0"/>
    <w:pPr>
      <w:widowControl/>
      <w:spacing w:before="100" w:beforeAutospacing="1" w:after="100" w:afterAutospacing="1"/>
      <w:jc w:val="left"/>
    </w:pPr>
    <w:rPr>
      <w:rFonts w:ascii="宋体" w:hAnsi="宋体" w:cs="宋体"/>
      <w:kern w:val="0"/>
    </w:rPr>
  </w:style>
  <w:style w:type="paragraph" w:customStyle="1" w:styleId="230">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1">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32">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34">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236">
    <w:name w:val="书籍标题1"/>
    <w:basedOn w:val="1"/>
    <w:next w:val="1"/>
    <w:autoRedefine/>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3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23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MM Topic 1"/>
    <w:basedOn w:val="3"/>
    <w:autoRedefine/>
    <w:qFormat/>
    <w:uiPriority w:val="0"/>
    <w:pPr>
      <w:numPr>
        <w:numId w:val="14"/>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40">
    <w:name w:val="列出段落11"/>
    <w:basedOn w:val="1"/>
    <w:autoRedefine/>
    <w:qFormat/>
    <w:uiPriority w:val="34"/>
    <w:pPr>
      <w:ind w:firstLine="200" w:firstLineChars="200"/>
    </w:pPr>
    <w:rPr>
      <w:rFonts w:ascii="Calibri" w:hAnsi="Calibri"/>
      <w:szCs w:val="22"/>
    </w:rPr>
  </w:style>
  <w:style w:type="paragraph" w:customStyle="1" w:styleId="241">
    <w:name w:val="样式 标题 3"/>
    <w:basedOn w:val="5"/>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42">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43">
    <w:name w:val="没有缩进（为图形使用）"/>
    <w:basedOn w:val="1"/>
    <w:autoRedefine/>
    <w:qFormat/>
    <w:uiPriority w:val="0"/>
    <w:pPr>
      <w:numPr>
        <w:ilvl w:val="0"/>
        <w:numId w:val="15"/>
      </w:numPr>
      <w:tabs>
        <w:tab w:val="clear" w:pos="2040"/>
      </w:tabs>
      <w:spacing w:before="120" w:after="120" w:line="360" w:lineRule="auto"/>
      <w:ind w:left="0" w:firstLine="0"/>
    </w:pPr>
    <w:rPr>
      <w:rFonts w:cs="宋体"/>
      <w:sz w:val="24"/>
      <w:szCs w:val="20"/>
    </w:rPr>
  </w:style>
  <w:style w:type="paragraph" w:customStyle="1" w:styleId="244">
    <w:name w:val="xl8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5">
    <w:name w:val="正文序号 3"/>
    <w:basedOn w:val="1"/>
    <w:autoRedefine/>
    <w:qFormat/>
    <w:uiPriority w:val="0"/>
    <w:pPr>
      <w:numPr>
        <w:ilvl w:val="2"/>
        <w:numId w:val="9"/>
      </w:numPr>
      <w:spacing w:before="60"/>
    </w:pPr>
  </w:style>
  <w:style w:type="paragraph" w:customStyle="1" w:styleId="246">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47">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48">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249">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250">
    <w:name w:val="xl1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252">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53">
    <w:name w:val="Char1 Char Char Char1"/>
    <w:basedOn w:val="1"/>
    <w:autoRedefine/>
    <w:qFormat/>
    <w:uiPriority w:val="0"/>
    <w:pPr>
      <w:ind w:left="1365" w:hanging="360"/>
    </w:pPr>
    <w:rPr>
      <w:sz w:val="24"/>
    </w:rPr>
  </w:style>
  <w:style w:type="paragraph" w:customStyle="1" w:styleId="254">
    <w:name w:val="MM Topic 2"/>
    <w:basedOn w:val="4"/>
    <w:autoRedefine/>
    <w:qFormat/>
    <w:uiPriority w:val="0"/>
    <w:pPr>
      <w:widowControl w:val="0"/>
      <w:numPr>
        <w:ilvl w:val="0"/>
        <w:numId w:val="16"/>
      </w:numPr>
      <w:tabs>
        <w:tab w:val="left" w:pos="425"/>
        <w:tab w:val="clear" w:pos="2040"/>
      </w:tabs>
      <w:autoSpaceDE/>
      <w:autoSpaceDN/>
      <w:adjustRightInd/>
      <w:snapToGrid/>
      <w:spacing w:line="415" w:lineRule="auto"/>
      <w:ind w:left="0" w:firstLine="0"/>
      <w:jc w:val="both"/>
      <w:textAlignment w:val="auto"/>
    </w:pPr>
    <w:rPr>
      <w:rFonts w:ascii="Arial" w:hAnsi="Arial"/>
      <w:b w:val="0"/>
    </w:rPr>
  </w:style>
  <w:style w:type="paragraph" w:customStyle="1" w:styleId="255">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6">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5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58">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59">
    <w:name w:val="MM Topic 6"/>
    <w:basedOn w:val="8"/>
    <w:autoRedefine/>
    <w:qFormat/>
    <w:uiPriority w:val="0"/>
    <w:pPr>
      <w:numPr>
        <w:ilvl w:val="5"/>
        <w:numId w:val="8"/>
      </w:numPr>
      <w:tabs>
        <w:tab w:val="left" w:pos="425"/>
        <w:tab w:val="clear" w:pos="3260"/>
      </w:tabs>
      <w:spacing w:line="319" w:lineRule="auto"/>
    </w:pPr>
    <w:rPr>
      <w:bCs w:val="0"/>
    </w:rPr>
  </w:style>
  <w:style w:type="paragraph" w:customStyle="1" w:styleId="260">
    <w:name w:val="样式1"/>
    <w:next w:val="15"/>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61">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62">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263">
    <w:name w:val="办公自动化专用标题"/>
    <w:basedOn w:val="47"/>
    <w:autoRedefine/>
    <w:qFormat/>
    <w:uiPriority w:val="0"/>
    <w:pPr>
      <w:spacing w:line="560" w:lineRule="atLeast"/>
    </w:pPr>
    <w:rPr>
      <w:rFonts w:ascii="宋体" w:hAnsi="Arial"/>
      <w:bCs w:val="0"/>
      <w:sz w:val="44"/>
      <w:szCs w:val="20"/>
    </w:rPr>
  </w:style>
  <w:style w:type="paragraph" w:customStyle="1" w:styleId="264">
    <w:name w:val="List Paragraph1"/>
    <w:basedOn w:val="1"/>
    <w:autoRedefine/>
    <w:qFormat/>
    <w:uiPriority w:val="0"/>
    <w:pPr>
      <w:ind w:firstLine="420" w:firstLineChars="200"/>
    </w:pPr>
    <w:rPr>
      <w:rFonts w:ascii="Calibri" w:hAnsi="Calibri" w:cs="黑体"/>
      <w:szCs w:val="22"/>
    </w:rPr>
  </w:style>
  <w:style w:type="paragraph" w:customStyle="1" w:styleId="265">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266">
    <w:name w:val="缺省文本"/>
    <w:basedOn w:val="1"/>
    <w:autoRedefine/>
    <w:qFormat/>
    <w:uiPriority w:val="0"/>
    <w:pPr>
      <w:autoSpaceDE w:val="0"/>
      <w:autoSpaceDN w:val="0"/>
      <w:adjustRightInd w:val="0"/>
      <w:jc w:val="left"/>
    </w:pPr>
    <w:rPr>
      <w:kern w:val="0"/>
      <w:sz w:val="24"/>
    </w:rPr>
  </w:style>
  <w:style w:type="paragraph" w:customStyle="1" w:styleId="267">
    <w:name w:val="正文 + 宋体"/>
    <w:basedOn w:val="1"/>
    <w:autoRedefine/>
    <w:qFormat/>
    <w:uiPriority w:val="0"/>
    <w:pPr>
      <w:tabs>
        <w:tab w:val="left" w:pos="420"/>
      </w:tabs>
      <w:autoSpaceDE w:val="0"/>
      <w:autoSpaceDN w:val="0"/>
      <w:spacing w:line="360" w:lineRule="auto"/>
      <w:ind w:left="780" w:hanging="360"/>
    </w:pPr>
    <w:rPr>
      <w:rFonts w:ascii="宋体" w:hAnsi="宋体"/>
      <w:szCs w:val="21"/>
    </w:rPr>
  </w:style>
  <w:style w:type="paragraph" w:customStyle="1" w:styleId="268">
    <w:name w:val="样式 正文缩进 + 首行缩进:  2 字符"/>
    <w:basedOn w:val="2"/>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269">
    <w:name w:val="默认段落字体 Para Char"/>
    <w:basedOn w:val="1"/>
    <w:autoRedefine/>
    <w:qFormat/>
    <w:uiPriority w:val="0"/>
    <w:rPr>
      <w:rFonts w:ascii="Tahoma" w:hAnsi="Tahoma"/>
      <w:sz w:val="24"/>
      <w:szCs w:val="20"/>
    </w:rPr>
  </w:style>
  <w:style w:type="paragraph" w:customStyle="1" w:styleId="270">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71">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72">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73">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274">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76">
    <w:name w:val="_Style 4"/>
    <w:basedOn w:val="1"/>
    <w:autoRedefine/>
    <w:qFormat/>
    <w:uiPriority w:val="0"/>
    <w:pPr>
      <w:spacing w:beforeLines="50" w:afterLines="50"/>
    </w:pPr>
  </w:style>
  <w:style w:type="paragraph" w:customStyle="1" w:styleId="277">
    <w:name w:val="Char28"/>
    <w:basedOn w:val="1"/>
    <w:autoRedefine/>
    <w:qFormat/>
    <w:uiPriority w:val="0"/>
    <w:pPr>
      <w:adjustRightInd w:val="0"/>
      <w:spacing w:line="360" w:lineRule="auto"/>
    </w:pPr>
  </w:style>
  <w:style w:type="paragraph" w:customStyle="1" w:styleId="27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79">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80">
    <w:name w:val="默认段落字体 Para Char Char Char1 Char"/>
    <w:basedOn w:val="50"/>
    <w:autoRedefine/>
    <w:qFormat/>
    <w:uiPriority w:val="0"/>
  </w:style>
  <w:style w:type="paragraph" w:customStyle="1" w:styleId="281">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82">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83">
    <w:name w:val="图框内的文字"/>
    <w:basedOn w:val="1"/>
    <w:autoRedefine/>
    <w:qFormat/>
    <w:uiPriority w:val="0"/>
    <w:pPr>
      <w:jc w:val="center"/>
    </w:pPr>
    <w:rPr>
      <w:position w:val="6"/>
      <w:szCs w:val="20"/>
    </w:rPr>
  </w:style>
  <w:style w:type="paragraph" w:customStyle="1" w:styleId="284">
    <w:name w:val="样式 (西文) 宋体 首行缩进:  0.85 厘米"/>
    <w:basedOn w:val="1"/>
    <w:autoRedefine/>
    <w:qFormat/>
    <w:uiPriority w:val="0"/>
    <w:pPr>
      <w:spacing w:line="360" w:lineRule="auto"/>
      <w:ind w:firstLine="200" w:firstLineChars="200"/>
    </w:pPr>
    <w:rPr>
      <w:rFonts w:ascii="宋体" w:hAnsi="Calibri" w:cs="宋体"/>
      <w:sz w:val="24"/>
      <w:szCs w:val="20"/>
    </w:rPr>
  </w:style>
  <w:style w:type="paragraph" w:customStyle="1" w:styleId="285">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6">
    <w:name w:val="xl8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87">
    <w:name w:val="Char Char1 Char Char Char Char Char Char"/>
    <w:basedOn w:val="1"/>
    <w:autoRedefine/>
    <w:qFormat/>
    <w:uiPriority w:val="0"/>
    <w:pPr>
      <w:widowControl/>
      <w:numPr>
        <w:ilvl w:val="0"/>
        <w:numId w:val="17"/>
      </w:numPr>
      <w:tabs>
        <w:tab w:val="clear" w:pos="360"/>
      </w:tabs>
      <w:spacing w:after="160" w:line="240" w:lineRule="exact"/>
      <w:ind w:left="0" w:firstLine="0"/>
      <w:jc w:val="center"/>
    </w:pPr>
    <w:rPr>
      <w:rFonts w:ascii="黑体" w:hAnsi="Calibri" w:eastAsia="黑体"/>
      <w:kern w:val="0"/>
      <w:sz w:val="36"/>
      <w:szCs w:val="36"/>
    </w:rPr>
  </w:style>
  <w:style w:type="paragraph" w:customStyle="1" w:styleId="288">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9">
    <w:name w:val="Char Char Char1 Char Char Char Char Char Char Char"/>
    <w:basedOn w:val="1"/>
    <w:autoRedefine/>
    <w:qFormat/>
    <w:uiPriority w:val="0"/>
    <w:rPr>
      <w:rFonts w:ascii="Arial" w:hAnsi="Arial" w:cs="Arial"/>
      <w:sz w:val="20"/>
      <w:szCs w:val="20"/>
    </w:rPr>
  </w:style>
  <w:style w:type="paragraph" w:customStyle="1" w:styleId="290">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1">
    <w:name w:val="xl8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92">
    <w:name w:val="MM Topic 3"/>
    <w:basedOn w:val="5"/>
    <w:autoRedefine/>
    <w:qFormat/>
    <w:uiPriority w:val="0"/>
    <w:pPr>
      <w:widowControl w:val="0"/>
      <w:numPr>
        <w:numId w:val="8"/>
      </w:numPr>
      <w:tabs>
        <w:tab w:val="left" w:pos="425"/>
        <w:tab w:val="left" w:pos="1418"/>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93">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294">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295">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96">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97">
    <w:name w:val="字元 字元1"/>
    <w:basedOn w:val="1"/>
    <w:autoRedefine/>
    <w:qFormat/>
    <w:uiPriority w:val="0"/>
    <w:pPr>
      <w:spacing w:line="360" w:lineRule="auto"/>
      <w:ind w:firstLine="200" w:firstLineChars="200"/>
    </w:pPr>
    <w:rPr>
      <w:rFonts w:ascii="宋体" w:hAnsi="宋体" w:cs="宋体"/>
      <w:sz w:val="24"/>
    </w:rPr>
  </w:style>
  <w:style w:type="paragraph" w:customStyle="1" w:styleId="29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99">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00">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01">
    <w:name w:val="Char Char Char Char Char Char Char Char Char"/>
    <w:basedOn w:val="1"/>
    <w:autoRedefine/>
    <w:qFormat/>
    <w:uiPriority w:val="0"/>
    <w:pPr>
      <w:widowControl/>
      <w:spacing w:after="160" w:line="240" w:lineRule="exact"/>
      <w:jc w:val="left"/>
    </w:pPr>
  </w:style>
  <w:style w:type="paragraph" w:customStyle="1" w:styleId="302">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303">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04">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05">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306">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07">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8">
    <w:name w:val="Char Char1 Char Char Char Char Char Char Char Char Char Char Char Char Char Char Char Char Char Char Char Char"/>
    <w:basedOn w:val="1"/>
    <w:autoRedefine/>
    <w:qFormat/>
    <w:uiPriority w:val="0"/>
    <w:pPr>
      <w:widowControl/>
      <w:tabs>
        <w:tab w:val="left" w:pos="360"/>
      </w:tabs>
      <w:ind w:left="360" w:hanging="360"/>
      <w:jc w:val="left"/>
    </w:pPr>
    <w:rPr>
      <w:rFonts w:ascii="Verdana" w:hAnsi="Verdana"/>
      <w:kern w:val="0"/>
      <w:sz w:val="24"/>
      <w:szCs w:val="21"/>
    </w:rPr>
  </w:style>
  <w:style w:type="paragraph" w:customStyle="1" w:styleId="309">
    <w:name w:val="Char Char Char Char Char Char"/>
    <w:basedOn w:val="1"/>
    <w:autoRedefine/>
    <w:qFormat/>
    <w:uiPriority w:val="0"/>
    <w:pPr>
      <w:widowControl/>
      <w:spacing w:after="160" w:line="240" w:lineRule="exact"/>
      <w:jc w:val="left"/>
    </w:pPr>
    <w:rPr>
      <w:sz w:val="32"/>
      <w:szCs w:val="20"/>
    </w:rPr>
  </w:style>
  <w:style w:type="paragraph" w:customStyle="1" w:styleId="310">
    <w:name w:val="pa-3"/>
    <w:basedOn w:val="1"/>
    <w:autoRedefine/>
    <w:qFormat/>
    <w:uiPriority w:val="0"/>
    <w:pPr>
      <w:widowControl/>
      <w:spacing w:before="150" w:after="150"/>
      <w:jc w:val="left"/>
    </w:pPr>
    <w:rPr>
      <w:rFonts w:ascii="宋体" w:hAnsi="宋体" w:cs="宋体"/>
      <w:kern w:val="0"/>
      <w:sz w:val="24"/>
    </w:rPr>
  </w:style>
  <w:style w:type="paragraph" w:customStyle="1" w:styleId="311">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2">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313">
    <w:name w:val="Char Char2 Char"/>
    <w:basedOn w:val="1"/>
    <w:autoRedefine/>
    <w:qFormat/>
    <w:uiPriority w:val="0"/>
    <w:rPr>
      <w:rFonts w:ascii="宋体" w:hAnsi="宋体"/>
      <w:b/>
      <w:sz w:val="28"/>
      <w:szCs w:val="28"/>
    </w:rPr>
  </w:style>
  <w:style w:type="paragraph" w:customStyle="1" w:styleId="314">
    <w:name w:val="_Style 2"/>
    <w:basedOn w:val="1"/>
    <w:autoRedefine/>
    <w:qFormat/>
    <w:uiPriority w:val="0"/>
    <w:pPr>
      <w:ind w:firstLine="420" w:firstLineChars="200"/>
    </w:pPr>
  </w:style>
  <w:style w:type="paragraph" w:customStyle="1" w:styleId="315">
    <w:name w:val="Normal_2"/>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316">
    <w:name w:val="Char3"/>
    <w:basedOn w:val="1"/>
    <w:autoRedefine/>
    <w:qFormat/>
    <w:uiPriority w:val="0"/>
  </w:style>
  <w:style w:type="paragraph" w:customStyle="1" w:styleId="317">
    <w:name w:val="Char Char Char Char Char Char Char Char Char1"/>
    <w:basedOn w:val="1"/>
    <w:autoRedefine/>
    <w:qFormat/>
    <w:uiPriority w:val="0"/>
    <w:rPr>
      <w:sz w:val="28"/>
    </w:rPr>
  </w:style>
  <w:style w:type="paragraph" w:customStyle="1" w:styleId="31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1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20">
    <w:name w:val="xl10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21">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22">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3">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324">
    <w:name w:val="正文序号 4"/>
    <w:basedOn w:val="1"/>
    <w:autoRedefine/>
    <w:qFormat/>
    <w:uiPriority w:val="0"/>
    <w:pPr>
      <w:numPr>
        <w:ilvl w:val="3"/>
        <w:numId w:val="9"/>
      </w:numPr>
      <w:spacing w:before="60"/>
    </w:pPr>
  </w:style>
  <w:style w:type="paragraph" w:customStyle="1" w:styleId="325">
    <w:name w:val="特点标题"/>
    <w:basedOn w:val="1"/>
    <w:next w:val="40"/>
    <w:autoRedefine/>
    <w:qFormat/>
    <w:uiPriority w:val="0"/>
    <w:pPr>
      <w:adjustRightInd w:val="0"/>
      <w:spacing w:line="360" w:lineRule="auto"/>
      <w:ind w:firstLine="482"/>
      <w:textAlignment w:val="baseline"/>
    </w:pPr>
    <w:rPr>
      <w:rFonts w:ascii="宋体" w:hAnsi="宋体"/>
      <w:kern w:val="0"/>
      <w:sz w:val="24"/>
    </w:rPr>
  </w:style>
  <w:style w:type="paragraph" w:customStyle="1" w:styleId="326">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327">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28">
    <w:name w:val="表格文字"/>
    <w:basedOn w:val="1"/>
    <w:next w:val="1"/>
    <w:autoRedefine/>
    <w:qFormat/>
    <w:uiPriority w:val="0"/>
    <w:pPr>
      <w:numPr>
        <w:ilvl w:val="0"/>
        <w:numId w:val="18"/>
      </w:numPr>
      <w:tabs>
        <w:tab w:val="clear" w:pos="360"/>
      </w:tabs>
      <w:ind w:left="0" w:firstLine="0"/>
      <w:jc w:val="left"/>
    </w:pPr>
    <w:rPr>
      <w:rFonts w:ascii="Arial" w:hAnsi="Arial" w:eastAsia="仿宋_GB2312" w:cs="Arial"/>
      <w:sz w:val="18"/>
      <w:szCs w:val="18"/>
    </w:rPr>
  </w:style>
  <w:style w:type="paragraph" w:customStyle="1" w:styleId="329">
    <w:name w:val="正文文本样式"/>
    <w:basedOn w:val="1"/>
    <w:autoRedefine/>
    <w:qFormat/>
    <w:uiPriority w:val="0"/>
    <w:pPr>
      <w:spacing w:line="360" w:lineRule="auto"/>
      <w:ind w:firstLine="482"/>
    </w:pPr>
    <w:rPr>
      <w:rFonts w:cs="宋体"/>
      <w:sz w:val="24"/>
      <w:szCs w:val="20"/>
    </w:rPr>
  </w:style>
  <w:style w:type="paragraph" w:customStyle="1" w:styleId="330">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331">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332">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3">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334">
    <w:name w:val="正文1"/>
    <w:basedOn w:val="1"/>
    <w:autoRedefine/>
    <w:qFormat/>
    <w:uiPriority w:val="0"/>
    <w:pPr>
      <w:spacing w:line="360" w:lineRule="auto"/>
    </w:pPr>
    <w:rPr>
      <w:rFonts w:ascii="宋体" w:hAnsi="宋体"/>
      <w:sz w:val="24"/>
    </w:rPr>
  </w:style>
  <w:style w:type="paragraph" w:styleId="335">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337">
    <w:name w:val="样式 宋体 小四 行距: 1.5 倍行距"/>
    <w:basedOn w:val="1"/>
    <w:autoRedefine/>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338">
    <w:name w:val="pa-15"/>
    <w:basedOn w:val="1"/>
    <w:autoRedefine/>
    <w:qFormat/>
    <w:uiPriority w:val="0"/>
    <w:pPr>
      <w:widowControl/>
      <w:spacing w:before="150" w:after="150"/>
      <w:jc w:val="left"/>
    </w:pPr>
    <w:rPr>
      <w:rFonts w:ascii="宋体" w:hAnsi="宋体" w:cs="宋体"/>
      <w:kern w:val="0"/>
      <w:sz w:val="24"/>
    </w:rPr>
  </w:style>
  <w:style w:type="paragraph" w:customStyle="1" w:styleId="339">
    <w:name w:val="font9"/>
    <w:basedOn w:val="1"/>
    <w:autoRedefine/>
    <w:qFormat/>
    <w:uiPriority w:val="0"/>
    <w:pPr>
      <w:widowControl/>
      <w:spacing w:before="100" w:beforeAutospacing="1" w:after="100" w:afterAutospacing="1"/>
      <w:jc w:val="left"/>
    </w:pPr>
    <w:rPr>
      <w:color w:val="000000"/>
      <w:kern w:val="0"/>
      <w:sz w:val="20"/>
      <w:szCs w:val="20"/>
    </w:rPr>
  </w:style>
  <w:style w:type="paragraph" w:customStyle="1" w:styleId="340">
    <w:name w:val="font10"/>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341">
    <w:name w:val="pa-13"/>
    <w:basedOn w:val="1"/>
    <w:autoRedefine/>
    <w:qFormat/>
    <w:uiPriority w:val="0"/>
    <w:pPr>
      <w:widowControl/>
      <w:spacing w:before="150" w:after="150"/>
      <w:jc w:val="left"/>
    </w:pPr>
    <w:rPr>
      <w:rFonts w:ascii="宋体" w:hAnsi="宋体" w:cs="宋体"/>
      <w:kern w:val="0"/>
      <w:sz w:val="24"/>
    </w:rPr>
  </w:style>
  <w:style w:type="paragraph" w:customStyle="1" w:styleId="342">
    <w:name w:val="列表数字1"/>
    <w:next w:val="49"/>
    <w:autoRedefine/>
    <w:qFormat/>
    <w:uiPriority w:val="0"/>
    <w:pPr>
      <w:numPr>
        <w:ilvl w:val="0"/>
        <w:numId w:val="19"/>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34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344">
    <w:name w:val="Item List in Table"/>
    <w:basedOn w:val="1"/>
    <w:autoRedefine/>
    <w:qFormat/>
    <w:uiPriority w:val="0"/>
    <w:pPr>
      <w:numPr>
        <w:ilvl w:val="0"/>
        <w:numId w:val="20"/>
      </w:numPr>
      <w:jc w:val="left"/>
    </w:pPr>
  </w:style>
  <w:style w:type="paragraph" w:customStyle="1" w:styleId="345">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46">
    <w:name w:val="正文缩进2字符"/>
    <w:basedOn w:val="49"/>
    <w:autoRedefine/>
    <w:qFormat/>
    <w:uiPriority w:val="0"/>
    <w:pPr>
      <w:spacing w:after="0" w:line="360" w:lineRule="auto"/>
      <w:ind w:firstLine="200" w:firstLineChars="200"/>
    </w:pPr>
    <w:rPr>
      <w:sz w:val="24"/>
      <w:szCs w:val="24"/>
    </w:rPr>
  </w:style>
  <w:style w:type="paragraph" w:customStyle="1" w:styleId="347">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348">
    <w:name w:val="xl10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styleId="349">
    <w:name w:val="Placeholder Text"/>
    <w:basedOn w:val="53"/>
    <w:autoRedefine/>
    <w:semiHidden/>
    <w:qFormat/>
    <w:uiPriority w:val="99"/>
    <w:rPr>
      <w:color w:val="808080"/>
    </w:rPr>
  </w:style>
  <w:style w:type="paragraph" w:customStyle="1" w:styleId="350">
    <w:name w:val="Table Paragraph"/>
    <w:basedOn w:val="1"/>
    <w:autoRedefine/>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222AE-D6DD-4626-944B-72BB0835FB73}">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46</Pages>
  <Words>23602</Words>
  <Characters>25239</Characters>
  <Lines>241</Lines>
  <Paragraphs>68</Paragraphs>
  <TotalTime>40</TotalTime>
  <ScaleCrop>false</ScaleCrop>
  <LinksUpToDate>false</LinksUpToDate>
  <CharactersWithSpaces>29510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2017-11-24T09:31:00Z</dcterms:created>
  <dc:creator>杨佳佳</dc:creator>
  <cp:lastModifiedBy>Administrator</cp:lastModifiedBy>
  <cp:lastPrinted>2023-12-22T04:15:00Z</cp:lastPrinted>
  <dcterms:modified xsi:type="dcterms:W3CDTF">2024-01-23T03:32:35Z</dcterms:modified>
  <dc:title>货物公开招标</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F590216C48344EB093F990E4C9F24AF8</vt:lpwstr>
  </property>
</Properties>
</file>