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widowControl/>
        <w:adjustRightInd w:val="0"/>
        <w:snapToGrid w:val="0"/>
        <w:spacing w:line="360" w:lineRule="auto"/>
        <w:rPr>
          <w:rFonts w:ascii="黑体" w:eastAsia="黑体"/>
          <w:bCs/>
          <w:color w:val="000000" w:themeColor="text1"/>
          <w:sz w:val="32"/>
          <w:highlight w:val="none"/>
        </w:rPr>
      </w:pPr>
      <w:bookmarkStart w:id="0" w:name="_Toc491658631"/>
    </w:p>
    <w:p>
      <w:pPr>
        <w:pStyle w:val="26"/>
        <w:widowControl/>
        <w:adjustRightInd w:val="0"/>
        <w:snapToGrid w:val="0"/>
        <w:spacing w:line="360" w:lineRule="auto"/>
        <w:jc w:val="left"/>
        <w:rPr>
          <w:rFonts w:ascii="黑体" w:eastAsia="黑体"/>
          <w:bCs/>
          <w:color w:val="000000" w:themeColor="text1"/>
          <w:sz w:val="32"/>
          <w:highlight w:val="none"/>
        </w:rPr>
      </w:pPr>
      <w:r>
        <w:rPr>
          <w:rFonts w:hint="eastAsia" w:ascii="黑体" w:eastAsia="黑体"/>
          <w:bCs/>
          <w:color w:val="000000" w:themeColor="text1"/>
          <w:sz w:val="32"/>
          <w:highlight w:val="none"/>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jc w:val="center"/>
        <w:rPr>
          <w:rFonts w:ascii="黑体" w:eastAsia="黑体"/>
          <w:bCs/>
          <w:color w:val="000000" w:themeColor="text1"/>
          <w:sz w:val="52"/>
          <w:szCs w:val="52"/>
          <w:highlight w:val="none"/>
        </w:rPr>
      </w:pPr>
      <w:r>
        <w:rPr>
          <w:rFonts w:hint="eastAsia" w:ascii="黑体" w:eastAsia="黑体"/>
          <w:bCs/>
          <w:color w:val="000000" w:themeColor="text1"/>
          <w:sz w:val="52"/>
          <w:szCs w:val="52"/>
          <w:highlight w:val="none"/>
        </w:rPr>
        <w:t>公开招标</w:t>
      </w:r>
    </w:p>
    <w:p>
      <w:pPr>
        <w:pStyle w:val="26"/>
        <w:widowControl/>
        <w:adjustRightInd w:val="0"/>
        <w:snapToGrid w:val="0"/>
        <w:spacing w:line="360" w:lineRule="auto"/>
        <w:jc w:val="center"/>
        <w:rPr>
          <w:rFonts w:ascii="黑体" w:eastAsia="黑体"/>
          <w:bCs/>
          <w:color w:val="000000" w:themeColor="text1"/>
          <w:sz w:val="72"/>
          <w:szCs w:val="72"/>
          <w:highlight w:val="none"/>
        </w:rPr>
      </w:pPr>
    </w:p>
    <w:p>
      <w:pPr>
        <w:pStyle w:val="26"/>
        <w:widowControl/>
        <w:adjustRightInd w:val="0"/>
        <w:snapToGrid w:val="0"/>
        <w:spacing w:line="360" w:lineRule="auto"/>
        <w:jc w:val="center"/>
        <w:rPr>
          <w:rFonts w:ascii="黑体" w:eastAsia="黑体"/>
          <w:bCs/>
          <w:color w:val="000000" w:themeColor="text1"/>
          <w:sz w:val="36"/>
          <w:highlight w:val="none"/>
        </w:rPr>
      </w:pPr>
      <w:r>
        <w:rPr>
          <w:rFonts w:hint="eastAsia" w:ascii="黑体" w:eastAsia="黑体"/>
          <w:bCs/>
          <w:color w:val="000000" w:themeColor="text1"/>
          <w:sz w:val="72"/>
          <w:highlight w:val="none"/>
        </w:rPr>
        <w:t>招  标  文  件</w:t>
      </w:r>
    </w:p>
    <w:p>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rPr>
      </w:pPr>
    </w:p>
    <w:p>
      <w:pPr>
        <w:pStyle w:val="26"/>
        <w:widowControl/>
        <w:adjustRightInd w:val="0"/>
        <w:snapToGrid w:val="0"/>
        <w:spacing w:line="360" w:lineRule="auto"/>
        <w:jc w:val="center"/>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p>
      <w:pPr>
        <w:pStyle w:val="26"/>
        <w:widowControl/>
        <w:adjustRightInd w:val="0"/>
        <w:snapToGrid w:val="0"/>
        <w:spacing w:line="360" w:lineRule="auto"/>
        <w:rPr>
          <w:rFonts w:ascii="黑体" w:eastAsia="黑体"/>
          <w:bCs/>
          <w:color w:val="000000" w:themeColor="text1"/>
          <w:sz w:val="52"/>
          <w:szCs w:val="52"/>
          <w:highlight w:val="none"/>
        </w:rPr>
      </w:pPr>
    </w:p>
    <w:tbl>
      <w:tblPr>
        <w:tblStyle w:val="47"/>
        <w:tblW w:w="9063" w:type="dxa"/>
        <w:jc w:val="center"/>
        <w:tblLayout w:type="fixed"/>
        <w:tblCellMar>
          <w:top w:w="0" w:type="dxa"/>
          <w:left w:w="108" w:type="dxa"/>
          <w:bottom w:w="0" w:type="dxa"/>
          <w:right w:w="108" w:type="dxa"/>
        </w:tblCellMar>
      </w:tblPr>
      <w:tblGrid>
        <w:gridCol w:w="1951"/>
        <w:gridCol w:w="284"/>
        <w:gridCol w:w="6828"/>
      </w:tblGrid>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28" w:type="dxa"/>
            <w:vAlign w:val="center"/>
          </w:tcPr>
          <w:p>
            <w:pPr>
              <w:pStyle w:val="26"/>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YXCG-20231227</w:t>
            </w:r>
          </w:p>
        </w:tc>
      </w:tr>
      <w:tr>
        <w:tblPrEx>
          <w:tblCellMar>
            <w:top w:w="0" w:type="dxa"/>
            <w:left w:w="108" w:type="dxa"/>
            <w:bottom w:w="0" w:type="dxa"/>
            <w:right w:w="108" w:type="dxa"/>
          </w:tblCellMar>
        </w:tblPrEx>
        <w:trPr>
          <w:trHeight w:val="77" w:hRule="atLeast"/>
          <w:jc w:val="center"/>
        </w:trPr>
        <w:tc>
          <w:tcPr>
            <w:tcW w:w="1951" w:type="dxa"/>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28"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阳江市田家炳学校食堂食品、糕点配送服务采购项目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6"/>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828" w:type="dxa"/>
            <w:vAlign w:val="center"/>
          </w:tcPr>
          <w:p>
            <w:pPr>
              <w:pStyle w:val="26"/>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阳江市田家炳学校</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6"/>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6"/>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828" w:type="dxa"/>
            <w:vAlign w:val="center"/>
          </w:tcPr>
          <w:p>
            <w:pPr>
              <w:pStyle w:val="26"/>
              <w:widowControl/>
              <w:adjustRightInd w:val="0"/>
              <w:snapToGrid w:val="0"/>
              <w:spacing w:line="360" w:lineRule="auto"/>
              <w:rPr>
                <w:rFonts w:hAnsi="宋体"/>
                <w:b/>
                <w:bCs/>
                <w:color w:val="000000" w:themeColor="text1"/>
                <w:sz w:val="28"/>
                <w:szCs w:val="28"/>
                <w:highlight w:val="none"/>
              </w:rPr>
            </w:pPr>
            <w:r>
              <w:rPr>
                <w:rFonts w:hint="eastAsia" w:hAnsi="宋体"/>
                <w:b/>
                <w:bCs/>
                <w:color w:val="000000" w:themeColor="text1"/>
                <w:sz w:val="28"/>
                <w:szCs w:val="28"/>
                <w:highlight w:val="none"/>
              </w:rPr>
              <w:t>广东业信采购招标有限公司</w:t>
            </w:r>
          </w:p>
        </w:tc>
      </w:tr>
    </w:tbl>
    <w:p>
      <w:pPr>
        <w:pStyle w:val="26"/>
        <w:widowControl/>
        <w:adjustRightInd w:val="0"/>
        <w:snapToGrid w:val="0"/>
        <w:spacing w:line="360" w:lineRule="auto"/>
        <w:jc w:val="both"/>
        <w:rPr>
          <w:rFonts w:hint="eastAsia" w:ascii="黑体" w:eastAsia="黑体"/>
          <w:bCs/>
          <w:color w:val="000000" w:themeColor="text1"/>
          <w:sz w:val="24"/>
          <w:highlight w:val="none"/>
        </w:rPr>
      </w:pPr>
    </w:p>
    <w:p>
      <w:pPr>
        <w:pStyle w:val="26"/>
        <w:widowControl/>
        <w:adjustRightInd w:val="0"/>
        <w:snapToGrid w:val="0"/>
        <w:spacing w:line="360" w:lineRule="auto"/>
        <w:jc w:val="center"/>
        <w:rPr>
          <w:rFonts w:hAnsi="宋体"/>
          <w:b/>
          <w:color w:val="000000" w:themeColor="text1"/>
          <w:sz w:val="36"/>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十二</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highlight w:val="none"/>
        </w:rPr>
      </w:pPr>
      <w:r>
        <w:rPr>
          <w:rFonts w:hint="eastAsia" w:ascii="宋体" w:hAnsi="宋体"/>
          <w:b/>
          <w:color w:val="000000" w:themeColor="text1"/>
          <w:sz w:val="36"/>
          <w:highlight w:val="none"/>
        </w:rPr>
        <w:t>温馨提示：特别注意事项</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请供应商特别留意招标文件上注明的投标截止和开标时间，逾期送达或邮寄送达的投标文件</w:t>
      </w:r>
      <w:r>
        <w:rPr>
          <w:rFonts w:hint="eastAsia" w:ascii="宋体" w:hAnsi="宋体"/>
          <w:color w:val="000000" w:themeColor="text1"/>
          <w:szCs w:val="21"/>
          <w:highlight w:val="none"/>
        </w:rPr>
        <w:t>，招标采购单位</w:t>
      </w:r>
      <w:r>
        <w:rPr>
          <w:rFonts w:ascii="宋体" w:hAnsi="宋体"/>
          <w:color w:val="000000" w:themeColor="text1"/>
          <w:szCs w:val="21"/>
          <w:highlight w:val="none"/>
        </w:rPr>
        <w:t>恕不接收。因此，请供应商适当提前到达</w:t>
      </w:r>
      <w:r>
        <w:rPr>
          <w:rFonts w:hint="eastAsia" w:ascii="宋体" w:hAnsi="宋体"/>
          <w:color w:val="000000" w:themeColor="text1"/>
          <w:szCs w:val="21"/>
          <w:highlight w:val="none"/>
        </w:rPr>
        <w:t>开标</w:t>
      </w:r>
      <w:r>
        <w:rPr>
          <w:rFonts w:hint="eastAsia" w:ascii="宋体" w:hAnsi="宋体"/>
          <w:color w:val="000000" w:themeColor="text1"/>
          <w:szCs w:val="21"/>
          <w:highlight w:val="none"/>
          <w:lang w:val="en-US" w:eastAsia="zh-CN"/>
        </w:rPr>
        <w:t>现场</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b/>
          <w:color w:val="000000" w:themeColor="text1"/>
          <w:szCs w:val="21"/>
          <w:highlight w:val="none"/>
          <w:u w:val="single"/>
        </w:rPr>
        <w:t>招标文件中标有“★”的</w:t>
      </w:r>
      <w:r>
        <w:rPr>
          <w:rFonts w:hint="eastAsia" w:ascii="宋体" w:hAnsi="宋体"/>
          <w:b/>
          <w:color w:val="000000" w:themeColor="text1"/>
          <w:szCs w:val="21"/>
          <w:highlight w:val="none"/>
          <w:u w:val="single"/>
        </w:rPr>
        <w:t>条款</w:t>
      </w:r>
      <w:r>
        <w:rPr>
          <w:rFonts w:ascii="宋体" w:hAnsi="宋体"/>
          <w:b/>
          <w:color w:val="000000" w:themeColor="text1"/>
          <w:szCs w:val="21"/>
          <w:highlight w:val="none"/>
          <w:u w:val="single"/>
        </w:rPr>
        <w:t>，</w:t>
      </w:r>
      <w:r>
        <w:rPr>
          <w:rFonts w:hint="eastAsia" w:ascii="宋体" w:hAnsi="宋体"/>
          <w:b/>
          <w:color w:val="000000" w:themeColor="text1"/>
          <w:szCs w:val="21"/>
          <w:highlight w:val="none"/>
          <w:u w:val="single"/>
        </w:rPr>
        <w:t>供应商</w:t>
      </w:r>
      <w:r>
        <w:rPr>
          <w:rFonts w:ascii="宋体" w:hAnsi="宋体"/>
          <w:b/>
          <w:color w:val="000000" w:themeColor="text1"/>
          <w:szCs w:val="21"/>
          <w:highlight w:val="none"/>
          <w:u w:val="single"/>
        </w:rPr>
        <w:t>必须一一响应</w:t>
      </w:r>
      <w:r>
        <w:rPr>
          <w:rFonts w:ascii="宋体" w:hAnsi="宋体"/>
          <w:color w:val="000000" w:themeColor="text1"/>
          <w:szCs w:val="21"/>
          <w:highlight w:val="none"/>
        </w:rPr>
        <w:t>。</w:t>
      </w:r>
      <w:r>
        <w:rPr>
          <w:rFonts w:ascii="宋体" w:hAnsi="宋体"/>
          <w:b/>
          <w:color w:val="000000" w:themeColor="text1"/>
          <w:szCs w:val="21"/>
          <w:highlight w:val="none"/>
          <w:u w:val="single"/>
        </w:rPr>
        <w:t>若有一项带“★”的指标要求未响应或不满足，</w:t>
      </w:r>
      <w:r>
        <w:rPr>
          <w:rFonts w:hint="eastAsia" w:ascii="宋体" w:hAnsi="宋体"/>
          <w:b/>
          <w:color w:val="000000" w:themeColor="text1"/>
          <w:szCs w:val="21"/>
          <w:highlight w:val="none"/>
          <w:u w:val="single"/>
        </w:rPr>
        <w:t>其投标</w:t>
      </w:r>
      <w:r>
        <w:rPr>
          <w:rFonts w:ascii="宋体" w:hAnsi="宋体"/>
          <w:b/>
          <w:color w:val="000000" w:themeColor="text1"/>
          <w:szCs w:val="21"/>
          <w:highlight w:val="none"/>
          <w:u w:val="single"/>
        </w:rPr>
        <w:t>将按无效投标处理。</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请正确填写《开标一览表》，</w:t>
      </w:r>
      <w:r>
        <w:rPr>
          <w:rFonts w:hint="eastAsia" w:ascii="宋体" w:hAnsi="宋体"/>
          <w:color w:val="000000" w:themeColor="text1"/>
          <w:szCs w:val="21"/>
          <w:highlight w:val="none"/>
        </w:rPr>
        <w:t>如</w:t>
      </w:r>
      <w:r>
        <w:rPr>
          <w:rFonts w:ascii="宋体" w:hAnsi="宋体"/>
          <w:color w:val="000000" w:themeColor="text1"/>
          <w:szCs w:val="21"/>
          <w:highlight w:val="none"/>
        </w:rPr>
        <w:t>含有</w:t>
      </w:r>
      <w:r>
        <w:rPr>
          <w:rFonts w:hint="eastAsia" w:ascii="宋体" w:hAnsi="宋体"/>
          <w:color w:val="000000" w:themeColor="text1"/>
          <w:szCs w:val="21"/>
          <w:highlight w:val="none"/>
        </w:rPr>
        <w:t>包组</w:t>
      </w:r>
      <w:r>
        <w:rPr>
          <w:rFonts w:ascii="宋体" w:hAnsi="宋体"/>
          <w:color w:val="000000" w:themeColor="text1"/>
          <w:szCs w:val="21"/>
          <w:highlight w:val="none"/>
        </w:rPr>
        <w:t>的投标项目</w:t>
      </w:r>
      <w:r>
        <w:rPr>
          <w:rFonts w:hint="eastAsia" w:ascii="宋体" w:hAnsi="宋体"/>
          <w:color w:val="000000" w:themeColor="text1"/>
          <w:szCs w:val="21"/>
          <w:highlight w:val="none"/>
        </w:rPr>
        <w:t>建议</w:t>
      </w:r>
      <w:r>
        <w:rPr>
          <w:rFonts w:ascii="宋体" w:hAnsi="宋体"/>
          <w:color w:val="000000" w:themeColor="text1"/>
          <w:szCs w:val="21"/>
          <w:highlight w:val="none"/>
        </w:rPr>
        <w:t>分开报价，</w:t>
      </w:r>
      <w:r>
        <w:rPr>
          <w:rFonts w:hint="eastAsia" w:ascii="宋体" w:hAnsi="宋体"/>
          <w:color w:val="000000" w:themeColor="text1"/>
          <w:szCs w:val="21"/>
          <w:highlight w:val="none"/>
        </w:rPr>
        <w:t>报价要求详见招标文件《开标一览表》</w:t>
      </w:r>
      <w:r>
        <w:rPr>
          <w:rFonts w:ascii="宋体" w:hAnsi="宋体"/>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请仔细检查《投标函》、《开标一览表》、</w:t>
      </w:r>
      <w:r>
        <w:rPr>
          <w:rFonts w:hint="eastAsia" w:ascii="宋体" w:hAnsi="宋体"/>
          <w:color w:val="000000" w:themeColor="text1"/>
          <w:szCs w:val="21"/>
          <w:highlight w:val="none"/>
        </w:rPr>
        <w:t>《法定代表人（负责人）证明书》、</w:t>
      </w:r>
      <w:r>
        <w:rPr>
          <w:rFonts w:ascii="宋体" w:hAnsi="宋体"/>
          <w:color w:val="000000" w:themeColor="text1"/>
          <w:szCs w:val="21"/>
          <w:highlight w:val="none"/>
        </w:rPr>
        <w:t>《</w:t>
      </w:r>
      <w:r>
        <w:rPr>
          <w:rFonts w:hint="eastAsia" w:ascii="宋体" w:hAnsi="宋体"/>
          <w:color w:val="000000" w:themeColor="text1"/>
          <w:szCs w:val="21"/>
          <w:highlight w:val="none"/>
        </w:rPr>
        <w:t>法定代表人（负责人）</w:t>
      </w:r>
      <w:r>
        <w:rPr>
          <w:rFonts w:ascii="宋体" w:hAnsi="宋体"/>
          <w:color w:val="000000" w:themeColor="text1"/>
          <w:szCs w:val="21"/>
          <w:highlight w:val="none"/>
        </w:rPr>
        <w:t>授权书》等重要格式文件是否有按要求盖公章或签名</w:t>
      </w:r>
      <w:r>
        <w:rPr>
          <w:rFonts w:hint="eastAsia" w:ascii="宋体" w:hAnsi="宋体" w:cs="Tahoma"/>
          <w:b/>
          <w:bCs/>
          <w:color w:val="000000" w:themeColor="text1"/>
          <w:szCs w:val="21"/>
          <w:highlight w:val="none"/>
        </w:rPr>
        <w:t>。</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rPr>
      </w:pPr>
      <w:r>
        <w:rPr>
          <w:rFonts w:ascii="宋体" w:hAnsi="宋体"/>
          <w:color w:val="000000" w:themeColor="text1"/>
          <w:szCs w:val="21"/>
          <w:highlight w:val="none"/>
        </w:rPr>
        <w:t>建议将投标文件按</w:t>
      </w:r>
      <w:r>
        <w:rPr>
          <w:rFonts w:hint="eastAsia" w:ascii="宋体" w:hAnsi="宋体"/>
          <w:color w:val="000000" w:themeColor="text1"/>
          <w:szCs w:val="21"/>
          <w:highlight w:val="none"/>
        </w:rPr>
        <w:t>目录格式</w:t>
      </w:r>
      <w:r>
        <w:rPr>
          <w:rFonts w:ascii="宋体" w:hAnsi="宋体"/>
          <w:color w:val="000000" w:themeColor="text1"/>
          <w:szCs w:val="21"/>
          <w:highlight w:val="none"/>
        </w:rPr>
        <w:t>顺序编制页码。</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color w:val="000000" w:themeColor="text1"/>
          <w:szCs w:val="21"/>
          <w:highlight w:val="none"/>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rPr>
      </w:pPr>
      <w:r>
        <w:rPr>
          <w:rFonts w:hint="eastAsia" w:ascii="宋体" w:hAnsi="宋体"/>
          <w:b/>
          <w:color w:val="000000" w:themeColor="text1"/>
          <w:szCs w:val="21"/>
          <w:highlight w:val="none"/>
        </w:rPr>
        <w:t>投标人请注意区分投标保证金及招标代理服务费收款</w:t>
      </w:r>
      <w:r>
        <w:rPr>
          <w:rFonts w:hint="eastAsia" w:ascii="宋体" w:hAnsi="宋体"/>
          <w:b/>
          <w:color w:val="000000" w:themeColor="text1"/>
          <w:highlight w:val="none"/>
        </w:rPr>
        <w:t>账号</w:t>
      </w:r>
      <w:r>
        <w:rPr>
          <w:rFonts w:hint="eastAsia" w:ascii="宋体" w:hAnsi="宋体"/>
          <w:b/>
          <w:color w:val="000000" w:themeColor="text1"/>
          <w:szCs w:val="21"/>
          <w:highlight w:val="none"/>
        </w:rPr>
        <w:t>的区别</w:t>
      </w:r>
      <w:r>
        <w:rPr>
          <w:rFonts w:hint="eastAsia" w:ascii="宋体" w:hAnsi="宋体"/>
          <w:color w:val="000000" w:themeColor="text1"/>
          <w:szCs w:val="21"/>
          <w:highlight w:val="none"/>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rPr>
      </w:pPr>
      <w:r>
        <w:rPr>
          <w:rFonts w:hint="eastAsia" w:ascii="宋体" w:hAnsi="宋体"/>
          <w:color w:val="000000" w:themeColor="text1"/>
          <w:szCs w:val="21"/>
          <w:highlight w:val="none"/>
        </w:rPr>
        <w:t>我司</w:t>
      </w:r>
      <w:r>
        <w:rPr>
          <w:rFonts w:ascii="宋体" w:hAnsi="宋体"/>
          <w:color w:val="000000" w:themeColor="text1"/>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rPr>
        <w:t>不同</w:t>
      </w:r>
      <w:r>
        <w:rPr>
          <w:rFonts w:ascii="宋体" w:hAnsi="宋体"/>
          <w:color w:val="000000" w:themeColor="text1"/>
          <w:szCs w:val="21"/>
          <w:highlight w:val="none"/>
        </w:rPr>
        <w:t>投标</w:t>
      </w:r>
      <w:r>
        <w:rPr>
          <w:rFonts w:hint="eastAsia" w:ascii="宋体" w:hAnsi="宋体"/>
          <w:color w:val="000000" w:themeColor="text1"/>
          <w:szCs w:val="21"/>
          <w:highlight w:val="none"/>
        </w:rPr>
        <w:t>方案</w:t>
      </w:r>
      <w:r>
        <w:rPr>
          <w:rFonts w:ascii="宋体" w:hAnsi="宋体"/>
          <w:color w:val="000000" w:themeColor="text1"/>
          <w:szCs w:val="21"/>
          <w:highlight w:val="none"/>
        </w:rPr>
        <w:t>的，</w:t>
      </w:r>
      <w:r>
        <w:rPr>
          <w:rFonts w:hint="eastAsia" w:ascii="宋体" w:hAnsi="宋体"/>
          <w:color w:val="000000" w:themeColor="text1"/>
          <w:szCs w:val="21"/>
          <w:highlight w:val="none"/>
        </w:rPr>
        <w:t>评标委员会</w:t>
      </w:r>
      <w:r>
        <w:rPr>
          <w:rFonts w:ascii="宋体" w:hAnsi="宋体"/>
          <w:color w:val="000000" w:themeColor="text1"/>
          <w:szCs w:val="21"/>
          <w:highlight w:val="none"/>
        </w:rPr>
        <w:t>将</w:t>
      </w:r>
      <w:r>
        <w:rPr>
          <w:rFonts w:hint="eastAsia" w:ascii="宋体" w:hAnsi="宋体"/>
          <w:color w:val="000000" w:themeColor="text1"/>
          <w:szCs w:val="21"/>
          <w:highlight w:val="none"/>
        </w:rPr>
        <w:t>对其投标</w:t>
      </w:r>
      <w:r>
        <w:rPr>
          <w:rFonts w:ascii="宋体" w:hAnsi="宋体"/>
          <w:color w:val="000000" w:themeColor="text1"/>
          <w:szCs w:val="21"/>
          <w:highlight w:val="none"/>
        </w:rPr>
        <w:t>按无效投标处理</w:t>
      </w:r>
      <w:r>
        <w:rPr>
          <w:rFonts w:hint="eastAsia" w:ascii="宋体" w:hAnsi="宋体"/>
          <w:color w:val="000000" w:themeColor="text1"/>
          <w:szCs w:val="21"/>
          <w:highlight w:val="none"/>
        </w:rPr>
        <w:t>（如有特殊要求的除外）。</w:t>
      </w:r>
    </w:p>
    <w:p>
      <w:pPr>
        <w:pStyle w:val="26"/>
        <w:widowControl/>
        <w:adjustRightInd w:val="0"/>
        <w:snapToGrid w:val="0"/>
        <w:spacing w:line="440" w:lineRule="exact"/>
        <w:ind w:firstLine="413" w:firstLineChars="196"/>
        <w:rPr>
          <w:rFonts w:ascii="黑体" w:eastAsia="黑体"/>
          <w:bCs/>
          <w:color w:val="000000" w:themeColor="text1"/>
          <w:sz w:val="30"/>
          <w:szCs w:val="30"/>
          <w:highlight w:val="none"/>
        </w:rPr>
      </w:pPr>
      <w:r>
        <w:rPr>
          <w:rFonts w:hint="eastAsia" w:hAnsi="宋体" w:cs="仿宋_GB2312"/>
          <w:b/>
          <w:bCs/>
          <w:color w:val="000000" w:themeColor="text1"/>
          <w:highlight w:val="none"/>
          <w:lang w:val="zh-CN"/>
        </w:rPr>
        <w:t>（本提示内容非招标文件的组成部分，仅为善意提醒。如有不一致，以招标文件为准）</w:t>
      </w:r>
    </w:p>
    <w:p>
      <w:pPr>
        <w:pStyle w:val="26"/>
        <w:widowControl/>
        <w:adjustRightInd w:val="0"/>
        <w:snapToGrid w:val="0"/>
        <w:spacing w:line="360" w:lineRule="auto"/>
        <w:jc w:val="center"/>
        <w:rPr>
          <w:rFonts w:ascii="黑体" w:eastAsia="黑体"/>
          <w:bCs/>
          <w:color w:val="000000" w:themeColor="text1"/>
          <w:sz w:val="30"/>
          <w:szCs w:val="30"/>
          <w:highlight w:val="none"/>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pPr>
        <w:tabs>
          <w:tab w:val="left" w:pos="2400"/>
          <w:tab w:val="center" w:pos="4479"/>
        </w:tabs>
        <w:jc w:val="left"/>
        <w:rPr>
          <w:rFonts w:ascii="宋体" w:hAnsi="宋体"/>
          <w:bCs/>
          <w:color w:val="000000" w:themeColor="text1"/>
          <w:szCs w:val="21"/>
          <w:highlight w:val="none"/>
        </w:rPr>
      </w:pPr>
      <w:r>
        <w:rPr>
          <w:rFonts w:ascii="宋体" w:hAnsi="宋体"/>
          <w:bCs/>
          <w:color w:val="000000" w:themeColor="text1"/>
          <w:szCs w:val="21"/>
          <w:highlight w:val="none"/>
        </w:rPr>
        <w:tab/>
      </w:r>
      <w:r>
        <w:rPr>
          <w:rFonts w:ascii="宋体" w:hAnsi="宋体"/>
          <w:bCs/>
          <w:color w:val="000000" w:themeColor="text1"/>
          <w:szCs w:val="21"/>
          <w:highlight w:val="none"/>
        </w:rPr>
        <w:tab/>
      </w: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left"/>
        <w:rPr>
          <w:rFonts w:ascii="宋体" w:hAnsi="宋体"/>
          <w:bCs/>
          <w:color w:val="000000" w:themeColor="text1"/>
          <w:szCs w:val="21"/>
          <w:highlight w:val="none"/>
        </w:rPr>
      </w:pPr>
    </w:p>
    <w:p>
      <w:pPr>
        <w:tabs>
          <w:tab w:val="left" w:pos="2400"/>
          <w:tab w:val="center" w:pos="4479"/>
        </w:tabs>
        <w:jc w:val="center"/>
        <w:rPr>
          <w:rFonts w:ascii="宋体" w:hAnsi="宋体"/>
          <w:b/>
          <w:bCs/>
          <w:color w:val="000000" w:themeColor="text1"/>
          <w:sz w:val="32"/>
          <w:szCs w:val="32"/>
          <w:highlight w:val="none"/>
        </w:rPr>
      </w:pPr>
      <w:r>
        <w:rPr>
          <w:rFonts w:hint="eastAsia" w:ascii="宋体" w:hAnsi="宋体"/>
          <w:b/>
          <w:bCs/>
          <w:color w:val="000000" w:themeColor="text1"/>
          <w:sz w:val="32"/>
          <w:szCs w:val="32"/>
          <w:highlight w:val="none"/>
        </w:rPr>
        <w:t>目   录</w:t>
      </w:r>
    </w:p>
    <w:p>
      <w:pPr>
        <w:pStyle w:val="3"/>
        <w:numPr>
          <w:ilvl w:val="0"/>
          <w:numId w:val="0"/>
        </w:numPr>
        <w:spacing w:beforeLines="0" w:line="240" w:lineRule="auto"/>
        <w:rPr>
          <w:color w:val="000000" w:themeColor="text1"/>
          <w:highlight w:val="none"/>
        </w:rPr>
      </w:pPr>
    </w:p>
    <w:p>
      <w:pPr>
        <w:pStyle w:val="33"/>
        <w:tabs>
          <w:tab w:val="right" w:leader="dot" w:pos="9070"/>
          <w:tab w:val="clear" w:pos="8949"/>
        </w:tabs>
      </w:pPr>
      <w:r>
        <w:rPr>
          <w:b w:val="0"/>
          <w:bCs w:val="0"/>
          <w:caps w:val="0"/>
          <w:color w:val="000000" w:themeColor="text1"/>
          <w:highlight w:val="none"/>
        </w:rPr>
        <w:fldChar w:fldCharType="begin"/>
      </w:r>
      <w:r>
        <w:rPr>
          <w:b w:val="0"/>
          <w:bCs w:val="0"/>
          <w:caps w:val="0"/>
          <w:color w:val="000000" w:themeColor="text1"/>
          <w:highlight w:val="none"/>
        </w:rPr>
        <w:instrText xml:space="preserve"> TOC \o "1-3" \h \z \u </w:instrText>
      </w:r>
      <w:r>
        <w:rPr>
          <w:b w:val="0"/>
          <w:bCs w:val="0"/>
          <w:caps w:val="0"/>
          <w:color w:val="000000" w:themeColor="text1"/>
          <w:highlight w:val="none"/>
        </w:rPr>
        <w:fldChar w:fldCharType="separate"/>
      </w:r>
      <w:r>
        <w:rPr>
          <w:bCs w:val="0"/>
          <w:caps w:val="0"/>
          <w:color w:val="000000" w:themeColor="text1"/>
          <w:highlight w:val="none"/>
        </w:rPr>
        <w:fldChar w:fldCharType="begin"/>
      </w:r>
      <w:r>
        <w:rPr>
          <w:bCs w:val="0"/>
          <w:caps w:val="0"/>
          <w:highlight w:val="none"/>
        </w:rPr>
        <w:instrText xml:space="preserve"> HYPERLINK \l _Toc14211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_Toc14211 \h </w:instrText>
      </w:r>
      <w:r>
        <w:fldChar w:fldCharType="separate"/>
      </w:r>
      <w:r>
        <w:t>5</w:t>
      </w:r>
      <w:r>
        <w:fldChar w:fldCharType="end"/>
      </w:r>
      <w:r>
        <w:rPr>
          <w:bCs w:val="0"/>
          <w:caps w:val="0"/>
          <w:color w:val="000000" w:themeColor="text1"/>
          <w:highlight w:val="none"/>
        </w:rPr>
        <w:fldChar w:fldCharType="end"/>
      </w:r>
    </w:p>
    <w:p>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_Toc771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_Toc771 \h </w:instrText>
      </w:r>
      <w:r>
        <w:fldChar w:fldCharType="separate"/>
      </w:r>
      <w:r>
        <w:t>8</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_Toc18023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_Toc18023 \h </w:instrText>
      </w:r>
      <w:r>
        <w:fldChar w:fldCharType="separate"/>
      </w:r>
      <w:r>
        <w:t>8</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_Toc126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_Toc126 \h </w:instrText>
      </w:r>
      <w:r>
        <w:fldChar w:fldCharType="separate"/>
      </w:r>
      <w:r>
        <w:t>10</w:t>
      </w:r>
      <w:r>
        <w:fldChar w:fldCharType="end"/>
      </w:r>
      <w:r>
        <w:rPr>
          <w:bCs/>
          <w:caps/>
          <w:color w:val="000000" w:themeColor="text1"/>
          <w:szCs w:val="21"/>
          <w:highlight w:val="none"/>
        </w:rPr>
        <w:fldChar w:fldCharType="end"/>
      </w:r>
    </w:p>
    <w:p>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_Toc9124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_Toc9124 \h </w:instrText>
      </w:r>
      <w:r>
        <w:fldChar w:fldCharType="separate"/>
      </w:r>
      <w:r>
        <w:t>21</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_Toc27489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_Toc27489 \h </w:instrText>
      </w:r>
      <w:r>
        <w:fldChar w:fldCharType="separate"/>
      </w:r>
      <w:r>
        <w:t>21</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_Toc20553 </w:instrText>
      </w:r>
      <w:r>
        <w:rPr>
          <w:bCs/>
          <w:caps/>
          <w:szCs w:val="21"/>
          <w:highlight w:val="none"/>
        </w:rPr>
        <w:fldChar w:fldCharType="separate"/>
      </w:r>
      <w:r>
        <w:rPr>
          <w:rFonts w:hint="eastAsia"/>
          <w:highlight w:val="none"/>
        </w:rPr>
        <w:t>Ａ</w:t>
      </w:r>
      <w:r>
        <w:rPr>
          <w:highlight w:val="none"/>
        </w:rPr>
        <w:t xml:space="preserve">  </w:t>
      </w:r>
      <w:r>
        <w:rPr>
          <w:rFonts w:hint="eastAsia"/>
          <w:highlight w:val="none"/>
        </w:rPr>
        <w:t>说</w:t>
      </w:r>
      <w:r>
        <w:rPr>
          <w:highlight w:val="none"/>
        </w:rPr>
        <w:t xml:space="preserve">  </w:t>
      </w:r>
      <w:r>
        <w:rPr>
          <w:rFonts w:hint="eastAsia"/>
          <w:highlight w:val="none"/>
        </w:rPr>
        <w:t>明</w:t>
      </w:r>
      <w:r>
        <w:tab/>
      </w:r>
      <w:r>
        <w:fldChar w:fldCharType="begin"/>
      </w:r>
      <w:r>
        <w:instrText xml:space="preserve"> PAGEREF _Toc20553 \h </w:instrText>
      </w:r>
      <w:r>
        <w:fldChar w:fldCharType="separate"/>
      </w:r>
      <w:r>
        <w:t>22</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_Toc15907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_Toc15907 \h </w:instrText>
      </w:r>
      <w:r>
        <w:fldChar w:fldCharType="separate"/>
      </w:r>
      <w:r>
        <w:t>22</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_Toc27666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_Toc27666 \h </w:instrText>
      </w:r>
      <w:r>
        <w:fldChar w:fldCharType="separate"/>
      </w:r>
      <w:r>
        <w:t>22</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_Toc21571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_Toc21571 \h </w:instrText>
      </w:r>
      <w:r>
        <w:fldChar w:fldCharType="separate"/>
      </w:r>
      <w:r>
        <w:t>22</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_Toc31844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_Toc31844 \h </w:instrText>
      </w:r>
      <w:r>
        <w:fldChar w:fldCharType="separate"/>
      </w:r>
      <w:r>
        <w:t>22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_Toc32208 </w:instrText>
      </w:r>
      <w:r>
        <w:rPr>
          <w:bCs/>
          <w:caps/>
          <w:szCs w:val="21"/>
          <w:highlight w:val="none"/>
        </w:rPr>
        <w:fldChar w:fldCharType="separate"/>
      </w:r>
      <w:r>
        <w:rPr>
          <w:rFonts w:hint="eastAsia"/>
          <w:highlight w:val="none"/>
        </w:rPr>
        <w:t>Ｂ</w:t>
      </w:r>
      <w:r>
        <w:rPr>
          <w:highlight w:val="none"/>
        </w:rPr>
        <w:t xml:space="preserve">  </w:t>
      </w:r>
      <w:r>
        <w:rPr>
          <w:rFonts w:hint="eastAsia"/>
          <w:highlight w:val="none"/>
        </w:rPr>
        <w:t>招标文件说明</w:t>
      </w:r>
      <w:r>
        <w:tab/>
      </w:r>
      <w:r>
        <w:fldChar w:fldCharType="begin"/>
      </w:r>
      <w:r>
        <w:instrText xml:space="preserve"> PAGEREF _Toc32208 \h </w:instrText>
      </w:r>
      <w:r>
        <w:fldChar w:fldCharType="separate"/>
      </w:r>
      <w:r>
        <w:t>23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_Toc30805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_Toc30805 \h </w:instrText>
      </w:r>
      <w:r>
        <w:fldChar w:fldCharType="separate"/>
      </w:r>
      <w:r>
        <w:t>23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_Toc2012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_Toc2012 \h </w:instrText>
      </w:r>
      <w:r>
        <w:fldChar w:fldCharType="separate"/>
      </w:r>
      <w:r>
        <w:t>23</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_Toc10673 </w:instrText>
      </w:r>
      <w:r>
        <w:rPr>
          <w:bCs/>
          <w:caps/>
          <w:szCs w:val="21"/>
          <w:highlight w:val="none"/>
        </w:rPr>
        <w:fldChar w:fldCharType="separate"/>
      </w:r>
      <w:r>
        <w:rPr>
          <w:rFonts w:hint="eastAsia"/>
          <w:highlight w:val="none"/>
        </w:rPr>
        <w:t>Ｃ</w:t>
      </w:r>
      <w:r>
        <w:rPr>
          <w:highlight w:val="none"/>
        </w:rPr>
        <w:t xml:space="preserve">  </w:t>
      </w:r>
      <w:r>
        <w:rPr>
          <w:rFonts w:hint="eastAsia"/>
          <w:highlight w:val="none"/>
        </w:rPr>
        <w:t>投标文件的编制</w:t>
      </w:r>
      <w:r>
        <w:tab/>
      </w:r>
      <w:r>
        <w:fldChar w:fldCharType="begin"/>
      </w:r>
      <w:r>
        <w:instrText xml:space="preserve"> PAGEREF _Toc10673 \h </w:instrText>
      </w:r>
      <w:r>
        <w:fldChar w:fldCharType="separate"/>
      </w:r>
      <w:r>
        <w:t>24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_Toc10727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_Toc10727 \h </w:instrText>
      </w:r>
      <w:r>
        <w:fldChar w:fldCharType="separate"/>
      </w:r>
      <w:r>
        <w:t>24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_Toc13141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_Toc13141 \h </w:instrText>
      </w:r>
      <w:r>
        <w:fldChar w:fldCharType="separate"/>
      </w:r>
      <w:r>
        <w:t>24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_Toc1864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_Toc1864 \h </w:instrText>
      </w:r>
      <w:r>
        <w:fldChar w:fldCharType="separate"/>
      </w:r>
      <w:r>
        <w:t>24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_Toc20327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_Toc20327 \h </w:instrText>
      </w:r>
      <w:r>
        <w:fldChar w:fldCharType="separate"/>
      </w:r>
      <w:r>
        <w:t>24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_Toc11538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_Toc11538 \h </w:instrText>
      </w:r>
      <w:r>
        <w:fldChar w:fldCharType="separate"/>
      </w:r>
      <w:r>
        <w:t>24</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_Toc11304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_Toc11304 \h </w:instrText>
      </w:r>
      <w:r>
        <w:fldChar w:fldCharType="separate"/>
      </w:r>
      <w:r>
        <w:t>25</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_Toc30741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_Toc30741 \h </w:instrText>
      </w:r>
      <w:r>
        <w:fldChar w:fldCharType="separate"/>
      </w:r>
      <w:r>
        <w:t>25</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_Toc17522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_Toc17522 \h </w:instrText>
      </w:r>
      <w:r>
        <w:fldChar w:fldCharType="separate"/>
      </w:r>
      <w:r>
        <w:t>25</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_Toc27618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_Toc27618 \h </w:instrText>
      </w:r>
      <w:r>
        <w:fldChar w:fldCharType="separate"/>
      </w:r>
      <w:r>
        <w:t>26</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_Toc14633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_Toc14633 \h </w:instrText>
      </w:r>
      <w:r>
        <w:fldChar w:fldCharType="separate"/>
      </w:r>
      <w:r>
        <w:t>26</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_Toc2817 </w:instrText>
      </w:r>
      <w:r>
        <w:rPr>
          <w:bCs/>
          <w:caps/>
          <w:szCs w:val="21"/>
          <w:highlight w:val="none"/>
        </w:rPr>
        <w:fldChar w:fldCharType="separate"/>
      </w:r>
      <w:r>
        <w:rPr>
          <w:rFonts w:hint="eastAsia"/>
          <w:highlight w:val="none"/>
        </w:rPr>
        <w:t>Ｄ</w:t>
      </w:r>
      <w:r>
        <w:rPr>
          <w:highlight w:val="none"/>
        </w:rPr>
        <w:t xml:space="preserve">  </w:t>
      </w:r>
      <w:r>
        <w:rPr>
          <w:rFonts w:hint="eastAsia"/>
          <w:highlight w:val="none"/>
        </w:rPr>
        <w:t>投标文件的递交</w:t>
      </w:r>
      <w:r>
        <w:tab/>
      </w:r>
      <w:r>
        <w:fldChar w:fldCharType="begin"/>
      </w:r>
      <w:r>
        <w:instrText xml:space="preserve"> PAGEREF _Toc2817 \h </w:instrText>
      </w:r>
      <w:r>
        <w:fldChar w:fldCharType="separate"/>
      </w:r>
      <w:r>
        <w:t>27</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_Toc6945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_Toc6945 \h </w:instrText>
      </w:r>
      <w:r>
        <w:fldChar w:fldCharType="separate"/>
      </w:r>
      <w:r>
        <w:t>27</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_Toc438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_Toc438 \h </w:instrText>
      </w:r>
      <w:r>
        <w:fldChar w:fldCharType="separate"/>
      </w:r>
      <w:r>
        <w:t>27</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_Toc20810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_Toc20810 \h </w:instrText>
      </w:r>
      <w:r>
        <w:fldChar w:fldCharType="separate"/>
      </w:r>
      <w:r>
        <w:t>27</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_Toc16389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_Toc16389 \h </w:instrText>
      </w:r>
      <w:r>
        <w:fldChar w:fldCharType="separate"/>
      </w:r>
      <w:r>
        <w:t>27</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_Toc25887 </w:instrText>
      </w:r>
      <w:r>
        <w:rPr>
          <w:bCs/>
          <w:caps/>
          <w:szCs w:val="21"/>
          <w:highlight w:val="none"/>
        </w:rPr>
        <w:fldChar w:fldCharType="separate"/>
      </w:r>
      <w:r>
        <w:rPr>
          <w:rFonts w:hint="eastAsia"/>
          <w:highlight w:val="none"/>
        </w:rPr>
        <w:t>Ｅ</w:t>
      </w:r>
      <w:r>
        <w:rPr>
          <w:highlight w:val="none"/>
        </w:rPr>
        <w:t xml:space="preserve">  </w:t>
      </w:r>
      <w:r>
        <w:rPr>
          <w:rFonts w:hint="eastAsia"/>
          <w:highlight w:val="none"/>
        </w:rPr>
        <w:t>开标和评标</w:t>
      </w:r>
      <w:r>
        <w:tab/>
      </w:r>
      <w:r>
        <w:fldChar w:fldCharType="begin"/>
      </w:r>
      <w:r>
        <w:instrText xml:space="preserve"> PAGEREF _Toc25887 \h </w:instrText>
      </w:r>
      <w:r>
        <w:fldChar w:fldCharType="separate"/>
      </w:r>
      <w:r>
        <w:t>28</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_Toc17631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_Toc17631 \h </w:instrText>
      </w:r>
      <w:r>
        <w:fldChar w:fldCharType="separate"/>
      </w:r>
      <w:r>
        <w:t>28</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_Toc4011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_Toc4011 \h </w:instrText>
      </w:r>
      <w:r>
        <w:fldChar w:fldCharType="separate"/>
      </w:r>
      <w:r>
        <w:t>28</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_Toc11155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_Toc11155 \h </w:instrText>
      </w:r>
      <w:r>
        <w:fldChar w:fldCharType="separate"/>
      </w:r>
      <w:r>
        <w:t>28</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_Toc29604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_Toc29604 \h </w:instrText>
      </w:r>
      <w:r>
        <w:fldChar w:fldCharType="separate"/>
      </w:r>
      <w:r>
        <w:t>29</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_Toc22017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_Toc22017 \h </w:instrText>
      </w:r>
      <w:r>
        <w:fldChar w:fldCharType="separate"/>
      </w:r>
      <w:r>
        <w:t>29</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_Toc5483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_Toc5483 \h </w:instrText>
      </w:r>
      <w:r>
        <w:fldChar w:fldCharType="separate"/>
      </w:r>
      <w:r>
        <w:t>29</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_Toc8477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_Toc8477 \h </w:instrText>
      </w:r>
      <w:r>
        <w:fldChar w:fldCharType="separate"/>
      </w:r>
      <w:r>
        <w:t>30</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_Toc26604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_Toc26604 \h </w:instrText>
      </w:r>
      <w:r>
        <w:fldChar w:fldCharType="separate"/>
      </w:r>
      <w:r>
        <w:t>30</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_Toc16060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_Toc16060 \h </w:instrText>
      </w:r>
      <w:r>
        <w:fldChar w:fldCharType="separate"/>
      </w:r>
      <w:r>
        <w:t>30</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_Toc15806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_Toc15806 \h </w:instrText>
      </w:r>
      <w:r>
        <w:fldChar w:fldCharType="separate"/>
      </w:r>
      <w:r>
        <w:t>30</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_Toc26326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_Toc26326 \h </w:instrText>
      </w:r>
      <w:r>
        <w:fldChar w:fldCharType="separate"/>
      </w:r>
      <w:r>
        <w:t>30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_Toc10217 </w:instrText>
      </w:r>
      <w:r>
        <w:rPr>
          <w:bCs/>
          <w:caps/>
          <w:szCs w:val="21"/>
          <w:highlight w:val="none"/>
        </w:rPr>
        <w:fldChar w:fldCharType="separate"/>
      </w:r>
      <w:r>
        <w:rPr>
          <w:rFonts w:hint="eastAsia"/>
          <w:highlight w:val="none"/>
        </w:rPr>
        <w:t>Ｆ  授予合同</w:t>
      </w:r>
      <w:r>
        <w:tab/>
      </w:r>
      <w:r>
        <w:fldChar w:fldCharType="begin"/>
      </w:r>
      <w:r>
        <w:instrText xml:space="preserve"> PAGEREF _Toc10217 \h </w:instrText>
      </w:r>
      <w:r>
        <w:fldChar w:fldCharType="separate"/>
      </w:r>
      <w:r>
        <w:t>32</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_Toc25484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_Toc25484 \h </w:instrText>
      </w:r>
      <w:r>
        <w:fldChar w:fldCharType="separate"/>
      </w:r>
      <w:r>
        <w:t>32</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_Toc22591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_Toc22591 \h </w:instrText>
      </w:r>
      <w:r>
        <w:fldChar w:fldCharType="separate"/>
      </w:r>
      <w:r>
        <w:t>32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_Toc22204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_Toc22204 \h </w:instrText>
      </w:r>
      <w:r>
        <w:fldChar w:fldCharType="separate"/>
      </w:r>
      <w:r>
        <w:t>33</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_Toc2869 </w:instrText>
      </w:r>
      <w:r>
        <w:rPr>
          <w:bCs/>
          <w:caps/>
          <w:szCs w:val="21"/>
          <w:highlight w:val="none"/>
        </w:rPr>
        <w:fldChar w:fldCharType="separate"/>
      </w:r>
      <w:r>
        <w:rPr>
          <w:rFonts w:hint="eastAsia"/>
          <w:highlight w:val="none"/>
        </w:rPr>
        <w:t>H、评标细则</w:t>
      </w:r>
      <w:r>
        <w:tab/>
      </w:r>
      <w:r>
        <w:fldChar w:fldCharType="begin"/>
      </w:r>
      <w:r>
        <w:instrText xml:space="preserve"> PAGEREF _Toc2869 \h </w:instrText>
      </w:r>
      <w:r>
        <w:fldChar w:fldCharType="separate"/>
      </w:r>
      <w:r>
        <w:t>35</w:t>
      </w:r>
      <w:r>
        <w:fldChar w:fldCharType="end"/>
      </w:r>
      <w:r>
        <w:rPr>
          <w:bCs/>
          <w:caps/>
          <w:color w:val="000000" w:themeColor="text1"/>
          <w:szCs w:val="21"/>
          <w:highlight w:val="none"/>
        </w:rPr>
        <w:fldChar w:fldCharType="end"/>
      </w:r>
    </w:p>
    <w:p>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_Toc19694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_Toc19694 \h </w:instrText>
      </w:r>
      <w:r>
        <w:fldChar w:fldCharType="separate"/>
      </w:r>
      <w:r>
        <w:t>38</w:t>
      </w:r>
      <w:r>
        <w:fldChar w:fldCharType="end"/>
      </w:r>
      <w:r>
        <w:rPr>
          <w:bCs/>
          <w:caps/>
          <w:color w:val="000000" w:themeColor="text1"/>
          <w:szCs w:val="21"/>
          <w:highlight w:val="none"/>
        </w:rPr>
        <w:fldChar w:fldCharType="end"/>
      </w:r>
    </w:p>
    <w:p>
      <w:pPr>
        <w:pStyle w:val="33"/>
        <w:tabs>
          <w:tab w:val="right" w:leader="dot" w:pos="9070"/>
          <w:tab w:val="clear" w:pos="8949"/>
        </w:tabs>
      </w:pPr>
      <w:r>
        <w:rPr>
          <w:bCs/>
          <w:caps/>
          <w:color w:val="000000" w:themeColor="text1"/>
          <w:szCs w:val="21"/>
          <w:highlight w:val="none"/>
        </w:rPr>
        <w:fldChar w:fldCharType="begin"/>
      </w:r>
      <w:r>
        <w:rPr>
          <w:bCs/>
          <w:caps/>
          <w:szCs w:val="21"/>
          <w:highlight w:val="none"/>
        </w:rPr>
        <w:instrText xml:space="preserve"> HYPERLINK \l _Toc23944 </w:instrText>
      </w:r>
      <w:r>
        <w:rPr>
          <w:bCs/>
          <w:caps/>
          <w:szCs w:val="21"/>
          <w:highlight w:val="none"/>
        </w:rPr>
        <w:fldChar w:fldCharType="separate"/>
      </w:r>
      <w:r>
        <w:rPr>
          <w:rFonts w:hint="eastAsia"/>
          <w:highlight w:val="none"/>
        </w:rPr>
        <w:t xml:space="preserve">第五部分 </w:t>
      </w:r>
      <w:r>
        <w:rPr>
          <w:highlight w:val="none"/>
        </w:rPr>
        <w:t xml:space="preserve"> </w:t>
      </w:r>
      <w:r>
        <w:rPr>
          <w:rFonts w:hint="eastAsia"/>
          <w:highlight w:val="none"/>
        </w:rPr>
        <w:t>投标文件格式</w:t>
      </w:r>
      <w:r>
        <w:tab/>
      </w:r>
      <w:r>
        <w:fldChar w:fldCharType="begin"/>
      </w:r>
      <w:r>
        <w:instrText xml:space="preserve"> PAGEREF _Toc23944 \h </w:instrText>
      </w:r>
      <w:r>
        <w:fldChar w:fldCharType="separate"/>
      </w:r>
      <w:r>
        <w:t>42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_Toc4310 </w:instrText>
      </w:r>
      <w:r>
        <w:rPr>
          <w:bCs/>
          <w:caps/>
          <w:szCs w:val="21"/>
          <w:highlight w:val="none"/>
        </w:rPr>
        <w:fldChar w:fldCharType="separate"/>
      </w:r>
      <w:r>
        <w:rPr>
          <w:rFonts w:hint="eastAsia"/>
          <w:highlight w:val="none"/>
        </w:rPr>
        <w:t>资格审查封面格式</w:t>
      </w:r>
      <w:r>
        <w:tab/>
      </w:r>
      <w:r>
        <w:fldChar w:fldCharType="begin"/>
      </w:r>
      <w:r>
        <w:instrText xml:space="preserve"> PAGEREF _Toc4310 \h </w:instrText>
      </w:r>
      <w:r>
        <w:fldChar w:fldCharType="separate"/>
      </w:r>
      <w:r>
        <w:t>42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_Toc21578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_Toc21578 \h </w:instrText>
      </w:r>
      <w:r>
        <w:fldChar w:fldCharType="separate"/>
      </w:r>
      <w:r>
        <w:t>44</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_Toc3013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_Toc3013 \h </w:instrText>
      </w:r>
      <w:r>
        <w:fldChar w:fldCharType="separate"/>
      </w:r>
      <w:r>
        <w:t>44</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_Toc20992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_Toc20992 \h </w:instrText>
      </w:r>
      <w:r>
        <w:fldChar w:fldCharType="separate"/>
      </w:r>
      <w:r>
        <w:t>46</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_Toc8890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_Toc8890 \h </w:instrText>
      </w:r>
      <w:r>
        <w:fldChar w:fldCharType="separate"/>
      </w:r>
      <w:r>
        <w:t>47</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_Toc18933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_Toc18933 \h </w:instrText>
      </w:r>
      <w:r>
        <w:fldChar w:fldCharType="separate"/>
      </w:r>
      <w:r>
        <w:t>48</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_Toc15611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_Toc15611 \h </w:instrText>
      </w:r>
      <w:r>
        <w:fldChar w:fldCharType="separate"/>
      </w:r>
      <w:r>
        <w:t>48</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_Toc19189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_Toc19189 \h </w:instrText>
      </w:r>
      <w:r>
        <w:fldChar w:fldCharType="separate"/>
      </w:r>
      <w:r>
        <w:t>50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_Toc18515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_Toc18515 \h </w:instrText>
      </w:r>
      <w:r>
        <w:fldChar w:fldCharType="separate"/>
      </w:r>
      <w:r>
        <w:t>51</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_Toc1288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_Toc1288 \h </w:instrText>
      </w:r>
      <w:r>
        <w:fldChar w:fldCharType="separate"/>
      </w:r>
      <w:r>
        <w:t>52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_Toc28779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_Toc28779 \h </w:instrText>
      </w:r>
      <w:r>
        <w:fldChar w:fldCharType="separate"/>
      </w:r>
      <w:r>
        <w:t>53</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_Toc18923 </w:instrText>
      </w:r>
      <w:r>
        <w:rPr>
          <w:bCs/>
          <w:caps/>
          <w:szCs w:val="21"/>
          <w:highlight w:val="none"/>
        </w:rPr>
        <w:fldChar w:fldCharType="separate"/>
      </w:r>
      <w:r>
        <w:rPr>
          <w:rFonts w:hint="eastAsia"/>
          <w:highlight w:val="none"/>
        </w:rPr>
        <w:t>附件一：投标函</w:t>
      </w:r>
      <w:r>
        <w:tab/>
      </w:r>
      <w:r>
        <w:fldChar w:fldCharType="begin"/>
      </w:r>
      <w:r>
        <w:instrText xml:space="preserve"> PAGEREF _Toc18923 \h </w:instrText>
      </w:r>
      <w:r>
        <w:fldChar w:fldCharType="separate"/>
      </w:r>
      <w:r>
        <w:t>54</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_Toc10721 </w:instrText>
      </w:r>
      <w:r>
        <w:rPr>
          <w:bCs/>
          <w:caps/>
          <w:szCs w:val="21"/>
          <w:highlight w:val="none"/>
        </w:rPr>
        <w:fldChar w:fldCharType="separate"/>
      </w:r>
      <w:r>
        <w:rPr>
          <w:rFonts w:hint="eastAsia"/>
          <w:highlight w:val="none"/>
        </w:rPr>
        <w:t>附件二：开标一览表</w:t>
      </w:r>
      <w:r>
        <w:tab/>
      </w:r>
      <w:r>
        <w:fldChar w:fldCharType="begin"/>
      </w:r>
      <w:r>
        <w:instrText xml:space="preserve"> PAGEREF _Toc10721 \h </w:instrText>
      </w:r>
      <w:r>
        <w:fldChar w:fldCharType="separate"/>
      </w:r>
      <w:r>
        <w:t>55</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_Toc18000 </w:instrText>
      </w:r>
      <w:r>
        <w:rPr>
          <w:bCs/>
          <w:caps/>
          <w:szCs w:val="21"/>
          <w:highlight w:val="none"/>
        </w:rPr>
        <w:fldChar w:fldCharType="separate"/>
      </w:r>
      <w:r>
        <w:rPr>
          <w:rFonts w:hint="eastAsia"/>
          <w:highlight w:val="none"/>
        </w:rPr>
        <w:t>附件</w:t>
      </w:r>
      <w:r>
        <w:rPr>
          <w:rFonts w:hint="eastAsia"/>
          <w:highlight w:val="none"/>
          <w:lang w:val="en-US" w:eastAsia="zh-CN"/>
        </w:rPr>
        <w:t>三</w:t>
      </w:r>
      <w:r>
        <w:rPr>
          <w:rFonts w:hint="eastAsia"/>
          <w:highlight w:val="none"/>
        </w:rPr>
        <w:t>：商务条款偏离一览表</w:t>
      </w:r>
      <w:r>
        <w:tab/>
      </w:r>
      <w:r>
        <w:fldChar w:fldCharType="begin"/>
      </w:r>
      <w:r>
        <w:instrText xml:space="preserve"> PAGEREF _Toc18000 \h </w:instrText>
      </w:r>
      <w:r>
        <w:fldChar w:fldCharType="separate"/>
      </w:r>
      <w:r>
        <w:t>56</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_Toc30463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_Toc30463 \h </w:instrText>
      </w:r>
      <w:r>
        <w:fldChar w:fldCharType="separate"/>
      </w:r>
      <w:r>
        <w:t>57</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_Toc25139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_Toc25139 \h </w:instrText>
      </w:r>
      <w:r>
        <w:fldChar w:fldCharType="separate"/>
      </w:r>
      <w:r>
        <w:t>58</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_Toc15169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_Toc15169 \h </w:instrText>
      </w:r>
      <w:r>
        <w:fldChar w:fldCharType="separate"/>
      </w:r>
      <w:r>
        <w:t>59</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_Toc26822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_Toc26822 \h </w:instrText>
      </w:r>
      <w:r>
        <w:fldChar w:fldCharType="separate"/>
      </w:r>
      <w:r>
        <w:t>60</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_Toc23573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_Toc23573 \h </w:instrText>
      </w:r>
      <w:r>
        <w:fldChar w:fldCharType="separate"/>
      </w:r>
      <w:r>
        <w:t>61</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_Toc23743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_Toc23743 \h </w:instrText>
      </w:r>
      <w:r>
        <w:fldChar w:fldCharType="separate"/>
      </w:r>
      <w:r>
        <w:t>62</w:t>
      </w:r>
      <w:r>
        <w:fldChar w:fldCharType="end"/>
      </w:r>
      <w:r>
        <w:rPr>
          <w:bCs/>
          <w:caps/>
          <w:color w:val="000000" w:themeColor="text1"/>
          <w:szCs w:val="21"/>
          <w:highlight w:val="none"/>
        </w:rPr>
        <w:fldChar w:fldCharType="end"/>
      </w:r>
    </w:p>
    <w:p>
      <w:pPr>
        <w:pStyle w:val="40"/>
        <w:tabs>
          <w:tab w:val="right" w:leader="dot" w:pos="9070"/>
          <w:tab w:val="clear" w:pos="8948"/>
        </w:tabs>
      </w:pPr>
      <w:r>
        <w:rPr>
          <w:bCs/>
          <w:caps/>
          <w:color w:val="000000" w:themeColor="text1"/>
          <w:szCs w:val="21"/>
          <w:highlight w:val="none"/>
        </w:rPr>
        <w:fldChar w:fldCharType="begin"/>
      </w:r>
      <w:r>
        <w:rPr>
          <w:bCs/>
          <w:caps/>
          <w:szCs w:val="21"/>
          <w:highlight w:val="none"/>
        </w:rPr>
        <w:instrText xml:space="preserve"> HYPERLINK \l _Toc8303 </w:instrText>
      </w:r>
      <w:r>
        <w:rPr>
          <w:bCs/>
          <w:caps/>
          <w:szCs w:val="21"/>
          <w:highlight w:val="none"/>
        </w:rPr>
        <w:fldChar w:fldCharType="separate"/>
      </w:r>
      <w:r>
        <w:rPr>
          <w:rFonts w:hint="eastAsia"/>
          <w:highlight w:val="none"/>
        </w:rPr>
        <w:t>其 他 格 式</w:t>
      </w:r>
      <w:r>
        <w:tab/>
      </w:r>
      <w:r>
        <w:fldChar w:fldCharType="begin"/>
      </w:r>
      <w:r>
        <w:instrText xml:space="preserve"> PAGEREF _Toc8303 \h </w:instrText>
      </w:r>
      <w:r>
        <w:fldChar w:fldCharType="separate"/>
      </w:r>
      <w:r>
        <w:t>63</w:t>
      </w:r>
      <w:r>
        <w:fldChar w:fldCharType="end"/>
      </w:r>
      <w:r>
        <w:rPr>
          <w:bCs/>
          <w:caps/>
          <w:color w:val="000000" w:themeColor="text1"/>
          <w:szCs w:val="21"/>
          <w:highlight w:val="none"/>
        </w:rPr>
        <w:fldChar w:fldCharType="end"/>
      </w:r>
    </w:p>
    <w:p>
      <w:pPr>
        <w:pStyle w:val="25"/>
        <w:tabs>
          <w:tab w:val="right" w:leader="dot" w:pos="9070"/>
          <w:tab w:val="clear" w:pos="840"/>
          <w:tab w:val="clear" w:pos="1004"/>
          <w:tab w:val="clear" w:pos="8948"/>
        </w:tabs>
      </w:pPr>
      <w:r>
        <w:rPr>
          <w:bCs/>
          <w:caps/>
          <w:color w:val="000000" w:themeColor="text1"/>
          <w:szCs w:val="21"/>
          <w:highlight w:val="none"/>
        </w:rPr>
        <w:fldChar w:fldCharType="begin"/>
      </w:r>
      <w:r>
        <w:rPr>
          <w:bCs/>
          <w:caps/>
          <w:szCs w:val="21"/>
          <w:highlight w:val="none"/>
        </w:rPr>
        <w:instrText xml:space="preserve"> HYPERLINK \l _Toc17417 </w:instrText>
      </w:r>
      <w:r>
        <w:rPr>
          <w:bCs/>
          <w:caps/>
          <w:szCs w:val="21"/>
          <w:highlight w:val="none"/>
        </w:rPr>
        <w:fldChar w:fldCharType="separate"/>
      </w:r>
      <w:r>
        <w:rPr>
          <w:rFonts w:hint="eastAsia" w:ascii="宋体" w:hAnsi="宋体" w:eastAsia="宋体"/>
          <w:highlight w:val="none"/>
        </w:rPr>
        <w:t>投标保证金退付书</w:t>
      </w:r>
      <w:r>
        <w:tab/>
      </w:r>
      <w:r>
        <w:fldChar w:fldCharType="begin"/>
      </w:r>
      <w:r>
        <w:instrText xml:space="preserve"> PAGEREF _Toc17417 \h </w:instrText>
      </w:r>
      <w:r>
        <w:fldChar w:fldCharType="separate"/>
      </w:r>
      <w:r>
        <w:t>64</w:t>
      </w:r>
      <w:r>
        <w:fldChar w:fldCharType="end"/>
      </w:r>
      <w:r>
        <w:rPr>
          <w:bCs/>
          <w:caps/>
          <w:color w:val="000000" w:themeColor="text1"/>
          <w:szCs w:val="21"/>
          <w:highlight w:val="none"/>
        </w:rPr>
        <w:fldChar w:fldCharType="end"/>
      </w:r>
    </w:p>
    <w:p>
      <w:pPr>
        <w:rPr>
          <w:color w:val="000000" w:themeColor="text1"/>
          <w:highlight w:val="none"/>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rPr>
        <w:fldChar w:fldCharType="end"/>
      </w:r>
    </w:p>
    <w:bookmarkEnd w:id="0"/>
    <w:p>
      <w:pPr>
        <w:pStyle w:val="3"/>
        <w:pageBreakBefore w:val="0"/>
        <w:numPr>
          <w:ilvl w:val="0"/>
          <w:numId w:val="0"/>
        </w:numPr>
        <w:kinsoku/>
        <w:wordWrap/>
        <w:overflowPunct/>
        <w:topLinePunct w:val="0"/>
        <w:bidi w:val="0"/>
        <w:spacing w:beforeLines="0" w:line="420" w:lineRule="atLeast"/>
        <w:rPr>
          <w:color w:val="000000" w:themeColor="text1"/>
          <w:highlight w:val="none"/>
        </w:rPr>
      </w:pPr>
      <w:bookmarkStart w:id="1" w:name="_Toc341348291"/>
      <w:bookmarkStart w:id="2" w:name="_Toc342060322"/>
      <w:bookmarkStart w:id="3" w:name="_Toc331683994"/>
      <w:bookmarkStart w:id="4" w:name="_Toc345513762"/>
      <w:bookmarkStart w:id="5" w:name="_Toc331512856"/>
      <w:bookmarkStart w:id="6" w:name="_Toc339441044"/>
      <w:bookmarkStart w:id="7" w:name="_Toc332206657"/>
      <w:bookmarkStart w:id="8" w:name="_Toc342296708"/>
      <w:bookmarkStart w:id="9" w:name="_Toc365967002"/>
      <w:bookmarkStart w:id="10" w:name="_Toc349127583"/>
      <w:bookmarkStart w:id="11" w:name="_Toc339020186"/>
      <w:bookmarkStart w:id="12" w:name="_Toc340507403"/>
      <w:bookmarkStart w:id="13" w:name="_Toc339362257"/>
      <w:bookmarkStart w:id="14" w:name="_Toc366072457"/>
      <w:bookmarkStart w:id="15" w:name="_Toc339019828"/>
      <w:bookmarkStart w:id="16" w:name="_Toc332270305"/>
      <w:bookmarkStart w:id="17" w:name="_Toc333935278"/>
      <w:bookmarkStart w:id="18" w:name="_Toc337632315"/>
      <w:bookmarkStart w:id="19" w:name="_Toc336681892"/>
      <w:bookmarkStart w:id="20" w:name="_Toc336681537"/>
      <w:bookmarkStart w:id="21" w:name="_Toc330459945"/>
      <w:bookmarkStart w:id="22" w:name="_Toc333237612"/>
      <w:bookmarkStart w:id="23" w:name="_Toc333238571"/>
      <w:bookmarkStart w:id="24" w:name="_Toc350756403"/>
      <w:bookmarkStart w:id="25" w:name="_Toc339019954"/>
      <w:bookmarkStart w:id="26" w:name="_Toc349143546"/>
      <w:bookmarkStart w:id="27" w:name="_Toc333237723"/>
      <w:bookmarkStart w:id="28" w:name="_Toc340677031"/>
      <w:bookmarkStart w:id="29" w:name="_Toc339020048"/>
      <w:bookmarkStart w:id="30" w:name="_Toc365985108"/>
      <w:bookmarkStart w:id="31" w:name="_Toc350438702"/>
      <w:bookmarkStart w:id="32" w:name="_Toc340672830"/>
      <w:bookmarkStart w:id="33" w:name="_Toc333935619"/>
      <w:bookmarkStart w:id="34" w:name="_Toc14211"/>
      <w:bookmarkStart w:id="35" w:name="_Toc500860978"/>
      <w:r>
        <w:rPr>
          <w:rFonts w:hint="eastAsia"/>
          <w:color w:val="000000" w:themeColor="text1"/>
          <w:highlight w:val="none"/>
        </w:rPr>
        <w:t>第一</w:t>
      </w:r>
      <w:bookmarkStart w:id="36" w:name="_Hlt23321731"/>
      <w:bookmarkEnd w:id="36"/>
      <w:r>
        <w:rPr>
          <w:rFonts w:hint="eastAsia"/>
          <w:color w:val="000000" w:themeColor="text1"/>
          <w:highlight w:val="none"/>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hint="eastAsia" w:ascii="宋体" w:hAnsi="宋体"/>
          <w:bCs/>
          <w:color w:val="000000" w:themeColor="text1"/>
          <w:highlight w:val="none"/>
        </w:rPr>
      </w:pPr>
    </w:p>
    <w:p>
      <w:pPr>
        <w:pageBreakBefore w:val="0"/>
        <w:widowControl/>
        <w:tabs>
          <w:tab w:val="left" w:pos="502"/>
          <w:tab w:val="left" w:pos="5145"/>
        </w:tabs>
        <w:kinsoku/>
        <w:wordWrap/>
        <w:overflowPunct/>
        <w:topLinePunct w:val="0"/>
        <w:bidi w:val="0"/>
        <w:adjustRightInd w:val="0"/>
        <w:snapToGrid w:val="0"/>
        <w:spacing w:line="420" w:lineRule="atLeast"/>
        <w:ind w:left="105" w:leftChars="50" w:firstLine="420" w:firstLineChars="200"/>
        <w:jc w:val="left"/>
        <w:rPr>
          <w:rFonts w:ascii="宋体" w:hAnsi="宋体"/>
          <w:bCs/>
          <w:color w:val="000000" w:themeColor="text1"/>
          <w:highlight w:val="none"/>
        </w:rPr>
      </w:pPr>
      <w:r>
        <w:rPr>
          <w:rFonts w:hint="eastAsia" w:ascii="宋体" w:hAnsi="宋体"/>
          <w:bCs/>
          <w:color w:val="000000" w:themeColor="text1"/>
          <w:highlight w:val="none"/>
        </w:rPr>
        <w:t>广东业信采购招标有限公司（以下简称“代理采购机构”）受</w:t>
      </w:r>
      <w:r>
        <w:rPr>
          <w:rFonts w:hint="eastAsia" w:ascii="宋体" w:hAnsi="宋体"/>
          <w:bCs/>
          <w:color w:val="000000" w:themeColor="text1"/>
          <w:highlight w:val="none"/>
          <w:lang w:eastAsia="zh-CN"/>
        </w:rPr>
        <w:t>阳江市田家炳学校</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阳江市田家炳学校食堂食品、糕点配送服务采购项目</w:t>
      </w:r>
      <w:r>
        <w:rPr>
          <w:rFonts w:hint="eastAsia" w:ascii="宋体" w:hAnsi="宋体"/>
          <w:bCs/>
          <w:color w:val="000000" w:themeColor="text1"/>
          <w:highlight w:val="none"/>
        </w:rPr>
        <w:t>进行公开招标 (项目编号:</w:t>
      </w:r>
      <w:r>
        <w:rPr>
          <w:rFonts w:ascii="宋体" w:hAnsi="宋体"/>
          <w:bCs/>
          <w:color w:val="000000" w:themeColor="text1"/>
          <w:highlight w:val="none"/>
        </w:rPr>
        <w:t xml:space="preserve"> </w:t>
      </w:r>
      <w:r>
        <w:rPr>
          <w:rFonts w:hint="eastAsia" w:ascii="宋体" w:hAnsi="宋体"/>
          <w:bCs/>
          <w:color w:val="000000" w:themeColor="text1"/>
          <w:highlight w:val="none"/>
          <w:lang w:eastAsia="zh-CN"/>
        </w:rPr>
        <w:t>YXCG-20231227</w:t>
      </w:r>
      <w:r>
        <w:rPr>
          <w:rFonts w:hint="eastAsia" w:ascii="宋体" w:hAnsi="宋体"/>
          <w:bCs/>
          <w:color w:val="000000" w:themeColor="text1"/>
          <w:highlight w:val="none"/>
        </w:rPr>
        <w:t>)，欢迎符合条件的投标人参加。有关事项如下：</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1785" w:leftChars="200" w:hanging="1365" w:hangingChars="650"/>
        <w:rPr>
          <w:rFonts w:ascii="宋体" w:hAnsi="宋体"/>
          <w:bCs/>
          <w:color w:val="000000" w:themeColor="text1"/>
          <w:highlight w:val="none"/>
        </w:rPr>
      </w:pP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阳江市田家炳学校食堂食品、糕点配送服务采购项目</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YXCG-20231227</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采购预算金额</w:t>
      </w:r>
      <w:r>
        <w:rPr>
          <w:rFonts w:hint="eastAsia" w:ascii="宋体" w:hAnsi="宋体"/>
          <w:bCs/>
          <w:color w:val="000000" w:themeColor="text1"/>
          <w:highlight w:val="none"/>
        </w:rPr>
        <w:t>：</w:t>
      </w:r>
      <w:r>
        <w:rPr>
          <w:rFonts w:hint="eastAsia" w:ascii="宋体" w:hAnsi="宋体"/>
          <w:b w:val="0"/>
          <w:bCs/>
          <w:color w:val="000000" w:themeColor="text1"/>
          <w:highlight w:val="none"/>
          <w:lang w:val="en-US" w:eastAsia="zh-CN"/>
        </w:rPr>
        <w:t>人</w:t>
      </w:r>
      <w:r>
        <w:rPr>
          <w:rFonts w:hint="eastAsia" w:ascii="宋体" w:hAnsi="宋体" w:eastAsia="宋体" w:cs="宋体"/>
          <w:b w:val="0"/>
          <w:bCs/>
          <w:color w:val="000000" w:themeColor="text1"/>
          <w:highlight w:val="none"/>
          <w:lang w:val="en-US" w:eastAsia="zh-CN"/>
        </w:rPr>
        <w:t>民币8000000.00元。</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lang w:val="en-US" w:eastAsia="zh-CN"/>
        </w:rPr>
        <w:t>报价方式：</w:t>
      </w:r>
      <w:r>
        <w:rPr>
          <w:rFonts w:hint="eastAsia" w:ascii="宋体" w:hAnsi="宋体"/>
          <w:bCs/>
          <w:color w:val="000000" w:themeColor="text1"/>
          <w:highlight w:val="none"/>
        </w:rPr>
        <w:t>折扣率报价</w:t>
      </w:r>
      <w:r>
        <w:rPr>
          <w:rFonts w:hint="eastAsia" w:ascii="宋体" w:hAnsi="宋体"/>
          <w:bCs/>
          <w:color w:val="000000" w:themeColor="text1"/>
          <w:highlight w:val="none"/>
          <w:lang w:eastAsia="zh-CN"/>
        </w:rPr>
        <w:t>，投标折扣率报价应≤95%。</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5" w:leftChars="200" w:hanging="315" w:hangingChars="150"/>
        <w:rPr>
          <w:rFonts w:ascii="宋体" w:hAnsi="宋体"/>
          <w:bCs/>
          <w:color w:val="000000" w:themeColor="text1"/>
          <w:highlight w:val="none"/>
        </w:rPr>
      </w:pPr>
      <w:r>
        <w:rPr>
          <w:rFonts w:hint="eastAsia" w:ascii="宋体" w:hAnsi="宋体"/>
          <w:bCs/>
          <w:color w:val="000000" w:themeColor="text1"/>
          <w:highlight w:val="none"/>
        </w:rPr>
        <w:t>数  量：一项</w:t>
      </w:r>
    </w:p>
    <w:p>
      <w:pPr>
        <w:pageBreakBefore w:val="0"/>
        <w:widowControl/>
        <w:numPr>
          <w:ilvl w:val="0"/>
          <w:numId w:val="20"/>
        </w:numPr>
        <w:tabs>
          <w:tab w:val="left" w:pos="735"/>
          <w:tab w:val="clear" w:pos="528"/>
        </w:tabs>
        <w:kinsoku/>
        <w:wordWrap/>
        <w:overflowPunct/>
        <w:topLinePunct w:val="0"/>
        <w:bidi w:val="0"/>
        <w:adjustRightInd w:val="0"/>
        <w:snapToGrid w:val="0"/>
        <w:spacing w:line="420" w:lineRule="atLeast"/>
        <w:ind w:left="736" w:leftChars="200" w:hanging="316" w:hangingChars="150"/>
        <w:rPr>
          <w:rFonts w:ascii="宋体" w:hAnsi="宋体"/>
          <w:bCs/>
          <w:color w:val="000000" w:themeColor="text1"/>
          <w:highlight w:val="none"/>
        </w:rPr>
      </w:pPr>
      <w:r>
        <w:rPr>
          <w:rFonts w:hint="eastAsia" w:ascii="宋体" w:hAnsi="宋体"/>
          <w:b/>
          <w:bCs/>
          <w:color w:val="000000" w:themeColor="text1"/>
          <w:szCs w:val="21"/>
          <w:highlight w:val="none"/>
          <w:lang w:eastAsia="zh-CN"/>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val="en-US" w:eastAsia="zh-CN"/>
        </w:rPr>
        <w:t>2年。</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w:t>
      </w:r>
      <w:r>
        <w:rPr>
          <w:rFonts w:hint="eastAsia" w:ascii="宋体" w:hAnsi="宋体"/>
          <w:bCs/>
          <w:color w:val="000000" w:themeColor="text1"/>
          <w:highlight w:val="none"/>
          <w:lang w:eastAsia="zh-CN"/>
        </w:rPr>
        <w:t>服务期</w:t>
      </w:r>
      <w:r>
        <w:rPr>
          <w:rFonts w:hint="eastAsia" w:ascii="宋体" w:hAnsi="宋体"/>
          <w:bCs/>
          <w:color w:val="000000" w:themeColor="text1"/>
          <w:highlight w:val="none"/>
        </w:rPr>
        <w:t>将作为无效投标处理）</w:t>
      </w:r>
    </w:p>
    <w:p>
      <w:pPr>
        <w:pageBreakBefore w:val="0"/>
        <w:widowControl/>
        <w:numPr>
          <w:ilvl w:val="0"/>
          <w:numId w:val="20"/>
        </w:numPr>
        <w:tabs>
          <w:tab w:val="left" w:pos="315"/>
          <w:tab w:val="left" w:pos="735"/>
          <w:tab w:val="clear" w:pos="528"/>
        </w:tabs>
        <w:kinsoku/>
        <w:wordWrap/>
        <w:overflowPunct/>
        <w:topLinePunct w:val="0"/>
        <w:bidi w:val="0"/>
        <w:adjustRightInd w:val="0"/>
        <w:snapToGrid w:val="0"/>
        <w:spacing w:line="420" w:lineRule="atLeast"/>
        <w:ind w:left="420" w:leftChars="200" w:firstLine="0"/>
        <w:rPr>
          <w:rFonts w:ascii="宋体" w:hAnsi="宋体"/>
          <w:bCs/>
          <w:color w:val="000000" w:themeColor="text1"/>
          <w:highlight w:val="none"/>
        </w:rPr>
      </w:pPr>
      <w:r>
        <w:rPr>
          <w:rFonts w:hint="eastAsia" w:ascii="宋体" w:hAnsi="宋体" w:cs="Tahoma"/>
          <w:color w:val="000000" w:themeColor="text1"/>
          <w:kern w:val="28"/>
          <w:szCs w:val="21"/>
          <w:highlight w:val="none"/>
        </w:rPr>
        <w:t>项目采购方式：公开招标</w:t>
      </w:r>
    </w:p>
    <w:p>
      <w:pPr>
        <w:pageBreakBefore w:val="0"/>
        <w:widowControl/>
        <w:tabs>
          <w:tab w:val="left" w:pos="502"/>
        </w:tabs>
        <w:kinsoku/>
        <w:wordWrap/>
        <w:overflowPunct/>
        <w:topLinePunct w:val="0"/>
        <w:bidi w:val="0"/>
        <w:adjustRightInd w:val="0"/>
        <w:snapToGrid w:val="0"/>
        <w:spacing w:line="420" w:lineRule="atLeast"/>
        <w:rPr>
          <w:rFonts w:ascii="宋体" w:hAnsi="宋体" w:cs="Tahoma"/>
          <w:b/>
          <w:bCs/>
          <w:color w:val="000000" w:themeColor="text1"/>
          <w:highlight w:val="none"/>
        </w:rPr>
      </w:pPr>
      <w:r>
        <w:rPr>
          <w:rFonts w:hint="eastAsia" w:ascii="宋体" w:hAnsi="宋体" w:cs="Tahoma"/>
          <w:b/>
          <w:bCs/>
          <w:color w:val="000000" w:themeColor="text1"/>
          <w:highlight w:val="none"/>
        </w:rPr>
        <w:t>二、投标人资格要求为：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投标人应具备《中华人民共和国政府采购法》第二十二条规定的条件：</w:t>
      </w:r>
    </w:p>
    <w:p>
      <w:pPr>
        <w:pageBreakBefore w:val="0"/>
        <w:widowControl/>
        <w:tabs>
          <w:tab w:val="left" w:pos="525"/>
        </w:tabs>
        <w:kinsoku/>
        <w:wordWrap/>
        <w:overflowPunct/>
        <w:topLinePunct w:val="0"/>
        <w:bidi w:val="0"/>
        <w:adjustRightInd w:val="0"/>
        <w:snapToGrid w:val="0"/>
        <w:spacing w:line="420" w:lineRule="atLeast"/>
        <w:ind w:left="630" w:leftChars="300"/>
        <w:rPr>
          <w:rFonts w:ascii="宋体" w:hAnsi="宋体"/>
          <w:color w:val="000000" w:themeColor="text1"/>
          <w:highlight w:val="none"/>
        </w:rPr>
      </w:pPr>
      <w:r>
        <w:rPr>
          <w:rFonts w:hint="eastAsia" w:ascii="宋体" w:hAnsi="宋体"/>
          <w:color w:val="000000" w:themeColor="text1"/>
          <w:szCs w:val="21"/>
          <w:highlight w:val="none"/>
        </w:rPr>
        <w:t>1）具有独立承担民事责任的能力；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2）具有良好的商业信誉和健全的财务会计制度；</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3）具有履行合同所必需的设备和专业技术能力；</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4）有依法缴纳税收和社会保障资金的良好记录；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5）参加政府采购活动前三年内，在经营活动中没有重大违法记录；</w:t>
      </w:r>
      <w:r>
        <w:rPr>
          <w:rFonts w:hint="eastAsia" w:ascii="宋体" w:hAnsi="宋体"/>
          <w:color w:val="000000" w:themeColor="text1"/>
          <w:szCs w:val="21"/>
          <w:highlight w:val="none"/>
        </w:rPr>
        <w:br w:type="textWrapping"/>
      </w:r>
      <w:r>
        <w:rPr>
          <w:rFonts w:hint="eastAsia" w:ascii="宋体" w:hAnsi="宋体"/>
          <w:color w:val="000000" w:themeColor="text1"/>
          <w:szCs w:val="21"/>
          <w:highlight w:val="none"/>
        </w:rPr>
        <w:t>6）法律、行政法规规定的其他条件。</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单位负责人为同一人或者存在直接控股、管理关系的不同供应商，不得参加同一合同项下的政府采购活动。（提供《投标函》承诺）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为采购项目提供整体设计、规范编制或者项目管理、监理、检测等服务的供应商，不得再参加采购项目的其他采购活动。（提供《投标函》承诺）</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eastAsia="宋体" w:cs="宋体"/>
          <w:color w:val="000000" w:themeColor="text1"/>
          <w:highlight w:val="none"/>
          <w:lang w:val="en-US" w:eastAsia="zh-CN"/>
        </w:rPr>
        <w:t>投标人</w:t>
      </w:r>
      <w:r>
        <w:rPr>
          <w:rFonts w:hint="eastAsia" w:ascii="宋体" w:hAnsi="宋体" w:eastAsia="宋体" w:cs="宋体"/>
          <w:color w:val="000000" w:themeColor="text1"/>
          <w:highlight w:val="none"/>
        </w:rPr>
        <w:t>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lang w:val="en-US" w:eastAsia="zh-CN"/>
        </w:rPr>
        <w:t>投标人必须具备有效的《食品经营许可证》。</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本项目不接受联合体投标</w:t>
      </w:r>
      <w:r>
        <w:rPr>
          <w:rFonts w:hint="eastAsia" w:ascii="宋体" w:hAnsi="宋体"/>
          <w:color w:val="000000" w:themeColor="text1"/>
          <w:szCs w:val="21"/>
          <w:highlight w:val="none"/>
          <w:lang w:eastAsia="zh-CN"/>
        </w:rPr>
        <w:t>。</w:t>
      </w:r>
    </w:p>
    <w:p>
      <w:pPr>
        <w:pageBreakBefore w:val="0"/>
        <w:widowControl/>
        <w:numPr>
          <w:ilvl w:val="0"/>
          <w:numId w:val="22"/>
        </w:numPr>
        <w:tabs>
          <w:tab w:val="left" w:pos="735"/>
        </w:tabs>
        <w:kinsoku/>
        <w:wordWrap/>
        <w:overflowPunct/>
        <w:topLinePunct w:val="0"/>
        <w:bidi w:val="0"/>
        <w:adjustRightInd w:val="0"/>
        <w:snapToGrid w:val="0"/>
        <w:spacing w:line="420" w:lineRule="atLeast"/>
        <w:ind w:left="735" w:hanging="315"/>
        <w:rPr>
          <w:rFonts w:ascii="宋体" w:hAnsi="宋体"/>
          <w:color w:val="000000" w:themeColor="text1"/>
          <w:szCs w:val="21"/>
          <w:highlight w:val="none"/>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在招标代理机构登记并购买招标文件。</w:t>
      </w:r>
    </w:p>
    <w:p>
      <w:pPr>
        <w:pageBreakBefore w:val="0"/>
        <w:widowControl/>
        <w:tabs>
          <w:tab w:val="left" w:pos="502"/>
        </w:tabs>
        <w:kinsoku/>
        <w:wordWrap/>
        <w:overflowPunct/>
        <w:topLinePunct w:val="0"/>
        <w:bidi w:val="0"/>
        <w:adjustRightInd w:val="0"/>
        <w:snapToGrid w:val="0"/>
        <w:spacing w:line="420" w:lineRule="atLeast"/>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三、</w:t>
      </w:r>
      <w:r>
        <w:rPr>
          <w:rFonts w:ascii="Tahoma" w:hAnsi="Tahoma" w:cs="Tahoma"/>
          <w:b/>
          <w:bCs/>
          <w:color w:val="000000" w:themeColor="text1"/>
          <w:szCs w:val="21"/>
          <w:highlight w:val="none"/>
        </w:rPr>
        <w:t>招标文件的公示</w:t>
      </w:r>
    </w:p>
    <w:p>
      <w:pPr>
        <w:pageBreakBefore w:val="0"/>
        <w:kinsoku/>
        <w:wordWrap/>
        <w:overflowPunct/>
        <w:topLinePunct w:val="0"/>
        <w:bidi w:val="0"/>
        <w:spacing w:line="420" w:lineRule="atLeast"/>
        <w:ind w:firstLine="210" w:firstLineChars="100"/>
        <w:rPr>
          <w:rFonts w:hint="eastAsia" w:ascii="宋体" w:hAnsi="宋体" w:eastAsia="宋体" w:cs="宋体"/>
          <w:bCs/>
          <w:color w:val="000000" w:themeColor="text1"/>
          <w:highlight w:val="none"/>
        </w:rPr>
      </w:pPr>
      <w:r>
        <w:rPr>
          <w:rFonts w:hint="eastAsia" w:ascii="宋体" w:hAnsi="宋体" w:cs="宋体"/>
          <w:color w:val="000000" w:themeColor="text1"/>
          <w:kern w:val="0"/>
          <w:szCs w:val="21"/>
          <w:highlight w:val="none"/>
        </w:rPr>
        <w:t xml:space="preserve">  1．</w:t>
      </w:r>
      <w:r>
        <w:rPr>
          <w:rFonts w:hint="eastAsia" w:ascii="宋体" w:hAnsi="宋体" w:cs="Arial"/>
          <w:color w:val="000000" w:themeColor="text1"/>
          <w:highlight w:val="none"/>
        </w:rPr>
        <w:t>招标文件公示时</w:t>
      </w:r>
      <w:r>
        <w:rPr>
          <w:rFonts w:hint="eastAsia" w:ascii="宋体" w:hAnsi="宋体"/>
          <w:bCs/>
          <w:color w:val="000000" w:themeColor="text1"/>
          <w:highlight w:val="none"/>
        </w:rPr>
        <w:t>间及下载：</w:t>
      </w:r>
      <w:r>
        <w:rPr>
          <w:rFonts w:hint="eastAsia" w:ascii="宋体" w:hAnsi="宋体" w:eastAsia="宋体" w:cs="宋体"/>
          <w:bCs/>
          <w:color w:val="000000" w:themeColor="text1"/>
          <w:highlight w:val="none"/>
        </w:rPr>
        <w:t xml:space="preserve"> </w:t>
      </w:r>
      <w:sdt>
        <w:sdtPr>
          <w:rPr>
            <w:rFonts w:hint="eastAsia" w:ascii="宋体" w:hAnsi="宋体" w:eastAsia="宋体" w:cs="宋体"/>
            <w:color w:val="000000" w:themeColor="text1"/>
            <w:highlight w:val="none"/>
          </w:rPr>
          <w:id w:val="785397802"/>
          <w:lock w:val="sdtLocked"/>
          <w:placeholder>
            <w:docPart w:val="EA96D7F7CF1A4A5297711D2BFC5C5079"/>
          </w:placeholder>
          <w:date w:fullDate="2024-01-03T00:00:00Z">
            <w:dateFormat w:val="yyyy'年'M'月'd'日'"/>
            <w:lid w:val="zh-CN"/>
            <w:storeMappedDataAs w:val="datetime"/>
            <w:calendar w:val="gregorian"/>
          </w:date>
        </w:sdtPr>
        <w:sdtEndPr>
          <w:rPr>
            <w:rFonts w:hint="eastAsia" w:ascii="宋体" w:hAnsi="宋体" w:eastAsia="宋体" w:cs="宋体"/>
            <w:color w:val="000000" w:themeColor="text1"/>
            <w:highlight w:val="none"/>
          </w:rPr>
        </w:sdtEndPr>
        <w:sdtContent>
          <w:r>
            <w:rPr>
              <w:rFonts w:hint="eastAsia" w:ascii="宋体" w:hAnsi="宋体" w:eastAsia="宋体" w:cs="宋体"/>
              <w:color w:val="000000" w:themeColor="text1"/>
              <w:kern w:val="2"/>
              <w:sz w:val="21"/>
              <w:szCs w:val="24"/>
              <w:highlight w:val="none"/>
              <w:lang w:val="en-US" w:eastAsia="zh-CN" w:bidi="ar-SA"/>
            </w:rPr>
            <w:t>2024年1月3日</w:t>
          </w:r>
        </w:sdtContent>
      </w:sdt>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2024年1月</w:t>
      </w:r>
      <w:r>
        <w:rPr>
          <w:rFonts w:hint="eastAsia" w:ascii="宋体" w:hAnsi="宋体" w:cs="宋体"/>
          <w:color w:val="000000" w:themeColor="text1"/>
          <w:kern w:val="2"/>
          <w:sz w:val="21"/>
          <w:szCs w:val="24"/>
          <w:highlight w:val="none"/>
          <w:lang w:val="en-US" w:eastAsia="zh-CN" w:bidi="ar-SA"/>
        </w:rPr>
        <w:t>10</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w:t>
      </w:r>
    </w:p>
    <w:p>
      <w:pPr>
        <w:keepNext w:val="0"/>
        <w:keepLines w:val="0"/>
        <w:pageBreakBefore w:val="0"/>
        <w:widowControl/>
        <w:kinsoku/>
        <w:wordWrap/>
        <w:overflowPunct/>
        <w:topLinePunct w:val="0"/>
        <w:autoSpaceDE/>
        <w:autoSpaceDN/>
        <w:bidi w:val="0"/>
        <w:adjustRightInd w:val="0"/>
        <w:snapToGrid w:val="0"/>
        <w:spacing w:line="420" w:lineRule="exact"/>
        <w:ind w:left="315" w:leftChars="50" w:hanging="210" w:hangingChars="100"/>
        <w:textAlignment w:val="auto"/>
        <w:rPr>
          <w:rFonts w:ascii="宋体" w:hAnsi="宋体" w:cs="宋体"/>
          <w:color w:val="000000" w:themeColor="text1"/>
          <w:kern w:val="0"/>
          <w:szCs w:val="21"/>
          <w:highlight w:val="none"/>
        </w:rPr>
      </w:pPr>
      <w:r>
        <w:rPr>
          <w:rFonts w:hint="eastAsia" w:ascii="宋体" w:hAnsi="宋体"/>
          <w:bCs/>
          <w:color w:val="000000" w:themeColor="text1"/>
          <w:highlight w:val="none"/>
        </w:rPr>
        <w:t xml:space="preserve">   2．</w:t>
      </w:r>
      <w:r>
        <w:rPr>
          <w:rFonts w:ascii="宋体" w:hAnsi="宋体"/>
          <w:bCs/>
          <w:color w:val="000000" w:themeColor="text1"/>
          <w:highlight w:val="none"/>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rPr>
        <w:t>的，可以在公示期间或者自期满之日起七个工作日内以书面形式向采购人或</w:t>
      </w:r>
      <w:r>
        <w:rPr>
          <w:rFonts w:hint="eastAsia" w:ascii="宋体" w:hAnsi="宋体" w:cs="宋体"/>
          <w:color w:val="000000" w:themeColor="text1"/>
          <w:kern w:val="0"/>
          <w:szCs w:val="21"/>
          <w:highlight w:val="none"/>
        </w:rPr>
        <w:t>代理采购机构</w:t>
      </w:r>
      <w:r>
        <w:rPr>
          <w:rFonts w:ascii="宋体" w:hAnsi="宋体" w:cs="宋体"/>
          <w:color w:val="000000" w:themeColor="text1"/>
          <w:kern w:val="0"/>
          <w:szCs w:val="21"/>
          <w:highlight w:val="none"/>
        </w:rPr>
        <w:t>提出质疑。质疑函应当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2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315" w:hanging="315" w:hangingChars="150"/>
        <w:textAlignment w:val="auto"/>
        <w:rPr>
          <w:rFonts w:ascii="宋体" w:hAnsi="宋体" w:cs="Arial"/>
          <w:color w:val="000000" w:themeColor="text1"/>
          <w:highlight w:val="none"/>
        </w:rPr>
      </w:pPr>
      <w:r>
        <w:rPr>
          <w:rFonts w:hint="eastAsia" w:ascii="宋体" w:hAnsi="宋体" w:cs="Tahoma"/>
          <w:color w:val="000000" w:themeColor="text1"/>
          <w:highlight w:val="none"/>
        </w:rPr>
        <w:t xml:space="preserve">  1.购买招标文件</w:t>
      </w:r>
      <w:r>
        <w:rPr>
          <w:rFonts w:hint="eastAsia" w:ascii="宋体" w:hAnsi="宋体" w:eastAsia="宋体" w:cs="宋体"/>
          <w:bCs/>
          <w:color w:val="000000" w:themeColor="text1"/>
          <w:highlight w:val="none"/>
        </w:rPr>
        <w:t>时间：</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2024年1月</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 xml:space="preserve"> </w:t>
      </w:r>
      <w:r>
        <w:rPr>
          <w:rFonts w:hint="eastAsia" w:ascii="宋体" w:hAnsi="宋体" w:eastAsia="宋体" w:cs="宋体"/>
          <w:color w:val="000000" w:themeColor="text1"/>
          <w:szCs w:val="21"/>
          <w:highlight w:val="none"/>
        </w:rPr>
        <w:t xml:space="preserve">至 </w:t>
      </w:r>
      <w:r>
        <w:rPr>
          <w:rFonts w:hint="eastAsia" w:ascii="宋体" w:hAnsi="宋体" w:eastAsia="宋体" w:cs="宋体"/>
          <w:color w:val="000000" w:themeColor="text1"/>
          <w:kern w:val="2"/>
          <w:sz w:val="21"/>
          <w:szCs w:val="24"/>
          <w:highlight w:val="none"/>
          <w:lang w:val="en-US" w:eastAsia="zh-CN" w:bidi="ar-SA"/>
        </w:rPr>
        <w:t>2024年1月</w:t>
      </w:r>
      <w:r>
        <w:rPr>
          <w:rFonts w:hint="eastAsia" w:ascii="宋体" w:hAnsi="宋体" w:cs="宋体"/>
          <w:color w:val="000000" w:themeColor="text1"/>
          <w:kern w:val="2"/>
          <w:sz w:val="21"/>
          <w:szCs w:val="24"/>
          <w:highlight w:val="none"/>
          <w:lang w:val="en-US" w:eastAsia="zh-CN" w:bidi="ar-SA"/>
        </w:rPr>
        <w:t>10</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bCs/>
          <w:color w:val="000000" w:themeColor="text1"/>
          <w:highlight w:val="none"/>
        </w:rPr>
        <w:t>，上午9:00～12:0</w:t>
      </w:r>
      <w:r>
        <w:rPr>
          <w:rFonts w:ascii="宋体" w:hAnsi="宋体"/>
          <w:bCs/>
          <w:color w:val="000000" w:themeColor="text1"/>
          <w:highlight w:val="none"/>
        </w:rPr>
        <w:t>0</w:t>
      </w:r>
      <w:r>
        <w:rPr>
          <w:rFonts w:hint="eastAsia" w:ascii="宋体" w:hAnsi="宋体"/>
          <w:bCs/>
          <w:color w:val="000000" w:themeColor="text1"/>
          <w:highlight w:val="none"/>
        </w:rPr>
        <w:t>，下午</w:t>
      </w:r>
      <w:r>
        <w:rPr>
          <w:rFonts w:ascii="宋体" w:hAnsi="宋体"/>
          <w:bCs/>
          <w:color w:val="000000" w:themeColor="text1"/>
          <w:highlight w:val="none"/>
        </w:rPr>
        <w:t>2:30</w:t>
      </w:r>
      <w:r>
        <w:rPr>
          <w:rFonts w:hint="eastAsia" w:ascii="宋体" w:hAnsi="宋体"/>
          <w:bCs/>
          <w:color w:val="000000" w:themeColor="text1"/>
          <w:highlight w:val="none"/>
        </w:rPr>
        <w:t>～</w:t>
      </w:r>
      <w:r>
        <w:rPr>
          <w:rFonts w:ascii="宋体" w:hAnsi="宋体"/>
          <w:bCs/>
          <w:color w:val="000000" w:themeColor="text1"/>
          <w:highlight w:val="none"/>
        </w:rPr>
        <w:t>5:</w:t>
      </w:r>
      <w:r>
        <w:rPr>
          <w:rFonts w:hint="eastAsia" w:ascii="宋体" w:hAnsi="宋体"/>
          <w:bCs/>
          <w:color w:val="000000" w:themeColor="text1"/>
          <w:highlight w:val="none"/>
        </w:rPr>
        <w:t>3</w:t>
      </w:r>
      <w:r>
        <w:rPr>
          <w:rFonts w:ascii="宋体" w:hAnsi="宋体"/>
          <w:bCs/>
          <w:color w:val="000000" w:themeColor="text1"/>
          <w:highlight w:val="none"/>
        </w:rPr>
        <w:t>0</w:t>
      </w:r>
      <w:r>
        <w:rPr>
          <w:rFonts w:hint="eastAsia" w:ascii="宋体" w:hAnsi="宋体"/>
          <w:bCs/>
          <w:color w:val="000000" w:themeColor="text1"/>
          <w:highlight w:val="none"/>
        </w:rPr>
        <w:t>（节假日除外）（北</w:t>
      </w:r>
      <w:r>
        <w:rPr>
          <w:rFonts w:hint="eastAsia" w:ascii="宋体" w:hAnsi="宋体" w:cs="Arial"/>
          <w:color w:val="000000" w:themeColor="text1"/>
          <w:highlight w:val="none"/>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rPr>
      </w:pPr>
      <w:r>
        <w:rPr>
          <w:rFonts w:hint="eastAsia" w:ascii="宋体" w:hAnsi="宋体" w:cs="Tahoma"/>
          <w:color w:val="000000" w:themeColor="text1"/>
          <w:highlight w:val="none"/>
        </w:rPr>
        <w:t xml:space="preserve">  2.购买招标文件地点：阳江市江城区猫山四街33号A座2楼</w:t>
      </w:r>
      <w:r>
        <w:rPr>
          <w:rFonts w:hint="eastAsia"/>
          <w:color w:val="000000" w:themeColor="text1"/>
          <w:szCs w:val="21"/>
          <w:highlight w:val="none"/>
          <w:lang w:val="en-US" w:eastAsia="zh-CN"/>
        </w:rPr>
        <w:t>2</w:t>
      </w:r>
      <w:r>
        <w:rPr>
          <w:rFonts w:hint="eastAsia"/>
          <w:color w:val="000000" w:themeColor="text1"/>
          <w:szCs w:val="21"/>
          <w:highlight w:val="none"/>
        </w:rPr>
        <w:t>05室。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ascii="宋体" w:hAnsi="宋体"/>
          <w:bCs/>
          <w:color w:val="000000" w:themeColor="text1"/>
          <w:highlight w:val="none"/>
        </w:rPr>
      </w:pPr>
      <w:r>
        <w:rPr>
          <w:rFonts w:hint="eastAsia" w:ascii="宋体" w:hAnsi="宋体"/>
          <w:bCs/>
          <w:color w:val="000000" w:themeColor="text1"/>
          <w:highlight w:val="none"/>
        </w:rPr>
        <w:t xml:space="preserve">  3.招标文件售价：</w:t>
      </w:r>
      <w:r>
        <w:rPr>
          <w:rFonts w:hint="eastAsia" w:ascii="宋体" w:hAnsi="宋体"/>
          <w:bCs/>
          <w:color w:val="000000" w:themeColor="text1"/>
          <w:szCs w:val="21"/>
          <w:highlight w:val="none"/>
        </w:rPr>
        <w:t>招标文件每套人民币300元，售后不退</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highlight w:val="none"/>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420" w:leftChars="100" w:hanging="210" w:hangingChars="100"/>
        <w:textAlignment w:val="auto"/>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59" w:leftChars="164" w:hanging="315" w:hangingChars="15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660" w:leftChars="164" w:hanging="316" w:hangingChars="150"/>
        <w:textAlignment w:val="auto"/>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ind w:left="211" w:hanging="211" w:hangingChars="100"/>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五、投标截止时间、开标时间及地点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1.递交投标文件时间：</w:t>
      </w:r>
      <w:r>
        <w:rPr>
          <w:rFonts w:hint="eastAsia" w:ascii="宋体" w:hAnsi="宋体" w:eastAsia="宋体" w:cs="宋体"/>
          <w:color w:val="000000" w:themeColor="text1"/>
          <w:kern w:val="2"/>
          <w:sz w:val="21"/>
          <w:szCs w:val="24"/>
          <w:highlight w:val="none"/>
          <w:lang w:val="en-US" w:eastAsia="zh-CN" w:bidi="ar-SA"/>
        </w:rPr>
        <w:t>2024年1月2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highlight w:val="none"/>
        </w:rPr>
        <w:t xml:space="preserve"> 9:00-9:30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2.投标截止时间、开标时间：</w:t>
      </w:r>
      <w:r>
        <w:rPr>
          <w:rFonts w:hint="eastAsia" w:ascii="宋体" w:hAnsi="宋体" w:eastAsia="宋体" w:cs="宋体"/>
          <w:color w:val="000000" w:themeColor="text1"/>
          <w:kern w:val="2"/>
          <w:sz w:val="21"/>
          <w:szCs w:val="24"/>
          <w:highlight w:val="none"/>
          <w:lang w:val="en-US" w:eastAsia="zh-CN" w:bidi="ar-SA"/>
        </w:rPr>
        <w:t>2024年1月2</w:t>
      </w:r>
      <w:r>
        <w:rPr>
          <w:rFonts w:hint="eastAsia" w:ascii="宋体" w:hAnsi="宋体" w:cs="宋体"/>
          <w:color w:val="000000" w:themeColor="text1"/>
          <w:kern w:val="2"/>
          <w:sz w:val="21"/>
          <w:szCs w:val="24"/>
          <w:highlight w:val="none"/>
          <w:lang w:val="en-US" w:eastAsia="zh-CN" w:bidi="ar-SA"/>
        </w:rPr>
        <w:t>4</w:t>
      </w:r>
      <w:r>
        <w:rPr>
          <w:rFonts w:hint="eastAsia" w:ascii="宋体" w:hAnsi="宋体" w:eastAsia="宋体" w:cs="宋体"/>
          <w:color w:val="000000" w:themeColor="text1"/>
          <w:kern w:val="2"/>
          <w:sz w:val="21"/>
          <w:szCs w:val="24"/>
          <w:highlight w:val="none"/>
          <w:lang w:val="en-US" w:eastAsia="zh-CN" w:bidi="ar-SA"/>
        </w:rPr>
        <w:t>日</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9:30</w:t>
      </w:r>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highlight w:val="none"/>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   3.递交投标文件地点、开标地点：阳江市江城区猫山四街33号A座2楼</w:t>
      </w:r>
      <w:r>
        <w:rPr>
          <w:rFonts w:hint="eastAsia" w:ascii="宋体" w:hAnsi="宋体" w:eastAsia="宋体" w:cs="宋体"/>
          <w:color w:val="000000" w:themeColor="text1"/>
          <w:highlight w:val="none"/>
          <w:lang w:val="en-US" w:eastAsia="zh-CN"/>
        </w:rPr>
        <w:t>201</w:t>
      </w:r>
      <w:r>
        <w:rPr>
          <w:rFonts w:hint="eastAsia" w:ascii="宋体" w:hAnsi="宋体" w:eastAsia="宋体" w:cs="宋体"/>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20" w:lineRule="exact"/>
        <w:textAlignment w:val="auto"/>
        <w:rPr>
          <w:rFonts w:hint="eastAsia" w:ascii="宋体" w:hAnsi="宋体" w:eastAsia="宋体" w:cs="宋体"/>
          <w:b/>
          <w:bCs/>
          <w:color w:val="000000" w:themeColor="text1"/>
          <w:szCs w:val="21"/>
          <w:highlight w:val="none"/>
        </w:rPr>
      </w:pPr>
      <w:r>
        <w:rPr>
          <w:rFonts w:hint="eastAsia" w:ascii="宋体" w:hAnsi="宋体" w:eastAsia="宋体" w:cs="宋体"/>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20" w:lineRule="exact"/>
        <w:ind w:firstLine="315" w:firstLineChars="1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highlight w:val="none"/>
        </w:rPr>
        <w:t>名    称：</w:t>
      </w:r>
      <w:r>
        <w:rPr>
          <w:rFonts w:hint="eastAsia" w:ascii="宋体" w:hAnsi="宋体" w:cs="Tahoma"/>
          <w:color w:val="000000" w:themeColor="text1"/>
          <w:kern w:val="28"/>
          <w:szCs w:val="21"/>
          <w:highlight w:val="none"/>
          <w:lang w:eastAsia="zh-CN"/>
        </w:rPr>
        <w:t>阳江市田家炳学校</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地    址：阳江市校前路12号</w:t>
      </w:r>
    </w:p>
    <w:p>
      <w:pPr>
        <w:keepNext w:val="0"/>
        <w:keepLines w:val="0"/>
        <w:pageBreakBefore w:val="0"/>
        <w:tabs>
          <w:tab w:val="left" w:pos="735"/>
          <w:tab w:val="left" w:pos="4680"/>
        </w:tabs>
        <w:kinsoku/>
        <w:wordWrap/>
        <w:overflowPunct/>
        <w:topLinePunct w:val="0"/>
        <w:autoSpaceDE/>
        <w:autoSpaceDN/>
        <w:bidi w:val="0"/>
        <w:adjustRightInd w:val="0"/>
        <w:snapToGrid w:val="0"/>
        <w:spacing w:line="420" w:lineRule="exact"/>
        <w:ind w:firstLine="630" w:firstLineChars="300"/>
        <w:textAlignment w:val="auto"/>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联 系 人：林良道</w:t>
      </w:r>
    </w:p>
    <w:p>
      <w:pPr>
        <w:keepNext w:val="0"/>
        <w:keepLines w:val="0"/>
        <w:pageBreakBefore w:val="0"/>
        <w:tabs>
          <w:tab w:val="left" w:pos="735"/>
          <w:tab w:val="left" w:pos="4680"/>
        </w:tabs>
        <w:kinsoku/>
        <w:wordWrap/>
        <w:overflowPunct/>
        <w:topLinePunct w:val="0"/>
        <w:autoSpaceDE/>
        <w:autoSpaceDN/>
        <w:bidi w:val="0"/>
        <w:adjustRightInd w:val="0"/>
        <w:snapToGrid w:val="0"/>
        <w:spacing w:line="440" w:lineRule="atLeast"/>
        <w:ind w:firstLine="630" w:firstLineChars="300"/>
        <w:textAlignment w:val="auto"/>
        <w:rPr>
          <w:rFonts w:hint="default" w:ascii="宋体" w:hAnsi="宋体" w:eastAsia="宋体" w:cs="Tahoma"/>
          <w:color w:val="000000" w:themeColor="text1"/>
          <w:kern w:val="28"/>
          <w:szCs w:val="21"/>
          <w:highlight w:val="none"/>
          <w:lang w:val="en-US" w:eastAsia="zh-CN"/>
        </w:rPr>
      </w:pPr>
      <w:r>
        <w:rPr>
          <w:rFonts w:hint="eastAsia" w:ascii="宋体" w:hAnsi="宋体" w:cs="Tahoma"/>
          <w:color w:val="000000" w:themeColor="text1"/>
          <w:kern w:val="28"/>
          <w:szCs w:val="21"/>
          <w:highlight w:val="none"/>
        </w:rPr>
        <w:t>联系电话：</w:t>
      </w:r>
      <w:r>
        <w:rPr>
          <w:rFonts w:hint="eastAsia" w:ascii="宋体" w:hAnsi="宋体" w:cs="Tahoma"/>
          <w:color w:val="000000" w:themeColor="text1"/>
          <w:kern w:val="28"/>
          <w:szCs w:val="21"/>
          <w:highlight w:val="none"/>
          <w:lang w:val="en-US" w:eastAsia="zh-CN"/>
        </w:rPr>
        <w:t>0662-3169318</w:t>
      </w:r>
    </w:p>
    <w:p>
      <w:pPr>
        <w:pageBreakBefore w:val="0"/>
        <w:tabs>
          <w:tab w:val="left" w:pos="735"/>
          <w:tab w:val="left" w:pos="4680"/>
        </w:tabs>
        <w:kinsoku/>
        <w:wordWrap/>
        <w:overflowPunct/>
        <w:topLinePunct w:val="0"/>
        <w:bidi w:val="0"/>
        <w:adjustRightInd w:val="0"/>
        <w:snapToGrid w:val="0"/>
        <w:spacing w:line="420" w:lineRule="atLeast"/>
        <w:ind w:firstLine="315" w:firstLineChars="150"/>
        <w:rPr>
          <w:rFonts w:ascii="宋体" w:hAnsi="宋体" w:cs="Tahoma"/>
          <w:color w:val="000000" w:themeColor="text1"/>
          <w:kern w:val="28"/>
          <w:szCs w:val="21"/>
          <w:highlight w:val="none"/>
        </w:rPr>
      </w:pPr>
      <w:r>
        <w:rPr>
          <w:rFonts w:hint="eastAsia" w:ascii="宋体" w:hAnsi="宋体" w:cs="Tahoma"/>
          <w:color w:val="000000" w:themeColor="text1"/>
          <w:kern w:val="28"/>
          <w:szCs w:val="21"/>
          <w:highlight w:val="none"/>
        </w:rPr>
        <w:t>2．</w:t>
      </w:r>
      <w:r>
        <w:rPr>
          <w:rFonts w:hint="eastAsia" w:ascii="宋体" w:hAnsi="宋体" w:cs="Tahoma"/>
          <w:color w:val="000000" w:themeColor="text1"/>
          <w:highlight w:val="none"/>
        </w:rPr>
        <w:t>代理采购机构联系方式：</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名    称：广东业信采购招标有限公司</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地    址：阳江市江城区猫山四街33号A座2楼</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ascii="宋体" w:hAnsi="宋体" w:cs="Tahoma"/>
          <w:color w:val="000000" w:themeColor="text1"/>
          <w:highlight w:val="none"/>
        </w:rPr>
      </w:pPr>
      <w:r>
        <w:rPr>
          <w:rFonts w:hint="eastAsia" w:ascii="宋体" w:hAnsi="宋体" w:cs="Tahoma"/>
          <w:color w:val="000000" w:themeColor="text1"/>
          <w:highlight w:val="none"/>
        </w:rPr>
        <w:t>联 系 人：冯国辉</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cs="Tahoma"/>
          <w:color w:val="000000" w:themeColor="text1"/>
          <w:highlight w:val="none"/>
        </w:rPr>
        <w:t>联系电话：0662-3167266</w:t>
      </w:r>
    </w:p>
    <w:p>
      <w:pPr>
        <w:pageBreakBefore w:val="0"/>
        <w:widowControl/>
        <w:tabs>
          <w:tab w:val="left" w:pos="735"/>
        </w:tabs>
        <w:kinsoku/>
        <w:wordWrap/>
        <w:overflowPunct/>
        <w:topLinePunct w:val="0"/>
        <w:bidi w:val="0"/>
        <w:adjustRightInd w:val="0"/>
        <w:snapToGrid w:val="0"/>
        <w:spacing w:line="420" w:lineRule="atLeast"/>
        <w:ind w:firstLine="630" w:firstLineChars="3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传    真：0662-2669666</w:t>
      </w:r>
    </w:p>
    <w:p>
      <w:pPr>
        <w:pageBreakBefore w:val="0"/>
        <w:tabs>
          <w:tab w:val="left" w:pos="4680"/>
        </w:tabs>
        <w:kinsoku/>
        <w:wordWrap/>
        <w:overflowPunct/>
        <w:topLinePunct w:val="0"/>
        <w:bidi w:val="0"/>
        <w:adjustRightInd w:val="0"/>
        <w:snapToGrid w:val="0"/>
        <w:spacing w:line="420" w:lineRule="atLeast"/>
        <w:ind w:firstLine="630" w:firstLineChars="300"/>
        <w:rPr>
          <w:rFonts w:hint="eastAsia" w:ascii="宋体" w:hAnsi="宋体" w:eastAsia="宋体" w:cs="宋体"/>
          <w:bCs/>
          <w:color w:val="000000" w:themeColor="text1"/>
          <w:highlight w:val="none"/>
        </w:rPr>
      </w:pPr>
      <w:r>
        <w:rPr>
          <w:rFonts w:hint="eastAsia" w:ascii="宋体" w:hAnsi="宋体" w:eastAsia="宋体" w:cs="宋体"/>
          <w:color w:val="000000" w:themeColor="text1"/>
          <w:highlight w:val="none"/>
        </w:rPr>
        <w:t>网    址：</w:t>
      </w:r>
      <w:r>
        <w:rPr>
          <w:rFonts w:hint="eastAsia" w:ascii="宋体" w:hAnsi="宋体" w:eastAsia="宋体" w:cs="宋体"/>
          <w:bCs/>
          <w:color w:val="000000" w:themeColor="text1"/>
          <w:highlight w:val="none"/>
        </w:rPr>
        <w:t>http://www.yjcg.cc</w:t>
      </w:r>
    </w:p>
    <w:p>
      <w:pPr>
        <w:pageBreakBefore w:val="0"/>
        <w:widowControl/>
        <w:kinsoku/>
        <w:wordWrap/>
        <w:overflowPunct/>
        <w:topLinePunct w:val="0"/>
        <w:bidi w:val="0"/>
        <w:adjustRightInd w:val="0"/>
        <w:snapToGrid w:val="0"/>
        <w:spacing w:line="420" w:lineRule="atLeast"/>
        <w:rPr>
          <w:rFonts w:hint="eastAsia" w:ascii="宋体" w:hAnsi="宋体" w:eastAsia="宋体" w:cs="宋体"/>
          <w:b/>
          <w:color w:val="000000" w:themeColor="text1"/>
          <w:spacing w:val="20"/>
          <w:szCs w:val="21"/>
          <w:highlight w:val="none"/>
        </w:rPr>
      </w:pP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广东业信采购招标有限公司</w:t>
      </w:r>
    </w:p>
    <w:p>
      <w:pPr>
        <w:pageBreakBefore w:val="0"/>
        <w:widowControl/>
        <w:tabs>
          <w:tab w:val="left" w:pos="4769"/>
        </w:tabs>
        <w:kinsoku/>
        <w:wordWrap/>
        <w:overflowPunct/>
        <w:topLinePunct w:val="0"/>
        <w:bidi w:val="0"/>
        <w:adjustRightInd w:val="0"/>
        <w:snapToGrid w:val="0"/>
        <w:spacing w:line="420" w:lineRule="atLeast"/>
        <w:ind w:left="105" w:leftChars="50" w:firstLine="420" w:firstLineChars="200"/>
        <w:jc w:val="right"/>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 xml:space="preserve">                                 </w:t>
      </w:r>
      <w:bookmarkStart w:id="37" w:name="_Toc365985109"/>
      <w:bookmarkStart w:id="38" w:name="_Toc350438703"/>
      <w:bookmarkStart w:id="39" w:name="_Toc331683995"/>
      <w:bookmarkStart w:id="40" w:name="_Toc340677032"/>
      <w:bookmarkStart w:id="41" w:name="_Toc345513763"/>
      <w:bookmarkStart w:id="42" w:name="_Toc339362258"/>
      <w:bookmarkStart w:id="43" w:name="_Toc366072458"/>
      <w:bookmarkStart w:id="44" w:name="_Toc333238572"/>
      <w:bookmarkStart w:id="45" w:name="_Toc339441045"/>
      <w:bookmarkStart w:id="46" w:name="_Toc333935279"/>
      <w:bookmarkStart w:id="47" w:name="_Toc340507404"/>
      <w:bookmarkStart w:id="48" w:name="_Toc330459946"/>
      <w:bookmarkStart w:id="49" w:name="_Toc349143547"/>
      <w:bookmarkStart w:id="50" w:name="_Toc331512857"/>
      <w:bookmarkStart w:id="51" w:name="_Toc339019829"/>
      <w:bookmarkStart w:id="52" w:name="_Toc340672831"/>
      <w:bookmarkStart w:id="53" w:name="_Toc333237724"/>
      <w:bookmarkStart w:id="54" w:name="_Toc365967003"/>
      <w:bookmarkStart w:id="55" w:name="_Toc333935620"/>
      <w:bookmarkStart w:id="56" w:name="_Toc350756404"/>
      <w:bookmarkStart w:id="57" w:name="_Toc332270306"/>
      <w:bookmarkStart w:id="58" w:name="_Toc342060323"/>
      <w:bookmarkStart w:id="59" w:name="_Toc336681538"/>
      <w:bookmarkStart w:id="60" w:name="_Toc342296709"/>
      <w:bookmarkStart w:id="61" w:name="_Toc339020187"/>
      <w:bookmarkStart w:id="62" w:name="_Toc349127584"/>
      <w:bookmarkStart w:id="63" w:name="_Toc337632316"/>
      <w:bookmarkStart w:id="64" w:name="_Toc339019955"/>
      <w:bookmarkStart w:id="65" w:name="_Toc332206658"/>
      <w:bookmarkStart w:id="66" w:name="_Toc336681893"/>
      <w:bookmarkStart w:id="67" w:name="_Toc341348292"/>
      <w:bookmarkStart w:id="68" w:name="_Toc339020049"/>
      <w:bookmarkStart w:id="69" w:name="_Toc333237613"/>
      <w:r>
        <w:rPr>
          <w:rFonts w:hint="eastAsia" w:ascii="宋体" w:hAnsi="宋体" w:eastAsia="宋体" w:cs="宋体"/>
          <w:color w:val="000000" w:themeColor="text1"/>
          <w:szCs w:val="21"/>
          <w:highlight w:val="none"/>
        </w:rPr>
        <w:t xml:space="preserve">    </w:t>
      </w:r>
      <w:r>
        <w:rPr>
          <w:rFonts w:hint="eastAsia" w:ascii="宋体" w:hAnsi="宋体" w:eastAsia="宋体" w:cs="宋体"/>
          <w:color w:val="000000" w:themeColor="text1"/>
          <w:kern w:val="2"/>
          <w:sz w:val="21"/>
          <w:szCs w:val="24"/>
          <w:highlight w:val="none"/>
          <w:lang w:val="en-US" w:eastAsia="zh-CN" w:bidi="ar-SA"/>
        </w:rPr>
        <w:t>2024年1月</w:t>
      </w:r>
      <w:r>
        <w:rPr>
          <w:rFonts w:hint="eastAsia" w:ascii="宋体" w:hAnsi="宋体" w:cs="宋体"/>
          <w:color w:val="000000" w:themeColor="text1"/>
          <w:kern w:val="2"/>
          <w:sz w:val="21"/>
          <w:szCs w:val="24"/>
          <w:highlight w:val="none"/>
          <w:lang w:val="en-US" w:eastAsia="zh-CN" w:bidi="ar-SA"/>
        </w:rPr>
        <w:t>3</w:t>
      </w:r>
      <w:r>
        <w:rPr>
          <w:rFonts w:hint="eastAsia" w:ascii="宋体" w:hAnsi="宋体" w:eastAsia="宋体" w:cs="宋体"/>
          <w:color w:val="000000" w:themeColor="text1"/>
          <w:kern w:val="2"/>
          <w:sz w:val="21"/>
          <w:szCs w:val="24"/>
          <w:highlight w:val="none"/>
          <w:lang w:val="en-US" w:eastAsia="zh-CN" w:bidi="ar-SA"/>
        </w:rPr>
        <w:t>日</w: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rFonts w:hint="eastAsia"/>
          <w:color w:val="000000" w:themeColor="text1"/>
          <w:highlight w:val="none"/>
        </w:rPr>
      </w:pPr>
      <w:r>
        <w:rPr>
          <w:rFonts w:hint="eastAsia"/>
          <w:color w:val="000000" w:themeColor="text1"/>
          <w:highlight w:val="none"/>
        </w:rPr>
        <w:br w:type="page"/>
      </w:r>
      <w:bookmarkStart w:id="2114" w:name="_GoBack"/>
      <w:bookmarkEnd w:id="2114"/>
    </w:p>
    <w:p>
      <w:pPr>
        <w:pStyle w:val="3"/>
        <w:numPr>
          <w:ilvl w:val="0"/>
          <w:numId w:val="0"/>
        </w:numPr>
        <w:spacing w:beforeLines="0" w:afterLines="50" w:line="390" w:lineRule="exact"/>
        <w:ind w:left="105" w:leftChars="50" w:firstLine="480" w:firstLineChars="200"/>
        <w:rPr>
          <w:color w:val="000000" w:themeColor="text1"/>
          <w:highlight w:val="none"/>
        </w:rPr>
      </w:pPr>
      <w:bookmarkStart w:id="70" w:name="_Toc771"/>
      <w:r>
        <w:rPr>
          <w:rFonts w:hint="eastAsia"/>
          <w:color w:val="000000" w:themeColor="text1"/>
          <w:highlight w:val="none"/>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237725"/>
      <w:bookmarkStart w:id="74" w:name="_Toc330459949"/>
      <w:bookmarkStart w:id="75" w:name="_Toc333935621"/>
      <w:bookmarkStart w:id="76" w:name="_Toc333935280"/>
      <w:bookmarkStart w:id="77" w:name="_Toc333237614"/>
      <w:bookmarkStart w:id="78" w:name="_Toc75570886"/>
      <w:r>
        <w:rPr>
          <w:rFonts w:hint="eastAsia"/>
          <w:color w:val="000000" w:themeColor="text1"/>
          <w:highlight w:val="none"/>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rPr>
      </w:pPr>
      <w:bookmarkStart w:id="79" w:name="_Toc18023"/>
      <w:bookmarkStart w:id="80" w:name="_Toc365967040"/>
      <w:bookmarkStart w:id="81" w:name="_Toc339020062"/>
      <w:bookmarkStart w:id="82" w:name="_Toc333935313"/>
      <w:bookmarkStart w:id="83" w:name="_Toc336681547"/>
      <w:bookmarkStart w:id="84" w:name="_Toc331684005"/>
      <w:bookmarkStart w:id="85" w:name="_Toc333237644"/>
      <w:bookmarkStart w:id="86" w:name="_Toc366072495"/>
      <w:bookmarkStart w:id="87" w:name="_Toc339441054"/>
      <w:bookmarkStart w:id="88" w:name="_Toc342060341"/>
      <w:bookmarkStart w:id="89" w:name="_Toc349127593"/>
      <w:bookmarkStart w:id="90" w:name="_Toc342296727"/>
      <w:bookmarkStart w:id="91" w:name="_Toc332270313"/>
      <w:bookmarkStart w:id="92" w:name="_Toc345513834"/>
      <w:bookmarkStart w:id="93" w:name="_Toc350438716"/>
      <w:bookmarkStart w:id="94" w:name="_Toc341348305"/>
      <w:bookmarkStart w:id="95" w:name="_Toc339019856"/>
      <w:bookmarkStart w:id="96" w:name="_Toc336681902"/>
      <w:bookmarkStart w:id="97" w:name="_Toc350756417"/>
      <w:bookmarkStart w:id="98" w:name="_Toc349143556"/>
      <w:bookmarkStart w:id="99" w:name="_Toc330459952"/>
      <w:bookmarkStart w:id="100" w:name="_Toc340672836"/>
      <w:bookmarkStart w:id="101" w:name="_Toc340677037"/>
      <w:bookmarkStart w:id="102" w:name="_Toc339019982"/>
      <w:bookmarkStart w:id="103" w:name="_Toc333237755"/>
      <w:bookmarkStart w:id="104" w:name="_Toc331512865"/>
      <w:bookmarkStart w:id="105" w:name="_Toc339362267"/>
      <w:bookmarkStart w:id="106" w:name="_Toc333935654"/>
      <w:bookmarkStart w:id="107" w:name="_Toc340507409"/>
      <w:bookmarkStart w:id="108" w:name="_Toc332206675"/>
      <w:bookmarkStart w:id="109" w:name="_Toc333238600"/>
      <w:bookmarkStart w:id="110" w:name="_Toc337632325"/>
      <w:bookmarkStart w:id="111" w:name="_Toc339020200"/>
      <w:bookmarkStart w:id="112" w:name="_Toc365985146"/>
      <w:r>
        <w:rPr>
          <w:color w:val="000000" w:themeColor="text1"/>
          <w:kern w:val="0"/>
          <w:sz w:val="24"/>
          <w:highlight w:val="none"/>
        </w:rPr>
        <w:t xml:space="preserve">A  </w:t>
      </w:r>
      <w:r>
        <w:rPr>
          <w:rFonts w:hint="eastAsia"/>
          <w:color w:val="000000" w:themeColor="text1"/>
          <w:kern w:val="0"/>
          <w:sz w:val="24"/>
          <w:highlight w:val="none"/>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lang w:eastAsia="zh-CN"/>
              </w:rPr>
            </w:pPr>
            <w:r>
              <w:rPr>
                <w:rFonts w:hint="eastAsia" w:ascii="宋体" w:hAnsi="宋体" w:cs="宋体"/>
                <w:b/>
                <w:color w:val="000000" w:themeColor="text1"/>
                <w:highlight w:val="none"/>
                <w:lang w:eastAsia="zh-CN"/>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配送服务报价包含整个项目所需的货物（购买或生产）、包装、配送、运输、装卸、保险、检验检疫，配备人员工资、福利、社保及相关税费等一切费用，采购人不再支付其他任何费用。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cs="宋体"/>
                <w:color w:val="000000" w:themeColor="text1"/>
                <w:kern w:val="0"/>
                <w:szCs w:val="21"/>
                <w:highlight w:val="none"/>
              </w:rPr>
              <w:t>采购合同由中标供应商</w:t>
            </w:r>
            <w:r>
              <w:rPr>
                <w:rFonts w:hint="eastAsia" w:ascii="宋体" w:hAnsi="宋体" w:cs="宋体"/>
                <w:color w:val="000000" w:themeColor="text1"/>
                <w:kern w:val="0"/>
                <w:szCs w:val="21"/>
                <w:highlight w:val="none"/>
                <w:lang w:val="en-US" w:eastAsia="zh-CN"/>
              </w:rPr>
              <w:t>凭《中标通知书》</w:t>
            </w:r>
            <w:r>
              <w:rPr>
                <w:rFonts w:hint="eastAsia" w:ascii="宋体" w:hAnsi="宋体" w:cs="宋体"/>
                <w:color w:val="000000" w:themeColor="text1"/>
                <w:kern w:val="0"/>
                <w:szCs w:val="21"/>
                <w:highlight w:val="none"/>
              </w:rPr>
              <w:t>与采购人双方签订，签订时间为《中标通知书》发出之日起</w:t>
            </w:r>
            <w:r>
              <w:rPr>
                <w:rFonts w:hint="eastAsia" w:ascii="宋体" w:hAnsi="宋体" w:cs="宋体"/>
                <w:color w:val="000000" w:themeColor="text1"/>
                <w:kern w:val="0"/>
                <w:szCs w:val="21"/>
                <w:highlight w:val="none"/>
                <w:lang w:val="en-US" w:eastAsia="zh-CN"/>
              </w:rPr>
              <w:t>10</w:t>
            </w:r>
            <w:r>
              <w:rPr>
                <w:rFonts w:hint="eastAsia" w:ascii="宋体" w:hAnsi="宋体" w:cs="宋体"/>
                <w:color w:val="000000" w:themeColor="text1"/>
                <w:kern w:val="0"/>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eastAsia="zh-CN"/>
              </w:rPr>
            </w:pPr>
            <w:r>
              <w:rPr>
                <w:rFonts w:hint="eastAsia" w:ascii="宋体" w:hAnsi="宋体" w:cs="宋体"/>
                <w:color w:val="000000" w:themeColor="text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cs="宋体"/>
                <w:b/>
                <w:color w:val="000000" w:themeColor="text1"/>
                <w:highlight w:val="none"/>
                <w:lang w:val="en-US" w:eastAsia="zh-CN"/>
              </w:rPr>
              <w:t>服务</w:t>
            </w:r>
            <w:r>
              <w:rPr>
                <w:rFonts w:hint="eastAsia" w:ascii="宋体" w:hAnsi="宋体" w:eastAsia="宋体" w:cs="宋体"/>
                <w:b/>
                <w:color w:val="000000" w:themeColor="text1"/>
                <w:highlight w:val="none"/>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cs="宋体"/>
                <w:b/>
                <w:color w:val="000000" w:themeColor="text1"/>
                <w:highlight w:val="none"/>
                <w:lang w:val="en-US" w:eastAsia="zh-CN"/>
              </w:rPr>
            </w:pPr>
            <w:r>
              <w:rPr>
                <w:rFonts w:hint="default" w:ascii="宋体" w:hAnsi="宋体" w:eastAsia="宋体" w:cs="宋体"/>
                <w:b/>
                <w:bCs/>
                <w:color w:val="000000" w:themeColor="text1"/>
                <w:szCs w:val="21"/>
                <w:highlight w:val="none"/>
                <w:lang w:val="en-US" w:eastAsia="zh-CN"/>
              </w:rPr>
              <w:t>定价方式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由学校食堂食品市场价格调查小组成员核定（成员组成：采购人2人，中标供应商1人），三人在每周星期天单独进行市场物价调查，根据三人的调查报价，去掉最高价和最低价，取中间价为核定价，若出现三人价格相同，取三人相同价为核定价，若出现相同的两高或两低价，取两人相同价为核定价，核定价不得高于阳江市发展和改革局和政府部门在政府信息公开网站公布的价格。（所有食品、食材的价格要造册，由食堂市场核价小组成员签名作为支付货款资料）。</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2.糕点供应商对各类糕点进行单独报价，学校食堂食品市场价格调查小组成员，根据市场的实际价格情况，每周对各类糕点进行核定价配送。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eastAsia="宋体" w:cs="宋体"/>
                <w:b/>
                <w:color w:val="000000" w:themeColor="text1"/>
                <w:highlight w:val="none"/>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1.付款方式：中标供应商完成当月供货，根据采购人和中标供应商确定的价格，采购人与供应商核对当月供货数量和金额后，采购人收到供应商发票后在15日前支付当月货款，每月结算一次。</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2.结算价=核定价×实际供货数量×中标折扣率。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8</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b/>
                <w:bCs/>
                <w:color w:val="000000" w:themeColor="text1"/>
                <w:highlight w:val="none"/>
                <w:lang w:val="zh-Hans"/>
              </w:rPr>
              <w:t>履约保证金</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1.为了使中标供应商能够认真履行合同，确保食品按时按质供应，在</w:t>
            </w:r>
            <w:r>
              <w:rPr>
                <w:rFonts w:hint="eastAsia" w:ascii="宋体" w:hAnsi="宋体" w:eastAsia="宋体" w:cs="宋体"/>
                <w:color w:val="000000" w:themeColor="text1"/>
                <w:highlight w:val="none"/>
                <w:lang w:val="zh-Hans"/>
              </w:rPr>
              <w:t>合同签订前5个工作日内，中标供应商向采购人支付中标金额</w:t>
            </w:r>
            <w:r>
              <w:rPr>
                <w:rFonts w:hint="eastAsia" w:ascii="宋体" w:hAnsi="宋体" w:eastAsia="宋体" w:cs="宋体"/>
                <w:color w:val="000000" w:themeColor="text1"/>
                <w:highlight w:val="none"/>
              </w:rPr>
              <w:t>的</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w:t>
            </w:r>
            <w:r>
              <w:rPr>
                <w:rFonts w:hint="eastAsia" w:ascii="宋体" w:hAnsi="宋体" w:eastAsia="宋体" w:cs="宋体"/>
                <w:color w:val="000000" w:themeColor="text1"/>
                <w:highlight w:val="none"/>
                <w:lang w:val="zh-Hans"/>
              </w:rPr>
              <w:t>作为</w:t>
            </w:r>
            <w:r>
              <w:rPr>
                <w:rFonts w:hint="eastAsia" w:ascii="宋体" w:hAnsi="宋体" w:eastAsia="宋体" w:cs="宋体"/>
                <w:color w:val="000000" w:themeColor="text1"/>
                <w:highlight w:val="none"/>
              </w:rPr>
              <w:t>履约</w:t>
            </w:r>
            <w:r>
              <w:rPr>
                <w:rFonts w:hint="eastAsia" w:ascii="宋体" w:hAnsi="宋体" w:eastAsia="宋体" w:cs="宋体"/>
                <w:color w:val="000000" w:themeColor="text1"/>
                <w:highlight w:val="none"/>
                <w:lang w:val="zh-Hans"/>
              </w:rPr>
              <w:t>保证金</w:t>
            </w:r>
            <w:r>
              <w:rPr>
                <w:rFonts w:hint="eastAsia" w:ascii="宋体" w:hAnsi="宋体" w:eastAsia="宋体" w:cs="宋体"/>
                <w:color w:val="000000" w:themeColor="text1"/>
                <w:highlight w:val="none"/>
                <w:lang w:val="en-US" w:eastAsia="zh-CN"/>
              </w:rPr>
              <w:t>。</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2.交纳方式：以支票、汇票、本票或者金融机构、担保机构出具的保函等非现金形式提交。</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3.履约保证金于合同期满并在中标供应商完全履行合同义务之日起20个工作日内无息退还。</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4.中标供应商在合同履行期间保证对采购人的货物供应，若中标后反悔或不能履行合同的，采购人有权单方终止合同并没收全额履约保证金，由此产生的一切经济损失由该中标供应商自行承担。</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5.履约保证金用于补偿采购人因中标供应商的过失导致未能达到合同约定的服务和质量要求而蒙受的损失。</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6.如果中标供应商无违反合同，合同期满后保证金全额无息退还中标供应商；如中标供应商违反合同，合同期满后采购人扣除相应的保证金剩余部分无息退还中标供应商。</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7.因中标供应商供应的材食材质量问题造成采购人人员发生食物中毒事件的，采购人有权单方解除合同，没收所有履约保证金；中毒人员的全部医疗费用及法律规定的其他费用全部由中标供应商承担；采购人保留通过法律途径追究中标供应商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9</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b/>
                <w:bCs/>
                <w:color w:val="000000" w:themeColor="text1"/>
                <w:highlight w:val="none"/>
                <w:lang w:val="zh-Hans"/>
              </w:rPr>
            </w:pPr>
            <w:r>
              <w:rPr>
                <w:rFonts w:hint="eastAsia" w:ascii="宋体" w:hAnsi="宋体" w:eastAsia="宋体" w:cs="宋体"/>
                <w:b/>
                <w:bCs/>
                <w:color w:val="000000" w:themeColor="text1"/>
                <w:szCs w:val="21"/>
                <w:highlight w:val="none"/>
                <w:lang w:val="en-US" w:eastAsia="zh-CN"/>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1.供应商供应的农产品必须要提供农产品合格证。</w:t>
            </w:r>
          </w:p>
          <w:p>
            <w:pPr>
              <w:spacing w:line="320" w:lineRule="exact"/>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2.采购数量和金额是参考往年进行估算，采购人无法确保每家中标供应商的供货数量是否能达到估算金额，投标人应注意相关风险。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10</w:t>
            </w:r>
          </w:p>
        </w:tc>
        <w:tc>
          <w:tcPr>
            <w:tcW w:w="2552" w:type="dxa"/>
            <w:tcBorders>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highlight w:val="none"/>
              </w:rPr>
            </w:pPr>
            <w:r>
              <w:rPr>
                <w:rFonts w:hint="eastAsia" w:ascii="宋体" w:hAnsi="宋体"/>
                <w:b/>
                <w:bCs/>
                <w:color w:val="000000" w:themeColor="text1"/>
                <w:highlight w:val="none"/>
              </w:rPr>
              <w:t>考核标准</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1.采购人在服务期限内对中标供应商实行考核制度，服务期限内（即一年内）若扣分累计达到30分或以上则采购人有权利取消取消中标供应商的配送资格。 </w:t>
            </w:r>
          </w:p>
          <w:p>
            <w:pPr>
              <w:spacing w:line="320" w:lineRule="exact"/>
              <w:rPr>
                <w:rFonts w:hint="eastAsia" w:ascii="宋体" w:hAnsi="宋体" w:eastAsia="宋体" w:cs="宋体"/>
                <w:color w:val="000000" w:themeColor="text1"/>
                <w:highlight w:val="none"/>
                <w:lang w:val="zh-Hans"/>
              </w:rPr>
            </w:pPr>
            <w:r>
              <w:rPr>
                <w:rFonts w:hint="eastAsia" w:ascii="宋体" w:hAnsi="宋体" w:eastAsia="宋体" w:cs="宋体"/>
                <w:color w:val="000000" w:themeColor="text1"/>
                <w:highlight w:val="none"/>
              </w:rPr>
              <w:t>2.考核标准：每次供应肉菜不提供残留农药合格证明扣10分；每次不符合肉菜验收标准细则中任一条扣3分/条；每次在上午9:00后供货的扣2分。如因肉菜质量问题造成食品安全事故，中标供应商须负一切责任并且采购人有权利取消其中标供应商的配送资格。考核细则见技术要求附件《配送服务</w:t>
            </w:r>
            <w:r>
              <w:rPr>
                <w:rFonts w:hint="eastAsia" w:ascii="宋体" w:hAnsi="宋体" w:eastAsia="宋体" w:cs="宋体"/>
                <w:color w:val="000000" w:themeColor="text1"/>
                <w:highlight w:val="none"/>
                <w:lang w:val="zh-Hans"/>
              </w:rPr>
              <w:t>质量考核评价办法》。</w:t>
            </w:r>
          </w:p>
          <w:p>
            <w:pPr>
              <w:spacing w:line="320" w:lineRule="exact"/>
              <w:rPr>
                <w:rFonts w:hint="eastAsia" w:ascii="宋体" w:hAnsi="宋体" w:eastAsia="宋体" w:cs="宋体"/>
                <w:color w:val="000000" w:themeColor="text1"/>
                <w:highlight w:val="none"/>
                <w:lang w:val="zh-Hans"/>
              </w:rPr>
            </w:pPr>
            <w:r>
              <w:rPr>
                <w:rFonts w:hint="eastAsia" w:ascii="宋体" w:hAnsi="宋体" w:eastAsia="宋体" w:cs="宋体"/>
                <w:color w:val="000000" w:themeColor="text1"/>
                <w:highlight w:val="none"/>
              </w:rPr>
              <w:t>3.</w:t>
            </w:r>
            <w:r>
              <w:rPr>
                <w:rFonts w:hint="eastAsia" w:ascii="宋体" w:hAnsi="宋体" w:eastAsia="宋体" w:cs="宋体"/>
                <w:color w:val="000000" w:themeColor="text1"/>
                <w:highlight w:val="none"/>
                <w:lang w:val="zh-Hans"/>
              </w:rPr>
              <w:t xml:space="preserve">采购人每月对中标供应商工作考核一次，若考核3次不达标的中标供应商，采购人有权终止中标供应商的合同。 </w:t>
            </w:r>
          </w:p>
          <w:p>
            <w:pPr>
              <w:spacing w:line="320" w:lineRule="exact"/>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4</w:t>
            </w:r>
            <w:r>
              <w:rPr>
                <w:rFonts w:hint="eastAsia" w:ascii="宋体" w:hAnsi="宋体" w:eastAsia="宋体" w:cs="宋体"/>
                <w:color w:val="000000" w:themeColor="text1"/>
                <w:highlight w:val="none"/>
                <w:lang w:val="zh-Hans"/>
              </w:rPr>
              <w:t>.采购人对考核标准保持最终修改权和解释权。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投标保证金</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（应当以支票、汇票、本票或者金融机构、担保机构出具的保函等非现金</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形式提交）。</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
                <w:color w:val="000000" w:themeColor="text1"/>
                <w:highlight w:val="none"/>
              </w:rPr>
              <w:t>提交主体：必须以投标人自身名义提交，</w:t>
            </w:r>
            <w:r>
              <w:rPr>
                <w:rFonts w:hint="eastAsia" w:ascii="宋体" w:hAnsi="宋体" w:eastAsia="宋体" w:cs="宋体"/>
                <w:color w:val="000000" w:themeColor="text1"/>
                <w:szCs w:val="21"/>
                <w:highlight w:val="none"/>
              </w:rPr>
              <w:t>应注明“</w:t>
            </w:r>
            <w:r>
              <w:rPr>
                <w:rFonts w:hint="eastAsia" w:ascii="宋体" w:hAnsi="宋体" w:eastAsia="宋体" w:cs="宋体"/>
                <w:b/>
                <w:color w:val="000000" w:themeColor="text1"/>
                <w:szCs w:val="21"/>
                <w:highlight w:val="none"/>
              </w:rPr>
              <w:t>（项目编号）投标保证金</w:t>
            </w:r>
            <w:r>
              <w:rPr>
                <w:rFonts w:hint="eastAsia" w:ascii="宋体" w:hAnsi="宋体" w:eastAsia="宋体" w:cs="宋体"/>
                <w:color w:val="000000" w:themeColor="text1"/>
                <w:szCs w:val="21"/>
                <w:highlight w:val="none"/>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5" w:hangingChars="150"/>
              <w:jc w:val="center"/>
              <w:rPr>
                <w:rFonts w:hint="eastAsia" w:ascii="宋体" w:hAnsi="宋体" w:eastAsia="宋体" w:cs="宋体"/>
                <w:b/>
                <w:color w:val="000000" w:themeColor="text1"/>
                <w:szCs w:val="21"/>
                <w:highlight w:val="none"/>
                <w:lang w:val="en-US" w:eastAsia="zh-CN"/>
              </w:rPr>
            </w:pPr>
            <w:r>
              <w:rPr>
                <w:rFonts w:hint="eastAsia" w:ascii="宋体" w:hAnsi="宋体" w:eastAsia="宋体" w:cs="宋体"/>
                <w:color w:val="000000" w:themeColor="text1"/>
                <w:szCs w:val="21"/>
                <w:highlight w:val="none"/>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highlight w:val="none"/>
                <w:lang w:val="en-US" w:eastAsia="zh-CN"/>
              </w:rPr>
            </w:pPr>
            <w:r>
              <w:rPr>
                <w:rFonts w:hint="eastAsia" w:ascii="宋体" w:hAnsi="宋体" w:eastAsia="宋体" w:cs="宋体"/>
                <w:b/>
                <w:color w:val="000000" w:themeColor="text1"/>
                <w:szCs w:val="21"/>
                <w:highlight w:val="none"/>
              </w:rPr>
              <w:t>人民币</w:t>
            </w:r>
            <w:r>
              <w:rPr>
                <w:rFonts w:hint="eastAsia" w:ascii="宋体" w:hAnsi="宋体" w:eastAsia="宋体" w:cs="宋体"/>
                <w:b/>
                <w:color w:val="000000" w:themeColor="text1"/>
                <w:szCs w:val="21"/>
                <w:highlight w:val="none"/>
                <w:lang w:val="en-US" w:eastAsia="zh-CN"/>
              </w:rPr>
              <w:t>捌万</w:t>
            </w:r>
            <w:r>
              <w:rPr>
                <w:rFonts w:hint="eastAsia" w:ascii="宋体" w:hAnsi="宋体" w:eastAsia="宋体" w:cs="宋体"/>
                <w:b/>
                <w:color w:val="000000" w:themeColor="text1"/>
                <w:szCs w:val="21"/>
                <w:highlight w:val="none"/>
              </w:rPr>
              <w:t>元整（￥</w:t>
            </w:r>
            <w:r>
              <w:rPr>
                <w:rFonts w:hint="eastAsia" w:ascii="宋体" w:hAnsi="宋体" w:eastAsia="宋体" w:cs="宋体"/>
                <w:b/>
                <w:color w:val="000000" w:themeColor="text1"/>
                <w:szCs w:val="21"/>
                <w:highlight w:val="none"/>
                <w:lang w:val="en-US" w:eastAsia="zh-CN"/>
              </w:rPr>
              <w:t>800</w:t>
            </w:r>
            <w:r>
              <w:rPr>
                <w:rFonts w:hint="eastAsia" w:ascii="宋体" w:hAnsi="宋体" w:eastAsia="宋体" w:cs="宋体"/>
                <w:b/>
                <w:color w:val="000000" w:themeColor="text1"/>
                <w:szCs w:val="21"/>
                <w:highlight w:val="none"/>
              </w:rPr>
              <w:t>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cs="宋体"/>
                <w:color w:val="000000" w:themeColor="text1"/>
                <w:highlight w:val="none"/>
                <w:lang w:val="en-US" w:eastAsia="zh-CN"/>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kern w:val="2"/>
                <w:sz w:val="21"/>
                <w:szCs w:val="21"/>
                <w:highlight w:val="none"/>
                <w:lang w:val="en-US" w:eastAsia="zh-CN" w:bidi="ar-SA"/>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cs="宋体"/>
                <w:color w:val="000000" w:themeColor="text1"/>
                <w:highlight w:val="none"/>
                <w:lang w:val="en-US" w:eastAsia="zh-CN"/>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kern w:val="2"/>
                <w:sz w:val="21"/>
                <w:szCs w:val="21"/>
                <w:highlight w:val="none"/>
                <w:lang w:val="en-US" w:eastAsia="zh-CN" w:bidi="ar-SA"/>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szCs w:val="21"/>
                <w:highlight w:val="none"/>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cs="宋体"/>
                <w:color w:val="000000" w:themeColor="text1"/>
                <w:highlight w:val="none"/>
                <w:lang w:val="en-US" w:eastAsia="zh-CN"/>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kern w:val="2"/>
                <w:sz w:val="21"/>
                <w:szCs w:val="21"/>
                <w:highlight w:val="none"/>
                <w:lang w:val="en-US" w:eastAsia="zh-CN" w:bidi="ar-SA"/>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b/>
                <w:bCs/>
                <w:color w:val="000000" w:themeColor="text1"/>
                <w:szCs w:val="21"/>
                <w:highlight w:val="none"/>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cs="宋体"/>
                <w:color w:val="000000" w:themeColor="text1"/>
                <w:highlight w:val="none"/>
                <w:lang w:val="en-US" w:eastAsia="zh-CN"/>
              </w:rPr>
            </w:pPr>
          </w:p>
          <w:p>
            <w:pPr>
              <w:pStyle w:val="2"/>
              <w:rPr>
                <w:rFonts w:hint="eastAsia"/>
                <w:lang w:val="en-US" w:eastAsia="zh-CN"/>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highlight w:val="none"/>
                <w:lang w:val="en-US" w:eastAsia="zh-CN"/>
              </w:rPr>
            </w:pPr>
            <w:r>
              <w:rPr>
                <w:rFonts w:hint="eastAsia" w:ascii="宋体" w:hAnsi="宋体" w:cs="宋体"/>
                <w:color w:val="000000" w:themeColor="text1"/>
                <w:highlight w:val="none"/>
                <w:lang w:val="en-US" w:eastAsia="zh-CN"/>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中标服务费</w:t>
            </w:r>
          </w:p>
          <w:p>
            <w:pPr>
              <w:spacing w:line="300" w:lineRule="exact"/>
              <w:jc w:val="center"/>
              <w:rPr>
                <w:rFonts w:hint="eastAsia" w:ascii="宋体" w:hAnsi="宋体" w:eastAsia="宋体" w:cs="宋体"/>
                <w:color w:val="000000" w:themeColor="text1"/>
                <w:szCs w:val="21"/>
                <w:highlight w:val="none"/>
              </w:rPr>
            </w:pPr>
            <w:r>
              <w:rPr>
                <w:rFonts w:hint="eastAsia" w:ascii="宋体" w:hAnsi="宋体" w:eastAsia="宋体" w:cs="宋体"/>
                <w:bCs/>
                <w:color w:val="000000" w:themeColor="text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color w:val="000000" w:themeColor="text1"/>
                <w:szCs w:val="21"/>
                <w:highlight w:val="none"/>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lang w:val="en-US" w:eastAsia="zh-CN"/>
              </w:rPr>
              <w:t>参考</w:t>
            </w:r>
            <w:r>
              <w:rPr>
                <w:rFonts w:hint="eastAsia" w:ascii="宋体" w:hAnsi="宋体" w:eastAsia="宋体" w:cs="宋体"/>
                <w:bCs/>
                <w:color w:val="000000" w:themeColor="text1"/>
                <w:szCs w:val="21"/>
                <w:highlight w:val="none"/>
              </w:rPr>
              <w:t>发改价格[2011]534号文的规定</w:t>
            </w:r>
            <w:r>
              <w:rPr>
                <w:rFonts w:hint="eastAsia" w:ascii="宋体" w:hAnsi="宋体" w:eastAsia="宋体" w:cs="宋体"/>
                <w:color w:val="000000" w:themeColor="text1"/>
                <w:szCs w:val="21"/>
                <w:highlight w:val="none"/>
              </w:rPr>
              <w:t>，招标代理服务费按差额定率累进法计算。中标服务费由中标人在领取中标通知书前以银行转账方式一次性支付。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highlight w:val="none"/>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highlight w:val="none"/>
              </w:rPr>
            </w:pPr>
            <w:r>
              <w:rPr>
                <w:rFonts w:hint="eastAsia" w:ascii="宋体" w:hAnsi="宋体" w:eastAsia="宋体" w:cs="宋体"/>
                <w:bCs/>
                <w:color w:val="000000" w:themeColor="text1"/>
                <w:szCs w:val="21"/>
                <w:highlight w:val="none"/>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highlight w:val="none"/>
              </w:rPr>
            </w:pPr>
            <w:r>
              <w:rPr>
                <w:rFonts w:hint="eastAsia" w:ascii="宋体" w:hAnsi="宋体" w:eastAsia="宋体" w:cs="宋体"/>
                <w:b/>
                <w:bCs/>
                <w:color w:val="000000" w:themeColor="text1"/>
                <w:szCs w:val="21"/>
                <w:highlight w:val="none"/>
              </w:rPr>
              <w:t>中国农业银行股份有限公司阳江</w:t>
            </w:r>
            <w:r>
              <w:rPr>
                <w:rFonts w:hint="eastAsia" w:ascii="宋体" w:hAnsi="宋体" w:eastAsia="宋体" w:cs="宋体"/>
                <w:b/>
                <w:bCs/>
                <w:color w:val="000000" w:themeColor="text1"/>
                <w:szCs w:val="21"/>
                <w:highlight w:val="none"/>
                <w:lang w:val="en-US" w:eastAsia="zh-CN"/>
              </w:rPr>
              <w:t>江城</w:t>
            </w:r>
            <w:r>
              <w:rPr>
                <w:rFonts w:hint="eastAsia" w:ascii="宋体" w:hAnsi="宋体" w:eastAsia="宋体" w:cs="宋体"/>
                <w:b/>
                <w:bCs/>
                <w:color w:val="000000" w:themeColor="text1"/>
                <w:szCs w:val="21"/>
                <w:highlight w:val="none"/>
              </w:rPr>
              <w:t>支行</w:t>
            </w:r>
          </w:p>
        </w:tc>
      </w:tr>
    </w:tbl>
    <w:p>
      <w:pPr>
        <w:adjustRightInd w:val="0"/>
        <w:snapToGrid w:val="0"/>
        <w:spacing w:line="360" w:lineRule="auto"/>
        <w:rPr>
          <w:b/>
          <w:color w:val="000000" w:themeColor="text1"/>
          <w:szCs w:val="2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adjustRightInd w:val="0"/>
        <w:snapToGrid w:val="0"/>
        <w:spacing w:line="360" w:lineRule="auto"/>
        <w:rPr>
          <w:rFonts w:ascii="宋体" w:hAnsi="宋体"/>
          <w:bCs/>
          <w:color w:val="000000" w:themeColor="text1"/>
          <w:highlight w:val="none"/>
        </w:rPr>
      </w:pPr>
    </w:p>
    <w:p>
      <w:pPr>
        <w:pStyle w:val="4"/>
        <w:numPr>
          <w:ilvl w:val="0"/>
          <w:numId w:val="0"/>
        </w:numPr>
        <w:spacing w:beforeLines="150" w:after="0" w:line="360" w:lineRule="auto"/>
        <w:rPr>
          <w:color w:val="000000" w:themeColor="text1"/>
          <w:kern w:val="0"/>
          <w:sz w:val="24"/>
          <w:highlight w:val="none"/>
        </w:rPr>
      </w:pPr>
      <w:bookmarkStart w:id="113" w:name="_Toc505160648"/>
      <w:bookmarkStart w:id="114" w:name="_Toc126"/>
      <w:r>
        <w:rPr>
          <w:rFonts w:hint="eastAsia"/>
          <w:color w:val="000000" w:themeColor="text1"/>
          <w:kern w:val="0"/>
          <w:sz w:val="24"/>
          <w:highlight w:val="none"/>
        </w:rPr>
        <w:t>B  技术要求</w:t>
      </w:r>
      <w:bookmarkEnd w:id="113"/>
      <w:bookmarkEnd w:id="114"/>
    </w:p>
    <w:p>
      <w:pPr>
        <w:spacing w:line="360" w:lineRule="exact"/>
        <w:rPr>
          <w:rFonts w:ascii="微软雅黑" w:hAnsi="微软雅黑" w:eastAsia="微软雅黑" w:cs="微软雅黑"/>
          <w:b/>
          <w:bCs/>
          <w:color w:val="000000" w:themeColor="text1"/>
          <w:sz w:val="20"/>
          <w:szCs w:val="20"/>
          <w:highlight w:val="none"/>
        </w:rPr>
      </w:pPr>
    </w:p>
    <w:p>
      <w:pPr>
        <w:pStyle w:val="192"/>
        <w:keepNext w:val="0"/>
        <w:keepLines w:val="0"/>
        <w:pageBreakBefore w:val="0"/>
        <w:widowControl w:val="0"/>
        <w:kinsoku/>
        <w:wordWrap/>
        <w:overflowPunct/>
        <w:topLinePunct w:val="0"/>
        <w:autoSpaceDE/>
        <w:autoSpaceDN/>
        <w:bidi w:val="0"/>
        <w:adjustRightInd/>
        <w:spacing w:line="360" w:lineRule="auto"/>
        <w:ind w:firstLine="0" w:firstLineChars="0"/>
        <w:textAlignment w:val="auto"/>
        <w:outlineLvl w:val="9"/>
        <w:rPr>
          <w:rFonts w:hint="eastAsia" w:ascii="宋体" w:hAnsi="宋体"/>
          <w:b/>
          <w:color w:val="000000" w:themeColor="text1"/>
          <w:szCs w:val="21"/>
          <w:highlight w:val="none"/>
        </w:rPr>
      </w:pPr>
      <w:r>
        <w:rPr>
          <w:rFonts w:hint="eastAsia" w:ascii="宋体" w:hAnsi="宋体" w:eastAsia="宋体" w:cs="宋体"/>
          <w:b/>
          <w:color w:val="000000" w:themeColor="text1"/>
          <w:sz w:val="21"/>
          <w:szCs w:val="21"/>
          <w:highlight w:val="none"/>
        </w:rPr>
        <w:t>一、</w:t>
      </w:r>
      <w:r>
        <w:rPr>
          <w:rFonts w:hint="eastAsia" w:ascii="宋体" w:hAnsi="宋体"/>
          <w:b/>
          <w:color w:val="000000" w:themeColor="text1"/>
          <w:szCs w:val="21"/>
          <w:highlight w:val="none"/>
        </w:rPr>
        <w:t>总体要求</w:t>
      </w:r>
    </w:p>
    <w:p>
      <w:pPr>
        <w:keepNext w:val="0"/>
        <w:keepLines w:val="0"/>
        <w:pageBreakBefore w:val="0"/>
        <w:widowControl w:val="0"/>
        <w:kinsoku/>
        <w:wordWrap/>
        <w:overflowPunct/>
        <w:topLinePunct w:val="0"/>
        <w:autoSpaceDE/>
        <w:autoSpaceDN/>
        <w:bidi w:val="0"/>
        <w:adjustRightInd/>
        <w:spacing w:line="360" w:lineRule="auto"/>
        <w:textAlignment w:val="auto"/>
        <w:outlineLvl w:val="9"/>
        <w:rPr>
          <w:rFonts w:hint="eastAsia" w:ascii="宋体" w:hAnsi="宋体" w:cs="宋体"/>
          <w:color w:val="000000" w:themeColor="text1"/>
          <w:highlight w:val="none"/>
        </w:rPr>
      </w:pPr>
      <w:r>
        <w:rPr>
          <w:rFonts w:hint="eastAsia" w:ascii="宋体" w:hAnsi="宋体" w:cs="宋体"/>
          <w:color w:val="000000" w:themeColor="text1"/>
          <w:highlight w:val="none"/>
        </w:rPr>
        <w:t>1</w:t>
      </w:r>
      <w:r>
        <w:rPr>
          <w:rFonts w:hint="eastAsia" w:ascii="宋体" w:hAnsi="宋体"/>
          <w:color w:val="000000" w:themeColor="text1"/>
          <w:highlight w:val="none"/>
        </w:rPr>
        <w:t>、</w:t>
      </w:r>
      <w:r>
        <w:rPr>
          <w:rFonts w:hint="eastAsia" w:ascii="宋体" w:hAnsi="宋体" w:cs="宋体"/>
          <w:color w:val="000000" w:themeColor="text1"/>
          <w:highlight w:val="none"/>
        </w:rPr>
        <w:t>★所有食材要求为非转基因食品。</w:t>
      </w:r>
    </w:p>
    <w:p>
      <w:pPr>
        <w:pStyle w:val="192"/>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9"/>
        <w:rPr>
          <w:rFonts w:hint="eastAsia" w:ascii="宋体" w:hAnsi="宋体"/>
          <w:color w:val="000000" w:themeColor="text1"/>
          <w:szCs w:val="21"/>
          <w:highlight w:val="none"/>
        </w:rPr>
      </w:pPr>
      <w:r>
        <w:rPr>
          <w:rFonts w:hint="eastAsia" w:ascii="宋体" w:hAnsi="宋体" w:cs="宋体"/>
          <w:color w:val="000000" w:themeColor="text1"/>
          <w:spacing w:val="-3"/>
          <w:szCs w:val="21"/>
          <w:highlight w:val="none"/>
        </w:rPr>
        <w:t>2</w:t>
      </w:r>
      <w:r>
        <w:rPr>
          <w:rFonts w:hint="eastAsia" w:ascii="宋体" w:hAnsi="宋体"/>
          <w:color w:val="000000" w:themeColor="text1"/>
          <w:highlight w:val="none"/>
        </w:rPr>
        <w:t>、</w:t>
      </w:r>
      <w:r>
        <w:rPr>
          <w:rFonts w:hint="eastAsia" w:ascii="宋体" w:hAnsi="宋体" w:cs="宋体"/>
          <w:color w:val="000000" w:themeColor="text1"/>
          <w:spacing w:val="-3"/>
          <w:szCs w:val="21"/>
          <w:highlight w:val="none"/>
        </w:rPr>
        <w:t>食材</w:t>
      </w:r>
      <w:r>
        <w:rPr>
          <w:rFonts w:hint="eastAsia" w:ascii="宋体" w:hAnsi="宋体" w:cs="宋体"/>
          <w:color w:val="000000" w:themeColor="text1"/>
          <w:spacing w:val="-11"/>
          <w:szCs w:val="21"/>
          <w:highlight w:val="none"/>
        </w:rPr>
        <w:t>有使用</w:t>
      </w:r>
      <w:r>
        <w:rPr>
          <w:rFonts w:hint="eastAsia" w:ascii="宋体" w:hAnsi="宋体" w:cs="宋体"/>
          <w:color w:val="000000" w:themeColor="text1"/>
          <w:szCs w:val="20"/>
          <w:highlight w:val="none"/>
        </w:rPr>
        <w:t>有效期</w:t>
      </w:r>
      <w:r>
        <w:rPr>
          <w:rFonts w:hint="eastAsia" w:ascii="宋体" w:hAnsi="宋体" w:cs="宋体"/>
          <w:color w:val="000000" w:themeColor="text1"/>
          <w:spacing w:val="-11"/>
          <w:szCs w:val="21"/>
          <w:highlight w:val="none"/>
        </w:rPr>
        <w:t>的，其剩余有效期不</w:t>
      </w:r>
      <w:r>
        <w:rPr>
          <w:rFonts w:hint="eastAsia" w:ascii="宋体" w:hAnsi="宋体"/>
          <w:color w:val="000000" w:themeColor="text1"/>
          <w:kern w:val="0"/>
          <w:szCs w:val="21"/>
          <w:highlight w:val="none"/>
        </w:rPr>
        <w:t>得少于标注有效期的80%</w:t>
      </w:r>
      <w:r>
        <w:rPr>
          <w:rFonts w:hint="eastAsia" w:ascii="宋体" w:hAnsi="宋体" w:cs="宋体"/>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ascii="宋体" w:hAnsi="宋体"/>
          <w:color w:val="000000" w:themeColor="text1"/>
          <w:highlight w:val="none"/>
        </w:rPr>
      </w:pPr>
      <w:r>
        <w:rPr>
          <w:rFonts w:hint="eastAsia" w:ascii="宋体" w:hAnsi="宋体"/>
          <w:color w:val="000000" w:themeColor="text1"/>
          <w:highlight w:val="none"/>
        </w:rPr>
        <w:t>3、所供的物品必须符合“中华人民共和国食品卫生法”要求。</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4、供应商需承诺所供的物品必须符合国家有关标准，保证无异味、无霉烂变质，如不符合投标文件所描述的质量标准，必须退货并承担违约责任。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5、所供商品必须符合国家行业生产及经营标准，货真价实，均能提供相应批次的合格检验证明。</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6、供应的货物必须各项技术指标完全符合国家有关质量检测、环保标准及产品出厂标准。</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7、供应商必须负责中标货物的运输、质量检测等工作，所产生的费用由中标供应商负责。</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8、物品具体需求量以实际供应前一天通知的为准。</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9、供应商不得将中标项目转包、分包，否则采购人有权单方终止合同,由此产生的一切经济损失由中标供应商自行承担。</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10、由于采购人工作的特殊性，供应商应做好本单位工作人员的教育工作，遵守采购人各项规定。</w:t>
      </w:r>
    </w:p>
    <w:p>
      <w:pPr>
        <w:keepNext w:val="0"/>
        <w:keepLines w:val="0"/>
        <w:pageBreakBefore w:val="0"/>
        <w:widowControl w:val="0"/>
        <w:kinsoku/>
        <w:wordWrap/>
        <w:overflowPunct/>
        <w:topLinePunct w:val="0"/>
        <w:autoSpaceDE/>
        <w:autoSpaceDN/>
        <w:bidi w:val="0"/>
        <w:adjustRightInd/>
        <w:snapToGrid w:val="0"/>
        <w:spacing w:line="360" w:lineRule="auto"/>
        <w:textAlignment w:val="auto"/>
        <w:outlineLvl w:val="9"/>
        <w:rPr>
          <w:rFonts w:hint="eastAsia" w:ascii="宋体" w:hAnsi="宋体"/>
          <w:color w:val="000000" w:themeColor="text1"/>
          <w:highlight w:val="none"/>
        </w:rPr>
      </w:pPr>
      <w:r>
        <w:rPr>
          <w:rFonts w:hint="eastAsia" w:ascii="宋体" w:hAnsi="宋体"/>
          <w:color w:val="000000" w:themeColor="text1"/>
          <w:highlight w:val="none"/>
        </w:rPr>
        <w:t>11、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12、供应商不得变更供应商品，应严格按招标要求（含商标、名称、产地、规格和重量等）供应，否则，采购人有权拒收。如因市场流通问题确实需要变更的，应书面向采购人申请，按采购人书面回复的意见执行。</w:t>
      </w:r>
    </w:p>
    <w:p>
      <w:pPr>
        <w:snapToGrid w:val="0"/>
        <w:spacing w:line="360" w:lineRule="auto"/>
        <w:rPr>
          <w:rFonts w:hint="eastAsia" w:ascii="宋体" w:hAnsi="宋体"/>
          <w:color w:val="000000" w:themeColor="text1"/>
          <w:highlight w:val="none"/>
        </w:rPr>
      </w:pPr>
      <w:r>
        <w:rPr>
          <w:rFonts w:hint="eastAsia" w:ascii="宋体" w:hAnsi="宋体"/>
          <w:color w:val="000000" w:themeColor="text1"/>
          <w:highlight w:val="none"/>
        </w:rPr>
        <w:t>13、供应商供应假冒伪劣、以次充好的商品，除立即更换外，以不予支付本批货物货款作为处罚。采购人将事件记录在案，同一个月份内同类问题发生达到2次，采购人有权单方面终止合同取消其供应资格。一年合同期内累计达到5次或以上，今后将作为不合格供应商列入黑名单，不能参加采购人今后任何的招标采购活动。</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val="0"/>
          <w:bCs/>
          <w:color w:val="000000" w:themeColor="text1"/>
          <w:sz w:val="21"/>
          <w:szCs w:val="21"/>
          <w:highlight w:val="none"/>
          <w:lang w:eastAsia="zh-CN"/>
        </w:rPr>
      </w:pPr>
      <w:r>
        <w:rPr>
          <w:rFonts w:hint="eastAsia" w:ascii="宋体" w:hAnsi="宋体"/>
          <w:color w:val="000000" w:themeColor="text1"/>
          <w:highlight w:val="none"/>
        </w:rPr>
        <w:t>14、如有国家政策要求采购其他食品物资的，以国家政策为准，中标供应商需无条件执行。</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二、采购食品验收标准</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 符合《中华人民共和国食品安全法》要求。</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 符合中华人民共和国国家和履约地相关安全质量标准、行业规范标准、环保标准等。</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 符合招标文件和投标承诺中各方共同认可的各项要求。</w:t>
      </w:r>
    </w:p>
    <w:p>
      <w:pPr>
        <w:pStyle w:val="26"/>
        <w:keepNext w:val="0"/>
        <w:keepLines w:val="0"/>
        <w:pageBreakBefore w:val="0"/>
        <w:tabs>
          <w:tab w:val="left" w:pos="540"/>
        </w:tabs>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 所供食品必须符合国家行业生产及经营标准，货真价实，并能提供相应批次的检验合格证明（如农药残留检测报告、动物检疫证、产品检验合格证等凭据）。</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三、食品配送要求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
          <w:bCs/>
          <w:color w:val="000000" w:themeColor="text1"/>
          <w:sz w:val="21"/>
          <w:szCs w:val="21"/>
          <w:highlight w:val="none"/>
        </w:rPr>
        <w:t>1. 包装与标志要求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1.1 包装：容器(框、箱、袋)要求清洁、干燥、牢固、透气，无污染、无异味、无霉变现象。</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1.2 标志：每件食品包装必须按《农产品包装和标识管理办法》贴标签，并标明产地、品种、净含量、生产单位、地址和采收日期等。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2. 食品运输要求</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2.1 运输工具应清洁卫生无污染，并且要保持清洁和定期消毒。</w:t>
      </w:r>
    </w:p>
    <w:p>
      <w:pPr>
        <w:pStyle w:val="192"/>
        <w:keepNext w:val="0"/>
        <w:keepLines w:val="0"/>
        <w:pageBreakBefore w:val="0"/>
        <w:kinsoku/>
        <w:wordWrap/>
        <w:overflowPunct/>
        <w:topLinePunct w:val="0"/>
        <w:autoSpaceDE/>
        <w:autoSpaceDN/>
        <w:bidi w:val="0"/>
        <w:spacing w:line="360" w:lineRule="auto"/>
        <w:ind w:firstLine="0" w:firstLineChars="0"/>
        <w:textAlignment w:val="auto"/>
        <w:outlineLvl w:val="9"/>
        <w:rPr>
          <w:rFonts w:hint="eastAsia" w:ascii="宋体" w:hAnsi="宋体" w:eastAsiaTheme="minorEastAsia"/>
          <w:b/>
          <w:color w:val="000000" w:themeColor="text1"/>
          <w:szCs w:val="21"/>
          <w:highlight w:val="none"/>
          <w:lang w:eastAsia="zh-CN"/>
        </w:rPr>
      </w:pPr>
      <w:r>
        <w:rPr>
          <w:rFonts w:hint="eastAsia" w:ascii="宋体" w:hAnsi="宋体"/>
          <w:b/>
          <w:color w:val="000000" w:themeColor="text1"/>
          <w:szCs w:val="21"/>
          <w:highlight w:val="none"/>
          <w:lang w:val="en-US" w:eastAsia="zh-CN"/>
        </w:rPr>
        <w:t>四</w:t>
      </w:r>
      <w:r>
        <w:rPr>
          <w:rFonts w:hint="eastAsia" w:ascii="宋体" w:hAnsi="宋体"/>
          <w:b/>
          <w:color w:val="000000" w:themeColor="text1"/>
          <w:szCs w:val="21"/>
          <w:highlight w:val="none"/>
        </w:rPr>
        <w:t>、具体项目要求</w:t>
      </w:r>
      <w:r>
        <w:rPr>
          <w:rFonts w:hint="eastAsia" w:ascii="宋体" w:hAnsi="宋体"/>
          <w:b/>
          <w:color w:val="000000" w:themeColor="text1"/>
          <w:szCs w:val="21"/>
          <w:highlight w:val="none"/>
          <w:lang w:eastAsia="zh-CN"/>
        </w:rPr>
        <w:t>：</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b/>
          <w:bCs/>
          <w:color w:val="000000" w:themeColor="text1"/>
          <w:highlight w:val="none"/>
        </w:rPr>
      </w:pPr>
      <w:r>
        <w:rPr>
          <w:rFonts w:hint="eastAsia" w:ascii="宋体" w:hAnsi="宋体"/>
          <w:b/>
          <w:bCs/>
          <w:color w:val="000000" w:themeColor="text1"/>
          <w:highlight w:val="none"/>
        </w:rPr>
        <w:t>肉类、腊味制品、瓜果疏菜、水产海鲜</w:t>
      </w:r>
    </w:p>
    <w:p>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b/>
          <w:color w:val="000000" w:themeColor="text1"/>
          <w:highlight w:val="none"/>
        </w:rPr>
      </w:pPr>
      <w:r>
        <w:rPr>
          <w:rFonts w:hint="eastAsia" w:ascii="宋体" w:hAnsi="宋体"/>
          <w:b/>
          <w:color w:val="000000" w:themeColor="text1"/>
          <w:highlight w:val="none"/>
        </w:rPr>
        <w:t>1、鲜肉（边猪）、家禽、鱼类基本要求</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a）所供货物应保持较好的外观和质量等级，严格遵守《动物检疫法》和《食物卫生法》等相关规定。符合国家食品部门的有关标准，保证无异味、无霉烂变质，肉类保证来源于正规肉联厂，供货时须提交肉联厂的验收单及当批次有效的动物检疫合格证复印件（原件备查），鲜肉确保每日新鲜、无异味。</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b）鲜肉[边猪（白条猪）]净重35KG以上，去头、去蹄、去板油、去内脏。</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c）鸡、鹅、鸭需去毛、去内脏。</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d）鱼类要求鱼眼睛清亮，角膜透明，鳞片上覆有冻结的透明黏液层，皮肤天然色泽明显。</w:t>
      </w:r>
    </w:p>
    <w:p>
      <w:pPr>
        <w:keepNext w:val="0"/>
        <w:keepLines w:val="0"/>
        <w:pageBreakBefore w:val="0"/>
        <w:kinsoku/>
        <w:wordWrap/>
        <w:overflowPunct/>
        <w:topLinePunct w:val="0"/>
        <w:autoSpaceDE/>
        <w:autoSpaceDN/>
        <w:bidi w:val="0"/>
        <w:snapToGrid w:val="0"/>
        <w:spacing w:line="360" w:lineRule="auto"/>
        <w:ind w:firstLine="420" w:firstLineChars="200"/>
        <w:textAlignment w:val="auto"/>
        <w:outlineLvl w:val="9"/>
        <w:rPr>
          <w:rFonts w:hint="eastAsia" w:ascii="宋体" w:hAnsi="宋体"/>
          <w:color w:val="000000" w:themeColor="text1"/>
          <w:highlight w:val="none"/>
        </w:rPr>
      </w:pPr>
      <w:r>
        <w:rPr>
          <w:rFonts w:hint="eastAsia" w:ascii="宋体" w:hAnsi="宋体"/>
          <w:color w:val="000000" w:themeColor="text1"/>
          <w:highlight w:val="none"/>
        </w:rPr>
        <w:t>e）所有货物规格符合采购人提交的日采购计划中明确的具体需求，所有的肉类产品不得有注水现象。</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f）不得供应冷冻禽类、猪肉类食品。</w:t>
      </w:r>
    </w:p>
    <w:p>
      <w:pPr>
        <w:snapToGrid w:val="0"/>
        <w:spacing w:line="360" w:lineRule="auto"/>
        <w:rPr>
          <w:rFonts w:hint="eastAsia" w:ascii="宋体" w:hAnsi="宋体"/>
          <w:b/>
          <w:bCs/>
          <w:color w:val="000000" w:themeColor="text1"/>
          <w:highlight w:val="none"/>
        </w:rPr>
      </w:pPr>
      <w:r>
        <w:rPr>
          <w:rFonts w:hint="eastAsia" w:ascii="宋体" w:hAnsi="宋体"/>
          <w:b/>
          <w:bCs/>
          <w:color w:val="000000" w:themeColor="text1"/>
          <w:highlight w:val="none"/>
        </w:rPr>
        <w:t>2、腊味：</w:t>
      </w:r>
    </w:p>
    <w:p>
      <w:pPr>
        <w:snapToGrid w:val="0"/>
        <w:spacing w:line="360" w:lineRule="auto"/>
        <w:ind w:left="210" w:leftChars="100" w:firstLine="420" w:firstLineChars="200"/>
        <w:rPr>
          <w:rFonts w:hint="eastAsia" w:ascii="宋体" w:hAnsi="宋体"/>
          <w:color w:val="000000" w:themeColor="text1"/>
          <w:highlight w:val="none"/>
        </w:rPr>
      </w:pPr>
      <w:r>
        <w:rPr>
          <w:rFonts w:hint="eastAsia" w:ascii="宋体" w:hAnsi="宋体"/>
          <w:color w:val="000000" w:themeColor="text1"/>
          <w:highlight w:val="none"/>
        </w:rPr>
        <w:t>符合国家食品部门有关标准，色泽鲜明，肌肉暗红色，脂肪透明呈乳白色，肉干燥结实，带有固有的腊式香味。</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3、瓜果蔬菜</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1）供应产品的质量要求：瓜、果、蔬菜必须是优质货品，不得含有残留农药或污染物，中标供应商必须保证所供应的蔬菜符合卫生质量标准，同时承担因所供蔬菜问题引起的一切事故后果。卫生质量指标，应符合我国无公害蔬菜上的卫生指标规定。</w:t>
      </w:r>
    </w:p>
    <w:tbl>
      <w:tblPr>
        <w:tblStyle w:val="47"/>
        <w:tblW w:w="8182" w:type="dxa"/>
        <w:jc w:val="center"/>
        <w:tblLayout w:type="fixed"/>
        <w:tblCellMar>
          <w:top w:w="0" w:type="dxa"/>
          <w:left w:w="0" w:type="dxa"/>
          <w:bottom w:w="0" w:type="dxa"/>
          <w:right w:w="0" w:type="dxa"/>
        </w:tblCellMar>
      </w:tblPr>
      <w:tblGrid>
        <w:gridCol w:w="3963"/>
        <w:gridCol w:w="4219"/>
      </w:tblGrid>
      <w:tr>
        <w:tblPrEx>
          <w:tblCellMar>
            <w:top w:w="0" w:type="dxa"/>
            <w:left w:w="0" w:type="dxa"/>
            <w:bottom w:w="0" w:type="dxa"/>
            <w:right w:w="0" w:type="dxa"/>
          </w:tblCellMar>
        </w:tblPrEx>
        <w:trPr>
          <w:trHeight w:val="294"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项目</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b/>
                <w:bCs/>
                <w:color w:val="000000" w:themeColor="text1"/>
                <w:kern w:val="0"/>
                <w:highlight w:val="none"/>
              </w:rPr>
            </w:pPr>
            <w:r>
              <w:rPr>
                <w:rFonts w:hint="eastAsia" w:ascii="宋体" w:hAnsi="宋体"/>
                <w:b/>
                <w:bCs/>
                <w:color w:val="000000" w:themeColor="text1"/>
                <w:kern w:val="0"/>
                <w:highlight w:val="none"/>
              </w:rPr>
              <w:t>指标（</w:t>
            </w:r>
            <w:r>
              <w:rPr>
                <w:rFonts w:hint="eastAsia" w:ascii="宋体" w:hAnsi="宋体"/>
                <w:b/>
                <w:bCs/>
                <w:color w:val="000000" w:themeColor="text1"/>
                <w:highlight w:val="none"/>
              </w:rPr>
              <w:t>mg/kg</w:t>
            </w:r>
            <w:r>
              <w:rPr>
                <w:rFonts w:hint="eastAsia" w:ascii="宋体" w:hAnsi="宋体"/>
                <w:b/>
                <w:bCs/>
                <w:color w:val="000000" w:themeColor="text1"/>
                <w:kern w:val="0"/>
                <w:highlight w:val="none"/>
              </w:rPr>
              <w:t>）</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甲胺磷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甲拌磷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氧化乐果</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甲基对硫磷</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43"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呋喃丹</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不得检出</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百菌清</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≤1.0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多菌灵</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汞（以Hg计）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kern w:val="0"/>
                <w:highlight w:val="none"/>
              </w:rPr>
            </w:pPr>
            <w:r>
              <w:rPr>
                <w:rFonts w:hint="eastAsia" w:ascii="宋体" w:hAnsi="宋体"/>
                <w:color w:val="000000" w:themeColor="text1"/>
                <w:highlight w:val="none"/>
              </w:rPr>
              <w:t>≤0.01</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铅（以Pb计）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≤0.2</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砷（以As计）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氟（以F计）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≤0.5</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硝酸盐（以NaNO3计）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瓜果类≤600；叶菜根茎类≤1200</w:t>
            </w:r>
          </w:p>
        </w:tc>
      </w:tr>
      <w:tr>
        <w:tblPrEx>
          <w:tblCellMar>
            <w:top w:w="0" w:type="dxa"/>
            <w:left w:w="0" w:type="dxa"/>
            <w:bottom w:w="0" w:type="dxa"/>
            <w:right w:w="0" w:type="dxa"/>
          </w:tblCellMar>
        </w:tblPrEx>
        <w:trPr>
          <w:trHeight w:val="458" w:hRule="atLeast"/>
          <w:jc w:val="center"/>
        </w:trPr>
        <w:tc>
          <w:tcPr>
            <w:tcW w:w="3963" w:type="dxa"/>
            <w:tcBorders>
              <w:top w:val="single" w:color="auto" w:sz="4" w:space="0"/>
              <w:left w:val="single" w:color="auto" w:sz="4" w:space="0"/>
              <w:bottom w:val="single" w:color="auto" w:sz="4" w:space="0"/>
              <w:right w:val="single" w:color="auto" w:sz="4" w:space="0"/>
            </w:tcBorders>
            <w:noWrap w:val="0"/>
            <w:vAlign w:val="top"/>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亚硝酸盐（以NaNO2计）</w:t>
            </w:r>
          </w:p>
        </w:tc>
        <w:tc>
          <w:tcPr>
            <w:tcW w:w="4219" w:type="dxa"/>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olor w:val="000000" w:themeColor="text1"/>
                <w:highlight w:val="none"/>
              </w:rPr>
            </w:pPr>
            <w:r>
              <w:rPr>
                <w:rFonts w:hint="eastAsia" w:ascii="宋体" w:hAnsi="宋体"/>
                <w:color w:val="000000" w:themeColor="text1"/>
                <w:highlight w:val="none"/>
              </w:rPr>
              <w:t>≤4</w:t>
            </w:r>
          </w:p>
        </w:tc>
      </w:tr>
    </w:tbl>
    <w:p>
      <w:pPr>
        <w:snapToGrid w:val="0"/>
        <w:spacing w:line="360" w:lineRule="auto"/>
        <w:ind w:firstLine="420" w:firstLineChars="200"/>
        <w:rPr>
          <w:rFonts w:ascii="宋体" w:hAnsi="宋体"/>
          <w:color w:val="000000" w:themeColor="text1"/>
          <w:highlight w:val="none"/>
        </w:rPr>
      </w:pPr>
      <w:r>
        <w:rPr>
          <w:rFonts w:hint="eastAsia" w:ascii="宋体" w:hAnsi="宋体"/>
          <w:color w:val="000000" w:themeColor="text1"/>
          <w:highlight w:val="none"/>
        </w:rPr>
        <w:t>（2）具体感观要求：</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从蔬菜色泽看，各种蔬菜都应具有本品种固有的颜色，大多数有发亮的光泽，以此显示蔬菜的成熟度及鲜嫩程度；</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从蔬菜气味看，多数蔬菜具有清馨、甘辛香、甜酸香等气味，可凭嗅觉识别不同品种的质量，不允许有腐烂变质的亚硝酸盐味和其他异常气味；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从蔬菜滋味看，因品种不同而各异，多数蔬菜滋味甘淡、甜酸、清爽鲜美，少数具有辛酸、苦涩等特殊风味以刺激食欲，如失去本品种原有的滋味即为异常；</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从蔬菜形态看，应尽量避免由于客观因素而造成的各种非正常、不新鲜的蔬菜，例如萎蔫、枯塌、损伤、病变、虫害侵蚀等引起的形态异常等。</w:t>
      </w:r>
    </w:p>
    <w:p>
      <w:pPr>
        <w:snapToGrid w:val="0"/>
        <w:spacing w:line="360" w:lineRule="auto"/>
        <w:ind w:firstLine="420" w:firstLineChars="200"/>
        <w:rPr>
          <w:rFonts w:hint="eastAsia" w:ascii="宋体" w:hAnsi="宋体"/>
          <w:bCs/>
          <w:color w:val="000000" w:themeColor="text1"/>
          <w:highlight w:val="none"/>
        </w:rPr>
      </w:pPr>
      <w:r>
        <w:rPr>
          <w:rFonts w:hint="eastAsia" w:ascii="宋体" w:hAnsi="宋体"/>
          <w:bCs/>
          <w:color w:val="000000" w:themeColor="text1"/>
          <w:highlight w:val="none"/>
        </w:rPr>
        <w:t xml:space="preserve">叶菜类：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鲜嫩形态好，色泽正常，茎基部削平，无枯黄叶、病叶、泥土、明显机械伤和病虫害伤，无烧心焦边、腐烂等现象，无抽苔（菜心除外），无畸形、异味，结球叶菜要结球适度，花椰菜应新鲜洁白，不带叶麸，无畸形花。</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茄果类：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属同一品种规格，果实整洁，成熟度适中，番茄花蒂不明显，无裂果及空洞现象，茄果不能有裂蒂及果皮变硬现象，无腐烂、畸形、异味，无明显机械伤。</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瓜果类：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属同一品种规格，形状、色泽一致，瓜条均匀，无疤点，无断裂，无腐烂、畸形、异味、明显机械伤，不带泥土。</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根菜类：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属同一品种规格，皮细光滑，大小均匀，肉质脆嫩致密新鲜，无腐烂、畸形、裂痕、糠心、异味，不带泥沙，不带茎叶和须根。</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薯芋类：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属同一品种规格，色泽一致，不带泥沙，不带须根、茎叶，不干瘪，无腐烂、畸形、异味、明显机械伤、病虫害斑，马铃薯无发芽，皮不变绿。</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葱蒜类：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属同一品种规格，允许葱、青蒜类保留干净须根，葱、蒜、韭菜不带老叶，蒜头、洋葱去根去枯叶，可食部分新鲜幼嫩，无腐烂、畸形、异味。</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豆类：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属同一品种规格，形态完整，成熟度适中，无腐烂、畸形、异味，豆荚类新鲜、幼嫩、均匀，豆仁类籽粒饱满，较均匀，无发芽，不带泥土杂质。</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 xml:space="preserve">水生菜类： </w:t>
      </w:r>
    </w:p>
    <w:p>
      <w:pPr>
        <w:snapToGrid w:val="0"/>
        <w:spacing w:line="360" w:lineRule="auto"/>
        <w:ind w:firstLine="420" w:firstLineChars="200"/>
        <w:rPr>
          <w:rFonts w:hint="eastAsia" w:ascii="宋体" w:hAnsi="宋体"/>
          <w:color w:val="000000" w:themeColor="text1"/>
          <w:highlight w:val="none"/>
        </w:rPr>
      </w:pPr>
      <w:r>
        <w:rPr>
          <w:rFonts w:hint="eastAsia" w:ascii="宋体" w:hAnsi="宋体"/>
          <w:color w:val="000000" w:themeColor="text1"/>
          <w:highlight w:val="none"/>
        </w:rPr>
        <w:t>属同一品种规格，肉质嫩，成熟度适中，无腐烂、畸形、异味，无明显机械伤，不带泥土和杂质，不干瘪，茭白不黑心。</w:t>
      </w:r>
    </w:p>
    <w:p>
      <w:pPr>
        <w:numPr>
          <w:ilvl w:val="0"/>
          <w:numId w:val="24"/>
        </w:numPr>
        <w:snapToGrid w:val="0"/>
        <w:spacing w:line="360" w:lineRule="auto"/>
        <w:ind w:firstLine="420" w:firstLineChars="200"/>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食品供应链要求：所有食品的来源必须清晰。蔬菜来源应当为受到地方政府部门监管的自有基地、商品菜基地或蔬菜专业流通市场。</w:t>
      </w:r>
    </w:p>
    <w:p>
      <w:pPr>
        <w:pStyle w:val="311"/>
        <w:ind w:firstLine="0" w:firstLineChars="0"/>
        <w:rPr>
          <w:rFonts w:hint="eastAsia" w:cs="Times New Roman"/>
          <w:b/>
          <w:color w:val="000000" w:themeColor="text1"/>
          <w:kern w:val="2"/>
          <w:sz w:val="21"/>
          <w:highlight w:val="none"/>
        </w:rPr>
      </w:pPr>
      <w:r>
        <w:rPr>
          <w:rFonts w:hint="eastAsia" w:cs="Times New Roman"/>
          <w:b/>
          <w:color w:val="000000" w:themeColor="text1"/>
          <w:kern w:val="2"/>
          <w:sz w:val="21"/>
          <w:highlight w:val="none"/>
        </w:rPr>
        <w:t>4、水产海鲜类</w:t>
      </w:r>
    </w:p>
    <w:p>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（1）海鲜、河鲜类必须鲜活，身体饱满结实，无腐烂异味，肉质紧密有弹性，来源可靠放心，无毒，无害，无污染（利用率不低于95%）。</w:t>
      </w:r>
    </w:p>
    <w:p>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（2）新鲜水产品的具体要求：要体态完整，体色正常，捞离水后，挣扎力。</w:t>
      </w:r>
    </w:p>
    <w:p>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3）冷冻鱼类要求鱼眼睛清亮，角膜透明，鳞片上覆盖有冻结的透明粘液层，皮肤天然色泽明显。鱼体完整无伤残，带鳞鱼应体表鳞片完整无损。去鳞鱼不应有残鳞片。另外鱼体富有弹性，手指轻按鱼体后，手指凹陷处可马上恢复。鱼应无异味有较温和的鱼腥味。 </w:t>
      </w:r>
    </w:p>
    <w:p>
      <w:pPr>
        <w:pStyle w:val="311"/>
        <w:ind w:firstLine="210" w:firstLineChars="100"/>
        <w:rPr>
          <w:rFonts w:hint="eastAsia" w:cs="Times New Roman"/>
          <w:bCs/>
          <w:color w:val="000000" w:themeColor="text1"/>
          <w:kern w:val="2"/>
          <w:sz w:val="21"/>
          <w:highlight w:val="none"/>
        </w:rPr>
      </w:pPr>
      <w:r>
        <w:rPr>
          <w:rFonts w:hint="eastAsia" w:cs="Times New Roman"/>
          <w:bCs/>
          <w:color w:val="000000" w:themeColor="text1"/>
          <w:kern w:val="2"/>
          <w:sz w:val="21"/>
          <w:highlight w:val="none"/>
        </w:rPr>
        <w:t xml:space="preserve">（4）虾的头胸甲与躯干连接紧密，无断头现象。虾身清洁无污染无异味，虾眼突起，虾身较挺，肉质坚实；虾壳发亮、发硬，呈青绿色或青白色。 </w:t>
      </w:r>
    </w:p>
    <w:p>
      <w:pPr>
        <w:pStyle w:val="311"/>
        <w:ind w:firstLine="210" w:firstLineChars="100"/>
        <w:rPr>
          <w:rFonts w:hint="eastAsia" w:ascii="宋体" w:hAnsi="宋体" w:eastAsia="宋体" w:cs="宋体"/>
          <w:bCs/>
          <w:color w:val="000000" w:themeColor="text1"/>
          <w:kern w:val="2"/>
          <w:sz w:val="21"/>
          <w:highlight w:val="none"/>
        </w:rPr>
      </w:pPr>
      <w:r>
        <w:rPr>
          <w:rFonts w:hint="eastAsia" w:ascii="宋体" w:hAnsi="宋体" w:eastAsia="宋体" w:cs="宋体"/>
          <w:bCs/>
          <w:color w:val="000000" w:themeColor="text1"/>
          <w:kern w:val="2"/>
          <w:sz w:val="21"/>
          <w:highlight w:val="none"/>
        </w:rPr>
        <w:t>（</w:t>
      </w:r>
      <w:r>
        <w:rPr>
          <w:rFonts w:hint="eastAsia" w:eastAsia="宋体" w:cs="宋体"/>
          <w:bCs/>
          <w:color w:val="000000" w:themeColor="text1"/>
          <w:kern w:val="2"/>
          <w:sz w:val="21"/>
          <w:highlight w:val="none"/>
          <w:lang w:val="en-US" w:eastAsia="zh-CN"/>
        </w:rPr>
        <w:t>5</w:t>
      </w:r>
      <w:r>
        <w:rPr>
          <w:rFonts w:hint="eastAsia" w:ascii="宋体" w:hAnsi="宋体" w:eastAsia="宋体" w:cs="宋体"/>
          <w:bCs/>
          <w:color w:val="000000" w:themeColor="text1"/>
          <w:kern w:val="2"/>
          <w:sz w:val="21"/>
          <w:highlight w:val="none"/>
        </w:rPr>
        <w:t>）水产品须出具贮存地的出入库检疫证明。</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ind w:firstLine="210" w:firstLineChars="100"/>
        <w:jc w:val="left"/>
        <w:textAlignment w:val="auto"/>
        <w:outlineLvl w:val="9"/>
        <w:rPr>
          <w:rFonts w:hint="eastAsia" w:ascii="宋体" w:hAnsi="宋体" w:eastAsia="宋体" w:cs="宋体"/>
          <w:b/>
          <w:color w:val="000000" w:themeColor="text1"/>
          <w:sz w:val="21"/>
          <w:szCs w:val="21"/>
          <w:highlight w:val="none"/>
        </w:rPr>
      </w:pPr>
      <w:r>
        <w:rPr>
          <w:rFonts w:hint="eastAsia" w:ascii="宋体" w:hAnsi="宋体" w:eastAsia="宋体" w:cs="宋体"/>
          <w:bCs/>
          <w:color w:val="000000" w:themeColor="text1"/>
          <w:kern w:val="2"/>
          <w:sz w:val="21"/>
          <w:highlight w:val="none"/>
        </w:rPr>
        <w:t>（</w:t>
      </w:r>
      <w:r>
        <w:rPr>
          <w:rFonts w:hint="eastAsia" w:ascii="宋体" w:hAnsi="宋体" w:eastAsia="宋体" w:cs="宋体"/>
          <w:bCs/>
          <w:color w:val="000000" w:themeColor="text1"/>
          <w:kern w:val="2"/>
          <w:sz w:val="21"/>
          <w:highlight w:val="none"/>
          <w:lang w:val="en-US" w:eastAsia="zh-CN"/>
        </w:rPr>
        <w:t>6</w:t>
      </w:r>
      <w:r>
        <w:rPr>
          <w:rFonts w:hint="eastAsia" w:ascii="宋体" w:hAnsi="宋体" w:eastAsia="宋体" w:cs="宋体"/>
          <w:bCs/>
          <w:color w:val="000000" w:themeColor="text1"/>
          <w:kern w:val="2"/>
          <w:sz w:val="21"/>
          <w:highlight w:val="none"/>
        </w:rPr>
        <w:t>）海鲜制品类：海鲜制品类包括但不限于鱼丸、墨鱼丸、鱼蛋、鱼腐等。</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大米、面类、豆类、干货类、油、盐、糖、酱、酒、醋、添加剂等</w:t>
      </w:r>
    </w:p>
    <w:p>
      <w:pPr>
        <w:snapToGrid w:val="0"/>
        <w:spacing w:line="360" w:lineRule="auto"/>
        <w:rPr>
          <w:rFonts w:hint="eastAsia" w:ascii="宋体" w:hAnsi="宋体"/>
          <w:b/>
          <w:color w:val="000000" w:themeColor="text1"/>
          <w:highlight w:val="none"/>
        </w:rPr>
      </w:pPr>
      <w:r>
        <w:rPr>
          <w:rFonts w:hint="eastAsia" w:ascii="宋体" w:hAnsi="宋体"/>
          <w:b/>
          <w:color w:val="000000" w:themeColor="text1"/>
          <w:highlight w:val="none"/>
        </w:rPr>
        <w:t>1、</w:t>
      </w:r>
      <w:r>
        <w:rPr>
          <w:rFonts w:hint="eastAsia" w:ascii="宋体" w:hAnsi="宋体"/>
          <w:b/>
          <w:bCs/>
          <w:color w:val="000000" w:themeColor="text1"/>
          <w:highlight w:val="none"/>
        </w:rPr>
        <w:t>调味料：</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1）酱油：酱油颜色比较红、亮、有光泽、透明，酱油倒在瓶子里摇一下，酱油产生的泡沫非常细腻，保持持久，挂碗现象非常好，有发黏的感觉。</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2）味精：无色至白色结晶或粉末，应具有特殊的鲜味，无异味，无肉眼可见杂质。</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3）酱类食品：应具有正常酿造酱的色泽、气味和滋味、不涩、无其他不良气味、不得有酸、苦、焦糊及其它异味、异物。</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4）淀粉制品：应具有各自品种固有的形态和色泽、不酸、不粘、不发霉、无变质、无异味、无杂质、口尝无砂质。</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5）食盐：结晶整齐一致、坚硬光滑，呈透明或半透明、不结块、无反卤吸潮现象、无杂质，沾取少许尝试具有纯正的咸味。</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6）白糖：要求色泽洁白明亮，有光泽，具有白糖的正常气味，无酸味、酒味或其他外来气味。凡是白糖都应干燥，晶粒松散，不粘手，不结块，无肉眼可见的杂质，白糖的水溶液应清晰透明无杂质。</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7）白砂糖：颗粒大如砂粒，晶粒均匀整齐，晶面明显，无碎末，糖质坚硬。</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8）绵白糖：颗粒细小而均匀，质地绵软、潮润。</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9）红糖：呈晶粒状或粉末状，干燥而松散，不结块，不成团，杂质，其水溶液清晰，无沉淀，无悬浮物，具有甘蔗汁的清香味，无有酒味、酸味或其他外来不良气味，口味浓甜带鲜，微有糖蜜味，无焦苦味或其他外来异味。</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10）冰糖：块形完整，个粒均匀，结晶组织严密，透明或半透明，无破碎。</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11）方糖：呈正六面体状，表面平整，无裂纹，铁边，断角，无突出砂粒，无霉斑。</w:t>
      </w:r>
    </w:p>
    <w:p>
      <w:pPr>
        <w:pStyle w:val="312"/>
        <w:spacing w:line="360" w:lineRule="auto"/>
        <w:ind w:left="0" w:leftChars="0" w:firstLine="210" w:firstLineChars="100"/>
        <w:rPr>
          <w:rFonts w:hint="eastAsia" w:ascii="宋体" w:hAnsi="宋体" w:cs="宋体"/>
          <w:bCs/>
          <w:color w:val="000000" w:themeColor="text1"/>
          <w:sz w:val="21"/>
          <w:szCs w:val="21"/>
          <w:highlight w:val="none"/>
        </w:rPr>
      </w:pPr>
      <w:r>
        <w:rPr>
          <w:rFonts w:hint="eastAsia" w:ascii="宋体" w:hAnsi="宋体" w:cs="宋体"/>
          <w:bCs/>
          <w:color w:val="000000" w:themeColor="text1"/>
          <w:sz w:val="21"/>
          <w:szCs w:val="21"/>
          <w:highlight w:val="none"/>
        </w:rPr>
        <w:t>12）辛辣料：要求采用植物果实和种子粉碎而配制成的天然植物香料，如五香粉、胡椒粉、花椒粉、咖喱粉、芥末粉等，辛辣料的主要原料有八角、花椒、胡椒、桂皮、小茴香、大茴香、辣椒、孜然等。</w:t>
      </w:r>
    </w:p>
    <w:p>
      <w:pPr>
        <w:pStyle w:val="312"/>
        <w:spacing w:line="360" w:lineRule="auto"/>
        <w:ind w:left="0" w:leftChars="0" w:firstLine="210" w:firstLineChars="100"/>
        <w:rPr>
          <w:rFonts w:hint="eastAsia" w:ascii="宋体" w:hAnsi="宋体" w:cs="宋体"/>
          <w:color w:val="000000" w:themeColor="text1"/>
          <w:sz w:val="21"/>
          <w:szCs w:val="21"/>
          <w:highlight w:val="none"/>
        </w:rPr>
      </w:pPr>
      <w:r>
        <w:rPr>
          <w:rFonts w:hint="eastAsia" w:ascii="宋体" w:hAnsi="宋体" w:cs="宋体"/>
          <w:bCs/>
          <w:color w:val="000000" w:themeColor="text1"/>
          <w:sz w:val="21"/>
          <w:szCs w:val="21"/>
          <w:highlight w:val="none"/>
        </w:rPr>
        <w:t>13）辛辣料应呈干燥状，具有该种香料植物所特有的色、香、味，没有不纯正的气味和味道，无发霉味或其他异味。</w:t>
      </w:r>
    </w:p>
    <w:p>
      <w:pPr>
        <w:snapToGrid w:val="0"/>
        <w:spacing w:line="360" w:lineRule="auto"/>
        <w:ind w:firstLine="210" w:firstLineChars="100"/>
        <w:rPr>
          <w:rFonts w:hint="eastAsia" w:ascii="宋体" w:hAnsi="宋体"/>
          <w:b/>
          <w:color w:val="000000" w:themeColor="text1"/>
          <w:highlight w:val="none"/>
        </w:rPr>
      </w:pPr>
      <w:r>
        <w:rPr>
          <w:rFonts w:hint="eastAsia" w:ascii="宋体" w:hAnsi="宋体" w:cs="宋体"/>
          <w:bCs/>
          <w:color w:val="000000" w:themeColor="text1"/>
          <w:szCs w:val="21"/>
          <w:highlight w:val="none"/>
        </w:rPr>
        <w:t>14）腐乳：红腐乳要求表面呈红色或枣红色，内部呈杏黄色，色泽鲜艳，有光泽；白腐乳要求外表呈乳黄色。块形整齐均匀，质地细腻，无霉斑、霉变及杂质。具有各品种的腐乳特有的香味或特征气味，无任何其他异味，滋味鲜美，咸淡适口，无任何其他异味。</w:t>
      </w:r>
    </w:p>
    <w:p>
      <w:pPr>
        <w:snapToGrid w:val="0"/>
        <w:spacing w:line="360" w:lineRule="auto"/>
        <w:rPr>
          <w:rFonts w:hint="eastAsia" w:ascii="宋体" w:hAnsi="宋体" w:cs="宋体"/>
          <w:bCs/>
          <w:color w:val="000000" w:themeColor="text1"/>
          <w:szCs w:val="21"/>
          <w:highlight w:val="none"/>
        </w:rPr>
      </w:pPr>
      <w:r>
        <w:rPr>
          <w:rFonts w:hint="eastAsia" w:ascii="宋体" w:hAnsi="宋体"/>
          <w:b/>
          <w:color w:val="000000" w:themeColor="text1"/>
          <w:highlight w:val="none"/>
        </w:rPr>
        <w:t>2、</w:t>
      </w:r>
      <w:r>
        <w:rPr>
          <w:rFonts w:hint="eastAsia" w:ascii="宋体" w:hAnsi="宋体"/>
          <w:b/>
          <w:bCs/>
          <w:color w:val="000000" w:themeColor="text1"/>
          <w:highlight w:val="none"/>
        </w:rPr>
        <w:t>干货制品：</w:t>
      </w:r>
      <w:r>
        <w:rPr>
          <w:rFonts w:hint="eastAsia" w:ascii="宋体" w:hAnsi="宋体"/>
          <w:color w:val="000000" w:themeColor="text1"/>
          <w:highlight w:val="none"/>
        </w:rPr>
        <w:t>要求为符合国家相关行业标准的产品，干爽、不霉烂、整齐、均匀、完整，无虫蛀、无杂质，保持应有的色泽。从加工、包装、运输、贮存到销售全部符合国家规定标准，尤其是二氧化硫残留量、总砷含量不超过国家卫生标准；招标人可根据实际情况对需要的干货制品进行品质抽检，对质</w:t>
      </w:r>
      <w:r>
        <w:rPr>
          <w:rFonts w:hint="eastAsia" w:ascii="宋体" w:hAnsi="宋体" w:cs="宋体"/>
          <w:bCs/>
          <w:color w:val="000000" w:themeColor="text1"/>
          <w:szCs w:val="21"/>
          <w:highlight w:val="none"/>
        </w:rPr>
        <w:t>量未达到国家标准的干货制品招标人有权拒绝接收。</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1</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黑木耳：黑木耳的质量一般以条形大而完整，耳瓣舒展少卷曲，内厚黑，富于光泽，体干不霉，无杂质和碎者为优，反之则差。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2</w:t>
      </w:r>
      <w:r>
        <w:rPr>
          <w:rFonts w:hint="eastAsia" w:ascii="宋体" w:hAnsi="宋体" w:cs="宋体"/>
          <w:bCs/>
          <w:color w:val="000000" w:themeColor="text1"/>
          <w:szCs w:val="21"/>
          <w:highlight w:val="none"/>
          <w:lang w:val="zh-CN"/>
        </w:rPr>
        <w:t>）香菇：根据采收季节和形状不同，香菇又分为花菇、厚菇、薄菇和菇丁四类，其中以花菇质量最好，厚菇次之，薄菇更差，菇丁质量最差。①花菇：朵小柄短，呈半球状，菇伞顶面有似菊花似的白色裂纹，肉厚、菌盖色泽淡黑，菇底褶，通过加工呈淡黄色，身干、质嫩、有芳香气味者为质好香菇。②厚菇：形状如伞，顶面无花纹，呈黑色并略有光泽，质嫩、肉厚、朵稍大，质量稍次。③薄菇：形状扁平、开伞、朵大、肉薄、菌盖表面浅褐色，菌褐白色，菌柄稍高，浅咖啡色，基部稍带红色或红褐色，质量比花菇厚，菇差，味淡。④菇丁：是指未充分发育的香菇，个小，直径在2cm以下，味淡质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3</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黄豆：豆皮色呈各种大豆固有的颜色，光彩油亮，洁净而有光泽，颗粒饱满，整齐均匀，无虫蛀粒，无杂质，无霉变。</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4</w:t>
      </w:r>
      <w:r>
        <w:rPr>
          <w:rFonts w:hint="eastAsia" w:ascii="宋体" w:hAnsi="宋体" w:cs="宋体"/>
          <w:bCs/>
          <w:color w:val="000000" w:themeColor="text1"/>
          <w:szCs w:val="21"/>
          <w:highlight w:val="none"/>
          <w:lang w:val="zh-CN"/>
        </w:rPr>
        <w:t>）花生：果荚呈土黄色或白色，果仁呈各不同品种所特有的颜色，色泽分布均匀一致，带荚花生和去荚果仁均颗粒饱满、形态完整、大小均匀，子叶肥厚而有光泽，无杂质，具有花生特有的气味、香味，无任何异味。</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en-US" w:eastAsia="zh-CN"/>
        </w:rPr>
        <w:t>5</w:t>
      </w:r>
      <w:r>
        <w:rPr>
          <w:rFonts w:hint="eastAsia" w:ascii="宋体" w:hAnsi="宋体" w:cs="宋体"/>
          <w:bCs/>
          <w:color w:val="000000" w:themeColor="text1"/>
          <w:szCs w:val="21"/>
          <w:highlight w:val="none"/>
        </w:rPr>
        <w:t>）</w:t>
      </w:r>
      <w:r>
        <w:rPr>
          <w:rFonts w:hint="eastAsia" w:ascii="宋体" w:hAnsi="宋体" w:cs="宋体"/>
          <w:bCs/>
          <w:color w:val="000000" w:themeColor="text1"/>
          <w:szCs w:val="21"/>
          <w:highlight w:val="none"/>
          <w:lang w:val="zh-CN"/>
        </w:rPr>
        <w:t>腐竹：腐竹又名豆腐皮和油皮，有一、二、三级品之分。一极品：色泽黄亮、干燥筋韧、耐贮、无碎块。二极品：颜色较一极品灰黄、干燥无碎块。三极品：颜色更灰黄、无光泽、易碎、筋韧性差。</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6</w:t>
      </w:r>
      <w:r>
        <w:rPr>
          <w:rFonts w:hint="eastAsia" w:ascii="宋体" w:hAnsi="宋体" w:cs="宋体"/>
          <w:bCs/>
          <w:color w:val="000000" w:themeColor="text1"/>
          <w:szCs w:val="21"/>
          <w:highlight w:val="none"/>
          <w:lang w:val="zh-CN"/>
        </w:rPr>
        <w:t>）粉丝：质量好的粉丝，粉条细长、白净、晶莹透明、丝条均匀、整齐、干燥，不易折断，无斑点、黑迹，无霉变，有粉丝特有的光泽。</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7</w:t>
      </w:r>
      <w:r>
        <w:rPr>
          <w:rFonts w:hint="eastAsia" w:ascii="宋体" w:hAnsi="宋体" w:cs="宋体"/>
          <w:bCs/>
          <w:color w:val="000000" w:themeColor="text1"/>
          <w:szCs w:val="21"/>
          <w:highlight w:val="none"/>
          <w:lang w:val="zh-CN"/>
        </w:rPr>
        <w:t>）干贝：上等干贝粒大完整、黄亮干燥、肉质饱满，肉丝清晰、粗且有特殊香气。粒小、碎破、色淡无光泽者较次。破碎、发黑发霉的为变质品。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8</w:t>
      </w:r>
      <w:r>
        <w:rPr>
          <w:rFonts w:hint="eastAsia" w:ascii="宋体" w:hAnsi="宋体" w:cs="宋体"/>
          <w:bCs/>
          <w:color w:val="000000" w:themeColor="text1"/>
          <w:szCs w:val="21"/>
          <w:highlight w:val="none"/>
          <w:lang w:val="zh-CN"/>
        </w:rPr>
        <w:t>）鱿鱼：市场上常见的鱿鱼有椭圆形和长方形，选购时应注意：体干、体形完整、光亮洁净、淡粉红色、片大头小、肉厚者为优。体形部分卷曲，尾部和背部红中透暗，两侧有微红点、体小而宽、肉薄者为次品。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lang w:val="zh-CN"/>
        </w:rPr>
        <w:t>（</w:t>
      </w:r>
      <w:r>
        <w:rPr>
          <w:rFonts w:hint="eastAsia" w:ascii="宋体" w:hAnsi="宋体" w:cs="宋体"/>
          <w:bCs/>
          <w:color w:val="000000" w:themeColor="text1"/>
          <w:szCs w:val="21"/>
          <w:highlight w:val="none"/>
          <w:lang w:val="en-US" w:eastAsia="zh-CN"/>
        </w:rPr>
        <w:t>9</w:t>
      </w:r>
      <w:r>
        <w:rPr>
          <w:rFonts w:hint="eastAsia" w:ascii="宋体" w:hAnsi="宋体" w:cs="宋体"/>
          <w:bCs/>
          <w:color w:val="000000" w:themeColor="text1"/>
          <w:szCs w:val="21"/>
          <w:highlight w:val="none"/>
          <w:lang w:val="zh-CN"/>
        </w:rPr>
        <w:t>）紫菜：属海产红藻类植物，因鲜紫菜叶较宽大，经干制成长方块形，散片状卷筒，其中以卷筒形柔嫩微脆、叶薄、色紫清香鲜美的为品质优。</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3、豆制品：</w:t>
      </w:r>
    </w:p>
    <w:p>
      <w:pPr>
        <w:snapToGrid w:val="0"/>
        <w:spacing w:line="360" w:lineRule="auto"/>
        <w:rPr>
          <w:rFonts w:hint="eastAsia" w:ascii="宋体" w:hAnsi="宋体" w:cs="宋体"/>
          <w:bCs/>
          <w:color w:val="000000" w:themeColor="text1"/>
          <w:szCs w:val="21"/>
          <w:highlight w:val="none"/>
          <w:lang w:val="zh-CN"/>
        </w:rPr>
      </w:pPr>
      <w:r>
        <w:rPr>
          <w:rFonts w:hint="eastAsia" w:ascii="宋体" w:hAnsi="宋体" w:cs="宋体"/>
          <w:bCs/>
          <w:color w:val="000000" w:themeColor="text1"/>
          <w:szCs w:val="21"/>
          <w:highlight w:val="none"/>
        </w:rPr>
        <w:t>（1）</w:t>
      </w:r>
      <w:r>
        <w:rPr>
          <w:rFonts w:hint="eastAsia" w:ascii="宋体" w:hAnsi="宋体" w:cs="宋体"/>
          <w:bCs/>
          <w:color w:val="000000" w:themeColor="text1"/>
          <w:szCs w:val="21"/>
          <w:highlight w:val="none"/>
          <w:lang w:val="zh-CN"/>
        </w:rPr>
        <w:t>豆腐：腐呈均匀的乳白色或淡黄色，稍有光泽，块形完整，软硬适度，富有一定的弹性，质地细嫩，结构均匀，无杂质，具有豆腐特有的香味，取样品品尝时口感细腻鲜嫩，味道纯正清香。</w:t>
      </w:r>
    </w:p>
    <w:p>
      <w:pPr>
        <w:snapToGrid w:val="0"/>
        <w:spacing w:line="360" w:lineRule="auto"/>
        <w:rPr>
          <w:rFonts w:hint="eastAsia" w:ascii="宋体" w:hAnsi="宋体" w:cs="宋体"/>
          <w:b/>
          <w:color w:val="000000" w:themeColor="text1"/>
          <w:szCs w:val="21"/>
          <w:highlight w:val="none"/>
        </w:rPr>
      </w:pPr>
      <w:r>
        <w:rPr>
          <w:rFonts w:hint="eastAsia" w:ascii="宋体" w:hAnsi="宋体" w:cs="宋体"/>
          <w:b/>
          <w:color w:val="000000" w:themeColor="text1"/>
          <w:szCs w:val="21"/>
          <w:highlight w:val="none"/>
        </w:rPr>
        <w:t>4、粮油（大米、面、油）</w:t>
      </w:r>
    </w:p>
    <w:p>
      <w:pPr>
        <w:snapToGrid w:val="0"/>
        <w:spacing w:line="360" w:lineRule="auto"/>
        <w:rPr>
          <w:rFonts w:hint="eastAsia" w:ascii="宋体" w:hAnsi="宋体" w:cs="宋体"/>
          <w:bCs/>
          <w:color w:val="000000" w:themeColor="text1"/>
          <w:szCs w:val="21"/>
          <w:highlight w:val="none"/>
        </w:rPr>
      </w:pPr>
      <w:r>
        <w:rPr>
          <w:rFonts w:hint="eastAsia" w:ascii="宋体" w:hAnsi="宋体" w:cs="宋体"/>
          <w:bCs/>
          <w:color w:val="000000" w:themeColor="text1"/>
          <w:szCs w:val="21"/>
          <w:highlight w:val="none"/>
        </w:rPr>
        <w:t xml:space="preserve">（1）供应产品的质量要求： </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bCs/>
          <w:color w:val="000000" w:themeColor="text1"/>
          <w:szCs w:val="21"/>
          <w:highlight w:val="none"/>
        </w:rPr>
        <w:t>①米、油货物必须符合卫生，不得有腐烂、变质、油脂酸败、霉变、生虫、污秽不结、混有异物</w:t>
      </w:r>
      <w:r>
        <w:rPr>
          <w:rFonts w:hint="eastAsia" w:ascii="宋体" w:hAnsi="宋体"/>
          <w:bCs/>
          <w:color w:val="000000" w:themeColor="text1"/>
          <w:highlight w:val="none"/>
        </w:rPr>
        <w:t>或者</w:t>
      </w:r>
      <w:r>
        <w:rPr>
          <w:rFonts w:hint="eastAsia" w:ascii="宋体" w:hAnsi="宋体"/>
          <w:color w:val="000000" w:themeColor="text1"/>
          <w:highlight w:val="none"/>
        </w:rPr>
        <w:t>其他感官性状异常，并可能对人体健康有害的物质。</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②米、油要提供SC认证、国家机关发出的产品检验合格证书。包装食品：包装箱完整，同时包装箱要印有注册商标、生产厂家名称、厂址、出厂日期、产品合格证、保质期限、产品成份、厂家电话号码。散装豆类：提供生产厂家营业执照、卫生许可证、国家机关发出的产品检验合格证书。中标供应商所提供产品质量必须要符合行业标准要求，不得有掺假、变质、变味、过期等现象出现，严禁伪劣、假冒、无证不合格物品进入仓库。</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olor w:val="000000" w:themeColor="text1"/>
          <w:highlight w:val="none"/>
        </w:rPr>
        <w:t>③中标供应商在供应过程中，如果发生出现质量问题或造成食物中毒,如变质等情况，经查实后确属中标供应商责任，中标供应商应承担全部责任，主要包括食物中毒人员医疗费、误工费、事故处理费等，直至追究刑事责任。</w:t>
      </w:r>
    </w:p>
    <w:p>
      <w:pPr>
        <w:snapToGrid w:val="0"/>
        <w:spacing w:line="360" w:lineRule="auto"/>
        <w:ind w:firstLine="210" w:firstLineChars="100"/>
        <w:rPr>
          <w:rFonts w:hint="eastAsia" w:ascii="宋体" w:hAnsi="宋体"/>
          <w:color w:val="000000" w:themeColor="text1"/>
          <w:highlight w:val="none"/>
        </w:rPr>
      </w:pPr>
      <w:r>
        <w:rPr>
          <w:rFonts w:hint="eastAsia" w:ascii="宋体" w:hAnsi="宋体" w:cs="宋体"/>
          <w:color w:val="000000" w:themeColor="text1"/>
          <w:highlight w:val="none"/>
        </w:rPr>
        <w:t>④</w:t>
      </w:r>
      <w:r>
        <w:rPr>
          <w:rFonts w:hint="eastAsia" w:ascii="宋体" w:hAnsi="宋体"/>
          <w:color w:val="000000" w:themeColor="text1"/>
          <w:highlight w:val="none"/>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中标供应商将承担全部责任。</w:t>
      </w:r>
    </w:p>
    <w:p>
      <w:pPr>
        <w:pStyle w:val="192"/>
        <w:tabs>
          <w:tab w:val="left" w:pos="545"/>
        </w:tabs>
        <w:ind w:firstLine="0" w:firstLineChars="0"/>
        <w:jc w:val="left"/>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1）大米</w:t>
      </w:r>
    </w:p>
    <w:tbl>
      <w:tblPr>
        <w:tblStyle w:val="47"/>
        <w:tblW w:w="93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74"/>
        <w:gridCol w:w="1266"/>
        <w:gridCol w:w="705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1074" w:type="dxa"/>
            <w:tcBorders>
              <w:bottom w:val="single" w:color="000000" w:sz="6" w:space="0"/>
              <w:right w:val="single" w:color="000000" w:sz="6" w:space="0"/>
            </w:tcBorders>
            <w:noWrap w:val="0"/>
            <w:vAlign w:val="top"/>
          </w:tcPr>
          <w:p>
            <w:pPr>
              <w:pStyle w:val="313"/>
              <w:spacing w:before="79"/>
              <w:ind w:left="268" w:right="269"/>
              <w:jc w:val="center"/>
              <w:rPr>
                <w:b/>
                <w:color w:val="000000" w:themeColor="text1"/>
                <w:sz w:val="21"/>
                <w:szCs w:val="21"/>
                <w:highlight w:val="none"/>
              </w:rPr>
            </w:pPr>
            <w:r>
              <w:rPr>
                <w:b/>
                <w:color w:val="000000" w:themeColor="text1"/>
                <w:sz w:val="21"/>
                <w:szCs w:val="21"/>
                <w:highlight w:val="none"/>
              </w:rPr>
              <w:t>序号</w:t>
            </w:r>
          </w:p>
        </w:tc>
        <w:tc>
          <w:tcPr>
            <w:tcW w:w="1266" w:type="dxa"/>
            <w:tcBorders>
              <w:left w:val="single" w:color="000000" w:sz="6" w:space="0"/>
              <w:bottom w:val="single" w:color="000000" w:sz="6" w:space="0"/>
              <w:right w:val="single" w:color="000000" w:sz="6" w:space="0"/>
            </w:tcBorders>
            <w:noWrap w:val="0"/>
            <w:vAlign w:val="top"/>
          </w:tcPr>
          <w:p>
            <w:pPr>
              <w:pStyle w:val="313"/>
              <w:spacing w:before="79"/>
              <w:ind w:right="546"/>
              <w:jc w:val="center"/>
              <w:rPr>
                <w:b/>
                <w:color w:val="000000" w:themeColor="text1"/>
                <w:sz w:val="21"/>
                <w:szCs w:val="21"/>
                <w:highlight w:val="none"/>
              </w:rPr>
            </w:pPr>
            <w:r>
              <w:rPr>
                <w:b/>
                <w:color w:val="000000" w:themeColor="text1"/>
                <w:sz w:val="21"/>
                <w:szCs w:val="21"/>
                <w:highlight w:val="none"/>
              </w:rPr>
              <w:t>品名</w:t>
            </w:r>
          </w:p>
        </w:tc>
        <w:tc>
          <w:tcPr>
            <w:tcW w:w="7052" w:type="dxa"/>
            <w:tcBorders>
              <w:left w:val="single" w:color="000000" w:sz="6" w:space="0"/>
              <w:bottom w:val="single" w:color="000000" w:sz="6" w:space="0"/>
            </w:tcBorders>
            <w:noWrap w:val="0"/>
            <w:vAlign w:val="top"/>
          </w:tcPr>
          <w:p>
            <w:pPr>
              <w:pStyle w:val="313"/>
              <w:spacing w:before="79"/>
              <w:ind w:right="3434"/>
              <w:jc w:val="center"/>
              <w:rPr>
                <w:b/>
                <w:color w:val="000000" w:themeColor="text1"/>
                <w:sz w:val="21"/>
                <w:szCs w:val="21"/>
                <w:highlight w:val="none"/>
              </w:rPr>
            </w:pPr>
            <w:r>
              <w:rPr>
                <w:b/>
                <w:color w:val="000000" w:themeColor="text1"/>
                <w:sz w:val="21"/>
                <w:szCs w:val="21"/>
                <w:highlight w:val="none"/>
              </w:rPr>
              <w:t>质量描述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5"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1</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大米</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大米须达GB/T 1354-2018二级标准，水分含量在12°以下，无掺杂、无沙石，碎米少，无黄粒米；</w:t>
            </w:r>
          </w:p>
          <w:p>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大米包装袋上印有大米品名、等级、数量、出厂名、厂家地址及其电话。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49"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2</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油</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按国家食用调和油质量标准SB/T 10292-1998；</w:t>
            </w:r>
          </w:p>
          <w:p>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有合格检疫报告，外观的色泽、透明度、气味滋味等无异常；</w:t>
            </w:r>
          </w:p>
          <w:p>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定型包装。</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3" w:hRule="atLeast"/>
          <w:jc w:val="center"/>
        </w:trPr>
        <w:tc>
          <w:tcPr>
            <w:tcW w:w="1074" w:type="dxa"/>
            <w:tcBorders>
              <w:top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3</w:t>
            </w:r>
          </w:p>
        </w:tc>
        <w:tc>
          <w:tcPr>
            <w:tcW w:w="1266"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高筋面粉（含面粉配料）</w:t>
            </w:r>
          </w:p>
        </w:tc>
        <w:tc>
          <w:tcPr>
            <w:tcW w:w="7052" w:type="dxa"/>
            <w:tcBorders>
              <w:top w:val="single" w:color="000000" w:sz="6" w:space="0"/>
              <w:left w:val="single" w:color="000000" w:sz="6" w:space="0"/>
              <w:bottom w:val="single" w:color="000000" w:sz="6" w:space="0"/>
            </w:tcBorders>
            <w:noWrap w:val="0"/>
            <w:vAlign w:val="top"/>
          </w:tcPr>
          <w:p>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高筋面粉达GB/T 8607-1988国家标准，质量等级一级；</w:t>
            </w:r>
          </w:p>
          <w:p>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13"/>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31" w:hRule="atLeast"/>
          <w:jc w:val="center"/>
        </w:trPr>
        <w:tc>
          <w:tcPr>
            <w:tcW w:w="1074" w:type="dxa"/>
            <w:tcBorders>
              <w:top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4</w:t>
            </w:r>
          </w:p>
        </w:tc>
        <w:tc>
          <w:tcPr>
            <w:tcW w:w="1266" w:type="dxa"/>
            <w:tcBorders>
              <w:top w:val="single" w:color="000000" w:sz="6" w:space="0"/>
              <w:left w:val="single" w:color="000000" w:sz="6" w:space="0"/>
              <w:right w:val="single" w:color="000000" w:sz="6" w:space="0"/>
            </w:tcBorders>
            <w:noWrap w:val="0"/>
            <w:vAlign w:val="top"/>
          </w:tcPr>
          <w:p>
            <w:pPr>
              <w:pStyle w:val="313"/>
              <w:spacing w:before="3"/>
              <w:jc w:val="center"/>
              <w:rPr>
                <w:rFonts w:hint="eastAsia"/>
                <w:color w:val="000000" w:themeColor="text1"/>
                <w:szCs w:val="21"/>
                <w:highlight w:val="none"/>
              </w:rPr>
            </w:pPr>
          </w:p>
          <w:p>
            <w:pPr>
              <w:pStyle w:val="313"/>
              <w:spacing w:before="3"/>
              <w:jc w:val="center"/>
              <w:rPr>
                <w:rFonts w:hint="eastAsia"/>
                <w:color w:val="000000" w:themeColor="text1"/>
                <w:szCs w:val="21"/>
                <w:highlight w:val="none"/>
              </w:rPr>
            </w:pPr>
            <w:r>
              <w:rPr>
                <w:rFonts w:hint="eastAsia"/>
                <w:color w:val="000000" w:themeColor="text1"/>
                <w:szCs w:val="21"/>
                <w:highlight w:val="none"/>
              </w:rPr>
              <w:t>低筋面粉（含面粉配料）</w:t>
            </w:r>
          </w:p>
        </w:tc>
        <w:tc>
          <w:tcPr>
            <w:tcW w:w="7052" w:type="dxa"/>
            <w:tcBorders>
              <w:top w:val="single" w:color="000000" w:sz="6" w:space="0"/>
              <w:left w:val="single" w:color="000000" w:sz="6" w:space="0"/>
            </w:tcBorders>
            <w:noWrap w:val="0"/>
            <w:vAlign w:val="top"/>
          </w:tcPr>
          <w:p>
            <w:pPr>
              <w:pStyle w:val="313"/>
              <w:spacing w:before="3"/>
              <w:rPr>
                <w:rFonts w:hint="eastAsia"/>
                <w:color w:val="000000" w:themeColor="text1"/>
                <w:szCs w:val="21"/>
                <w:highlight w:val="none"/>
              </w:rPr>
            </w:pPr>
            <w:r>
              <w:rPr>
                <w:rFonts w:hint="eastAsia"/>
                <w:color w:val="000000" w:themeColor="text1"/>
                <w:szCs w:val="21"/>
                <w:highlight w:val="none"/>
                <w:lang w:val="en-US"/>
              </w:rPr>
              <w:t>1.</w:t>
            </w:r>
            <w:r>
              <w:rPr>
                <w:rFonts w:hint="eastAsia"/>
                <w:color w:val="000000" w:themeColor="text1"/>
                <w:szCs w:val="21"/>
                <w:highlight w:val="none"/>
              </w:rPr>
              <w:t>低筋面粉达GB/T 8608-1988标准，质量等级一级；</w:t>
            </w:r>
          </w:p>
          <w:p>
            <w:pPr>
              <w:pStyle w:val="313"/>
              <w:spacing w:before="3"/>
              <w:rPr>
                <w:rFonts w:hint="eastAsia"/>
                <w:color w:val="000000" w:themeColor="text1"/>
                <w:szCs w:val="21"/>
                <w:highlight w:val="none"/>
              </w:rPr>
            </w:pPr>
            <w:r>
              <w:rPr>
                <w:rFonts w:hint="eastAsia"/>
                <w:color w:val="000000" w:themeColor="text1"/>
                <w:szCs w:val="21"/>
                <w:highlight w:val="none"/>
                <w:lang w:val="en-US"/>
              </w:rPr>
              <w:t>2.</w:t>
            </w:r>
            <w:r>
              <w:rPr>
                <w:rFonts w:hint="eastAsia"/>
                <w:color w:val="000000" w:themeColor="text1"/>
                <w:szCs w:val="21"/>
                <w:highlight w:val="none"/>
              </w:rPr>
              <w:t>色泽正常，干爽无异味；</w:t>
            </w:r>
          </w:p>
          <w:p>
            <w:pPr>
              <w:pStyle w:val="313"/>
              <w:spacing w:before="3"/>
              <w:rPr>
                <w:rFonts w:hint="eastAsia"/>
                <w:color w:val="000000" w:themeColor="text1"/>
                <w:szCs w:val="21"/>
                <w:highlight w:val="none"/>
              </w:rPr>
            </w:pPr>
            <w:r>
              <w:rPr>
                <w:rFonts w:hint="eastAsia"/>
                <w:color w:val="000000" w:themeColor="text1"/>
                <w:szCs w:val="21"/>
                <w:highlight w:val="none"/>
                <w:lang w:val="en-US"/>
              </w:rPr>
              <w:t>3.</w:t>
            </w:r>
            <w:r>
              <w:rPr>
                <w:rFonts w:hint="eastAsia"/>
                <w:color w:val="000000" w:themeColor="text1"/>
                <w:szCs w:val="21"/>
                <w:highlight w:val="none"/>
              </w:rPr>
              <w:t>按进货量抽查20％，数量按抽查验收实数为准；</w:t>
            </w:r>
          </w:p>
          <w:p>
            <w:pPr>
              <w:pStyle w:val="313"/>
              <w:spacing w:before="3"/>
              <w:rPr>
                <w:rFonts w:hint="eastAsia"/>
                <w:color w:val="000000" w:themeColor="text1"/>
                <w:szCs w:val="21"/>
                <w:highlight w:val="none"/>
              </w:rPr>
            </w:pPr>
            <w:r>
              <w:rPr>
                <w:rFonts w:hint="eastAsia"/>
                <w:color w:val="000000" w:themeColor="text1"/>
                <w:szCs w:val="21"/>
                <w:highlight w:val="none"/>
                <w:lang w:val="en-US"/>
              </w:rPr>
              <w:t>4.</w:t>
            </w:r>
            <w:r>
              <w:rPr>
                <w:rFonts w:hint="eastAsia"/>
                <w:color w:val="000000" w:themeColor="text1"/>
                <w:szCs w:val="21"/>
                <w:highlight w:val="none"/>
              </w:rPr>
              <w:t>包装袋上有注册商标及QS标注，有检验合格证、生产日期和保质期。</w:t>
            </w:r>
          </w:p>
        </w:tc>
      </w:tr>
    </w:tbl>
    <w:p>
      <w:pPr>
        <w:pStyle w:val="192"/>
        <w:tabs>
          <w:tab w:val="left" w:pos="545"/>
        </w:tabs>
        <w:spacing w:before="86"/>
        <w:ind w:left="420" w:leftChars="200" w:firstLine="0" w:firstLineChars="0"/>
        <w:jc w:val="left"/>
        <w:rPr>
          <w:color w:val="000000" w:themeColor="text1"/>
          <w:sz w:val="15"/>
          <w:highlight w:val="none"/>
        </w:rPr>
      </w:pPr>
      <w:r>
        <w:rPr>
          <w:color w:val="000000" w:themeColor="text1"/>
          <w:szCs w:val="21"/>
          <w:highlight w:val="none"/>
        </w:rPr>
        <w:t>大米检测标准要求</w:t>
      </w:r>
    </w:p>
    <w:tbl>
      <w:tblPr>
        <w:tblStyle w:val="47"/>
        <w:tblW w:w="90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0"/>
        <w:gridCol w:w="2156"/>
        <w:gridCol w:w="1988"/>
        <w:gridCol w:w="3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序号</w:t>
            </w:r>
          </w:p>
        </w:tc>
        <w:tc>
          <w:tcPr>
            <w:tcW w:w="4144" w:type="dxa"/>
            <w:gridSpan w:val="2"/>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内容</w:t>
            </w:r>
          </w:p>
        </w:tc>
        <w:tc>
          <w:tcPr>
            <w:tcW w:w="3987" w:type="dxa"/>
            <w:noWrap w:val="0"/>
            <w:vAlign w:val="center"/>
          </w:tcPr>
          <w:p>
            <w:pPr>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质量标准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加工精度</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符合二等品或以上要求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不完善粒</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w:t>
            </w:r>
          </w:p>
        </w:tc>
        <w:tc>
          <w:tcPr>
            <w:tcW w:w="2156" w:type="dxa"/>
            <w:vMerge w:val="restart"/>
            <w:noWrap w:val="0"/>
            <w:vAlign w:val="center"/>
          </w:tcPr>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p>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最大限度杂质</w:t>
            </w: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4</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糠粉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5</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矿物质</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6</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带壳稞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≤70粒/kg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7</w:t>
            </w:r>
          </w:p>
        </w:tc>
        <w:tc>
          <w:tcPr>
            <w:tcW w:w="2156" w:type="dxa"/>
            <w:vMerge w:val="continue"/>
            <w:tcBorders>
              <w:top w:val="nil"/>
            </w:tcBorders>
            <w:noWrap w:val="0"/>
            <w:vAlign w:val="center"/>
          </w:tcPr>
          <w:p>
            <w:pPr>
              <w:jc w:val="center"/>
              <w:rPr>
                <w:rFonts w:hint="eastAsia" w:ascii="宋体" w:hAnsi="宋体" w:cs="宋体"/>
                <w:color w:val="000000" w:themeColor="text1"/>
                <w:highlight w:val="none"/>
              </w:rPr>
            </w:pPr>
          </w:p>
        </w:tc>
        <w:tc>
          <w:tcPr>
            <w:tcW w:w="1988"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稻谷粒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≤16粒/kg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8</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碎米总量</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9</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小碎米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10</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黄粒米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11</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水份</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12</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六六六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13</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 xml:space="preserve">滴滴涕 </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≤0.05mg/kg</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7"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14</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色泽、气味、口味</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正常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15</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标签检验</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符合 GB2715-2016 标准第九款要求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930"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16</w:t>
            </w:r>
          </w:p>
        </w:tc>
        <w:tc>
          <w:tcPr>
            <w:tcW w:w="4144" w:type="dxa"/>
            <w:gridSpan w:val="2"/>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镉</w:t>
            </w:r>
          </w:p>
        </w:tc>
        <w:tc>
          <w:tcPr>
            <w:tcW w:w="3987" w:type="dxa"/>
            <w:noWrap w:val="0"/>
            <w:vAlign w:val="center"/>
          </w:tcPr>
          <w:p>
            <w:pPr>
              <w:jc w:val="center"/>
              <w:rPr>
                <w:rFonts w:hint="eastAsia" w:ascii="宋体" w:hAnsi="宋体" w:cs="宋体"/>
                <w:color w:val="000000" w:themeColor="text1"/>
                <w:highlight w:val="none"/>
              </w:rPr>
            </w:pPr>
            <w:r>
              <w:rPr>
                <w:rFonts w:hint="eastAsia" w:ascii="宋体" w:hAnsi="宋体" w:cs="宋体"/>
                <w:color w:val="000000" w:themeColor="text1"/>
                <w:highlight w:val="none"/>
              </w:rPr>
              <w:t>≤0.2mg/kg</w:t>
            </w:r>
          </w:p>
        </w:tc>
      </w:tr>
    </w:tbl>
    <w:p>
      <w:pPr>
        <w:pStyle w:val="192"/>
        <w:tabs>
          <w:tab w:val="left" w:pos="545"/>
        </w:tabs>
        <w:spacing w:before="86"/>
        <w:ind w:firstLine="0" w:firstLineChars="0"/>
        <w:jc w:val="left"/>
        <w:rPr>
          <w:color w:val="000000" w:themeColor="text1"/>
          <w:szCs w:val="21"/>
          <w:highlight w:val="none"/>
        </w:rPr>
      </w:pPr>
      <w:r>
        <w:rPr>
          <w:rFonts w:hint="eastAsia" w:ascii="宋体" w:hAnsi="宋体" w:cs="宋体"/>
          <w:color w:val="000000" w:themeColor="text1"/>
          <w:szCs w:val="21"/>
          <w:highlight w:val="none"/>
        </w:rPr>
        <w:t>2）特</w:t>
      </w:r>
      <w:r>
        <w:rPr>
          <w:color w:val="000000" w:themeColor="text1"/>
          <w:szCs w:val="21"/>
          <w:highlight w:val="none"/>
        </w:rPr>
        <w:t>一级面粉理化指标</w:t>
      </w:r>
    </w:p>
    <w:tbl>
      <w:tblPr>
        <w:tblStyle w:val="47"/>
        <w:tblW w:w="917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185"/>
        <w:gridCol w:w="499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185" w:type="dxa"/>
            <w:tcBorders>
              <w:bottom w:val="single" w:color="000000" w:sz="6" w:space="0"/>
              <w:right w:val="single" w:color="000000" w:sz="6" w:space="0"/>
            </w:tcBorders>
            <w:noWrap w:val="0"/>
            <w:vAlign w:val="top"/>
          </w:tcPr>
          <w:p>
            <w:pPr>
              <w:pStyle w:val="313"/>
              <w:spacing w:before="79"/>
              <w:ind w:left="948" w:right="949"/>
              <w:jc w:val="center"/>
              <w:rPr>
                <w:b/>
                <w:color w:val="000000" w:themeColor="text1"/>
                <w:szCs w:val="21"/>
                <w:highlight w:val="none"/>
              </w:rPr>
            </w:pPr>
            <w:r>
              <w:rPr>
                <w:b/>
                <w:color w:val="000000" w:themeColor="text1"/>
                <w:szCs w:val="21"/>
                <w:highlight w:val="none"/>
              </w:rPr>
              <w:t>项目</w:t>
            </w:r>
          </w:p>
        </w:tc>
        <w:tc>
          <w:tcPr>
            <w:tcW w:w="4990" w:type="dxa"/>
            <w:tcBorders>
              <w:left w:val="single" w:color="000000" w:sz="6" w:space="0"/>
              <w:bottom w:val="single" w:color="000000" w:sz="6" w:space="0"/>
            </w:tcBorders>
            <w:noWrap w:val="0"/>
            <w:vAlign w:val="top"/>
          </w:tcPr>
          <w:p>
            <w:pPr>
              <w:pStyle w:val="313"/>
              <w:spacing w:before="79"/>
              <w:ind w:left="1015" w:right="1013"/>
              <w:jc w:val="center"/>
              <w:rPr>
                <w:b/>
                <w:color w:val="000000" w:themeColor="text1"/>
                <w:szCs w:val="21"/>
                <w:highlight w:val="none"/>
              </w:rPr>
            </w:pPr>
            <w:r>
              <w:rPr>
                <w:b/>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加工精度</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粉色合格，麸星合格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粗细度</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right="348" w:rightChars="0"/>
              <w:rPr>
                <w:color w:val="000000" w:themeColor="text1"/>
                <w:szCs w:val="21"/>
                <w:highlight w:val="none"/>
              </w:rPr>
            </w:pPr>
            <w:r>
              <w:rPr>
                <w:color w:val="000000" w:themeColor="text1"/>
                <w:szCs w:val="21"/>
                <w:highlight w:val="none"/>
              </w:rPr>
              <w:t>GB36号全部通过；GB42晒留存量不超</w:t>
            </w:r>
            <w:r>
              <w:rPr>
                <w:rFonts w:hint="eastAsia"/>
                <w:color w:val="000000" w:themeColor="text1"/>
                <w:szCs w:val="21"/>
                <w:highlight w:val="none"/>
              </w:rPr>
              <w:t>过</w:t>
            </w:r>
            <w:r>
              <w:rPr>
                <w:color w:val="000000" w:themeColor="text1"/>
                <w:szCs w:val="21"/>
                <w:highlight w:val="none"/>
              </w:rPr>
              <w:t>10.0%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7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面筋质（以湿重计）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≥26.0%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2"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含砂量</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灰分（以干物质计）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≤0.70%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水分</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磁性金属物质</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脂肪酸值（湿基计）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right="949"/>
              <w:jc w:val="center"/>
              <w:rPr>
                <w:color w:val="000000" w:themeColor="text1"/>
                <w:szCs w:val="21"/>
                <w:highlight w:val="none"/>
              </w:rPr>
            </w:pPr>
            <w:r>
              <w:rPr>
                <w:color w:val="000000" w:themeColor="text1"/>
                <w:szCs w:val="21"/>
                <w:highlight w:val="none"/>
              </w:rPr>
              <w:t>六六六（以成品粮计）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right="949"/>
              <w:jc w:val="center"/>
              <w:rPr>
                <w:color w:val="000000" w:themeColor="text1"/>
                <w:szCs w:val="21"/>
                <w:highlight w:val="none"/>
              </w:rPr>
            </w:pPr>
            <w:r>
              <w:rPr>
                <w:color w:val="000000" w:themeColor="text1"/>
                <w:szCs w:val="21"/>
                <w:highlight w:val="none"/>
              </w:rPr>
              <w:t>滴滴涕（成品粮计）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185" w:type="dxa"/>
            <w:tcBorders>
              <w:top w:val="single" w:color="000000" w:sz="6" w:space="0"/>
              <w:bottom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汞（成品粮计）</w:t>
            </w:r>
          </w:p>
        </w:tc>
        <w:tc>
          <w:tcPr>
            <w:tcW w:w="4990" w:type="dxa"/>
            <w:tcBorders>
              <w:top w:val="single" w:color="000000" w:sz="6" w:space="0"/>
              <w:left w:val="single" w:color="000000" w:sz="6" w:space="0"/>
              <w:bottom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8" w:hRule="atLeast"/>
          <w:jc w:val="center"/>
        </w:trPr>
        <w:tc>
          <w:tcPr>
            <w:tcW w:w="4185" w:type="dxa"/>
            <w:tcBorders>
              <w:top w:val="single" w:color="000000" w:sz="6" w:space="0"/>
              <w:right w:val="single" w:color="000000" w:sz="6" w:space="0"/>
            </w:tcBorders>
            <w:noWrap w:val="0"/>
            <w:vAlign w:val="top"/>
          </w:tcPr>
          <w:p>
            <w:pPr>
              <w:pStyle w:val="313"/>
              <w:spacing w:before="80"/>
              <w:ind w:left="968" w:right="949"/>
              <w:jc w:val="center"/>
              <w:rPr>
                <w:color w:val="000000" w:themeColor="text1"/>
                <w:szCs w:val="21"/>
                <w:highlight w:val="none"/>
              </w:rPr>
            </w:pPr>
            <w:r>
              <w:rPr>
                <w:color w:val="000000" w:themeColor="text1"/>
                <w:szCs w:val="21"/>
                <w:highlight w:val="none"/>
              </w:rPr>
              <w:t>黄霉素毒素B1</w:t>
            </w:r>
          </w:p>
        </w:tc>
        <w:tc>
          <w:tcPr>
            <w:tcW w:w="4990" w:type="dxa"/>
            <w:tcBorders>
              <w:top w:val="single" w:color="000000" w:sz="6" w:space="0"/>
              <w:left w:val="single" w:color="000000" w:sz="6" w:space="0"/>
            </w:tcBorders>
            <w:noWrap w:val="0"/>
            <w:vAlign w:val="top"/>
          </w:tcPr>
          <w:p>
            <w:pPr>
              <w:pStyle w:val="313"/>
              <w:spacing w:before="80"/>
              <w:ind w:left="968" w:right="949"/>
              <w:jc w:val="center"/>
              <w:rPr>
                <w:rFonts w:hint="eastAsia" w:eastAsia="宋体"/>
                <w:color w:val="000000" w:themeColor="text1"/>
                <w:szCs w:val="21"/>
                <w:highlight w:val="none"/>
                <w:lang w:val="en-US" w:eastAsia="zh-CN"/>
              </w:rPr>
            </w:pPr>
            <w:r>
              <w:rPr>
                <w:color w:val="000000" w:themeColor="text1"/>
                <w:szCs w:val="21"/>
                <w:highlight w:val="none"/>
              </w:rPr>
              <w:t>≤5μg/kg</w:t>
            </w:r>
            <w:r>
              <w:rPr>
                <w:rFonts w:hint="eastAsia"/>
                <w:color w:val="000000" w:themeColor="text1"/>
                <w:szCs w:val="21"/>
                <w:highlight w:val="none"/>
                <w:lang w:val="en-US" w:eastAsia="zh-CN"/>
              </w:rPr>
              <w:t xml:space="preserve"> </w:t>
            </w:r>
          </w:p>
        </w:tc>
      </w:tr>
    </w:tbl>
    <w:p>
      <w:pPr>
        <w:pStyle w:val="192"/>
        <w:tabs>
          <w:tab w:val="left" w:pos="545"/>
        </w:tabs>
        <w:spacing w:before="141"/>
        <w:ind w:firstLine="0" w:firstLineChars="0"/>
        <w:jc w:val="left"/>
        <w:rPr>
          <w:color w:val="000000" w:themeColor="text1"/>
          <w:szCs w:val="21"/>
          <w:highlight w:val="none"/>
        </w:rPr>
      </w:pPr>
      <w:r>
        <w:rPr>
          <w:color w:val="000000" w:themeColor="text1"/>
          <w:szCs w:val="21"/>
          <w:highlight w:val="none"/>
        </w:rPr>
        <w:t>标准面粉理化指标</w:t>
      </w:r>
    </w:p>
    <w:tbl>
      <w:tblPr>
        <w:tblStyle w:val="47"/>
        <w:tblW w:w="916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555"/>
        <w:gridCol w:w="5607"/>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3555" w:type="dxa"/>
            <w:tcBorders>
              <w:bottom w:val="single" w:color="000000" w:sz="6" w:space="0"/>
              <w:right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5607" w:type="dxa"/>
            <w:tcBorders>
              <w:left w:val="single" w:color="000000" w:sz="6" w:space="0"/>
              <w:bottom w:val="single" w:color="000000" w:sz="6" w:space="0"/>
            </w:tcBorders>
            <w:noWrap w:val="0"/>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加工精度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对照实物标准样品对照检验粉色、麸星</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灰分（以干物质计）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粗细度</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全部通过CQ20号筛，留存在CB30号筛的不超过20.0%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面筋质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含砂量</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磁性金属物质</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≤0.003g/kg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脂肪酸值（湿基计）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六六六（以成品粮计）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≤0.3mg/kg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滴滴涕（成品粮计）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3555"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汞（成品粮计）</w:t>
            </w:r>
          </w:p>
        </w:tc>
        <w:tc>
          <w:tcPr>
            <w:tcW w:w="5607"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≤0.02mg/kg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3555"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黄霉素毒素 B1</w:t>
            </w:r>
          </w:p>
        </w:tc>
        <w:tc>
          <w:tcPr>
            <w:tcW w:w="5607"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≤5μg/kg</w:t>
            </w:r>
          </w:p>
        </w:tc>
      </w:tr>
    </w:tbl>
    <w:p>
      <w:pPr>
        <w:pStyle w:val="192"/>
        <w:tabs>
          <w:tab w:val="left" w:pos="545"/>
        </w:tabs>
        <w:spacing w:before="141"/>
        <w:ind w:firstLine="0" w:firstLineChars="0"/>
        <w:jc w:val="left"/>
        <w:rPr>
          <w:color w:val="000000" w:themeColor="text1"/>
          <w:szCs w:val="21"/>
          <w:highlight w:val="none"/>
        </w:rPr>
      </w:pPr>
      <w:r>
        <w:rPr>
          <w:rFonts w:hint="eastAsia" w:ascii="宋体" w:hAnsi="宋体" w:cs="宋体"/>
          <w:color w:val="000000" w:themeColor="text1"/>
          <w:szCs w:val="21"/>
          <w:highlight w:val="none"/>
        </w:rPr>
        <w:t>3）油</w:t>
      </w:r>
      <w:r>
        <w:rPr>
          <w:color w:val="000000" w:themeColor="text1"/>
          <w:szCs w:val="21"/>
          <w:highlight w:val="none"/>
        </w:rPr>
        <w:t>类执行标准</w:t>
      </w:r>
    </w:p>
    <w:tbl>
      <w:tblPr>
        <w:tblStyle w:val="47"/>
        <w:tblW w:w="908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35"/>
        <w:gridCol w:w="2887"/>
        <w:gridCol w:w="1853"/>
        <w:gridCol w:w="24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油类</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食用植物油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 2716-2005</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棉籽油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1537-2019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花生油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油茶籽油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11765-2018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大豆油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1535-2017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玉米油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19111-2017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9" w:hRule="atLeast"/>
          <w:jc w:val="center"/>
        </w:trPr>
        <w:tc>
          <w:tcPr>
            <w:tcW w:w="1935"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葵花籽油</w:t>
            </w:r>
          </w:p>
        </w:tc>
        <w:tc>
          <w:tcPr>
            <w:tcW w:w="2887"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10464-2017</w:t>
            </w:r>
          </w:p>
        </w:tc>
        <w:tc>
          <w:tcPr>
            <w:tcW w:w="1853"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米糠油</w:t>
            </w:r>
          </w:p>
        </w:tc>
        <w:tc>
          <w:tcPr>
            <w:tcW w:w="2406" w:type="dxa"/>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GB/T 19112-2003</w:t>
            </w:r>
          </w:p>
        </w:tc>
      </w:tr>
    </w:tbl>
    <w:p>
      <w:pPr>
        <w:pStyle w:val="192"/>
        <w:tabs>
          <w:tab w:val="left" w:pos="545"/>
        </w:tabs>
        <w:spacing w:before="86"/>
        <w:ind w:firstLine="0" w:firstLineChars="0"/>
        <w:jc w:val="left"/>
        <w:rPr>
          <w:color w:val="000000" w:themeColor="text1"/>
          <w:szCs w:val="21"/>
          <w:highlight w:val="none"/>
        </w:rPr>
      </w:pPr>
    </w:p>
    <w:p>
      <w:pPr>
        <w:pStyle w:val="192"/>
        <w:tabs>
          <w:tab w:val="left" w:pos="545"/>
        </w:tabs>
        <w:spacing w:before="86"/>
        <w:ind w:firstLine="0" w:firstLineChars="0"/>
        <w:jc w:val="left"/>
        <w:rPr>
          <w:color w:val="000000" w:themeColor="text1"/>
          <w:szCs w:val="21"/>
          <w:highlight w:val="none"/>
        </w:rPr>
      </w:pPr>
      <w:r>
        <w:rPr>
          <w:color w:val="000000" w:themeColor="text1"/>
          <w:szCs w:val="21"/>
          <w:highlight w:val="none"/>
        </w:rPr>
        <w:t>花生原油质量指标</w:t>
      </w:r>
    </w:p>
    <w:tbl>
      <w:tblPr>
        <w:tblStyle w:val="47"/>
        <w:tblW w:w="952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320"/>
        <w:gridCol w:w="5205"/>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5205" w:type="dxa"/>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具有花生原油固有的气味和滋味，无异味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≤4.0mg/g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4320"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w:t>
            </w:r>
          </w:p>
        </w:tc>
        <w:tc>
          <w:tcPr>
            <w:tcW w:w="5205"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≤7.5mmol/kg</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4320"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w:t>
            </w:r>
          </w:p>
        </w:tc>
        <w:tc>
          <w:tcPr>
            <w:tcW w:w="5205"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≤100mg/kg</w:t>
            </w:r>
          </w:p>
        </w:tc>
      </w:tr>
    </w:tbl>
    <w:p>
      <w:pPr>
        <w:rPr>
          <w:color w:val="000000" w:themeColor="text1"/>
          <w:highlight w:val="none"/>
        </w:rPr>
      </w:pPr>
      <w:r>
        <w:rPr>
          <w:color w:val="000000" w:themeColor="text1"/>
          <w:highlight w:val="none"/>
        </w:rPr>
        <w:t>压榨成品花生油质量指标</w:t>
      </w:r>
    </w:p>
    <w:tbl>
      <w:tblPr>
        <w:tblStyle w:val="47"/>
        <w:tblW w:w="965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333"/>
        <w:gridCol w:w="3568"/>
        <w:gridCol w:w="3580"/>
        <w:gridCol w:w="17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1" w:hRule="atLeast"/>
          <w:jc w:val="center"/>
        </w:trPr>
        <w:tc>
          <w:tcPr>
            <w:tcW w:w="2333" w:type="dxa"/>
            <w:vMerge w:val="restart"/>
            <w:tcBorders>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项目</w:t>
            </w:r>
          </w:p>
        </w:tc>
        <w:tc>
          <w:tcPr>
            <w:tcW w:w="7319" w:type="dxa"/>
            <w:gridSpan w:val="3"/>
            <w:tcBorders>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393" w:hRule="atLeast"/>
          <w:jc w:val="center"/>
        </w:trPr>
        <w:tc>
          <w:tcPr>
            <w:tcW w:w="2333" w:type="dxa"/>
            <w:vMerge w:val="continue"/>
            <w:tcBorders>
              <w:top w:val="nil"/>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一级</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二级</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381"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色泽(罗维朋比色槽 25.4mm)≤</w:t>
            </w: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黄15  红1.5</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黄25  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417"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气味、滋味</w:t>
            </w: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具有花生油固有的香味和滋味，无异味。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透明度</w:t>
            </w: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澄清、透明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416"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水分及挥发物(%)≤</w:t>
            </w: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0.10</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0.15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不溶性杂质(%)≤</w:t>
            </w: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酸值(KOH)/(mg/g)≤</w:t>
            </w: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429"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过氧化值/(mmol/g)≤</w:t>
            </w: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6.0</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393" w:hRule="atLeast"/>
          <w:jc w:val="center"/>
        </w:trPr>
        <w:tc>
          <w:tcPr>
            <w:tcW w:w="2333" w:type="dxa"/>
            <w:tcBorders>
              <w:top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溶剂残留量/(mg/kg)</w:t>
            </w:r>
          </w:p>
        </w:tc>
        <w:tc>
          <w:tcPr>
            <w:tcW w:w="3568" w:type="dxa"/>
            <w:tcBorders>
              <w:top w:val="single" w:color="000000" w:sz="6" w:space="0"/>
              <w:left w:val="single" w:color="000000" w:sz="6" w:space="0"/>
              <w:bottom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c>
          <w:tcPr>
            <w:tcW w:w="3580" w:type="dxa"/>
            <w:tcBorders>
              <w:top w:val="single" w:color="000000" w:sz="6" w:space="0"/>
              <w:left w:val="single" w:color="000000" w:sz="6" w:space="0"/>
              <w:bottom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不得检出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gridAfter w:val="1"/>
          <w:wAfter w:w="171" w:type="dxa"/>
          <w:trHeight w:val="1031" w:hRule="atLeast"/>
          <w:jc w:val="center"/>
        </w:trPr>
        <w:tc>
          <w:tcPr>
            <w:tcW w:w="2333" w:type="dxa"/>
            <w:tcBorders>
              <w:top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p>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加热试验(280℃)</w:t>
            </w:r>
          </w:p>
        </w:tc>
        <w:tc>
          <w:tcPr>
            <w:tcW w:w="3568" w:type="dxa"/>
            <w:tcBorders>
              <w:top w:val="single" w:color="000000" w:sz="6" w:space="0"/>
              <w:left w:val="single" w:color="000000" w:sz="6" w:space="0"/>
              <w:righ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无析出物，罗维朋比色：黄色值不变，红色值增加小于0.4。</w:t>
            </w:r>
          </w:p>
        </w:tc>
        <w:tc>
          <w:tcPr>
            <w:tcW w:w="3580" w:type="dxa"/>
            <w:tcBorders>
              <w:top w:val="single" w:color="000000" w:sz="6" w:space="0"/>
              <w:left w:val="single" w:color="000000" w:sz="6" w:space="0"/>
            </w:tcBorders>
            <w:noWrap w:val="0"/>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微量析出物，罗维朋比色：黄色值不变，红色值增加小于4.0，蓝色值增加小于0.5。</w:t>
            </w:r>
          </w:p>
        </w:tc>
      </w:tr>
    </w:tbl>
    <w:p>
      <w:pPr>
        <w:rPr>
          <w:rFonts w:hint="eastAsia"/>
          <w:color w:val="000000" w:themeColor="text1"/>
          <w:highlight w:val="none"/>
        </w:rPr>
      </w:pPr>
      <w:r>
        <w:rPr>
          <w:rFonts w:hint="eastAsia"/>
          <w:color w:val="000000" w:themeColor="text1"/>
          <w:highlight w:val="none"/>
        </w:rPr>
        <w:t>浸出成品花生油质量指标</w:t>
      </w:r>
    </w:p>
    <w:tbl>
      <w:tblPr>
        <w:tblStyle w:val="47"/>
        <w:tblW w:w="982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581"/>
        <w:gridCol w:w="1725"/>
        <w:gridCol w:w="1725"/>
        <w:gridCol w:w="1725"/>
        <w:gridCol w:w="20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vMerge w:val="restart"/>
            <w:tcBorders>
              <w:bottom w:val="single" w:color="000000" w:sz="6" w:space="0"/>
              <w:right w:val="single" w:color="000000" w:sz="6" w:space="0"/>
            </w:tcBorders>
            <w:noWrap w:val="0"/>
            <w:vAlign w:val="top"/>
          </w:tcPr>
          <w:p>
            <w:pPr>
              <w:pStyle w:val="313"/>
              <w:spacing w:before="1"/>
              <w:rPr>
                <w:color w:val="000000" w:themeColor="text1"/>
                <w:szCs w:val="21"/>
                <w:highlight w:val="none"/>
              </w:rPr>
            </w:pPr>
          </w:p>
          <w:p>
            <w:pPr>
              <w:pStyle w:val="313"/>
              <w:spacing w:before="0"/>
              <w:ind w:left="1001" w:right="1002"/>
              <w:jc w:val="center"/>
              <w:rPr>
                <w:b/>
                <w:color w:val="000000" w:themeColor="text1"/>
                <w:szCs w:val="21"/>
                <w:highlight w:val="none"/>
              </w:rPr>
            </w:pPr>
            <w:r>
              <w:rPr>
                <w:b/>
                <w:color w:val="000000" w:themeColor="text1"/>
                <w:szCs w:val="21"/>
                <w:highlight w:val="none"/>
              </w:rPr>
              <w:t>项目</w:t>
            </w:r>
          </w:p>
        </w:tc>
        <w:tc>
          <w:tcPr>
            <w:tcW w:w="7245" w:type="dxa"/>
            <w:gridSpan w:val="4"/>
            <w:tcBorders>
              <w:left w:val="single" w:color="000000" w:sz="6" w:space="0"/>
              <w:bottom w:val="single" w:color="000000" w:sz="6" w:space="0"/>
            </w:tcBorders>
            <w:noWrap w:val="0"/>
            <w:vAlign w:val="top"/>
          </w:tcPr>
          <w:p>
            <w:pPr>
              <w:pStyle w:val="313"/>
              <w:spacing w:before="79"/>
              <w:ind w:left="1484" w:right="1473"/>
              <w:jc w:val="center"/>
              <w:rPr>
                <w:b/>
                <w:color w:val="000000" w:themeColor="text1"/>
                <w:szCs w:val="21"/>
                <w:highlight w:val="none"/>
              </w:rPr>
            </w:pPr>
            <w:r>
              <w:rPr>
                <w:b/>
                <w:color w:val="000000" w:themeColor="text1"/>
                <w:szCs w:val="21"/>
                <w:highlight w:val="none"/>
              </w:rPr>
              <w:t>质量指标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3" w:hRule="atLeast"/>
          <w:jc w:val="center"/>
        </w:trPr>
        <w:tc>
          <w:tcPr>
            <w:tcW w:w="2581" w:type="dxa"/>
            <w:vMerge w:val="continue"/>
            <w:tcBorders>
              <w:top w:val="nil"/>
              <w:bottom w:val="single" w:color="000000" w:sz="6" w:space="0"/>
              <w:right w:val="single" w:color="000000" w:sz="6" w:space="0"/>
            </w:tcBorders>
            <w:noWrap w:val="0"/>
            <w:vAlign w:val="top"/>
          </w:tcPr>
          <w:p>
            <w:pPr>
              <w:rPr>
                <w:color w:val="000000" w:themeColor="text1"/>
                <w:szCs w:val="21"/>
                <w:highlight w:val="none"/>
              </w:rPr>
            </w:pP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417" w:right="382"/>
              <w:jc w:val="center"/>
              <w:rPr>
                <w:color w:val="000000" w:themeColor="text1"/>
                <w:szCs w:val="21"/>
                <w:highlight w:val="none"/>
              </w:rPr>
            </w:pPr>
            <w:r>
              <w:rPr>
                <w:color w:val="000000" w:themeColor="text1"/>
                <w:szCs w:val="21"/>
                <w:highlight w:val="none"/>
              </w:rPr>
              <w:t>一级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417" w:right="383"/>
              <w:jc w:val="center"/>
              <w:rPr>
                <w:color w:val="000000" w:themeColor="text1"/>
                <w:szCs w:val="21"/>
                <w:highlight w:val="none"/>
              </w:rPr>
            </w:pPr>
            <w:r>
              <w:rPr>
                <w:color w:val="000000" w:themeColor="text1"/>
                <w:szCs w:val="21"/>
                <w:highlight w:val="none"/>
              </w:rPr>
              <w:t>二级</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92"/>
              <w:ind w:left="357"/>
              <w:rPr>
                <w:color w:val="000000" w:themeColor="text1"/>
                <w:szCs w:val="21"/>
                <w:highlight w:val="none"/>
              </w:rPr>
            </w:pPr>
            <w:r>
              <w:rPr>
                <w:color w:val="000000" w:themeColor="text1"/>
                <w:szCs w:val="21"/>
                <w:highlight w:val="none"/>
              </w:rPr>
              <w:t>三级</w:t>
            </w:r>
          </w:p>
        </w:tc>
        <w:tc>
          <w:tcPr>
            <w:tcW w:w="2070" w:type="dxa"/>
            <w:tcBorders>
              <w:top w:val="single" w:color="000000" w:sz="6" w:space="0"/>
              <w:left w:val="single" w:color="000000" w:sz="6" w:space="0"/>
              <w:bottom w:val="single" w:color="000000" w:sz="6" w:space="0"/>
            </w:tcBorders>
            <w:noWrap w:val="0"/>
            <w:vAlign w:val="top"/>
          </w:tcPr>
          <w:p>
            <w:pPr>
              <w:pStyle w:val="313"/>
              <w:spacing w:before="92"/>
              <w:ind w:right="796"/>
              <w:jc w:val="center"/>
              <w:rPr>
                <w:color w:val="000000" w:themeColor="text1"/>
                <w:szCs w:val="21"/>
                <w:highlight w:val="none"/>
              </w:rPr>
            </w:pPr>
            <w:r>
              <w:rPr>
                <w:color w:val="000000" w:themeColor="text1"/>
                <w:szCs w:val="21"/>
                <w:highlight w:val="none"/>
              </w:rPr>
              <w:t>四极</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(罗维朋比色槽 25.4mm)≤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黄25红4.0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黄25红4.0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(罗维朋比色槽 133.4mm)≤</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黄25红1.5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黄25红2.0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气味</w:t>
            </w:r>
          </w:p>
        </w:tc>
        <w:tc>
          <w:tcPr>
            <w:tcW w:w="7245" w:type="dxa"/>
            <w:gridSpan w:val="4"/>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无气味、口感好，具有花生油固有的气味和滋味，</w:t>
            </w:r>
            <w:r>
              <w:rPr>
                <w:rFonts w:hint="eastAsia"/>
                <w:color w:val="000000" w:themeColor="text1"/>
                <w:szCs w:val="21"/>
                <w:highlight w:val="none"/>
              </w:rPr>
              <w:t>无</w:t>
            </w:r>
            <w:r>
              <w:rPr>
                <w:color w:val="000000" w:themeColor="text1"/>
                <w:szCs w:val="21"/>
                <w:highlight w:val="none"/>
              </w:rPr>
              <w:t>异味</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透明度</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澄清、透明</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水分及挥发物/(%)≤</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0.10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0.20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不溶性杂质/(%)≤</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酸值(KOH)/(mg/g)≤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0.20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0.30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1.0</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3.0</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过氧化值/(mmol/g)≤</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5.0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7.5</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7.5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45"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p>
          <w:p>
            <w:pPr>
              <w:pStyle w:val="313"/>
              <w:spacing w:before="3"/>
              <w:rPr>
                <w:color w:val="000000" w:themeColor="text1"/>
                <w:szCs w:val="21"/>
                <w:highlight w:val="none"/>
              </w:rPr>
            </w:pPr>
          </w:p>
          <w:p>
            <w:pPr>
              <w:pStyle w:val="313"/>
              <w:spacing w:before="3"/>
              <w:rPr>
                <w:color w:val="000000" w:themeColor="text1"/>
                <w:szCs w:val="21"/>
                <w:highlight w:val="none"/>
              </w:rPr>
            </w:pPr>
            <w:r>
              <w:rPr>
                <w:color w:val="000000" w:themeColor="text1"/>
                <w:szCs w:val="21"/>
                <w:highlight w:val="none"/>
              </w:rPr>
              <w:t>加热试验(280℃)</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p>
          <w:p>
            <w:pPr>
              <w:pStyle w:val="313"/>
              <w:spacing w:before="3"/>
              <w:rPr>
                <w:color w:val="000000" w:themeColor="text1"/>
                <w:szCs w:val="21"/>
                <w:highlight w:val="none"/>
              </w:rPr>
            </w:pPr>
          </w:p>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p>
          <w:p>
            <w:pPr>
              <w:pStyle w:val="313"/>
              <w:spacing w:before="3"/>
              <w:rPr>
                <w:color w:val="000000" w:themeColor="text1"/>
                <w:szCs w:val="21"/>
                <w:highlight w:val="none"/>
              </w:rPr>
            </w:pPr>
          </w:p>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无析出物，罗维朋比色：黄色值不变，红色值增加小于0.4。</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微量析出物，罗维朋比色：黄色值不变，红色值增加小于4.0，蓝色值增加小于0.5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含皂量/(%)≤</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0.03</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1" w:hRule="atLeast"/>
          <w:jc w:val="center"/>
        </w:trPr>
        <w:tc>
          <w:tcPr>
            <w:tcW w:w="2581" w:type="dxa"/>
            <w:tcBorders>
              <w:top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烟点/℃≥</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215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205</w:t>
            </w:r>
          </w:p>
        </w:tc>
        <w:tc>
          <w:tcPr>
            <w:tcW w:w="1725" w:type="dxa"/>
            <w:tcBorders>
              <w:top w:val="single" w:color="000000" w:sz="6" w:space="0"/>
              <w:left w:val="single" w:color="000000" w:sz="6" w:space="0"/>
              <w:bottom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c>
          <w:tcPr>
            <w:tcW w:w="2070" w:type="dxa"/>
            <w:tcBorders>
              <w:top w:val="single" w:color="000000" w:sz="6" w:space="0"/>
              <w:left w:val="single" w:color="000000" w:sz="6" w:space="0"/>
              <w:bottom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79" w:hRule="atLeast"/>
          <w:jc w:val="center"/>
        </w:trPr>
        <w:tc>
          <w:tcPr>
            <w:tcW w:w="2581" w:type="dxa"/>
            <w:tcBorders>
              <w:top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溶剂残留量/(mg／kg)</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不得检出</w:t>
            </w:r>
          </w:p>
        </w:tc>
        <w:tc>
          <w:tcPr>
            <w:tcW w:w="1725" w:type="dxa"/>
            <w:tcBorders>
              <w:top w:val="single" w:color="000000" w:sz="6" w:space="0"/>
              <w:left w:val="single" w:color="000000" w:sz="6" w:space="0"/>
              <w:righ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≤50</w:t>
            </w:r>
          </w:p>
        </w:tc>
        <w:tc>
          <w:tcPr>
            <w:tcW w:w="2070" w:type="dxa"/>
            <w:tcBorders>
              <w:top w:val="single" w:color="000000" w:sz="6" w:space="0"/>
              <w:left w:val="single" w:color="000000" w:sz="6" w:space="0"/>
            </w:tcBorders>
            <w:noWrap w:val="0"/>
            <w:vAlign w:val="top"/>
          </w:tcPr>
          <w:p>
            <w:pPr>
              <w:pStyle w:val="313"/>
              <w:spacing w:before="3"/>
              <w:rPr>
                <w:color w:val="000000" w:themeColor="text1"/>
                <w:szCs w:val="21"/>
                <w:highlight w:val="none"/>
              </w:rPr>
            </w:pPr>
            <w:r>
              <w:rPr>
                <w:color w:val="000000" w:themeColor="text1"/>
                <w:szCs w:val="21"/>
                <w:highlight w:val="none"/>
              </w:rPr>
              <w:t>≤50</w:t>
            </w:r>
          </w:p>
        </w:tc>
      </w:tr>
    </w:tbl>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color w:val="000000" w:themeColor="text1"/>
          <w:sz w:val="21"/>
          <w:szCs w:val="21"/>
          <w:highlight w:val="none"/>
          <w:lang w:val="en-US" w:eastAsia="zh-CN"/>
        </w:rPr>
      </w:pP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default" w:ascii="宋体" w:hAnsi="宋体" w:eastAsia="宋体" w:cs="宋体"/>
          <w:b/>
          <w:color w:val="000000" w:themeColor="text1"/>
          <w:sz w:val="21"/>
          <w:szCs w:val="21"/>
          <w:highlight w:val="none"/>
          <w:lang w:val="en-US" w:eastAsia="zh-CN"/>
        </w:rPr>
      </w:pPr>
      <w:r>
        <w:rPr>
          <w:rFonts w:hint="eastAsia" w:ascii="宋体" w:hAnsi="宋体" w:eastAsia="宋体" w:cs="宋体"/>
          <w:b/>
          <w:color w:val="000000" w:themeColor="text1"/>
          <w:sz w:val="21"/>
          <w:szCs w:val="21"/>
          <w:highlight w:val="none"/>
          <w:lang w:val="en-US" w:eastAsia="zh-CN"/>
        </w:rPr>
        <w:t>糕点类：包子、馒头、蛋糕等各种糕点</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
          <w:bCs/>
          <w:color w:val="000000" w:themeColor="text1"/>
          <w:sz w:val="21"/>
          <w:szCs w:val="21"/>
          <w:highlight w:val="none"/>
          <w:lang w:val="en-US" w:eastAsia="zh-CN"/>
        </w:rPr>
      </w:pPr>
      <w:r>
        <w:rPr>
          <w:rFonts w:hint="eastAsia" w:ascii="宋体" w:hAnsi="宋体" w:eastAsia="宋体" w:cs="宋体"/>
          <w:b/>
          <w:bCs/>
          <w:color w:val="000000" w:themeColor="text1"/>
          <w:sz w:val="21"/>
          <w:szCs w:val="21"/>
          <w:highlight w:val="none"/>
          <w:lang w:val="en-US" w:eastAsia="zh-CN"/>
        </w:rPr>
        <w:t>1）糕点类的基本要求</w:t>
      </w:r>
    </w:p>
    <w:p>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 xml:space="preserve"> 产品质量必须符合国家行业标准要求，有明确的商品标签，有生产日期、保质期、质量等级，不得有掺假、变质、变味、过期等现象出现，运输过程</w:t>
      </w:r>
      <w:r>
        <w:rPr>
          <w:rFonts w:hint="eastAsia" w:ascii="宋体" w:hAnsi="宋体" w:eastAsia="宋体" w:cs="宋体"/>
          <w:bCs/>
          <w:color w:val="000000" w:themeColor="text1"/>
          <w:sz w:val="21"/>
          <w:szCs w:val="21"/>
          <w:highlight w:val="none"/>
          <w:lang w:eastAsia="zh-CN"/>
        </w:rPr>
        <w:t>必须符合糕点运输的国家标准要求</w:t>
      </w:r>
      <w:r>
        <w:rPr>
          <w:rFonts w:hint="eastAsia" w:ascii="宋体" w:hAnsi="宋体" w:eastAsia="宋体" w:cs="宋体"/>
          <w:bCs/>
          <w:color w:val="000000" w:themeColor="text1"/>
          <w:sz w:val="21"/>
          <w:szCs w:val="21"/>
          <w:highlight w:val="none"/>
        </w:rPr>
        <w:t>，送达目的地时</w:t>
      </w:r>
      <w:r>
        <w:rPr>
          <w:rFonts w:hint="eastAsia" w:ascii="宋体" w:hAnsi="宋体" w:eastAsia="宋体" w:cs="宋体"/>
          <w:bCs/>
          <w:color w:val="000000" w:themeColor="text1"/>
          <w:sz w:val="21"/>
          <w:szCs w:val="21"/>
          <w:highlight w:val="none"/>
          <w:lang w:eastAsia="zh-CN"/>
        </w:rPr>
        <w:t>糕点新鲜，</w:t>
      </w:r>
      <w:r>
        <w:rPr>
          <w:rFonts w:hint="eastAsia" w:ascii="宋体" w:hAnsi="宋体" w:eastAsia="宋体" w:cs="宋体"/>
          <w:bCs/>
          <w:color w:val="000000" w:themeColor="text1"/>
          <w:sz w:val="21"/>
          <w:szCs w:val="21"/>
          <w:highlight w:val="none"/>
        </w:rPr>
        <w:t>外包装箱干爽，无软化现象</w:t>
      </w:r>
      <w:r>
        <w:rPr>
          <w:rFonts w:hint="eastAsia" w:ascii="宋体" w:hAnsi="宋体" w:eastAsia="宋体" w:cs="宋体"/>
          <w:bCs/>
          <w:color w:val="000000" w:themeColor="text1"/>
          <w:sz w:val="21"/>
          <w:szCs w:val="21"/>
          <w:highlight w:val="none"/>
          <w:lang w:eastAsia="zh-CN"/>
        </w:rPr>
        <w:t>等</w:t>
      </w:r>
      <w:r>
        <w:rPr>
          <w:rFonts w:hint="eastAsia" w:ascii="宋体" w:hAnsi="宋体" w:eastAsia="宋体" w:cs="宋体"/>
          <w:bCs/>
          <w:color w:val="000000" w:themeColor="text1"/>
          <w:sz w:val="21"/>
          <w:szCs w:val="21"/>
          <w:highlight w:val="none"/>
        </w:rPr>
        <w:t>。</w:t>
      </w:r>
    </w:p>
    <w:p>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lang w:val="en-US" w:eastAsia="zh-CN"/>
        </w:rPr>
        <w:t>五</w:t>
      </w:r>
      <w:r>
        <w:rPr>
          <w:rFonts w:hint="eastAsia" w:ascii="宋体" w:hAnsi="宋体" w:eastAsia="宋体" w:cs="宋体"/>
          <w:b/>
          <w:bCs/>
          <w:color w:val="000000" w:themeColor="text1"/>
          <w:sz w:val="21"/>
          <w:szCs w:val="21"/>
          <w:highlight w:val="none"/>
        </w:rPr>
        <w:t>、项目其它要求</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1. 中标供应商在食品配送过程中如出现需向采购人支付经济赔偿金、违约罚金等相关费用时，采购人可直接在每月食品配送结算金额或履约金中扣除，如金额不足以支付时，差额部分中标供应商需另行向采购人支付。</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2. 中标供应商因违反合同约定给采购人造成重大影响或经济损失，由此所造成采购人的经济损失以及引致的法律责任由中标供应商承担。</w:t>
      </w:r>
    </w:p>
    <w:p>
      <w:pPr>
        <w:keepNext w:val="0"/>
        <w:keepLines w:val="0"/>
        <w:pageBreakBefore w:val="0"/>
        <w:widowControl/>
        <w:tabs>
          <w:tab w:val="left" w:pos="502"/>
          <w:tab w:val="left" w:pos="753"/>
          <w:tab w:val="left" w:pos="840"/>
        </w:tabs>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3. 非采购人的原因而出现食品质量问题，由中标供应商负责更换或退货，并承担因此而产生的一切责任及费用。</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4. 采购人对中标供应商食品配送工作进行不定期抽查考核，原则上每月考核一次。</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 中标供应商有以下行为，经调查属实的，采购人将立即解除相关供应合同：</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5.1 弄虚作假，提供虚假材料取得中标资格的；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5.2 因所供货物质量原因导致发生食品安全事故的；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5.3 中标后将项目转包、分包行为的；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5.4 无正当理由拒绝履行合同向采购人供货的；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5.5 有行贿、给回扣等不正当竞争行为的；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5.6 所供应食品存在故意假冒伪劣行为的；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bCs/>
          <w:color w:val="000000" w:themeColor="text1"/>
          <w:sz w:val="21"/>
          <w:szCs w:val="21"/>
          <w:highlight w:val="none"/>
        </w:rPr>
      </w:pPr>
      <w:r>
        <w:rPr>
          <w:rFonts w:hint="eastAsia" w:ascii="宋体" w:hAnsi="宋体" w:eastAsia="宋体" w:cs="宋体"/>
          <w:bCs/>
          <w:color w:val="000000" w:themeColor="text1"/>
          <w:sz w:val="21"/>
          <w:szCs w:val="21"/>
          <w:highlight w:val="none"/>
        </w:rPr>
        <w:t>5.7 经营情况发生重大变化，已经不具备承接中标供应项目能力的；</w:t>
      </w:r>
    </w:p>
    <w:p>
      <w:pPr>
        <w:keepNext w:val="0"/>
        <w:keepLines w:val="0"/>
        <w:pageBreakBefore w:val="0"/>
        <w:kinsoku/>
        <w:wordWrap/>
        <w:overflowPunct/>
        <w:topLinePunct w:val="0"/>
        <w:autoSpaceDE/>
        <w:autoSpaceDN/>
        <w:bidi w:val="0"/>
        <w:adjustRightInd w:val="0"/>
        <w:snapToGrid w:val="0"/>
        <w:spacing w:line="360" w:lineRule="auto"/>
        <w:textAlignment w:val="auto"/>
        <w:outlineLvl w:val="9"/>
        <w:rPr>
          <w:rFonts w:hint="default"/>
          <w:color w:val="000000" w:themeColor="text1"/>
          <w:highlight w:val="none"/>
          <w:lang w:val="en-US" w:eastAsia="zh-CN"/>
        </w:rPr>
      </w:pPr>
      <w:r>
        <w:rPr>
          <w:rFonts w:hint="eastAsia" w:ascii="宋体" w:hAnsi="宋体" w:eastAsia="宋体" w:cs="宋体"/>
          <w:bCs/>
          <w:color w:val="000000" w:themeColor="text1"/>
          <w:sz w:val="21"/>
          <w:szCs w:val="21"/>
          <w:highlight w:val="none"/>
        </w:rPr>
        <w:t>5.8 违反招标文件和合同相关管理规定，或有其它违法违纪行为的。</w:t>
      </w:r>
      <w:r>
        <w:rPr>
          <w:rFonts w:hint="default"/>
          <w:color w:val="000000" w:themeColor="text1"/>
          <w:highlight w:val="none"/>
          <w:lang w:val="en-US" w:eastAsia="zh-CN"/>
        </w:rPr>
        <w:br w:type="page"/>
      </w:r>
    </w:p>
    <w:p>
      <w:pPr>
        <w:spacing w:line="240" w:lineRule="auto"/>
        <w:jc w:val="left"/>
        <w:rPr>
          <w:rFonts w:hint="eastAsia" w:ascii="宋体" w:hAnsi="宋体" w:cs="宋体"/>
          <w:b/>
          <w:bCs/>
          <w:color w:val="000000" w:themeColor="text1"/>
          <w:highlight w:val="none"/>
        </w:rPr>
      </w:pPr>
      <w:r>
        <w:rPr>
          <w:rFonts w:hint="eastAsia" w:ascii="宋体" w:hAnsi="宋体" w:cs="宋体"/>
          <w:b/>
          <w:bCs/>
          <w:color w:val="000000" w:themeColor="text1"/>
          <w:highlight w:val="none"/>
        </w:rPr>
        <w:t xml:space="preserve">附件                            </w:t>
      </w:r>
    </w:p>
    <w:p>
      <w:pPr>
        <w:spacing w:line="240" w:lineRule="auto"/>
        <w:jc w:val="center"/>
        <w:rPr>
          <w:rFonts w:hint="eastAsia" w:ascii="宋体" w:hAnsi="宋体" w:cs="宋体"/>
          <w:b/>
          <w:bCs/>
          <w:color w:val="000000" w:themeColor="text1"/>
          <w:highlight w:val="none"/>
        </w:rPr>
      </w:pPr>
      <w:r>
        <w:rPr>
          <w:rFonts w:hint="eastAsia" w:ascii="宋体" w:hAnsi="宋体" w:cs="宋体"/>
          <w:b/>
          <w:bCs/>
          <w:color w:val="000000" w:themeColor="text1"/>
          <w:highlight w:val="none"/>
        </w:rPr>
        <w:t>配送服务质量考核评价办法</w:t>
      </w:r>
    </w:p>
    <w:p>
      <w:pPr>
        <w:spacing w:line="240" w:lineRule="auto"/>
        <w:rPr>
          <w:rFonts w:hint="eastAsia" w:ascii="宋体" w:hAnsi="宋体" w:cs="宋体"/>
          <w:color w:val="000000" w:themeColor="text1"/>
          <w:highlight w:val="none"/>
        </w:rPr>
      </w:pPr>
    </w:p>
    <w:p>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1、每月综合服务满意度满分为100分，合格标准为90分，满意度低于90分的每下降1%扣除当月结算金额的1%。半年内累计出现低于合格满意度次数超过3次的，采购人有权解除合同。</w:t>
      </w:r>
    </w:p>
    <w:p>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2、中标供应商需及时对采购人提出的存在问题作出响应并实施整改，次月未作出整改的，采购人将发出警告信1次，连续因同一问题发出警告信息3次，采购人有权终止其供货资格。</w:t>
      </w:r>
    </w:p>
    <w:p>
      <w:pPr>
        <w:spacing w:line="360" w:lineRule="auto"/>
        <w:rPr>
          <w:rFonts w:hint="eastAsia" w:ascii="宋体" w:hAnsi="宋体" w:cs="宋体"/>
          <w:color w:val="000000" w:themeColor="text1"/>
          <w:highlight w:val="none"/>
        </w:rPr>
      </w:pPr>
      <w:r>
        <w:rPr>
          <w:rFonts w:hint="eastAsia" w:ascii="宋体" w:hAnsi="宋体" w:cs="宋体"/>
          <w:color w:val="000000" w:themeColor="text1"/>
          <w:highlight w:val="none"/>
        </w:rPr>
        <w:t>3、提前终止供货服务的一周前，需以书面形式通知对方。</w:t>
      </w:r>
    </w:p>
    <w:tbl>
      <w:tblPr>
        <w:tblStyle w:val="47"/>
        <w:tblW w:w="9603" w:type="dxa"/>
        <w:tblInd w:w="-246" w:type="dxa"/>
        <w:tblLayout w:type="fixed"/>
        <w:tblCellMar>
          <w:top w:w="0" w:type="dxa"/>
          <w:left w:w="0" w:type="dxa"/>
          <w:bottom w:w="0" w:type="dxa"/>
          <w:right w:w="0" w:type="dxa"/>
        </w:tblCellMar>
      </w:tblPr>
      <w:tblGrid>
        <w:gridCol w:w="870"/>
        <w:gridCol w:w="645"/>
        <w:gridCol w:w="4250"/>
        <w:gridCol w:w="777"/>
        <w:gridCol w:w="3061"/>
      </w:tblGrid>
      <w:tr>
        <w:tblPrEx>
          <w:tblCellMar>
            <w:top w:w="0" w:type="dxa"/>
            <w:left w:w="0" w:type="dxa"/>
            <w:bottom w:w="0" w:type="dxa"/>
            <w:right w:w="0" w:type="dxa"/>
          </w:tblCellMar>
        </w:tblPrEx>
        <w:trPr>
          <w:trHeight w:val="440" w:hRule="atLeast"/>
        </w:trPr>
        <w:tc>
          <w:tcPr>
            <w:tcW w:w="9603" w:type="dxa"/>
            <w:gridSpan w:val="5"/>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考核细则</w:t>
            </w:r>
          </w:p>
        </w:tc>
      </w:tr>
      <w:tr>
        <w:tblPrEx>
          <w:tblCellMar>
            <w:top w:w="0" w:type="dxa"/>
            <w:left w:w="0" w:type="dxa"/>
            <w:bottom w:w="0" w:type="dxa"/>
            <w:right w:w="0" w:type="dxa"/>
          </w:tblCellMar>
        </w:tblPrEx>
        <w:trPr>
          <w:trHeight w:val="38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项目</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序号</w:t>
            </w:r>
          </w:p>
        </w:tc>
        <w:tc>
          <w:tcPr>
            <w:tcW w:w="425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评分细则</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扣分</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b/>
                <w:bCs/>
                <w:color w:val="000000" w:themeColor="text1"/>
                <w:szCs w:val="21"/>
                <w:highlight w:val="none"/>
              </w:rPr>
            </w:pPr>
            <w:r>
              <w:rPr>
                <w:rFonts w:hint="eastAsia" w:ascii="宋体" w:hAnsi="宋体" w:cs="宋体"/>
                <w:b/>
                <w:bCs/>
                <w:color w:val="000000" w:themeColor="text1"/>
                <w:szCs w:val="21"/>
                <w:highlight w:val="none"/>
              </w:rPr>
              <w:t>备注</w:t>
            </w:r>
          </w:p>
        </w:tc>
      </w:tr>
      <w:tr>
        <w:tblPrEx>
          <w:tblCellMar>
            <w:top w:w="0" w:type="dxa"/>
            <w:left w:w="0" w:type="dxa"/>
            <w:bottom w:w="0" w:type="dxa"/>
            <w:right w:w="0" w:type="dxa"/>
          </w:tblCellMar>
        </w:tblPrEx>
        <w:trPr>
          <w:trHeight w:val="524"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配送要求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配送车辆、实际运输不符合招标文件及合同约定的，每次扣2分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614"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在协议供货期，未在规定时间内（迟到超过半小时）完成配送、供货，每次扣3分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69"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实际配送货物少于订购数量且不能及时补充的，每次扣5分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90"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实际配送的货物与订购货物种类、质量不符，每次扣5分；未能及时更换的，采购人有权拒收，并每次加扣5分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7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相应批次的货物未能提供相关合格检验证明的，每次扣8分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257" w:hRule="atLeast"/>
        </w:trPr>
        <w:tc>
          <w:tcPr>
            <w:tcW w:w="870" w:type="dxa"/>
            <w:vMerge w:val="restart"/>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质量要求</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6</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食品卫生不符合要求造成食物中毒的，每次扣25分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color w:val="000000" w:themeColor="text1"/>
                <w:szCs w:val="21"/>
                <w:highlight w:val="none"/>
              </w:rPr>
            </w:pPr>
            <w:r>
              <w:rPr>
                <w:rFonts w:hint="eastAsia" w:ascii="宋体" w:hAnsi="宋体" w:cs="宋体"/>
                <w:color w:val="000000" w:themeColor="text1"/>
                <w:szCs w:val="21"/>
                <w:highlight w:val="none"/>
              </w:rPr>
              <w:t>25</w:t>
            </w:r>
          </w:p>
        </w:tc>
        <w:tc>
          <w:tcPr>
            <w:tcW w:w="3061"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中标供应商应承担由此造成的全部法律责任及经济损失赔偿（主要包括但不限于食物中毒人员医疗费、误工费、事故处理费等）</w:t>
            </w:r>
          </w:p>
        </w:tc>
      </w:tr>
      <w:tr>
        <w:tblPrEx>
          <w:tblCellMar>
            <w:top w:w="0" w:type="dxa"/>
            <w:left w:w="0" w:type="dxa"/>
            <w:bottom w:w="0" w:type="dxa"/>
            <w:right w:w="0" w:type="dxa"/>
          </w:tblCellMar>
        </w:tblPrEx>
        <w:trPr>
          <w:trHeight w:val="66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7</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滥用或过量使用食品添加剂、发现使用劣质原料、抗生素、激素等有害物质，每次扣5分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45" w:hRule="atLeast"/>
        </w:trPr>
        <w:tc>
          <w:tcPr>
            <w:tcW w:w="870" w:type="dxa"/>
            <w:vMerge w:val="continue"/>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8</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货物品质与招标文件不符，并未能及时补充的，每次扣5分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575" w:hRule="atLeast"/>
        </w:trPr>
        <w:tc>
          <w:tcPr>
            <w:tcW w:w="870" w:type="dxa"/>
            <w:vMerge w:val="restart"/>
            <w:tcBorders>
              <w:top w:val="single" w:color="000000" w:sz="4" w:space="0"/>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安全生产管理要求</w:t>
            </w: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9</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没有建立、健全本单位安全生产责任制，制定安全生产规章制度和操作规程，或违反制度操作的，每次扣2分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2</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0" w:hRule="atLeast"/>
        </w:trPr>
        <w:tc>
          <w:tcPr>
            <w:tcW w:w="870" w:type="dxa"/>
            <w:vMerge w:val="continue"/>
            <w:tcBorders>
              <w:left w:val="single" w:color="000000" w:sz="4" w:space="0"/>
              <w:right w:val="single" w:color="auto"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没有相关应急预案的，每次扣5分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80"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11</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造成重大事故或有重大事故不配合处理的，每宗扣10分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15" w:hRule="atLeast"/>
        </w:trPr>
        <w:tc>
          <w:tcPr>
            <w:tcW w:w="870" w:type="dxa"/>
            <w:vMerge w:val="continue"/>
            <w:tcBorders>
              <w:left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12</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未按要求及时、如实报告生产安全事故，每次扣10分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10</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350" w:hRule="atLeast"/>
        </w:trPr>
        <w:tc>
          <w:tcPr>
            <w:tcW w:w="870" w:type="dxa"/>
            <w:vMerge w:val="continue"/>
            <w:tcBorders>
              <w:left w:val="single" w:color="000000" w:sz="4" w:space="0"/>
              <w:bottom w:val="single" w:color="000000" w:sz="4" w:space="0"/>
              <w:right w:val="single" w:color="auto"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c>
          <w:tcPr>
            <w:tcW w:w="645" w:type="dxa"/>
            <w:tcBorders>
              <w:top w:val="single" w:color="000000" w:sz="4" w:space="0"/>
              <w:left w:val="single" w:color="auto"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13</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提供资料弄虚作假的，每次扣5分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r>
        <w:tblPrEx>
          <w:tblCellMar>
            <w:top w:w="0" w:type="dxa"/>
            <w:left w:w="0" w:type="dxa"/>
            <w:bottom w:w="0" w:type="dxa"/>
            <w:right w:w="0" w:type="dxa"/>
          </w:tblCellMar>
        </w:tblPrEx>
        <w:trPr>
          <w:trHeight w:val="1040" w:hRule="atLeast"/>
        </w:trPr>
        <w:tc>
          <w:tcPr>
            <w:tcW w:w="870"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zh-CN"/>
              </w:rPr>
              <w:t>其他</w:t>
            </w:r>
          </w:p>
        </w:tc>
        <w:tc>
          <w:tcPr>
            <w:tcW w:w="645"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14</w:t>
            </w:r>
          </w:p>
        </w:tc>
        <w:tc>
          <w:tcPr>
            <w:tcW w:w="4250"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center"/>
          </w:tcPr>
          <w:p>
            <w:pPr>
              <w:jc w:val="center"/>
              <w:rPr>
                <w:rFonts w:hint="eastAsia" w:ascii="宋体" w:hAnsi="宋体" w:cs="宋体"/>
                <w:color w:val="000000" w:themeColor="text1"/>
                <w:szCs w:val="21"/>
                <w:highlight w:val="none"/>
                <w:lang w:val="zh-CN"/>
              </w:rPr>
            </w:pPr>
            <w:r>
              <w:rPr>
                <w:rFonts w:hint="eastAsia" w:ascii="宋体" w:hAnsi="宋体" w:cs="宋体"/>
                <w:color w:val="000000" w:themeColor="text1"/>
                <w:szCs w:val="21"/>
                <w:highlight w:val="none"/>
                <w:lang w:val="zh-CN"/>
              </w:rPr>
              <w:t>有违反招标文件及合同规定的其他违约事件的，每发现1次，需按违约性质并结合上述违约类型，每次扣5分</w:t>
            </w:r>
          </w:p>
        </w:tc>
        <w:tc>
          <w:tcPr>
            <w:tcW w:w="777"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5</w:t>
            </w:r>
          </w:p>
        </w:tc>
        <w:tc>
          <w:tcPr>
            <w:tcW w:w="30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color w:val="000000" w:themeColor="text1"/>
                <w:szCs w:val="21"/>
                <w:highlight w:val="none"/>
              </w:rPr>
            </w:pPr>
          </w:p>
        </w:tc>
      </w:tr>
    </w:tbl>
    <w:p>
      <w:pPr>
        <w:adjustRightInd w:val="0"/>
        <w:snapToGrid w:val="0"/>
        <w:spacing w:line="360" w:lineRule="auto"/>
        <w:rPr>
          <w:rFonts w:ascii="宋体" w:hAnsi="宋体"/>
          <w:bCs/>
          <w:color w:val="000000" w:themeColor="text1"/>
          <w:highlight w:val="none"/>
        </w:rPr>
      </w:pPr>
    </w:p>
    <w:p>
      <w:pPr>
        <w:pStyle w:val="5"/>
        <w:rPr>
          <w:color w:val="000000" w:themeColor="text1"/>
          <w:sz w:val="21"/>
          <w:szCs w:val="21"/>
          <w:highlight w:val="none"/>
        </w:rPr>
      </w:pPr>
    </w:p>
    <w:p>
      <w:pPr>
        <w:rPr>
          <w:rFonts w:hint="eastAsia"/>
          <w:color w:val="000000" w:themeColor="text1"/>
          <w:highlight w:val="none"/>
        </w:rPr>
      </w:pPr>
      <w:r>
        <w:rPr>
          <w:rFonts w:hint="eastAsia"/>
          <w:color w:val="000000" w:themeColor="text1"/>
          <w:highlight w:val="none"/>
        </w:rPr>
        <w:br w:type="page"/>
      </w:r>
    </w:p>
    <w:p>
      <w:pPr>
        <w:pStyle w:val="3"/>
        <w:numPr>
          <w:ilvl w:val="0"/>
          <w:numId w:val="0"/>
        </w:numPr>
        <w:spacing w:beforeLines="0" w:line="240" w:lineRule="auto"/>
        <w:rPr>
          <w:color w:val="000000" w:themeColor="text1"/>
          <w:highlight w:val="none"/>
        </w:rPr>
      </w:pPr>
      <w:bookmarkStart w:id="115" w:name="_Toc9124"/>
      <w:r>
        <w:rPr>
          <w:rFonts w:hint="eastAsia"/>
          <w:color w:val="000000" w:themeColor="text1"/>
          <w:highlight w:val="none"/>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5"/>
    </w:p>
    <w:p>
      <w:pPr>
        <w:pStyle w:val="4"/>
        <w:numPr>
          <w:ilvl w:val="0"/>
          <w:numId w:val="0"/>
        </w:numPr>
        <w:rPr>
          <w:color w:val="000000" w:themeColor="text1"/>
          <w:szCs w:val="21"/>
          <w:highlight w:val="none"/>
        </w:rPr>
      </w:pPr>
      <w:bookmarkStart w:id="116" w:name="_Toc456648358"/>
      <w:bookmarkStart w:id="117" w:name="_Toc27489"/>
      <w:bookmarkStart w:id="118" w:name="_Toc434832495"/>
      <w:bookmarkStart w:id="119" w:name="_Toc456272919"/>
      <w:r>
        <w:rPr>
          <w:rFonts w:hint="eastAsia"/>
          <w:color w:val="000000" w:themeColor="text1"/>
          <w:szCs w:val="21"/>
          <w:highlight w:val="none"/>
        </w:rPr>
        <w:t>投标人须知前附表</w:t>
      </w:r>
      <w:bookmarkEnd w:id="116"/>
      <w:bookmarkEnd w:id="117"/>
      <w:bookmarkEnd w:id="118"/>
      <w:bookmarkEnd w:id="119"/>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bookmarkStart w:id="120" w:name="_Hlt21938668"/>
            <w:bookmarkEnd w:id="120"/>
            <w:bookmarkStart w:id="121" w:name="_Hlt21938665"/>
            <w:bookmarkEnd w:id="121"/>
            <w:bookmarkStart w:id="122" w:name="_Toc365985147"/>
            <w:bookmarkStart w:id="123" w:name="_Toc333237645"/>
            <w:bookmarkStart w:id="124" w:name="_Toc349127594"/>
            <w:bookmarkStart w:id="125" w:name="_Toc331512866"/>
            <w:bookmarkStart w:id="126" w:name="_Toc333935314"/>
            <w:bookmarkStart w:id="127" w:name="_Toc333935655"/>
            <w:bookmarkStart w:id="128" w:name="_Toc339019857"/>
            <w:bookmarkStart w:id="129" w:name="_Toc340672837"/>
            <w:bookmarkStart w:id="130" w:name="_Toc339441055"/>
            <w:bookmarkStart w:id="131" w:name="_Toc497224194"/>
            <w:bookmarkStart w:id="132" w:name="_Toc345513835"/>
            <w:bookmarkStart w:id="133" w:name="_Toc332206676"/>
            <w:bookmarkStart w:id="134" w:name="_Toc340507410"/>
            <w:bookmarkStart w:id="135" w:name="_Toc336681548"/>
            <w:bookmarkStart w:id="136" w:name="_Toc503785396"/>
            <w:bookmarkStart w:id="137" w:name="_Toc365967041"/>
            <w:bookmarkStart w:id="138" w:name="_Toc350438717"/>
            <w:bookmarkStart w:id="139" w:name="_Toc339020063"/>
            <w:bookmarkStart w:id="140" w:name="_Toc342060342"/>
            <w:bookmarkStart w:id="141" w:name="_Toc337632326"/>
            <w:bookmarkStart w:id="142" w:name="_Toc330459953"/>
            <w:bookmarkStart w:id="143" w:name="_Toc350756418"/>
            <w:bookmarkStart w:id="144" w:name="_Toc333237756"/>
            <w:bookmarkStart w:id="145" w:name="_Toc333238601"/>
            <w:bookmarkStart w:id="146" w:name="_Toc339020201"/>
            <w:bookmarkStart w:id="147" w:name="_Toc336681903"/>
            <w:bookmarkStart w:id="148" w:name="_Toc349143557"/>
            <w:bookmarkStart w:id="149" w:name="_Toc332270314"/>
            <w:bookmarkStart w:id="150" w:name="_Toc339362268"/>
            <w:bookmarkStart w:id="151" w:name="_Toc339019983"/>
            <w:bookmarkStart w:id="152" w:name="_Toc366072496"/>
            <w:bookmarkStart w:id="153" w:name="_Toc341348306"/>
            <w:bookmarkStart w:id="154" w:name="_Toc342296728"/>
            <w:bookmarkStart w:id="155" w:name="_Toc331684006"/>
            <w:bookmarkStart w:id="156" w:name="_Toc340677038"/>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5"/>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highlight w:val="none"/>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rPr>
              <w:t>广东业信采购招标有限公司网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24"/>
          <w:highlight w:val="none"/>
        </w:rPr>
      </w:pPr>
      <w:bookmarkStart w:id="157" w:name="_Toc20553"/>
      <w:r>
        <w:rPr>
          <w:rFonts w:hint="eastAsia"/>
          <w:color w:val="000000" w:themeColor="text1"/>
          <w:sz w:val="24"/>
          <w:highlight w:val="none"/>
        </w:rPr>
        <w:t>Ａ</w:t>
      </w:r>
      <w:r>
        <w:rPr>
          <w:color w:val="000000" w:themeColor="text1"/>
          <w:sz w:val="24"/>
          <w:highlight w:val="none"/>
        </w:rPr>
        <w:t xml:space="preserve">  </w:t>
      </w:r>
      <w:r>
        <w:rPr>
          <w:rFonts w:hint="eastAsia"/>
          <w:color w:val="000000" w:themeColor="text1"/>
          <w:sz w:val="24"/>
          <w:highlight w:val="none"/>
        </w:rPr>
        <w:t>说</w:t>
      </w:r>
      <w:r>
        <w:rPr>
          <w:color w:val="000000" w:themeColor="text1"/>
          <w:sz w:val="24"/>
          <w:highlight w:val="none"/>
        </w:rPr>
        <w:t xml:space="preserve">  </w:t>
      </w:r>
      <w:r>
        <w:rPr>
          <w:rFonts w:hint="eastAsia"/>
          <w:color w:val="000000" w:themeColor="text1"/>
          <w:sz w:val="24"/>
          <w:highlight w:val="none"/>
        </w:rPr>
        <w:t>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6"/>
        <w:numPr>
          <w:ilvl w:val="4"/>
          <w:numId w:val="26"/>
        </w:numPr>
        <w:tabs>
          <w:tab w:val="left" w:pos="720"/>
        </w:tabs>
        <w:spacing w:before="240" w:after="120"/>
        <w:ind w:left="2432" w:hanging="2432"/>
        <w:rPr>
          <w:color w:val="000000" w:themeColor="text1"/>
          <w:highlight w:val="none"/>
        </w:rPr>
      </w:pPr>
      <w:bookmarkStart w:id="158" w:name="_Toc503785397"/>
      <w:bookmarkStart w:id="159" w:name="_Toc497224195"/>
      <w:bookmarkStart w:id="160" w:name="_Toc340672838"/>
      <w:bookmarkStart w:id="161" w:name="_Toc342296729"/>
      <w:bookmarkStart w:id="162" w:name="_Toc339020202"/>
      <w:bookmarkStart w:id="163" w:name="_Toc365985148"/>
      <w:bookmarkStart w:id="164" w:name="_Toc349127595"/>
      <w:bookmarkStart w:id="165" w:name="_Toc339019984"/>
      <w:bookmarkStart w:id="166" w:name="_Toc330459954"/>
      <w:bookmarkStart w:id="167" w:name="_Toc341348307"/>
      <w:bookmarkStart w:id="168" w:name="_Toc339019858"/>
      <w:bookmarkStart w:id="169" w:name="_Toc333935656"/>
      <w:bookmarkStart w:id="170" w:name="_Toc333237646"/>
      <w:bookmarkStart w:id="171" w:name="_Toc339020064"/>
      <w:bookmarkStart w:id="172" w:name="_Toc365967042"/>
      <w:bookmarkStart w:id="173" w:name="_Toc339441056"/>
      <w:bookmarkStart w:id="174" w:name="_Toc340507411"/>
      <w:bookmarkStart w:id="175" w:name="_Toc331684007"/>
      <w:bookmarkStart w:id="176" w:name="_Toc332270315"/>
      <w:bookmarkStart w:id="177" w:name="_Toc331512867"/>
      <w:bookmarkStart w:id="178" w:name="_Toc342060343"/>
      <w:bookmarkStart w:id="179" w:name="_Toc333238602"/>
      <w:bookmarkStart w:id="180" w:name="_Toc337632327"/>
      <w:bookmarkStart w:id="181" w:name="_Toc333237757"/>
      <w:bookmarkStart w:id="182" w:name="_Toc333935315"/>
      <w:bookmarkStart w:id="183" w:name="_Toc332206677"/>
      <w:bookmarkStart w:id="184" w:name="_Toc336681904"/>
      <w:bookmarkStart w:id="185" w:name="_Toc366072497"/>
      <w:bookmarkStart w:id="186" w:name="_Toc350756419"/>
      <w:bookmarkStart w:id="187" w:name="_Toc15907"/>
      <w:bookmarkStart w:id="188" w:name="_Toc345513836"/>
      <w:bookmarkStart w:id="189" w:name="_Toc350438718"/>
      <w:bookmarkStart w:id="190" w:name="_Toc336681549"/>
      <w:bookmarkStart w:id="191" w:name="_Toc349143558"/>
      <w:bookmarkStart w:id="192" w:name="_Toc340677039"/>
      <w:bookmarkStart w:id="193" w:name="_Toc339362269"/>
      <w:r>
        <w:rPr>
          <w:rFonts w:hint="eastAsia"/>
          <w:color w:val="000000" w:themeColor="text1"/>
          <w:highlight w:val="none"/>
        </w:rPr>
        <w:t>适用范围</w:t>
      </w:r>
      <w:bookmarkEnd w:id="158"/>
      <w:bookmarkEnd w:id="159"/>
      <w:r>
        <w:rPr>
          <w:rFonts w:hint="eastAsia"/>
          <w:color w:val="000000" w:themeColor="text1"/>
          <w:highlight w:val="none"/>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bookmarkStart w:id="194" w:name="_Toc333237758"/>
      <w:bookmarkStart w:id="195" w:name="_Toc350756420"/>
      <w:bookmarkStart w:id="196" w:name="_Toc365985149"/>
      <w:bookmarkStart w:id="197" w:name="_Toc342296730"/>
      <w:bookmarkStart w:id="198" w:name="_Toc340677040"/>
      <w:bookmarkStart w:id="199" w:name="_Toc336681550"/>
      <w:bookmarkStart w:id="200" w:name="_Toc339019859"/>
      <w:bookmarkStart w:id="201" w:name="_Toc332270316"/>
      <w:bookmarkStart w:id="202" w:name="_Toc332206678"/>
      <w:bookmarkStart w:id="203" w:name="_Toc497224196"/>
      <w:bookmarkStart w:id="204" w:name="_Toc341348308"/>
      <w:bookmarkStart w:id="205" w:name="_Toc349127596"/>
      <w:bookmarkStart w:id="206" w:name="_Toc345513837"/>
      <w:bookmarkStart w:id="207" w:name="_Toc330459955"/>
      <w:bookmarkStart w:id="208" w:name="_Toc331684008"/>
      <w:bookmarkStart w:id="209" w:name="_Toc333238603"/>
      <w:bookmarkStart w:id="210" w:name="_Toc333935657"/>
      <w:bookmarkStart w:id="211" w:name="_Toc337632328"/>
      <w:bookmarkStart w:id="212" w:name="_Toc349143559"/>
      <w:bookmarkStart w:id="213" w:name="_Toc350438719"/>
      <w:bookmarkStart w:id="214" w:name="_Toc340672839"/>
      <w:bookmarkStart w:id="215" w:name="_Toc342060344"/>
      <w:bookmarkStart w:id="216" w:name="_Toc340507412"/>
      <w:bookmarkStart w:id="217" w:name="_Toc339020065"/>
      <w:bookmarkStart w:id="218" w:name="_Toc339441057"/>
      <w:bookmarkStart w:id="219" w:name="_Toc365967043"/>
      <w:bookmarkStart w:id="220" w:name="_Toc336681905"/>
      <w:bookmarkStart w:id="221" w:name="_Toc366072498"/>
      <w:bookmarkStart w:id="222" w:name="_Toc339362270"/>
      <w:bookmarkStart w:id="223" w:name="_Toc333935316"/>
      <w:bookmarkStart w:id="224" w:name="_Toc374454571"/>
      <w:bookmarkStart w:id="225" w:name="_Toc339019985"/>
      <w:bookmarkStart w:id="226" w:name="_Toc331512868"/>
      <w:bookmarkStart w:id="227" w:name="_Toc503785398"/>
      <w:bookmarkStart w:id="228" w:name="_Toc333237647"/>
      <w:bookmarkStart w:id="229" w:name="_Toc339020203"/>
      <w:r>
        <w:rPr>
          <w:rFonts w:hint="eastAsia" w:ascii="宋体"/>
          <w:bCs/>
          <w:color w:val="000000" w:themeColor="text1"/>
          <w:highlight w:val="none"/>
        </w:rPr>
        <w:t>1</w:t>
      </w:r>
      <w:r>
        <w:rPr>
          <w:rFonts w:ascii="宋体"/>
          <w:bCs/>
          <w:color w:val="000000" w:themeColor="text1"/>
          <w:highlight w:val="none"/>
        </w:rPr>
        <w:t>.1</w:t>
      </w:r>
      <w:r>
        <w:rPr>
          <w:rFonts w:hint="eastAsia" w:ascii="宋体"/>
          <w:bCs/>
          <w:color w:val="000000" w:themeColor="text1"/>
          <w:highlight w:val="none"/>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rPr>
      </w:pPr>
      <w:r>
        <w:rPr>
          <w:rFonts w:hint="eastAsia" w:ascii="宋体"/>
          <w:bCs/>
          <w:color w:val="000000" w:themeColor="text1"/>
          <w:highlight w:val="none"/>
        </w:rPr>
        <w:t>1</w:t>
      </w:r>
      <w:r>
        <w:rPr>
          <w:rFonts w:ascii="宋体"/>
          <w:bCs/>
          <w:color w:val="000000" w:themeColor="text1"/>
          <w:highlight w:val="none"/>
        </w:rPr>
        <w:t>.</w:t>
      </w:r>
      <w:r>
        <w:rPr>
          <w:rFonts w:hint="eastAsia" w:ascii="宋体"/>
          <w:bCs/>
          <w:color w:val="000000" w:themeColor="text1"/>
          <w:highlight w:val="none"/>
        </w:rPr>
        <w:t>3    本招标文件由代理采购机构负责解释。</w:t>
      </w:r>
    </w:p>
    <w:p>
      <w:pPr>
        <w:pStyle w:val="6"/>
        <w:numPr>
          <w:ilvl w:val="4"/>
          <w:numId w:val="26"/>
        </w:numPr>
        <w:tabs>
          <w:tab w:val="left" w:pos="720"/>
        </w:tabs>
        <w:spacing w:before="240" w:after="120"/>
        <w:ind w:left="2432" w:hanging="2432"/>
        <w:rPr>
          <w:color w:val="000000" w:themeColor="text1"/>
          <w:highlight w:val="none"/>
        </w:rPr>
      </w:pPr>
      <w:bookmarkStart w:id="230" w:name="_Toc27666"/>
      <w:r>
        <w:rPr>
          <w:rFonts w:hint="eastAsia"/>
          <w:color w:val="000000" w:themeColor="text1"/>
          <w:highlight w:val="none"/>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阳江市田家炳学校</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6"/>
        </w:numPr>
        <w:tabs>
          <w:tab w:val="left" w:pos="720"/>
        </w:tabs>
        <w:spacing w:before="240" w:after="120"/>
        <w:ind w:left="2432" w:hanging="2432"/>
        <w:rPr>
          <w:color w:val="000000" w:themeColor="text1"/>
          <w:highlight w:val="none"/>
        </w:rPr>
      </w:pPr>
      <w:bookmarkStart w:id="231" w:name="_Toc503785399"/>
      <w:bookmarkStart w:id="232" w:name="_Toc497224197"/>
      <w:bookmarkStart w:id="233" w:name="_Toc332270317"/>
      <w:bookmarkStart w:id="234" w:name="_Toc342060345"/>
      <w:bookmarkStart w:id="235" w:name="_Toc365985150"/>
      <w:bookmarkStart w:id="236" w:name="_Toc366072499"/>
      <w:bookmarkStart w:id="237" w:name="_Toc330459956"/>
      <w:bookmarkStart w:id="238" w:name="_Toc350756421"/>
      <w:bookmarkStart w:id="239" w:name="_Toc349127597"/>
      <w:bookmarkStart w:id="240" w:name="_Toc337632329"/>
      <w:bookmarkStart w:id="241" w:name="_Toc340507413"/>
      <w:bookmarkStart w:id="242" w:name="_Toc332206679"/>
      <w:bookmarkStart w:id="243" w:name="_Toc340672840"/>
      <w:bookmarkStart w:id="244" w:name="_Toc342296731"/>
      <w:bookmarkStart w:id="245" w:name="_Toc341348309"/>
      <w:bookmarkStart w:id="246" w:name="_Toc339020066"/>
      <w:bookmarkStart w:id="247" w:name="_Toc339019860"/>
      <w:bookmarkStart w:id="248" w:name="_Toc331684009"/>
      <w:bookmarkStart w:id="249" w:name="_Toc339362271"/>
      <w:bookmarkStart w:id="250" w:name="_Toc340677041"/>
      <w:bookmarkStart w:id="251" w:name="_Toc331512869"/>
      <w:bookmarkStart w:id="252" w:name="_Toc339020204"/>
      <w:bookmarkStart w:id="253" w:name="_Toc333237648"/>
      <w:bookmarkStart w:id="254" w:name="_Toc349143560"/>
      <w:bookmarkStart w:id="255" w:name="_Toc21571"/>
      <w:bookmarkStart w:id="256" w:name="_Toc336681906"/>
      <w:bookmarkStart w:id="257" w:name="_Toc333935658"/>
      <w:bookmarkStart w:id="258" w:name="_Toc333935317"/>
      <w:bookmarkStart w:id="259" w:name="_Toc365967044"/>
      <w:bookmarkStart w:id="260" w:name="_Toc339441058"/>
      <w:bookmarkStart w:id="261" w:name="_Toc336681551"/>
      <w:bookmarkStart w:id="262" w:name="_Toc345513838"/>
      <w:bookmarkStart w:id="263" w:name="_Toc333237759"/>
      <w:bookmarkStart w:id="264" w:name="_Toc333238604"/>
      <w:bookmarkStart w:id="265" w:name="_Toc350438720"/>
      <w:bookmarkStart w:id="266" w:name="_Toc374454572"/>
      <w:bookmarkStart w:id="267" w:name="_Toc339019986"/>
      <w:r>
        <w:rPr>
          <w:rFonts w:hint="eastAsia"/>
          <w:color w:val="000000" w:themeColor="text1"/>
          <w:highlight w:val="none"/>
        </w:rPr>
        <w:t>合格的</w:t>
      </w:r>
      <w:bookmarkEnd w:id="231"/>
      <w:bookmarkEnd w:id="232"/>
      <w:r>
        <w:rPr>
          <w:rFonts w:hint="eastAsia"/>
          <w:color w:val="000000" w:themeColor="text1"/>
          <w:highlight w:val="none"/>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3.1</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国内有能力提供采购项目相关的工程、货物和服务且符合本项目合格投标人资格条件的投标人</w:t>
      </w:r>
      <w:r>
        <w:rPr>
          <w:rFonts w:hint="eastAsia" w:ascii="宋体"/>
          <w:bCs/>
          <w:color w:val="000000" w:themeColor="text1"/>
          <w:highlight w:val="none"/>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3.2</w:t>
      </w:r>
      <w:r>
        <w:rPr>
          <w:rFonts w:ascii="宋体"/>
          <w:bCs/>
          <w:color w:val="000000" w:themeColor="text1"/>
          <w:highlight w:val="none"/>
        </w:rPr>
        <w:tab/>
      </w:r>
      <w:r>
        <w:rPr>
          <w:rFonts w:hint="eastAsia" w:ascii="宋体"/>
          <w:bCs/>
          <w:color w:val="000000" w:themeColor="text1"/>
          <w:highlight w:val="none"/>
        </w:rPr>
        <w:tab/>
      </w:r>
      <w:r>
        <w:rPr>
          <w:rFonts w:hint="eastAsia" w:ascii="宋体" w:hAnsi="宋体"/>
          <w:bCs/>
          <w:color w:val="000000" w:themeColor="text1"/>
          <w:highlight w:val="none"/>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3.3    </w:t>
      </w:r>
      <w:r>
        <w:rPr>
          <w:rFonts w:ascii="宋体" w:hAnsi="宋体"/>
          <w:bCs/>
          <w:color w:val="000000" w:themeColor="text1"/>
          <w:szCs w:val="21"/>
          <w:highlight w:val="none"/>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3.4     </w:t>
      </w:r>
      <w:r>
        <w:rPr>
          <w:rFonts w:ascii="宋体" w:hAnsi="宋体"/>
          <w:bCs/>
          <w:color w:val="000000" w:themeColor="text1"/>
          <w:szCs w:val="21"/>
          <w:highlight w:val="none"/>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rPr>
      </w:pPr>
      <w:r>
        <w:rPr>
          <w:rFonts w:hint="eastAsia" w:ascii="宋体" w:hAnsi="宋体"/>
          <w:bCs/>
          <w:color w:val="000000" w:themeColor="text1"/>
          <w:szCs w:val="21"/>
          <w:highlight w:val="none"/>
        </w:rPr>
        <w:t xml:space="preserve">3.5    </w:t>
      </w:r>
      <w:r>
        <w:rPr>
          <w:rFonts w:ascii="宋体" w:hAnsi="宋体"/>
          <w:bCs/>
          <w:color w:val="000000" w:themeColor="text1"/>
          <w:szCs w:val="21"/>
          <w:highlight w:val="none"/>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hAnsi="宋体"/>
          <w:bCs/>
          <w:color w:val="000000" w:themeColor="text1"/>
          <w:szCs w:val="21"/>
          <w:highlight w:val="none"/>
        </w:rPr>
        <w:t xml:space="preserve">3.6    </w:t>
      </w:r>
      <w:r>
        <w:rPr>
          <w:bCs/>
          <w:color w:val="000000" w:themeColor="text1"/>
          <w:szCs w:val="21"/>
          <w:highlight w:val="none"/>
        </w:rPr>
        <w:t>专门面向中小微企业采购的项目，只能由中小企业或微型企业参加。</w:t>
      </w:r>
    </w:p>
    <w:p>
      <w:pPr>
        <w:pStyle w:val="6"/>
        <w:numPr>
          <w:ilvl w:val="4"/>
          <w:numId w:val="26"/>
        </w:numPr>
        <w:tabs>
          <w:tab w:val="left" w:pos="720"/>
        </w:tabs>
        <w:spacing w:before="240" w:after="120"/>
        <w:ind w:left="2432" w:hanging="2432"/>
        <w:rPr>
          <w:color w:val="000000" w:themeColor="text1"/>
          <w:highlight w:val="none"/>
        </w:rPr>
      </w:pPr>
      <w:bookmarkStart w:id="268" w:name="_Toc339020205"/>
      <w:bookmarkStart w:id="269" w:name="_Toc339020067"/>
      <w:bookmarkStart w:id="270" w:name="_Toc341348310"/>
      <w:bookmarkStart w:id="271" w:name="_Toc374454573"/>
      <w:bookmarkStart w:id="272" w:name="_Toc333237649"/>
      <w:bookmarkStart w:id="273" w:name="_Toc365985151"/>
      <w:bookmarkStart w:id="274" w:name="_Toc366072500"/>
      <w:bookmarkStart w:id="275" w:name="_Toc331512870"/>
      <w:bookmarkStart w:id="276" w:name="_Toc331684010"/>
      <w:bookmarkStart w:id="277" w:name="_Toc336681552"/>
      <w:bookmarkStart w:id="278" w:name="_Toc340677042"/>
      <w:bookmarkStart w:id="279" w:name="_Toc333238605"/>
      <w:bookmarkStart w:id="280" w:name="_Toc332206680"/>
      <w:bookmarkStart w:id="281" w:name="_Toc350438721"/>
      <w:bookmarkStart w:id="282" w:name="_Toc349127598"/>
      <w:bookmarkStart w:id="283" w:name="_Toc340507414"/>
      <w:bookmarkStart w:id="284" w:name="_Toc497224198"/>
      <w:bookmarkStart w:id="285" w:name="_Toc345513839"/>
      <w:bookmarkStart w:id="286" w:name="_Toc339441059"/>
      <w:bookmarkStart w:id="287" w:name="_Toc330459957"/>
      <w:bookmarkStart w:id="288" w:name="_Toc337632330"/>
      <w:bookmarkStart w:id="289" w:name="_Toc333237760"/>
      <w:bookmarkStart w:id="290" w:name="_Toc342060346"/>
      <w:bookmarkStart w:id="291" w:name="_Toc333935659"/>
      <w:bookmarkStart w:id="292" w:name="_Toc350756422"/>
      <w:bookmarkStart w:id="293" w:name="_Toc503785400"/>
      <w:bookmarkStart w:id="294" w:name="_Toc333935318"/>
      <w:bookmarkStart w:id="295" w:name="_Toc340672841"/>
      <w:bookmarkStart w:id="296" w:name="_Toc31844"/>
      <w:bookmarkStart w:id="297" w:name="_Toc336681907"/>
      <w:bookmarkStart w:id="298" w:name="_Toc339019861"/>
      <w:bookmarkStart w:id="299" w:name="_Toc339362272"/>
      <w:bookmarkStart w:id="300" w:name="_Toc349143561"/>
      <w:bookmarkStart w:id="301" w:name="_Toc365967045"/>
      <w:bookmarkStart w:id="302" w:name="_Toc342296732"/>
      <w:bookmarkStart w:id="303" w:name="_Toc332270318"/>
      <w:bookmarkStart w:id="304" w:name="_Toc339019987"/>
      <w:r>
        <w:rPr>
          <w:rFonts w:hint="eastAsia"/>
          <w:color w:val="000000" w:themeColor="text1"/>
          <w:highlight w:val="none"/>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4.1</w:t>
      </w:r>
      <w:r>
        <w:rPr>
          <w:rFonts w:hint="eastAsia" w:ascii="宋体"/>
          <w:bCs/>
          <w:color w:val="000000" w:themeColor="text1"/>
          <w:highlight w:val="none"/>
        </w:rPr>
        <w:tab/>
      </w:r>
      <w:r>
        <w:rPr>
          <w:rFonts w:hint="eastAsia" w:hAnsi="宋体"/>
          <w:color w:val="000000" w:themeColor="text1"/>
          <w:highlight w:val="none"/>
        </w:rPr>
        <w:t>投标人应承担所有与准备和参加投标有关的费用。不论投标的结果如何，代理采购机构和采购人均无义务和责任承担这些费用</w:t>
      </w:r>
      <w:r>
        <w:rPr>
          <w:rFonts w:hint="eastAsia" w:ascii="宋体"/>
          <w:bCs/>
          <w:color w:val="000000" w:themeColor="text1"/>
          <w:highlight w:val="none"/>
        </w:rPr>
        <w:t>。</w:t>
      </w:r>
      <w:bookmarkStart w:id="305" w:name="_Toc332270319"/>
      <w:bookmarkStart w:id="306" w:name="_Toc333935660"/>
      <w:bookmarkStart w:id="307" w:name="_Toc342296733"/>
      <w:bookmarkStart w:id="308" w:name="_Toc349127599"/>
      <w:bookmarkStart w:id="309" w:name="_Toc331512871"/>
      <w:bookmarkStart w:id="310" w:name="_Toc374454574"/>
      <w:bookmarkStart w:id="311" w:name="_Toc339441060"/>
      <w:bookmarkStart w:id="312" w:name="_Toc331684011"/>
      <w:bookmarkStart w:id="313" w:name="_Toc332206681"/>
      <w:bookmarkStart w:id="314" w:name="_Toc333935319"/>
      <w:bookmarkStart w:id="315" w:name="_Toc333238606"/>
      <w:bookmarkStart w:id="316" w:name="_Toc337632331"/>
      <w:bookmarkStart w:id="317" w:name="_Toc340672842"/>
      <w:bookmarkStart w:id="318" w:name="_Toc339019988"/>
      <w:bookmarkStart w:id="319" w:name="_Toc365967046"/>
      <w:bookmarkStart w:id="320" w:name="_Toc341348311"/>
      <w:bookmarkStart w:id="321" w:name="_Toc503785401"/>
      <w:bookmarkStart w:id="322" w:name="_Toc365985152"/>
      <w:bookmarkStart w:id="323" w:name="_Toc497224199"/>
      <w:bookmarkStart w:id="324" w:name="_Toc350756423"/>
      <w:bookmarkStart w:id="325" w:name="_Toc336681553"/>
      <w:bookmarkStart w:id="326" w:name="_Toc339020206"/>
      <w:bookmarkStart w:id="327" w:name="_Toc350438722"/>
      <w:bookmarkStart w:id="328" w:name="_Toc339020068"/>
      <w:bookmarkStart w:id="329" w:name="_Toc333237761"/>
      <w:bookmarkStart w:id="330" w:name="_Toc330459958"/>
      <w:bookmarkStart w:id="331" w:name="_Toc366072501"/>
      <w:bookmarkStart w:id="332" w:name="_Toc333237650"/>
      <w:bookmarkStart w:id="333" w:name="_Toc349143562"/>
      <w:bookmarkStart w:id="334" w:name="_Toc345513840"/>
      <w:bookmarkStart w:id="335" w:name="_Toc340507415"/>
      <w:bookmarkStart w:id="336" w:name="_Toc336681908"/>
      <w:bookmarkStart w:id="337" w:name="_Toc339362273"/>
      <w:bookmarkStart w:id="338" w:name="_Toc340677043"/>
      <w:bookmarkStart w:id="339" w:name="_Toc339019862"/>
      <w:bookmarkStart w:id="340" w:name="_Toc342060347"/>
    </w:p>
    <w:p>
      <w:pPr>
        <w:pStyle w:val="4"/>
        <w:numPr>
          <w:ilvl w:val="0"/>
          <w:numId w:val="0"/>
        </w:numPr>
        <w:rPr>
          <w:color w:val="000000" w:themeColor="text1"/>
          <w:sz w:val="24"/>
          <w:highlight w:val="none"/>
        </w:rPr>
      </w:pPr>
      <w:bookmarkStart w:id="341" w:name="_Toc32208"/>
      <w:r>
        <w:rPr>
          <w:rFonts w:hint="eastAsia"/>
          <w:color w:val="000000" w:themeColor="text1"/>
          <w:sz w:val="24"/>
          <w:highlight w:val="none"/>
        </w:rPr>
        <w:t>Ｂ</w:t>
      </w:r>
      <w:r>
        <w:rPr>
          <w:color w:val="000000" w:themeColor="text1"/>
          <w:sz w:val="24"/>
          <w:highlight w:val="none"/>
        </w:rPr>
        <w:t xml:space="preserve">  </w:t>
      </w:r>
      <w:r>
        <w:rPr>
          <w:rFonts w:hint="eastAsia"/>
          <w:color w:val="000000" w:themeColor="text1"/>
          <w:sz w:val="24"/>
          <w:highlight w:val="none"/>
        </w:rPr>
        <w:t>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6"/>
        <w:numPr>
          <w:ilvl w:val="4"/>
          <w:numId w:val="26"/>
        </w:numPr>
        <w:tabs>
          <w:tab w:val="left" w:pos="720"/>
        </w:tabs>
        <w:spacing w:before="240" w:after="120"/>
        <w:ind w:left="2432" w:hanging="2432"/>
        <w:rPr>
          <w:color w:val="000000" w:themeColor="text1"/>
          <w:highlight w:val="none"/>
        </w:rPr>
      </w:pPr>
      <w:bookmarkStart w:id="342" w:name="_Toc332206682"/>
      <w:bookmarkStart w:id="343" w:name="_Toc339362274"/>
      <w:bookmarkStart w:id="344" w:name="_Toc503785402"/>
      <w:bookmarkStart w:id="345" w:name="_Toc333935661"/>
      <w:bookmarkStart w:id="346" w:name="_Toc333237762"/>
      <w:bookmarkStart w:id="347" w:name="_Toc337632332"/>
      <w:bookmarkStart w:id="348" w:name="_Toc339019989"/>
      <w:bookmarkStart w:id="349" w:name="_Toc497224200"/>
      <w:bookmarkStart w:id="350" w:name="_Toc374454575"/>
      <w:bookmarkStart w:id="351" w:name="_Toc365985153"/>
      <w:bookmarkStart w:id="352" w:name="_Toc342060348"/>
      <w:bookmarkStart w:id="353" w:name="_Toc350756424"/>
      <w:bookmarkStart w:id="354" w:name="_Toc336681909"/>
      <w:bookmarkStart w:id="355" w:name="_Toc345513841"/>
      <w:bookmarkStart w:id="356" w:name="_Toc331512872"/>
      <w:bookmarkStart w:id="357" w:name="_Toc336681554"/>
      <w:bookmarkStart w:id="358" w:name="_Toc333935320"/>
      <w:bookmarkStart w:id="359" w:name="_Toc365967047"/>
      <w:bookmarkStart w:id="360" w:name="_Toc333237651"/>
      <w:bookmarkStart w:id="361" w:name="_Toc340672843"/>
      <w:bookmarkStart w:id="362" w:name="_Toc340677044"/>
      <w:bookmarkStart w:id="363" w:name="_Toc339020207"/>
      <w:bookmarkStart w:id="364" w:name="_Toc330459959"/>
      <w:bookmarkStart w:id="365" w:name="_Toc331684012"/>
      <w:bookmarkStart w:id="366" w:name="_Toc341348312"/>
      <w:bookmarkStart w:id="367" w:name="_Toc366072502"/>
      <w:bookmarkStart w:id="368" w:name="_Toc339020069"/>
      <w:bookmarkStart w:id="369" w:name="_Toc332270320"/>
      <w:bookmarkStart w:id="370" w:name="_Toc349143563"/>
      <w:bookmarkStart w:id="371" w:name="_Toc342296734"/>
      <w:bookmarkStart w:id="372" w:name="_Toc340507416"/>
      <w:bookmarkStart w:id="373" w:name="_Toc333238607"/>
      <w:bookmarkStart w:id="374" w:name="_Toc30805"/>
      <w:bookmarkStart w:id="375" w:name="_Toc339019863"/>
      <w:bookmarkStart w:id="376" w:name="_Toc350438723"/>
      <w:bookmarkStart w:id="377" w:name="_Toc339441061"/>
      <w:bookmarkStart w:id="378" w:name="_Toc349127600"/>
      <w:r>
        <w:rPr>
          <w:rFonts w:hint="eastAsia"/>
          <w:color w:val="000000" w:themeColor="text1"/>
          <w:highlight w:val="none"/>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5.1</w:t>
      </w:r>
      <w:r>
        <w:rPr>
          <w:rFonts w:ascii="宋体"/>
          <w:bCs/>
          <w:color w:val="000000" w:themeColor="text1"/>
          <w:highlight w:val="none"/>
        </w:rPr>
        <w:tab/>
      </w:r>
      <w:r>
        <w:rPr>
          <w:rFonts w:hint="eastAsia" w:ascii="宋体"/>
          <w:bCs/>
          <w:color w:val="000000" w:themeColor="text1"/>
          <w:highlight w:val="none"/>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rPr>
      </w:pPr>
      <w:r>
        <w:rPr>
          <w:rFonts w:hint="eastAsia" w:ascii="宋体"/>
          <w:bCs/>
          <w:color w:val="000000" w:themeColor="text1"/>
          <w:highlight w:val="none"/>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5.2</w:t>
      </w:r>
      <w:r>
        <w:rPr>
          <w:rFonts w:ascii="宋体"/>
          <w:bCs/>
          <w:color w:val="000000" w:themeColor="text1"/>
          <w:highlight w:val="none"/>
        </w:rPr>
        <w:tab/>
      </w:r>
      <w:r>
        <w:rPr>
          <w:rFonts w:hint="eastAsia" w:ascii="宋体"/>
          <w:bCs/>
          <w:color w:val="000000" w:themeColor="text1"/>
          <w:highlight w:val="none"/>
        </w:rPr>
        <w:t>招标文件以中文编印。</w:t>
      </w:r>
    </w:p>
    <w:p>
      <w:pPr>
        <w:pStyle w:val="6"/>
        <w:numPr>
          <w:ilvl w:val="4"/>
          <w:numId w:val="26"/>
        </w:numPr>
        <w:tabs>
          <w:tab w:val="left" w:pos="720"/>
        </w:tabs>
        <w:spacing w:before="240" w:after="120"/>
        <w:ind w:left="2432" w:hanging="2432"/>
        <w:rPr>
          <w:color w:val="000000" w:themeColor="text1"/>
          <w:highlight w:val="none"/>
        </w:rPr>
      </w:pPr>
      <w:bookmarkStart w:id="379" w:name="_Toc331684013"/>
      <w:bookmarkStart w:id="380" w:name="_Toc339020208"/>
      <w:bookmarkStart w:id="381" w:name="_Toc339441062"/>
      <w:bookmarkStart w:id="382" w:name="_Toc503785403"/>
      <w:bookmarkStart w:id="383" w:name="_Toc341348313"/>
      <w:bookmarkStart w:id="384" w:name="_Toc333935662"/>
      <w:bookmarkStart w:id="385" w:name="_Toc333935321"/>
      <w:bookmarkStart w:id="386" w:name="_Toc349127601"/>
      <w:bookmarkStart w:id="387" w:name="_Toc330459960"/>
      <w:bookmarkStart w:id="388" w:name="_Toc332206683"/>
      <w:bookmarkStart w:id="389" w:name="_Toc333237652"/>
      <w:bookmarkStart w:id="390" w:name="_Toc340677045"/>
      <w:bookmarkStart w:id="391" w:name="_Toc339019990"/>
      <w:bookmarkStart w:id="392" w:name="_Toc365985154"/>
      <w:bookmarkStart w:id="393" w:name="_Toc342296735"/>
      <w:bookmarkStart w:id="394" w:name="_Toc497224201"/>
      <w:bookmarkStart w:id="395" w:name="_Toc332270321"/>
      <w:bookmarkStart w:id="396" w:name="_Toc339020070"/>
      <w:bookmarkStart w:id="397" w:name="_Toc331512873"/>
      <w:bookmarkStart w:id="398" w:name="_Toc350756425"/>
      <w:bookmarkStart w:id="399" w:name="_Toc365967048"/>
      <w:bookmarkStart w:id="400" w:name="_Toc336681555"/>
      <w:bookmarkStart w:id="401" w:name="_Toc370388389"/>
      <w:bookmarkStart w:id="402" w:name="_Toc339019864"/>
      <w:bookmarkStart w:id="403" w:name="_Toc333238608"/>
      <w:bookmarkStart w:id="404" w:name="_Toc337632333"/>
      <w:bookmarkStart w:id="405" w:name="_Toc340507417"/>
      <w:bookmarkStart w:id="406" w:name="_Toc339362275"/>
      <w:bookmarkStart w:id="407" w:name="_Toc349143564"/>
      <w:bookmarkStart w:id="408" w:name="_Toc345513842"/>
      <w:bookmarkStart w:id="409" w:name="_Toc342060349"/>
      <w:bookmarkStart w:id="410" w:name="_Toc350438724"/>
      <w:bookmarkStart w:id="411" w:name="_Toc333237763"/>
      <w:bookmarkStart w:id="412" w:name="_Toc336681910"/>
      <w:bookmarkStart w:id="413" w:name="_Toc340672844"/>
      <w:bookmarkStart w:id="414" w:name="_Toc374454576"/>
      <w:bookmarkStart w:id="415" w:name="_Toc2012"/>
      <w:bookmarkStart w:id="416" w:name="_Toc503785405"/>
      <w:bookmarkStart w:id="417" w:name="_Toc497224203"/>
      <w:bookmarkStart w:id="418" w:name="_Toc349127603"/>
      <w:bookmarkStart w:id="419" w:name="_Toc336681912"/>
      <w:bookmarkStart w:id="420" w:name="_Toc332270323"/>
      <w:bookmarkStart w:id="421" w:name="_Toc339020072"/>
      <w:bookmarkStart w:id="422" w:name="_Toc339441064"/>
      <w:bookmarkStart w:id="423" w:name="_Toc330459962"/>
      <w:bookmarkStart w:id="424" w:name="_Toc365985156"/>
      <w:bookmarkStart w:id="425" w:name="_Toc340677047"/>
      <w:bookmarkStart w:id="426" w:name="_Toc340672846"/>
      <w:bookmarkStart w:id="427" w:name="_Toc333238610"/>
      <w:bookmarkStart w:id="428" w:name="_Toc331684015"/>
      <w:bookmarkStart w:id="429" w:name="_Toc366072505"/>
      <w:bookmarkStart w:id="430" w:name="_Toc337632335"/>
      <w:bookmarkStart w:id="431" w:name="_Toc345513844"/>
      <w:bookmarkStart w:id="432" w:name="_Toc365967050"/>
      <w:bookmarkStart w:id="433" w:name="_Toc333935323"/>
      <w:bookmarkStart w:id="434" w:name="_Toc333935664"/>
      <w:bookmarkStart w:id="435" w:name="_Toc340507419"/>
      <w:bookmarkStart w:id="436" w:name="_Toc339019866"/>
      <w:bookmarkStart w:id="437" w:name="_Toc342060351"/>
      <w:bookmarkStart w:id="438" w:name="_Toc350438726"/>
      <w:bookmarkStart w:id="439" w:name="_Toc339362277"/>
      <w:bookmarkStart w:id="440" w:name="_Toc336681557"/>
      <w:bookmarkStart w:id="441" w:name="_Toc331512875"/>
      <w:bookmarkStart w:id="442" w:name="_Toc349143566"/>
      <w:bookmarkStart w:id="443" w:name="_Toc350756427"/>
      <w:bookmarkStart w:id="444" w:name="_Toc342296737"/>
      <w:bookmarkStart w:id="445" w:name="_Toc333237765"/>
      <w:bookmarkStart w:id="446" w:name="_Toc339019992"/>
      <w:bookmarkStart w:id="447" w:name="_Toc332206685"/>
      <w:bookmarkStart w:id="448" w:name="_Toc339020210"/>
      <w:bookmarkStart w:id="449" w:name="_Toc333237654"/>
      <w:bookmarkStart w:id="450" w:name="_Toc341348315"/>
      <w:r>
        <w:rPr>
          <w:rFonts w:hint="eastAsia"/>
          <w:color w:val="000000" w:themeColor="text1"/>
          <w:highlight w:val="none"/>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rPr>
        <w:t>、修改</w:t>
      </w:r>
      <w:bookmarkEnd w:id="414"/>
      <w:bookmarkEnd w:id="415"/>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rPr>
      </w:pPr>
      <w:r>
        <w:rPr>
          <w:rFonts w:hint="eastAsia" w:ascii="宋体" w:hAnsi="宋体"/>
          <w:color w:val="000000" w:themeColor="text1"/>
          <w:highlight w:val="none"/>
        </w:rPr>
        <w:t>澄清或修改时间距投标截止时间不足15日的，采购人或代理采购机构在征得已获取招标文件的投标人同意并书面确认后，可不改变投标截止时间。</w:t>
      </w:r>
    </w:p>
    <w:p>
      <w:pPr>
        <w:pStyle w:val="4"/>
        <w:pageBreakBefore w:val="0"/>
        <w:numPr>
          <w:ilvl w:val="0"/>
          <w:numId w:val="0"/>
        </w:numPr>
        <w:kinsoku/>
        <w:wordWrap/>
        <w:overflowPunct/>
        <w:topLinePunct w:val="0"/>
        <w:bidi w:val="0"/>
        <w:adjustRightInd w:val="0"/>
        <w:snapToGrid w:val="0"/>
        <w:spacing w:line="400" w:lineRule="exact"/>
        <w:rPr>
          <w:color w:val="000000" w:themeColor="text1"/>
          <w:sz w:val="24"/>
          <w:highlight w:val="none"/>
        </w:rPr>
      </w:pPr>
      <w:bookmarkStart w:id="451" w:name="_Toc374454577"/>
      <w:r>
        <w:rPr>
          <w:color w:val="000000" w:themeColor="text1"/>
          <w:sz w:val="24"/>
          <w:highlight w:val="none"/>
        </w:rPr>
        <w:br w:type="page"/>
      </w:r>
      <w:bookmarkStart w:id="452" w:name="_Toc10673"/>
      <w:r>
        <w:rPr>
          <w:rFonts w:hint="eastAsia"/>
          <w:color w:val="000000" w:themeColor="text1"/>
          <w:sz w:val="24"/>
          <w:highlight w:val="none"/>
        </w:rPr>
        <w:t>Ｃ</w:t>
      </w:r>
      <w:r>
        <w:rPr>
          <w:color w:val="000000" w:themeColor="text1"/>
          <w:sz w:val="24"/>
          <w:highlight w:val="none"/>
        </w:rPr>
        <w:t xml:space="preserve">  </w:t>
      </w:r>
      <w:r>
        <w:rPr>
          <w:rFonts w:hint="eastAsia"/>
          <w:color w:val="000000" w:themeColor="text1"/>
          <w:sz w:val="24"/>
          <w:highlight w:val="none"/>
        </w:rPr>
        <w:t>投标文件的编</w:t>
      </w:r>
      <w:bookmarkEnd w:id="416"/>
      <w:bookmarkEnd w:id="417"/>
      <w:r>
        <w:rPr>
          <w:rFonts w:hint="eastAsia"/>
          <w:color w:val="000000" w:themeColor="text1"/>
          <w:sz w:val="24"/>
          <w:highlight w:val="none"/>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53" w:name="_Toc330459963"/>
      <w:bookmarkStart w:id="454" w:name="_Toc349143567"/>
      <w:bookmarkStart w:id="455" w:name="_Toc341348316"/>
      <w:bookmarkStart w:id="456" w:name="_Toc339020211"/>
      <w:bookmarkStart w:id="457" w:name="_Toc332270324"/>
      <w:bookmarkStart w:id="458" w:name="_Toc339362278"/>
      <w:bookmarkStart w:id="459" w:name="_Toc350756428"/>
      <w:bookmarkStart w:id="460" w:name="_Toc339020073"/>
      <w:bookmarkStart w:id="461" w:name="_Toc336681913"/>
      <w:bookmarkStart w:id="462" w:name="_Toc342296738"/>
      <w:bookmarkStart w:id="463" w:name="_Toc339441065"/>
      <w:bookmarkStart w:id="464" w:name="_Toc340672847"/>
      <w:bookmarkStart w:id="465" w:name="_Toc342060352"/>
      <w:bookmarkStart w:id="466" w:name="_Toc333237655"/>
      <w:bookmarkStart w:id="467" w:name="_Toc345513845"/>
      <w:bookmarkStart w:id="468" w:name="_Toc332206686"/>
      <w:bookmarkStart w:id="469" w:name="_Toc333935665"/>
      <w:bookmarkStart w:id="470" w:name="_Toc350438727"/>
      <w:bookmarkStart w:id="471" w:name="_Toc336681558"/>
      <w:bookmarkStart w:id="472" w:name="_Toc339019867"/>
      <w:bookmarkStart w:id="473" w:name="_Toc337632336"/>
      <w:bookmarkStart w:id="474" w:name="_Toc503785406"/>
      <w:bookmarkStart w:id="475" w:name="_Toc331512876"/>
      <w:bookmarkStart w:id="476" w:name="_Toc365967051"/>
      <w:bookmarkStart w:id="477" w:name="_Toc340507420"/>
      <w:bookmarkStart w:id="478" w:name="_Toc333237766"/>
      <w:bookmarkStart w:id="479" w:name="_Toc333935324"/>
      <w:bookmarkStart w:id="480" w:name="_Toc366072506"/>
      <w:bookmarkStart w:id="481" w:name="_Toc10727"/>
      <w:bookmarkStart w:id="482" w:name="_Toc339019993"/>
      <w:bookmarkStart w:id="483" w:name="_Toc365985157"/>
      <w:bookmarkStart w:id="484" w:name="_Toc497224204"/>
      <w:bookmarkStart w:id="485" w:name="_Toc340677048"/>
      <w:bookmarkStart w:id="486" w:name="_Toc349127604"/>
      <w:bookmarkStart w:id="487" w:name="_Toc374454578"/>
      <w:bookmarkStart w:id="488" w:name="_Toc333238611"/>
      <w:bookmarkStart w:id="489" w:name="_Toc331684016"/>
      <w:r>
        <w:rPr>
          <w:rFonts w:hint="eastAsia"/>
          <w:color w:val="000000" w:themeColor="text1"/>
          <w:highlight w:val="none"/>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7</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490" w:name="_Toc13141"/>
      <w:bookmarkStart w:id="491" w:name="_Toc337632337"/>
      <w:bookmarkStart w:id="492" w:name="_Toc349127605"/>
      <w:bookmarkStart w:id="493" w:name="_Toc332270325"/>
      <w:bookmarkStart w:id="494" w:name="_Toc341348317"/>
      <w:bookmarkStart w:id="495" w:name="_Toc365967052"/>
      <w:bookmarkStart w:id="496" w:name="_Toc339020074"/>
      <w:bookmarkStart w:id="497" w:name="_Toc340507421"/>
      <w:bookmarkStart w:id="498" w:name="_Toc330459964"/>
      <w:bookmarkStart w:id="499" w:name="_Toc339441066"/>
      <w:bookmarkStart w:id="500" w:name="_Toc340672848"/>
      <w:bookmarkStart w:id="501" w:name="_Toc332206687"/>
      <w:bookmarkStart w:id="502" w:name="_Toc336681914"/>
      <w:bookmarkStart w:id="503" w:name="_Toc503785407"/>
      <w:bookmarkStart w:id="504" w:name="_Toc333935325"/>
      <w:bookmarkStart w:id="505" w:name="_Toc350438728"/>
      <w:bookmarkStart w:id="506" w:name="_Toc333935666"/>
      <w:bookmarkStart w:id="507" w:name="_Toc333238612"/>
      <w:bookmarkStart w:id="508" w:name="_Toc339362279"/>
      <w:bookmarkStart w:id="509" w:name="_Toc349143568"/>
      <w:bookmarkStart w:id="510" w:name="_Toc374454579"/>
      <w:bookmarkStart w:id="511" w:name="_Toc333237767"/>
      <w:bookmarkStart w:id="512" w:name="_Toc339020212"/>
      <w:bookmarkStart w:id="513" w:name="_Toc345513846"/>
      <w:bookmarkStart w:id="514" w:name="_Toc342296739"/>
      <w:bookmarkStart w:id="515" w:name="_Toc497224205"/>
      <w:bookmarkStart w:id="516" w:name="_Toc365985158"/>
      <w:bookmarkStart w:id="517" w:name="_Toc340677049"/>
      <w:bookmarkStart w:id="518" w:name="_Toc331512877"/>
      <w:bookmarkStart w:id="519" w:name="_Toc331684017"/>
      <w:bookmarkStart w:id="520" w:name="_Toc350756429"/>
      <w:bookmarkStart w:id="521" w:name="_Toc339019994"/>
      <w:bookmarkStart w:id="522" w:name="_Toc333237656"/>
      <w:bookmarkStart w:id="523" w:name="_Toc366072507"/>
      <w:bookmarkStart w:id="524" w:name="_Toc336681559"/>
      <w:bookmarkStart w:id="525" w:name="_Toc342060353"/>
      <w:bookmarkStart w:id="526" w:name="_Toc339019868"/>
      <w:r>
        <w:rPr>
          <w:rFonts w:hint="eastAsia"/>
          <w:color w:val="000000" w:themeColor="text1"/>
          <w:highlight w:val="none"/>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投标人提交的投标文件（包括资格证明文件）以及投标人与代理采购机构就有关投标的所有往来函电均应使用中文。投标人可以提交用其它语言打印的资料，但有关段落必须译成中文。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8</w:t>
      </w:r>
      <w:r>
        <w:rPr>
          <w:rFonts w:ascii="宋体"/>
          <w:bCs/>
          <w:color w:val="000000" w:themeColor="text1"/>
          <w:highlight w:val="none"/>
        </w:rPr>
        <w:t>.2</w:t>
      </w:r>
      <w:r>
        <w:rPr>
          <w:rFonts w:ascii="宋体"/>
          <w:bCs/>
          <w:color w:val="000000" w:themeColor="text1"/>
          <w:highlight w:val="none"/>
        </w:rPr>
        <w:tab/>
      </w:r>
      <w:r>
        <w:rPr>
          <w:rFonts w:hint="eastAsia" w:ascii="宋体"/>
          <w:bCs/>
          <w:color w:val="000000" w:themeColor="text1"/>
          <w:highlight w:val="none"/>
        </w:rPr>
        <w:t>除在招标文件的技术规格中另有规定外，计量单位应使用中华人民共和国法定计量单位</w:t>
      </w:r>
      <w:r>
        <w:rPr>
          <w:rFonts w:hint="eastAsia"/>
          <w:bCs/>
          <w:color w:val="000000" w:themeColor="text1"/>
          <w:highlight w:val="none"/>
        </w:rPr>
        <w:t>（国际单位制和国家选定的其他计量单位）</w:t>
      </w:r>
      <w:r>
        <w:rPr>
          <w:rFonts w:hint="eastAsia" w:ascii="宋体"/>
          <w:bCs/>
          <w:color w:val="000000" w:themeColor="text1"/>
          <w:highlight w:val="none"/>
        </w:rPr>
        <w:t>。</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27" w:name="_Toc365985159"/>
      <w:bookmarkStart w:id="528" w:name="_Toc339019995"/>
      <w:bookmarkStart w:id="529" w:name="_Toc366072508"/>
      <w:bookmarkStart w:id="530" w:name="_Toc342060354"/>
      <w:bookmarkStart w:id="531" w:name="_Toc332206688"/>
      <w:bookmarkStart w:id="532" w:name="_Toc341348318"/>
      <w:bookmarkStart w:id="533" w:name="_Toc337632338"/>
      <w:bookmarkStart w:id="534" w:name="_Toc340677050"/>
      <w:bookmarkStart w:id="535" w:name="_Toc330459965"/>
      <w:bookmarkStart w:id="536" w:name="_Toc333238613"/>
      <w:bookmarkStart w:id="537" w:name="_Toc342296740"/>
      <w:bookmarkStart w:id="538" w:name="_Toc350438729"/>
      <w:bookmarkStart w:id="539" w:name="_Toc331684018"/>
      <w:bookmarkStart w:id="540" w:name="_Toc345513847"/>
      <w:bookmarkStart w:id="541" w:name="_Toc333237768"/>
      <w:bookmarkStart w:id="542" w:name="_Toc336681560"/>
      <w:bookmarkStart w:id="543" w:name="_Toc339020075"/>
      <w:bookmarkStart w:id="544" w:name="_Toc365967053"/>
      <w:bookmarkStart w:id="545" w:name="_Toc350756430"/>
      <w:bookmarkStart w:id="546" w:name="_Toc503785408"/>
      <w:bookmarkStart w:id="547" w:name="_Toc333935326"/>
      <w:bookmarkStart w:id="548" w:name="_Toc339020213"/>
      <w:bookmarkStart w:id="549" w:name="_Toc332270326"/>
      <w:bookmarkStart w:id="550" w:name="_Toc333237657"/>
      <w:bookmarkStart w:id="551" w:name="_Toc339019869"/>
      <w:bookmarkStart w:id="552" w:name="_Toc349143569"/>
      <w:bookmarkStart w:id="553" w:name="_Toc340507422"/>
      <w:bookmarkStart w:id="554" w:name="_Toc497224206"/>
      <w:bookmarkStart w:id="555" w:name="_Toc339441067"/>
      <w:bookmarkStart w:id="556" w:name="_Toc336681915"/>
      <w:bookmarkStart w:id="557" w:name="_Toc340672849"/>
      <w:bookmarkStart w:id="558" w:name="_Toc331512878"/>
      <w:bookmarkStart w:id="559" w:name="_Toc339362280"/>
      <w:bookmarkStart w:id="560" w:name="_Toc374454580"/>
      <w:bookmarkStart w:id="561" w:name="_Toc333935667"/>
      <w:bookmarkStart w:id="562" w:name="_Toc349127606"/>
      <w:bookmarkStart w:id="563" w:name="_Toc1864"/>
      <w:r>
        <w:rPr>
          <w:rFonts w:hint="eastAsia"/>
          <w:color w:val="000000" w:themeColor="text1"/>
          <w:highlight w:val="none"/>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pageBreakBefore w:val="0"/>
        <w:widowControl/>
        <w:tabs>
          <w:tab w:val="left" w:pos="753"/>
        </w:tabs>
        <w:kinsoku/>
        <w:wordWrap/>
        <w:overflowPunct/>
        <w:topLinePunct w:val="0"/>
        <w:bidi w:val="0"/>
        <w:adjustRightInd w:val="0"/>
        <w:snapToGrid w:val="0"/>
        <w:spacing w:line="400" w:lineRule="exact"/>
        <w:rPr>
          <w:rFonts w:ascii="宋体"/>
          <w:bCs/>
          <w:color w:val="000000" w:themeColor="text1"/>
          <w:highlight w:val="none"/>
        </w:rPr>
      </w:pPr>
      <w:r>
        <w:rPr>
          <w:rFonts w:hint="eastAsia" w:ascii="宋体"/>
          <w:bCs/>
          <w:color w:val="000000" w:themeColor="text1"/>
          <w:highlight w:val="none"/>
        </w:rPr>
        <w:t>9</w:t>
      </w:r>
      <w:r>
        <w:rPr>
          <w:rFonts w:ascii="宋体"/>
          <w:bCs/>
          <w:color w:val="000000" w:themeColor="text1"/>
          <w:highlight w:val="none"/>
        </w:rPr>
        <w:t>.1</w:t>
      </w:r>
      <w:r>
        <w:rPr>
          <w:rFonts w:hint="eastAsia" w:ascii="宋体"/>
          <w:bCs/>
          <w:color w:val="000000" w:themeColor="text1"/>
          <w:highlight w:val="none"/>
        </w:rPr>
        <w:t xml:space="preserve">   投标文件包括：</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bookmarkStart w:id="564" w:name="_Toc503785409"/>
      <w:bookmarkStart w:id="565" w:name="_Toc497224207"/>
      <w:r>
        <w:rPr>
          <w:rFonts w:hint="eastAsia" w:ascii="宋体" w:hAnsi="宋体"/>
          <w:bCs/>
          <w:color w:val="000000" w:themeColor="text1"/>
          <w:highlight w:val="none"/>
        </w:rPr>
        <w:t>第一章 资格审查文件（含附件）</w:t>
      </w:r>
    </w:p>
    <w:p>
      <w:pPr>
        <w:pageBreakBefore w:val="0"/>
        <w:widowControl/>
        <w:kinsoku/>
        <w:wordWrap/>
        <w:overflowPunct/>
        <w:topLinePunct w:val="0"/>
        <w:bidi w:val="0"/>
        <w:adjustRightInd w:val="0"/>
        <w:snapToGrid w:val="0"/>
        <w:spacing w:line="400" w:lineRule="exact"/>
        <w:ind w:left="734"/>
        <w:rPr>
          <w:rFonts w:ascii="宋体" w:hAnsi="宋体"/>
          <w:bCs/>
          <w:color w:val="000000" w:themeColor="text1"/>
          <w:highlight w:val="none"/>
        </w:rPr>
      </w:pPr>
      <w:r>
        <w:rPr>
          <w:rFonts w:hint="eastAsia" w:ascii="宋体" w:hAnsi="宋体"/>
          <w:bCs/>
          <w:color w:val="000000" w:themeColor="text1"/>
          <w:highlight w:val="none"/>
        </w:rPr>
        <w:t>第二章 商务和技术部分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566" w:name="_Toc331684019"/>
      <w:bookmarkStart w:id="567" w:name="_Toc365985160"/>
      <w:bookmarkStart w:id="568" w:name="_Toc345513848"/>
      <w:bookmarkStart w:id="569" w:name="_Toc349127607"/>
      <w:bookmarkStart w:id="570" w:name="_Toc331512879"/>
      <w:bookmarkStart w:id="571" w:name="_Toc333237769"/>
      <w:bookmarkStart w:id="572" w:name="_Toc340672850"/>
      <w:bookmarkStart w:id="573" w:name="_Toc349143570"/>
      <w:bookmarkStart w:id="574" w:name="_Toc332206689"/>
      <w:bookmarkStart w:id="575" w:name="_Toc374454581"/>
      <w:bookmarkStart w:id="576" w:name="_Toc333238614"/>
      <w:bookmarkStart w:id="577" w:name="_Toc339019870"/>
      <w:bookmarkStart w:id="578" w:name="_Toc333237658"/>
      <w:bookmarkStart w:id="579" w:name="_Toc330459966"/>
      <w:bookmarkStart w:id="580" w:name="_Toc336681561"/>
      <w:bookmarkStart w:id="581" w:name="_Toc341348319"/>
      <w:bookmarkStart w:id="582" w:name="_Toc340507423"/>
      <w:bookmarkStart w:id="583" w:name="_Toc339441068"/>
      <w:bookmarkStart w:id="584" w:name="_Toc333935668"/>
      <w:bookmarkStart w:id="585" w:name="_Toc350756431"/>
      <w:bookmarkStart w:id="586" w:name="_Toc339020076"/>
      <w:bookmarkStart w:id="587" w:name="_Toc336681916"/>
      <w:bookmarkStart w:id="588" w:name="_Toc337632339"/>
      <w:bookmarkStart w:id="589" w:name="_Toc365967054"/>
      <w:bookmarkStart w:id="590" w:name="_Toc333935327"/>
      <w:bookmarkStart w:id="591" w:name="_Toc339362281"/>
      <w:bookmarkStart w:id="592" w:name="_Toc342296741"/>
      <w:bookmarkStart w:id="593" w:name="_Toc340677051"/>
      <w:bookmarkStart w:id="594" w:name="_Toc332270327"/>
      <w:bookmarkStart w:id="595" w:name="_Toc339020214"/>
      <w:bookmarkStart w:id="596" w:name="_Toc350438730"/>
      <w:bookmarkStart w:id="597" w:name="_Toc20327"/>
      <w:bookmarkStart w:id="598" w:name="_Toc366072509"/>
      <w:bookmarkStart w:id="599" w:name="_Toc342060355"/>
      <w:bookmarkStart w:id="600" w:name="_Toc339019996"/>
      <w:r>
        <w:rPr>
          <w:rFonts w:hint="eastAsia"/>
          <w:color w:val="000000" w:themeColor="text1"/>
          <w:highlight w:val="none"/>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pageBreakBefore w:val="0"/>
        <w:widowControl/>
        <w:tabs>
          <w:tab w:val="left" w:pos="753"/>
        </w:tabs>
        <w:kinsoku/>
        <w:wordWrap/>
        <w:overflowPunct/>
        <w:topLinePunct w:val="0"/>
        <w:bidi w:val="0"/>
        <w:adjustRightInd w:val="0"/>
        <w:snapToGrid w:val="0"/>
        <w:spacing w:before="240"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0</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投标人应</w:t>
      </w:r>
      <w:r>
        <w:rPr>
          <w:rFonts w:hint="eastAsia" w:ascii="宋体" w:hAnsi="宋体"/>
          <w:bCs/>
          <w:color w:val="000000" w:themeColor="text1"/>
          <w:highlight w:val="none"/>
        </w:rPr>
        <w:t>按照招标文件中提供的投标文件格式编制投标文件（详见第五部分）。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10.2 </w:t>
      </w:r>
      <w:r>
        <w:rPr>
          <w:rFonts w:hint="eastAsia" w:ascii="宋体" w:hAnsi="宋体"/>
          <w:bCs/>
          <w:color w:val="000000" w:themeColor="text1"/>
          <w:highlight w:val="none"/>
        </w:rPr>
        <w:tab/>
      </w:r>
      <w:r>
        <w:rPr>
          <w:rFonts w:hint="eastAsia" w:ascii="宋体" w:hAnsi="宋体"/>
          <w:bCs/>
          <w:color w:val="000000" w:themeColor="text1"/>
          <w:highlight w:val="none"/>
        </w:rPr>
        <w:tab/>
      </w:r>
      <w:r>
        <w:rPr>
          <w:rFonts w:hint="eastAsia" w:ascii="宋体" w:hAnsi="宋体"/>
          <w:bCs/>
          <w:color w:val="000000" w:themeColor="text1"/>
          <w:highlight w:val="none"/>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01" w:name="_Toc336681562"/>
      <w:bookmarkStart w:id="602" w:name="_Toc339020215"/>
      <w:bookmarkStart w:id="603" w:name="_Toc340677052"/>
      <w:bookmarkStart w:id="604" w:name="_Toc340672851"/>
      <w:bookmarkStart w:id="605" w:name="_Toc374454582"/>
      <w:bookmarkStart w:id="606" w:name="_Toc333935669"/>
      <w:bookmarkStart w:id="607" w:name="_Toc333237770"/>
      <w:bookmarkStart w:id="608" w:name="_Toc349127608"/>
      <w:bookmarkStart w:id="609" w:name="_Toc333238615"/>
      <w:bookmarkStart w:id="610" w:name="_Toc350438731"/>
      <w:bookmarkStart w:id="611" w:name="_Toc340507424"/>
      <w:bookmarkStart w:id="612" w:name="_Toc333935328"/>
      <w:bookmarkStart w:id="613" w:name="_Toc339362282"/>
      <w:bookmarkStart w:id="614" w:name="_Toc342296742"/>
      <w:bookmarkStart w:id="615" w:name="_Toc339441069"/>
      <w:bookmarkStart w:id="616" w:name="_Toc337632340"/>
      <w:bookmarkStart w:id="617" w:name="_Toc339020077"/>
      <w:bookmarkStart w:id="618" w:name="_Toc5003680"/>
      <w:bookmarkStart w:id="619" w:name="_Toc341348320"/>
      <w:bookmarkStart w:id="620" w:name="_Toc331684020"/>
      <w:bookmarkStart w:id="621" w:name="_Toc339019997"/>
      <w:bookmarkStart w:id="622" w:name="_Toc332270328"/>
      <w:bookmarkStart w:id="623" w:name="_Toc333237659"/>
      <w:bookmarkStart w:id="624" w:name="_Toc330459967"/>
      <w:bookmarkStart w:id="625" w:name="_Toc365967055"/>
      <w:bookmarkStart w:id="626" w:name="_Toc339019871"/>
      <w:bookmarkStart w:id="627" w:name="_Toc345513849"/>
      <w:bookmarkStart w:id="628" w:name="_Toc331512880"/>
      <w:bookmarkStart w:id="629" w:name="_Toc350756432"/>
      <w:bookmarkStart w:id="630" w:name="_Toc366072510"/>
      <w:bookmarkStart w:id="631" w:name="_Toc332206690"/>
      <w:bookmarkStart w:id="632" w:name="_Toc349143571"/>
      <w:bookmarkStart w:id="633" w:name="_Toc336681917"/>
      <w:bookmarkStart w:id="634" w:name="_Toc342060356"/>
      <w:bookmarkStart w:id="635" w:name="_Toc365985161"/>
      <w:bookmarkStart w:id="636" w:name="_Toc11538"/>
      <w:r>
        <w:rPr>
          <w:rFonts w:hint="eastAsia"/>
          <w:color w:val="000000" w:themeColor="text1"/>
          <w:highlight w:val="none"/>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 xml:space="preserve">11.1 </w:t>
      </w:r>
      <w:r>
        <w:rPr>
          <w:rFonts w:hint="eastAsia" w:ascii="宋体" w:hAnsi="宋体"/>
          <w:bCs/>
          <w:color w:val="000000" w:themeColor="text1"/>
          <w:highlight w:val="none"/>
        </w:rPr>
        <w:tab/>
      </w:r>
      <w:r>
        <w:rPr>
          <w:rFonts w:hint="eastAsia" w:ascii="宋体" w:hAnsi="宋体"/>
          <w:bCs/>
          <w:color w:val="000000" w:themeColor="text1"/>
          <w:highlight w:val="none"/>
        </w:rPr>
        <w:t>投标人应按招标文件的要求，提交其有资格参加投标和中标后有履行合同能力的文件，并作为其投标文件的组成部分，包括但不限于下列文件：</w:t>
      </w:r>
    </w:p>
    <w:p>
      <w:pPr>
        <w:pageBreakBefore w:val="0"/>
        <w:widowControl/>
        <w:numPr>
          <w:ilvl w:val="0"/>
          <w:numId w:val="29"/>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投标人满足招标文件中列出的资格标准；</w:t>
      </w:r>
    </w:p>
    <w:p>
      <w:pPr>
        <w:pageBreakBefore w:val="0"/>
        <w:widowControl/>
        <w:numPr>
          <w:ilvl w:val="0"/>
          <w:numId w:val="29"/>
        </w:numPr>
        <w:tabs>
          <w:tab w:val="left" w:pos="1255"/>
          <w:tab w:val="clear" w:pos="1638"/>
        </w:tabs>
        <w:kinsoku/>
        <w:wordWrap/>
        <w:overflowPunct/>
        <w:topLinePunct w:val="0"/>
        <w:bidi w:val="0"/>
        <w:adjustRightInd w:val="0"/>
        <w:snapToGrid w:val="0"/>
        <w:spacing w:line="400" w:lineRule="exact"/>
        <w:ind w:left="1255" w:hanging="502"/>
        <w:rPr>
          <w:rFonts w:ascii="宋体" w:hAnsi="宋体"/>
          <w:bCs/>
          <w:color w:val="000000" w:themeColor="text1"/>
          <w:highlight w:val="none"/>
        </w:rPr>
      </w:pPr>
      <w:r>
        <w:rPr>
          <w:rFonts w:hint="eastAsia" w:ascii="宋体" w:hAnsi="宋体"/>
          <w:bCs/>
          <w:color w:val="000000" w:themeColor="text1"/>
          <w:highlight w:val="none"/>
        </w:rPr>
        <w:t>投标人已具备履行合同所需的财务、技术、生产和服务能力。</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37" w:name="_Toc340672852"/>
      <w:bookmarkStart w:id="638" w:name="_Toc339020216"/>
      <w:bookmarkStart w:id="639" w:name="_Toc366072511"/>
      <w:bookmarkStart w:id="640" w:name="_Toc331512881"/>
      <w:bookmarkStart w:id="641" w:name="_Toc333935670"/>
      <w:bookmarkStart w:id="642" w:name="_Toc330459968"/>
      <w:bookmarkStart w:id="643" w:name="_Toc339019998"/>
      <w:bookmarkStart w:id="644" w:name="_Toc365967056"/>
      <w:bookmarkStart w:id="645" w:name="_Toc340507425"/>
      <w:bookmarkStart w:id="646" w:name="_Toc11304"/>
      <w:bookmarkStart w:id="647" w:name="_Toc345513850"/>
      <w:bookmarkStart w:id="648" w:name="_Toc365985162"/>
      <w:bookmarkStart w:id="649" w:name="_Toc332206691"/>
      <w:bookmarkStart w:id="650" w:name="_Toc332270329"/>
      <w:bookmarkStart w:id="651" w:name="_Toc341348321"/>
      <w:bookmarkStart w:id="652" w:name="_Toc333237771"/>
      <w:bookmarkStart w:id="653" w:name="_Toc350756433"/>
      <w:bookmarkStart w:id="654" w:name="_Toc333237660"/>
      <w:bookmarkStart w:id="655" w:name="_Toc339362283"/>
      <w:bookmarkStart w:id="656" w:name="_Toc333935329"/>
      <w:bookmarkStart w:id="657" w:name="_Toc339020078"/>
      <w:bookmarkStart w:id="658" w:name="_Toc339019872"/>
      <w:bookmarkStart w:id="659" w:name="_Toc337632341"/>
      <w:bookmarkStart w:id="660" w:name="_Toc5003681"/>
      <w:bookmarkStart w:id="661" w:name="_Toc331684021"/>
      <w:bookmarkStart w:id="662" w:name="_Toc340677053"/>
      <w:bookmarkStart w:id="663" w:name="_Toc336681563"/>
      <w:bookmarkStart w:id="664" w:name="_Toc374454583"/>
      <w:bookmarkStart w:id="665" w:name="_Toc349143572"/>
      <w:bookmarkStart w:id="666" w:name="_Toc342060357"/>
      <w:bookmarkStart w:id="667" w:name="_Toc336681918"/>
      <w:bookmarkStart w:id="668" w:name="_Toc333238616"/>
      <w:bookmarkStart w:id="669" w:name="_Toc342296743"/>
      <w:bookmarkStart w:id="670" w:name="_Toc339441070"/>
      <w:bookmarkStart w:id="671" w:name="_Toc349127609"/>
      <w:bookmarkStart w:id="672" w:name="_Toc350438732"/>
      <w:r>
        <w:rPr>
          <w:rFonts w:hint="eastAsia"/>
          <w:color w:val="000000" w:themeColor="text1"/>
          <w:highlight w:val="none"/>
        </w:rPr>
        <w:t>货物和服务的证明文件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12.1</w:t>
      </w:r>
      <w:r>
        <w:rPr>
          <w:rFonts w:hint="eastAsia" w:ascii="宋体" w:hAnsi="宋体"/>
          <w:bCs/>
          <w:color w:val="000000" w:themeColor="text1"/>
          <w:highlight w:val="none"/>
        </w:rPr>
        <w:tab/>
      </w:r>
      <w:r>
        <w:rPr>
          <w:rFonts w:hint="eastAsia" w:ascii="宋体" w:hAnsi="宋体"/>
          <w:bCs/>
          <w:color w:val="000000" w:themeColor="text1"/>
          <w:highlight w:val="none"/>
        </w:rPr>
        <w:t>投标人应提交其拟供的合同项下的货物和服务的合格性符合招标文件规定的证明文件，并作为其投标文件的一部分。</w:t>
      </w:r>
    </w:p>
    <w:p>
      <w:pPr>
        <w:pageBreakBefore w:val="0"/>
        <w:tabs>
          <w:tab w:val="left" w:pos="753"/>
        </w:tabs>
        <w:kinsoku/>
        <w:wordWrap/>
        <w:overflowPunct/>
        <w:topLinePunct w:val="0"/>
        <w:autoSpaceDE w:val="0"/>
        <w:autoSpaceDN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12.2</w:t>
      </w:r>
      <w:r>
        <w:rPr>
          <w:rFonts w:hint="eastAsia" w:ascii="宋体" w:hAnsi="宋体"/>
          <w:bCs/>
          <w:color w:val="000000" w:themeColor="text1"/>
          <w:highlight w:val="none"/>
        </w:rPr>
        <w:tab/>
      </w:r>
      <w:r>
        <w:rPr>
          <w:rFonts w:hint="eastAsia" w:ascii="宋体" w:hAnsi="宋体"/>
          <w:bCs/>
          <w:color w:val="000000" w:themeColor="text1"/>
          <w:highlight w:val="none"/>
        </w:rPr>
        <w:t>证明货物和服务与招标文件的要求相一致的文件，它可以是文字资料、图纸、手册和数据，包括：</w:t>
      </w:r>
    </w:p>
    <w:p>
      <w:pPr>
        <w:pageBreakBefore w:val="0"/>
        <w:numPr>
          <w:ilvl w:val="5"/>
          <w:numId w:val="26"/>
        </w:numPr>
        <w:tabs>
          <w:tab w:val="left" w:pos="735"/>
          <w:tab w:val="left" w:pos="3798"/>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货物主要技术指标和性能的详细说明。</w:t>
      </w:r>
    </w:p>
    <w:p>
      <w:pPr>
        <w:pageBreakBefore w:val="0"/>
        <w:numPr>
          <w:ilvl w:val="5"/>
          <w:numId w:val="26"/>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货物从采购人开始使用至招标要求中规定的周期内正常、连续地使用所必须的备件和专用工具清单，包括备件和专用工具的货源及现行价格。</w:t>
      </w:r>
    </w:p>
    <w:p>
      <w:pPr>
        <w:pageBreakBefore w:val="0"/>
        <w:numPr>
          <w:ilvl w:val="5"/>
          <w:numId w:val="26"/>
        </w:numPr>
        <w:tabs>
          <w:tab w:val="left" w:pos="735"/>
          <w:tab w:val="clear" w:pos="2520"/>
        </w:tabs>
        <w:kinsoku/>
        <w:wordWrap/>
        <w:overflowPunct/>
        <w:topLinePunct w:val="0"/>
        <w:autoSpaceDE w:val="0"/>
        <w:autoSpaceDN w:val="0"/>
        <w:bidi w:val="0"/>
        <w:adjustRightInd w:val="0"/>
        <w:snapToGrid w:val="0"/>
        <w:spacing w:line="400" w:lineRule="exact"/>
        <w:ind w:left="735" w:hanging="315"/>
        <w:rPr>
          <w:rFonts w:ascii="宋体" w:hAnsi="宋体"/>
          <w:bCs/>
          <w:color w:val="000000" w:themeColor="text1"/>
          <w:highlight w:val="none"/>
        </w:rPr>
      </w:pPr>
      <w:r>
        <w:rPr>
          <w:rFonts w:hint="eastAsia" w:ascii="宋体" w:hAnsi="宋体"/>
          <w:bCs/>
          <w:color w:val="000000" w:themeColor="text1"/>
          <w:highlight w:val="none"/>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12.3</w:t>
      </w:r>
      <w:r>
        <w:rPr>
          <w:rFonts w:hint="eastAsia" w:ascii="宋体" w:hAnsi="宋体"/>
          <w:bCs/>
          <w:color w:val="000000" w:themeColor="text1"/>
          <w:highlight w:val="none"/>
        </w:rPr>
        <w:tab/>
      </w:r>
      <w:r>
        <w:rPr>
          <w:rFonts w:hint="eastAsia"/>
          <w:color w:val="000000" w:themeColor="text1"/>
          <w:highlight w:val="none"/>
        </w:rPr>
        <w:t>投标人在阐述上述第</w:t>
      </w:r>
      <w:r>
        <w:rPr>
          <w:rFonts w:hint="eastAsia" w:ascii="宋体" w:hAnsi="宋体"/>
          <w:color w:val="000000" w:themeColor="text1"/>
          <w:highlight w:val="none"/>
        </w:rPr>
        <w:t>12.2（3）</w:t>
      </w:r>
      <w:r>
        <w:rPr>
          <w:rFonts w:hint="eastAsia"/>
          <w:color w:val="000000" w:themeColor="text1"/>
          <w:highlight w:val="none"/>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pageBreakBefore w:val="0"/>
        <w:tabs>
          <w:tab w:val="left" w:pos="753"/>
        </w:tabs>
        <w:kinsoku/>
        <w:wordWrap/>
        <w:overflowPunct/>
        <w:topLinePunct w:val="0"/>
        <w:autoSpaceDE w:val="0"/>
        <w:autoSpaceDN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color w:val="000000" w:themeColor="text1"/>
          <w:highlight w:val="none"/>
        </w:rPr>
        <w:t>12.4   评标委员会对投标人所提供的证明货物和服务的合格性的文件进行审查，审查不合格的投标将作为无效投标处理。</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673" w:name="_Toc336681919"/>
      <w:bookmarkStart w:id="674" w:name="_Toc339019999"/>
      <w:bookmarkStart w:id="675" w:name="_Toc333238617"/>
      <w:bookmarkStart w:id="676" w:name="_Toc339020079"/>
      <w:bookmarkStart w:id="677" w:name="_Toc330459969"/>
      <w:bookmarkStart w:id="678" w:name="_Toc365967057"/>
      <w:bookmarkStart w:id="679" w:name="_Toc333935330"/>
      <w:bookmarkStart w:id="680" w:name="_Toc349127610"/>
      <w:bookmarkStart w:id="681" w:name="_Toc341348322"/>
      <w:bookmarkStart w:id="682" w:name="_Toc365985163"/>
      <w:bookmarkStart w:id="683" w:name="_Toc331684022"/>
      <w:bookmarkStart w:id="684" w:name="_Toc350756434"/>
      <w:bookmarkStart w:id="685" w:name="_Toc339362284"/>
      <w:bookmarkStart w:id="686" w:name="_Toc503785411"/>
      <w:bookmarkStart w:id="687" w:name="_Toc30741"/>
      <w:bookmarkStart w:id="688" w:name="_Toc350438733"/>
      <w:bookmarkStart w:id="689" w:name="_Toc333237661"/>
      <w:bookmarkStart w:id="690" w:name="_Toc342296744"/>
      <w:bookmarkStart w:id="691" w:name="_Toc349143573"/>
      <w:bookmarkStart w:id="692" w:name="_Toc340507426"/>
      <w:bookmarkStart w:id="693" w:name="_Toc332270330"/>
      <w:bookmarkStart w:id="694" w:name="_Toc339020217"/>
      <w:bookmarkStart w:id="695" w:name="_Toc333935671"/>
      <w:bookmarkStart w:id="696" w:name="_Toc332206692"/>
      <w:bookmarkStart w:id="697" w:name="_Toc366072512"/>
      <w:bookmarkStart w:id="698" w:name="_Toc340672853"/>
      <w:bookmarkStart w:id="699" w:name="_Toc337632342"/>
      <w:bookmarkStart w:id="700" w:name="_Toc497224209"/>
      <w:bookmarkStart w:id="701" w:name="_Toc331512882"/>
      <w:bookmarkStart w:id="702" w:name="_Toc374454584"/>
      <w:bookmarkStart w:id="703" w:name="_Toc340677054"/>
      <w:bookmarkStart w:id="704" w:name="_Toc345513851"/>
      <w:bookmarkStart w:id="705" w:name="_Toc339441071"/>
      <w:bookmarkStart w:id="706" w:name="_Toc333237772"/>
      <w:bookmarkStart w:id="707" w:name="_Toc336681564"/>
      <w:bookmarkStart w:id="708" w:name="_Toc339019873"/>
      <w:bookmarkStart w:id="709" w:name="_Toc342060358"/>
      <w:r>
        <w:rPr>
          <w:rFonts w:hint="eastAsia"/>
          <w:color w:val="000000" w:themeColor="text1"/>
          <w:highlight w:val="none"/>
        </w:rPr>
        <w:t>投标报价与投标货币</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13.1</w:t>
      </w:r>
      <w:r>
        <w:rPr>
          <w:rFonts w:hint="eastAsia" w:ascii="宋体" w:hAnsi="宋体"/>
          <w:color w:val="000000" w:themeColor="text1"/>
          <w:highlight w:val="none"/>
        </w:rPr>
        <w:tab/>
      </w:r>
      <w:r>
        <w:rPr>
          <w:rFonts w:hint="eastAsia" w:ascii="宋体" w:hAnsi="宋体"/>
          <w:color w:val="000000" w:themeColor="text1"/>
          <w:highlight w:val="none"/>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rPr>
        <w:t>价格。</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13.2</w:t>
      </w:r>
      <w:r>
        <w:rPr>
          <w:rFonts w:hint="eastAsia" w:ascii="宋体" w:hAnsi="宋体"/>
          <w:color w:val="000000" w:themeColor="text1"/>
          <w:highlight w:val="none"/>
        </w:rPr>
        <w:tab/>
      </w:r>
      <w:r>
        <w:rPr>
          <w:rFonts w:hint="eastAsia" w:ascii="宋体" w:hAnsi="宋体"/>
          <w:color w:val="000000" w:themeColor="text1"/>
          <w:highlight w:val="none"/>
        </w:rPr>
        <w:t>投标报价为一次性报价，开标后不得更改。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13.3</w:t>
      </w:r>
      <w:r>
        <w:rPr>
          <w:rFonts w:hint="eastAsia" w:ascii="宋体" w:hAnsi="宋体"/>
          <w:color w:val="000000" w:themeColor="text1"/>
          <w:highlight w:val="none"/>
        </w:rPr>
        <w:tab/>
      </w:r>
      <w:r>
        <w:rPr>
          <w:rFonts w:hint="eastAsia" w:ascii="宋体" w:hAnsi="宋体"/>
          <w:color w:val="000000" w:themeColor="text1"/>
          <w:highlight w:val="none"/>
        </w:rPr>
        <w:t>投标人对货物只允许有一个报价，任何有选择报价的投标将被拒绝。</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13.4   投标人所报出的投标价在合同执行过程中是固定不变的，不得以任何理由予以变更。</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13.5   投标价格一律用人民币填报。</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hAnsi="宋体"/>
          <w:color w:val="000000" w:themeColor="text1"/>
          <w:highlight w:val="none"/>
        </w:rPr>
        <w:t>13.6   投标人在投标文件中如有任何遗漏，影响到招标文件中规定的范围、质量、性能和项目的实施或限制了采购人的权利和投标人的义务，由此产生的费用由投标人负责。</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10" w:name="_Toc331512883"/>
      <w:bookmarkStart w:id="711" w:name="_Toc332270331"/>
      <w:bookmarkStart w:id="712" w:name="_Toc350438734"/>
      <w:bookmarkStart w:id="713" w:name="_Toc333935331"/>
      <w:bookmarkStart w:id="714" w:name="_Toc339020000"/>
      <w:bookmarkStart w:id="715" w:name="_Toc503785414"/>
      <w:bookmarkStart w:id="716" w:name="_Toc330459970"/>
      <w:bookmarkStart w:id="717" w:name="_Toc365967058"/>
      <w:bookmarkStart w:id="718" w:name="_Toc340507427"/>
      <w:bookmarkStart w:id="719" w:name="_Toc345513852"/>
      <w:bookmarkStart w:id="720" w:name="_Toc340672854"/>
      <w:bookmarkStart w:id="721" w:name="_Toc366072513"/>
      <w:bookmarkStart w:id="722" w:name="_Toc339019874"/>
      <w:bookmarkStart w:id="723" w:name="_Toc365985164"/>
      <w:bookmarkStart w:id="724" w:name="_Toc339362285"/>
      <w:bookmarkStart w:id="725" w:name="_Toc374454585"/>
      <w:bookmarkStart w:id="726" w:name="_Toc349143574"/>
      <w:bookmarkStart w:id="727" w:name="_Toc333935672"/>
      <w:bookmarkStart w:id="728" w:name="_Toc333237773"/>
      <w:bookmarkStart w:id="729" w:name="_Toc339441072"/>
      <w:bookmarkStart w:id="730" w:name="_Toc337632343"/>
      <w:bookmarkStart w:id="731" w:name="_Toc342060359"/>
      <w:bookmarkStart w:id="732" w:name="_Toc342296745"/>
      <w:bookmarkStart w:id="733" w:name="_Toc341348323"/>
      <w:bookmarkStart w:id="734" w:name="_Toc333237662"/>
      <w:bookmarkStart w:id="735" w:name="_Toc336681565"/>
      <w:bookmarkStart w:id="736" w:name="_Toc339020218"/>
      <w:bookmarkStart w:id="737" w:name="_Toc340677055"/>
      <w:bookmarkStart w:id="738" w:name="_Toc333238618"/>
      <w:bookmarkStart w:id="739" w:name="_Toc17522"/>
      <w:bookmarkStart w:id="740" w:name="_Toc497224212"/>
      <w:bookmarkStart w:id="741" w:name="_Toc349127611"/>
      <w:bookmarkStart w:id="742" w:name="_Toc331684023"/>
      <w:bookmarkStart w:id="743" w:name="_Toc332206693"/>
      <w:bookmarkStart w:id="744" w:name="_Toc350756435"/>
      <w:bookmarkStart w:id="745" w:name="_Toc336681920"/>
      <w:bookmarkStart w:id="746" w:name="_Toc339020080"/>
      <w:r>
        <w:rPr>
          <w:rFonts w:hint="eastAsia"/>
          <w:color w:val="000000" w:themeColor="text1"/>
          <w:highlight w:val="none"/>
        </w:rPr>
        <w:t>投标保证金</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.1</w:t>
      </w:r>
      <w:r>
        <w:rPr>
          <w:rFonts w:ascii="宋体"/>
          <w:bCs/>
          <w:color w:val="000000" w:themeColor="text1"/>
          <w:highlight w:val="none"/>
        </w:rPr>
        <w:tab/>
      </w:r>
      <w:r>
        <w:rPr>
          <w:rFonts w:hint="eastAsia" w:ascii="宋体"/>
          <w:bCs/>
          <w:color w:val="000000" w:themeColor="text1"/>
          <w:highlight w:val="none"/>
        </w:rPr>
        <w:t>投标保证金为投标文件的重要组成部分之一。</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color w:val="000000" w:themeColor="text1"/>
          <w:highlight w:val="none"/>
        </w:rPr>
        <w:t>14.2   投标人在投标时应按照招标文件商务要求中规定的形式和金额提交投标保证金。</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color w:val="000000" w:themeColor="text1"/>
          <w:highlight w:val="none"/>
        </w:rPr>
      </w:pPr>
      <w:r>
        <w:rPr>
          <w:rFonts w:hint="eastAsia" w:ascii="宋体"/>
          <w:bCs/>
          <w:color w:val="000000" w:themeColor="text1"/>
          <w:highlight w:val="none"/>
        </w:rPr>
        <w:t>14.3</w:t>
      </w:r>
      <w:r>
        <w:rPr>
          <w:rFonts w:hint="eastAsia" w:ascii="宋体"/>
          <w:bCs/>
          <w:color w:val="000000" w:themeColor="text1"/>
          <w:highlight w:val="none"/>
        </w:rPr>
        <w:tab/>
      </w:r>
      <w:r>
        <w:rPr>
          <w:rFonts w:hint="eastAsia" w:ascii="宋体"/>
          <w:bCs/>
          <w:color w:val="000000" w:themeColor="text1"/>
          <w:highlight w:val="none"/>
        </w:rPr>
        <w:t>投标保证金用于保护本次招标免遭因投标人的行为而蒙受的损失。</w:t>
      </w:r>
      <w:r>
        <w:rPr>
          <w:rFonts w:hint="eastAsia" w:ascii="宋体" w:hAnsi="宋体"/>
          <w:color w:val="000000" w:themeColor="text1"/>
          <w:highlight w:val="none"/>
        </w:rPr>
        <w:t>代理采购机构在因投标人的行为受到损害时，可根据第14.7条的规定，投标人的投标保证金不予退还。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4</w:t>
      </w:r>
      <w:r>
        <w:rPr>
          <w:rFonts w:ascii="宋体"/>
          <w:bCs/>
          <w:color w:val="000000" w:themeColor="text1"/>
          <w:highlight w:val="none"/>
        </w:rPr>
        <w:t xml:space="preserve"> </w:t>
      </w:r>
      <w:r>
        <w:rPr>
          <w:rFonts w:hint="eastAsia" w:ascii="宋体"/>
          <w:bCs/>
          <w:color w:val="000000" w:themeColor="text1"/>
          <w:highlight w:val="none"/>
        </w:rPr>
        <w:tab/>
      </w:r>
      <w:r>
        <w:rPr>
          <w:rFonts w:hint="eastAsia" w:ascii="宋体" w:hAnsi="宋体"/>
          <w:bCs/>
          <w:color w:val="000000" w:themeColor="text1"/>
          <w:highlight w:val="none"/>
        </w:rPr>
        <w:t>凡未按本须知第14.2条规定随附有效投标保证金的投标</w:t>
      </w:r>
      <w:r>
        <w:rPr>
          <w:rFonts w:ascii="宋体" w:hAnsi="宋体"/>
          <w:bCs/>
          <w:color w:val="000000" w:themeColor="text1"/>
          <w:highlight w:val="none"/>
        </w:rPr>
        <w:t>,</w:t>
      </w:r>
      <w:r>
        <w:rPr>
          <w:rFonts w:hint="eastAsia" w:ascii="宋体" w:hAnsi="宋体"/>
          <w:bCs/>
          <w:color w:val="000000" w:themeColor="text1"/>
          <w:highlight w:val="none"/>
        </w:rPr>
        <w:t>将被视为非实质性响应投标作无效投标处理。</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5</w:t>
      </w:r>
      <w:r>
        <w:rPr>
          <w:rFonts w:ascii="宋体"/>
          <w:bCs/>
          <w:color w:val="000000" w:themeColor="text1"/>
          <w:highlight w:val="none"/>
        </w:rPr>
        <w:tab/>
      </w:r>
      <w:r>
        <w:rPr>
          <w:rFonts w:hint="eastAsia" w:ascii="宋体" w:hAnsi="宋体"/>
          <w:bCs/>
          <w:color w:val="000000" w:themeColor="text1"/>
          <w:highlight w:val="none"/>
        </w:rPr>
        <w:t>未中标的投标人的投标保证金，采购</w:t>
      </w:r>
      <w:r>
        <w:rPr>
          <w:rFonts w:hint="eastAsia" w:ascii="宋体" w:hAnsi="宋体"/>
          <w:bCs/>
          <w:color w:val="000000" w:themeColor="text1"/>
          <w:szCs w:val="21"/>
          <w:highlight w:val="none"/>
        </w:rPr>
        <w:t>代理</w:t>
      </w:r>
      <w:r>
        <w:rPr>
          <w:rFonts w:hint="eastAsia" w:ascii="宋体" w:hAnsi="宋体"/>
          <w:bCs/>
          <w:color w:val="000000" w:themeColor="text1"/>
          <w:highlight w:val="none"/>
        </w:rPr>
        <w:t>机构应当自中标通知书发出之日起5个工作日内无息退还。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6</w:t>
      </w:r>
      <w:r>
        <w:rPr>
          <w:rFonts w:ascii="宋体"/>
          <w:bCs/>
          <w:color w:val="000000" w:themeColor="text1"/>
          <w:highlight w:val="none"/>
        </w:rPr>
        <w:tab/>
      </w:r>
      <w:r>
        <w:rPr>
          <w:rFonts w:hint="eastAsia" w:ascii="宋体" w:hAnsi="宋体"/>
          <w:bCs/>
          <w:color w:val="000000" w:themeColor="text1"/>
          <w:highlight w:val="none"/>
        </w:rPr>
        <w:t>中标投标人的投标保证金</w:t>
      </w:r>
      <w:r>
        <w:rPr>
          <w:rFonts w:ascii="宋体" w:hAnsi="宋体"/>
          <w:bCs/>
          <w:color w:val="000000" w:themeColor="text1"/>
          <w:highlight w:val="none"/>
        </w:rPr>
        <w:t>，</w:t>
      </w:r>
      <w:r>
        <w:rPr>
          <w:rFonts w:hint="eastAsia" w:ascii="宋体" w:hAnsi="宋体"/>
          <w:bCs/>
          <w:color w:val="000000" w:themeColor="text1"/>
          <w:highlight w:val="none"/>
        </w:rPr>
        <w:t>在中标投标人付清中标服务费、签订合同之日起5个工作日内无息退</w:t>
      </w:r>
      <w:r>
        <w:rPr>
          <w:rFonts w:hint="eastAsia" w:ascii="宋体"/>
          <w:bCs/>
          <w:color w:val="000000" w:themeColor="text1"/>
          <w:highlight w:val="none"/>
        </w:rPr>
        <w:t>还。</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4</w:t>
      </w:r>
      <w:r>
        <w:rPr>
          <w:rFonts w:ascii="宋体"/>
          <w:bCs/>
          <w:color w:val="000000" w:themeColor="text1"/>
          <w:highlight w:val="none"/>
        </w:rPr>
        <w:t>.</w:t>
      </w:r>
      <w:r>
        <w:rPr>
          <w:rFonts w:hint="eastAsia" w:ascii="宋体"/>
          <w:bCs/>
          <w:color w:val="000000" w:themeColor="text1"/>
          <w:highlight w:val="none"/>
        </w:rPr>
        <w:t>7</w:t>
      </w:r>
      <w:r>
        <w:rPr>
          <w:rFonts w:ascii="宋体"/>
          <w:bCs/>
          <w:color w:val="000000" w:themeColor="text1"/>
          <w:highlight w:val="none"/>
        </w:rPr>
        <w:tab/>
      </w:r>
      <w:r>
        <w:rPr>
          <w:rFonts w:hint="eastAsia" w:ascii="宋体"/>
          <w:bCs/>
          <w:color w:val="000000" w:themeColor="text1"/>
          <w:highlight w:val="none"/>
        </w:rPr>
        <w:t>发生以下情况之一的，投标保证金将不予退还：</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（1）投标人在招标文件中规定的投标有效期内撤回其投标文件；</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（2）中标投标人未能按招标文件的规定签订合同；</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（3）中标投标人未能按招标文件的有关规定交纳中标服务费；</w:t>
      </w:r>
    </w:p>
    <w:p>
      <w:pPr>
        <w:pageBreakBefore w:val="0"/>
        <w:widowControl/>
        <w:tabs>
          <w:tab w:val="left" w:pos="753"/>
        </w:tabs>
        <w:kinsoku/>
        <w:wordWrap/>
        <w:overflowPunct/>
        <w:topLinePunct w:val="0"/>
        <w:bidi w:val="0"/>
        <w:adjustRightInd w:val="0"/>
        <w:snapToGrid w:val="0"/>
        <w:spacing w:line="400" w:lineRule="exact"/>
        <w:ind w:left="563" w:leftChars="268" w:firstLine="1"/>
        <w:rPr>
          <w:rFonts w:ascii="宋体" w:hAnsi="宋体"/>
          <w:bCs/>
          <w:color w:val="000000" w:themeColor="text1"/>
          <w:highlight w:val="none"/>
        </w:rPr>
      </w:pPr>
      <w:r>
        <w:rPr>
          <w:rFonts w:hint="eastAsia" w:ascii="宋体" w:hAnsi="宋体"/>
          <w:bCs/>
          <w:color w:val="000000" w:themeColor="text1"/>
          <w:highlight w:val="none"/>
        </w:rPr>
        <w:t>（4）投标人提供虚假投标文件或虚假补充文件的。</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47" w:name="_Toc365967059"/>
      <w:bookmarkStart w:id="748" w:name="_Toc27618"/>
      <w:bookmarkStart w:id="749" w:name="_Toc340677056"/>
      <w:bookmarkStart w:id="750" w:name="_Toc333238619"/>
      <w:bookmarkStart w:id="751" w:name="_Toc339362286"/>
      <w:bookmarkStart w:id="752" w:name="_Toc365985165"/>
      <w:bookmarkStart w:id="753" w:name="_Toc333935332"/>
      <w:bookmarkStart w:id="754" w:name="_Toc333237663"/>
      <w:bookmarkStart w:id="755" w:name="_Toc331684024"/>
      <w:bookmarkStart w:id="756" w:name="_Toc336681921"/>
      <w:bookmarkStart w:id="757" w:name="_Toc339441073"/>
      <w:bookmarkStart w:id="758" w:name="_Toc339020081"/>
      <w:bookmarkStart w:id="759" w:name="_Toc332206694"/>
      <w:bookmarkStart w:id="760" w:name="_Toc350756436"/>
      <w:bookmarkStart w:id="761" w:name="_Toc374454586"/>
      <w:bookmarkStart w:id="762" w:name="_Toc497224213"/>
      <w:bookmarkStart w:id="763" w:name="_Toc332270332"/>
      <w:bookmarkStart w:id="764" w:name="_Toc333935673"/>
      <w:bookmarkStart w:id="765" w:name="_Toc342060360"/>
      <w:bookmarkStart w:id="766" w:name="_Toc340672855"/>
      <w:bookmarkStart w:id="767" w:name="_Toc330459971"/>
      <w:bookmarkStart w:id="768" w:name="_Toc331512884"/>
      <w:bookmarkStart w:id="769" w:name="_Toc349127612"/>
      <w:bookmarkStart w:id="770" w:name="_Toc342296746"/>
      <w:bookmarkStart w:id="771" w:name="_Toc336681566"/>
      <w:bookmarkStart w:id="772" w:name="_Toc339020001"/>
      <w:bookmarkStart w:id="773" w:name="_Toc340507428"/>
      <w:bookmarkStart w:id="774" w:name="_Toc337632344"/>
      <w:bookmarkStart w:id="775" w:name="_Toc350438735"/>
      <w:bookmarkStart w:id="776" w:name="_Toc341348324"/>
      <w:bookmarkStart w:id="777" w:name="_Toc339019875"/>
      <w:bookmarkStart w:id="778" w:name="_Toc349143575"/>
      <w:bookmarkStart w:id="779" w:name="_Toc503785415"/>
      <w:bookmarkStart w:id="780" w:name="_Toc333237774"/>
      <w:bookmarkStart w:id="781" w:name="_Toc345513853"/>
      <w:bookmarkStart w:id="782" w:name="_Toc366072514"/>
      <w:bookmarkStart w:id="783" w:name="_Toc339020219"/>
      <w:r>
        <w:rPr>
          <w:rFonts w:hint="eastAsia"/>
          <w:color w:val="000000" w:themeColor="text1"/>
          <w:highlight w:val="none"/>
        </w:rPr>
        <w:t>投标有效期</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从开标之日起，本项目的投标有效期为90天。</w:t>
      </w:r>
      <w:r>
        <w:rPr>
          <w:rFonts w:ascii="宋体"/>
          <w:bCs/>
          <w:color w:val="000000" w:themeColor="text1"/>
          <w:highlight w:val="none"/>
        </w:rPr>
        <w:t xml:space="preserve"> </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5</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pageBreakBefore w:val="0"/>
        <w:numPr>
          <w:ilvl w:val="4"/>
          <w:numId w:val="26"/>
        </w:numPr>
        <w:tabs>
          <w:tab w:val="left" w:pos="720"/>
        </w:tabs>
        <w:kinsoku/>
        <w:wordWrap/>
        <w:overflowPunct/>
        <w:topLinePunct w:val="0"/>
        <w:bidi w:val="0"/>
        <w:adjustRightInd w:val="0"/>
        <w:snapToGrid w:val="0"/>
        <w:spacing w:before="240" w:after="120" w:line="400" w:lineRule="exact"/>
        <w:ind w:left="2432" w:hanging="2432"/>
        <w:rPr>
          <w:color w:val="000000" w:themeColor="text1"/>
          <w:highlight w:val="none"/>
        </w:rPr>
      </w:pPr>
      <w:bookmarkStart w:id="784" w:name="_Toc14633"/>
      <w:bookmarkStart w:id="785" w:name="_Toc339020220"/>
      <w:bookmarkStart w:id="786" w:name="_Toc333935674"/>
      <w:bookmarkStart w:id="787" w:name="_Toc330459972"/>
      <w:bookmarkStart w:id="788" w:name="_Toc333237664"/>
      <w:bookmarkStart w:id="789" w:name="_Toc333935333"/>
      <w:bookmarkStart w:id="790" w:name="_Toc497224214"/>
      <w:bookmarkStart w:id="791" w:name="_Toc365985166"/>
      <w:bookmarkStart w:id="792" w:name="_Toc336681567"/>
      <w:bookmarkStart w:id="793" w:name="_Toc350438736"/>
      <w:bookmarkStart w:id="794" w:name="_Toc349143576"/>
      <w:bookmarkStart w:id="795" w:name="_Toc339441074"/>
      <w:bookmarkStart w:id="796" w:name="_Toc340672856"/>
      <w:bookmarkStart w:id="797" w:name="_Toc365967060"/>
      <w:bookmarkStart w:id="798" w:name="_Toc339020082"/>
      <w:bookmarkStart w:id="799" w:name="_Toc374454587"/>
      <w:bookmarkStart w:id="800" w:name="_Toc337632345"/>
      <w:bookmarkStart w:id="801" w:name="_Toc332206695"/>
      <w:bookmarkStart w:id="802" w:name="_Toc341348325"/>
      <w:bookmarkStart w:id="803" w:name="_Toc111534389"/>
      <w:bookmarkStart w:id="804" w:name="_Toc340677057"/>
      <w:bookmarkStart w:id="805" w:name="_Toc350756437"/>
      <w:bookmarkStart w:id="806" w:name="_Toc333238620"/>
      <w:bookmarkStart w:id="807" w:name="_Toc342060361"/>
      <w:bookmarkStart w:id="808" w:name="_Toc340507429"/>
      <w:bookmarkStart w:id="809" w:name="_Toc366072515"/>
      <w:bookmarkStart w:id="810" w:name="_Toc339020002"/>
      <w:bookmarkStart w:id="811" w:name="_Toc332270333"/>
      <w:bookmarkStart w:id="812" w:name="_Toc331512885"/>
      <w:bookmarkStart w:id="813" w:name="_Toc339019876"/>
      <w:bookmarkStart w:id="814" w:name="_Toc336681922"/>
      <w:bookmarkStart w:id="815" w:name="_Toc333237775"/>
      <w:bookmarkStart w:id="816" w:name="_Toc503785416"/>
      <w:bookmarkStart w:id="817" w:name="_Toc345513854"/>
      <w:bookmarkStart w:id="818" w:name="_Toc342296747"/>
      <w:bookmarkStart w:id="819" w:name="_Toc331684025"/>
      <w:bookmarkStart w:id="820" w:name="_Toc339362287"/>
      <w:bookmarkStart w:id="821" w:name="_Toc349127613"/>
      <w:r>
        <w:rPr>
          <w:rFonts w:hint="eastAsia"/>
          <w:color w:val="000000" w:themeColor="text1"/>
          <w:highlight w:val="none"/>
        </w:rPr>
        <w:t>投标文件的签署及规定</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rPr>
      </w:pPr>
      <w:bookmarkStart w:id="822" w:name="_Toc336681568"/>
      <w:bookmarkStart w:id="823" w:name="_Toc342296748"/>
      <w:bookmarkStart w:id="824" w:name="_Toc340677058"/>
      <w:bookmarkStart w:id="825" w:name="_Toc333238621"/>
      <w:bookmarkStart w:id="826" w:name="_Toc332206696"/>
      <w:bookmarkStart w:id="827" w:name="_Toc374454588"/>
      <w:bookmarkStart w:id="828" w:name="_Toc331684026"/>
      <w:bookmarkStart w:id="829" w:name="_Toc331512886"/>
      <w:bookmarkStart w:id="830" w:name="_Toc365985167"/>
      <w:bookmarkStart w:id="831" w:name="_Toc349127614"/>
      <w:bookmarkStart w:id="832" w:name="_Toc337632346"/>
      <w:bookmarkStart w:id="833" w:name="_Toc497224215"/>
      <w:bookmarkStart w:id="834" w:name="_Toc336681923"/>
      <w:bookmarkStart w:id="835" w:name="_Toc333935334"/>
      <w:bookmarkStart w:id="836" w:name="_Toc333237665"/>
      <w:bookmarkStart w:id="837" w:name="_Toc339020003"/>
      <w:bookmarkStart w:id="838" w:name="_Toc339020083"/>
      <w:bookmarkStart w:id="839" w:name="_Toc365967061"/>
      <w:bookmarkStart w:id="840" w:name="_Toc339362288"/>
      <w:bookmarkStart w:id="841" w:name="_Toc340672857"/>
      <w:bookmarkStart w:id="842" w:name="_Toc342060362"/>
      <w:bookmarkStart w:id="843" w:name="_Toc339019877"/>
      <w:bookmarkStart w:id="844" w:name="_Toc330459973"/>
      <w:bookmarkStart w:id="845" w:name="_Toc350756438"/>
      <w:bookmarkStart w:id="846" w:name="_Toc349143577"/>
      <w:bookmarkStart w:id="847" w:name="_Toc340507430"/>
      <w:bookmarkStart w:id="848" w:name="_Toc339020221"/>
      <w:bookmarkStart w:id="849" w:name="_Toc366072516"/>
      <w:bookmarkStart w:id="850" w:name="_Toc333935675"/>
      <w:bookmarkStart w:id="851" w:name="_Toc111534390"/>
      <w:bookmarkStart w:id="852" w:name="_Toc341348326"/>
      <w:bookmarkStart w:id="853" w:name="_Toc332270334"/>
      <w:bookmarkStart w:id="854" w:name="_Toc503785417"/>
      <w:bookmarkStart w:id="855" w:name="_Toc333237776"/>
      <w:bookmarkStart w:id="856" w:name="_Toc350438737"/>
      <w:bookmarkStart w:id="857" w:name="_Toc339441075"/>
      <w:bookmarkStart w:id="858" w:name="_Toc345513855"/>
      <w:r>
        <w:rPr>
          <w:color w:val="000000" w:themeColor="text1"/>
          <w:sz w:val="24"/>
          <w:highlight w:val="none"/>
        </w:rPr>
        <w:br w:type="page"/>
      </w:r>
      <w:bookmarkStart w:id="859" w:name="_Toc2817"/>
      <w:r>
        <w:rPr>
          <w:rFonts w:hint="eastAsia"/>
          <w:color w:val="000000" w:themeColor="text1"/>
          <w:sz w:val="24"/>
          <w:highlight w:val="none"/>
        </w:rPr>
        <w:t>Ｄ</w:t>
      </w:r>
      <w:r>
        <w:rPr>
          <w:color w:val="000000" w:themeColor="text1"/>
          <w:sz w:val="24"/>
          <w:highlight w:val="none"/>
        </w:rPr>
        <w:t xml:space="preserve">  </w:t>
      </w:r>
      <w:r>
        <w:rPr>
          <w:rFonts w:hint="eastAsia"/>
          <w:color w:val="000000" w:themeColor="text1"/>
          <w:sz w:val="24"/>
          <w:highlight w:val="none"/>
        </w:rPr>
        <w:t>投标文件的递交</w:t>
      </w:r>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p>
    <w:p>
      <w:pPr>
        <w:pStyle w:val="6"/>
        <w:numPr>
          <w:ilvl w:val="4"/>
          <w:numId w:val="26"/>
        </w:numPr>
        <w:tabs>
          <w:tab w:val="left" w:pos="251"/>
          <w:tab w:val="left" w:pos="720"/>
        </w:tabs>
        <w:spacing w:before="240" w:after="120"/>
        <w:ind w:left="751" w:leftChars="1" w:hangingChars="357"/>
        <w:rPr>
          <w:rFonts w:ascii="宋体" w:hAnsi="宋体"/>
          <w:color w:val="000000" w:themeColor="text1"/>
          <w:highlight w:val="none"/>
        </w:rPr>
      </w:pPr>
      <w:bookmarkStart w:id="860" w:name="_Toc349127615"/>
      <w:bookmarkStart w:id="861" w:name="_Toc365967062"/>
      <w:bookmarkStart w:id="862" w:name="_Toc333238622"/>
      <w:bookmarkStart w:id="863" w:name="_Toc342296749"/>
      <w:bookmarkStart w:id="864" w:name="_Toc350438738"/>
      <w:bookmarkStart w:id="865" w:name="_Toc333237666"/>
      <w:bookmarkStart w:id="866" w:name="_Toc336681924"/>
      <w:bookmarkStart w:id="867" w:name="_Toc340672858"/>
      <w:bookmarkStart w:id="868" w:name="_Toc330459974"/>
      <w:bookmarkStart w:id="869" w:name="_Toc332270335"/>
      <w:bookmarkStart w:id="870" w:name="_Toc339441076"/>
      <w:bookmarkStart w:id="871" w:name="_Toc350756439"/>
      <w:bookmarkStart w:id="872" w:name="_Toc345513856"/>
      <w:bookmarkStart w:id="873" w:name="_Toc339019878"/>
      <w:bookmarkStart w:id="874" w:name="_Toc333935335"/>
      <w:bookmarkStart w:id="875" w:name="_Toc497224216"/>
      <w:bookmarkStart w:id="876" w:name="_Toc503785418"/>
      <w:bookmarkStart w:id="877" w:name="_Toc333237777"/>
      <w:bookmarkStart w:id="878" w:name="_Toc337632347"/>
      <w:bookmarkStart w:id="879" w:name="_Toc366072517"/>
      <w:bookmarkStart w:id="880" w:name="_Toc331684027"/>
      <w:bookmarkStart w:id="881" w:name="_Toc342060363"/>
      <w:bookmarkStart w:id="882" w:name="_Toc340507431"/>
      <w:bookmarkStart w:id="883" w:name="_Toc374454589"/>
      <w:bookmarkStart w:id="884" w:name="_Toc339020004"/>
      <w:bookmarkStart w:id="885" w:name="_Toc340677059"/>
      <w:bookmarkStart w:id="886" w:name="_Toc332206697"/>
      <w:bookmarkStart w:id="887" w:name="_Toc349143578"/>
      <w:bookmarkStart w:id="888" w:name="_Toc333935676"/>
      <w:bookmarkStart w:id="889" w:name="_Toc111534391"/>
      <w:bookmarkStart w:id="890" w:name="_Toc339020222"/>
      <w:bookmarkStart w:id="891" w:name="_Toc339020084"/>
      <w:bookmarkStart w:id="892" w:name="_Toc365985168"/>
      <w:bookmarkStart w:id="893" w:name="_Toc336681569"/>
      <w:bookmarkStart w:id="894" w:name="_Toc331512887"/>
      <w:bookmarkStart w:id="895" w:name="_Toc339362289"/>
      <w:bookmarkStart w:id="896" w:name="_Toc341348327"/>
      <w:r>
        <w:rPr>
          <w:color w:val="000000" w:themeColor="text1"/>
          <w:highlight w:val="none"/>
        </w:rPr>
        <w:t xml:space="preserve"> </w:t>
      </w:r>
      <w:bookmarkStart w:id="897" w:name="_Toc6945"/>
      <w:r>
        <w:rPr>
          <w:rFonts w:hint="eastAsia"/>
          <w:color w:val="000000" w:themeColor="text1"/>
          <w:highlight w:val="none"/>
        </w:rPr>
        <w:t>投标文件的密封和标记</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p>
    <w:p>
      <w:pPr>
        <w:pStyle w:val="5"/>
        <w:rPr>
          <w:color w:val="000000" w:themeColor="text1"/>
          <w:highlight w:val="none"/>
        </w:rPr>
      </w:pPr>
      <w:bookmarkStart w:id="898" w:name="_Hlk499218605"/>
      <w:r>
        <w:rPr>
          <w:rFonts w:hint="eastAsia"/>
          <w:color w:val="000000" w:themeColor="text1"/>
          <w:highlight w:val="none"/>
        </w:rPr>
        <w:tab/>
      </w:r>
      <w:r>
        <w:rPr>
          <w:rFonts w:hint="eastAsia" w:ascii="黑体" w:eastAsia="黑体"/>
          <w:bCs/>
          <w:color w:val="000000" w:themeColor="text1"/>
          <w:kern w:val="2"/>
          <w:sz w:val="21"/>
          <w:szCs w:val="24"/>
          <w:highlight w:val="none"/>
        </w:rPr>
        <w:t>详见第三部份《投标人须知〈投标人须知前附表〉》</w:t>
      </w:r>
      <w:bookmarkEnd w:id="898"/>
      <w:r>
        <w:rPr>
          <w:rFonts w:hint="eastAsia" w:ascii="黑体" w:eastAsia="黑体"/>
          <w:bCs/>
          <w:color w:val="000000" w:themeColor="text1"/>
          <w:kern w:val="2"/>
          <w:sz w:val="21"/>
          <w:szCs w:val="24"/>
          <w:highlight w:val="none"/>
        </w:rPr>
        <w:t>。</w:t>
      </w:r>
    </w:p>
    <w:p>
      <w:pPr>
        <w:pStyle w:val="6"/>
        <w:numPr>
          <w:ilvl w:val="4"/>
          <w:numId w:val="26"/>
        </w:numPr>
        <w:tabs>
          <w:tab w:val="left" w:pos="720"/>
        </w:tabs>
        <w:spacing w:before="240" w:after="120"/>
        <w:ind w:left="2432" w:hanging="2432"/>
        <w:rPr>
          <w:color w:val="000000" w:themeColor="text1"/>
          <w:highlight w:val="none"/>
        </w:rPr>
      </w:pPr>
      <w:bookmarkStart w:id="899" w:name="_Toc497224217"/>
      <w:bookmarkStart w:id="900" w:name="_Toc332270336"/>
      <w:bookmarkStart w:id="901" w:name="_Toc503785419"/>
      <w:bookmarkStart w:id="902" w:name="_Toc333935677"/>
      <w:bookmarkStart w:id="903" w:name="_Toc339019879"/>
      <w:bookmarkStart w:id="904" w:name="_Toc340672859"/>
      <w:bookmarkStart w:id="905" w:name="_Toc333238623"/>
      <w:bookmarkStart w:id="906" w:name="_Toc366072518"/>
      <w:bookmarkStart w:id="907" w:name="_Toc339020223"/>
      <w:bookmarkStart w:id="908" w:name="_Toc336681570"/>
      <w:bookmarkStart w:id="909" w:name="_Toc345513857"/>
      <w:bookmarkStart w:id="910" w:name="_Toc349143579"/>
      <w:bookmarkStart w:id="911" w:name="_Toc336681925"/>
      <w:bookmarkStart w:id="912" w:name="_Toc339362290"/>
      <w:bookmarkStart w:id="913" w:name="_Toc349127616"/>
      <w:bookmarkStart w:id="914" w:name="_Toc339020085"/>
      <w:bookmarkStart w:id="915" w:name="_Toc350438739"/>
      <w:bookmarkStart w:id="916" w:name="_Toc365967063"/>
      <w:bookmarkStart w:id="917" w:name="_Toc337632348"/>
      <w:bookmarkStart w:id="918" w:name="_Toc365985169"/>
      <w:bookmarkStart w:id="919" w:name="_Toc350756440"/>
      <w:bookmarkStart w:id="920" w:name="_Toc341348328"/>
      <w:bookmarkStart w:id="921" w:name="_Toc333935336"/>
      <w:bookmarkStart w:id="922" w:name="_Toc340507432"/>
      <w:bookmarkStart w:id="923" w:name="_Toc332206698"/>
      <w:bookmarkStart w:id="924" w:name="_Toc330459975"/>
      <w:bookmarkStart w:id="925" w:name="_Toc340677060"/>
      <w:bookmarkStart w:id="926" w:name="_Toc339020005"/>
      <w:bookmarkStart w:id="927" w:name="_Toc342296750"/>
      <w:bookmarkStart w:id="928" w:name="_Toc374454590"/>
      <w:bookmarkStart w:id="929" w:name="_Toc111534392"/>
      <w:bookmarkStart w:id="930" w:name="_Toc339441077"/>
      <w:bookmarkStart w:id="931" w:name="_Toc333237778"/>
      <w:bookmarkStart w:id="932" w:name="_Toc333237667"/>
      <w:bookmarkStart w:id="933" w:name="_Toc342060364"/>
      <w:bookmarkStart w:id="934" w:name="_Toc331512888"/>
      <w:bookmarkStart w:id="935" w:name="_Toc331684028"/>
      <w:bookmarkStart w:id="936" w:name="_Toc438"/>
      <w:r>
        <w:rPr>
          <w:rFonts w:hint="eastAsia"/>
          <w:color w:val="000000" w:themeColor="text1"/>
          <w:highlight w:val="none"/>
        </w:rPr>
        <w:t>递交投标文件的时间、地点及截止时间</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18.1</w:t>
      </w:r>
      <w:r>
        <w:rPr>
          <w:rFonts w:hint="eastAsia" w:ascii="宋体" w:hAnsi="宋体"/>
          <w:bCs/>
          <w:color w:val="000000" w:themeColor="text1"/>
          <w:highlight w:val="none"/>
        </w:rPr>
        <w:tab/>
      </w:r>
      <w:r>
        <w:rPr>
          <w:rFonts w:hint="eastAsia" w:ascii="宋体" w:hAnsi="宋体"/>
          <w:bCs/>
          <w:color w:val="000000" w:themeColor="text1"/>
          <w:highlight w:val="none"/>
        </w:rPr>
        <w:t>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18.2</w:t>
      </w:r>
      <w:r>
        <w:rPr>
          <w:rFonts w:hint="eastAsia" w:ascii="宋体" w:hAnsi="宋体"/>
          <w:bCs/>
          <w:color w:val="000000" w:themeColor="text1"/>
          <w:highlight w:val="none"/>
        </w:rPr>
        <w:tab/>
      </w:r>
      <w:r>
        <w:rPr>
          <w:rFonts w:hint="eastAsia" w:ascii="宋体" w:hAnsi="宋体"/>
          <w:bCs/>
          <w:color w:val="000000" w:themeColor="text1"/>
          <w:highlight w:val="none"/>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bookmarkStart w:id="937" w:name="_Toc374454591"/>
      <w:bookmarkStart w:id="938" w:name="_Toc331684029"/>
      <w:bookmarkStart w:id="939" w:name="_Toc350756441"/>
      <w:bookmarkStart w:id="940" w:name="_Toc340507433"/>
      <w:bookmarkStart w:id="941" w:name="_Toc332270337"/>
      <w:bookmarkStart w:id="942" w:name="_Toc332206699"/>
      <w:bookmarkStart w:id="943" w:name="_Toc365985170"/>
      <w:bookmarkStart w:id="944" w:name="_Toc349127617"/>
      <w:bookmarkStart w:id="945" w:name="_Toc503785420"/>
      <w:bookmarkStart w:id="946" w:name="_Toc342296751"/>
      <w:bookmarkStart w:id="947" w:name="_Toc342060365"/>
      <w:bookmarkStart w:id="948" w:name="_Toc336681571"/>
      <w:bookmarkStart w:id="949" w:name="_Toc330459976"/>
      <w:bookmarkStart w:id="950" w:name="_Toc333935678"/>
      <w:bookmarkStart w:id="951" w:name="_Toc339441078"/>
      <w:bookmarkStart w:id="952" w:name="_Toc349143580"/>
      <w:bookmarkStart w:id="953" w:name="_Toc339020086"/>
      <w:bookmarkStart w:id="954" w:name="_Toc341348329"/>
      <w:bookmarkStart w:id="955" w:name="_Toc333238624"/>
      <w:bookmarkStart w:id="956" w:name="_Toc337632349"/>
      <w:bookmarkStart w:id="957" w:name="_Toc339020006"/>
      <w:bookmarkStart w:id="958" w:name="_Toc339362291"/>
      <w:bookmarkStart w:id="959" w:name="_Toc333237668"/>
      <w:bookmarkStart w:id="960" w:name="_Toc366072519"/>
      <w:bookmarkStart w:id="961" w:name="_Toc365967064"/>
      <w:bookmarkStart w:id="962" w:name="_Toc497224218"/>
      <w:bookmarkStart w:id="963" w:name="_Toc340677061"/>
      <w:bookmarkStart w:id="964" w:name="_Toc345513858"/>
      <w:bookmarkStart w:id="965" w:name="_Toc339020224"/>
      <w:bookmarkStart w:id="966" w:name="_Toc339019880"/>
      <w:bookmarkStart w:id="967" w:name="_Toc336681926"/>
      <w:bookmarkStart w:id="968" w:name="_Toc350438740"/>
      <w:bookmarkStart w:id="969" w:name="_Toc331512889"/>
      <w:bookmarkStart w:id="970" w:name="_Toc340672860"/>
      <w:bookmarkStart w:id="971" w:name="_Toc333237779"/>
      <w:bookmarkStart w:id="972" w:name="_Toc333935337"/>
      <w:r>
        <w:rPr>
          <w:rFonts w:hint="eastAsia" w:ascii="宋体" w:hAnsi="宋体"/>
          <w:bCs/>
          <w:color w:val="000000" w:themeColor="text1"/>
          <w:highlight w:val="none"/>
        </w:rPr>
        <w:t>18.3</w:t>
      </w:r>
      <w:r>
        <w:rPr>
          <w:rFonts w:hint="eastAsia" w:ascii="宋体" w:hAnsi="宋体"/>
          <w:bCs/>
          <w:color w:val="000000" w:themeColor="text1"/>
          <w:highlight w:val="none"/>
        </w:rPr>
        <w:tab/>
      </w:r>
      <w:r>
        <w:rPr>
          <w:rFonts w:hint="eastAsia" w:ascii="宋体" w:hAnsi="宋体"/>
          <w:bCs/>
          <w:color w:val="000000" w:themeColor="text1"/>
          <w:highlight w:val="none"/>
        </w:rPr>
        <w:t>代理采购机构于投标截止时间前30分钟开始接收投标文件，并于招标文件“第一部分投标邀请函”规定的开标时间、开标地点公开开标。</w:t>
      </w:r>
    </w:p>
    <w:p>
      <w:pPr>
        <w:pStyle w:val="6"/>
        <w:numPr>
          <w:ilvl w:val="4"/>
          <w:numId w:val="26"/>
        </w:numPr>
        <w:tabs>
          <w:tab w:val="left" w:pos="720"/>
        </w:tabs>
        <w:spacing w:before="240" w:after="120"/>
        <w:ind w:left="2432" w:hanging="2432"/>
        <w:rPr>
          <w:color w:val="000000" w:themeColor="text1"/>
          <w:highlight w:val="none"/>
        </w:rPr>
      </w:pPr>
      <w:bookmarkStart w:id="973" w:name="_Toc20810"/>
      <w:r>
        <w:rPr>
          <w:rFonts w:hint="eastAsia"/>
          <w:color w:val="000000" w:themeColor="text1"/>
          <w:highlight w:val="none"/>
        </w:rPr>
        <w:t>迟交的投标文件</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hint="eastAsia" w:ascii="宋体"/>
          <w:bCs/>
          <w:color w:val="000000" w:themeColor="text1"/>
          <w:highlight w:val="none"/>
        </w:rPr>
        <w:t>19</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代理采购机构将拒绝在投标截止时间后递交的任何投标文件。</w:t>
      </w:r>
    </w:p>
    <w:p>
      <w:pPr>
        <w:pStyle w:val="6"/>
        <w:numPr>
          <w:ilvl w:val="4"/>
          <w:numId w:val="26"/>
        </w:numPr>
        <w:tabs>
          <w:tab w:val="left" w:pos="720"/>
        </w:tabs>
        <w:spacing w:before="240" w:after="120"/>
        <w:ind w:left="2432" w:hanging="2432"/>
        <w:rPr>
          <w:color w:val="000000" w:themeColor="text1"/>
          <w:highlight w:val="none"/>
        </w:rPr>
      </w:pPr>
      <w:bookmarkStart w:id="974" w:name="_Toc497224219"/>
      <w:bookmarkStart w:id="975" w:name="_Toc503785421"/>
      <w:bookmarkStart w:id="976" w:name="_Toc341348330"/>
      <w:bookmarkStart w:id="977" w:name="_Toc345513859"/>
      <w:bookmarkStart w:id="978" w:name="_Toc339441079"/>
      <w:bookmarkStart w:id="979" w:name="_Toc340672861"/>
      <w:bookmarkStart w:id="980" w:name="_Toc339020007"/>
      <w:bookmarkStart w:id="981" w:name="_Toc339020087"/>
      <w:bookmarkStart w:id="982" w:name="_Toc330459977"/>
      <w:bookmarkStart w:id="983" w:name="_Toc332206700"/>
      <w:bookmarkStart w:id="984" w:name="_Toc342060366"/>
      <w:bookmarkStart w:id="985" w:name="_Toc340507434"/>
      <w:bookmarkStart w:id="986" w:name="_Toc339362292"/>
      <w:bookmarkStart w:id="987" w:name="_Toc331684030"/>
      <w:bookmarkStart w:id="988" w:name="_Toc342296752"/>
      <w:bookmarkStart w:id="989" w:name="_Toc333935679"/>
      <w:bookmarkStart w:id="990" w:name="_Toc339020225"/>
      <w:bookmarkStart w:id="991" w:name="_Toc16389"/>
      <w:bookmarkStart w:id="992" w:name="_Toc374454592"/>
      <w:bookmarkStart w:id="993" w:name="_Toc333237669"/>
      <w:bookmarkStart w:id="994" w:name="_Toc333237780"/>
      <w:bookmarkStart w:id="995" w:name="_Toc339019881"/>
      <w:bookmarkStart w:id="996" w:name="_Toc340677062"/>
      <w:bookmarkStart w:id="997" w:name="_Toc336681927"/>
      <w:bookmarkStart w:id="998" w:name="_Toc349127618"/>
      <w:bookmarkStart w:id="999" w:name="_Toc331512890"/>
      <w:bookmarkStart w:id="1000" w:name="_Toc349143581"/>
      <w:bookmarkStart w:id="1001" w:name="_Toc333238625"/>
      <w:bookmarkStart w:id="1002" w:name="_Toc365967065"/>
      <w:bookmarkStart w:id="1003" w:name="_Toc350756442"/>
      <w:bookmarkStart w:id="1004" w:name="_Toc336681572"/>
      <w:bookmarkStart w:id="1005" w:name="_Toc350438741"/>
      <w:bookmarkStart w:id="1006" w:name="_Toc333935338"/>
      <w:bookmarkStart w:id="1007" w:name="_Toc366072520"/>
      <w:bookmarkStart w:id="1008" w:name="_Toc337632350"/>
      <w:bookmarkStart w:id="1009" w:name="_Toc365985171"/>
      <w:bookmarkStart w:id="1010" w:name="_Toc332270338"/>
      <w:r>
        <w:rPr>
          <w:rFonts w:hint="eastAsia"/>
          <w:color w:val="000000" w:themeColor="text1"/>
          <w:highlight w:val="none"/>
        </w:rPr>
        <w:t>投标文件的修改和撤</w:t>
      </w:r>
      <w:bookmarkEnd w:id="974"/>
      <w:bookmarkEnd w:id="975"/>
      <w:r>
        <w:rPr>
          <w:rFonts w:hint="eastAsia"/>
          <w:color w:val="000000" w:themeColor="text1"/>
          <w:highlight w:val="none"/>
        </w:rPr>
        <w:t>回</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投标人在</w:t>
      </w:r>
      <w:r>
        <w:rPr>
          <w:rFonts w:hint="eastAsia" w:ascii="宋体"/>
          <w:bCs/>
          <w:color w:val="000000" w:themeColor="text1"/>
          <w:highlight w:val="none"/>
          <w:lang w:val="en-US" w:eastAsia="zh-CN"/>
        </w:rPr>
        <w:t>投标</w:t>
      </w:r>
      <w:r>
        <w:rPr>
          <w:rFonts w:hint="eastAsia" w:ascii="宋体"/>
          <w:bCs/>
          <w:color w:val="000000" w:themeColor="text1"/>
          <w:highlight w:val="none"/>
        </w:rPr>
        <w:t>截止时间前，可以修改或撤回其投标文件。但必须在规定的</w:t>
      </w:r>
      <w:r>
        <w:rPr>
          <w:rFonts w:hint="eastAsia" w:ascii="宋体"/>
          <w:bCs/>
          <w:color w:val="000000" w:themeColor="text1"/>
          <w:highlight w:val="none"/>
          <w:lang w:val="en-US" w:eastAsia="zh-CN"/>
        </w:rPr>
        <w:t>投标</w:t>
      </w:r>
      <w:r>
        <w:rPr>
          <w:rFonts w:hint="eastAsia" w:ascii="宋体"/>
          <w:bCs/>
          <w:color w:val="000000" w:themeColor="text1"/>
          <w:highlight w:val="none"/>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0</w:t>
      </w:r>
      <w:r>
        <w:rPr>
          <w:rFonts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从投标截止时间至投标文件有效期期满之前，投标人不得撤回其投标文件，否则代理采购机构将按规定不予退还投标保证金。</w:t>
      </w:r>
    </w:p>
    <w:p>
      <w:pPr>
        <w:pStyle w:val="4"/>
        <w:pageBreakBefore w:val="0"/>
        <w:numPr>
          <w:ilvl w:val="0"/>
          <w:numId w:val="0"/>
        </w:numPr>
        <w:kinsoku/>
        <w:wordWrap/>
        <w:overflowPunct/>
        <w:topLinePunct w:val="0"/>
        <w:bidi w:val="0"/>
        <w:spacing w:line="400" w:lineRule="exact"/>
        <w:rPr>
          <w:color w:val="000000" w:themeColor="text1"/>
          <w:sz w:val="24"/>
          <w:highlight w:val="none"/>
        </w:rPr>
      </w:pPr>
      <w:bookmarkStart w:id="1011" w:name="_Toc497224220"/>
      <w:bookmarkStart w:id="1012" w:name="_Toc333237670"/>
      <w:bookmarkStart w:id="1013" w:name="_Toc339020226"/>
      <w:bookmarkStart w:id="1014" w:name="_Toc333935339"/>
      <w:bookmarkStart w:id="1015" w:name="_Toc340507435"/>
      <w:bookmarkStart w:id="1016" w:name="_Toc350438742"/>
      <w:bookmarkStart w:id="1017" w:name="_Toc332206701"/>
      <w:bookmarkStart w:id="1018" w:name="_Toc331512891"/>
      <w:bookmarkStart w:id="1019" w:name="_Toc345513860"/>
      <w:bookmarkStart w:id="1020" w:name="_Toc333238626"/>
      <w:bookmarkStart w:id="1021" w:name="_Toc339441080"/>
      <w:bookmarkStart w:id="1022" w:name="_Toc366072521"/>
      <w:bookmarkStart w:id="1023" w:name="_Toc340672862"/>
      <w:bookmarkStart w:id="1024" w:name="_Toc350756443"/>
      <w:bookmarkStart w:id="1025" w:name="_Toc340677063"/>
      <w:bookmarkStart w:id="1026" w:name="_Toc339020008"/>
      <w:bookmarkStart w:id="1027" w:name="_Toc349143582"/>
      <w:bookmarkStart w:id="1028" w:name="_Toc374454593"/>
      <w:bookmarkStart w:id="1029" w:name="_Toc342060367"/>
      <w:bookmarkStart w:id="1030" w:name="_Toc331684031"/>
      <w:bookmarkStart w:id="1031" w:name="_Toc349127619"/>
      <w:bookmarkStart w:id="1032" w:name="_Toc503785422"/>
      <w:bookmarkStart w:id="1033" w:name="_Toc337632351"/>
      <w:bookmarkStart w:id="1034" w:name="_Toc339019882"/>
      <w:bookmarkStart w:id="1035" w:name="_Toc339362293"/>
      <w:bookmarkStart w:id="1036" w:name="_Toc336681573"/>
      <w:bookmarkStart w:id="1037" w:name="_Toc333935680"/>
      <w:bookmarkStart w:id="1038" w:name="_Toc333237781"/>
      <w:bookmarkStart w:id="1039" w:name="_Toc342296753"/>
      <w:bookmarkStart w:id="1040" w:name="_Toc341348331"/>
      <w:bookmarkStart w:id="1041" w:name="_Toc336681928"/>
      <w:bookmarkStart w:id="1042" w:name="_Toc332270339"/>
      <w:bookmarkStart w:id="1043" w:name="_Toc365985172"/>
      <w:bookmarkStart w:id="1044" w:name="_Toc339020088"/>
      <w:bookmarkStart w:id="1045" w:name="_Toc330459978"/>
      <w:bookmarkStart w:id="1046" w:name="_Toc365967066"/>
      <w:r>
        <w:rPr>
          <w:color w:val="000000" w:themeColor="text1"/>
          <w:sz w:val="24"/>
          <w:highlight w:val="none"/>
        </w:rPr>
        <w:br w:type="page"/>
      </w:r>
      <w:bookmarkStart w:id="1047" w:name="_Toc25887"/>
      <w:r>
        <w:rPr>
          <w:rFonts w:hint="eastAsia"/>
          <w:color w:val="000000" w:themeColor="text1"/>
          <w:sz w:val="24"/>
          <w:highlight w:val="none"/>
        </w:rPr>
        <w:t>Ｅ</w:t>
      </w:r>
      <w:r>
        <w:rPr>
          <w:color w:val="000000" w:themeColor="text1"/>
          <w:sz w:val="24"/>
          <w:highlight w:val="none"/>
        </w:rPr>
        <w:t xml:space="preserve">  </w:t>
      </w:r>
      <w:r>
        <w:rPr>
          <w:rFonts w:hint="eastAsia"/>
          <w:color w:val="000000" w:themeColor="text1"/>
          <w:sz w:val="24"/>
          <w:highlight w:val="none"/>
        </w:rPr>
        <w:t>开标和评标</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048" w:name="_Toc333935681"/>
      <w:bookmarkStart w:id="1049" w:name="_Toc349127620"/>
      <w:bookmarkStart w:id="1050" w:name="_Toc503785423"/>
      <w:bookmarkStart w:id="1051" w:name="_Toc339441081"/>
      <w:bookmarkStart w:id="1052" w:name="_Toc341348332"/>
      <w:bookmarkStart w:id="1053" w:name="_Toc365985173"/>
      <w:bookmarkStart w:id="1054" w:name="_Toc331684032"/>
      <w:bookmarkStart w:id="1055" w:name="_Toc342060368"/>
      <w:bookmarkStart w:id="1056" w:name="_Toc336681574"/>
      <w:bookmarkStart w:id="1057" w:name="_Toc331512892"/>
      <w:bookmarkStart w:id="1058" w:name="_Toc332206702"/>
      <w:bookmarkStart w:id="1059" w:name="_Toc339020227"/>
      <w:bookmarkStart w:id="1060" w:name="_Toc330459979"/>
      <w:bookmarkStart w:id="1061" w:name="_Toc337632352"/>
      <w:bookmarkStart w:id="1062" w:name="_Toc340677064"/>
      <w:bookmarkStart w:id="1063" w:name="_Toc339020009"/>
      <w:bookmarkStart w:id="1064" w:name="_Toc340672863"/>
      <w:bookmarkStart w:id="1065" w:name="_Toc365967067"/>
      <w:bookmarkStart w:id="1066" w:name="_Toc332270340"/>
      <w:bookmarkStart w:id="1067" w:name="_Toc333237782"/>
      <w:bookmarkStart w:id="1068" w:name="_Toc350438743"/>
      <w:bookmarkStart w:id="1069" w:name="_Toc17631"/>
      <w:bookmarkStart w:id="1070" w:name="_Toc336681929"/>
      <w:bookmarkStart w:id="1071" w:name="_Toc333238627"/>
      <w:bookmarkStart w:id="1072" w:name="_Toc333935340"/>
      <w:bookmarkStart w:id="1073" w:name="_Toc339019883"/>
      <w:bookmarkStart w:id="1074" w:name="_Toc374454594"/>
      <w:bookmarkStart w:id="1075" w:name="_Toc497224221"/>
      <w:bookmarkStart w:id="1076" w:name="_Toc339362294"/>
      <w:bookmarkStart w:id="1077" w:name="_Toc342296754"/>
      <w:bookmarkStart w:id="1078" w:name="_Toc340507436"/>
      <w:bookmarkStart w:id="1079" w:name="_Toc339020089"/>
      <w:bookmarkStart w:id="1080" w:name="_Toc366072522"/>
      <w:bookmarkStart w:id="1081" w:name="_Toc349143583"/>
      <w:bookmarkStart w:id="1082" w:name="_Toc333237671"/>
      <w:bookmarkStart w:id="1083" w:name="_Toc350756444"/>
      <w:bookmarkStart w:id="1084" w:name="_Toc345513861"/>
      <w:r>
        <w:rPr>
          <w:rFonts w:hint="eastAsia"/>
          <w:color w:val="000000" w:themeColor="text1"/>
          <w:highlight w:val="none"/>
        </w:rPr>
        <w:t>开标</w:t>
      </w:r>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代理采购机构在招标文件中规定的时间和地点公开开标。开标会由代理采购机构主持。投标人代表均需按时参加开标会。参加开标的投标人代表应签名报到以证明其出席。</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1</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21.3   在投标截止之前收到的所有投标文件，开标时都应当众拆封并宣读。在开标时没有当众拆封和宣读的投标文件在评标时将不予考虑。提交了可接受的“撤回”通知的投标文件将不予拆封。</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21.4</w:t>
      </w:r>
      <w:r>
        <w:rPr>
          <w:rFonts w:hint="eastAsia" w:ascii="宋体" w:hAnsi="宋体"/>
          <w:bCs/>
          <w:color w:val="000000" w:themeColor="text1"/>
          <w:highlight w:val="none"/>
        </w:rPr>
        <w:tab/>
      </w:r>
      <w:r>
        <w:rPr>
          <w:rFonts w:hint="eastAsia" w:ascii="宋体" w:hAnsi="宋体"/>
          <w:bCs/>
          <w:color w:val="000000" w:themeColor="text1"/>
          <w:highlight w:val="none"/>
        </w:rPr>
        <w:t>唱标结束后，代理采购机构将做唱标记录，并按规定在唱标记录上签字。</w:t>
      </w:r>
    </w:p>
    <w:p>
      <w:pPr>
        <w:pStyle w:val="6"/>
        <w:pageBreakBefore w:val="0"/>
        <w:numPr>
          <w:ilvl w:val="4"/>
          <w:numId w:val="26"/>
        </w:numPr>
        <w:tabs>
          <w:tab w:val="left" w:pos="720"/>
        </w:tabs>
        <w:kinsoku/>
        <w:wordWrap/>
        <w:overflowPunct/>
        <w:topLinePunct w:val="0"/>
        <w:bidi w:val="0"/>
        <w:spacing w:before="240" w:after="120" w:line="400" w:lineRule="exact"/>
        <w:ind w:left="752" w:hanging="751" w:hangingChars="358"/>
        <w:rPr>
          <w:rFonts w:ascii="宋体" w:hAnsi="宋体"/>
          <w:color w:val="000000" w:themeColor="text1"/>
          <w:highlight w:val="none"/>
        </w:rPr>
      </w:pPr>
      <w:bookmarkStart w:id="1085" w:name="_Toc365967068"/>
      <w:bookmarkStart w:id="1086" w:name="_Toc339019884"/>
      <w:bookmarkStart w:id="1087" w:name="_Toc340672864"/>
      <w:bookmarkStart w:id="1088" w:name="_Toc350756445"/>
      <w:bookmarkStart w:id="1089" w:name="_Toc374454595"/>
      <w:bookmarkStart w:id="1090" w:name="_Toc349127621"/>
      <w:bookmarkStart w:id="1091" w:name="_Toc339362295"/>
      <w:bookmarkStart w:id="1092" w:name="_Toc4011"/>
      <w:bookmarkStart w:id="1093" w:name="_Toc339020010"/>
      <w:bookmarkStart w:id="1094" w:name="_Toc366072523"/>
      <w:bookmarkStart w:id="1095" w:name="_Toc339020090"/>
      <w:bookmarkStart w:id="1096" w:name="_Toc333935341"/>
      <w:bookmarkStart w:id="1097" w:name="_Toc331512893"/>
      <w:bookmarkStart w:id="1098" w:name="_Toc331684033"/>
      <w:bookmarkStart w:id="1099" w:name="_Toc336681575"/>
      <w:bookmarkStart w:id="1100" w:name="_Toc503785424"/>
      <w:bookmarkStart w:id="1101" w:name="_Toc340677065"/>
      <w:bookmarkStart w:id="1102" w:name="_Toc337632353"/>
      <w:bookmarkStart w:id="1103" w:name="_Toc333238628"/>
      <w:bookmarkStart w:id="1104" w:name="_Toc341348333"/>
      <w:bookmarkStart w:id="1105" w:name="_Toc332206703"/>
      <w:bookmarkStart w:id="1106" w:name="_Toc339441082"/>
      <w:bookmarkStart w:id="1107" w:name="_Toc349143584"/>
      <w:bookmarkStart w:id="1108" w:name="_Toc365985174"/>
      <w:bookmarkStart w:id="1109" w:name="_Toc497224222"/>
      <w:bookmarkStart w:id="1110" w:name="_Toc333935682"/>
      <w:bookmarkStart w:id="1111" w:name="_Toc342060369"/>
      <w:bookmarkStart w:id="1112" w:name="_Toc340507437"/>
      <w:bookmarkStart w:id="1113" w:name="_Toc333237783"/>
      <w:bookmarkStart w:id="1114" w:name="_Toc350438744"/>
      <w:bookmarkStart w:id="1115" w:name="_Toc342296755"/>
      <w:bookmarkStart w:id="1116" w:name="_Toc332270341"/>
      <w:bookmarkStart w:id="1117" w:name="_Toc336681930"/>
      <w:bookmarkStart w:id="1118" w:name="_Toc345513862"/>
      <w:bookmarkStart w:id="1119" w:name="_Toc333237672"/>
      <w:bookmarkStart w:id="1120" w:name="_Toc339020228"/>
      <w:bookmarkStart w:id="1121" w:name="_Toc330459980"/>
      <w:r>
        <w:rPr>
          <w:rFonts w:hint="eastAsia"/>
          <w:color w:val="000000" w:themeColor="text1"/>
          <w:highlight w:val="none"/>
        </w:rPr>
        <w:t>评标委员会</w:t>
      </w:r>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Pr>
          <w:rFonts w:hint="eastAsia" w:ascii="宋体" w:hAnsi="宋体"/>
          <w:color w:val="000000" w:themeColor="text1"/>
          <w:highlight w:val="none"/>
        </w:rPr>
        <w:t xml:space="preserve"> </w:t>
      </w:r>
    </w:p>
    <w:p>
      <w:pPr>
        <w:pStyle w:val="5"/>
        <w:pageBreakBefore w:val="0"/>
        <w:kinsoku/>
        <w:wordWrap/>
        <w:overflowPunct/>
        <w:topLinePunct w:val="0"/>
        <w:bidi w:val="0"/>
        <w:spacing w:line="400" w:lineRule="exact"/>
        <w:rPr>
          <w:color w:val="000000" w:themeColor="text1"/>
          <w:highlight w:val="none"/>
        </w:rPr>
      </w:pPr>
      <w:r>
        <w:rPr>
          <w:color w:val="000000" w:themeColor="text1"/>
          <w:highlight w:val="none"/>
        </w:rPr>
        <w:t xml:space="preserve">  </w:t>
      </w:r>
      <w:r>
        <w:rPr>
          <w:rFonts w:hint="eastAsia" w:ascii="黑体" w:eastAsia="黑体"/>
          <w:bCs/>
          <w:color w:val="000000" w:themeColor="text1"/>
          <w:kern w:val="2"/>
          <w:sz w:val="21"/>
          <w:szCs w:val="24"/>
          <w:highlight w:val="none"/>
        </w:rPr>
        <w:t>详见第三部份《投标人须知〈投标人须知前附表〉》。</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22" w:name="_Toc365967069"/>
      <w:bookmarkStart w:id="1123" w:name="_Toc332270342"/>
      <w:bookmarkStart w:id="1124" w:name="_Toc333935683"/>
      <w:bookmarkStart w:id="1125" w:name="_Toc333237784"/>
      <w:bookmarkStart w:id="1126" w:name="_Toc339020229"/>
      <w:bookmarkStart w:id="1127" w:name="_Toc339020011"/>
      <w:bookmarkStart w:id="1128" w:name="_Toc342296756"/>
      <w:bookmarkStart w:id="1129" w:name="_Toc339441083"/>
      <w:bookmarkStart w:id="1130" w:name="_Toc331512894"/>
      <w:bookmarkStart w:id="1131" w:name="_Toc337632354"/>
      <w:bookmarkStart w:id="1132" w:name="_Toc330459981"/>
      <w:bookmarkStart w:id="1133" w:name="_Toc497224223"/>
      <w:bookmarkStart w:id="1134" w:name="_Toc349143585"/>
      <w:bookmarkStart w:id="1135" w:name="_Toc336681931"/>
      <w:bookmarkStart w:id="1136" w:name="_Toc366072524"/>
      <w:bookmarkStart w:id="1137" w:name="_Toc503785425"/>
      <w:bookmarkStart w:id="1138" w:name="_Toc333935342"/>
      <w:bookmarkStart w:id="1139" w:name="_Toc331684034"/>
      <w:bookmarkStart w:id="1140" w:name="_Toc333238629"/>
      <w:bookmarkStart w:id="1141" w:name="_Toc349127622"/>
      <w:bookmarkStart w:id="1142" w:name="_Toc333237673"/>
      <w:bookmarkStart w:id="1143" w:name="_Toc332206704"/>
      <w:bookmarkStart w:id="1144" w:name="_Toc339019885"/>
      <w:bookmarkStart w:id="1145" w:name="_Toc350438745"/>
      <w:bookmarkStart w:id="1146" w:name="_Toc11155"/>
      <w:bookmarkStart w:id="1147" w:name="_Toc340507438"/>
      <w:bookmarkStart w:id="1148" w:name="_Toc374454596"/>
      <w:bookmarkStart w:id="1149" w:name="_Toc339020091"/>
      <w:bookmarkStart w:id="1150" w:name="_Toc345513863"/>
      <w:bookmarkStart w:id="1151" w:name="_Toc339362296"/>
      <w:bookmarkStart w:id="1152" w:name="_Toc340677066"/>
      <w:bookmarkStart w:id="1153" w:name="_Toc341348334"/>
      <w:bookmarkStart w:id="1154" w:name="_Toc365985175"/>
      <w:bookmarkStart w:id="1155" w:name="_Toc336681576"/>
      <w:bookmarkStart w:id="1156" w:name="_Toc340672865"/>
      <w:bookmarkStart w:id="1157" w:name="_Toc350756446"/>
      <w:bookmarkStart w:id="1158" w:name="_Toc342060370"/>
      <w:r>
        <w:rPr>
          <w:rFonts w:hint="eastAsia"/>
          <w:color w:val="000000" w:themeColor="text1"/>
          <w:highlight w:val="none"/>
        </w:rPr>
        <w:t>对投标文件的初审和响应性的确定</w:t>
      </w:r>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开标后，评标委员会将组织审查投标文件是否完整，文件签署是否合格，证明文件是否齐全等。</w:t>
      </w:r>
    </w:p>
    <w:p>
      <w:pPr>
        <w:pageBreakBefore w:val="0"/>
        <w:widowControl/>
        <w:tabs>
          <w:tab w:val="left" w:pos="567"/>
        </w:tabs>
        <w:kinsoku/>
        <w:wordWrap/>
        <w:overflowPunct/>
        <w:topLinePunct w:val="0"/>
        <w:bidi w:val="0"/>
        <w:adjustRightInd w:val="0"/>
        <w:snapToGrid w:val="0"/>
        <w:spacing w:line="400" w:lineRule="exact"/>
        <w:ind w:left="752" w:hanging="751" w:hangingChars="358"/>
        <w:jc w:val="left"/>
        <w:rPr>
          <w:rFonts w:ascii="宋体"/>
          <w:bCs/>
          <w:color w:val="000000" w:themeColor="text1"/>
          <w:highlight w:val="none"/>
        </w:rPr>
      </w:pPr>
      <w:r>
        <w:rPr>
          <w:rFonts w:hint="eastAsia" w:ascii="宋体"/>
          <w:bCs/>
          <w:color w:val="000000" w:themeColor="text1"/>
          <w:highlight w:val="none"/>
        </w:rPr>
        <w:t xml:space="preserve">23.2  </w:t>
      </w:r>
      <w:r>
        <w:rPr>
          <w:rFonts w:ascii="宋体"/>
          <w:bCs/>
          <w:color w:val="000000" w:themeColor="text1"/>
          <w:highlight w:val="none"/>
        </w:rPr>
        <w:t xml:space="preserve"> </w:t>
      </w:r>
      <w:r>
        <w:rPr>
          <w:rFonts w:hint="eastAsia" w:ascii="宋体" w:hAnsi="宋体"/>
          <w:color w:val="000000" w:themeColor="text1"/>
          <w:highlight w:val="none"/>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rPr>
        <w:t>是</w:t>
      </w:r>
      <w:r>
        <w:rPr>
          <w:rFonts w:hint="eastAsia" w:ascii="宋体"/>
          <w:bCs/>
          <w:color w:val="000000" w:themeColor="text1"/>
          <w:highlight w:val="none"/>
        </w:rPr>
        <w:t>指影响到招标文件规定的供货范围、质量和性能，或限制了买方的权力和投标人的义务的规定，而纠正这些偏离将影响到其它提交实质性响应投标的投标人的公平竞争地位。</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4</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评标委员会将拒绝被确定为非实质性响应的投标，投标人不能通过修正或撤销不符之处而使其投标成为实质性响应的投标。</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hAns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3</w:t>
      </w:r>
      <w:r>
        <w:rPr>
          <w:rFonts w:ascii="宋体"/>
          <w:bCs/>
          <w:color w:val="000000" w:themeColor="text1"/>
          <w:highlight w:val="none"/>
        </w:rPr>
        <w:t>.</w:t>
      </w:r>
      <w:r>
        <w:rPr>
          <w:rFonts w:hint="eastAsia" w:ascii="宋体"/>
          <w:bCs/>
          <w:color w:val="000000" w:themeColor="text1"/>
          <w:highlight w:val="none"/>
        </w:rPr>
        <w:t>5</w:t>
      </w:r>
      <w:r>
        <w:rPr>
          <w:rFonts w:hint="eastAsia" w:ascii="宋体"/>
          <w:bCs/>
          <w:color w:val="000000" w:themeColor="text1"/>
          <w:highlight w:val="none"/>
        </w:rPr>
        <w:tab/>
      </w:r>
      <w:r>
        <w:rPr>
          <w:rFonts w:hint="eastAsia" w:ascii="宋体" w:hAnsi="宋体"/>
          <w:bCs/>
          <w:color w:val="000000" w:themeColor="text1"/>
          <w:highlight w:val="none"/>
        </w:rPr>
        <w:t>如果发现下列情况之一的，其投标将被拒绝而作无效投标处理：</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资格审查结果为不合格的；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投标人未提交投标保证金或投标保证金金额不足或无效的；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投标函</w:t>
      </w:r>
      <w:r>
        <w:rPr>
          <w:rFonts w:ascii="宋体" w:hAnsi="宋体"/>
          <w:bCs/>
          <w:color w:val="000000" w:themeColor="text1"/>
          <w:highlight w:val="none"/>
        </w:rPr>
        <w:t>未加盖</w:t>
      </w:r>
      <w:r>
        <w:rPr>
          <w:rFonts w:hint="eastAsia" w:ascii="宋体" w:hAnsi="宋体"/>
          <w:bCs/>
          <w:color w:val="000000" w:themeColor="text1"/>
          <w:highlight w:val="none"/>
        </w:rPr>
        <w:t>投标人</w:t>
      </w:r>
      <w:r>
        <w:rPr>
          <w:rFonts w:ascii="宋体" w:hAnsi="宋体"/>
          <w:bCs/>
          <w:color w:val="000000" w:themeColor="text1"/>
          <w:highlight w:val="none"/>
        </w:rPr>
        <w:t>公章</w:t>
      </w:r>
      <w:r>
        <w:rPr>
          <w:rFonts w:hint="eastAsia" w:ascii="宋体" w:hAnsi="宋体"/>
          <w:bCs/>
          <w:color w:val="000000" w:themeColor="text1"/>
          <w:highlight w:val="none"/>
        </w:rPr>
        <w:t>或</w:t>
      </w:r>
      <w:r>
        <w:rPr>
          <w:rFonts w:ascii="宋体" w:hAnsi="宋体"/>
          <w:bCs/>
          <w:color w:val="000000" w:themeColor="text1"/>
          <w:highlight w:val="none"/>
        </w:rPr>
        <w:t>未有法定代表人（负责人）或者被授权人签名的；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未按招标文件规定格式填写或者字迹模糊不清的；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投标报价超出最高投标报价（预算价）上限的；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bCs/>
          <w:color w:val="000000" w:themeColor="text1"/>
          <w:highlight w:val="none"/>
        </w:rPr>
      </w:pPr>
      <w:r>
        <w:rPr>
          <w:rFonts w:hint="eastAsia" w:ascii="宋体" w:hAnsi="宋体"/>
          <w:bCs/>
          <w:color w:val="000000" w:themeColor="text1"/>
          <w:highlight w:val="none"/>
        </w:rPr>
        <w:t xml:space="preserve">投标文件载明的招标项目完工期（服务期）超过招标文件规定的期限，或服务期不满足招标文件规定要求的； </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投标有效期不足的；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投标文件附有采购人或代理采购机构不能接受的条件的；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招标文件规定的其他实质性要求的；</w:t>
      </w:r>
    </w:p>
    <w:p>
      <w:pPr>
        <w:pageBreakBefore w:val="0"/>
        <w:numPr>
          <w:ilvl w:val="0"/>
          <w:numId w:val="30"/>
        </w:numPr>
        <w:kinsoku/>
        <w:wordWrap/>
        <w:overflowPunct/>
        <w:topLinePunct w:val="0"/>
        <w:bidi w:val="0"/>
        <w:adjustRightInd w:val="0"/>
        <w:snapToGrid w:val="0"/>
        <w:spacing w:line="400" w:lineRule="exact"/>
        <w:ind w:left="1077" w:hanging="357"/>
        <w:rPr>
          <w:rFonts w:ascii="宋体" w:hAnsi="宋体"/>
          <w:color w:val="000000" w:themeColor="text1"/>
          <w:highlight w:val="none"/>
        </w:rPr>
      </w:pPr>
      <w:r>
        <w:rPr>
          <w:rFonts w:hint="eastAsia" w:ascii="宋体" w:hAnsi="宋体"/>
          <w:color w:val="000000" w:themeColor="text1"/>
          <w:highlight w:val="none"/>
        </w:rPr>
        <w:t>法律、法规规定的其他废标条款。</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59" w:name="_Toc333935684"/>
      <w:bookmarkStart w:id="1160" w:name="_Toc366072525"/>
      <w:bookmarkStart w:id="1161" w:name="_Toc333935343"/>
      <w:bookmarkStart w:id="1162" w:name="_Toc345513864"/>
      <w:bookmarkStart w:id="1163" w:name="_Toc330459982"/>
      <w:bookmarkStart w:id="1164" w:name="_Toc333237785"/>
      <w:bookmarkStart w:id="1165" w:name="_Toc331512895"/>
      <w:bookmarkStart w:id="1166" w:name="_Toc342060371"/>
      <w:bookmarkStart w:id="1167" w:name="_Toc350438746"/>
      <w:bookmarkStart w:id="1168" w:name="_Toc340677067"/>
      <w:bookmarkStart w:id="1169" w:name="_Toc336681577"/>
      <w:bookmarkStart w:id="1170" w:name="_Toc374454597"/>
      <w:bookmarkStart w:id="1171" w:name="_Toc340672866"/>
      <w:bookmarkStart w:id="1172" w:name="_Toc339441084"/>
      <w:bookmarkStart w:id="1173" w:name="_Toc339020012"/>
      <w:bookmarkStart w:id="1174" w:name="_Toc339020092"/>
      <w:bookmarkStart w:id="1175" w:name="_Toc350756447"/>
      <w:bookmarkStart w:id="1176" w:name="_Toc332270343"/>
      <w:bookmarkStart w:id="1177" w:name="_Toc339020230"/>
      <w:bookmarkStart w:id="1178" w:name="_Toc336681932"/>
      <w:bookmarkStart w:id="1179" w:name="_Toc342296757"/>
      <w:bookmarkStart w:id="1180" w:name="_Toc349127623"/>
      <w:bookmarkStart w:id="1181" w:name="_Toc341348335"/>
      <w:bookmarkStart w:id="1182" w:name="_Toc332206705"/>
      <w:bookmarkStart w:id="1183" w:name="_Toc365967070"/>
      <w:bookmarkStart w:id="1184" w:name="_Toc333238630"/>
      <w:bookmarkStart w:id="1185" w:name="_Toc337632355"/>
      <w:bookmarkStart w:id="1186" w:name="_Toc29604"/>
      <w:bookmarkStart w:id="1187" w:name="_Toc340507439"/>
      <w:bookmarkStart w:id="1188" w:name="_Toc365985176"/>
      <w:bookmarkStart w:id="1189" w:name="_Toc331684035"/>
      <w:bookmarkStart w:id="1190" w:name="_Toc339019886"/>
      <w:bookmarkStart w:id="1191" w:name="_Toc339362297"/>
      <w:bookmarkStart w:id="1192" w:name="_Toc349143586"/>
      <w:bookmarkStart w:id="1193" w:name="_Toc333237674"/>
      <w:r>
        <w:rPr>
          <w:rFonts w:hint="eastAsia"/>
          <w:color w:val="000000" w:themeColor="text1"/>
          <w:highlight w:val="none"/>
        </w:rPr>
        <w:t>投标报价的审核</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p>
    <w:p>
      <w:pPr>
        <w:pageBreakBefore w:val="0"/>
        <w:tabs>
          <w:tab w:val="left" w:pos="753"/>
        </w:tabs>
        <w:kinsoku/>
        <w:wordWrap/>
        <w:overflowPunct/>
        <w:topLinePunct w:val="0"/>
        <w:bidi w:val="0"/>
        <w:adjustRightInd w:val="0"/>
        <w:snapToGrid w:val="0"/>
        <w:spacing w:line="400" w:lineRule="exact"/>
        <w:ind w:left="751" w:leftChars="1" w:hanging="749" w:hangingChars="357"/>
        <w:rPr>
          <w:rFonts w:ascii="宋体" w:hAnsi="宋体"/>
          <w:bCs/>
          <w:color w:val="000000" w:themeColor="text1"/>
          <w:highlight w:val="none"/>
        </w:rPr>
      </w:pPr>
      <w:r>
        <w:rPr>
          <w:rFonts w:hint="eastAsia" w:ascii="宋体" w:hAnsi="宋体"/>
          <w:bCs/>
          <w:color w:val="000000" w:themeColor="text1"/>
          <w:highlight w:val="none"/>
        </w:rPr>
        <w:t>24.1</w:t>
      </w:r>
      <w:r>
        <w:rPr>
          <w:rFonts w:hint="eastAsia" w:ascii="宋体" w:hAnsi="宋体"/>
          <w:bCs/>
          <w:color w:val="000000" w:themeColor="text1"/>
          <w:highlight w:val="none"/>
        </w:rPr>
        <w:tab/>
      </w:r>
      <w:r>
        <w:rPr>
          <w:rFonts w:hint="eastAsia" w:ascii="宋体" w:hAnsi="宋体"/>
          <w:bCs/>
          <w:color w:val="000000" w:themeColor="text1"/>
          <w:highlight w:val="none"/>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pageBreakBefore w:val="0"/>
        <w:kinsoku/>
        <w:wordWrap/>
        <w:overflowPunct/>
        <w:topLinePunct w:val="0"/>
        <w:bidi w:val="0"/>
        <w:spacing w:line="400" w:lineRule="exact"/>
        <w:ind w:left="1233" w:hanging="1232" w:hangingChars="587"/>
        <w:jc w:val="left"/>
        <w:rPr>
          <w:rFonts w:ascii="宋体" w:hAnsi="宋体"/>
          <w:bCs/>
          <w:color w:val="000000" w:themeColor="text1"/>
          <w:highlight w:val="none"/>
        </w:rPr>
      </w:pPr>
      <w:r>
        <w:rPr>
          <w:rFonts w:hint="eastAsia" w:ascii="宋体" w:hAnsi="宋体"/>
          <w:bCs/>
          <w:color w:val="000000" w:themeColor="text1"/>
          <w:highlight w:val="none"/>
        </w:rPr>
        <w:t xml:space="preserve">24.2   </w:t>
      </w:r>
      <w:r>
        <w:rPr>
          <w:rFonts w:ascii="宋体" w:hAnsi="宋体"/>
          <w:bCs/>
          <w:color w:val="000000" w:themeColor="text1"/>
          <w:highlight w:val="none"/>
        </w:rPr>
        <w:t>（1）</w:t>
      </w:r>
      <w:r>
        <w:rPr>
          <w:rFonts w:hint="eastAsia" w:ascii="宋体" w:hAnsi="宋体"/>
          <w:bCs/>
          <w:color w:val="000000" w:themeColor="text1"/>
          <w:highlight w:val="none"/>
        </w:rPr>
        <w:t>投标文件中开标一览表(报价表)内容与投标文件中相应内容不一致的，以开标一览表(报价表)为准;</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（2）</w:t>
      </w:r>
      <w:r>
        <w:rPr>
          <w:rFonts w:hint="eastAsia" w:ascii="宋体" w:hAnsi="宋体"/>
          <w:bCs/>
          <w:color w:val="000000" w:themeColor="text1"/>
          <w:highlight w:val="none"/>
        </w:rPr>
        <w:t>大写金额和小写金额不一致的，以大写金额为准;</w:t>
      </w:r>
    </w:p>
    <w:p>
      <w:pPr>
        <w:pageBreakBefore w:val="0"/>
        <w:kinsoku/>
        <w:wordWrap/>
        <w:overflowPunct/>
        <w:topLinePunct w:val="0"/>
        <w:bidi w:val="0"/>
        <w:spacing w:line="400" w:lineRule="exact"/>
        <w:ind w:firstLine="735" w:firstLineChars="350"/>
        <w:jc w:val="left"/>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单价金额小数点或者百分比有明显错位的，以开标一览表的总价为准，并修改单价;</w:t>
      </w:r>
    </w:p>
    <w:p>
      <w:pPr>
        <w:pageBreakBefore w:val="0"/>
        <w:kinsoku/>
        <w:wordWrap/>
        <w:overflowPunct/>
        <w:topLinePunct w:val="0"/>
        <w:bidi w:val="0"/>
        <w:spacing w:line="400" w:lineRule="exact"/>
        <w:ind w:firstLine="707" w:firstLineChars="337"/>
        <w:jc w:val="left"/>
        <w:rPr>
          <w:rFonts w:ascii="宋体" w:hAnsi="宋体"/>
          <w:bCs/>
          <w:color w:val="000000" w:themeColor="text1"/>
          <w:highlight w:val="none"/>
        </w:rPr>
      </w:pPr>
      <w:r>
        <w:rPr>
          <w:rFonts w:ascii="宋体" w:hAnsi="宋体"/>
          <w:bCs/>
          <w:color w:val="000000" w:themeColor="text1"/>
          <w:highlight w:val="none"/>
        </w:rPr>
        <w:t>（4）</w:t>
      </w:r>
      <w:r>
        <w:rPr>
          <w:rFonts w:hint="eastAsia" w:ascii="宋体" w:hAnsi="宋体"/>
          <w:bCs/>
          <w:color w:val="000000" w:themeColor="text1"/>
          <w:highlight w:val="none"/>
        </w:rPr>
        <w:t>总价金额与按单价汇总金额不一致的，以单价金额计算结果为准。</w:t>
      </w:r>
    </w:p>
    <w:p>
      <w:pPr>
        <w:pageBreakBefore w:val="0"/>
        <w:tabs>
          <w:tab w:val="left" w:pos="753"/>
        </w:tabs>
        <w:kinsoku/>
        <w:wordWrap/>
        <w:overflowPunct/>
        <w:topLinePunct w:val="0"/>
        <w:bidi w:val="0"/>
        <w:adjustRightInd w:val="0"/>
        <w:snapToGrid w:val="0"/>
        <w:spacing w:line="400" w:lineRule="exact"/>
        <w:ind w:left="1276" w:leftChars="351" w:hanging="539" w:hangingChars="257"/>
        <w:rPr>
          <w:rFonts w:ascii="宋体" w:hAnsi="宋体"/>
          <w:bCs/>
          <w:color w:val="000000" w:themeColor="text1"/>
          <w:highlight w:val="none"/>
        </w:rPr>
      </w:pPr>
      <w:r>
        <w:rPr>
          <w:rFonts w:ascii="宋体" w:hAnsi="宋体"/>
          <w:bCs/>
          <w:color w:val="000000" w:themeColor="text1"/>
          <w:highlight w:val="none"/>
        </w:rPr>
        <w:t>（5）</w:t>
      </w:r>
      <w:r>
        <w:rPr>
          <w:rFonts w:hint="eastAsia" w:ascii="宋体" w:hAnsi="宋体"/>
          <w:bCs/>
          <w:color w:val="000000" w:themeColor="text1"/>
          <w:highlight w:val="none"/>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194" w:name="_Toc365967071"/>
      <w:bookmarkStart w:id="1195" w:name="_Toc339441085"/>
      <w:bookmarkStart w:id="1196" w:name="_Toc333935344"/>
      <w:bookmarkStart w:id="1197" w:name="_Toc350438747"/>
      <w:bookmarkStart w:id="1198" w:name="_Toc339020093"/>
      <w:bookmarkStart w:id="1199" w:name="_Toc503785426"/>
      <w:bookmarkStart w:id="1200" w:name="_Toc374454598"/>
      <w:bookmarkStart w:id="1201" w:name="_Toc349127624"/>
      <w:bookmarkStart w:id="1202" w:name="_Toc337632356"/>
      <w:bookmarkStart w:id="1203" w:name="_Toc341348336"/>
      <w:bookmarkStart w:id="1204" w:name="_Toc330459983"/>
      <w:bookmarkStart w:id="1205" w:name="_Toc340507440"/>
      <w:bookmarkStart w:id="1206" w:name="_Toc332206706"/>
      <w:bookmarkStart w:id="1207" w:name="_Toc333935685"/>
      <w:bookmarkStart w:id="1208" w:name="_Toc350756448"/>
      <w:bookmarkStart w:id="1209" w:name="_Toc336681578"/>
      <w:bookmarkStart w:id="1210" w:name="_Toc342060372"/>
      <w:bookmarkStart w:id="1211" w:name="_Toc340672867"/>
      <w:bookmarkStart w:id="1212" w:name="_Toc331684036"/>
      <w:bookmarkStart w:id="1213" w:name="_Toc336681933"/>
      <w:bookmarkStart w:id="1214" w:name="_Toc339020013"/>
      <w:bookmarkStart w:id="1215" w:name="_Toc332270344"/>
      <w:bookmarkStart w:id="1216" w:name="_Toc331512896"/>
      <w:bookmarkStart w:id="1217" w:name="_Toc497224224"/>
      <w:bookmarkStart w:id="1218" w:name="_Toc22017"/>
      <w:bookmarkStart w:id="1219" w:name="_Toc333237675"/>
      <w:bookmarkStart w:id="1220" w:name="_Toc339362298"/>
      <w:bookmarkStart w:id="1221" w:name="_Toc345513865"/>
      <w:bookmarkStart w:id="1222" w:name="_Toc365985177"/>
      <w:bookmarkStart w:id="1223" w:name="_Toc333237786"/>
      <w:bookmarkStart w:id="1224" w:name="_Toc340677068"/>
      <w:bookmarkStart w:id="1225" w:name="_Toc342296758"/>
      <w:bookmarkStart w:id="1226" w:name="_Toc339019887"/>
      <w:bookmarkStart w:id="1227" w:name="_Toc339020231"/>
      <w:bookmarkStart w:id="1228" w:name="_Toc333238631"/>
      <w:bookmarkStart w:id="1229" w:name="_Toc349143587"/>
      <w:bookmarkStart w:id="1230" w:name="_Toc366072526"/>
      <w:r>
        <w:rPr>
          <w:rFonts w:hint="eastAsia"/>
          <w:color w:val="000000" w:themeColor="text1"/>
          <w:highlight w:val="none"/>
        </w:rPr>
        <w:t>询标及投标文件的澄清</w:t>
      </w:r>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5.</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为了有助于对投标文件进行审查、评估和比较，评标委员会有权向投标人质疑，请投标人澄清其投标内容。投标人有责任按照代理采购机构通知的时间、地点指派专人进行答疑和澄清。</w:t>
      </w:r>
    </w:p>
    <w:p>
      <w:pPr>
        <w:pageBreakBefore w:val="0"/>
        <w:widowControl/>
        <w:tabs>
          <w:tab w:val="left" w:pos="753"/>
        </w:tabs>
        <w:kinsoku/>
        <w:wordWrap/>
        <w:overflowPunct/>
        <w:topLinePunct w:val="0"/>
        <w:bidi w:val="0"/>
        <w:adjustRightInd w:val="0"/>
        <w:snapToGrid w:val="0"/>
        <w:spacing w:line="400" w:lineRule="exact"/>
        <w:ind w:left="752" w:hanging="751" w:hangingChars="358"/>
        <w:rPr>
          <w:rFonts w:ascii="宋体"/>
          <w:color w:val="000000" w:themeColor="text1"/>
          <w:highlight w:val="none"/>
        </w:rPr>
      </w:pPr>
      <w:r>
        <w:rPr>
          <w:rFonts w:ascii="宋体"/>
          <w:color w:val="000000" w:themeColor="text1"/>
          <w:highlight w:val="none"/>
        </w:rPr>
        <w:t>2</w:t>
      </w:r>
      <w:r>
        <w:rPr>
          <w:rFonts w:hint="eastAsia" w:ascii="宋体"/>
          <w:color w:val="000000" w:themeColor="text1"/>
          <w:highlight w:val="none"/>
        </w:rPr>
        <w:t>5</w:t>
      </w:r>
      <w:r>
        <w:rPr>
          <w:rFonts w:ascii="宋体"/>
          <w:color w:val="000000" w:themeColor="text1"/>
          <w:highlight w:val="none"/>
        </w:rPr>
        <w:t>.2</w:t>
      </w:r>
      <w:r>
        <w:rPr>
          <w:rFonts w:hint="eastAsia" w:ascii="宋体"/>
          <w:color w:val="000000" w:themeColor="text1"/>
          <w:highlight w:val="none"/>
        </w:rPr>
        <w:tab/>
      </w:r>
      <w:r>
        <w:rPr>
          <w:rFonts w:hint="eastAsia" w:ascii="宋体"/>
          <w:color w:val="000000" w:themeColor="text1"/>
          <w:highlight w:val="none"/>
        </w:rPr>
        <w:t>重要澄清的答复应是书面的，但不得对投标内容进行实质性修改。</w:t>
      </w:r>
    </w:p>
    <w:p>
      <w:pPr>
        <w:pageBreakBefore w:val="0"/>
        <w:widowControl/>
        <w:tabs>
          <w:tab w:val="left" w:pos="753"/>
        </w:tabs>
        <w:kinsoku/>
        <w:wordWrap/>
        <w:overflowPunct/>
        <w:topLinePunct w:val="0"/>
        <w:bidi w:val="0"/>
        <w:adjustRightInd w:val="0"/>
        <w:snapToGrid w:val="0"/>
        <w:spacing w:line="400" w:lineRule="exact"/>
        <w:ind w:left="752" w:hanging="751" w:hangingChars="358"/>
        <w:rPr>
          <w:color w:val="000000" w:themeColor="text1"/>
          <w:highlight w:val="none"/>
        </w:rPr>
      </w:pPr>
      <w:r>
        <w:rPr>
          <w:rFonts w:hint="eastAsia" w:ascii="宋体" w:hAnsi="宋体"/>
          <w:color w:val="000000" w:themeColor="text1"/>
          <w:highlight w:val="none"/>
        </w:rPr>
        <w:t>25.3</w:t>
      </w:r>
      <w:r>
        <w:rPr>
          <w:rFonts w:hint="eastAsia"/>
          <w:color w:val="000000" w:themeColor="text1"/>
          <w:highlight w:val="none"/>
        </w:rPr>
        <w:tab/>
      </w:r>
      <w:r>
        <w:rPr>
          <w:rFonts w:hint="eastAsia" w:cs="Arial Unicode MS"/>
          <w:color w:val="000000" w:themeColor="text1"/>
          <w:highlight w:val="none"/>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31" w:name="_Toc365985178"/>
      <w:bookmarkStart w:id="1232" w:name="_Toc339019888"/>
      <w:bookmarkStart w:id="1233" w:name="_Toc330459984"/>
      <w:bookmarkStart w:id="1234" w:name="_Toc374454599"/>
      <w:bookmarkStart w:id="1235" w:name="_Toc366072527"/>
      <w:bookmarkStart w:id="1236" w:name="_Toc336681934"/>
      <w:bookmarkStart w:id="1237" w:name="_Toc340672868"/>
      <w:bookmarkStart w:id="1238" w:name="_Toc333238632"/>
      <w:bookmarkStart w:id="1239" w:name="_Toc331512897"/>
      <w:bookmarkStart w:id="1240" w:name="_Toc333237787"/>
      <w:bookmarkStart w:id="1241" w:name="_Toc333935345"/>
      <w:bookmarkStart w:id="1242" w:name="_Toc349143588"/>
      <w:bookmarkStart w:id="1243" w:name="_Toc345513866"/>
      <w:bookmarkStart w:id="1244" w:name="_Toc337632357"/>
      <w:bookmarkStart w:id="1245" w:name="_Toc339362299"/>
      <w:bookmarkStart w:id="1246" w:name="_Toc350756449"/>
      <w:bookmarkStart w:id="1247" w:name="_Toc341348337"/>
      <w:bookmarkStart w:id="1248" w:name="_Toc339020014"/>
      <w:bookmarkStart w:id="1249" w:name="_Toc332206707"/>
      <w:bookmarkStart w:id="1250" w:name="_Toc332270345"/>
      <w:bookmarkStart w:id="1251" w:name="_Toc342060373"/>
      <w:bookmarkStart w:id="1252" w:name="_Toc331684037"/>
      <w:bookmarkStart w:id="1253" w:name="_Toc336681579"/>
      <w:bookmarkStart w:id="1254" w:name="_Toc339020232"/>
      <w:bookmarkStart w:id="1255" w:name="_Toc339020094"/>
      <w:bookmarkStart w:id="1256" w:name="_Toc350438748"/>
      <w:bookmarkStart w:id="1257" w:name="_Toc5483"/>
      <w:bookmarkStart w:id="1258" w:name="_Toc340507441"/>
      <w:bookmarkStart w:id="1259" w:name="_Toc339441086"/>
      <w:bookmarkStart w:id="1260" w:name="_Toc365967072"/>
      <w:bookmarkStart w:id="1261" w:name="_Toc340677069"/>
      <w:bookmarkStart w:id="1262" w:name="_Toc333237676"/>
      <w:bookmarkStart w:id="1263" w:name="_Toc333935686"/>
      <w:bookmarkStart w:id="1264" w:name="_Toc342296759"/>
      <w:bookmarkStart w:id="1265" w:name="_Toc349127625"/>
      <w:r>
        <w:rPr>
          <w:rFonts w:hint="eastAsia"/>
          <w:color w:val="000000" w:themeColor="text1"/>
          <w:highlight w:val="none"/>
        </w:rPr>
        <w:t>评标原则</w:t>
      </w:r>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ascii="宋体"/>
          <w:bCs/>
          <w:color w:val="000000" w:themeColor="text1"/>
          <w:highlight w:val="none"/>
        </w:rPr>
        <w:t>2</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依据有关法律法规，确定评标标准和方法，维护招标采购当事人的合法权益。</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26.2</w:t>
      </w:r>
      <w:r>
        <w:rPr>
          <w:rFonts w:hint="eastAsia" w:ascii="宋体"/>
          <w:bCs/>
          <w:color w:val="000000" w:themeColor="text1"/>
          <w:highlight w:val="none"/>
        </w:rPr>
        <w:tab/>
      </w:r>
      <w:r>
        <w:rPr>
          <w:rFonts w:hint="eastAsia" w:ascii="宋体"/>
          <w:bCs/>
          <w:color w:val="000000" w:themeColor="text1"/>
          <w:highlight w:val="none"/>
        </w:rPr>
        <w:t>坚持公平、公正、科学和择优原则。</w:t>
      </w:r>
    </w:p>
    <w:p>
      <w:pPr>
        <w:pageBreakBefore w:val="0"/>
        <w:tabs>
          <w:tab w:val="left" w:pos="753"/>
        </w:tabs>
        <w:kinsoku/>
        <w:wordWrap/>
        <w:overflowPunct/>
        <w:topLinePunct w:val="0"/>
        <w:bidi w:val="0"/>
        <w:adjustRightInd w:val="0"/>
        <w:snapToGrid w:val="0"/>
        <w:spacing w:line="400" w:lineRule="exact"/>
        <w:ind w:left="752" w:hanging="751" w:hangingChars="358"/>
        <w:rPr>
          <w:rFonts w:ascii="宋体"/>
          <w:bCs/>
          <w:color w:val="000000" w:themeColor="text1"/>
          <w:highlight w:val="none"/>
        </w:rPr>
      </w:pPr>
      <w:r>
        <w:rPr>
          <w:rFonts w:hint="eastAsia" w:ascii="宋体"/>
          <w:bCs/>
          <w:color w:val="000000" w:themeColor="text1"/>
          <w:highlight w:val="none"/>
        </w:rPr>
        <w:t>26.3</w:t>
      </w:r>
      <w:r>
        <w:rPr>
          <w:rFonts w:hint="eastAsia" w:ascii="宋体"/>
          <w:bCs/>
          <w:color w:val="000000" w:themeColor="text1"/>
          <w:highlight w:val="none"/>
        </w:rPr>
        <w:tab/>
      </w:r>
      <w:r>
        <w:rPr>
          <w:rFonts w:hint="eastAsia" w:ascii="宋体"/>
          <w:bCs/>
          <w:color w:val="000000" w:themeColor="text1"/>
          <w:highlight w:val="none"/>
        </w:rPr>
        <w:t>实行科学评估、集体决策。</w:t>
      </w:r>
    </w:p>
    <w:p>
      <w:pPr>
        <w:pStyle w:val="6"/>
        <w:pageBreakBefore w:val="0"/>
        <w:numPr>
          <w:ilvl w:val="4"/>
          <w:numId w:val="26"/>
        </w:numPr>
        <w:tabs>
          <w:tab w:val="left" w:pos="720"/>
        </w:tabs>
        <w:kinsoku/>
        <w:wordWrap/>
        <w:overflowPunct/>
        <w:topLinePunct w:val="0"/>
        <w:bidi w:val="0"/>
        <w:spacing w:before="240" w:after="120" w:line="400" w:lineRule="exact"/>
        <w:ind w:left="2432" w:hanging="2432"/>
        <w:rPr>
          <w:color w:val="000000" w:themeColor="text1"/>
          <w:highlight w:val="none"/>
        </w:rPr>
      </w:pPr>
      <w:bookmarkStart w:id="1266" w:name="_Toc336681935"/>
      <w:bookmarkStart w:id="1267" w:name="_Toc340672869"/>
      <w:bookmarkStart w:id="1268" w:name="_Toc339362300"/>
      <w:bookmarkStart w:id="1269" w:name="_Toc333238633"/>
      <w:bookmarkStart w:id="1270" w:name="_Toc342296760"/>
      <w:bookmarkStart w:id="1271" w:name="_Toc340507442"/>
      <w:bookmarkStart w:id="1272" w:name="_Toc337632358"/>
      <w:bookmarkStart w:id="1273" w:name="_Toc341348338"/>
      <w:bookmarkStart w:id="1274" w:name="_Toc366072528"/>
      <w:bookmarkStart w:id="1275" w:name="_Toc340677070"/>
      <w:bookmarkStart w:id="1276" w:name="_Toc350756450"/>
      <w:bookmarkStart w:id="1277" w:name="_Toc332270346"/>
      <w:bookmarkStart w:id="1278" w:name="_Toc330459985"/>
      <w:bookmarkStart w:id="1279" w:name="_Toc8477"/>
      <w:bookmarkStart w:id="1280" w:name="_Toc331684038"/>
      <w:bookmarkStart w:id="1281" w:name="_Toc350438749"/>
      <w:bookmarkStart w:id="1282" w:name="_Toc374454600"/>
      <w:bookmarkStart w:id="1283" w:name="_Toc332206708"/>
      <w:bookmarkStart w:id="1284" w:name="_Toc349127626"/>
      <w:bookmarkStart w:id="1285" w:name="_Toc333237788"/>
      <w:bookmarkStart w:id="1286" w:name="_Toc339019889"/>
      <w:bookmarkStart w:id="1287" w:name="_Toc333935346"/>
      <w:bookmarkStart w:id="1288" w:name="_Toc365967073"/>
      <w:bookmarkStart w:id="1289" w:name="_Toc333935687"/>
      <w:bookmarkStart w:id="1290" w:name="_Toc331512898"/>
      <w:bookmarkStart w:id="1291" w:name="_Toc339020095"/>
      <w:bookmarkStart w:id="1292" w:name="_Toc339441087"/>
      <w:bookmarkStart w:id="1293" w:name="_Toc339020015"/>
      <w:bookmarkStart w:id="1294" w:name="_Toc365985179"/>
      <w:bookmarkStart w:id="1295" w:name="_Toc342060374"/>
      <w:bookmarkStart w:id="1296" w:name="_Toc333237677"/>
      <w:bookmarkStart w:id="1297" w:name="_Toc345513867"/>
      <w:bookmarkStart w:id="1298" w:name="_Toc336681580"/>
      <w:bookmarkStart w:id="1299" w:name="_Toc349143589"/>
      <w:bookmarkStart w:id="1300" w:name="_Toc339020233"/>
      <w:r>
        <w:rPr>
          <w:rFonts w:hint="eastAsia"/>
          <w:color w:val="000000" w:themeColor="text1"/>
          <w:highlight w:val="none"/>
        </w:rPr>
        <w:t>评标标准和办法</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pStyle w:val="26"/>
        <w:pageBreakBefore w:val="0"/>
        <w:tabs>
          <w:tab w:val="left" w:pos="753"/>
        </w:tabs>
        <w:kinsoku/>
        <w:wordWrap/>
        <w:overflowPunct/>
        <w:topLinePunct w:val="0"/>
        <w:bidi w:val="0"/>
        <w:adjustRightInd w:val="0"/>
        <w:snapToGrid w:val="0"/>
        <w:spacing w:line="420" w:lineRule="exact"/>
        <w:ind w:left="751" w:leftChars="1" w:hanging="749" w:hangingChars="357"/>
        <w:rPr>
          <w:rFonts w:hAnsi="宋体"/>
          <w:bCs/>
          <w:color w:val="000000" w:themeColor="text1"/>
          <w:highlight w:val="none"/>
        </w:rPr>
      </w:pPr>
      <w:r>
        <w:rPr>
          <w:rFonts w:hint="eastAsia" w:hAnsi="宋体"/>
          <w:bCs/>
          <w:color w:val="000000" w:themeColor="text1"/>
          <w:highlight w:val="none"/>
        </w:rPr>
        <w:t>27.1</w:t>
      </w:r>
      <w:r>
        <w:rPr>
          <w:rFonts w:hint="eastAsia" w:hAnsi="宋体"/>
          <w:bCs/>
          <w:color w:val="000000" w:themeColor="text1"/>
          <w:highlight w:val="none"/>
        </w:rPr>
        <w:tab/>
      </w:r>
      <w:r>
        <w:rPr>
          <w:rFonts w:hint="eastAsia" w:hAnsi="宋体"/>
          <w:bCs/>
          <w:color w:val="000000" w:themeColor="text1"/>
          <w:highlight w:val="none"/>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6"/>
        <w:pageBreakBefore w:val="0"/>
        <w:widowControl/>
        <w:tabs>
          <w:tab w:val="left" w:pos="753"/>
        </w:tabs>
        <w:kinsoku/>
        <w:wordWrap/>
        <w:overflowPunct/>
        <w:topLinePunct w:val="0"/>
        <w:bidi w:val="0"/>
        <w:adjustRightInd w:val="0"/>
        <w:snapToGrid w:val="0"/>
        <w:spacing w:line="420" w:lineRule="exact"/>
        <w:ind w:left="752" w:hanging="751" w:hangingChars="358"/>
        <w:rPr>
          <w:rFonts w:hAnsi="宋体"/>
          <w:color w:val="000000" w:themeColor="text1"/>
          <w:highlight w:val="none"/>
        </w:rPr>
      </w:pPr>
      <w:r>
        <w:rPr>
          <w:rFonts w:hint="eastAsia" w:hAnsi="宋体"/>
          <w:bCs/>
          <w:color w:val="000000" w:themeColor="text1"/>
          <w:highlight w:val="none"/>
        </w:rPr>
        <w:t>27</w:t>
      </w:r>
      <w:r>
        <w:rPr>
          <w:rFonts w:hAnsi="宋体"/>
          <w:bCs/>
          <w:color w:val="000000" w:themeColor="text1"/>
          <w:highlight w:val="none"/>
        </w:rPr>
        <w:t>.2</w:t>
      </w:r>
      <w:r>
        <w:rPr>
          <w:rFonts w:hint="eastAsia" w:hAnsi="宋体"/>
          <w:bCs/>
          <w:color w:val="000000" w:themeColor="text1"/>
          <w:highlight w:val="none"/>
        </w:rPr>
        <w:tab/>
      </w:r>
      <w:bookmarkStart w:id="1301" w:name="_Toc500861023"/>
      <w:bookmarkStart w:id="1302" w:name="_Toc497707712"/>
      <w:bookmarkStart w:id="1303" w:name="_Toc500953375"/>
      <w:r>
        <w:rPr>
          <w:rFonts w:hint="eastAsia" w:hAnsi="宋体"/>
          <w:bCs/>
          <w:color w:val="000000" w:themeColor="text1"/>
          <w:highlight w:val="none"/>
        </w:rPr>
        <w:t>采用计分法（综合评价法）来确定各投标人的排名。其操作程序为：</w:t>
      </w:r>
      <w:r>
        <w:rPr>
          <w:rFonts w:hint="eastAsia" w:hAnsi="宋体"/>
          <w:b/>
          <w:color w:val="000000" w:themeColor="text1"/>
          <w:highlight w:val="none"/>
        </w:rPr>
        <w:t>详见H评标细则。</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04" w:name="_Toc366072529"/>
      <w:bookmarkStart w:id="1305" w:name="_Toc327368025"/>
      <w:bookmarkStart w:id="1306" w:name="_Toc327367761"/>
      <w:bookmarkStart w:id="1307" w:name="_Toc26604"/>
      <w:bookmarkStart w:id="1308" w:name="_Toc337632359"/>
      <w:bookmarkStart w:id="1309" w:name="_Toc331512899"/>
      <w:bookmarkStart w:id="1310" w:name="_Toc342296761"/>
      <w:bookmarkStart w:id="1311" w:name="_Toc330459986"/>
      <w:bookmarkStart w:id="1312" w:name="_Toc333237678"/>
      <w:bookmarkStart w:id="1313" w:name="_Toc339020234"/>
      <w:bookmarkStart w:id="1314" w:name="_Toc339019890"/>
      <w:bookmarkStart w:id="1315" w:name="_Toc332206709"/>
      <w:bookmarkStart w:id="1316" w:name="_Toc339441088"/>
      <w:bookmarkStart w:id="1317" w:name="_Toc336681581"/>
      <w:bookmarkStart w:id="1318" w:name="_Toc339020096"/>
      <w:bookmarkStart w:id="1319" w:name="_Toc332270347"/>
      <w:bookmarkStart w:id="1320" w:name="_Toc340672870"/>
      <w:bookmarkStart w:id="1321" w:name="_Toc333935688"/>
      <w:bookmarkStart w:id="1322" w:name="_Toc333237789"/>
      <w:bookmarkStart w:id="1323" w:name="_Toc340507443"/>
      <w:bookmarkStart w:id="1324" w:name="_Toc341348339"/>
      <w:bookmarkStart w:id="1325" w:name="_Toc333935347"/>
      <w:bookmarkStart w:id="1326" w:name="_Toc342060375"/>
      <w:bookmarkStart w:id="1327" w:name="_Toc339362301"/>
      <w:bookmarkStart w:id="1328" w:name="_Toc340677071"/>
      <w:bookmarkStart w:id="1329" w:name="_Toc331684039"/>
      <w:bookmarkStart w:id="1330" w:name="_Toc345513902"/>
      <w:bookmarkStart w:id="1331" w:name="_Toc336681936"/>
      <w:bookmarkStart w:id="1332" w:name="_Toc339020016"/>
      <w:bookmarkStart w:id="1333" w:name="_Toc333238634"/>
      <w:r>
        <w:rPr>
          <w:rFonts w:hint="eastAsia"/>
          <w:color w:val="000000" w:themeColor="text1"/>
          <w:highlight w:val="none"/>
        </w:rPr>
        <w:t>评标注意事项</w:t>
      </w:r>
      <w:bookmarkEnd w:id="1304"/>
      <w:bookmarkEnd w:id="1305"/>
      <w:bookmarkEnd w:id="1306"/>
      <w:bookmarkEnd w:id="1307"/>
    </w:p>
    <w:bookmarkEnd w:id="35"/>
    <w:bookmarkEnd w:id="1301"/>
    <w:bookmarkEnd w:id="1302"/>
    <w:bookmarkEnd w:id="1303"/>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bookmarkStart w:id="1334" w:name="_Toc6397151"/>
      <w:bookmarkStart w:id="1335" w:name="_Toc491658680"/>
      <w:bookmarkStart w:id="1336" w:name="_Toc26066260"/>
      <w:bookmarkStart w:id="1337" w:name="_Toc500861027"/>
      <w:bookmarkStart w:id="1338" w:name="_Toc6727972"/>
      <w:r>
        <w:rPr>
          <w:rFonts w:hint="eastAsia" w:ascii="宋体" w:hAnsi="宋体"/>
          <w:bCs/>
          <w:color w:val="000000" w:themeColor="text1"/>
          <w:highlight w:val="none"/>
        </w:rPr>
        <w:t>28.1</w:t>
      </w:r>
      <w:r>
        <w:rPr>
          <w:rFonts w:hint="eastAsia" w:ascii="宋体" w:hAnsi="宋体"/>
          <w:bCs/>
          <w:color w:val="000000" w:themeColor="text1"/>
          <w:highlight w:val="none"/>
        </w:rPr>
        <w:tab/>
      </w:r>
      <w:r>
        <w:rPr>
          <w:rFonts w:hint="eastAsia" w:ascii="宋体" w:hAnsi="宋体"/>
          <w:bCs/>
          <w:color w:val="000000" w:themeColor="text1"/>
          <w:highlight w:val="none"/>
        </w:rPr>
        <w:t>评标是招标工作的重要环节，评标工作在评标委员会内独立进行。评标委员会将公正、平等地对待所有投标人。</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28.2</w:t>
      </w:r>
      <w:r>
        <w:rPr>
          <w:rFonts w:hint="eastAsia" w:ascii="宋体" w:hAnsi="宋体"/>
          <w:bCs/>
          <w:color w:val="000000" w:themeColor="text1"/>
          <w:highlight w:val="none"/>
        </w:rPr>
        <w:tab/>
      </w:r>
      <w:r>
        <w:rPr>
          <w:rFonts w:hint="eastAsia" w:ascii="宋体" w:hAnsi="宋体"/>
          <w:bCs/>
          <w:color w:val="000000" w:themeColor="text1"/>
          <w:highlight w:val="none"/>
        </w:rPr>
        <w:t>在开标、评标期间，投标人不得向评委询问评标情况，不得进行旨在影响评标结果的活动。</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28.3</w:t>
      </w:r>
      <w:r>
        <w:rPr>
          <w:rFonts w:hint="eastAsia" w:ascii="宋体" w:hAnsi="宋体"/>
          <w:bCs/>
          <w:color w:val="000000" w:themeColor="text1"/>
          <w:highlight w:val="none"/>
        </w:rPr>
        <w:tab/>
      </w:r>
      <w:r>
        <w:rPr>
          <w:rFonts w:hint="eastAsia" w:ascii="宋体" w:hAnsi="宋体"/>
          <w:bCs/>
          <w:color w:val="000000" w:themeColor="text1"/>
          <w:highlight w:val="none"/>
        </w:rPr>
        <w:t>在招标工作结束后，评标委员会成员和参与评标的有关工作人员不得透露与评标有关的情况。</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39" w:name="_Toc365967074"/>
      <w:bookmarkStart w:id="1340" w:name="_Toc340677072"/>
      <w:bookmarkStart w:id="1341" w:name="_Toc333935348"/>
      <w:bookmarkStart w:id="1342" w:name="_Toc337632360"/>
      <w:bookmarkStart w:id="1343" w:name="_Toc366072530"/>
      <w:bookmarkStart w:id="1344" w:name="_Toc339362302"/>
      <w:bookmarkStart w:id="1345" w:name="_Toc333935689"/>
      <w:bookmarkStart w:id="1346" w:name="_Toc339020235"/>
      <w:bookmarkStart w:id="1347" w:name="_Toc339019891"/>
      <w:bookmarkStart w:id="1348" w:name="_Toc342296762"/>
      <w:bookmarkStart w:id="1349" w:name="_Toc330459987"/>
      <w:bookmarkStart w:id="1350" w:name="_Toc333237790"/>
      <w:bookmarkStart w:id="1351" w:name="_Toc341348340"/>
      <w:bookmarkStart w:id="1352" w:name="_Toc331684040"/>
      <w:bookmarkStart w:id="1353" w:name="_Toc365985180"/>
      <w:bookmarkStart w:id="1354" w:name="_Toc350756452"/>
      <w:bookmarkStart w:id="1355" w:name="_Toc340672871"/>
      <w:bookmarkStart w:id="1356" w:name="_Toc350438751"/>
      <w:bookmarkStart w:id="1357" w:name="_Toc333238635"/>
      <w:bookmarkStart w:id="1358" w:name="_Toc332206710"/>
      <w:bookmarkStart w:id="1359" w:name="_Toc349127628"/>
      <w:bookmarkStart w:id="1360" w:name="_Toc331512900"/>
      <w:bookmarkStart w:id="1361" w:name="_Toc340507444"/>
      <w:bookmarkStart w:id="1362" w:name="_Toc336681937"/>
      <w:bookmarkStart w:id="1363" w:name="_Toc336681582"/>
      <w:bookmarkStart w:id="1364" w:name="_Toc345513903"/>
      <w:bookmarkStart w:id="1365" w:name="_Toc339020017"/>
      <w:bookmarkStart w:id="1366" w:name="_Toc16060"/>
      <w:bookmarkStart w:id="1367" w:name="_Toc339020097"/>
      <w:bookmarkStart w:id="1368" w:name="_Toc332270348"/>
      <w:bookmarkStart w:id="1369" w:name="_Toc333237679"/>
      <w:bookmarkStart w:id="1370" w:name="_Toc374454602"/>
      <w:bookmarkStart w:id="1371" w:name="_Toc349143591"/>
      <w:bookmarkStart w:id="1372" w:name="_Toc342060376"/>
      <w:bookmarkStart w:id="1373" w:name="_Toc339441089"/>
      <w:r>
        <w:rPr>
          <w:rFonts w:hint="eastAsia"/>
          <w:color w:val="000000" w:themeColor="text1"/>
          <w:highlight w:val="none"/>
        </w:rPr>
        <w:t>接受和拒绝投标的权利</w:t>
      </w:r>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评标委员会经评审认为所有投标都不符合招标文件要求的，或所有投标报价均超过预算价且采购人无法支付的，有权否决所有投标。</w:t>
      </w:r>
    </w:p>
    <w:p>
      <w:pPr>
        <w:pageBreakBefore w:val="0"/>
        <w:widowControl/>
        <w:tabs>
          <w:tab w:val="left" w:pos="753"/>
        </w:tabs>
        <w:kinsoku/>
        <w:wordWrap/>
        <w:overflowPunct/>
        <w:topLinePunct w:val="0"/>
        <w:bidi w:val="0"/>
        <w:adjustRightInd w:val="0"/>
        <w:snapToGrid w:val="0"/>
        <w:spacing w:line="420" w:lineRule="exact"/>
        <w:ind w:left="752" w:hanging="751" w:hangingChars="358"/>
        <w:rPr>
          <w:rFonts w:ascii="宋体" w:hAnsi="宋体"/>
          <w:bCs/>
          <w:color w:val="000000" w:themeColor="text1"/>
          <w:highlight w:val="none"/>
        </w:rPr>
      </w:pPr>
      <w:r>
        <w:rPr>
          <w:rFonts w:hint="eastAsia" w:ascii="宋体" w:hAnsi="宋体"/>
          <w:bCs/>
          <w:color w:val="000000" w:themeColor="text1"/>
          <w:highlight w:val="none"/>
        </w:rPr>
        <w:t>29.2</w:t>
      </w:r>
      <w:r>
        <w:rPr>
          <w:rFonts w:hint="eastAsia" w:ascii="宋体" w:hAnsi="宋体"/>
          <w:bCs/>
          <w:color w:val="000000" w:themeColor="text1"/>
          <w:highlight w:val="none"/>
        </w:rPr>
        <w:tab/>
      </w:r>
      <w:r>
        <w:rPr>
          <w:rFonts w:hint="eastAsia" w:ascii="宋体" w:hAnsi="宋体"/>
          <w:bCs/>
          <w:color w:val="000000" w:themeColor="text1"/>
          <w:highlight w:val="none"/>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4" w:name="_Toc374454603"/>
      <w:bookmarkStart w:id="1375" w:name="_Toc15806"/>
      <w:bookmarkStart w:id="1376" w:name="_Toc366072531"/>
      <w:r>
        <w:rPr>
          <w:rFonts w:hint="eastAsia"/>
          <w:color w:val="000000" w:themeColor="text1"/>
          <w:highlight w:val="none"/>
        </w:rPr>
        <w:t>发布中标结果公告和发放中标通知书</w:t>
      </w:r>
      <w:bookmarkEnd w:id="1374"/>
      <w:bookmarkEnd w:id="1375"/>
      <w:bookmarkEnd w:id="1376"/>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77" w:name="_Toc366072532"/>
      <w:r>
        <w:rPr>
          <w:rFonts w:hint="eastAsia" w:ascii="宋体" w:hAnsi="宋体"/>
          <w:color w:val="000000" w:themeColor="text1"/>
          <w:szCs w:val="21"/>
          <w:highlight w:val="none"/>
        </w:rPr>
        <w:t>30.1   采购人或其授权的评标委员会应按照评标报告中推荐的中标候选投标人排名顺序确定中标投标人。</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30.2   中标投标人确认后，中标结果</w:t>
      </w:r>
      <w:bookmarkStart w:id="1378" w:name="_Hlk499218799"/>
      <w:r>
        <w:rPr>
          <w:rFonts w:hint="eastAsia" w:ascii="宋体" w:hAnsi="宋体"/>
          <w:color w:val="000000" w:themeColor="text1"/>
          <w:szCs w:val="21"/>
          <w:highlight w:val="none"/>
        </w:rPr>
        <w:t>将于指定媒体上公告</w:t>
      </w:r>
      <w:bookmarkEnd w:id="1378"/>
      <w:r>
        <w:rPr>
          <w:rFonts w:hint="eastAsia" w:ascii="宋体" w:hAnsi="宋体"/>
          <w:color w:val="000000" w:themeColor="text1"/>
          <w:szCs w:val="21"/>
          <w:highlight w:val="none"/>
        </w:rPr>
        <w:t>(</w:t>
      </w:r>
      <w:r>
        <w:rPr>
          <w:rFonts w:hint="eastAsia" w:ascii="黑体" w:eastAsia="黑体"/>
          <w:bCs/>
          <w:color w:val="000000" w:themeColor="text1"/>
          <w:highlight w:val="none"/>
        </w:rPr>
        <w:t>详见第三部份《投标人须知〈投标人须知前附表〉》</w:t>
      </w:r>
      <w:r>
        <w:rPr>
          <w:rFonts w:hint="eastAsia" w:ascii="宋体" w:hAnsi="宋体"/>
          <w:color w:val="000000" w:themeColor="text1"/>
          <w:highlight w:val="none"/>
        </w:rPr>
        <w:t>)</w:t>
      </w:r>
      <w:r>
        <w:rPr>
          <w:rFonts w:hint="eastAsia" w:ascii="宋体" w:hAnsi="宋体"/>
          <w:color w:val="000000" w:themeColor="text1"/>
          <w:szCs w:val="21"/>
          <w:highlight w:val="none"/>
        </w:rPr>
        <w:t>。发布中标结果公告的同时，代理采购机构向中标投标人发出中标通知书。</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30.3   未中标投标人，代理采购机构不再以其它方式另行通知。</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30.4   中标通知书发出后，采购人改变中标结果，或者中标投标人放弃中标，应当承担相应的法律责任。</w:t>
      </w:r>
    </w:p>
    <w:p>
      <w:pPr>
        <w:pStyle w:val="6"/>
        <w:pageBreakBefore w:val="0"/>
        <w:numPr>
          <w:ilvl w:val="4"/>
          <w:numId w:val="26"/>
        </w:numPr>
        <w:tabs>
          <w:tab w:val="left" w:pos="720"/>
        </w:tabs>
        <w:kinsoku/>
        <w:wordWrap/>
        <w:overflowPunct/>
        <w:topLinePunct w:val="0"/>
        <w:bidi w:val="0"/>
        <w:adjustRightInd w:val="0"/>
        <w:snapToGrid w:val="0"/>
        <w:spacing w:before="240" w:after="120" w:line="420" w:lineRule="exact"/>
        <w:ind w:left="2432" w:hanging="2432"/>
        <w:rPr>
          <w:color w:val="000000" w:themeColor="text1"/>
          <w:highlight w:val="none"/>
        </w:rPr>
      </w:pPr>
      <w:bookmarkStart w:id="1379" w:name="_Toc374454604"/>
      <w:bookmarkStart w:id="1380" w:name="_Toc26326"/>
      <w:r>
        <w:rPr>
          <w:rFonts w:hint="eastAsia"/>
          <w:color w:val="000000" w:themeColor="text1"/>
          <w:highlight w:val="none"/>
        </w:rPr>
        <w:t>投标人对中标结果的质疑、投诉</w:t>
      </w:r>
      <w:bookmarkEnd w:id="1377"/>
      <w:bookmarkEnd w:id="1379"/>
      <w:bookmarkEnd w:id="1380"/>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bookmarkStart w:id="1381" w:name="_Toc340677075"/>
      <w:bookmarkStart w:id="1382" w:name="_Toc337632363"/>
      <w:bookmarkStart w:id="1383" w:name="_Toc349127631"/>
      <w:bookmarkStart w:id="1384" w:name="_Toc345513906"/>
      <w:bookmarkStart w:id="1385" w:name="_Toc331684043"/>
      <w:bookmarkStart w:id="1386" w:name="_Toc339441092"/>
      <w:bookmarkStart w:id="1387" w:name="_Toc333237682"/>
      <w:bookmarkStart w:id="1388" w:name="_Toc350756455"/>
      <w:bookmarkStart w:id="1389" w:name="_Toc332270351"/>
      <w:bookmarkStart w:id="1390" w:name="_Toc365985183"/>
      <w:bookmarkStart w:id="1391" w:name="_Toc333935692"/>
      <w:bookmarkStart w:id="1392" w:name="_Toc339019894"/>
      <w:bookmarkStart w:id="1393" w:name="_Toc341348343"/>
      <w:bookmarkStart w:id="1394" w:name="_Toc336681940"/>
      <w:bookmarkStart w:id="1395" w:name="_Toc339020020"/>
      <w:bookmarkStart w:id="1396" w:name="_Toc339020238"/>
      <w:bookmarkStart w:id="1397" w:name="_Toc350438754"/>
      <w:bookmarkStart w:id="1398" w:name="_Toc333935351"/>
      <w:bookmarkStart w:id="1399" w:name="_Toc333238638"/>
      <w:bookmarkStart w:id="1400" w:name="_Toc332206713"/>
      <w:bookmarkStart w:id="1401" w:name="_Toc333237793"/>
      <w:bookmarkStart w:id="1402" w:name="_Toc339020100"/>
      <w:bookmarkStart w:id="1403" w:name="_Toc349143594"/>
      <w:bookmarkStart w:id="1404" w:name="_Toc342060379"/>
      <w:bookmarkStart w:id="1405" w:name="_Toc336681585"/>
      <w:bookmarkStart w:id="1406" w:name="_Toc340672874"/>
      <w:bookmarkStart w:id="1407" w:name="_Toc330459990"/>
      <w:bookmarkStart w:id="1408" w:name="_Toc331512903"/>
      <w:bookmarkStart w:id="1409" w:name="_Toc365967077"/>
      <w:bookmarkStart w:id="1410" w:name="_Toc340507447"/>
      <w:bookmarkStart w:id="1411" w:name="_Toc342296765"/>
      <w:bookmarkStart w:id="1412" w:name="_Toc339362305"/>
      <w:r>
        <w:rPr>
          <w:rFonts w:hint="eastAsia" w:ascii="宋体" w:hAnsi="宋体"/>
          <w:color w:val="000000" w:themeColor="text1"/>
          <w:szCs w:val="21"/>
          <w:highlight w:val="none"/>
        </w:rPr>
        <w:t>31.1</w:t>
      </w:r>
      <w:r>
        <w:rPr>
          <w:rFonts w:hint="eastAsia" w:ascii="宋体" w:hAnsi="宋体"/>
          <w:color w:val="000000" w:themeColor="text1"/>
          <w:szCs w:val="21"/>
          <w:highlight w:val="none"/>
        </w:rPr>
        <w:tab/>
      </w:r>
      <w:r>
        <w:rPr>
          <w:rFonts w:hint="eastAsia" w:ascii="宋体" w:hAnsi="宋体"/>
          <w:color w:val="000000" w:themeColor="text1"/>
          <w:szCs w:val="21"/>
          <w:highlight w:val="none"/>
        </w:rPr>
        <w:t>投标人对中标公告有异议的，应当在中标结果公告发布之日起七个工作日内，以书面形式向采购人或代理采购机构提出质疑。</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31.2   采购人或代理采购机构应当在收到投标投标人书面质疑后七个工作日内，对质疑内容作出答复。</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31.3   投标人对采购人或代理采购机构的答复不满意或者采购人、代理采购机构未在规定时间内答复的，可以在答复期满后十五个工作日内按有关规定，向同级人民政府财政部门投诉。</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31.4   财政部门应当在收到投诉后三十个工作日内，对投诉事项作出处理决定。</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31.5   投标人须对质疑或投诉内容的真实性承担责任。</w:t>
      </w:r>
    </w:p>
    <w:p>
      <w:pPr>
        <w:pageBreakBefore w:val="0"/>
        <w:widowControl/>
        <w:tabs>
          <w:tab w:val="left" w:pos="753"/>
        </w:tabs>
        <w:kinsoku/>
        <w:wordWrap/>
        <w:overflowPunct/>
        <w:topLinePunct w:val="0"/>
        <w:bidi w:val="0"/>
        <w:adjustRightInd w:val="0"/>
        <w:snapToGrid w:val="0"/>
        <w:spacing w:line="420" w:lineRule="exact"/>
        <w:ind w:left="751" w:leftChars="1" w:hanging="749" w:hangingChars="357"/>
        <w:rPr>
          <w:rFonts w:ascii="宋体" w:hAnsi="宋体"/>
          <w:color w:val="000000" w:themeColor="text1"/>
          <w:szCs w:val="21"/>
          <w:highlight w:val="none"/>
        </w:rPr>
      </w:pPr>
      <w:r>
        <w:rPr>
          <w:rFonts w:hint="eastAsia" w:ascii="宋体" w:hAnsi="宋体"/>
          <w:color w:val="000000" w:themeColor="text1"/>
          <w:szCs w:val="21"/>
          <w:highlight w:val="none"/>
        </w:rPr>
        <w:t>31.6   质疑函应当署名。质疑投标人为自然人的，应当由本人签字；质疑投标人为法人或其他组织的，应由法定代表人（负责人）或者主要负责人签字并盖公章。</w:t>
      </w:r>
    </w:p>
    <w:p>
      <w:pPr>
        <w:pStyle w:val="4"/>
        <w:pageBreakBefore w:val="0"/>
        <w:numPr>
          <w:ilvl w:val="0"/>
          <w:numId w:val="0"/>
        </w:numPr>
        <w:kinsoku/>
        <w:wordWrap/>
        <w:overflowPunct/>
        <w:topLinePunct w:val="0"/>
        <w:bidi w:val="0"/>
        <w:adjustRightInd w:val="0"/>
        <w:snapToGrid w:val="0"/>
        <w:spacing w:line="420" w:lineRule="exact"/>
        <w:rPr>
          <w:color w:val="000000" w:themeColor="text1"/>
          <w:sz w:val="24"/>
          <w:highlight w:val="none"/>
        </w:rPr>
      </w:pPr>
      <w:bookmarkStart w:id="1413" w:name="_Toc366072533"/>
      <w:bookmarkStart w:id="1414" w:name="_Toc374454605"/>
      <w:r>
        <w:rPr>
          <w:color w:val="000000" w:themeColor="text1"/>
          <w:sz w:val="24"/>
          <w:highlight w:val="none"/>
        </w:rPr>
        <w:br w:type="page"/>
      </w:r>
      <w:bookmarkStart w:id="1415" w:name="_Toc10217"/>
      <w:r>
        <w:rPr>
          <w:rFonts w:hint="eastAsia"/>
          <w:color w:val="000000" w:themeColor="text1"/>
          <w:sz w:val="24"/>
          <w:highlight w:val="none"/>
        </w:rPr>
        <w:t>Ｆ  授予合同</w:t>
      </w:r>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p>
    <w:p>
      <w:pPr>
        <w:pStyle w:val="6"/>
        <w:numPr>
          <w:ilvl w:val="4"/>
          <w:numId w:val="26"/>
        </w:numPr>
        <w:tabs>
          <w:tab w:val="left" w:pos="720"/>
        </w:tabs>
        <w:spacing w:before="240" w:after="120"/>
        <w:ind w:left="2432" w:hanging="2432"/>
        <w:rPr>
          <w:color w:val="000000" w:themeColor="text1"/>
          <w:highlight w:val="none"/>
        </w:rPr>
      </w:pPr>
      <w:bookmarkStart w:id="1416" w:name="_Toc340507448"/>
      <w:bookmarkStart w:id="1417" w:name="_Toc480010727"/>
      <w:bookmarkStart w:id="1418" w:name="_Toc480021072"/>
      <w:bookmarkStart w:id="1419" w:name="_Toc467236759"/>
      <w:bookmarkStart w:id="1420" w:name="_Toc342060380"/>
      <w:bookmarkStart w:id="1421" w:name="_Toc339020021"/>
      <w:bookmarkStart w:id="1422" w:name="_Toc349127632"/>
      <w:bookmarkStart w:id="1423" w:name="_Toc467987842"/>
      <w:bookmarkStart w:id="1424" w:name="_Toc365967078"/>
      <w:bookmarkStart w:id="1425" w:name="_Toc340677076"/>
      <w:bookmarkStart w:id="1426" w:name="_Toc332270352"/>
      <w:bookmarkStart w:id="1427" w:name="_Toc339020239"/>
      <w:bookmarkStart w:id="1428" w:name="_Toc339441093"/>
      <w:bookmarkStart w:id="1429" w:name="_Toc500861016"/>
      <w:bookmarkStart w:id="1430" w:name="_Toc366072534"/>
      <w:bookmarkStart w:id="1431" w:name="_Toc468606048"/>
      <w:bookmarkStart w:id="1432" w:name="_Toc333935352"/>
      <w:bookmarkStart w:id="1433" w:name="_Toc365985184"/>
      <w:bookmarkStart w:id="1434" w:name="_Toc331684044"/>
      <w:bookmarkStart w:id="1435" w:name="_Toc491658670"/>
      <w:bookmarkStart w:id="1436" w:name="_Toc331512904"/>
      <w:bookmarkStart w:id="1437" w:name="_Toc480020276"/>
      <w:bookmarkStart w:id="1438" w:name="_Toc336681941"/>
      <w:bookmarkStart w:id="1439" w:name="_Toc374454606"/>
      <w:bookmarkStart w:id="1440" w:name="_Toc340672875"/>
      <w:bookmarkStart w:id="1441" w:name="_Toc342296766"/>
      <w:bookmarkStart w:id="1442" w:name="_Toc332206714"/>
      <w:bookmarkStart w:id="1443" w:name="_Toc337632364"/>
      <w:bookmarkStart w:id="1444" w:name="_Toc333237683"/>
      <w:bookmarkStart w:id="1445" w:name="_Toc350438755"/>
      <w:bookmarkStart w:id="1446" w:name="_Toc333935693"/>
      <w:bookmarkStart w:id="1447" w:name="_Toc468157555"/>
      <w:bookmarkStart w:id="1448" w:name="_Toc339019895"/>
      <w:bookmarkStart w:id="1449" w:name="_Toc25484"/>
      <w:bookmarkStart w:id="1450" w:name="_Toc333237794"/>
      <w:bookmarkStart w:id="1451" w:name="_Toc339362306"/>
      <w:bookmarkStart w:id="1452" w:name="_Toc336681586"/>
      <w:bookmarkStart w:id="1453" w:name="_Toc345513907"/>
      <w:bookmarkStart w:id="1454" w:name="_Toc339020101"/>
      <w:bookmarkStart w:id="1455" w:name="_Toc350756456"/>
      <w:bookmarkStart w:id="1456" w:name="_Toc341348344"/>
      <w:bookmarkStart w:id="1457" w:name="_Toc349143595"/>
      <w:bookmarkStart w:id="1458" w:name="_Toc330459991"/>
      <w:bookmarkStart w:id="1459" w:name="_Toc333238639"/>
      <w:bookmarkStart w:id="1460" w:name="_Toc479991601"/>
      <w:bookmarkStart w:id="1461" w:name="_Toc458262633"/>
      <w:bookmarkStart w:id="1462" w:name="_Toc454701400"/>
      <w:r>
        <w:rPr>
          <w:rFonts w:hint="eastAsia"/>
          <w:color w:val="000000" w:themeColor="text1"/>
          <w:highlight w:val="none"/>
        </w:rPr>
        <w:t>合同授予标准</w:t>
      </w:r>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p>
    <w:p>
      <w:pPr>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2</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按第30条规定，采购人将把合同授予此次招标的中标投标人。</w:t>
      </w:r>
    </w:p>
    <w:bookmarkEnd w:id="1461"/>
    <w:bookmarkEnd w:id="1462"/>
    <w:p>
      <w:pPr>
        <w:pStyle w:val="6"/>
        <w:numPr>
          <w:ilvl w:val="4"/>
          <w:numId w:val="26"/>
        </w:numPr>
        <w:tabs>
          <w:tab w:val="left" w:pos="720"/>
        </w:tabs>
        <w:spacing w:before="240" w:after="120"/>
        <w:ind w:left="2432" w:hanging="2432"/>
        <w:rPr>
          <w:color w:val="000000" w:themeColor="text1"/>
          <w:highlight w:val="none"/>
        </w:rPr>
      </w:pPr>
      <w:bookmarkStart w:id="1463" w:name="_Toc350438756"/>
      <w:bookmarkStart w:id="1464" w:name="_Toc340677077"/>
      <w:bookmarkStart w:id="1465" w:name="_Toc365967079"/>
      <w:bookmarkStart w:id="1466" w:name="_Toc337632365"/>
      <w:bookmarkStart w:id="1467" w:name="_Toc458262635"/>
      <w:bookmarkStart w:id="1468" w:name="_Toc480021076"/>
      <w:bookmarkStart w:id="1469" w:name="_Toc467987846"/>
      <w:bookmarkStart w:id="1470" w:name="_Toc454701402"/>
      <w:bookmarkStart w:id="1471" w:name="_Toc374454607"/>
      <w:bookmarkStart w:id="1472" w:name="_Toc339441094"/>
      <w:bookmarkStart w:id="1473" w:name="_Toc340507449"/>
      <w:bookmarkStart w:id="1474" w:name="_Toc333238640"/>
      <w:bookmarkStart w:id="1475" w:name="_Toc500861020"/>
      <w:bookmarkStart w:id="1476" w:name="_Toc340672876"/>
      <w:bookmarkStart w:id="1477" w:name="_Toc333935353"/>
      <w:bookmarkStart w:id="1478" w:name="_Toc333237795"/>
      <w:bookmarkStart w:id="1479" w:name="_Toc22591"/>
      <w:bookmarkStart w:id="1480" w:name="_Toc339020022"/>
      <w:bookmarkStart w:id="1481" w:name="_Toc339019896"/>
      <w:bookmarkStart w:id="1482" w:name="_Toc330459992"/>
      <w:bookmarkStart w:id="1483" w:name="_Toc342060381"/>
      <w:bookmarkStart w:id="1484" w:name="_Toc339020102"/>
      <w:bookmarkStart w:id="1485" w:name="_Toc480020280"/>
      <w:bookmarkStart w:id="1486" w:name="_Toc350756457"/>
      <w:bookmarkStart w:id="1487" w:name="_Toc468606052"/>
      <w:bookmarkStart w:id="1488" w:name="_Toc331512905"/>
      <w:bookmarkStart w:id="1489" w:name="_Toc366072535"/>
      <w:bookmarkStart w:id="1490" w:name="_Toc479991605"/>
      <w:bookmarkStart w:id="1491" w:name="_Toc365985185"/>
      <w:bookmarkStart w:id="1492" w:name="_Toc467236763"/>
      <w:bookmarkStart w:id="1493" w:name="_Toc332206715"/>
      <w:bookmarkStart w:id="1494" w:name="_Toc336681942"/>
      <w:bookmarkStart w:id="1495" w:name="_Toc339362307"/>
      <w:bookmarkStart w:id="1496" w:name="_Toc342296767"/>
      <w:bookmarkStart w:id="1497" w:name="_Toc333935694"/>
      <w:bookmarkStart w:id="1498" w:name="_Toc339020240"/>
      <w:bookmarkStart w:id="1499" w:name="_Toc336681587"/>
      <w:bookmarkStart w:id="1500" w:name="_Toc332270353"/>
      <w:bookmarkStart w:id="1501" w:name="_Toc349127633"/>
      <w:bookmarkStart w:id="1502" w:name="_Toc491658674"/>
      <w:bookmarkStart w:id="1503" w:name="_Toc480010731"/>
      <w:bookmarkStart w:id="1504" w:name="_Toc341348345"/>
      <w:bookmarkStart w:id="1505" w:name="_Toc349143596"/>
      <w:bookmarkStart w:id="1506" w:name="_Toc345513908"/>
      <w:bookmarkStart w:id="1507" w:name="_Toc333237684"/>
      <w:bookmarkStart w:id="1508" w:name="_Toc468157559"/>
      <w:bookmarkStart w:id="1509" w:name="_Toc331684045"/>
      <w:r>
        <w:rPr>
          <w:rFonts w:hint="eastAsia"/>
          <w:color w:val="000000" w:themeColor="text1"/>
          <w:highlight w:val="none"/>
        </w:rPr>
        <w:t>签订合同</w:t>
      </w:r>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p>
    <w:p>
      <w:pPr>
        <w:widowControl/>
        <w:tabs>
          <w:tab w:val="left" w:pos="753"/>
        </w:tabs>
        <w:adjustRightInd w:val="0"/>
        <w:snapToGrid w:val="0"/>
        <w:spacing w:line="360" w:lineRule="auto"/>
        <w:ind w:left="753" w:hanging="753"/>
        <w:rPr>
          <w:rFonts w:ascii="宋体" w:hAnsi="宋体"/>
          <w:bCs/>
          <w:color w:val="000000" w:themeColor="text1"/>
          <w:highlight w:val="none"/>
        </w:rPr>
      </w:pPr>
      <w:bookmarkStart w:id="1510" w:name="_Toc370309169"/>
      <w:bookmarkStart w:id="1511" w:name="_Toc377129068"/>
      <w:bookmarkStart w:id="1512" w:name="_Toc370983962"/>
      <w:bookmarkStart w:id="1513" w:name="_Toc367095382"/>
      <w:bookmarkStart w:id="1514" w:name="_Toc373401413"/>
      <w:bookmarkStart w:id="1515" w:name="_Toc366681897"/>
      <w:bookmarkStart w:id="1516" w:name="_Toc383069738"/>
      <w:bookmarkStart w:id="1517" w:name="_Toc366072536"/>
      <w:bookmarkStart w:id="1518" w:name="_Toc378261823"/>
      <w:bookmarkStart w:id="1519" w:name="_Toc372209289"/>
      <w:bookmarkStart w:id="1520" w:name="_Toc369700990"/>
      <w:bookmarkStart w:id="1521" w:name="_Toc374093632"/>
      <w:bookmarkStart w:id="1522" w:name="_Toc374454608"/>
      <w:bookmarkStart w:id="1523" w:name="_Toc379896705"/>
      <w:bookmarkStart w:id="1524" w:name="_Toc341348346"/>
      <w:bookmarkStart w:id="1525" w:name="_Toc336681588"/>
      <w:bookmarkStart w:id="1526" w:name="_Toc339020103"/>
      <w:bookmarkStart w:id="1527" w:name="_Toc345513909"/>
      <w:bookmarkStart w:id="1528" w:name="_Toc365967080"/>
      <w:bookmarkStart w:id="1529" w:name="_Toc350756458"/>
      <w:bookmarkStart w:id="1530" w:name="_Toc337632366"/>
      <w:bookmarkStart w:id="1531" w:name="_Toc342060382"/>
      <w:bookmarkStart w:id="1532" w:name="_Toc340672877"/>
      <w:bookmarkStart w:id="1533" w:name="_Toc330459993"/>
      <w:bookmarkStart w:id="1534" w:name="_Toc340677078"/>
      <w:bookmarkStart w:id="1535" w:name="_Toc332206716"/>
      <w:bookmarkStart w:id="1536" w:name="_Toc342296768"/>
      <w:bookmarkStart w:id="1537" w:name="_Toc331684046"/>
      <w:bookmarkStart w:id="1538" w:name="_Toc349143597"/>
      <w:bookmarkStart w:id="1539" w:name="_Toc333935354"/>
      <w:bookmarkStart w:id="1540" w:name="_Toc339020241"/>
      <w:bookmarkStart w:id="1541" w:name="_Toc340507450"/>
      <w:bookmarkStart w:id="1542" w:name="_Toc349127634"/>
      <w:bookmarkStart w:id="1543" w:name="_Toc365985186"/>
      <w:bookmarkStart w:id="1544" w:name="_Toc336681943"/>
      <w:bookmarkStart w:id="1545" w:name="_Toc339362308"/>
      <w:bookmarkStart w:id="1546" w:name="_Toc339020023"/>
      <w:bookmarkStart w:id="1547" w:name="_Toc333237796"/>
      <w:bookmarkStart w:id="1548" w:name="_Toc333238641"/>
      <w:bookmarkStart w:id="1549" w:name="_Toc339019897"/>
      <w:bookmarkStart w:id="1550" w:name="_Toc350438757"/>
      <w:bookmarkStart w:id="1551" w:name="_Toc333935695"/>
      <w:bookmarkStart w:id="1552" w:name="_Toc332270354"/>
      <w:bookmarkStart w:id="1553" w:name="_Toc333237685"/>
      <w:bookmarkStart w:id="1554" w:name="_Toc339441095"/>
      <w:bookmarkStart w:id="1555" w:name="_Toc331512906"/>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.1</w:t>
      </w:r>
      <w:r>
        <w:rPr>
          <w:rFonts w:hint="eastAsia" w:ascii="宋体" w:hAnsi="宋体"/>
          <w:bCs/>
          <w:color w:val="000000" w:themeColor="text1"/>
          <w:highlight w:val="none"/>
        </w:rPr>
        <w:tab/>
      </w:r>
      <w:r>
        <w:rPr>
          <w:rFonts w:hint="eastAsia" w:ascii="宋体" w:hAnsi="宋体"/>
          <w:bCs/>
          <w:color w:val="000000" w:themeColor="text1"/>
          <w:highlight w:val="none"/>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ascii="宋体" w:hAnsi="宋体"/>
          <w:bCs/>
          <w:color w:val="000000" w:themeColor="text1"/>
          <w:highlight w:val="none"/>
        </w:rPr>
        <w:t>3</w:t>
      </w:r>
      <w:r>
        <w:rPr>
          <w:rFonts w:hint="eastAsia" w:ascii="宋体" w:hAnsi="宋体"/>
          <w:bCs/>
          <w:color w:val="000000" w:themeColor="text1"/>
          <w:highlight w:val="none"/>
        </w:rPr>
        <w:t>3</w:t>
      </w:r>
      <w:r>
        <w:rPr>
          <w:rFonts w:ascii="宋体" w:hAnsi="宋体"/>
          <w:bCs/>
          <w:color w:val="000000" w:themeColor="text1"/>
          <w:highlight w:val="none"/>
        </w:rPr>
        <w:t>.2</w:t>
      </w:r>
      <w:r>
        <w:rPr>
          <w:rFonts w:hint="eastAsia" w:ascii="宋体" w:hAnsi="宋体"/>
          <w:bCs/>
          <w:color w:val="000000" w:themeColor="text1"/>
          <w:highlight w:val="none"/>
        </w:rPr>
        <w:tab/>
      </w:r>
      <w:r>
        <w:rPr>
          <w:rFonts w:hint="eastAsia" w:ascii="宋体" w:hAnsi="宋体"/>
          <w:bCs/>
          <w:color w:val="000000" w:themeColor="text1"/>
          <w:highlight w:val="none"/>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rPr>
      </w:pPr>
      <w:r>
        <w:rPr>
          <w:rFonts w:hint="eastAsia" w:ascii="宋体" w:hAnsi="宋体" w:cs="Arial"/>
          <w:color w:val="000000" w:themeColor="text1"/>
          <w:szCs w:val="21"/>
          <w:highlight w:val="none"/>
        </w:rPr>
        <w:t xml:space="preserve">33.3   </w:t>
      </w:r>
      <w:r>
        <w:rPr>
          <w:rFonts w:ascii="宋体" w:hAnsi="宋体"/>
          <w:bCs/>
          <w:color w:val="000000" w:themeColor="text1"/>
          <w:highlight w:val="none"/>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rPr>
        <w:t>。</w:t>
      </w: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p>
      <w:pPr>
        <w:widowControl/>
        <w:tabs>
          <w:tab w:val="left" w:pos="753"/>
        </w:tabs>
        <w:adjustRightInd w:val="0"/>
        <w:snapToGrid w:val="0"/>
        <w:spacing w:line="360" w:lineRule="auto"/>
        <w:ind w:left="753" w:hanging="753"/>
        <w:rPr>
          <w:rFonts w:ascii="宋体" w:hAnsi="宋体"/>
          <w:bCs/>
          <w:color w:val="000000" w:themeColor="text1"/>
          <w:highlight w:val="none"/>
        </w:rPr>
      </w:pPr>
    </w:p>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p>
      <w:pPr>
        <w:pStyle w:val="4"/>
        <w:numPr>
          <w:ilvl w:val="0"/>
          <w:numId w:val="0"/>
        </w:numPr>
        <w:rPr>
          <w:color w:val="000000" w:themeColor="text1"/>
          <w:sz w:val="24"/>
          <w:highlight w:val="none"/>
        </w:rPr>
      </w:pPr>
      <w:bookmarkStart w:id="1556" w:name="_Toc432682726"/>
      <w:bookmarkStart w:id="1557" w:name="_Toc22204"/>
      <w:bookmarkStart w:id="1558" w:name="_Toc430771059"/>
      <w:bookmarkStart w:id="1559" w:name="_Toc467987849"/>
      <w:bookmarkStart w:id="1560" w:name="_Toc480021079"/>
      <w:bookmarkStart w:id="1561" w:name="_Toc479991608"/>
      <w:bookmarkStart w:id="1562" w:name="_Toc467236766"/>
      <w:bookmarkStart w:id="1563" w:name="_Toc468606055"/>
      <w:bookmarkStart w:id="1564" w:name="_Toc468157562"/>
      <w:bookmarkStart w:id="1565" w:name="_Toc500861024"/>
      <w:bookmarkStart w:id="1566" w:name="_Toc480010734"/>
      <w:bookmarkStart w:id="1567" w:name="_Toc480020283"/>
      <w:bookmarkStart w:id="1568" w:name="_Toc491658677"/>
      <w:r>
        <w:rPr>
          <w:color w:val="000000" w:themeColor="text1"/>
          <w:sz w:val="24"/>
          <w:highlight w:val="none"/>
        </w:rPr>
        <w:t>G</w:t>
      </w:r>
      <w:r>
        <w:rPr>
          <w:rFonts w:hint="eastAsia"/>
          <w:color w:val="000000" w:themeColor="text1"/>
          <w:sz w:val="24"/>
          <w:highlight w:val="none"/>
        </w:rPr>
        <w:t>、政府采购政策</w:t>
      </w:r>
      <w:bookmarkEnd w:id="1556"/>
      <w:bookmarkEnd w:id="1557"/>
      <w:bookmarkEnd w:id="1558"/>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69" w:name="_Toc430771060"/>
      <w:bookmarkStart w:id="1570" w:name="_Toc430185803"/>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4</w:t>
      </w:r>
      <w:r>
        <w:rPr>
          <w:rFonts w:hint="eastAsia" w:ascii="宋体" w:hAnsi="宋体" w:eastAsia="宋体" w:cs="宋体"/>
          <w:color w:val="000000" w:themeColor="text1"/>
          <w:highlight w:val="none"/>
        </w:rPr>
        <w:t xml:space="preserve">     </w:t>
      </w:r>
      <w:bookmarkStart w:id="1571" w:name="_Hlk499217741"/>
      <w:r>
        <w:rPr>
          <w:rFonts w:hint="eastAsia" w:ascii="宋体" w:hAnsi="宋体" w:eastAsia="宋体" w:cs="宋体"/>
          <w:color w:val="000000" w:themeColor="text1"/>
          <w:highlight w:val="none"/>
        </w:rPr>
        <w:t>若没有明示采购进口产品的，则视为采购产品为非进口产品（进口产品指中国海关验放进入中国境内且产自关境外的产品）。</w:t>
      </w:r>
      <w:bookmarkEnd w:id="1569"/>
      <w:bookmarkEnd w:id="1570"/>
      <w:bookmarkEnd w:id="1571"/>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2" w:name="_Toc430185804"/>
      <w:bookmarkStart w:id="1573" w:name="_Toc430771061"/>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5</w:t>
      </w:r>
      <w:r>
        <w:rPr>
          <w:rFonts w:hint="eastAsia" w:ascii="宋体" w:hAnsi="宋体" w:eastAsia="宋体" w:cs="宋体"/>
          <w:color w:val="000000" w:themeColor="text1"/>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2"/>
      <w:bookmarkEnd w:id="1573"/>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4" w:name="_Toc430771062"/>
      <w:bookmarkStart w:id="1575" w:name="_Toc430185805"/>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6</w:t>
      </w:r>
      <w:r>
        <w:rPr>
          <w:rFonts w:hint="eastAsia" w:ascii="宋体" w:hAnsi="宋体" w:eastAsia="宋体" w:cs="宋体"/>
          <w:color w:val="000000" w:themeColor="text1"/>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http://www.ccgp.gov.cn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/）、国家环境保护总局网（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"http://www.ccgp.gov.cn"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http://www.sepa.gov.cn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/）、中国绿色采购网（</w:t>
      </w:r>
      <w:r>
        <w:rPr>
          <w:rFonts w:hint="eastAsia" w:ascii="宋体" w:hAnsi="宋体" w:eastAsia="宋体" w:cs="宋体"/>
          <w:color w:val="000000" w:themeColor="text1"/>
          <w:highlight w:val="none"/>
        </w:rPr>
        <w:fldChar w:fldCharType="begin"/>
      </w:r>
      <w:r>
        <w:rPr>
          <w:rFonts w:hint="eastAsia" w:ascii="宋体" w:hAnsi="宋体" w:eastAsia="宋体" w:cs="宋体"/>
          <w:color w:val="000000" w:themeColor="text1"/>
          <w:highlight w:val="none"/>
        </w:rPr>
        <w:instrText xml:space="preserve"> HYPERLINK "http://www.cgpn.cn" </w:instrText>
      </w:r>
      <w:r>
        <w:rPr>
          <w:rFonts w:hint="eastAsia" w:ascii="宋体" w:hAnsi="宋体" w:eastAsia="宋体" w:cs="宋体"/>
          <w:color w:val="000000" w:themeColor="text1"/>
          <w:highlight w:val="none"/>
        </w:rPr>
        <w:fldChar w:fldCharType="separate"/>
      </w:r>
      <w:r>
        <w:rPr>
          <w:rFonts w:hint="eastAsia" w:ascii="宋体" w:hAnsi="宋体" w:eastAsia="宋体" w:cs="宋体"/>
          <w:color w:val="000000" w:themeColor="text1"/>
          <w:highlight w:val="none"/>
        </w:rPr>
        <w:t>http://www.cgpn.cn</w:t>
      </w:r>
      <w:r>
        <w:rPr>
          <w:rFonts w:hint="eastAsia" w:ascii="宋体" w:hAnsi="宋体" w:eastAsia="宋体" w:cs="宋体"/>
          <w:color w:val="000000" w:themeColor="text1"/>
          <w:highlight w:val="none"/>
        </w:rPr>
        <w:fldChar w:fldCharType="end"/>
      </w:r>
      <w:r>
        <w:rPr>
          <w:rFonts w:hint="eastAsia" w:ascii="宋体" w:hAnsi="宋体" w:eastAsia="宋体" w:cs="宋体"/>
          <w:color w:val="000000" w:themeColor="text1"/>
          <w:highlight w:val="none"/>
        </w:rPr>
        <w:t>/）上发布。</w:t>
      </w:r>
      <w:bookmarkEnd w:id="1574"/>
      <w:bookmarkEnd w:id="1575"/>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color w:val="000000" w:themeColor="text1"/>
          <w:highlight w:val="none"/>
        </w:rPr>
      </w:pPr>
      <w:bookmarkStart w:id="1576" w:name="_Toc430771063"/>
      <w:bookmarkStart w:id="1577" w:name="_Toc430185806"/>
      <w:r>
        <w:rPr>
          <w:rFonts w:hint="eastAsia" w:ascii="宋体" w:hAnsi="宋体" w:eastAsia="宋体" w:cs="宋体"/>
          <w:color w:val="000000" w:themeColor="text1"/>
          <w:highlight w:val="none"/>
        </w:rPr>
        <w:t>3</w:t>
      </w:r>
      <w:r>
        <w:rPr>
          <w:rFonts w:hint="eastAsia" w:ascii="宋体" w:hAnsi="宋体" w:cs="宋体"/>
          <w:color w:val="000000" w:themeColor="text1"/>
          <w:highlight w:val="none"/>
          <w:lang w:val="en-US" w:eastAsia="zh-CN"/>
        </w:rPr>
        <w:t>7</w:t>
      </w:r>
      <w:r>
        <w:rPr>
          <w:rFonts w:hint="eastAsia" w:ascii="宋体" w:hAnsi="宋体" w:eastAsia="宋体" w:cs="宋体"/>
          <w:color w:val="000000" w:themeColor="text1"/>
          <w:highlight w:val="none"/>
        </w:rPr>
        <w:t xml:space="preserve">     根据《关于印发《政府采购促进中小企业发展管理方法》的通知》（财库[2020]46号）的规定，投标人投标时需注意：</w:t>
      </w:r>
      <w:bookmarkEnd w:id="1576"/>
      <w:bookmarkEnd w:id="1577"/>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.2   参加政府采购活动的中小企业投标时需提供《中小企业声明函》。否则不予认可。</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highlight w:val="none"/>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default" w:ascii="宋体" w:hAnsi="宋体" w:eastAsia="宋体" w:cs="宋体"/>
          <w:bCs/>
          <w:color w:val="000000" w:themeColor="text1"/>
          <w:highlight w:val="none"/>
          <w:lang w:val="en-US" w:eastAsia="zh-CN"/>
        </w:rPr>
      </w:pPr>
      <w:r>
        <w:rPr>
          <w:rFonts w:hint="eastAsia" w:ascii="宋体" w:hAnsi="宋体" w:eastAsia="宋体" w:cs="宋体"/>
          <w:bCs/>
          <w:color w:val="000000" w:themeColor="text1"/>
          <w:highlight w:val="none"/>
          <w:lang w:val="en-US" w:eastAsia="zh-CN"/>
        </w:rPr>
        <w:t>3</w:t>
      </w:r>
      <w:r>
        <w:rPr>
          <w:rFonts w:hint="eastAsia" w:ascii="宋体" w:hAnsi="宋体" w:cs="宋体"/>
          <w:bCs/>
          <w:color w:val="000000" w:themeColor="text1"/>
          <w:highlight w:val="none"/>
          <w:lang w:val="en-US" w:eastAsia="zh-CN"/>
        </w:rPr>
        <w:t>7</w:t>
      </w:r>
      <w:r>
        <w:rPr>
          <w:rFonts w:hint="eastAsia" w:ascii="宋体" w:hAnsi="宋体" w:eastAsia="宋体" w:cs="宋体"/>
          <w:bCs/>
          <w:color w:val="000000" w:themeColor="text1"/>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keepNext w:val="0"/>
        <w:keepLines w:val="0"/>
        <w:pageBreakBefore w:val="0"/>
        <w:widowControl w:val="0"/>
        <w:kinsoku/>
        <w:wordWrap/>
        <w:overflowPunct/>
        <w:topLinePunct w:val="0"/>
        <w:autoSpaceDE/>
        <w:autoSpaceDN/>
        <w:bidi w:val="0"/>
        <w:adjustRightInd/>
        <w:snapToGrid/>
        <w:spacing w:line="400" w:lineRule="exact"/>
        <w:ind w:left="735" w:hanging="735" w:hangingChars="350"/>
        <w:textAlignment w:val="auto"/>
        <w:rPr>
          <w:rFonts w:hint="eastAsia" w:ascii="宋体" w:hAnsi="宋体" w:eastAsia="宋体" w:cs="宋体"/>
          <w:bCs/>
          <w:color w:val="000000" w:themeColor="text1"/>
          <w:highlight w:val="none"/>
        </w:rPr>
      </w:pPr>
      <w:r>
        <w:rPr>
          <w:rFonts w:hint="eastAsia" w:ascii="宋体" w:hAnsi="宋体" w:eastAsia="宋体" w:cs="宋体"/>
          <w:bCs/>
          <w:color w:val="000000" w:themeColor="text1"/>
          <w:kern w:val="2"/>
          <w:sz w:val="21"/>
          <w:szCs w:val="24"/>
          <w:highlight w:val="none"/>
          <w:lang w:val="en-US" w:eastAsia="zh-CN" w:bidi="ar-SA"/>
        </w:rPr>
        <w:t>3</w:t>
      </w:r>
      <w:r>
        <w:rPr>
          <w:rFonts w:hint="eastAsia" w:ascii="宋体" w:hAnsi="宋体" w:cs="宋体"/>
          <w:bCs/>
          <w:color w:val="000000" w:themeColor="text1"/>
          <w:kern w:val="2"/>
          <w:sz w:val="21"/>
          <w:szCs w:val="24"/>
          <w:highlight w:val="none"/>
          <w:lang w:val="en-US" w:eastAsia="zh-CN" w:bidi="ar-SA"/>
        </w:rPr>
        <w:t>7</w:t>
      </w:r>
      <w:r>
        <w:rPr>
          <w:rFonts w:hint="eastAsia" w:ascii="宋体" w:hAnsi="宋体" w:eastAsia="宋体" w:cs="宋体"/>
          <w:bCs/>
          <w:color w:val="000000" w:themeColor="text1"/>
          <w:kern w:val="2"/>
          <w:sz w:val="21"/>
          <w:szCs w:val="24"/>
          <w:highlight w:val="none"/>
          <w:lang w:val="en-US" w:eastAsia="zh-CN" w:bidi="ar-SA"/>
        </w:rPr>
        <w:t>.</w:t>
      </w:r>
      <w:r>
        <w:rPr>
          <w:rFonts w:hint="eastAsia" w:ascii="宋体" w:hAnsi="宋体" w:cs="宋体"/>
          <w:bCs/>
          <w:color w:val="000000" w:themeColor="text1"/>
          <w:kern w:val="2"/>
          <w:sz w:val="21"/>
          <w:szCs w:val="24"/>
          <w:highlight w:val="none"/>
          <w:lang w:val="en-US" w:eastAsia="zh-CN" w:bidi="ar-SA"/>
        </w:rPr>
        <w:t>5</w:t>
      </w:r>
      <w:r>
        <w:rPr>
          <w:rFonts w:hint="eastAsia" w:ascii="宋体" w:hAnsi="宋体" w:eastAsia="宋体" w:cs="宋体"/>
          <w:bCs/>
          <w:color w:val="000000" w:themeColor="text1"/>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rPr>
            </w:pPr>
            <w:r>
              <w:rPr>
                <w:rFonts w:hint="eastAsia" w:ascii="宋体" w:hAnsi="宋体" w:eastAsia="宋体" w:cs="宋体"/>
                <w:b/>
                <w:color w:val="000000" w:themeColor="text1"/>
                <w:szCs w:val="21"/>
                <w:highlight w:val="none"/>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评标价=总投标报价-小型和微型企业产品的价格×</w:t>
            </w:r>
            <w:r>
              <w:rPr>
                <w:rFonts w:hint="eastAsia" w:ascii="宋体" w:hAnsi="宋体" w:eastAsia="宋体" w:cs="宋体"/>
                <w:color w:val="000000" w:themeColor="text1"/>
                <w:szCs w:val="21"/>
                <w:highlight w:val="none"/>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对小型和微型企业产品的价格扣除</w:t>
            </w:r>
            <w:r>
              <w:rPr>
                <w:rFonts w:hint="eastAsia" w:ascii="宋体" w:hAnsi="宋体" w:cs="宋体"/>
                <w:color w:val="000000" w:themeColor="text1"/>
                <w:szCs w:val="21"/>
                <w:highlight w:val="none"/>
                <w:u w:val="single"/>
                <w:lang w:val="en-US" w:eastAsia="zh-CN"/>
              </w:rPr>
              <w:t>10</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对联合体总金额扣除</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rPr>
            </w:pPr>
            <w:r>
              <w:rPr>
                <w:rFonts w:hint="eastAsia" w:ascii="宋体" w:hAnsi="宋体" w:eastAsia="宋体" w:cs="宋体"/>
                <w:color w:val="000000" w:themeColor="text1"/>
                <w:szCs w:val="21"/>
                <w:highlight w:val="none"/>
              </w:rPr>
              <w:t>评标价=总投标报价×（</w:t>
            </w:r>
            <w:r>
              <w:rPr>
                <w:rFonts w:hint="eastAsia" w:ascii="宋体" w:hAnsi="宋体" w:eastAsia="宋体" w:cs="宋体"/>
                <w:color w:val="000000" w:themeColor="text1"/>
                <w:szCs w:val="21"/>
                <w:highlight w:val="none"/>
                <w:u w:val="single"/>
              </w:rPr>
              <w:t>1-</w:t>
            </w:r>
            <w:r>
              <w:rPr>
                <w:rFonts w:hint="eastAsia" w:ascii="宋体" w:hAnsi="宋体" w:cs="宋体"/>
                <w:color w:val="000000" w:themeColor="text1"/>
                <w:szCs w:val="21"/>
                <w:highlight w:val="none"/>
                <w:u w:val="single"/>
                <w:lang w:val="en-US" w:eastAsia="zh-CN"/>
              </w:rPr>
              <w:t>4</w:t>
            </w:r>
            <w:r>
              <w:rPr>
                <w:rFonts w:hint="eastAsia" w:ascii="宋体" w:hAnsi="宋体" w:eastAsia="宋体" w:cs="宋体"/>
                <w:color w:val="000000" w:themeColor="text1"/>
                <w:szCs w:val="21"/>
                <w:highlight w:val="none"/>
                <w:u w:val="single"/>
              </w:rPr>
              <w:t>%</w:t>
            </w:r>
            <w:r>
              <w:rPr>
                <w:rFonts w:hint="eastAsia" w:ascii="宋体" w:hAnsi="宋体" w:eastAsia="宋体" w:cs="宋体"/>
                <w:color w:val="000000" w:themeColor="text1"/>
                <w:szCs w:val="21"/>
                <w:highlight w:val="none"/>
              </w:rPr>
              <w:t>）</w:t>
            </w:r>
          </w:p>
        </w:tc>
      </w:tr>
    </w:tbl>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p>
    <w:p>
      <w:pPr>
        <w:rPr>
          <w:rFonts w:ascii="宋体"/>
          <w:color w:val="000000" w:themeColor="text1"/>
          <w:szCs w:val="21"/>
          <w:highlight w:val="none"/>
        </w:rPr>
      </w:pPr>
      <w:r>
        <w:rPr>
          <w:rFonts w:ascii="宋体"/>
          <w:color w:val="000000" w:themeColor="text1"/>
          <w:szCs w:val="21"/>
          <w:highlight w:val="none"/>
        </w:rPr>
        <w:br w:type="page"/>
      </w:r>
    </w:p>
    <w:p>
      <w:pPr>
        <w:pStyle w:val="4"/>
        <w:numPr>
          <w:ilvl w:val="0"/>
          <w:numId w:val="0"/>
        </w:numPr>
        <w:rPr>
          <w:color w:val="000000" w:themeColor="text1"/>
          <w:sz w:val="24"/>
          <w:highlight w:val="none"/>
        </w:rPr>
      </w:pPr>
      <w:bookmarkStart w:id="1578" w:name="_Toc2869"/>
      <w:r>
        <w:rPr>
          <w:rFonts w:hint="eastAsia"/>
          <w:color w:val="000000" w:themeColor="text1"/>
          <w:sz w:val="24"/>
          <w:highlight w:val="none"/>
        </w:rPr>
        <w:t>H、评标细则</w:t>
      </w:r>
      <w:bookmarkEnd w:id="1578"/>
    </w:p>
    <w:p>
      <w:pPr>
        <w:pStyle w:val="26"/>
        <w:widowControl/>
        <w:tabs>
          <w:tab w:val="left" w:pos="753"/>
        </w:tabs>
        <w:adjustRightInd w:val="0"/>
        <w:snapToGrid w:val="0"/>
        <w:spacing w:line="360" w:lineRule="auto"/>
        <w:ind w:left="752" w:hanging="751" w:hangingChars="358"/>
        <w:rPr>
          <w:rFonts w:hAnsi="宋体"/>
          <w:bCs/>
          <w:color w:val="000000" w:themeColor="text1"/>
          <w:highlight w:val="none"/>
        </w:rPr>
      </w:pPr>
      <w:r>
        <w:rPr>
          <w:rFonts w:hint="eastAsia" w:hAnsi="宋体"/>
          <w:bCs/>
          <w:color w:val="000000" w:themeColor="text1"/>
          <w:highlight w:val="none"/>
        </w:rPr>
        <w:t>采用计分法（综合评价法）来确定各投标人的排名。其操作程序为：</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根据招标文件和评标原则，按下表（评价指标和权重表）所列评价指标和各评价指标的权重进行评标。</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color w:val="000000" w:themeColor="text1"/>
          <w:sz w:val="21"/>
          <w:highlight w:val="none"/>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rPr>
        <w:t>经济价格标得分＝(评标基准价/投标报价)×价格指标权重×100。</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由评委独立地根据各项指标的评价标准，结合每个投标人的实际情况，分别就投标报价以外的各项指标对每个投标人独立打分。</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技术部分和商务部分得分结果为全部评委评价指标评分的算术平均值。</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将所有评价指标所得实际评价分数相加，即为该投标人的综合得分。</w:t>
      </w:r>
    </w:p>
    <w:p>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rPr>
      </w:pPr>
      <w:r>
        <w:rPr>
          <w:rFonts w:hint="eastAsia" w:ascii="宋体" w:hAnsi="宋体" w:eastAsia="宋体"/>
          <w:bCs/>
          <w:color w:val="000000" w:themeColor="text1"/>
          <w:sz w:val="21"/>
          <w:highlight w:val="none"/>
        </w:rPr>
        <w:t>评标委员会将推荐综合得分最高的投标人为该项目的中标候选人。</w:t>
      </w:r>
    </w:p>
    <w:p>
      <w:pPr>
        <w:rPr>
          <w:color w:val="000000" w:themeColor="text1"/>
          <w:highlight w:val="none"/>
        </w:rPr>
      </w:pPr>
      <w:r>
        <w:rPr>
          <w:rFonts w:hint="eastAsia"/>
          <w:color w:val="000000" w:themeColor="text1"/>
          <w:highlight w:val="none"/>
        </w:rPr>
        <w:t>评价指标及权重：</w:t>
      </w:r>
    </w:p>
    <w:p>
      <w:pPr>
        <w:rPr>
          <w:color w:val="000000" w:themeColor="text1"/>
          <w:highlight w:val="none"/>
        </w:rPr>
      </w:pPr>
    </w:p>
    <w:tbl>
      <w:tblPr>
        <w:tblStyle w:val="47"/>
        <w:tblW w:w="8921" w:type="dxa"/>
        <w:jc w:val="center"/>
        <w:tblLayout w:type="fixed"/>
        <w:tblCellMar>
          <w:top w:w="0" w:type="dxa"/>
          <w:left w:w="0" w:type="dxa"/>
          <w:bottom w:w="0" w:type="dxa"/>
          <w:right w:w="0" w:type="dxa"/>
        </w:tblCellMar>
      </w:tblPr>
      <w:tblGrid>
        <w:gridCol w:w="2570"/>
        <w:gridCol w:w="2333"/>
        <w:gridCol w:w="2066"/>
        <w:gridCol w:w="1952"/>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3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30</w:t>
            </w:r>
            <w:r>
              <w:rPr>
                <w:rFonts w:hint="eastAsia" w:ascii="宋体" w:hAnsi="宋体" w:eastAsia="宋体" w:cs="宋体"/>
                <w:color w:val="000000" w:themeColor="text1"/>
                <w:kern w:val="0"/>
                <w:sz w:val="21"/>
                <w:szCs w:val="21"/>
                <w:highlight w:val="none"/>
              </w:rPr>
              <w:t>分</w:t>
            </w:r>
          </w:p>
        </w:tc>
        <w:tc>
          <w:tcPr>
            <w:tcW w:w="206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60</w:t>
            </w:r>
            <w:r>
              <w:rPr>
                <w:rFonts w:hint="eastAsia" w:ascii="宋体" w:hAnsi="宋体" w:eastAsia="宋体" w:cs="宋体"/>
                <w:color w:val="000000" w:themeColor="text1"/>
                <w:kern w:val="0"/>
                <w:sz w:val="21"/>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10</w:t>
            </w:r>
            <w:r>
              <w:rPr>
                <w:rFonts w:hint="eastAsia" w:ascii="宋体" w:hAnsi="宋体" w:eastAsia="宋体" w:cs="宋体"/>
                <w:color w:val="000000" w:themeColor="text1"/>
                <w:kern w:val="0"/>
                <w:sz w:val="21"/>
                <w:szCs w:val="21"/>
                <w:highlight w:val="none"/>
              </w:rPr>
              <w:t>分</w:t>
            </w:r>
          </w:p>
        </w:tc>
      </w:tr>
    </w:tbl>
    <w:p>
      <w:pPr>
        <w:rPr>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517" w:type="dxa"/>
        <w:tblInd w:w="108" w:type="dxa"/>
        <w:shd w:val="clear" w:color="auto" w:fill="FFFFFF"/>
        <w:tblLayout w:type="fixed"/>
        <w:tblCellMar>
          <w:top w:w="0" w:type="dxa"/>
          <w:left w:w="0" w:type="dxa"/>
          <w:bottom w:w="0" w:type="dxa"/>
          <w:right w:w="0" w:type="dxa"/>
        </w:tblCellMar>
      </w:tblPr>
      <w:tblGrid>
        <w:gridCol w:w="729"/>
        <w:gridCol w:w="1475"/>
        <w:gridCol w:w="726"/>
        <w:gridCol w:w="6587"/>
      </w:tblGrid>
      <w:tr>
        <w:tblPrEx>
          <w:shd w:val="clear" w:color="auto" w:fill="FFFFFF"/>
          <w:tblCellMar>
            <w:top w:w="0" w:type="dxa"/>
            <w:left w:w="0" w:type="dxa"/>
            <w:bottom w:w="0" w:type="dxa"/>
            <w:right w:w="0" w:type="dxa"/>
          </w:tblCellMar>
        </w:tblPrEx>
        <w:trPr>
          <w:cantSplit/>
          <w:trHeight w:val="460" w:hRule="atLeast"/>
          <w:tblHeader/>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shd w:val="clear" w:color="auto" w:fill="FFFFFF"/>
          <w:tblCellMar>
            <w:top w:w="0" w:type="dxa"/>
            <w:left w:w="0" w:type="dxa"/>
            <w:bottom w:w="0" w:type="dxa"/>
            <w:right w:w="0" w:type="dxa"/>
          </w:tblCellMar>
        </w:tblPrEx>
        <w:trPr>
          <w:cantSplit/>
          <w:trHeight w:val="2114"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配送服务方案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对</w:t>
            </w:r>
            <w:r>
              <w:rPr>
                <w:rFonts w:hint="eastAsia" w:ascii="宋体" w:hAnsi="宋体" w:eastAsia="宋体" w:cs="宋体"/>
                <w:color w:val="000000" w:themeColor="text1"/>
                <w:highlight w:val="none"/>
              </w:rPr>
              <w:t xml:space="preserve">投标人配送方案、效率及响应时间进行评分：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1.配送方案及响应时间、效率优于采购需求，内容合理、完整，内容有针对性，得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2.配送方案及响应时间、效率满足采购需求，内容较合理、较完整，内容有一定的针对性，得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3.配送方案简单，内容没有针对性，得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2156"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质量保障及食品安全措施</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xml:space="preserve">对投标文件中的质量控制方案进行评分（根据投标货物的来源、生长环境、加工、包装、保存、运输各环节的质量保证及食品安全措施进行评价）：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1.方案优于采购需求，描述合理、完整，内容有针对性，得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2.方案满足采购需求，较合理、较完整，内容有一定的针对性，得</w:t>
            </w:r>
            <w:r>
              <w:rPr>
                <w:rFonts w:hint="eastAsia" w:ascii="宋体" w:hAnsi="宋体" w:eastAsia="宋体" w:cs="宋体"/>
                <w:color w:val="000000" w:themeColor="text1"/>
                <w:highlight w:val="none"/>
                <w:lang w:val="en-US" w:eastAsia="zh-CN"/>
              </w:rPr>
              <w:t>5</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3.方案简单，内容没有针对性，得</w:t>
            </w:r>
            <w:r>
              <w:rPr>
                <w:rFonts w:hint="eastAsia" w:ascii="宋体" w:hAnsi="宋体" w:eastAsia="宋体" w:cs="宋体"/>
                <w:color w:val="000000" w:themeColor="text1"/>
                <w:highlight w:val="none"/>
                <w:lang w:val="en-US" w:eastAsia="zh-CN"/>
              </w:rPr>
              <w:t>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1722" w:hRule="atLeast"/>
        </w:trPr>
        <w:tc>
          <w:tcPr>
            <w:tcW w:w="72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出现产品质量问题退换货方案</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根据投标文件中投标人对产品出现质量问题的退换货承诺（包括但不限于：退换时间、退换方式等）进行评分：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1.对产品出现质量问题的退换承诺具体可行、科学合理，得10分；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2.对产品出现质量问题的退换承诺较合理可行，得5分；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kern w:val="2"/>
                <w:sz w:val="21"/>
                <w:szCs w:val="21"/>
                <w:highlight w:val="none"/>
                <w:lang w:val="en-US" w:eastAsia="zh-CN" w:bidi="ar-SA"/>
              </w:rPr>
              <w:t xml:space="preserve">3.对产品出现质量问题的退换承诺不具体，可行性低，得2分；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highlight w:val="none"/>
              </w:rPr>
              <w:t>不提供不得分。</w:t>
            </w:r>
          </w:p>
        </w:tc>
      </w:tr>
      <w:tr>
        <w:tblPrEx>
          <w:shd w:val="clear" w:color="auto" w:fill="FFFFFF"/>
          <w:tblCellMar>
            <w:top w:w="0" w:type="dxa"/>
            <w:left w:w="0" w:type="dxa"/>
            <w:bottom w:w="0" w:type="dxa"/>
            <w:right w:w="0" w:type="dxa"/>
          </w:tblCellMar>
        </w:tblPrEx>
        <w:trPr>
          <w:cantSplit/>
          <w:trHeight w:val="419" w:hRule="atLeast"/>
        </w:trPr>
        <w:tc>
          <w:tcPr>
            <w:tcW w:w="2204"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26"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30</w:t>
            </w:r>
            <w:r>
              <w:rPr>
                <w:rFonts w:hint="eastAsia" w:ascii="宋体" w:hAnsi="宋体" w:eastAsia="宋体" w:cs="宋体"/>
                <w:color w:val="000000" w:themeColor="text1"/>
                <w:sz w:val="21"/>
                <w:szCs w:val="21"/>
                <w:highlight w:val="none"/>
              </w:rPr>
              <w:t>分</w:t>
            </w:r>
          </w:p>
        </w:tc>
        <w:tc>
          <w:tcPr>
            <w:tcW w:w="658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w:t>
            </w:r>
          </w:p>
        </w:tc>
      </w:tr>
    </w:tbl>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559" w:type="dxa"/>
        <w:jc w:val="center"/>
        <w:tblLayout w:type="fixed"/>
        <w:tblCellMar>
          <w:top w:w="0" w:type="dxa"/>
          <w:left w:w="0" w:type="dxa"/>
          <w:bottom w:w="0" w:type="dxa"/>
          <w:right w:w="0" w:type="dxa"/>
        </w:tblCellMar>
      </w:tblPr>
      <w:tblGrid>
        <w:gridCol w:w="777"/>
        <w:gridCol w:w="1500"/>
        <w:gridCol w:w="701"/>
        <w:gridCol w:w="6581"/>
      </w:tblGrid>
      <w:tr>
        <w:tblPrEx>
          <w:tblCellMar>
            <w:top w:w="0" w:type="dxa"/>
            <w:left w:w="0" w:type="dxa"/>
            <w:bottom w:w="0" w:type="dxa"/>
            <w:right w:w="0" w:type="dxa"/>
          </w:tblCellMar>
        </w:tblPrEx>
        <w:trPr>
          <w:cantSplit/>
          <w:trHeight w:val="403"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序号</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评审内容</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分值</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评审标准</w:t>
            </w:r>
          </w:p>
        </w:tc>
      </w:tr>
      <w:tr>
        <w:tblPrEx>
          <w:tblCellMar>
            <w:top w:w="0" w:type="dxa"/>
            <w:left w:w="0" w:type="dxa"/>
            <w:bottom w:w="0" w:type="dxa"/>
            <w:right w:w="0" w:type="dxa"/>
          </w:tblCellMar>
        </w:tblPrEx>
        <w:trPr>
          <w:cantSplit/>
          <w:trHeight w:val="1666"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投标人资质情况</w:t>
            </w:r>
          </w:p>
        </w:tc>
        <w:tc>
          <w:tcPr>
            <w:tcW w:w="701" w:type="dxa"/>
            <w:tcBorders>
              <w:top w:val="single" w:color="auto" w:sz="8" w:space="0"/>
              <w:left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提供以下</w:t>
            </w:r>
            <w:r>
              <w:rPr>
                <w:rFonts w:hint="eastAsia" w:ascii="宋体" w:hAnsi="宋体" w:eastAsia="宋体" w:cs="宋体"/>
                <w:color w:val="000000" w:themeColor="text1"/>
                <w:sz w:val="21"/>
                <w:szCs w:val="21"/>
                <w:highlight w:val="none"/>
              </w:rPr>
              <w:t>证书，</w:t>
            </w:r>
            <w:r>
              <w:rPr>
                <w:rFonts w:hint="eastAsia" w:ascii="宋体" w:hAnsi="宋体" w:eastAsia="宋体" w:cs="宋体"/>
                <w:color w:val="000000" w:themeColor="text1"/>
                <w:sz w:val="21"/>
                <w:szCs w:val="21"/>
                <w:highlight w:val="none"/>
                <w:lang w:val="en-US" w:eastAsia="zh-CN"/>
              </w:rPr>
              <w:t>一个</w:t>
            </w:r>
            <w:r>
              <w:rPr>
                <w:rFonts w:hint="eastAsia" w:ascii="宋体" w:hAnsi="宋体" w:eastAsia="宋体" w:cs="宋体"/>
                <w:color w:val="000000" w:themeColor="text1"/>
                <w:sz w:val="21"/>
                <w:szCs w:val="21"/>
                <w:highlight w:val="none"/>
              </w:rPr>
              <w:t>得</w:t>
            </w:r>
            <w:r>
              <w:rPr>
                <w:rFonts w:hint="eastAsia" w:ascii="宋体" w:hAnsi="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分。</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具有有效期内的质量管理体系体系认证证书；</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具有有效期内的</w:t>
            </w:r>
            <w:r>
              <w:rPr>
                <w:rFonts w:hint="eastAsia" w:ascii="宋体" w:hAnsi="宋体" w:eastAsia="宋体" w:cs="宋体"/>
                <w:color w:val="000000" w:themeColor="text1"/>
                <w:highlight w:val="none"/>
              </w:rPr>
              <w:t>职业健康安全管理体系认证证书</w:t>
            </w:r>
            <w:r>
              <w:rPr>
                <w:rFonts w:hint="eastAsia" w:ascii="宋体" w:hAnsi="宋体" w:eastAsia="宋体" w:cs="宋体"/>
                <w:color w:val="000000" w:themeColor="text1"/>
                <w:sz w:val="21"/>
                <w:szCs w:val="21"/>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具有有效期内的</w:t>
            </w:r>
            <w:r>
              <w:rPr>
                <w:rFonts w:hint="eastAsia" w:ascii="宋体" w:hAnsi="宋体" w:eastAsia="宋体" w:cs="宋体"/>
                <w:color w:val="000000" w:themeColor="text1"/>
                <w:highlight w:val="none"/>
                <w:lang w:val="en-US" w:eastAsia="zh-CN"/>
              </w:rPr>
              <w:t>环境</w:t>
            </w:r>
            <w:r>
              <w:rPr>
                <w:rFonts w:hint="eastAsia" w:ascii="宋体" w:hAnsi="宋体" w:eastAsia="宋体" w:cs="宋体"/>
                <w:color w:val="000000" w:themeColor="text1"/>
                <w:highlight w:val="none"/>
              </w:rPr>
              <w:t>管理体系认证证书</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注：提供证书</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加盖投标人公章，不提供的不得分。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同类项目业绩及评价</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18</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 w:val="21"/>
                <w:szCs w:val="21"/>
                <w:highlight w:val="none"/>
              </w:rPr>
              <w:t>1</w:t>
            </w:r>
            <w:r>
              <w:rPr>
                <w:rFonts w:hint="eastAsia" w:ascii="宋体" w:hAnsi="宋体" w:eastAsia="宋体" w:cs="宋体"/>
                <w:color w:val="000000" w:themeColor="text1"/>
                <w:sz w:val="21"/>
                <w:szCs w:val="21"/>
                <w:highlight w:val="none"/>
                <w:lang w:val="en-US" w:eastAsia="zh-CN"/>
              </w:rPr>
              <w:t>.</w:t>
            </w:r>
            <w:r>
              <w:rPr>
                <w:rFonts w:hint="eastAsia" w:ascii="宋体" w:hAnsi="宋体" w:eastAsia="宋体" w:cs="宋体"/>
                <w:color w:val="000000" w:themeColor="text1"/>
                <w:highlight w:val="none"/>
              </w:rPr>
              <w:t>投标人提供</w:t>
            </w:r>
            <w:r>
              <w:rPr>
                <w:rFonts w:hint="eastAsia" w:ascii="宋体" w:hAnsi="宋体" w:eastAsia="宋体" w:cs="宋体"/>
                <w:color w:val="000000" w:themeColor="text1"/>
                <w:highlight w:val="none"/>
                <w:lang w:val="en-US" w:eastAsia="zh-CN"/>
              </w:rPr>
              <w:t>近三年</w:t>
            </w:r>
            <w:r>
              <w:rPr>
                <w:rFonts w:hint="eastAsia" w:ascii="宋体" w:hAnsi="宋体" w:eastAsia="宋体" w:cs="宋体"/>
                <w:color w:val="000000" w:themeColor="text1"/>
                <w:highlight w:val="none"/>
              </w:rPr>
              <w:t>（以合同签订时间为准）的同类项目业绩，每个得</w:t>
            </w:r>
            <w:r>
              <w:rPr>
                <w:rFonts w:hint="eastAsia" w:ascii="宋体" w:hAnsi="宋体" w:eastAsia="宋体" w:cs="宋体"/>
                <w:color w:val="000000" w:themeColor="text1"/>
                <w:highlight w:val="none"/>
                <w:lang w:val="en-US" w:eastAsia="zh-CN"/>
              </w:rPr>
              <w:t>4</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12</w:t>
            </w:r>
            <w:r>
              <w:rPr>
                <w:rFonts w:hint="eastAsia" w:ascii="宋体" w:hAnsi="宋体" w:eastAsia="宋体" w:cs="宋体"/>
                <w:color w:val="000000" w:themeColor="text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highlight w:val="none"/>
              </w:rPr>
              <w:t>注：提供项目的合同关键页复印件加盖投标人公章，不提供不得分。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2.提供上述</w:t>
            </w:r>
            <w:r>
              <w:rPr>
                <w:rFonts w:hint="eastAsia" w:ascii="宋体" w:hAnsi="宋体" w:eastAsia="宋体" w:cs="宋体"/>
                <w:color w:val="000000" w:themeColor="text1"/>
                <w:highlight w:val="none"/>
              </w:rPr>
              <w:t>同类</w:t>
            </w:r>
            <w:r>
              <w:rPr>
                <w:rFonts w:hint="eastAsia" w:ascii="宋体" w:hAnsi="宋体" w:eastAsia="宋体" w:cs="宋体"/>
                <w:color w:val="000000" w:themeColor="text1"/>
                <w:sz w:val="21"/>
                <w:szCs w:val="21"/>
                <w:highlight w:val="none"/>
                <w:lang w:val="en-US" w:eastAsia="zh-CN"/>
              </w:rPr>
              <w:t>项目的</w:t>
            </w:r>
            <w:r>
              <w:rPr>
                <w:rFonts w:hint="eastAsia" w:ascii="宋体" w:hAnsi="宋体" w:eastAsia="宋体" w:cs="宋体"/>
                <w:color w:val="000000" w:themeColor="text1"/>
                <w:sz w:val="21"/>
                <w:szCs w:val="21"/>
                <w:highlight w:val="none"/>
              </w:rPr>
              <w:t>服务单位好评（即“满意或好评”等正面评价），每提供一份有效的证明材料，得</w:t>
            </w: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highlight w:val="none"/>
              </w:rPr>
              <w:t>最高得</w:t>
            </w:r>
            <w:r>
              <w:rPr>
                <w:rFonts w:hint="eastAsia" w:ascii="宋体" w:hAnsi="宋体" w:eastAsia="宋体" w:cs="宋体"/>
                <w:color w:val="000000" w:themeColor="text1"/>
                <w:highlight w:val="none"/>
                <w:lang w:val="en-US" w:eastAsia="zh-CN"/>
              </w:rPr>
              <w:t>6</w:t>
            </w:r>
            <w:r>
              <w:rPr>
                <w:rFonts w:hint="eastAsia" w:ascii="宋体" w:hAnsi="宋体" w:eastAsia="宋体" w:cs="宋体"/>
                <w:color w:val="000000" w:themeColor="text1"/>
                <w:highlight w:val="none"/>
              </w:rPr>
              <w:t>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 ①同一客户或同一项目提供多份用户满意度评价的，按一份计算；②提供经服务单位盖章确认的满意度评价证明材料</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加盖投标人公章，</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食品安全责任险保障</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top"/>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 xml:space="preserve">投标人能提供食品安全责任险保障：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1.</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万元或以上，得</w:t>
            </w:r>
            <w:r>
              <w:rPr>
                <w:rFonts w:hint="eastAsia" w:ascii="宋体" w:hAnsi="宋体" w:eastAsia="宋体" w:cs="宋体"/>
                <w:color w:val="000000" w:themeColor="text1"/>
                <w:sz w:val="21"/>
                <w:szCs w:val="21"/>
                <w:highlight w:val="none"/>
                <w:lang w:val="en-US" w:eastAsia="zh-CN"/>
              </w:rPr>
              <w:t>6</w:t>
            </w:r>
            <w:r>
              <w:rPr>
                <w:rFonts w:hint="eastAsia" w:ascii="宋体" w:hAnsi="宋体" w:eastAsia="宋体" w:cs="宋体"/>
                <w:color w:val="000000" w:themeColor="text1"/>
                <w:sz w:val="21"/>
                <w:szCs w:val="21"/>
                <w:highlight w:val="none"/>
              </w:rPr>
              <w:t xml:space="preserve">分；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2.</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佰万元（含）-</w:t>
            </w:r>
            <w:r>
              <w:rPr>
                <w:rFonts w:hint="eastAsia" w:ascii="宋体" w:hAnsi="宋体" w:eastAsia="宋体" w:cs="宋体"/>
                <w:color w:val="000000" w:themeColor="text1"/>
                <w:sz w:val="21"/>
                <w:szCs w:val="21"/>
                <w:highlight w:val="none"/>
                <w:lang w:val="en-US" w:eastAsia="zh-CN"/>
              </w:rPr>
              <w:t>壹仟</w:t>
            </w:r>
            <w:r>
              <w:rPr>
                <w:rFonts w:hint="eastAsia" w:ascii="宋体" w:hAnsi="宋体" w:eastAsia="宋体" w:cs="宋体"/>
                <w:color w:val="000000" w:themeColor="text1"/>
                <w:sz w:val="21"/>
                <w:szCs w:val="21"/>
                <w:highlight w:val="none"/>
              </w:rPr>
              <w:t>万元（不含），得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3.</w:t>
            </w:r>
            <w:r>
              <w:rPr>
                <w:rFonts w:hint="eastAsia" w:ascii="宋体" w:hAnsi="宋体" w:eastAsia="宋体" w:cs="宋体"/>
                <w:color w:val="000000" w:themeColor="text1"/>
                <w:sz w:val="21"/>
                <w:szCs w:val="21"/>
                <w:highlight w:val="none"/>
              </w:rPr>
              <w:t>保额</w:t>
            </w:r>
            <w:r>
              <w:rPr>
                <w:rFonts w:hint="eastAsia" w:ascii="宋体" w:hAnsi="宋体" w:eastAsia="宋体" w:cs="宋体"/>
                <w:color w:val="000000" w:themeColor="text1"/>
                <w:sz w:val="21"/>
                <w:szCs w:val="21"/>
                <w:highlight w:val="none"/>
                <w:lang w:val="en-US" w:eastAsia="zh-CN"/>
              </w:rPr>
              <w:t>伍</w:t>
            </w:r>
            <w:r>
              <w:rPr>
                <w:rFonts w:hint="eastAsia" w:ascii="宋体" w:hAnsi="宋体" w:eastAsia="宋体" w:cs="宋体"/>
                <w:color w:val="000000" w:themeColor="text1"/>
                <w:sz w:val="21"/>
                <w:szCs w:val="21"/>
                <w:highlight w:val="none"/>
              </w:rPr>
              <w:t>佰万元（不含）以下</w:t>
            </w:r>
            <w:r>
              <w:rPr>
                <w:rFonts w:hint="eastAsia" w:ascii="宋体" w:hAnsi="宋体" w:eastAsia="宋体" w:cs="宋体"/>
                <w:color w:val="000000" w:themeColor="text1"/>
                <w:sz w:val="21"/>
                <w:szCs w:val="21"/>
                <w:highlight w:val="none"/>
                <w:lang w:val="en-US" w:eastAsia="zh-CN"/>
              </w:rPr>
              <w:t>得2分</w:t>
            </w:r>
            <w:r>
              <w:rPr>
                <w:rFonts w:hint="eastAsia" w:ascii="宋体" w:hAnsi="宋体" w:eastAsia="宋体" w:cs="宋体"/>
                <w:color w:val="000000" w:themeColor="text1"/>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eastAsia="宋体"/>
                <w:color w:val="000000" w:themeColor="text1"/>
                <w:highlight w:val="none"/>
                <w:lang w:val="en-US" w:eastAsia="zh-CN"/>
              </w:rPr>
            </w:pPr>
            <w:r>
              <w:rPr>
                <w:rFonts w:hint="eastAsia" w:ascii="宋体" w:hAnsi="宋体" w:eastAsia="宋体" w:cs="宋体"/>
                <w:color w:val="000000" w:themeColor="text1"/>
                <w:sz w:val="21"/>
                <w:szCs w:val="21"/>
                <w:highlight w:val="none"/>
                <w:lang w:val="en-US" w:eastAsia="zh-CN"/>
              </w:rPr>
              <w:t>其他不得分。</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注：提供有效保单复印件加盖投标人公章，不提供不得分。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4</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拟投入项目团队人员</w:t>
            </w:r>
            <w:r>
              <w:rPr>
                <w:rFonts w:hint="eastAsia" w:ascii="宋体" w:hAnsi="宋体" w:eastAsia="宋体" w:cs="宋体"/>
                <w:color w:val="000000" w:themeColor="text1"/>
                <w:sz w:val="21"/>
                <w:szCs w:val="21"/>
                <w:highlight w:val="none"/>
                <w:lang w:val="en-US" w:eastAsia="zh-CN"/>
              </w:rPr>
              <w:t>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10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highlight w:val="none"/>
                <w:lang w:eastAsia="zh-CN"/>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专门的</w:t>
            </w:r>
            <w:r>
              <w:rPr>
                <w:rFonts w:hint="eastAsia" w:ascii="宋体" w:hAnsi="宋体" w:eastAsia="宋体" w:cs="宋体"/>
                <w:color w:val="000000" w:themeColor="text1"/>
                <w:sz w:val="21"/>
                <w:szCs w:val="21"/>
                <w:highlight w:val="none"/>
                <w:lang w:val="en-US" w:eastAsia="zh-CN"/>
              </w:rPr>
              <w:t>食品安全管理人员</w:t>
            </w:r>
            <w:r>
              <w:rPr>
                <w:rFonts w:hint="eastAsia" w:ascii="宋体" w:hAnsi="宋体" w:eastAsia="宋体" w:cs="宋体"/>
                <w:color w:val="000000" w:themeColor="text1"/>
                <w:highlight w:val="none"/>
              </w:rPr>
              <w:t>，每</w:t>
            </w:r>
            <w:r>
              <w:rPr>
                <w:rFonts w:hint="eastAsia" w:ascii="宋体" w:hAnsi="宋体" w:eastAsia="宋体" w:cs="宋体"/>
                <w:color w:val="000000" w:themeColor="text1"/>
                <w:highlight w:val="none"/>
                <w:lang w:val="en-US" w:eastAsia="zh-CN"/>
              </w:rPr>
              <w:t>人得5</w:t>
            </w:r>
            <w:r>
              <w:rPr>
                <w:rFonts w:hint="eastAsia" w:ascii="宋体" w:hAnsi="宋体" w:eastAsia="宋体" w:cs="宋体"/>
                <w:color w:val="000000" w:themeColor="text1"/>
                <w:highlight w:val="none"/>
              </w:rPr>
              <w:t>分，最高得</w:t>
            </w:r>
            <w:r>
              <w:rPr>
                <w:rFonts w:hint="eastAsia" w:ascii="宋体" w:hAnsi="宋体" w:eastAsia="宋体" w:cs="宋体"/>
                <w:color w:val="000000" w:themeColor="text1"/>
                <w:highlight w:val="none"/>
                <w:lang w:val="en-US" w:eastAsia="zh-CN"/>
              </w:rPr>
              <w:t>10</w:t>
            </w:r>
            <w:r>
              <w:rPr>
                <w:rFonts w:hint="eastAsia" w:ascii="宋体" w:hAnsi="宋体" w:eastAsia="宋体" w:cs="宋体"/>
                <w:color w:val="000000" w:themeColor="text1"/>
                <w:highlight w:val="none"/>
              </w:rPr>
              <w:t>分</w:t>
            </w:r>
            <w:r>
              <w:rPr>
                <w:rFonts w:hint="eastAsia" w:ascii="宋体" w:hAnsi="宋体" w:eastAsia="宋体" w:cs="宋体"/>
                <w:color w:val="000000" w:themeColor="text1"/>
                <w:highlight w:val="none"/>
                <w:lang w:eastAsia="zh-CN"/>
              </w:rPr>
              <w:t>。</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w:t>
            </w:r>
            <w:r>
              <w:rPr>
                <w:rFonts w:hint="eastAsia" w:ascii="宋体" w:hAnsi="宋体" w:eastAsia="宋体" w:cs="宋体"/>
                <w:color w:val="000000" w:themeColor="text1"/>
                <w:sz w:val="21"/>
                <w:szCs w:val="21"/>
                <w:highlight w:val="none"/>
                <w:lang w:val="en-US" w:eastAsia="zh-CN"/>
              </w:rPr>
              <w:t>配备人员</w:t>
            </w:r>
            <w:r>
              <w:rPr>
                <w:rFonts w:hint="eastAsia" w:ascii="宋体" w:hAnsi="宋体" w:eastAsia="宋体" w:cs="宋体"/>
                <w:color w:val="000000" w:themeColor="text1"/>
                <w:sz w:val="21"/>
                <w:szCs w:val="21"/>
                <w:highlight w:val="none"/>
              </w:rPr>
              <w:t>需</w:t>
            </w:r>
            <w:r>
              <w:rPr>
                <w:rFonts w:hint="eastAsia" w:ascii="宋体" w:hAnsi="宋体" w:eastAsia="宋体" w:cs="宋体"/>
                <w:color w:val="000000" w:themeColor="text1"/>
                <w:sz w:val="21"/>
                <w:szCs w:val="21"/>
                <w:highlight w:val="none"/>
                <w:lang w:val="en-US" w:eastAsia="zh-CN"/>
              </w:rPr>
              <w:t>提供广东省食品安全管理人员考试合格证明证书复印件加盖投标人公章</w:t>
            </w:r>
            <w:r>
              <w:rPr>
                <w:rFonts w:hint="eastAsia" w:ascii="宋体" w:hAnsi="宋体" w:eastAsia="宋体" w:cs="宋体"/>
                <w:color w:val="000000" w:themeColor="text1"/>
                <w:sz w:val="21"/>
                <w:szCs w:val="21"/>
                <w:highlight w:val="none"/>
              </w:rPr>
              <w:t>，</w:t>
            </w:r>
            <w:r>
              <w:rPr>
                <w:rFonts w:hint="eastAsia" w:ascii="宋体" w:hAnsi="宋体" w:eastAsia="宋体" w:cs="宋体"/>
                <w:color w:val="000000" w:themeColor="text1"/>
                <w:highlight w:val="none"/>
              </w:rPr>
              <w:t>不提供不得分</w:t>
            </w:r>
            <w:r>
              <w:rPr>
                <w:rFonts w:hint="eastAsia" w:ascii="宋体" w:hAnsi="宋体" w:eastAsia="宋体" w:cs="宋体"/>
                <w:color w:val="000000" w:themeColor="text1"/>
                <w:sz w:val="21"/>
                <w:szCs w:val="21"/>
                <w:highlight w:val="none"/>
              </w:rPr>
              <w:t>。</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5</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配送能力</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9分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rPr>
              <w:t>投标人针对本项目投入的配送车辆，每配备1台配送车辆的得</w:t>
            </w:r>
            <w:r>
              <w:rPr>
                <w:rFonts w:hint="eastAsia" w:ascii="宋体" w:hAnsi="宋体" w:eastAsia="宋体" w:cs="宋体"/>
                <w:color w:val="000000" w:themeColor="text1"/>
                <w:sz w:val="21"/>
                <w:szCs w:val="21"/>
                <w:highlight w:val="none"/>
                <w:lang w:val="en-US" w:eastAsia="zh-CN"/>
              </w:rPr>
              <w:t>3分，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本项</w:t>
            </w:r>
            <w:r>
              <w:rPr>
                <w:rFonts w:hint="eastAsia" w:ascii="宋体" w:hAnsi="宋体" w:eastAsia="宋体" w:cs="宋体"/>
                <w:color w:val="000000" w:themeColor="text1"/>
                <w:sz w:val="21"/>
                <w:szCs w:val="21"/>
                <w:highlight w:val="none"/>
              </w:rPr>
              <w:t>最高得</w:t>
            </w:r>
            <w:r>
              <w:rPr>
                <w:rFonts w:hint="eastAsia" w:ascii="宋体" w:hAnsi="宋体" w:eastAsia="宋体" w:cs="宋体"/>
                <w:color w:val="000000" w:themeColor="text1"/>
                <w:sz w:val="21"/>
                <w:szCs w:val="21"/>
                <w:highlight w:val="none"/>
                <w:lang w:val="en-US" w:eastAsia="zh-CN"/>
              </w:rPr>
              <w:t>9</w:t>
            </w:r>
            <w:r>
              <w:rPr>
                <w:rFonts w:hint="eastAsia" w:ascii="宋体" w:hAnsi="宋体" w:eastAsia="宋体" w:cs="宋体"/>
                <w:color w:val="000000" w:themeColor="text1"/>
                <w:sz w:val="21"/>
                <w:szCs w:val="21"/>
                <w:highlight w:val="none"/>
              </w:rPr>
              <w:t>分</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注：投标人自有</w:t>
            </w:r>
            <w:r>
              <w:rPr>
                <w:rFonts w:hint="eastAsia" w:ascii="宋体" w:hAnsi="宋体" w:eastAsia="宋体" w:cs="宋体"/>
                <w:color w:val="000000" w:themeColor="text1"/>
                <w:sz w:val="21"/>
                <w:szCs w:val="21"/>
                <w:highlight w:val="none"/>
                <w:lang w:val="en-US" w:eastAsia="zh-CN"/>
              </w:rPr>
              <w:t>车辆的</w:t>
            </w:r>
            <w:r>
              <w:rPr>
                <w:rFonts w:hint="eastAsia" w:ascii="宋体" w:hAnsi="宋体" w:eastAsia="宋体" w:cs="宋体"/>
                <w:color w:val="000000" w:themeColor="text1"/>
                <w:sz w:val="21"/>
                <w:szCs w:val="21"/>
                <w:highlight w:val="none"/>
              </w:rPr>
              <w:t>，需提供购车发票</w:t>
            </w:r>
            <w:r>
              <w:rPr>
                <w:rFonts w:hint="eastAsia" w:ascii="宋体" w:hAnsi="宋体" w:eastAsia="宋体" w:cs="宋体"/>
                <w:color w:val="000000" w:themeColor="text1"/>
                <w:sz w:val="21"/>
                <w:szCs w:val="21"/>
                <w:highlight w:val="none"/>
                <w:lang w:val="en-US" w:eastAsia="zh-CN"/>
              </w:rPr>
              <w:t>复印件或</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w:t>
            </w:r>
            <w:r>
              <w:rPr>
                <w:rFonts w:hint="eastAsia" w:ascii="宋体" w:hAnsi="宋体" w:eastAsia="宋体" w:cs="宋体"/>
                <w:color w:val="000000" w:themeColor="text1"/>
                <w:sz w:val="21"/>
                <w:szCs w:val="21"/>
                <w:highlight w:val="none"/>
                <w:lang w:val="en-US" w:eastAsia="zh-CN"/>
              </w:rPr>
              <w:t>投标人租赁车辆的</w:t>
            </w:r>
            <w:r>
              <w:rPr>
                <w:rFonts w:hint="eastAsia" w:ascii="宋体" w:hAnsi="宋体" w:eastAsia="宋体" w:cs="宋体"/>
                <w:color w:val="000000" w:themeColor="text1"/>
                <w:sz w:val="21"/>
                <w:szCs w:val="21"/>
                <w:highlight w:val="none"/>
              </w:rPr>
              <w:t>，需提供</w:t>
            </w:r>
            <w:r>
              <w:rPr>
                <w:rFonts w:hint="eastAsia" w:ascii="宋体" w:hAnsi="宋体" w:eastAsia="宋体" w:cs="宋体"/>
                <w:color w:val="000000" w:themeColor="text1"/>
                <w:sz w:val="21"/>
                <w:szCs w:val="21"/>
                <w:highlight w:val="none"/>
                <w:lang w:val="en-US" w:eastAsia="zh-CN"/>
              </w:rPr>
              <w:t>以投标人或法定代表人签署的</w:t>
            </w:r>
            <w:r>
              <w:rPr>
                <w:rFonts w:hint="eastAsia" w:ascii="宋体" w:hAnsi="宋体" w:eastAsia="宋体" w:cs="宋体"/>
                <w:color w:val="000000" w:themeColor="text1"/>
                <w:sz w:val="21"/>
                <w:szCs w:val="21"/>
                <w:highlight w:val="none"/>
              </w:rPr>
              <w:t>车辆租赁合同</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有效的《机动车行驶证》</w:t>
            </w:r>
            <w:r>
              <w:rPr>
                <w:rFonts w:hint="eastAsia" w:ascii="宋体" w:hAnsi="宋体" w:eastAsia="宋体" w:cs="宋体"/>
                <w:color w:val="000000" w:themeColor="text1"/>
                <w:sz w:val="21"/>
                <w:szCs w:val="21"/>
                <w:highlight w:val="none"/>
                <w:lang w:val="en-US" w:eastAsia="zh-CN"/>
              </w:rPr>
              <w:t>复印件和</w:t>
            </w:r>
            <w:r>
              <w:rPr>
                <w:rFonts w:hint="eastAsia" w:ascii="宋体" w:hAnsi="宋体" w:eastAsia="宋体" w:cs="宋体"/>
                <w:color w:val="000000" w:themeColor="text1"/>
                <w:sz w:val="21"/>
                <w:szCs w:val="21"/>
                <w:highlight w:val="none"/>
              </w:rPr>
              <w:t>车辆照片加盖投标人公章。不提供不得分。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6</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投标人自有或租赁的冷冻/冷藏库情况</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投标人具有</w:t>
            </w:r>
            <w:r>
              <w:rPr>
                <w:rFonts w:hint="eastAsia" w:ascii="宋体" w:hAnsi="宋体" w:eastAsia="宋体" w:cs="宋体"/>
                <w:color w:val="000000" w:themeColor="text1"/>
                <w:sz w:val="21"/>
                <w:szCs w:val="21"/>
                <w:highlight w:val="none"/>
              </w:rPr>
              <w:t>冷冻/冷藏库</w:t>
            </w:r>
            <w:r>
              <w:rPr>
                <w:rFonts w:hint="eastAsia" w:ascii="宋体" w:hAnsi="宋体" w:eastAsia="宋体" w:cs="宋体"/>
                <w:color w:val="000000" w:themeColor="text1"/>
                <w:sz w:val="21"/>
                <w:szCs w:val="21"/>
                <w:highlight w:val="none"/>
                <w:lang w:val="en-US" w:eastAsia="zh-CN"/>
              </w:rPr>
              <w:t>的</w:t>
            </w:r>
            <w:r>
              <w:rPr>
                <w:rFonts w:hint="eastAsia" w:ascii="宋体" w:hAnsi="宋体" w:eastAsia="宋体" w:cs="宋体"/>
                <w:color w:val="000000" w:themeColor="text1"/>
                <w:sz w:val="21"/>
                <w:szCs w:val="21"/>
                <w:highlight w:val="none"/>
              </w:rPr>
              <w:t>，得</w:t>
            </w:r>
            <w:r>
              <w:rPr>
                <w:rFonts w:hint="eastAsia" w:ascii="宋体" w:hAnsi="宋体" w:eastAsia="宋体" w:cs="宋体"/>
                <w:color w:val="000000" w:themeColor="text1"/>
                <w:sz w:val="21"/>
                <w:szCs w:val="21"/>
                <w:highlight w:val="none"/>
                <w:lang w:val="en-US" w:eastAsia="zh-CN"/>
              </w:rPr>
              <w:t>4</w:t>
            </w:r>
            <w:r>
              <w:rPr>
                <w:rFonts w:hint="eastAsia" w:ascii="宋体" w:hAnsi="宋体" w:eastAsia="宋体" w:cs="宋体"/>
                <w:color w:val="000000" w:themeColor="text1"/>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及冷冻/冷藏库照片并加盖投标人公章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620" w:hRule="atLeast"/>
          <w:jc w:val="center"/>
        </w:trPr>
        <w:tc>
          <w:tcPr>
            <w:tcW w:w="77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7</w:t>
            </w:r>
          </w:p>
        </w:tc>
        <w:tc>
          <w:tcPr>
            <w:tcW w:w="15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配送场地</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4分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投标人</w:t>
            </w:r>
            <w:r>
              <w:rPr>
                <w:rFonts w:hint="eastAsia" w:ascii="宋体" w:hAnsi="宋体" w:eastAsia="宋体" w:cs="宋体"/>
                <w:color w:val="000000" w:themeColor="text1"/>
                <w:sz w:val="21"/>
                <w:szCs w:val="21"/>
                <w:highlight w:val="none"/>
                <w:lang w:val="en-US" w:eastAsia="zh-CN"/>
              </w:rPr>
              <w:t>具有</w:t>
            </w:r>
            <w:r>
              <w:rPr>
                <w:rFonts w:hint="eastAsia" w:ascii="宋体" w:hAnsi="宋体" w:eastAsia="宋体" w:cs="宋体"/>
                <w:color w:val="000000" w:themeColor="text1"/>
                <w:sz w:val="21"/>
                <w:szCs w:val="21"/>
                <w:highlight w:val="none"/>
              </w:rPr>
              <w:t xml:space="preserve">配送场地。 </w:t>
            </w:r>
          </w:p>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rPr>
              <w:t>注：提供</w:t>
            </w:r>
            <w:r>
              <w:rPr>
                <w:rFonts w:hint="eastAsia" w:ascii="宋体" w:hAnsi="宋体" w:eastAsia="宋体" w:cs="宋体"/>
                <w:color w:val="000000" w:themeColor="text1"/>
                <w:sz w:val="21"/>
                <w:szCs w:val="21"/>
                <w:highlight w:val="none"/>
                <w:lang w:val="en-US" w:eastAsia="zh-CN"/>
              </w:rPr>
              <w:t>投标人或法定代表人</w:t>
            </w:r>
            <w:r>
              <w:rPr>
                <w:rFonts w:hint="eastAsia" w:ascii="宋体" w:hAnsi="宋体" w:eastAsia="宋体" w:cs="宋体"/>
                <w:color w:val="000000" w:themeColor="text1"/>
                <w:sz w:val="21"/>
                <w:szCs w:val="21"/>
                <w:highlight w:val="none"/>
              </w:rPr>
              <w:t>的产权证明或以</w:t>
            </w:r>
            <w:r>
              <w:rPr>
                <w:rFonts w:hint="eastAsia" w:ascii="宋体" w:hAnsi="宋体" w:eastAsia="宋体" w:cs="宋体"/>
                <w:color w:val="000000" w:themeColor="text1"/>
                <w:sz w:val="21"/>
                <w:szCs w:val="21"/>
                <w:highlight w:val="none"/>
                <w:lang w:val="en-US" w:eastAsia="zh-CN"/>
              </w:rPr>
              <w:t>投标人或法定代表人签署</w:t>
            </w:r>
            <w:r>
              <w:rPr>
                <w:rFonts w:hint="eastAsia" w:ascii="宋体" w:hAnsi="宋体" w:eastAsia="宋体" w:cs="宋体"/>
                <w:color w:val="000000" w:themeColor="text1"/>
                <w:sz w:val="21"/>
                <w:szCs w:val="21"/>
                <w:highlight w:val="none"/>
              </w:rPr>
              <w:t>的租赁合同</w:t>
            </w:r>
            <w:r>
              <w:rPr>
                <w:rFonts w:hint="eastAsia" w:ascii="宋体" w:hAnsi="宋体" w:eastAsia="宋体" w:cs="宋体"/>
                <w:color w:val="000000" w:themeColor="text1"/>
                <w:sz w:val="21"/>
                <w:szCs w:val="21"/>
                <w:highlight w:val="none"/>
                <w:lang w:val="en-US" w:eastAsia="zh-CN"/>
              </w:rPr>
              <w:t>复印件</w:t>
            </w:r>
            <w:r>
              <w:rPr>
                <w:rFonts w:hint="eastAsia" w:ascii="宋体" w:hAnsi="宋体" w:eastAsia="宋体" w:cs="宋体"/>
                <w:color w:val="000000" w:themeColor="text1"/>
                <w:sz w:val="21"/>
                <w:szCs w:val="21"/>
                <w:highlight w:val="none"/>
              </w:rPr>
              <w:t>及配送场地照片并加盖投标人公章</w:t>
            </w:r>
            <w:r>
              <w:rPr>
                <w:rFonts w:hint="eastAsia" w:ascii="宋体" w:hAnsi="宋体" w:eastAsia="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不提供不得分。</w:t>
            </w:r>
          </w:p>
        </w:tc>
      </w:tr>
      <w:tr>
        <w:tblPrEx>
          <w:tblCellMar>
            <w:top w:w="0" w:type="dxa"/>
            <w:left w:w="0" w:type="dxa"/>
            <w:bottom w:w="0" w:type="dxa"/>
            <w:right w:w="0" w:type="dxa"/>
          </w:tblCellMar>
        </w:tblPrEx>
        <w:trPr>
          <w:cantSplit/>
          <w:trHeight w:val="429" w:hRule="atLeast"/>
          <w:jc w:val="center"/>
        </w:trPr>
        <w:tc>
          <w:tcPr>
            <w:tcW w:w="2277" w:type="dxa"/>
            <w:gridSpan w:val="2"/>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en-US" w:eastAsia="zh-CN"/>
              </w:rPr>
              <w:t>60</w:t>
            </w:r>
            <w:r>
              <w:rPr>
                <w:rFonts w:hint="eastAsia" w:ascii="宋体" w:hAnsi="宋体" w:eastAsia="宋体" w:cs="宋体"/>
                <w:color w:val="000000" w:themeColor="text1"/>
                <w:sz w:val="21"/>
                <w:szCs w:val="21"/>
                <w:highlight w:val="none"/>
              </w:rPr>
              <w:t>分</w:t>
            </w:r>
          </w:p>
        </w:tc>
        <w:tc>
          <w:tcPr>
            <w:tcW w:w="658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widowControl/>
        <w:tabs>
          <w:tab w:val="left" w:pos="753"/>
        </w:tabs>
        <w:adjustRightInd w:val="0"/>
        <w:snapToGrid w:val="0"/>
        <w:spacing w:line="360" w:lineRule="auto"/>
        <w:ind w:left="753" w:hanging="753"/>
        <w:rPr>
          <w:rFonts w:ascii="宋体" w:hAnsi="宋体" w:cs="Arial"/>
          <w:color w:val="000000" w:themeColor="text1"/>
          <w:szCs w:val="21"/>
          <w:highlight w:val="none"/>
        </w:rPr>
        <w:sectPr>
          <w:footerReference r:id="rId10" w:type="first"/>
          <w:footerReference r:id="rId9" w:type="default"/>
          <w:pgSz w:w="11906" w:h="16838"/>
          <w:pgMar w:top="1417" w:right="1230" w:bottom="1417" w:left="1230" w:header="851" w:footer="850" w:gutter="0"/>
          <w:cols w:space="0" w:num="1"/>
          <w:docGrid w:linePitch="312" w:charSpace="0"/>
        </w:sectPr>
      </w:pPr>
    </w:p>
    <w:bookmarkEnd w:id="1559"/>
    <w:bookmarkEnd w:id="1560"/>
    <w:bookmarkEnd w:id="1561"/>
    <w:bookmarkEnd w:id="1562"/>
    <w:bookmarkEnd w:id="1563"/>
    <w:bookmarkEnd w:id="1564"/>
    <w:bookmarkEnd w:id="1565"/>
    <w:bookmarkEnd w:id="1566"/>
    <w:bookmarkEnd w:id="1567"/>
    <w:bookmarkEnd w:id="1568"/>
    <w:p>
      <w:pPr>
        <w:pStyle w:val="3"/>
        <w:numPr>
          <w:ilvl w:val="0"/>
          <w:numId w:val="0"/>
        </w:numPr>
        <w:spacing w:beforeLines="0"/>
        <w:rPr>
          <w:color w:val="000000" w:themeColor="text1"/>
          <w:highlight w:val="none"/>
        </w:rPr>
      </w:pPr>
      <w:bookmarkStart w:id="1579" w:name="_Hlt21939000"/>
      <w:bookmarkEnd w:id="1579"/>
      <w:bookmarkStart w:id="1580" w:name="_Toc336681944"/>
      <w:bookmarkStart w:id="1581" w:name="_Toc336681589"/>
      <w:bookmarkStart w:id="1582" w:name="_Toc339441096"/>
      <w:bookmarkStart w:id="1583" w:name="_Toc339020024"/>
      <w:bookmarkStart w:id="1584" w:name="_Toc332206717"/>
      <w:bookmarkStart w:id="1585" w:name="_Toc330459994"/>
      <w:bookmarkStart w:id="1586" w:name="_Toc366072538"/>
      <w:bookmarkStart w:id="1587" w:name="_Toc365985187"/>
      <w:bookmarkStart w:id="1588" w:name="_Toc365967081"/>
      <w:bookmarkStart w:id="1589" w:name="_Toc341348347"/>
      <w:bookmarkStart w:id="1590" w:name="_Toc349127635"/>
      <w:bookmarkStart w:id="1591" w:name="_Toc331512907"/>
      <w:bookmarkStart w:id="1592" w:name="_Toc339020242"/>
      <w:bookmarkStart w:id="1593" w:name="_Toc350438758"/>
      <w:bookmarkStart w:id="1594" w:name="_Toc340507451"/>
      <w:bookmarkStart w:id="1595" w:name="_Toc337632367"/>
      <w:bookmarkStart w:id="1596" w:name="_Toc339362309"/>
      <w:bookmarkStart w:id="1597" w:name="_Toc345513910"/>
      <w:bookmarkStart w:id="1598" w:name="_Toc332270355"/>
      <w:bookmarkStart w:id="1599" w:name="_Toc331684047"/>
      <w:bookmarkStart w:id="1600" w:name="_Toc333238642"/>
      <w:bookmarkStart w:id="1601" w:name="_Toc374454610"/>
      <w:bookmarkStart w:id="1602" w:name="_Toc339019898"/>
      <w:bookmarkStart w:id="1603" w:name="_Toc339020104"/>
      <w:bookmarkStart w:id="1604" w:name="_Toc333237797"/>
      <w:bookmarkStart w:id="1605" w:name="_Toc342296769"/>
      <w:bookmarkStart w:id="1606" w:name="_Toc342060383"/>
      <w:bookmarkStart w:id="1607" w:name="_Toc333935696"/>
      <w:bookmarkStart w:id="1608" w:name="_Toc350756459"/>
      <w:bookmarkStart w:id="1609" w:name="_Toc340677079"/>
      <w:bookmarkStart w:id="1610" w:name="_Toc333237686"/>
      <w:bookmarkStart w:id="1611" w:name="_Toc333935355"/>
      <w:bookmarkStart w:id="1612" w:name="_Toc349143598"/>
      <w:bookmarkStart w:id="1613" w:name="_Toc340672878"/>
      <w:bookmarkStart w:id="1614" w:name="_Toc19694"/>
      <w:r>
        <w:rPr>
          <w:rFonts w:hint="eastAsia"/>
          <w:color w:val="000000" w:themeColor="text1"/>
          <w:highlight w:val="none"/>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rPr>
        <w:t>采购项目合同（参考范本）</w:t>
      </w:r>
      <w:bookmarkEnd w:id="1614"/>
    </w:p>
    <w:p>
      <w:pPr>
        <w:rPr>
          <w:bCs/>
          <w:color w:val="000000" w:themeColor="text1"/>
          <w:highlight w:val="none"/>
        </w:rPr>
      </w:pPr>
    </w:p>
    <w:p>
      <w:pPr>
        <w:jc w:val="center"/>
        <w:rPr>
          <w:rFonts w:hint="eastAsia" w:ascii="宋体" w:hAnsi="宋体"/>
          <w:b/>
          <w:color w:val="000000" w:themeColor="text1"/>
          <w:sz w:val="30"/>
          <w:szCs w:val="30"/>
          <w:highlight w:val="none"/>
        </w:rPr>
      </w:pPr>
    </w:p>
    <w:p>
      <w:pPr>
        <w:jc w:val="center"/>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pStyle w:val="54"/>
        <w:rPr>
          <w:rFonts w:hint="eastAsia" w:ascii="宋体" w:hAnsi="宋体"/>
          <w:b/>
          <w:color w:val="000000" w:themeColor="text1"/>
          <w:sz w:val="36"/>
          <w:szCs w:val="36"/>
          <w:highlight w:val="none"/>
        </w:rPr>
      </w:pPr>
    </w:p>
    <w:p>
      <w:pPr>
        <w:jc w:val="center"/>
        <w:rPr>
          <w:rFonts w:hint="eastAsia" w:ascii="宋体" w:hAnsi="宋体"/>
          <w:b/>
          <w:color w:val="000000" w:themeColor="text1"/>
          <w:sz w:val="72"/>
          <w:szCs w:val="72"/>
          <w:highlight w:val="none"/>
        </w:rPr>
      </w:pPr>
      <w:r>
        <w:rPr>
          <w:rFonts w:hint="eastAsia" w:ascii="宋体" w:hAnsi="宋体"/>
          <w:b/>
          <w:color w:val="000000" w:themeColor="text1"/>
          <w:sz w:val="72"/>
          <w:szCs w:val="72"/>
          <w:highlight w:val="none"/>
        </w:rPr>
        <w:t>合 同 书</w:t>
      </w: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jc w:val="cente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采购编号：</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ind w:firstLine="1968" w:firstLineChars="700"/>
        <w:rPr>
          <w:rFonts w:hint="eastAsia" w:ascii="宋体" w:hAnsi="宋体"/>
          <w:b/>
          <w:color w:val="000000" w:themeColor="text1"/>
          <w:sz w:val="28"/>
          <w:szCs w:val="28"/>
          <w:highlight w:val="none"/>
        </w:rPr>
      </w:pPr>
      <w:r>
        <w:rPr>
          <w:rFonts w:hint="eastAsia" w:ascii="宋体" w:hAnsi="宋体"/>
          <w:b/>
          <w:color w:val="000000" w:themeColor="text1"/>
          <w:sz w:val="28"/>
          <w:szCs w:val="28"/>
          <w:highlight w:val="none"/>
        </w:rPr>
        <w:t>项目名称：</w:t>
      </w:r>
      <w:r>
        <w:rPr>
          <w:rFonts w:hint="eastAsia" w:ascii="宋体" w:hAnsi="宋体"/>
          <w:b/>
          <w:color w:val="000000" w:themeColor="text1"/>
          <w:sz w:val="28"/>
          <w:szCs w:val="28"/>
          <w:highlight w:val="none"/>
          <w:u w:val="single"/>
        </w:rPr>
        <w:t xml:space="preserve">                           </w:t>
      </w: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 w:val="28"/>
          <w:szCs w:val="28"/>
          <w:highlight w:val="none"/>
        </w:rPr>
      </w:pPr>
    </w:p>
    <w:p>
      <w:pPr>
        <w:rPr>
          <w:rFonts w:hint="eastAsia" w:ascii="宋体" w:hAnsi="宋体"/>
          <w:b/>
          <w:color w:val="000000" w:themeColor="text1"/>
          <w:szCs w:val="21"/>
          <w:highlight w:val="none"/>
        </w:rPr>
      </w:pPr>
      <w:r>
        <w:rPr>
          <w:rFonts w:hint="eastAsia" w:ascii="宋体" w:hAnsi="宋体"/>
          <w:b/>
          <w:color w:val="000000" w:themeColor="text1"/>
          <w:szCs w:val="21"/>
          <w:highlight w:val="none"/>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电    话：           　   传  真：           地  址：</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乙    方：</w:t>
      </w:r>
      <w:r>
        <w:rPr>
          <w:rFonts w:hint="eastAsia" w:ascii="宋体" w:hAnsi="宋体"/>
          <w:b/>
          <w:color w:val="000000" w:themeColor="text1"/>
          <w:szCs w:val="21"/>
          <w:highlight w:val="none"/>
          <w:u w:val="single"/>
        </w:rPr>
        <w:t xml:space="preserve">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 xml:space="preserve">项目名称：                                   采购编号：               </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ind w:firstLine="55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根据 </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项目（采购编号：</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）的采购结果</w:t>
      </w:r>
      <w:r>
        <w:rPr>
          <w:rFonts w:hint="eastAsia" w:ascii="宋体" w:hAnsi="宋体"/>
          <w:color w:val="000000" w:themeColor="text1"/>
          <w:szCs w:val="21"/>
          <w:highlight w:val="none"/>
          <w:lang w:val="en-US" w:eastAsia="zh-CN"/>
        </w:rPr>
        <w:t>及</w:t>
      </w:r>
      <w:r>
        <w:rPr>
          <w:rFonts w:hint="eastAsia" w:ascii="宋体" w:hAnsi="宋体" w:cs="微软雅黑"/>
          <w:color w:val="000000" w:themeColor="text1"/>
          <w:szCs w:val="21"/>
          <w:highlight w:val="none"/>
        </w:rPr>
        <w:t>招标投标文件中的相关约定</w:t>
      </w:r>
      <w:r>
        <w:rPr>
          <w:rFonts w:hint="eastAsia" w:ascii="宋体" w:hAnsi="宋体"/>
          <w:color w:val="000000" w:themeColor="text1"/>
          <w:szCs w:val="21"/>
          <w:highlight w:val="none"/>
        </w:rPr>
        <w:t>，按照《中华人民共和国政府采购法》、《中华人民共和国民法典》的规定，</w:t>
      </w:r>
      <w:r>
        <w:rPr>
          <w:rFonts w:hint="eastAsia" w:ascii="宋体" w:hAnsi="宋体"/>
          <w:color w:val="000000" w:themeColor="text1"/>
          <w:kern w:val="28"/>
          <w:szCs w:val="21"/>
          <w:highlight w:val="none"/>
        </w:rPr>
        <w:t>经双方协商，</w:t>
      </w:r>
      <w:r>
        <w:rPr>
          <w:rFonts w:hint="eastAsia" w:ascii="宋体" w:hAnsi="宋体"/>
          <w:color w:val="000000" w:themeColor="text1"/>
          <w:szCs w:val="21"/>
          <w:highlight w:val="none"/>
        </w:rPr>
        <w:t>本着平等互利和诚实信用的原则，</w:t>
      </w:r>
      <w:r>
        <w:rPr>
          <w:rFonts w:hint="eastAsia" w:ascii="宋体" w:hAnsi="宋体"/>
          <w:color w:val="000000" w:themeColor="text1"/>
          <w:kern w:val="28"/>
          <w:szCs w:val="21"/>
          <w:highlight w:val="none"/>
        </w:rPr>
        <w:t>一致同意签订本合同如下。</w:t>
      </w:r>
    </w:p>
    <w:p>
      <w:pPr>
        <w:keepNext w:val="0"/>
        <w:keepLines w:val="0"/>
        <w:widowControl w:val="0"/>
        <w:tabs>
          <w:tab w:val="left" w:pos="630"/>
          <w:tab w:val="left" w:pos="96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一、采购标的、数量 </w:t>
      </w:r>
    </w:p>
    <w:tbl>
      <w:tblPr>
        <w:tblStyle w:val="47"/>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序号</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采购标的</w:t>
            </w:r>
          </w:p>
        </w:tc>
        <w:tc>
          <w:tcPr>
            <w:tcW w:w="2363"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产地</w:t>
            </w: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数量</w:t>
            </w: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单价(元)</w:t>
            </w: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tc>
        <w:tc>
          <w:tcPr>
            <w:tcW w:w="1155" w:type="dxa"/>
            <w:tcBorders>
              <w:top w:val="single" w:color="auto" w:sz="4" w:space="0"/>
              <w:left w:val="single" w:color="auto" w:sz="8"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23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992"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1134" w:type="dxa"/>
            <w:tcBorders>
              <w:top w:val="single" w:color="auto" w:sz="4" w:space="0"/>
              <w:left w:val="single" w:color="auto" w:sz="4" w:space="0"/>
              <w:bottom w:val="single" w:color="auto" w:sz="8" w:space="0"/>
              <w:right w:val="single" w:color="auto" w:sz="4"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1"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c>
          <w:tcPr>
            <w:tcW w:w="850" w:type="dxa"/>
            <w:tcBorders>
              <w:top w:val="single" w:color="auto" w:sz="4" w:space="0"/>
              <w:left w:val="single" w:color="auto" w:sz="4" w:space="0"/>
              <w:bottom w:val="nil"/>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0"/>
            <w:vAlign w:val="center"/>
          </w:tcPr>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合计总额：￥       元；    大写：         </w:t>
            </w:r>
          </w:p>
        </w:tc>
      </w:tr>
    </w:tbl>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合同总额包括乙方设计、安装、随机零配件、标配工具、运输保险、调试、培训、质保期服务、各项税费及合同实施过程中不可预见费用等。</w:t>
      </w:r>
    </w:p>
    <w:p>
      <w:pPr>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注：标的名称内容必须与投标文件中标的名称内容一致。</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二、合同金额</w:t>
      </w:r>
    </w:p>
    <w:p>
      <w:pPr>
        <w:pStyle w:val="26"/>
        <w:keepNext w:val="0"/>
        <w:keepLines w:val="0"/>
        <w:widowControl w:val="0"/>
        <w:kinsoku/>
        <w:wordWrap/>
        <w:overflowPunct/>
        <w:topLinePunct w:val="0"/>
        <w:autoSpaceDE/>
        <w:autoSpaceDN/>
        <w:bidi w:val="0"/>
        <w:adjustRightInd/>
        <w:snapToGrid/>
        <w:spacing w:line="400" w:lineRule="exact"/>
        <w:ind w:firstLine="420" w:firstLineChars="200"/>
        <w:textAlignment w:val="auto"/>
        <w:rPr>
          <w:rFonts w:hint="eastAsia" w:hAnsi="宋体"/>
          <w:color w:val="000000" w:themeColor="text1"/>
          <w:highlight w:val="none"/>
        </w:rPr>
      </w:pPr>
      <w:r>
        <w:rPr>
          <w:rFonts w:hint="eastAsia" w:hAnsi="宋体"/>
          <w:color w:val="000000" w:themeColor="text1"/>
          <w:highlight w:val="none"/>
        </w:rPr>
        <w:t>合同金额为（大写）：_________________元（￥_______________元）人民币。</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三、质量要求</w:t>
      </w: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tabs>
          <w:tab w:val="left" w:pos="36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
          <w:color w:val="000000" w:themeColor="text1"/>
          <w:szCs w:val="21"/>
          <w:highlight w:val="none"/>
        </w:rPr>
        <w:t>四、交货期、交货方式及交货地点</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五、付款方式</w:t>
      </w: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ind w:left="210" w:hanging="210" w:hangingChars="100"/>
        <w:textAlignment w:val="auto"/>
        <w:rPr>
          <w:rFonts w:hint="eastAsia" w:ascii="宋体" w:hAnsi="宋体" w:cs="Tahoma"/>
          <w:color w:val="000000" w:themeColor="text1"/>
          <w:szCs w:val="21"/>
          <w:highlight w:val="none"/>
        </w:rPr>
      </w:pPr>
      <w:r>
        <w:rPr>
          <w:rFonts w:hint="eastAsia" w:ascii="宋体" w:hAnsi="宋体"/>
          <w:color w:val="000000" w:themeColor="text1"/>
          <w:szCs w:val="21"/>
          <w:highlight w:val="none"/>
        </w:rPr>
        <w:t xml:space="preserve"> </w:t>
      </w:r>
      <w:r>
        <w:rPr>
          <w:rFonts w:hint="eastAsia" w:ascii="宋体" w:hAnsi="宋体"/>
          <w:b/>
          <w:color w:val="000000" w:themeColor="text1"/>
          <w:szCs w:val="21"/>
          <w:highlight w:val="none"/>
        </w:rPr>
        <w:t>六、质保期及售后服务要求</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pStyle w:val="19"/>
        <w:rPr>
          <w:rFonts w:hint="eastAsia"/>
        </w:rPr>
      </w:pPr>
    </w:p>
    <w:p>
      <w:pPr>
        <w:keepNext w:val="0"/>
        <w:keepLines w:val="0"/>
        <w:pageBreakBefore w:val="0"/>
        <w:widowControl w:val="0"/>
        <w:kinsoku/>
        <w:wordWrap/>
        <w:overflowPunct/>
        <w:topLinePunct w:val="0"/>
        <w:autoSpaceDE/>
        <w:autoSpaceDN/>
        <w:bidi w:val="0"/>
        <w:adjustRightInd/>
        <w:snapToGrid/>
        <w:spacing w:line="400" w:lineRule="exact"/>
        <w:ind w:left="420" w:hanging="420" w:hangingChars="199"/>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七、安装与调试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bCs/>
          <w:color w:val="000000" w:themeColor="text1"/>
          <w:szCs w:val="21"/>
          <w:highlight w:val="none"/>
        </w:rPr>
      </w:pPr>
      <w:r>
        <w:rPr>
          <w:rFonts w:hint="eastAsia" w:ascii="宋体" w:hAnsi="宋体"/>
          <w:b/>
          <w:bCs/>
          <w:color w:val="000000" w:themeColor="text1"/>
          <w:szCs w:val="21"/>
          <w:highlight w:val="none"/>
        </w:rPr>
        <w:t>八、验收</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bCs/>
          <w:color w:val="000000" w:themeColor="text1"/>
          <w:szCs w:val="21"/>
          <w:highlight w:val="none"/>
        </w:rPr>
        <w:t>九、</w:t>
      </w:r>
      <w:r>
        <w:rPr>
          <w:rFonts w:hint="eastAsia" w:ascii="宋体" w:hAnsi="宋体"/>
          <w:b/>
          <w:color w:val="000000" w:themeColor="text1"/>
          <w:szCs w:val="21"/>
          <w:highlight w:val="none"/>
        </w:rPr>
        <w:t>违约责任与赔偿损失</w:t>
      </w:r>
    </w:p>
    <w:p>
      <w:pPr>
        <w:keepNext w:val="0"/>
        <w:keepLines w:val="0"/>
        <w:pageBreakBefore w:val="0"/>
        <w:widowControl w:val="0"/>
        <w:tabs>
          <w:tab w:val="left" w:pos="900"/>
        </w:tabs>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1、乙方交付的货物、工程/提供的服务不符合本合同规定的，甲方有权拒收，并且乙方须向甲方支付本合同总价5%的违约金。</w:t>
      </w:r>
    </w:p>
    <w:p>
      <w:pPr>
        <w:keepNext w:val="0"/>
        <w:keepLines w:val="0"/>
        <w:pageBreakBefore w:val="0"/>
        <w:widowControl w:val="0"/>
        <w:tabs>
          <w:tab w:val="left" w:pos="720"/>
          <w:tab w:val="left" w:pos="900"/>
        </w:tabs>
        <w:kinsoku/>
        <w:wordWrap/>
        <w:overflowPunct/>
        <w:topLinePunct w:val="0"/>
        <w:autoSpaceDE/>
        <w:autoSpaceDN/>
        <w:bidi w:val="0"/>
        <w:adjustRightInd/>
        <w:snapToGrid/>
        <w:spacing w:line="400" w:lineRule="exact"/>
        <w:ind w:right="21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3、甲方无正当理由拒收货物/接受服务，到期拒付货物/服务款项的，甲方向乙方偿付本合同总的5%的违约金。甲方人逾期付款，则每日按本合同总价的3‰向乙方偿付违约金，违约金累计总额不超过欠款总价的5%。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Cs/>
          <w:color w:val="000000" w:themeColor="text1"/>
          <w:szCs w:val="21"/>
          <w:highlight w:val="none"/>
        </w:rPr>
      </w:pPr>
      <w:r>
        <w:rPr>
          <w:rFonts w:hint="eastAsia" w:ascii="宋体" w:hAnsi="宋体"/>
          <w:bCs/>
          <w:color w:val="000000" w:themeColor="text1"/>
          <w:szCs w:val="21"/>
          <w:highlight w:val="none"/>
        </w:rPr>
        <w:t>4、其它违约责任按《中华人民共和国民法典》处理。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十、争议的解决</w:t>
      </w:r>
    </w:p>
    <w:p>
      <w:pPr>
        <w:keepNext w:val="0"/>
        <w:keepLines w:val="0"/>
        <w:pageBreakBefore w:val="0"/>
        <w:widowControl w:val="0"/>
        <w:tabs>
          <w:tab w:val="left" w:pos="824"/>
        </w:tabs>
        <w:kinsoku/>
        <w:wordWrap/>
        <w:overflowPunct/>
        <w:topLinePunct w:val="0"/>
        <w:autoSpaceDE/>
        <w:autoSpaceDN/>
        <w:bidi w:val="0"/>
        <w:adjustRightInd/>
        <w:snapToGrid/>
        <w:spacing w:line="400" w:lineRule="exact"/>
        <w:ind w:firstLine="420" w:firstLineChars="200"/>
        <w:textAlignment w:val="auto"/>
        <w:rPr>
          <w:rFonts w:hint="eastAsia" w:ascii="宋体" w:hAnsi="宋体"/>
          <w:bCs/>
          <w:color w:val="000000" w:themeColor="text1"/>
          <w:szCs w:val="21"/>
          <w:highlight w:val="none"/>
        </w:rPr>
      </w:pPr>
      <w:r>
        <w:rPr>
          <w:rFonts w:hint="eastAsia" w:ascii="宋体" w:hAnsi="宋体"/>
          <w:color w:val="000000" w:themeColor="text1"/>
          <w:szCs w:val="21"/>
          <w:highlight w:val="none"/>
        </w:rPr>
        <w:t>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十一、不可抗力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十二、税费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十三、其它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color w:val="000000" w:themeColor="text1"/>
          <w:szCs w:val="21"/>
          <w:highlight w:val="none"/>
        </w:rPr>
        <w:t>1、本合同所有附件、招标文件、投标文件、中标通知书通知书均为合同的有效组成部分，与本合同具有同等法律效力。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bCs/>
          <w:color w:val="000000" w:themeColor="text1"/>
          <w:szCs w:val="21"/>
          <w:highlight w:val="none"/>
        </w:rPr>
        <w:t>2、</w:t>
      </w:r>
      <w:r>
        <w:rPr>
          <w:rFonts w:hint="eastAsia" w:ascii="宋体" w:hAnsi="宋体"/>
          <w:color w:val="000000" w:themeColor="text1"/>
          <w:szCs w:val="21"/>
          <w:highlight w:val="none"/>
        </w:rPr>
        <w:t>在执行本合同的过程中，所有经双方签署确认的文件（包括会议纪要、补充协议、往来信函）即成为本合同的有效组成部分。</w:t>
      </w:r>
    </w:p>
    <w:p>
      <w:pPr>
        <w:keepNext w:val="0"/>
        <w:keepLines w:val="0"/>
        <w:pageBreakBefore w:val="0"/>
        <w:widowControl w:val="0"/>
        <w:kinsoku/>
        <w:wordWrap/>
        <w:overflowPunct/>
        <w:topLinePunct w:val="0"/>
        <w:autoSpaceDE/>
        <w:autoSpaceDN/>
        <w:bidi w:val="0"/>
        <w:adjustRightInd/>
        <w:snapToGrid/>
        <w:spacing w:line="400" w:lineRule="exact"/>
        <w:ind w:left="630" w:hanging="630" w:hangingChars="300"/>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3、如一方地址、电话、传真号码有变更，应在变更当日内书面通知对方，否则应承担相应责任。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4、除甲方事先书面同意外，乙方不得部分或全部转让其应履行的合同项下的义务。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十四、合同生效：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1、本合同在甲乙双方法人代表或其授权代表签字盖章后生效。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2、合同一式</w:t>
      </w:r>
      <w:r>
        <w:rPr>
          <w:rFonts w:hint="eastAsia" w:ascii="宋体" w:hAnsi="宋体"/>
          <w:color w:val="000000" w:themeColor="text1"/>
          <w:szCs w:val="21"/>
          <w:highlight w:val="none"/>
          <w:u w:val="single"/>
        </w:rPr>
        <w:t xml:space="preserve">    </w:t>
      </w:r>
      <w:r>
        <w:rPr>
          <w:rFonts w:hint="eastAsia" w:ascii="宋体" w:hAnsi="宋体"/>
          <w:color w:val="000000" w:themeColor="text1"/>
          <w:szCs w:val="21"/>
          <w:highlight w:val="none"/>
        </w:rPr>
        <w:t>份。</w:t>
      </w:r>
    </w:p>
    <w:p>
      <w:pPr>
        <w:tabs>
          <w:tab w:val="left" w:pos="1004"/>
        </w:tabs>
        <w:spacing w:line="360" w:lineRule="exact"/>
        <w:rPr>
          <w:rFonts w:ascii="宋体" w:hAnsi="宋体"/>
          <w:bCs/>
          <w:color w:val="000000" w:themeColor="text1"/>
          <w:szCs w:val="21"/>
          <w:highlight w:val="none"/>
        </w:rPr>
      </w:pPr>
      <w:r>
        <w:rPr>
          <w:rFonts w:hint="eastAsia" w:ascii="宋体" w:hAnsi="宋体"/>
          <w:color w:val="000000" w:themeColor="text1"/>
          <w:szCs w:val="21"/>
          <w:highlight w:val="none"/>
          <w:lang w:val="en-US" w:eastAsia="zh-CN"/>
        </w:rPr>
        <w:t>3</w:t>
      </w:r>
      <w:r>
        <w:rPr>
          <w:rFonts w:hint="eastAsia" w:ascii="宋体" w:hAnsi="宋体"/>
          <w:color w:val="000000" w:themeColor="text1"/>
          <w:szCs w:val="21"/>
          <w:highlight w:val="none"/>
        </w:rPr>
        <w:t>、</w:t>
      </w:r>
      <w:r>
        <w:rPr>
          <w:rFonts w:hint="eastAsia" w:ascii="宋体" w:hAnsi="宋体"/>
          <w:bCs/>
          <w:color w:val="000000" w:themeColor="text1"/>
          <w:szCs w:val="21"/>
          <w:highlight w:val="none"/>
        </w:rPr>
        <w:t>本项目合同订立后，应提供</w:t>
      </w:r>
      <w:r>
        <w:rPr>
          <w:rFonts w:hint="eastAsia" w:ascii="宋体" w:hAnsi="宋体"/>
          <w:bCs/>
          <w:color w:val="000000" w:themeColor="text1"/>
          <w:szCs w:val="21"/>
          <w:highlight w:val="none"/>
          <w:lang w:val="en-US" w:eastAsia="zh-CN"/>
        </w:rPr>
        <w:t>一份</w:t>
      </w:r>
      <w:r>
        <w:rPr>
          <w:rFonts w:hint="eastAsia" w:ascii="宋体" w:hAnsi="宋体"/>
          <w:bCs/>
          <w:color w:val="000000" w:themeColor="text1"/>
          <w:szCs w:val="21"/>
          <w:highlight w:val="none"/>
        </w:rPr>
        <w:t>至</w:t>
      </w:r>
      <w:r>
        <w:rPr>
          <w:rFonts w:hint="eastAsia" w:ascii="宋体" w:hAnsi="宋体"/>
          <w:bCs/>
          <w:color w:val="000000" w:themeColor="text1"/>
          <w:szCs w:val="21"/>
          <w:highlight w:val="none"/>
          <w:u w:val="single"/>
        </w:rPr>
        <w:t>广东业信采购招标有限公司</w:t>
      </w:r>
      <w:r>
        <w:rPr>
          <w:rFonts w:hint="eastAsia" w:ascii="宋体" w:hAnsi="宋体"/>
          <w:bCs/>
          <w:color w:val="000000" w:themeColor="text1"/>
          <w:szCs w:val="21"/>
          <w:highlight w:val="none"/>
        </w:rPr>
        <w:t>备案；</w:t>
      </w:r>
      <w:r>
        <w:rPr>
          <w:rFonts w:ascii="宋体" w:hAnsi="宋体"/>
          <w:bCs/>
          <w:color w:val="000000" w:themeColor="text1"/>
          <w:szCs w:val="21"/>
          <w:highlight w:val="none"/>
        </w:rPr>
        <w:t xml:space="preserve"> </w:t>
      </w:r>
    </w:p>
    <w:p>
      <w:pPr>
        <w:pStyle w:val="54"/>
        <w:rPr>
          <w:rFonts w:ascii="宋体" w:hAnsi="宋体"/>
          <w:bCs/>
          <w:color w:val="000000" w:themeColor="text1"/>
          <w:szCs w:val="21"/>
          <w:highlight w:val="none"/>
        </w:rPr>
      </w:pPr>
    </w:p>
    <w:p>
      <w:pPr>
        <w:pStyle w:val="54"/>
        <w:rPr>
          <w:rFonts w:ascii="宋体" w:hAnsi="宋体"/>
          <w:bCs/>
          <w:color w:val="000000" w:themeColor="text1"/>
          <w:szCs w:val="21"/>
          <w:highlight w:val="none"/>
        </w:rPr>
      </w:pPr>
    </w:p>
    <w:p>
      <w:pPr>
        <w:pStyle w:val="54"/>
        <w:rPr>
          <w:rFonts w:hint="eastAsia"/>
          <w:color w:val="000000" w:themeColor="text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甲方（盖章）：                         乙方（盖章）：</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b/>
          <w:color w:val="000000" w:themeColor="text1"/>
          <w:szCs w:val="21"/>
          <w:highlight w:val="none"/>
        </w:rPr>
      </w:pPr>
      <w:r>
        <w:rPr>
          <w:rFonts w:hint="eastAsia" w:ascii="宋体" w:hAnsi="宋体"/>
          <w:b/>
          <w:color w:val="000000" w:themeColor="text1"/>
          <w:szCs w:val="21"/>
          <w:highlight w:val="none"/>
        </w:rPr>
        <w:t xml:space="preserve">代表：                                代表：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签定地点：</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签定日期：   年   月  日              签定日期：    年   月   日    </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开户名称：</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银行帐号：</w:t>
      </w:r>
    </w:p>
    <w:p>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rPr>
      </w:pPr>
      <w:r>
        <w:rPr>
          <w:rFonts w:hint="eastAsia" w:ascii="宋体" w:hAnsi="宋体"/>
          <w:color w:val="000000" w:themeColor="text1"/>
          <w:szCs w:val="21"/>
          <w:highlight w:val="none"/>
        </w:rPr>
        <w:t>开 户 行：</w:t>
      </w:r>
    </w:p>
    <w:p>
      <w:pPr>
        <w:tabs>
          <w:tab w:val="left" w:pos="1004"/>
        </w:tabs>
        <w:spacing w:line="440" w:lineRule="exact"/>
        <w:rPr>
          <w:rFonts w:ascii="宋体" w:hAnsi="宋体"/>
          <w:bCs/>
          <w:color w:val="000000" w:themeColor="text1"/>
          <w:szCs w:val="21"/>
          <w:highlight w:val="none"/>
        </w:rPr>
      </w:pPr>
    </w:p>
    <w:p>
      <w:pPr>
        <w:tabs>
          <w:tab w:val="left" w:pos="1004"/>
        </w:tabs>
        <w:spacing w:line="440" w:lineRule="exact"/>
        <w:ind w:right="31" w:rightChars="15"/>
        <w:rPr>
          <w:rFonts w:ascii="宋体" w:hAnsi="宋体"/>
          <w:b/>
          <w:bCs/>
          <w:color w:val="000000" w:themeColor="text1"/>
          <w:szCs w:val="21"/>
          <w:highlight w:val="none"/>
        </w:rPr>
        <w:sectPr>
          <w:pgSz w:w="11906" w:h="16838"/>
          <w:pgMar w:top="1474" w:right="1418" w:bottom="1474" w:left="1418" w:header="851" w:footer="851" w:gutter="0"/>
          <w:cols w:space="720" w:num="1"/>
          <w:titlePg/>
          <w:docGrid w:linePitch="312" w:charSpace="0"/>
        </w:sectPr>
      </w:pPr>
    </w:p>
    <w:p>
      <w:pPr>
        <w:pStyle w:val="3"/>
        <w:numPr>
          <w:ilvl w:val="0"/>
          <w:numId w:val="0"/>
        </w:numPr>
        <w:spacing w:beforeLines="0"/>
        <w:rPr>
          <w:color w:val="000000" w:themeColor="text1"/>
          <w:highlight w:val="none"/>
        </w:rPr>
      </w:pPr>
      <w:bookmarkStart w:id="1616" w:name="_Toc340677080"/>
      <w:bookmarkStart w:id="1617" w:name="_Toc342296770"/>
      <w:bookmarkStart w:id="1618" w:name="_Toc340507452"/>
      <w:bookmarkStart w:id="1619" w:name="_Toc333935356"/>
      <w:bookmarkStart w:id="1620" w:name="_Toc366072539"/>
      <w:bookmarkStart w:id="1621" w:name="_Toc332270356"/>
      <w:bookmarkStart w:id="1622" w:name="_Toc330459995"/>
      <w:bookmarkStart w:id="1623" w:name="_Toc339020105"/>
      <w:bookmarkStart w:id="1624" w:name="_Toc350438759"/>
      <w:bookmarkStart w:id="1625" w:name="_Toc349127636"/>
      <w:bookmarkStart w:id="1626" w:name="_Toc341348348"/>
      <w:bookmarkStart w:id="1627" w:name="_Toc332206718"/>
      <w:bookmarkStart w:id="1628" w:name="_Toc342060384"/>
      <w:bookmarkStart w:id="1629" w:name="_Toc340672879"/>
      <w:bookmarkStart w:id="1630" w:name="_Toc339362310"/>
      <w:bookmarkStart w:id="1631" w:name="_Toc500861025"/>
      <w:bookmarkStart w:id="1632" w:name="_Toc331684048"/>
      <w:bookmarkStart w:id="1633" w:name="_Toc339020243"/>
      <w:bookmarkStart w:id="1634" w:name="_Toc339441097"/>
      <w:bookmarkStart w:id="1635" w:name="_Toc333238643"/>
      <w:bookmarkStart w:id="1636" w:name="_Toc339019899"/>
      <w:bookmarkStart w:id="1637" w:name="_Toc331512908"/>
      <w:bookmarkStart w:id="1638" w:name="_Toc365967082"/>
      <w:bookmarkStart w:id="1639" w:name="_Toc333237798"/>
      <w:bookmarkStart w:id="1640" w:name="_Toc365985188"/>
      <w:bookmarkStart w:id="1641" w:name="_Toc350756460"/>
      <w:bookmarkStart w:id="1642" w:name="_Toc491658678"/>
      <w:bookmarkStart w:id="1643" w:name="_Toc23944"/>
      <w:bookmarkStart w:id="1644" w:name="_Toc333237687"/>
      <w:bookmarkStart w:id="1645" w:name="_Toc339020025"/>
      <w:bookmarkStart w:id="1646" w:name="_Toc337632368"/>
      <w:bookmarkStart w:id="1647" w:name="_Toc333935697"/>
      <w:bookmarkStart w:id="1648" w:name="_Toc336681945"/>
      <w:bookmarkStart w:id="1649" w:name="_Toc349143599"/>
      <w:bookmarkStart w:id="1650" w:name="_Toc345513911"/>
      <w:bookmarkStart w:id="1651" w:name="_Toc336681590"/>
      <w:r>
        <w:rPr>
          <w:rFonts w:hint="eastAsia"/>
          <w:color w:val="000000" w:themeColor="text1"/>
          <w:highlight w:val="none"/>
        </w:rPr>
        <w:t>第五部分</w:t>
      </w:r>
      <w:bookmarkStart w:id="1652" w:name="_Hlt97188172"/>
      <w:bookmarkEnd w:id="1652"/>
      <w:r>
        <w:rPr>
          <w:rFonts w:hint="eastAsia"/>
          <w:color w:val="000000" w:themeColor="text1"/>
          <w:highlight w:val="none"/>
        </w:rPr>
        <w:t xml:space="preserve"> </w:t>
      </w:r>
      <w:r>
        <w:rPr>
          <w:color w:val="000000" w:themeColor="text1"/>
          <w:highlight w:val="none"/>
        </w:rPr>
        <w:t xml:space="preserve"> </w:t>
      </w:r>
      <w:r>
        <w:rPr>
          <w:rFonts w:hint="eastAsia"/>
          <w:color w:val="000000" w:themeColor="text1"/>
          <w:highlight w:val="none"/>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pPr>
        <w:pStyle w:val="4"/>
        <w:numPr>
          <w:ilvl w:val="0"/>
          <w:numId w:val="0"/>
        </w:numPr>
        <w:rPr>
          <w:color w:val="000000" w:themeColor="text1"/>
          <w:sz w:val="24"/>
          <w:highlight w:val="none"/>
        </w:rPr>
      </w:pPr>
      <w:bookmarkStart w:id="1654" w:name="_Toc331512909"/>
      <w:bookmarkStart w:id="1655" w:name="_Toc342060385"/>
      <w:bookmarkStart w:id="1656" w:name="_Toc365985189"/>
      <w:bookmarkStart w:id="1657" w:name="_Toc349143600"/>
      <w:bookmarkStart w:id="1658" w:name="_Toc342296771"/>
      <w:bookmarkStart w:id="1659" w:name="_Toc341348349"/>
      <w:bookmarkStart w:id="1660" w:name="_Toc333935357"/>
      <w:bookmarkStart w:id="1661" w:name="_Toc333237799"/>
      <w:bookmarkStart w:id="1662" w:name="_Toc340677081"/>
      <w:bookmarkStart w:id="1663" w:name="_Toc331684049"/>
      <w:bookmarkStart w:id="1664" w:name="_Toc4310"/>
      <w:bookmarkStart w:id="1665" w:name="_Toc332206719"/>
      <w:bookmarkStart w:id="1666" w:name="_Toc365967083"/>
      <w:bookmarkStart w:id="1667" w:name="_Toc339020026"/>
      <w:bookmarkStart w:id="1668" w:name="_Toc340507453"/>
      <w:bookmarkStart w:id="1669" w:name="_Toc350756461"/>
      <w:bookmarkStart w:id="1670" w:name="_Toc336681946"/>
      <w:bookmarkStart w:id="1671" w:name="_Toc339441098"/>
      <w:bookmarkStart w:id="1672" w:name="_Toc350438760"/>
      <w:bookmarkStart w:id="1673" w:name="_Toc333238644"/>
      <w:bookmarkStart w:id="1674" w:name="_Toc339020244"/>
      <w:bookmarkStart w:id="1675" w:name="_Toc330459996"/>
      <w:bookmarkStart w:id="1676" w:name="_Toc345513912"/>
      <w:bookmarkStart w:id="1677" w:name="_Toc339020106"/>
      <w:bookmarkStart w:id="1678" w:name="_Toc366072540"/>
      <w:bookmarkStart w:id="1679" w:name="_Toc339019900"/>
      <w:bookmarkStart w:id="1680" w:name="_Toc349127637"/>
      <w:bookmarkStart w:id="1681" w:name="_Toc332270357"/>
      <w:bookmarkStart w:id="1682" w:name="_Toc333935698"/>
      <w:bookmarkStart w:id="1683" w:name="_Toc339362311"/>
      <w:bookmarkStart w:id="1684" w:name="_Toc336681591"/>
      <w:bookmarkStart w:id="1685" w:name="_Toc337632369"/>
      <w:bookmarkStart w:id="1686" w:name="_Toc333237688"/>
      <w:bookmarkStart w:id="1687" w:name="_Toc340672880"/>
      <w:bookmarkStart w:id="1688" w:name="_Hlk534184453"/>
      <w:r>
        <w:rPr>
          <w:rFonts w:hint="eastAsia"/>
          <w:color w:val="000000" w:themeColor="text1"/>
          <w:sz w:val="24"/>
          <w:highlight w:val="none"/>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 xml:space="preserve">1、投标内容应当编有目录、页码，按页码排序并装订成册。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（资格审查文件）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color w:val="000000" w:themeColor="text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tabs>
          <w:tab w:val="left" w:pos="1004"/>
          <w:tab w:val="left" w:pos="4267"/>
        </w:tabs>
        <w:spacing w:line="400" w:lineRule="exact"/>
        <w:rPr>
          <w:rFonts w:ascii="宋体" w:hAnsi="宋体"/>
          <w:bCs/>
          <w:color w:val="000000" w:themeColor="text1"/>
          <w:highlight w:val="none"/>
        </w:rPr>
      </w:pPr>
    </w:p>
    <w:p>
      <w:pPr>
        <w:rPr>
          <w:color w:val="000000" w:themeColor="text1"/>
          <w:sz w:val="24"/>
          <w:highlight w:val="none"/>
        </w:rPr>
      </w:pPr>
      <w:bookmarkStart w:id="1689" w:name="_Toc30307"/>
      <w:bookmarkStart w:id="1690" w:name="_Toc272497428"/>
      <w:bookmarkStart w:id="1691" w:name="_Toc268004451"/>
      <w:r>
        <w:rPr>
          <w:rFonts w:hint="eastAsia"/>
          <w:color w:val="000000" w:themeColor="text1"/>
          <w:sz w:val="24"/>
          <w:highlight w:val="none"/>
        </w:rPr>
        <w:br w:type="page"/>
      </w:r>
    </w:p>
    <w:p>
      <w:pPr>
        <w:pStyle w:val="4"/>
        <w:numPr>
          <w:ilvl w:val="7"/>
          <w:numId w:val="6"/>
        </w:numPr>
        <w:tabs>
          <w:tab w:val="clear" w:pos="720"/>
        </w:tabs>
        <w:spacing w:before="240" w:after="240" w:line="360" w:lineRule="exact"/>
        <w:ind w:left="0" w:firstLine="0"/>
        <w:rPr>
          <w:color w:val="000000" w:themeColor="text1"/>
          <w:sz w:val="24"/>
          <w:highlight w:val="none"/>
        </w:rPr>
      </w:pPr>
      <w:r>
        <w:rPr>
          <w:rFonts w:hint="eastAsia"/>
          <w:color w:val="000000" w:themeColor="text1"/>
          <w:sz w:val="24"/>
          <w:highlight w:val="none"/>
        </w:rPr>
        <w:t xml:space="preserve">  </w:t>
      </w:r>
      <w:bookmarkStart w:id="1692" w:name="_Toc21578"/>
      <w:r>
        <w:rPr>
          <w:rFonts w:hint="eastAsia"/>
          <w:color w:val="000000" w:themeColor="text1"/>
          <w:sz w:val="24"/>
          <w:highlight w:val="none"/>
        </w:rPr>
        <w:t>自查表</w:t>
      </w:r>
      <w:bookmarkEnd w:id="1689"/>
      <w:bookmarkEnd w:id="1692"/>
    </w:p>
    <w:bookmarkEnd w:id="1690"/>
    <w:bookmarkEnd w:id="1691"/>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r>
        <w:rPr>
          <w:rFonts w:hint="eastAsia" w:ascii="宋体"/>
          <w:b/>
          <w:bCs w:val="0"/>
          <w:color w:val="000000" w:themeColor="text1"/>
          <w:szCs w:val="21"/>
          <w:highlight w:val="none"/>
        </w:rPr>
        <w:t xml:space="preserve"> </w:t>
      </w:r>
      <w:bookmarkStart w:id="1693" w:name="_Toc3013"/>
      <w:r>
        <w:rPr>
          <w:rFonts w:hint="eastAsia" w:ascii="宋体"/>
          <w:b/>
          <w:bCs w:val="0"/>
          <w:color w:val="000000" w:themeColor="text1"/>
          <w:szCs w:val="21"/>
          <w:highlight w:val="none"/>
        </w:rPr>
        <w:t>资格性自查表</w:t>
      </w:r>
      <w:bookmarkEnd w:id="1693"/>
    </w:p>
    <w:tbl>
      <w:tblPr>
        <w:tblStyle w:val="47"/>
        <w:tblpPr w:leftFromText="180" w:rightFromText="180" w:vertAnchor="text" w:horzAnchor="page" w:tblpXSpec="center" w:tblpY="302"/>
        <w:tblOverlap w:val="never"/>
        <w:tblW w:w="9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1384"/>
        <w:gridCol w:w="2959"/>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50" w:type="dxa"/>
            <w:gridSpan w:val="2"/>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2959"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966"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资格性检查</w:t>
            </w:r>
          </w:p>
        </w:tc>
        <w:tc>
          <w:tcPr>
            <w:tcW w:w="1384" w:type="dxa"/>
            <w:vMerge w:val="restart"/>
            <w:vAlign w:val="center"/>
          </w:tcPr>
          <w:p>
            <w:pPr>
              <w:keepNext w:val="0"/>
              <w:keepLines w:val="0"/>
              <w:pageBreakBefore w:val="0"/>
              <w:widowControl w:val="0"/>
              <w:kinsoku/>
              <w:wordWrap/>
              <w:overflowPunct/>
              <w:topLinePunct w:val="0"/>
              <w:autoSpaceDE/>
              <w:autoSpaceDN/>
              <w:bidi w:val="0"/>
              <w:spacing w:line="280" w:lineRule="exact"/>
              <w:textAlignment w:val="auto"/>
              <w:rPr>
                <w:color w:val="000000" w:themeColor="text1"/>
                <w:highlight w:val="none"/>
              </w:rPr>
            </w:pPr>
            <w:r>
              <w:rPr>
                <w:rFonts w:hint="eastAsia"/>
                <w:color w:val="000000" w:themeColor="text1"/>
                <w:highlight w:val="none"/>
              </w:rPr>
              <w:t>投标人资格要求</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rPr>
              <w:t>投标人应具备《中华人民共和国政府采购法》第二十二条规定的条件</w:t>
            </w:r>
          </w:p>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color w:val="000000" w:themeColor="text1"/>
                <w:szCs w:val="21"/>
                <w:highlight w:val="none"/>
              </w:rPr>
            </w:pPr>
            <w:r>
              <w:rPr>
                <w:rFonts w:hint="eastAsia" w:ascii="宋体" w:hAnsi="宋体"/>
                <w:b/>
                <w:color w:val="000000" w:themeColor="text1"/>
                <w:szCs w:val="21"/>
                <w:highlight w:val="none"/>
              </w:rPr>
              <w:t>第（  ）页</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要求：提交合法有效的营业执照复印件加盖公章、</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单位负责人为同一人或者存在直接控股、管理关系的不同供应商，不得参加同一合同项下的政府采购活动。（提供《投标函》承诺）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为采购项目提供整体设计、规范编制或者项目管理、监理、检测等服务的供应商，不得再参加采购项目的其他采购活动。（提供《投标函》承诺）</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3"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hint="eastAsia"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hint="eastAsia" w:ascii="宋体" w:hAnsi="宋体"/>
                <w:color w:val="000000" w:themeColor="text1"/>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hint="eastAsia" w:ascii="宋体" w:hAnsi="宋体"/>
                <w:b w:val="0"/>
                <w:bCs w:val="0"/>
                <w:color w:val="000000" w:themeColor="text1"/>
                <w:szCs w:val="21"/>
                <w:highlight w:val="none"/>
                <w:lang w:val="en-US" w:eastAsia="zh-CN"/>
              </w:rPr>
            </w:pPr>
            <w:r>
              <w:rPr>
                <w:rFonts w:hint="eastAsia" w:ascii="宋体" w:hAnsi="宋体"/>
                <w:b w:val="0"/>
                <w:bCs w:val="0"/>
                <w:color w:val="000000" w:themeColor="text1"/>
                <w:szCs w:val="21"/>
                <w:highlight w:val="none"/>
                <w:lang w:val="en-US" w:eastAsia="zh-CN"/>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384" w:type="dxa"/>
            <w:vMerge w:val="continue"/>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color w:val="000000" w:themeColor="text1"/>
                <w:szCs w:val="21"/>
                <w:highlight w:val="none"/>
              </w:rPr>
            </w:pP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val="0"/>
                <w:bCs w:val="0"/>
                <w:color w:val="000000" w:themeColor="text1"/>
                <w:szCs w:val="21"/>
                <w:highlight w:val="none"/>
              </w:rPr>
            </w:pPr>
            <w:r>
              <w:rPr>
                <w:rFonts w:hint="eastAsia" w:ascii="宋体" w:hAnsi="宋体"/>
                <w:b w:val="0"/>
                <w:bCs w:val="0"/>
                <w:color w:val="000000" w:themeColor="text1"/>
                <w:szCs w:val="21"/>
                <w:highlight w:val="none"/>
                <w:lang w:val="en-US" w:eastAsia="zh-CN"/>
              </w:rPr>
              <w:t>投标人必须具备有效的《食品经营许可证》。</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textAlignment w:val="auto"/>
              <w:rPr>
                <w:rFonts w:ascii="宋体" w:hAnsi="宋体"/>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66" w:type="dxa"/>
            <w:vMerge w:val="continue"/>
            <w:vAlign w:val="center"/>
          </w:tcPr>
          <w:p>
            <w:pPr>
              <w:keepNext w:val="0"/>
              <w:keepLines w:val="0"/>
              <w:pageBreakBefore w:val="0"/>
              <w:widowControl w:val="0"/>
              <w:tabs>
                <w:tab w:val="left" w:pos="480"/>
              </w:tabs>
              <w:kinsoku/>
              <w:wordWrap/>
              <w:overflowPunct/>
              <w:topLinePunct w:val="0"/>
              <w:autoSpaceDE/>
              <w:autoSpaceDN/>
              <w:bidi w:val="0"/>
              <w:spacing w:line="280" w:lineRule="exact"/>
              <w:ind w:left="480" w:hanging="480"/>
              <w:jc w:val="center"/>
              <w:textAlignment w:val="auto"/>
              <w:rPr>
                <w:rFonts w:ascii="宋体" w:hAnsi="宋体"/>
                <w:color w:val="000000" w:themeColor="text1"/>
                <w:szCs w:val="21"/>
                <w:highlight w:val="none"/>
              </w:rPr>
            </w:pPr>
          </w:p>
        </w:tc>
        <w:tc>
          <w:tcPr>
            <w:tcW w:w="1384" w:type="dxa"/>
            <w:vAlign w:val="center"/>
          </w:tcPr>
          <w:p>
            <w:pPr>
              <w:keepNext w:val="0"/>
              <w:keepLines w:val="0"/>
              <w:pageBreakBefore w:val="0"/>
              <w:widowControl w:val="0"/>
              <w:tabs>
                <w:tab w:val="left" w:pos="146"/>
              </w:tabs>
              <w:kinsoku/>
              <w:wordWrap/>
              <w:overflowPunct/>
              <w:topLinePunct w:val="0"/>
              <w:autoSpaceDE/>
              <w:autoSpaceDN/>
              <w:bidi w:val="0"/>
              <w:spacing w:line="280" w:lineRule="exact"/>
              <w:ind w:left="146"/>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不接受联合体投标</w:t>
            </w:r>
          </w:p>
        </w:tc>
        <w:tc>
          <w:tcPr>
            <w:tcW w:w="2959" w:type="dxa"/>
            <w:vAlign w:val="center"/>
          </w:tcPr>
          <w:p>
            <w:pPr>
              <w:keepNext w:val="0"/>
              <w:keepLines w:val="0"/>
              <w:pageBreakBefore w:val="0"/>
              <w:widowControl w:val="0"/>
              <w:tabs>
                <w:tab w:val="left" w:pos="0"/>
              </w:tabs>
              <w:kinsoku/>
              <w:wordWrap/>
              <w:overflowPunct/>
              <w:topLinePunct w:val="0"/>
              <w:autoSpaceDE/>
              <w:autoSpaceDN/>
              <w:bidi w:val="0"/>
              <w:spacing w:line="280" w:lineRule="exact"/>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keepNext w:val="0"/>
              <w:keepLines w:val="0"/>
              <w:pageBreakBefore w:val="0"/>
              <w:widowControl w:val="0"/>
              <w:tabs>
                <w:tab w:val="left" w:pos="480"/>
              </w:tabs>
              <w:kinsoku/>
              <w:wordWrap/>
              <w:overflowPunct/>
              <w:topLinePunct w:val="0"/>
              <w:autoSpaceDE/>
              <w:autoSpaceDN/>
              <w:bidi w:val="0"/>
              <w:spacing w:line="280" w:lineRule="exact"/>
              <w:ind w:left="-107" w:leftChars="-51" w:firstLine="106"/>
              <w:textAlignment w:val="auto"/>
              <w:rPr>
                <w:rFonts w:ascii="宋体" w:hAnsi="宋体"/>
                <w:b/>
                <w:bCs/>
                <w:color w:val="000000" w:themeColor="text1"/>
                <w:szCs w:val="21"/>
                <w:highlight w:val="none"/>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keepNext w:val="0"/>
              <w:keepLines w:val="0"/>
              <w:pageBreakBefore w:val="0"/>
              <w:widowControl w:val="0"/>
              <w:tabs>
                <w:tab w:val="left" w:pos="0"/>
              </w:tabs>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bl>
    <w:p>
      <w:pPr>
        <w:keepNext w:val="0"/>
        <w:keepLines w:val="0"/>
        <w:pageBreakBefore w:val="0"/>
        <w:widowControl w:val="0"/>
        <w:kinsoku/>
        <w:wordWrap/>
        <w:overflowPunct/>
        <w:topLinePunct w:val="0"/>
        <w:autoSpaceDE/>
        <w:autoSpaceDN/>
        <w:bidi w:val="0"/>
        <w:spacing w:line="280" w:lineRule="exact"/>
        <w:jc w:val="center"/>
        <w:textAlignment w:val="auto"/>
        <w:rPr>
          <w:rFonts w:ascii="宋体" w:hAnsi="宋体"/>
          <w:b/>
          <w:bCs/>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315" w:leftChars="50" w:hanging="210" w:hangingChars="100"/>
        <w:textAlignment w:val="auto"/>
        <w:rPr>
          <w:rFonts w:ascii="宋体" w:hAnsi="宋体"/>
          <w:color w:val="000000" w:themeColor="text1"/>
          <w:szCs w:val="21"/>
          <w:highlight w:val="none"/>
        </w:rPr>
      </w:pP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color w:val="000000" w:themeColor="text1"/>
          <w:szCs w:val="21"/>
          <w:highlight w:val="none"/>
        </w:rPr>
      </w:pPr>
      <w:r>
        <w:rPr>
          <w:rFonts w:hint="eastAsia" w:ascii="宋体" w:hAnsi="宋体"/>
          <w:color w:val="000000" w:themeColor="text1"/>
          <w:szCs w:val="21"/>
          <w:highlight w:val="none"/>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keepNext w:val="0"/>
        <w:keepLines w:val="0"/>
        <w:pageBreakBefore w:val="0"/>
        <w:widowControl w:val="0"/>
        <w:tabs>
          <w:tab w:val="center" w:pos="4483"/>
        </w:tabs>
        <w:kinsoku/>
        <w:wordWrap/>
        <w:overflowPunct/>
        <w:topLinePunct w:val="0"/>
        <w:autoSpaceDE/>
        <w:autoSpaceDN/>
        <w:bidi w:val="0"/>
        <w:spacing w:line="280" w:lineRule="exact"/>
        <w:ind w:left="525" w:leftChars="50" w:hanging="420" w:hangingChars="200"/>
        <w:textAlignment w:val="auto"/>
        <w:rPr>
          <w:rFonts w:ascii="宋体" w:hAnsi="宋体"/>
          <w:bCs/>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280" w:lineRule="exact"/>
        <w:textAlignment w:val="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tabs>
          <w:tab w:val="left" w:pos="1004"/>
          <w:tab w:val="left" w:pos="4267"/>
        </w:tabs>
        <w:spacing w:line="400" w:lineRule="exact"/>
        <w:rPr>
          <w:rFonts w:ascii="宋体" w:hAnsi="宋体"/>
          <w:bCs/>
          <w:color w:val="000000" w:themeColor="text1"/>
          <w:highlight w:val="none"/>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4"/>
    <w:bookmarkEnd w:id="1335"/>
    <w:bookmarkEnd w:id="1336"/>
    <w:bookmarkEnd w:id="1337"/>
    <w:bookmarkEnd w:id="1338"/>
    <w:p>
      <w:pPr>
        <w:pStyle w:val="4"/>
        <w:numPr>
          <w:ilvl w:val="0"/>
          <w:numId w:val="0"/>
        </w:numPr>
        <w:rPr>
          <w:color w:val="000000" w:themeColor="text1"/>
          <w:highlight w:val="none"/>
        </w:rPr>
      </w:pPr>
      <w:bookmarkStart w:id="1694" w:name="_Toc20992"/>
      <w:bookmarkStart w:id="1695" w:name="_Toc399684363"/>
      <w:bookmarkStart w:id="1696" w:name="_Toc399147593"/>
      <w:bookmarkStart w:id="1697" w:name="_Toc382404102"/>
      <w:bookmarkStart w:id="1698" w:name="_Toc342398143"/>
      <w:bookmarkStart w:id="1699" w:name="_Toc340672882"/>
      <w:bookmarkStart w:id="1700" w:name="_Toc350756463"/>
      <w:bookmarkStart w:id="1701" w:name="_Toc332206722"/>
      <w:bookmarkStart w:id="1702" w:name="_Toc366072542"/>
      <w:bookmarkStart w:id="1703" w:name="_Toc333238647"/>
      <w:bookmarkStart w:id="1704" w:name="_Toc333237802"/>
      <w:bookmarkStart w:id="1705" w:name="_Toc340677083"/>
      <w:bookmarkStart w:id="1706" w:name="_Toc343247113"/>
      <w:bookmarkStart w:id="1707" w:name="_Toc339020028"/>
      <w:bookmarkStart w:id="1708" w:name="_Toc339020246"/>
      <w:bookmarkStart w:id="1709" w:name="_Toc365985191"/>
      <w:bookmarkStart w:id="1710" w:name="_Toc343248431"/>
      <w:bookmarkStart w:id="1711" w:name="_Toc365967085"/>
      <w:bookmarkStart w:id="1712" w:name="_Toc337632371"/>
      <w:bookmarkStart w:id="1713" w:name="_Toc341348353"/>
      <w:bookmarkStart w:id="1714" w:name="_Toc350438762"/>
      <w:bookmarkStart w:id="1715" w:name="_Toc340507455"/>
      <w:bookmarkStart w:id="1716" w:name="_Toc342312456"/>
      <w:bookmarkStart w:id="1717" w:name="_Toc342296774"/>
      <w:bookmarkStart w:id="1718" w:name="_Toc343612933"/>
      <w:bookmarkStart w:id="1719" w:name="_Toc339441100"/>
      <w:bookmarkStart w:id="1720" w:name="_Toc333935700"/>
      <w:bookmarkStart w:id="1721" w:name="_Toc336681948"/>
      <w:bookmarkStart w:id="1722" w:name="_Toc339362313"/>
      <w:bookmarkStart w:id="1723" w:name="_Toc336681593"/>
      <w:bookmarkStart w:id="1724" w:name="_Toc333237691"/>
      <w:bookmarkStart w:id="1725" w:name="_Toc331512914"/>
      <w:bookmarkStart w:id="1726" w:name="_Toc345312610"/>
      <w:bookmarkStart w:id="1727" w:name="_Toc339019902"/>
      <w:bookmarkStart w:id="1728" w:name="_Toc339020108"/>
      <w:bookmarkStart w:id="1729" w:name="_Toc330459999"/>
      <w:bookmarkStart w:id="1730" w:name="_Toc342060388"/>
      <w:bookmarkStart w:id="1731" w:name="_Toc331684055"/>
      <w:bookmarkStart w:id="1732" w:name="_Toc332270360"/>
      <w:bookmarkStart w:id="1733" w:name="_Toc333935359"/>
      <w:bookmarkStart w:id="1734" w:name="_Toc454701405"/>
      <w:bookmarkStart w:id="1735" w:name="_Toc467987851"/>
      <w:bookmarkStart w:id="1736" w:name="_Toc480020285"/>
      <w:bookmarkStart w:id="1737" w:name="_Toc491658679"/>
      <w:bookmarkStart w:id="1738" w:name="_Toc479991610"/>
      <w:bookmarkStart w:id="1739" w:name="_Toc468157564"/>
      <w:bookmarkStart w:id="1740" w:name="_Toc500861026"/>
      <w:bookmarkStart w:id="1741" w:name="_Toc467236768"/>
      <w:bookmarkStart w:id="1742" w:name="_Toc480010736"/>
      <w:bookmarkStart w:id="1743" w:name="_Toc480021081"/>
      <w:bookmarkStart w:id="1744" w:name="_Toc468606057"/>
      <w:bookmarkStart w:id="1745" w:name="_Toc6727971"/>
      <w:bookmarkStart w:id="1746" w:name="_Toc458262638"/>
      <w:bookmarkStart w:id="1747" w:name="_Toc6397150"/>
      <w:r>
        <w:rPr>
          <w:rFonts w:hint="eastAsia"/>
          <w:color w:val="000000" w:themeColor="text1"/>
          <w:highlight w:val="none"/>
        </w:rPr>
        <w:t>（一）资格审查文件要求提交的有效证明文件</w:t>
      </w:r>
      <w:bookmarkEnd w:id="1694"/>
    </w:p>
    <w:p>
      <w:pPr>
        <w:adjustRightInd w:val="0"/>
        <w:snapToGrid w:val="0"/>
        <w:spacing w:line="360" w:lineRule="auto"/>
        <w:jc w:val="left"/>
        <w:rPr>
          <w:rFonts w:ascii="宋体" w:hAnsi="宋体"/>
          <w:b/>
          <w:bCs/>
          <w:caps/>
          <w:color w:val="000000" w:themeColor="text1"/>
          <w:highlight w:val="non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p>
    <w:p>
      <w:pPr>
        <w:pStyle w:val="5"/>
        <w:rPr>
          <w:color w:val="000000" w:themeColor="text1"/>
          <w:highlight w:val="none"/>
        </w:rPr>
      </w:pP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1、合法有效的营业执照复印件加盖公章；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w:t>
      </w:r>
      <w:r>
        <w:rPr>
          <w:rFonts w:hint="eastAsia" w:ascii="宋体" w:hAnsi="宋体"/>
          <w:color w:val="000000" w:themeColor="text1"/>
          <w:kern w:val="0"/>
          <w:szCs w:val="21"/>
          <w:highlight w:val="none"/>
        </w:rPr>
        <w:t>财务报表</w:t>
      </w:r>
      <w:r>
        <w:rPr>
          <w:rFonts w:hint="eastAsia" w:ascii="宋体" w:hAnsi="宋体"/>
          <w:color w:val="000000" w:themeColor="text1"/>
          <w:szCs w:val="21"/>
          <w:highlight w:val="none"/>
        </w:rPr>
        <w:t>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3、缴税证明复印件加盖公章；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4、社会保险证明复印件加盖公章；</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w:t>
      </w:r>
      <w:r>
        <w:rPr>
          <w:rFonts w:hint="eastAsia" w:hAnsi="黑体"/>
          <w:color w:val="000000" w:themeColor="text1"/>
          <w:szCs w:val="21"/>
          <w:highlight w:val="none"/>
        </w:rPr>
        <w:t>无重大违法记录声明函</w:t>
      </w:r>
      <w:r>
        <w:rPr>
          <w:rFonts w:hint="eastAsia" w:ascii="宋体" w:hAnsi="宋体"/>
          <w:color w:val="000000" w:themeColor="text1"/>
          <w:szCs w:val="21"/>
          <w:highlight w:val="none"/>
        </w:rPr>
        <w:t>；</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6、相关资质证明文件：</w:t>
      </w:r>
    </w:p>
    <w:p>
      <w:pPr>
        <w:spacing w:line="440" w:lineRule="exact"/>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7、</w:t>
      </w:r>
      <w:r>
        <w:rPr>
          <w:rFonts w:ascii="宋体" w:hAnsi="宋体"/>
          <w:color w:val="000000" w:themeColor="text1"/>
          <w:szCs w:val="21"/>
          <w:highlight w:val="none"/>
        </w:rPr>
        <w:t>………</w:t>
      </w:r>
    </w:p>
    <w:bookmarkEnd w:id="1695"/>
    <w:bookmarkEnd w:id="1696"/>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bCs/>
          <w:color w:val="000000" w:themeColor="text1"/>
          <w:sz w:val="21"/>
          <w:szCs w:val="21"/>
          <w:highlight w:val="none"/>
        </w:rPr>
      </w:pPr>
    </w:p>
    <w:p>
      <w:pPr>
        <w:pStyle w:val="5"/>
        <w:rPr>
          <w:rFonts w:hAnsi="宋体"/>
          <w:color w:val="000000" w:themeColor="text1"/>
          <w:sz w:val="21"/>
          <w:szCs w:val="21"/>
          <w:highlight w:val="none"/>
        </w:rPr>
      </w:pPr>
      <w:r>
        <w:rPr>
          <w:rFonts w:hint="eastAsia" w:hAnsi="宋体"/>
          <w:bCs/>
          <w:color w:val="000000" w:themeColor="text1"/>
          <w:sz w:val="21"/>
          <w:szCs w:val="21"/>
          <w:highlight w:val="none"/>
        </w:rPr>
        <w:t>提供招标文件要求的资格</w:t>
      </w:r>
      <w:r>
        <w:rPr>
          <w:rFonts w:hint="eastAsia" w:hAnsi="宋体"/>
          <w:color w:val="000000" w:themeColor="text1"/>
          <w:sz w:val="21"/>
          <w:szCs w:val="21"/>
          <w:highlight w:val="none"/>
        </w:rPr>
        <w:t>证明文件复印件加盖公章。</w:t>
      </w: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5"/>
        <w:rPr>
          <w:rFonts w:hAnsi="宋体"/>
          <w:color w:val="000000" w:themeColor="text1"/>
          <w:szCs w:val="21"/>
          <w:highlight w:val="none"/>
        </w:rPr>
      </w:pPr>
    </w:p>
    <w:p>
      <w:pPr>
        <w:pStyle w:val="4"/>
        <w:numPr>
          <w:ilvl w:val="0"/>
          <w:numId w:val="0"/>
        </w:numPr>
        <w:rPr>
          <w:rFonts w:hAnsi="黑体"/>
          <w:color w:val="000000" w:themeColor="text1"/>
          <w:szCs w:val="21"/>
          <w:highlight w:val="none"/>
        </w:rPr>
      </w:pPr>
      <w:bookmarkStart w:id="1748" w:name="_Toc8890"/>
      <w:r>
        <w:rPr>
          <w:rFonts w:hint="eastAsia" w:hAnsi="黑体"/>
          <w:color w:val="000000" w:themeColor="text1"/>
          <w:szCs w:val="21"/>
          <w:highlight w:val="none"/>
        </w:rPr>
        <w:t>（二）无重大违法记录声明函</w:t>
      </w:r>
      <w:bookmarkEnd w:id="1697"/>
      <w:bookmarkEnd w:id="1748"/>
    </w:p>
    <w:p>
      <w:pPr>
        <w:pStyle w:val="5"/>
        <w:spacing w:line="360" w:lineRule="auto"/>
        <w:ind w:left="420" w:firstLine="0"/>
        <w:rPr>
          <w:color w:val="000000" w:themeColor="text1"/>
          <w:highlight w:val="none"/>
        </w:rPr>
      </w:pPr>
    </w:p>
    <w:p>
      <w:pPr>
        <w:spacing w:line="360" w:lineRule="auto"/>
        <w:rPr>
          <w:color w:val="000000" w:themeColor="text1"/>
          <w:szCs w:val="21"/>
          <w:highlight w:val="none"/>
        </w:rPr>
      </w:pPr>
      <w:r>
        <w:rPr>
          <w:rFonts w:hint="eastAsia"/>
          <w:color w:val="000000" w:themeColor="text1"/>
          <w:szCs w:val="21"/>
          <w:highlight w:val="none"/>
        </w:rPr>
        <w:t>致广东业信采购招标有限公司：</w:t>
      </w:r>
    </w:p>
    <w:p>
      <w:pPr>
        <w:spacing w:line="360" w:lineRule="auto"/>
        <w:rPr>
          <w:rFonts w:ascii="宋体" w:hAnsi="宋体"/>
          <w:bCs/>
          <w:color w:val="000000" w:themeColor="text1"/>
          <w:highlight w:val="none"/>
          <w:u w:val="single"/>
        </w:rPr>
      </w:pPr>
      <w:r>
        <w:rPr>
          <w:rFonts w:hint="eastAsia"/>
          <w:color w:val="000000" w:themeColor="text1"/>
          <w:szCs w:val="21"/>
          <w:highlight w:val="none"/>
        </w:rPr>
        <w:t xml:space="preserve">    针对贵</w:t>
      </w:r>
      <w:r>
        <w:rPr>
          <w:rFonts w:hint="eastAsia" w:ascii="宋体" w:hAnsi="宋体"/>
          <w:color w:val="000000" w:themeColor="text1"/>
          <w:szCs w:val="21"/>
          <w:highlight w:val="none"/>
        </w:rPr>
        <w:t>方</w:t>
      </w:r>
      <w:r>
        <w:rPr>
          <w:rFonts w:hint="eastAsia"/>
          <w:color w:val="000000" w:themeColor="text1"/>
          <w:szCs w:val="21"/>
          <w:highlight w:val="none"/>
        </w:rPr>
        <w:t>组织的（项目名称：</w:t>
      </w:r>
      <w:r>
        <w:rPr>
          <w:rFonts w:hint="eastAsia"/>
          <w:color w:val="000000" w:themeColor="text1"/>
          <w:szCs w:val="21"/>
          <w:highlight w:val="none"/>
          <w:u w:val="single"/>
        </w:rPr>
        <w:t xml:space="preserve">                         </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color w:val="000000" w:themeColor="text1"/>
          <w:szCs w:val="21"/>
          <w:highlight w:val="none"/>
        </w:rPr>
        <w:t>），我方郑重承诺：</w:t>
      </w:r>
    </w:p>
    <w:p>
      <w:pPr>
        <w:spacing w:line="360" w:lineRule="auto"/>
        <w:rPr>
          <w:color w:val="000000" w:themeColor="text1"/>
          <w:szCs w:val="21"/>
          <w:highlight w:val="none"/>
        </w:rPr>
      </w:pPr>
      <w:r>
        <w:rPr>
          <w:rFonts w:hint="eastAsia"/>
          <w:color w:val="000000" w:themeColor="text1"/>
          <w:szCs w:val="21"/>
          <w:highlight w:val="none"/>
        </w:rPr>
        <w:t xml:space="preserve">    参加本次政府采购活动前三年内，在经营活动中没有重大违法记录。</w:t>
      </w:r>
    </w:p>
    <w:p>
      <w:pPr>
        <w:spacing w:line="360" w:lineRule="auto"/>
        <w:rPr>
          <w:color w:val="000000" w:themeColor="text1"/>
          <w:szCs w:val="21"/>
          <w:highlight w:val="none"/>
        </w:rPr>
      </w:pPr>
      <w:r>
        <w:rPr>
          <w:rFonts w:hint="eastAsia"/>
          <w:color w:val="000000" w:themeColor="text1"/>
          <w:szCs w:val="21"/>
          <w:highlight w:val="none"/>
        </w:rPr>
        <w:t xml:space="preserve">    本公司对上述声明的真实性负责。如有虚假，将依法承担相关责任。</w:t>
      </w:r>
    </w:p>
    <w:p>
      <w:pPr>
        <w:spacing w:line="360" w:lineRule="auto"/>
        <w:rPr>
          <w:color w:val="000000" w:themeColor="text1"/>
          <w:szCs w:val="21"/>
          <w:highlight w:val="none"/>
        </w:rPr>
      </w:pPr>
      <w:r>
        <w:rPr>
          <w:rFonts w:hint="eastAsia"/>
          <w:color w:val="000000" w:themeColor="text1"/>
          <w:szCs w:val="21"/>
          <w:highlight w:val="none"/>
        </w:rPr>
        <w:t xml:space="preserve">    特此声明。</w:t>
      </w: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ind w:firstLine="660"/>
        <w:rPr>
          <w:color w:val="000000" w:themeColor="text1"/>
          <w:szCs w:val="21"/>
          <w:highlight w:val="none"/>
        </w:rPr>
      </w:pPr>
    </w:p>
    <w:p>
      <w:pPr>
        <w:spacing w:line="360" w:lineRule="auto"/>
        <w:rPr>
          <w:color w:val="000000" w:themeColor="text1"/>
          <w:szCs w:val="21"/>
          <w:highlight w:val="non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color w:val="000000" w:themeColor="text1"/>
          <w:szCs w:val="21"/>
          <w:highlight w:val="none"/>
        </w:rPr>
        <w:t>投标人名称（公章）：</w:t>
      </w:r>
      <w:r>
        <w:rPr>
          <w:rFonts w:hint="eastAsia"/>
          <w:color w:val="000000" w:themeColor="text1"/>
          <w:szCs w:val="21"/>
          <w:highlight w:val="none"/>
          <w:u w:val="single"/>
        </w:rPr>
        <w:t xml:space="preserve">                        </w:t>
      </w:r>
    </w:p>
    <w:p>
      <w:pPr>
        <w:spacing w:line="360" w:lineRule="auto"/>
        <w:rPr>
          <w:color w:val="000000" w:themeColor="text1"/>
          <w:szCs w:val="2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p>
      <w:pPr>
        <w:pStyle w:val="5"/>
        <w:ind w:left="420" w:firstLine="0"/>
        <w:rPr>
          <w:color w:val="000000" w:themeColor="text1"/>
          <w:highlight w:val="none"/>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pPr>
        <w:pStyle w:val="4"/>
        <w:numPr>
          <w:ilvl w:val="7"/>
          <w:numId w:val="6"/>
        </w:numPr>
        <w:tabs>
          <w:tab w:val="clear" w:pos="720"/>
        </w:tabs>
        <w:ind w:left="720"/>
        <w:rPr>
          <w:color w:val="000000" w:themeColor="text1"/>
          <w:highlight w:val="none"/>
        </w:rPr>
      </w:pPr>
      <w:bookmarkStart w:id="1749" w:name="_Toc342398150"/>
      <w:bookmarkStart w:id="1750" w:name="_Toc340507462"/>
      <w:bookmarkStart w:id="1751" w:name="_Toc339020115"/>
      <w:bookmarkStart w:id="1752" w:name="_Toc342296781"/>
      <w:bookmarkStart w:id="1753" w:name="_Toc339020035"/>
      <w:bookmarkStart w:id="1754" w:name="_Toc332206729"/>
      <w:bookmarkStart w:id="1755" w:name="_Toc365967092"/>
      <w:bookmarkStart w:id="1756" w:name="_Toc350438769"/>
      <w:bookmarkStart w:id="1757" w:name="_Toc342060395"/>
      <w:bookmarkStart w:id="1758" w:name="_Toc340672889"/>
      <w:bookmarkStart w:id="1759" w:name="_Toc339362320"/>
      <w:bookmarkStart w:id="1760" w:name="_Toc333935366"/>
      <w:bookmarkStart w:id="1761" w:name="_Toc339019909"/>
      <w:bookmarkStart w:id="1762" w:name="_Toc366072549"/>
      <w:bookmarkStart w:id="1763" w:name="_Toc336681600"/>
      <w:bookmarkStart w:id="1764" w:name="_Toc342312463"/>
      <w:bookmarkStart w:id="1765" w:name="_Toc331684062"/>
      <w:bookmarkStart w:id="1766" w:name="_Toc341348360"/>
      <w:bookmarkStart w:id="1767" w:name="_Toc343247120"/>
      <w:bookmarkStart w:id="1768" w:name="_Toc333238654"/>
      <w:bookmarkStart w:id="1769" w:name="_Toc343248438"/>
      <w:bookmarkStart w:id="1770" w:name="_Toc340677090"/>
      <w:bookmarkStart w:id="1771" w:name="_Toc365985198"/>
      <w:bookmarkStart w:id="1772" w:name="_Toc350756470"/>
      <w:bookmarkStart w:id="1773" w:name="_Toc333237809"/>
      <w:bookmarkStart w:id="1774" w:name="_Toc345312617"/>
      <w:bookmarkStart w:id="1775" w:name="_Toc339441107"/>
      <w:bookmarkStart w:id="1776" w:name="_Toc333935707"/>
      <w:bookmarkStart w:id="1777" w:name="_Toc331512921"/>
      <w:bookmarkStart w:id="1778" w:name="_Toc333237698"/>
      <w:bookmarkStart w:id="1779" w:name="_Toc343612940"/>
      <w:bookmarkStart w:id="1780" w:name="_Toc332270367"/>
      <w:bookmarkStart w:id="1781" w:name="_Toc339020253"/>
      <w:bookmarkStart w:id="1782" w:name="_Toc330460006"/>
      <w:bookmarkStart w:id="1783" w:name="_Toc337632378"/>
      <w:bookmarkStart w:id="1784" w:name="_Toc336681955"/>
      <w:r>
        <w:rPr>
          <w:rFonts w:hint="eastAsia"/>
          <w:color w:val="000000" w:themeColor="text1"/>
          <w:highlight w:val="none"/>
          <w:lang w:val="en-US" w:eastAsia="zh-CN"/>
        </w:rPr>
        <w:t xml:space="preserve">  </w:t>
      </w:r>
      <w:bookmarkStart w:id="1785" w:name="_Toc18933"/>
      <w:r>
        <w:rPr>
          <w:rFonts w:hint="eastAsia"/>
          <w:color w:val="000000" w:themeColor="text1"/>
          <w:highlight w:val="none"/>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pPr>
        <w:pStyle w:val="4"/>
        <w:numPr>
          <w:ilvl w:val="0"/>
          <w:numId w:val="0"/>
        </w:numPr>
        <w:rPr>
          <w:color w:val="000000" w:themeColor="text1"/>
          <w:sz w:val="24"/>
          <w:highlight w:val="none"/>
        </w:rPr>
      </w:pPr>
      <w:bookmarkStart w:id="1786" w:name="_Toc15611"/>
      <w:r>
        <w:rPr>
          <w:rFonts w:hint="eastAsia"/>
          <w:color w:val="000000" w:themeColor="text1"/>
          <w:sz w:val="24"/>
          <w:highlight w:val="none"/>
        </w:rPr>
        <w:t>商务及技术封面格式</w:t>
      </w:r>
      <w:bookmarkEnd w:id="1786"/>
    </w:p>
    <w:p>
      <w:pPr>
        <w:pStyle w:val="5"/>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Ansi="宋体"/>
          <w:bCs/>
          <w:color w:val="000000" w:themeColor="text1"/>
          <w:sz w:val="21"/>
          <w:highlight w:val="none"/>
        </w:rPr>
        <w:t>1</w:t>
      </w:r>
      <w:r>
        <w:rPr>
          <w:rFonts w:hint="eastAsia" w:hAnsi="宋体"/>
          <w:bCs/>
          <w:color w:val="000000" w:themeColor="text1"/>
          <w:sz w:val="21"/>
          <w:highlight w:val="none"/>
        </w:rPr>
        <w:t xml:space="preserve">、投标内容应当编目录、页码，按页码排序并装订成册。   </w:t>
      </w:r>
    </w:p>
    <w:p>
      <w:pPr>
        <w:pStyle w:val="5"/>
        <w:spacing w:line="360" w:lineRule="auto"/>
        <w:rPr>
          <w:rFonts w:hAnsi="宋体"/>
          <w:b/>
          <w:color w:val="000000" w:themeColor="text1"/>
          <w:sz w:val="21"/>
          <w:szCs w:val="21"/>
          <w:highlight w:val="none"/>
        </w:rPr>
      </w:pPr>
      <w:r>
        <w:rPr>
          <w:rFonts w:hAnsi="宋体"/>
          <w:bCs/>
          <w:color w:val="000000" w:themeColor="text1"/>
          <w:sz w:val="21"/>
          <w:highlight w:val="none"/>
        </w:rPr>
        <w:t>2</w:t>
      </w:r>
      <w:r>
        <w:rPr>
          <w:rFonts w:hint="eastAsia" w:hAnsi="宋体"/>
          <w:bCs/>
          <w:color w:val="000000" w:themeColor="text1"/>
          <w:sz w:val="21"/>
          <w:highlight w:val="none"/>
        </w:rPr>
        <w:t>、文件的封面格式由投</w:t>
      </w:r>
      <w:r>
        <w:rPr>
          <w:rFonts w:hint="eastAsia" w:hAnsi="宋体"/>
          <w:bCs/>
          <w:color w:val="000000" w:themeColor="text1"/>
          <w:sz w:val="21"/>
          <w:szCs w:val="21"/>
          <w:highlight w:val="none"/>
        </w:rPr>
        <w:t>标人自拟</w:t>
      </w:r>
      <w:r>
        <w:rPr>
          <w:rFonts w:hint="eastAsia" w:hAnsi="宋体"/>
          <w:bCs/>
          <w:color w:val="000000" w:themeColor="text1"/>
          <w:sz w:val="21"/>
          <w:highlight w:val="none"/>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440" w:lineRule="exact"/>
        <w:jc w:val="center"/>
        <w:rPr>
          <w:rFonts w:hAnsi="宋体"/>
          <w:bCs/>
          <w:color w:val="000000" w:themeColor="text1"/>
          <w:sz w:val="21"/>
          <w:highlight w:val="none"/>
        </w:rPr>
      </w:pPr>
    </w:p>
    <w:p>
      <w:pPr>
        <w:pStyle w:val="5"/>
        <w:spacing w:line="360" w:lineRule="auto"/>
        <w:jc w:val="center"/>
        <w:rPr>
          <w:rFonts w:hAnsi="宋体"/>
          <w:bCs/>
          <w:color w:val="000000" w:themeColor="text1"/>
          <w:sz w:val="52"/>
          <w:szCs w:val="52"/>
          <w:highlight w:val="none"/>
        </w:rPr>
      </w:pPr>
      <w:r>
        <w:rPr>
          <w:rFonts w:hint="eastAsia" w:hAnsi="宋体"/>
          <w:b/>
          <w:bCs/>
          <w:color w:val="000000" w:themeColor="text1"/>
          <w:sz w:val="52"/>
          <w:szCs w:val="52"/>
          <w:highlight w:val="none"/>
        </w:rPr>
        <w:t>投标文件（□正本、□副本</w:t>
      </w:r>
      <w:r>
        <w:rPr>
          <w:rFonts w:hint="eastAsia" w:hAnsi="宋体"/>
          <w:bCs/>
          <w:color w:val="000000" w:themeColor="text1"/>
          <w:sz w:val="52"/>
          <w:szCs w:val="52"/>
          <w:highlight w:val="none"/>
        </w:rPr>
        <w:t>）</w:t>
      </w:r>
    </w:p>
    <w:p>
      <w:pPr>
        <w:pStyle w:val="5"/>
        <w:spacing w:line="360" w:lineRule="auto"/>
        <w:jc w:val="center"/>
        <w:rPr>
          <w:rFonts w:hAnsi="宋体"/>
          <w:bCs/>
          <w:color w:val="000000" w:themeColor="text1"/>
          <w:sz w:val="52"/>
          <w:szCs w:val="52"/>
          <w:highlight w:val="none"/>
        </w:rPr>
      </w:pPr>
      <w:r>
        <w:rPr>
          <w:rFonts w:hint="eastAsia" w:hAnsi="宋体"/>
          <w:b/>
          <w:color w:val="000000" w:themeColor="text1"/>
          <w:sz w:val="44"/>
          <w:szCs w:val="44"/>
          <w:highlight w:val="none"/>
        </w:rPr>
        <w:t>（商务及技术文件）</w:t>
      </w: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360" w:lineRule="auto"/>
        <w:jc w:val="center"/>
        <w:rPr>
          <w:rFonts w:hAnsi="宋体"/>
          <w:bCs/>
          <w:color w:val="000000" w:themeColor="text1"/>
          <w:sz w:val="52"/>
          <w:szCs w:val="52"/>
          <w:highlight w:val="none"/>
        </w:rPr>
      </w:pPr>
    </w:p>
    <w:p>
      <w:pPr>
        <w:pStyle w:val="5"/>
        <w:spacing w:line="440" w:lineRule="exact"/>
        <w:jc w:val="center"/>
        <w:rPr>
          <w:rFonts w:hAnsi="宋体"/>
          <w:bCs/>
          <w:color w:val="000000" w:themeColor="text1"/>
          <w:sz w:val="21"/>
          <w:highlight w:val="none"/>
        </w:rPr>
      </w:pPr>
    </w:p>
    <w:p>
      <w:pPr>
        <w:pStyle w:val="5"/>
        <w:spacing w:line="440" w:lineRule="exact"/>
        <w:rPr>
          <w:rFonts w:hAnsi="宋体"/>
          <w:bCs/>
          <w:color w:val="000000" w:themeColor="text1"/>
          <w:sz w:val="21"/>
          <w:highlight w:val="none"/>
        </w:rPr>
      </w:pPr>
      <w:r>
        <w:rPr>
          <w:rFonts w:hint="eastAsia" w:hAnsi="宋体"/>
          <w:bCs/>
          <w:color w:val="000000" w:themeColor="text1"/>
          <w:sz w:val="21"/>
          <w:highlight w:val="none"/>
        </w:rPr>
        <w:t>项目编号：</w:t>
      </w:r>
      <w:r>
        <w:rPr>
          <w:rFonts w:hint="eastAsia" w:hAnsi="宋体"/>
          <w:bCs/>
          <w:color w:val="000000" w:themeColor="text1"/>
          <w:sz w:val="21"/>
          <w:highlight w:val="none"/>
          <w:u w:val="single"/>
        </w:rPr>
        <w:t xml:space="preserve">  </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项目名称：</w:t>
      </w:r>
      <w:r>
        <w:rPr>
          <w:rFonts w:hint="eastAsia" w:hAnsi="宋体"/>
          <w:bCs/>
          <w:color w:val="000000" w:themeColor="text1"/>
          <w:sz w:val="21"/>
          <w:highlight w:val="none"/>
          <w:u w:val="single"/>
        </w:rPr>
        <w:t xml:space="preserve">     </w:t>
      </w:r>
      <w:r>
        <w:rPr>
          <w:rFonts w:hint="eastAsia" w:hAnsi="宋体" w:cs="宋体"/>
          <w:color w:val="000000" w:themeColor="text1"/>
          <w:sz w:val="21"/>
          <w:szCs w:val="21"/>
          <w:highlight w:val="none"/>
          <w:u w:val="single"/>
        </w:rPr>
        <w:t>采购项目名称，由投标人填写</w:t>
      </w:r>
      <w:r>
        <w:rPr>
          <w:rFonts w:hint="eastAsia" w:hAnsi="宋体" w:cs="宋体"/>
          <w:b/>
          <w:color w:val="000000" w:themeColor="text1"/>
          <w:sz w:val="21"/>
          <w:szCs w:val="21"/>
          <w:highlight w:val="none"/>
          <w:u w:val="single"/>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投标人名称（公章）：</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投标人地址：</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法定代表人（负责人）或授权代理人（签字）</w:t>
      </w:r>
      <w:r>
        <w:rPr>
          <w:rFonts w:hAnsi="宋体"/>
          <w:bCs/>
          <w:color w:val="000000" w:themeColor="text1"/>
          <w:sz w:val="21"/>
          <w:highlight w:val="none"/>
        </w:rPr>
        <w:t>：</w:t>
      </w:r>
      <w:r>
        <w:rPr>
          <w:rFonts w:hAnsi="宋体"/>
          <w:bCs/>
          <w:color w:val="000000" w:themeColor="text1"/>
          <w:sz w:val="21"/>
          <w:highlight w:val="none"/>
          <w:u w:val="single"/>
        </w:rPr>
        <w:t xml:space="preserve">           </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u w:val="single"/>
          <w:lang w:val="en-US" w:eastAsia="zh-CN"/>
        </w:rPr>
        <w:t xml:space="preserve">   </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int="eastAsia" w:hAnsi="宋体"/>
          <w:bCs/>
          <w:color w:val="000000" w:themeColor="text1"/>
          <w:sz w:val="21"/>
          <w:highlight w:val="none"/>
        </w:rPr>
        <w:t>联系</w:t>
      </w:r>
      <w:r>
        <w:rPr>
          <w:rFonts w:hAnsi="宋体"/>
          <w:bCs/>
          <w:color w:val="000000" w:themeColor="text1"/>
          <w:sz w:val="21"/>
          <w:highlight w:val="none"/>
        </w:rPr>
        <w:t>电话：</w:t>
      </w:r>
      <w:r>
        <w:rPr>
          <w:rFonts w:hint="eastAsia" w:hAnsi="宋体"/>
          <w:bCs/>
          <w:color w:val="000000" w:themeColor="text1"/>
          <w:sz w:val="21"/>
          <w:highlight w:val="none"/>
          <w:u w:val="single"/>
        </w:rPr>
        <w:t xml:space="preserve">                           </w:t>
      </w:r>
      <w:r>
        <w:rPr>
          <w:rFonts w:hAnsi="宋体"/>
          <w:bCs/>
          <w:color w:val="000000" w:themeColor="text1"/>
          <w:sz w:val="21"/>
          <w:highlight w:val="none"/>
        </w:rPr>
        <w:t xml:space="preserve">   </w:t>
      </w:r>
      <w:r>
        <w:rPr>
          <w:rFonts w:hint="eastAsia" w:hAnsi="宋体"/>
          <w:bCs/>
          <w:color w:val="000000" w:themeColor="text1"/>
          <w:sz w:val="21"/>
          <w:highlight w:val="none"/>
        </w:rPr>
        <w:t>传真：</w:t>
      </w:r>
      <w:r>
        <w:rPr>
          <w:rFonts w:hint="eastAsia" w:hAnsi="宋体"/>
          <w:bCs/>
          <w:color w:val="000000" w:themeColor="text1"/>
          <w:sz w:val="21"/>
          <w:highlight w:val="none"/>
          <w:u w:val="single"/>
        </w:rPr>
        <w:t xml:space="preserve">                            </w:t>
      </w:r>
    </w:p>
    <w:p>
      <w:pPr>
        <w:pStyle w:val="5"/>
        <w:spacing w:line="440" w:lineRule="exact"/>
        <w:rPr>
          <w:rFonts w:hAnsi="宋体"/>
          <w:bCs/>
          <w:color w:val="000000" w:themeColor="text1"/>
          <w:sz w:val="21"/>
          <w:highlight w:val="none"/>
          <w:u w:val="single"/>
        </w:rPr>
      </w:pPr>
      <w:r>
        <w:rPr>
          <w:rFonts w:hAnsi="宋体"/>
          <w:bCs/>
          <w:color w:val="000000" w:themeColor="text1"/>
          <w:sz w:val="21"/>
          <w:highlight w:val="none"/>
        </w:rPr>
        <w:t>邮编：</w:t>
      </w:r>
      <w:r>
        <w:rPr>
          <w:rFonts w:hint="eastAsia" w:hAnsi="宋体"/>
          <w:bCs/>
          <w:color w:val="000000" w:themeColor="text1"/>
          <w:sz w:val="21"/>
          <w:highlight w:val="none"/>
          <w:u w:val="single"/>
        </w:rPr>
        <w:t xml:space="preserve">                               </w:t>
      </w:r>
    </w:p>
    <w:p>
      <w:pPr>
        <w:pStyle w:val="5"/>
        <w:spacing w:line="440" w:lineRule="exact"/>
        <w:rPr>
          <w:rFonts w:hint="eastAsia" w:hAnsi="宋体"/>
          <w:bCs/>
          <w:color w:val="000000" w:themeColor="text1"/>
          <w:sz w:val="21"/>
          <w:highlight w:val="none"/>
        </w:rPr>
      </w:pPr>
      <w:r>
        <w:rPr>
          <w:rFonts w:hint="eastAsia" w:hAnsi="宋体"/>
          <w:bCs/>
          <w:color w:val="000000" w:themeColor="text1"/>
          <w:sz w:val="21"/>
          <w:highlight w:val="none"/>
        </w:rPr>
        <w:t>编制日期：</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年</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月</w:t>
      </w:r>
      <w:r>
        <w:rPr>
          <w:rFonts w:hint="eastAsia" w:hAnsi="宋体"/>
          <w:bCs/>
          <w:color w:val="000000" w:themeColor="text1"/>
          <w:sz w:val="21"/>
          <w:highlight w:val="none"/>
          <w:u w:val="single"/>
        </w:rPr>
        <w:t xml:space="preserve">      </w:t>
      </w:r>
      <w:r>
        <w:rPr>
          <w:rFonts w:hint="eastAsia" w:hAnsi="宋体"/>
          <w:bCs/>
          <w:color w:val="000000" w:themeColor="text1"/>
          <w:sz w:val="21"/>
          <w:highlight w:val="none"/>
        </w:rPr>
        <w:t>日</w:t>
      </w:r>
    </w:p>
    <w:p>
      <w:pPr>
        <w:rPr>
          <w:rFonts w:hint="eastAsia" w:hAnsi="宋体"/>
          <w:bCs/>
          <w:color w:val="000000" w:themeColor="text1"/>
          <w:sz w:val="21"/>
          <w:highlight w:val="none"/>
        </w:rPr>
      </w:pPr>
      <w:r>
        <w:rPr>
          <w:rFonts w:hint="eastAsia" w:hAnsi="宋体"/>
          <w:bCs/>
          <w:color w:val="000000" w:themeColor="text1"/>
          <w:sz w:val="21"/>
          <w:highlight w:val="none"/>
        </w:rPr>
        <w:br w:type="page"/>
      </w: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rPr>
      </w:pPr>
      <w:bookmarkStart w:id="1787" w:name="_Toc19189"/>
      <w:r>
        <w:rPr>
          <w:rFonts w:hint="eastAsia" w:ascii="宋体"/>
          <w:b/>
          <w:bCs w:val="0"/>
          <w:color w:val="000000" w:themeColor="text1"/>
          <w:szCs w:val="21"/>
          <w:highlight w:val="none"/>
        </w:rPr>
        <w:t>符合性自查表</w:t>
      </w:r>
      <w:bookmarkEnd w:id="1787"/>
    </w:p>
    <w:p>
      <w:pPr>
        <w:jc w:val="center"/>
        <w:rPr>
          <w:rFonts w:ascii="宋体" w:hAnsi="宋体"/>
          <w:b/>
          <w:bCs/>
          <w:color w:val="000000" w:themeColor="text1"/>
          <w:szCs w:val="21"/>
          <w:highlight w:val="none"/>
        </w:rPr>
      </w:pPr>
    </w:p>
    <w:tbl>
      <w:tblPr>
        <w:tblStyle w:val="47"/>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自查结论</w:t>
            </w:r>
          </w:p>
          <w:p>
            <w:pPr>
              <w:tabs>
                <w:tab w:val="left" w:pos="480"/>
              </w:tabs>
              <w:ind w:left="480" w:hanging="480"/>
              <w:jc w:val="center"/>
              <w:rPr>
                <w:rFonts w:ascii="宋体" w:hAnsi="宋体"/>
                <w:bCs/>
                <w:color w:val="000000" w:themeColor="text1"/>
                <w:szCs w:val="21"/>
                <w:highlight w:val="none"/>
              </w:rPr>
            </w:pPr>
            <w:r>
              <w:rPr>
                <w:rFonts w:hint="eastAsia" w:ascii="宋体" w:hAnsi="宋体"/>
                <w:bCs/>
                <w:color w:val="000000" w:themeColor="text1"/>
                <w:szCs w:val="21"/>
                <w:highlight w:val="none"/>
              </w:rPr>
              <w:t>（通过/不通过）</w:t>
            </w:r>
          </w:p>
        </w:tc>
        <w:tc>
          <w:tcPr>
            <w:tcW w:w="1682" w:type="dxa"/>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b/>
                <w:bCs/>
                <w:color w:val="000000" w:themeColor="text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rPr>
            </w:pPr>
            <w:r>
              <w:rPr>
                <w:rFonts w:hint="eastAsia" w:ascii="宋体" w:hAnsi="宋体"/>
                <w:color w:val="000000" w:themeColor="text1"/>
                <w:szCs w:val="21"/>
                <w:highlight w:val="none"/>
              </w:rPr>
              <w:t>符合性审查</w:t>
            </w: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须满足</w:t>
            </w:r>
            <w:r>
              <w:rPr>
                <w:rFonts w:hint="eastAsia" w:ascii="宋体" w:hAnsi="宋体"/>
                <w:color w:val="000000" w:themeColor="text1"/>
                <w:szCs w:val="21"/>
                <w:highlight w:val="none"/>
                <w:lang w:val="en-US" w:eastAsia="zh-CN"/>
              </w:rPr>
              <w:t>带“★”号</w:t>
            </w:r>
            <w:r>
              <w:rPr>
                <w:rFonts w:hint="eastAsia" w:ascii="宋体" w:hAnsi="宋体"/>
                <w:color w:val="000000" w:themeColor="text1"/>
                <w:szCs w:val="21"/>
                <w:highlight w:val="none"/>
              </w:rPr>
              <w:t>要求</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lang w:eastAsia="zh-CN"/>
              </w:rPr>
              <w:t>服务期</w:t>
            </w:r>
            <w:r>
              <w:rPr>
                <w:rFonts w:hint="eastAsia" w:ascii="宋体" w:hAnsi="宋体"/>
                <w:color w:val="000000" w:themeColor="text1"/>
                <w:szCs w:val="21"/>
                <w:highlight w:val="none"/>
              </w:rPr>
              <w:t>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b/>
                <w:bCs/>
                <w:color w:val="000000" w:themeColor="text1"/>
                <w:szCs w:val="21"/>
                <w:highlight w:val="none"/>
              </w:rPr>
            </w:pPr>
            <w:r>
              <w:rPr>
                <w:rFonts w:hint="eastAsia" w:ascii="宋体" w:hAnsi="宋体"/>
                <w:color w:val="000000" w:themeColor="text1"/>
                <w:szCs w:val="21"/>
                <w:highlight w:val="none"/>
              </w:rPr>
              <w:t>投标报价未超出报价上限</w:t>
            </w:r>
          </w:p>
        </w:tc>
        <w:tc>
          <w:tcPr>
            <w:tcW w:w="1958" w:type="dxa"/>
            <w:vAlign w:val="center"/>
          </w:tcPr>
          <w:p>
            <w:pPr>
              <w:tabs>
                <w:tab w:val="left" w:pos="0"/>
              </w:tabs>
              <w:rPr>
                <w:rFonts w:ascii="宋体" w:hAnsi="宋体"/>
                <w:b/>
                <w:bCs/>
                <w:color w:val="000000" w:themeColor="text1"/>
                <w:szCs w:val="21"/>
                <w:highlight w:val="none"/>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hanging="480"/>
              <w:rPr>
                <w:rFonts w:ascii="宋体" w:hAnsi="宋体"/>
                <w:b/>
                <w:bCs/>
                <w:color w:val="000000" w:themeColor="text1"/>
                <w:szCs w:val="2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b/>
                <w:bCs/>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leftChars="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保证金须满足要求</w:t>
            </w:r>
          </w:p>
        </w:tc>
        <w:tc>
          <w:tcPr>
            <w:tcW w:w="1958" w:type="dxa"/>
            <w:vAlign w:val="center"/>
          </w:tcPr>
          <w:p>
            <w:pPr>
              <w:tabs>
                <w:tab w:val="left" w:pos="0"/>
              </w:tabs>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按招标文件要求</w:t>
            </w:r>
          </w:p>
        </w:tc>
        <w:tc>
          <w:tcPr>
            <w:tcW w:w="1975" w:type="dxa"/>
            <w:vAlign w:val="center"/>
          </w:tcPr>
          <w:p>
            <w:pPr>
              <w:tabs>
                <w:tab w:val="left" w:pos="480"/>
              </w:tabs>
              <w:ind w:left="480" w:leftChars="0" w:hanging="480" w:firstLineChars="0"/>
              <w:rPr>
                <w:rFonts w:ascii="宋体" w:hAnsi="宋体" w:eastAsia="宋体" w:cs="Times New Roman"/>
                <w:color w:val="000000" w:themeColor="text1"/>
                <w:kern w:val="2"/>
                <w:sz w:val="21"/>
                <w:szCs w:val="21"/>
                <w:highlight w:val="none"/>
                <w:lang w:val="en-US" w:eastAsia="zh-CN" w:bidi="ar-SA"/>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按对应格式文件签署、盖章(原件)</w:t>
            </w:r>
          </w:p>
        </w:tc>
        <w:tc>
          <w:tcPr>
            <w:tcW w:w="1975" w:type="dxa"/>
            <w:vAlign w:val="center"/>
          </w:tcPr>
          <w:p>
            <w:pPr>
              <w:pStyle w:val="9"/>
              <w:rPr>
                <w:rFonts w:ascii="宋体" w:hAnsi="宋体"/>
                <w:bCs/>
                <w:color w:val="000000" w:themeColor="text1"/>
                <w:szCs w:val="2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rPr>
            </w:pPr>
          </w:p>
        </w:tc>
        <w:tc>
          <w:tcPr>
            <w:tcW w:w="2300" w:type="dxa"/>
            <w:vAlign w:val="center"/>
          </w:tcPr>
          <w:p>
            <w:pPr>
              <w:tabs>
                <w:tab w:val="left" w:pos="146"/>
              </w:tabs>
              <w:ind w:left="146"/>
              <w:rPr>
                <w:rFonts w:ascii="宋体" w:hAnsi="宋体"/>
                <w:color w:val="000000" w:themeColor="text1"/>
                <w:szCs w:val="21"/>
                <w:highlight w:val="none"/>
              </w:rPr>
            </w:pPr>
            <w:r>
              <w:rPr>
                <w:rFonts w:hint="eastAsia" w:ascii="宋体" w:hAnsi="宋体"/>
                <w:color w:val="000000" w:themeColor="text1"/>
                <w:szCs w:val="21"/>
                <w:highlight w:val="none"/>
              </w:rPr>
              <w:t>其他要求</w:t>
            </w: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rPr>
              <w:t>按投标资料清单中规定提供“必须提交”的文件资料</w:t>
            </w:r>
          </w:p>
        </w:tc>
        <w:tc>
          <w:tcPr>
            <w:tcW w:w="1975" w:type="dxa"/>
            <w:vAlign w:val="center"/>
          </w:tcPr>
          <w:p>
            <w:pPr>
              <w:tabs>
                <w:tab w:val="left" w:pos="480"/>
              </w:tabs>
              <w:ind w:left="480" w:hanging="480"/>
              <w:rPr>
                <w:color w:val="000000" w:themeColor="text1"/>
                <w:highlight w:val="none"/>
              </w:rPr>
            </w:pPr>
          </w:p>
        </w:tc>
        <w:tc>
          <w:tcPr>
            <w:tcW w:w="1682"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bl>
    <w:p>
      <w:pPr>
        <w:tabs>
          <w:tab w:val="center" w:pos="4483"/>
        </w:tabs>
        <w:ind w:left="315" w:leftChars="50" w:hanging="210" w:hangingChars="100"/>
        <w:rPr>
          <w:rFonts w:ascii="宋体" w:hAnsi="宋体"/>
          <w:color w:val="000000" w:themeColor="text1"/>
          <w:szCs w:val="21"/>
          <w:highlight w:val="none"/>
        </w:rPr>
      </w:pP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rPr>
        <w:t>提交的资料字迹模糊不清而现场无法提供原件核实的</w:t>
      </w:r>
      <w:r>
        <w:rPr>
          <w:rFonts w:hint="eastAsia" w:ascii="宋体" w:hAnsi="宋体"/>
          <w:color w:val="000000" w:themeColor="text1"/>
          <w:szCs w:val="21"/>
          <w:highlight w:val="none"/>
        </w:rPr>
        <w:t>将会直接导致无效投标。</w:t>
      </w:r>
      <w:r>
        <w:rPr>
          <w:rFonts w:hint="eastAsia" w:ascii="宋体" w:hAnsi="宋体"/>
          <w:bCs/>
          <w:color w:val="000000" w:themeColor="text1"/>
          <w:szCs w:val="21"/>
          <w:highlight w:val="none"/>
        </w:rPr>
        <w:t>不能继续参与后续评标，有效投标人少于3家的将导致废标。废标后，除采购任务取消情形外，应当重新组织采购。</w:t>
      </w:r>
      <w:r>
        <w:rPr>
          <w:rFonts w:hint="eastAsia" w:ascii="宋体" w:hAnsi="宋体"/>
          <w:color w:val="000000" w:themeColor="text1"/>
          <w:szCs w:val="21"/>
          <w:highlight w:val="none"/>
        </w:rPr>
        <w:t>在对应的自查结论中填“通过”或“不通过”。</w:t>
      </w:r>
    </w:p>
    <w:p>
      <w:pPr>
        <w:tabs>
          <w:tab w:val="center" w:pos="4483"/>
        </w:tabs>
        <w:ind w:left="525" w:leftChars="50" w:hanging="420" w:hangingChars="200"/>
        <w:rPr>
          <w:rFonts w:ascii="宋体" w:hAnsi="宋体"/>
          <w:color w:val="000000" w:themeColor="text1"/>
          <w:szCs w:val="21"/>
          <w:highlight w:val="none"/>
        </w:rPr>
      </w:pPr>
      <w:r>
        <w:rPr>
          <w:rFonts w:hint="eastAsia" w:ascii="宋体" w:hAnsi="宋体"/>
          <w:color w:val="000000" w:themeColor="text1"/>
          <w:szCs w:val="21"/>
          <w:highlight w:val="none"/>
        </w:rPr>
        <w:t xml:space="preserve">    2.</w:t>
      </w:r>
      <w:r>
        <w:rPr>
          <w:rFonts w:hint="eastAsia" w:ascii="宋体" w:hAnsi="宋体"/>
          <w:bCs/>
          <w:color w:val="000000" w:themeColor="text1"/>
          <w:szCs w:val="21"/>
          <w:highlight w:val="none"/>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color w:val="000000" w:themeColor="text1"/>
          <w:szCs w:val="21"/>
          <w:highlight w:val="none"/>
        </w:rPr>
      </w:pPr>
      <w:r>
        <w:rPr>
          <w:rFonts w:ascii="宋体" w:hAnsi="宋体"/>
          <w:bCs/>
          <w:color w:val="000000" w:themeColor="text1"/>
          <w:szCs w:val="21"/>
          <w:highlight w:val="none"/>
        </w:rPr>
        <w:t xml:space="preserve">   </w:t>
      </w:r>
      <w:r>
        <w:rPr>
          <w:rFonts w:hint="eastAsia" w:ascii="宋体" w:hAnsi="宋体"/>
          <w:bCs/>
          <w:color w:val="000000" w:themeColor="text1"/>
          <w:szCs w:val="21"/>
          <w:highlight w:val="none"/>
        </w:rPr>
        <w:t xml:space="preserve"> </w:t>
      </w:r>
    </w:p>
    <w:p>
      <w:pPr>
        <w:adjustRightInd w:val="0"/>
        <w:snapToGrid w:val="0"/>
        <w:spacing w:line="300" w:lineRule="auto"/>
        <w:rPr>
          <w:color w:val="000000" w:themeColor="text1"/>
          <w:szCs w:val="21"/>
          <w:highlight w:val="none"/>
        </w:rPr>
      </w:pPr>
    </w:p>
    <w:p>
      <w:pPr>
        <w:adjustRightInd w:val="0"/>
        <w:snapToGrid w:val="0"/>
        <w:spacing w:line="30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b/>
          <w:bCs w:val="0"/>
          <w:color w:val="000000" w:themeColor="text1"/>
          <w:szCs w:val="21"/>
          <w:highlight w:val="none"/>
        </w:rPr>
      </w:pPr>
      <w:r>
        <w:rPr>
          <w:rFonts w:hint="eastAsia" w:ascii="宋体" w:hAnsi="宋体"/>
          <w:color w:val="000000" w:themeColor="text1"/>
          <w:szCs w:val="21"/>
          <w:highlight w:val="none"/>
        </w:rPr>
        <w:t>日期：   年   月   日</w:t>
      </w:r>
      <w:r>
        <w:rPr>
          <w:rFonts w:ascii="宋体"/>
          <w:b/>
          <w:bCs w:val="0"/>
          <w:color w:val="000000" w:themeColor="text1"/>
          <w:szCs w:val="21"/>
          <w:highlight w:val="none"/>
        </w:rPr>
        <w:t xml:space="preserve">  </w:t>
      </w:r>
    </w:p>
    <w:p>
      <w:pPr>
        <w:rPr>
          <w:rFonts w:ascii="宋体"/>
          <w:b/>
          <w:bCs w:val="0"/>
          <w:color w:val="000000" w:themeColor="text1"/>
          <w:szCs w:val="21"/>
          <w:highlight w:val="none"/>
        </w:rPr>
      </w:pPr>
      <w:r>
        <w:rPr>
          <w:rFonts w:ascii="宋体"/>
          <w:b/>
          <w:bCs w:val="0"/>
          <w:color w:val="000000" w:themeColor="text1"/>
          <w:szCs w:val="21"/>
          <w:highlight w:val="none"/>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rPr>
      </w:pPr>
      <w:r>
        <w:rPr>
          <w:rFonts w:hint="eastAsia" w:ascii="宋体"/>
          <w:b/>
          <w:color w:val="000000" w:themeColor="text1"/>
          <w:szCs w:val="21"/>
          <w:highlight w:val="none"/>
        </w:rPr>
        <w:t xml:space="preserve"> </w:t>
      </w:r>
      <w:bookmarkStart w:id="1788" w:name="_Toc18515"/>
      <w:r>
        <w:rPr>
          <w:rFonts w:hint="eastAsia" w:ascii="宋体"/>
          <w:b/>
          <w:color w:val="000000" w:themeColor="text1"/>
          <w:szCs w:val="21"/>
          <w:highlight w:val="none"/>
        </w:rPr>
        <w:t>评审项目投标资料表</w:t>
      </w:r>
      <w:bookmarkEnd w:id="1788"/>
    </w:p>
    <w:p>
      <w:pPr>
        <w:jc w:val="center"/>
        <w:rPr>
          <w:rFonts w:ascii="宋体" w:hAnsi="宋体" w:eastAsia="黑体"/>
          <w:b/>
          <w:color w:val="000000" w:themeColor="text1"/>
          <w:kern w:val="44"/>
          <w:szCs w:val="21"/>
          <w:highlight w:val="none"/>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评审分项</w:t>
            </w:r>
          </w:p>
        </w:tc>
        <w:tc>
          <w:tcPr>
            <w:tcW w:w="5202"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评审细则</w:t>
            </w:r>
          </w:p>
        </w:tc>
        <w:tc>
          <w:tcPr>
            <w:tcW w:w="2300" w:type="dxa"/>
            <w:vAlign w:val="center"/>
          </w:tcPr>
          <w:p>
            <w:pPr>
              <w:pStyle w:val="308"/>
              <w:keepNext w:val="0"/>
              <w:adjustRightInd/>
              <w:spacing w:before="0" w:after="0" w:line="240" w:lineRule="auto"/>
              <w:textAlignment w:val="auto"/>
              <w:rPr>
                <w:rFonts w:ascii="宋体" w:hAnsi="宋体"/>
                <w:snapToGrid/>
                <w:color w:val="000000" w:themeColor="text1"/>
                <w:spacing w:val="0"/>
                <w:kern w:val="2"/>
                <w:sz w:val="21"/>
                <w:szCs w:val="21"/>
                <w:highlight w:val="none"/>
              </w:rPr>
            </w:pPr>
            <w:r>
              <w:rPr>
                <w:rFonts w:hint="eastAsia" w:ascii="宋体" w:hAnsi="宋体"/>
                <w:snapToGrid/>
                <w:color w:val="000000" w:themeColor="text1"/>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5"/>
              <w:ind w:left="420" w:firstLine="420"/>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rPr>
                <w:rFonts w:ascii="宋体" w:hAnsi="宋体"/>
                <w:color w:val="000000" w:themeColor="text1"/>
                <w:szCs w:val="21"/>
                <w:highlight w:val="none"/>
              </w:rPr>
            </w:pPr>
          </w:p>
        </w:tc>
        <w:tc>
          <w:tcPr>
            <w:tcW w:w="2300" w:type="dxa"/>
            <w:vAlign w:val="center"/>
          </w:tcPr>
          <w:p>
            <w:pPr>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rPr>
            </w:pPr>
          </w:p>
        </w:tc>
        <w:tc>
          <w:tcPr>
            <w:tcW w:w="5202" w:type="dxa"/>
            <w:vAlign w:val="center"/>
          </w:tcPr>
          <w:p>
            <w:pPr>
              <w:pStyle w:val="35"/>
              <w:ind w:left="420" w:firstLine="420"/>
              <w:rPr>
                <w:rFonts w:ascii="宋体" w:hAnsi="宋体"/>
                <w:color w:val="000000" w:themeColor="text1"/>
                <w:szCs w:val="21"/>
                <w:highlight w:val="none"/>
              </w:rPr>
            </w:pPr>
          </w:p>
        </w:tc>
        <w:tc>
          <w:tcPr>
            <w:tcW w:w="2300" w:type="dxa"/>
            <w:vAlign w:val="center"/>
          </w:tcPr>
          <w:p>
            <w:pPr>
              <w:pStyle w:val="35"/>
              <w:rPr>
                <w:rFonts w:ascii="宋体" w:hAnsi="宋体"/>
                <w:color w:val="000000" w:themeColor="text1"/>
                <w:szCs w:val="21"/>
                <w:highlight w:val="none"/>
              </w:rPr>
            </w:pPr>
            <w:r>
              <w:rPr>
                <w:rFonts w:hint="eastAsia" w:ascii="宋体" w:hAnsi="宋体"/>
                <w:color w:val="000000" w:themeColor="text1"/>
                <w:szCs w:val="21"/>
                <w:highlight w:val="none"/>
              </w:rPr>
              <w:t>见投标文件第（）页</w:t>
            </w:r>
          </w:p>
        </w:tc>
      </w:tr>
    </w:tbl>
    <w:p>
      <w:pPr>
        <w:adjustRightInd w:val="0"/>
        <w:snapToGrid w:val="0"/>
        <w:spacing w:line="300" w:lineRule="auto"/>
        <w:rPr>
          <w:rFonts w:ascii="宋体" w:hAnsi="宋体"/>
          <w:color w:val="000000" w:themeColor="text1"/>
          <w:szCs w:val="21"/>
          <w:highlight w:val="none"/>
        </w:rPr>
      </w:pPr>
    </w:p>
    <w:p>
      <w:pPr>
        <w:adjustRightInd w:val="0"/>
        <w:snapToGrid w:val="0"/>
        <w:spacing w:line="300" w:lineRule="auto"/>
        <w:rPr>
          <w:rFonts w:ascii="宋体" w:hAnsi="宋体"/>
          <w:color w:val="000000" w:themeColor="text1"/>
          <w:szCs w:val="21"/>
          <w:highlight w:val="none"/>
        </w:rPr>
      </w:pPr>
    </w:p>
    <w:p>
      <w:pPr>
        <w:spacing w:line="360" w:lineRule="auto"/>
        <w:rPr>
          <w:rFonts w:ascii="宋体" w:hAnsi="宋体"/>
          <w:color w:val="000000" w:themeColor="text1"/>
          <w:szCs w:val="21"/>
          <w:highlight w:val="none"/>
          <w:u w:val="single"/>
        </w:rPr>
      </w:pPr>
      <w:r>
        <w:rPr>
          <w:rFonts w:hint="eastAsia"/>
          <w:color w:val="000000" w:themeColor="text1"/>
          <w:szCs w:val="21"/>
          <w:highlight w:val="none"/>
        </w:rPr>
        <w:t>投标人法定代表人（负责人）或授权代理人（签字）：</w:t>
      </w:r>
      <w:r>
        <w:rPr>
          <w:rFonts w:hint="eastAsia"/>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u w:val="single"/>
        </w:rPr>
      </w:pPr>
      <w:r>
        <w:rPr>
          <w:rFonts w:hint="eastAsia" w:ascii="宋体" w:hAnsi="宋体"/>
          <w:color w:val="000000" w:themeColor="text1"/>
          <w:szCs w:val="21"/>
          <w:highlight w:val="none"/>
        </w:rPr>
        <w:t>投标人名称（签章）：</w:t>
      </w:r>
      <w:r>
        <w:rPr>
          <w:rFonts w:hint="eastAsia" w:ascii="宋体" w:hAnsi="宋体"/>
          <w:color w:val="000000" w:themeColor="text1"/>
          <w:szCs w:val="21"/>
          <w:highlight w:val="none"/>
          <w:u w:val="single"/>
        </w:rPr>
        <w:t xml:space="preserve">                        </w:t>
      </w:r>
    </w:p>
    <w:p>
      <w:pPr>
        <w:adjustRightInd w:val="0"/>
        <w:snapToGrid w:val="0"/>
        <w:spacing w:line="300" w:lineRule="auto"/>
        <w:rPr>
          <w:rFonts w:ascii="宋体" w:hAnsi="宋体"/>
          <w:color w:val="000000" w:themeColor="text1"/>
          <w:szCs w:val="21"/>
          <w:highlight w:val="none"/>
        </w:rPr>
      </w:pPr>
      <w:r>
        <w:rPr>
          <w:rFonts w:hint="eastAsia" w:ascii="宋体" w:hAnsi="宋体"/>
          <w:color w:val="000000" w:themeColor="text1"/>
          <w:szCs w:val="21"/>
          <w:highlight w:val="none"/>
        </w:rPr>
        <w:t>日期：   年   月   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rFonts w:hint="eastAsia"/>
          <w:color w:val="000000" w:themeColor="text1"/>
          <w:highlight w:val="none"/>
        </w:rPr>
      </w:pPr>
      <w:bookmarkStart w:id="1789" w:name="_Toc382404103"/>
    </w:p>
    <w:p>
      <w:pPr>
        <w:pStyle w:val="4"/>
        <w:numPr>
          <w:ilvl w:val="0"/>
          <w:numId w:val="0"/>
        </w:numPr>
        <w:rPr>
          <w:color w:val="000000" w:themeColor="text1"/>
          <w:highlight w:val="none"/>
        </w:rPr>
      </w:pPr>
      <w:bookmarkStart w:id="1790" w:name="_Toc1288"/>
      <w:r>
        <w:rPr>
          <w:rFonts w:hint="eastAsia"/>
          <w:color w:val="000000" w:themeColor="text1"/>
          <w:highlight w:val="none"/>
        </w:rPr>
        <w:t>（一）法定代表人（负责人）证明书</w:t>
      </w:r>
      <w:bookmarkEnd w:id="1789"/>
      <w:bookmarkEnd w:id="1790"/>
    </w:p>
    <w:p>
      <w:pPr>
        <w:pStyle w:val="5"/>
        <w:rPr>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u w:val="single"/>
        </w:rPr>
        <w:t xml:space="preserve">      单位法定代表人（负责人）姓名     </w:t>
      </w:r>
      <w:r>
        <w:rPr>
          <w:rFonts w:hint="eastAsia" w:ascii="宋体" w:hAnsi="宋体"/>
          <w:color w:val="000000" w:themeColor="text1"/>
          <w:highlight w:val="none"/>
        </w:rPr>
        <w:t>同志，现任</w:t>
      </w:r>
      <w:r>
        <w:rPr>
          <w:rFonts w:hint="eastAsia" w:ascii="宋体" w:hAnsi="宋体"/>
          <w:color w:val="000000" w:themeColor="text1"/>
          <w:highlight w:val="none"/>
          <w:u w:val="single"/>
        </w:rPr>
        <w:t xml:space="preserve">       投标人名称                  </w:t>
      </w:r>
      <w:r>
        <w:rPr>
          <w:rFonts w:hint="eastAsia" w:ascii="宋体" w:hAnsi="宋体"/>
          <w:color w:val="000000" w:themeColor="text1"/>
          <w:highlight w:val="none"/>
        </w:rPr>
        <w:t>的</w:t>
      </w:r>
      <w:r>
        <w:rPr>
          <w:rFonts w:hint="eastAsia" w:ascii="宋体" w:hAnsi="宋体"/>
          <w:color w:val="000000" w:themeColor="text1"/>
          <w:highlight w:val="none"/>
          <w:u w:val="single"/>
        </w:rPr>
        <w:t xml:space="preserve">   职务    </w:t>
      </w:r>
      <w:r>
        <w:rPr>
          <w:rFonts w:hint="eastAsia" w:ascii="宋体" w:hAnsi="宋体"/>
          <w:color w:val="000000" w:themeColor="text1"/>
          <w:highlight w:val="none"/>
        </w:rPr>
        <w:t>，为法定代表人（负责人），特此证明。</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 xml:space="preserve">      </w:t>
      </w:r>
    </w:p>
    <w:p>
      <w:pPr>
        <w:spacing w:line="560" w:lineRule="exact"/>
        <w:ind w:firstLine="420" w:firstLineChars="200"/>
        <w:rPr>
          <w:rFonts w:ascii="宋体" w:hAnsi="宋体"/>
          <w:color w:val="000000" w:themeColor="text1"/>
          <w:highlight w:val="none"/>
          <w:u w:val="single"/>
        </w:rPr>
      </w:pPr>
      <w:r>
        <w:rPr>
          <w:rFonts w:hint="eastAsia" w:ascii="宋体" w:hAnsi="宋体"/>
          <w:color w:val="000000" w:themeColor="text1"/>
          <w:highlight w:val="none"/>
        </w:rPr>
        <w:t>签发单位：</w:t>
      </w:r>
      <w:r>
        <w:rPr>
          <w:rFonts w:hint="eastAsia" w:ascii="宋体" w:hAnsi="宋体"/>
          <w:color w:val="000000" w:themeColor="text1"/>
          <w:highlight w:val="none"/>
          <w:u w:val="single"/>
        </w:rPr>
        <w:t xml:space="preserve">（名称并加盖公章）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spacing w:line="560" w:lineRule="exact"/>
        <w:ind w:firstLine="420" w:firstLineChars="200"/>
        <w:rPr>
          <w:rFonts w:ascii="宋体" w:hAnsi="宋体"/>
          <w:color w:val="000000" w:themeColor="text1"/>
          <w:highlight w:val="none"/>
        </w:rPr>
      </w:pP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附：代表人性别：</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年龄：</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岁    </w:t>
      </w:r>
    </w:p>
    <w:p>
      <w:pPr>
        <w:spacing w:line="480" w:lineRule="exact"/>
        <w:ind w:firstLine="420" w:firstLineChars="200"/>
        <w:rPr>
          <w:rFonts w:ascii="宋体" w:hAnsi="宋体"/>
          <w:color w:val="000000" w:themeColor="text1"/>
          <w:highlight w:val="none"/>
        </w:rPr>
      </w:pPr>
    </w:p>
    <w:p>
      <w:pPr>
        <w:spacing w:line="480" w:lineRule="exact"/>
        <w:ind w:firstLine="420" w:firstLineChars="200"/>
        <w:rPr>
          <w:rFonts w:ascii="宋体" w:hAnsi="宋体"/>
          <w:color w:val="000000" w:themeColor="text1"/>
          <w:highlight w:val="none"/>
        </w:rPr>
      </w:pPr>
      <w:r>
        <w:rPr>
          <w:rFonts w:hint="eastAsia" w:ascii="宋体" w:hAnsi="宋体"/>
          <w:color w:val="000000" w:themeColor="text1"/>
          <w:highlight w:val="none"/>
        </w:rPr>
        <w:t>说明： 内容必须填写真实、清楚，涂改无效，不得转让、买卖。</w:t>
      </w:r>
    </w:p>
    <w:p>
      <w:pPr>
        <w:spacing w:line="480" w:lineRule="exact"/>
        <w:ind w:firstLine="420" w:firstLineChars="200"/>
        <w:rPr>
          <w:rFonts w:ascii="宋体" w:hAnsi="宋体"/>
          <w:color w:val="000000" w:themeColor="text1"/>
          <w:highlight w:val="none"/>
        </w:rPr>
      </w:pPr>
    </w:p>
    <w:p>
      <w:pPr>
        <w:pStyle w:val="5"/>
        <w:rPr>
          <w:rFonts w:hAnsi="宋体"/>
          <w:color w:val="000000" w:themeColor="text1"/>
          <w:sz w:val="21"/>
          <w:highlight w:val="none"/>
        </w:rPr>
      </w:pPr>
    </w:p>
    <w:p>
      <w:pPr>
        <w:pStyle w:val="5"/>
        <w:rPr>
          <w:color w:val="000000" w:themeColor="text1"/>
          <w:highlight w:val="none"/>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mE9EtgAAAAKAQAADwAAAAAAAAABACAAAAAiAAAAZHJzL2Rvd25y&#10;ZXYueG1sUEsBAhQAFAAAAAgAh07iQAU70Fo3AgAASAQAAA4AAAAAAAAAAQAgAAAAJwEAAGRycy9l&#10;Mm9Eb2MueG1sUEsFBgAAAAAGAAYAWQEAANAFA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highlight w:val="none"/>
        </w:rPr>
      </w:pPr>
      <w:bookmarkStart w:id="1791" w:name="_Toc337632372"/>
      <w:bookmarkStart w:id="1792" w:name="_Toc341348354"/>
      <w:bookmarkStart w:id="1793" w:name="_Toc343612934"/>
      <w:bookmarkStart w:id="1794" w:name="_Toc333935701"/>
      <w:bookmarkStart w:id="1795" w:name="_Toc342398144"/>
      <w:bookmarkStart w:id="1796" w:name="_Toc333237803"/>
      <w:bookmarkStart w:id="1797" w:name="_Toc340677084"/>
      <w:bookmarkStart w:id="1798" w:name="_Toc365985192"/>
      <w:bookmarkStart w:id="1799" w:name="_Toc342312457"/>
      <w:bookmarkStart w:id="1800" w:name="_Toc332270361"/>
      <w:bookmarkStart w:id="1801" w:name="_Toc366072543"/>
      <w:bookmarkStart w:id="1802" w:name="_Toc333935360"/>
      <w:bookmarkStart w:id="1803" w:name="_Toc343248432"/>
      <w:bookmarkStart w:id="1804" w:name="_Toc342296775"/>
      <w:bookmarkStart w:id="1805" w:name="_Toc340507456"/>
      <w:bookmarkStart w:id="1806" w:name="_Toc339019903"/>
      <w:bookmarkStart w:id="1807" w:name="_Toc345312611"/>
      <w:bookmarkStart w:id="1808" w:name="_Toc339362314"/>
      <w:bookmarkStart w:id="1809" w:name="_Toc333237692"/>
      <w:bookmarkStart w:id="1810" w:name="_Toc382404104"/>
      <w:bookmarkStart w:id="1811" w:name="_Toc339441101"/>
      <w:bookmarkStart w:id="1812" w:name="_Toc330460000"/>
      <w:bookmarkStart w:id="1813" w:name="_Toc340672883"/>
      <w:bookmarkStart w:id="1814" w:name="_Toc336681594"/>
      <w:bookmarkStart w:id="1815" w:name="_Toc332206723"/>
      <w:bookmarkStart w:id="1816" w:name="_Toc350756464"/>
      <w:bookmarkStart w:id="1817" w:name="_Toc331684056"/>
      <w:bookmarkStart w:id="1818" w:name="_Toc28779"/>
      <w:bookmarkStart w:id="1819" w:name="_Toc339020029"/>
      <w:bookmarkStart w:id="1820" w:name="_Toc336681949"/>
      <w:bookmarkStart w:id="1821" w:name="_Toc333238648"/>
      <w:bookmarkStart w:id="1822" w:name="_Toc339020109"/>
      <w:bookmarkStart w:id="1823" w:name="_Toc342060389"/>
      <w:bookmarkStart w:id="1824" w:name="_Toc331512915"/>
      <w:bookmarkStart w:id="1825" w:name="_Toc343247114"/>
      <w:bookmarkStart w:id="1826" w:name="_Toc365967086"/>
      <w:bookmarkStart w:id="1827" w:name="_Toc339020247"/>
      <w:bookmarkStart w:id="1828" w:name="_Toc350438763"/>
      <w:r>
        <w:rPr>
          <w:rFonts w:hint="eastAsia"/>
          <w:color w:val="000000" w:themeColor="text1"/>
          <w:highlight w:val="none"/>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pPr>
        <w:spacing w:line="360" w:lineRule="auto"/>
        <w:ind w:firstLine="420" w:firstLineChars="200"/>
        <w:rPr>
          <w:rFonts w:ascii="宋体" w:hAnsi="宋体"/>
          <w:bCs/>
          <w:color w:val="000000" w:themeColor="text1"/>
          <w:kern w:val="0"/>
          <w:highlight w:val="none"/>
        </w:rPr>
      </w:pPr>
    </w:p>
    <w:p>
      <w:pPr>
        <w:spacing w:line="360" w:lineRule="auto"/>
        <w:ind w:firstLine="420" w:firstLineChars="200"/>
        <w:rPr>
          <w:color w:val="000000" w:themeColor="text1"/>
          <w:highlight w:val="none"/>
        </w:rPr>
      </w:pPr>
      <w:r>
        <w:rPr>
          <w:rFonts w:hint="eastAsia" w:ascii="宋体" w:hAnsi="宋体"/>
          <w:bCs/>
          <w:color w:val="000000" w:themeColor="text1"/>
          <w:kern w:val="0"/>
          <w:highlight w:val="none"/>
        </w:rPr>
        <w:t>本授权委托书声明：我</w:t>
      </w:r>
      <w:r>
        <w:rPr>
          <w:rFonts w:hint="eastAsia" w:ascii="宋体" w:hAnsi="宋体"/>
          <w:bCs/>
          <w:color w:val="000000" w:themeColor="text1"/>
          <w:kern w:val="0"/>
          <w:highlight w:val="none"/>
          <w:u w:val="single"/>
        </w:rPr>
        <w:t xml:space="preserve">        （单位法定代表人（负责人）姓名）</w:t>
      </w:r>
      <w:r>
        <w:rPr>
          <w:rFonts w:hint="eastAsia" w:ascii="宋体" w:hAnsi="宋体"/>
          <w:bCs/>
          <w:color w:val="000000" w:themeColor="text1"/>
          <w:kern w:val="0"/>
          <w:highlight w:val="none"/>
        </w:rPr>
        <w:t xml:space="preserve"> 系</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的法定代表人（负责人），现授权委托</w:t>
      </w:r>
      <w:r>
        <w:rPr>
          <w:rFonts w:hint="eastAsia" w:ascii="宋体" w:hAnsi="宋体"/>
          <w:bCs/>
          <w:color w:val="000000" w:themeColor="text1"/>
          <w:kern w:val="0"/>
          <w:highlight w:val="none"/>
          <w:u w:val="single"/>
        </w:rPr>
        <w:t xml:space="preserve">                        （投标人名称）</w:t>
      </w:r>
      <w:r>
        <w:rPr>
          <w:rFonts w:hint="eastAsia" w:ascii="宋体" w:hAnsi="宋体"/>
          <w:bCs/>
          <w:color w:val="000000" w:themeColor="text1"/>
          <w:kern w:val="0"/>
          <w:highlight w:val="none"/>
        </w:rPr>
        <w:t>的</w:t>
      </w:r>
      <w:r>
        <w:rPr>
          <w:rFonts w:hint="eastAsia" w:ascii="宋体" w:hAnsi="宋体"/>
          <w:bCs/>
          <w:color w:val="000000" w:themeColor="text1"/>
          <w:kern w:val="0"/>
          <w:highlight w:val="none"/>
          <w:u w:val="single"/>
        </w:rPr>
        <w:t xml:space="preserve">            （代理人姓名）</w:t>
      </w:r>
      <w:r>
        <w:rPr>
          <w:rFonts w:hint="eastAsia" w:ascii="宋体" w:hAnsi="宋体"/>
          <w:bCs/>
          <w:color w:val="000000" w:themeColor="text1"/>
          <w:kern w:val="0"/>
          <w:highlight w:val="none"/>
        </w:rPr>
        <w:t>为我公司代理人，以本公司的名义参加广东业信采购招标有限公司组织的</w:t>
      </w:r>
      <w:r>
        <w:rPr>
          <w:rFonts w:hint="eastAsia"/>
          <w:color w:val="000000" w:themeColor="text1"/>
          <w:szCs w:val="21"/>
          <w:highlight w:val="none"/>
        </w:rPr>
        <w:t>（项目名称：</w:t>
      </w:r>
      <w:r>
        <w:rPr>
          <w:rFonts w:hint="eastAsia"/>
          <w:color w:val="000000" w:themeColor="text1"/>
          <w:szCs w:val="21"/>
          <w:highlight w:val="none"/>
          <w:u w:val="single"/>
        </w:rPr>
        <w:t xml:space="preserve">                      </w:t>
      </w:r>
      <w:r>
        <w:rPr>
          <w:rFonts w:hint="eastAsia"/>
          <w:color w:val="000000" w:themeColor="text1"/>
          <w:szCs w:val="21"/>
          <w:highlight w:val="none"/>
        </w:rPr>
        <w:t>）</w:t>
      </w:r>
      <w:r>
        <w:rPr>
          <w:rFonts w:hint="eastAsia" w:ascii="宋体" w:hAnsi="宋体"/>
          <w:bCs/>
          <w:color w:val="000000" w:themeColor="text1"/>
          <w:highlight w:val="none"/>
        </w:rPr>
        <w:t>招标（</w:t>
      </w:r>
      <w:r>
        <w:rPr>
          <w:rFonts w:hint="eastAsia"/>
          <w:color w:val="000000" w:themeColor="text1"/>
          <w:szCs w:val="21"/>
          <w:highlight w:val="none"/>
        </w:rPr>
        <w:t>项目编号：</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w:t>
      </w:r>
      <w:r>
        <w:rPr>
          <w:rFonts w:hint="eastAsia" w:ascii="宋体" w:hAnsi="宋体"/>
          <w:bCs/>
          <w:color w:val="000000" w:themeColor="text1"/>
          <w:kern w:val="0"/>
          <w:highlight w:val="none"/>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代理人无转移委托权。</w:t>
      </w:r>
    </w:p>
    <w:p>
      <w:pPr>
        <w:spacing w:line="560" w:lineRule="exact"/>
        <w:ind w:firstLine="420" w:firstLineChars="200"/>
        <w:rPr>
          <w:rFonts w:ascii="宋体" w:hAnsi="宋体"/>
          <w:bCs/>
          <w:color w:val="000000" w:themeColor="text1"/>
          <w:kern w:val="0"/>
          <w:highlight w:val="none"/>
        </w:rPr>
      </w:pPr>
      <w:r>
        <w:rPr>
          <w:rFonts w:hint="eastAsia" w:ascii="宋体" w:hAnsi="宋体"/>
          <w:bCs/>
          <w:color w:val="000000" w:themeColor="text1"/>
          <w:kern w:val="0"/>
          <w:highlight w:val="none"/>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rPr>
      </w:pP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代理人：</w:t>
      </w:r>
      <w:r>
        <w:rPr>
          <w:rFonts w:hint="eastAsia" w:ascii="宋体" w:hAnsi="宋体"/>
          <w:bCs/>
          <w:color w:val="000000" w:themeColor="text1"/>
          <w:kern w:val="0"/>
          <w:highlight w:val="none"/>
          <w:u w:val="single"/>
        </w:rPr>
        <w:t xml:space="preserve">   </w:t>
      </w:r>
      <w:r>
        <w:rPr>
          <w:rFonts w:ascii="宋体" w:hAnsi="宋体"/>
          <w:bCs/>
          <w:color w:val="000000" w:themeColor="text1"/>
          <w:kern w:val="0"/>
          <w:highlight w:val="none"/>
          <w:u w:val="single"/>
        </w:rPr>
        <w:t xml:space="preserve"> </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性别：</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年龄：</w:t>
      </w:r>
      <w:r>
        <w:rPr>
          <w:rFonts w:hint="eastAsia" w:ascii="宋体" w:hAnsi="宋体"/>
          <w:bCs/>
          <w:color w:val="000000" w:themeColor="text1"/>
          <w:kern w:val="0"/>
          <w:highlight w:val="none"/>
          <w:u w:val="single"/>
        </w:rPr>
        <w:t xml:space="preserve">           </w:t>
      </w:r>
      <w:r>
        <w:rPr>
          <w:rFonts w:hint="eastAsia" w:ascii="宋体" w:hAnsi="宋体"/>
          <w:bCs/>
          <w:color w:val="000000" w:themeColor="text1"/>
          <w:kern w:val="0"/>
          <w:highlight w:val="none"/>
        </w:rPr>
        <w:t xml:space="preserve">   职务：</w:t>
      </w:r>
      <w:r>
        <w:rPr>
          <w:rFonts w:hint="eastAsia" w:ascii="宋体" w:hAnsi="宋体"/>
          <w:bCs/>
          <w:color w:val="000000" w:themeColor="text1"/>
          <w:kern w:val="0"/>
          <w:highlight w:val="none"/>
          <w:u w:val="single"/>
        </w:rPr>
        <w:t xml:space="preserve">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投标人：</w:t>
      </w:r>
      <w:r>
        <w:rPr>
          <w:rFonts w:hint="eastAsia" w:ascii="宋体" w:hAnsi="宋体"/>
          <w:bCs/>
          <w:color w:val="000000" w:themeColor="text1"/>
          <w:kern w:val="0"/>
          <w:highlight w:val="none"/>
          <w:u w:val="single"/>
        </w:rPr>
        <w:t xml:space="preserve">          （名称并加盖公章）                                         </w:t>
      </w:r>
    </w:p>
    <w:p>
      <w:pPr>
        <w:spacing w:line="560" w:lineRule="exact"/>
        <w:ind w:firstLine="420" w:firstLineChars="200"/>
        <w:rPr>
          <w:rFonts w:ascii="宋体" w:hAnsi="宋体"/>
          <w:bCs/>
          <w:color w:val="000000" w:themeColor="text1"/>
          <w:kern w:val="0"/>
          <w:highlight w:val="none"/>
          <w:u w:val="single"/>
        </w:rPr>
      </w:pPr>
      <w:r>
        <w:rPr>
          <w:rFonts w:hint="eastAsia" w:ascii="宋体" w:hAnsi="宋体"/>
          <w:bCs/>
          <w:color w:val="000000" w:themeColor="text1"/>
          <w:kern w:val="0"/>
          <w:highlight w:val="none"/>
        </w:rPr>
        <w:t>法定代表人（负责人）：</w:t>
      </w:r>
      <w:r>
        <w:rPr>
          <w:rFonts w:hint="eastAsia" w:ascii="宋体" w:hAnsi="宋体"/>
          <w:bCs/>
          <w:color w:val="000000" w:themeColor="text1"/>
          <w:kern w:val="0"/>
          <w:highlight w:val="none"/>
          <w:u w:val="single"/>
        </w:rPr>
        <w:t xml:space="preserve">    （签字或盖章）         </w:t>
      </w:r>
    </w:p>
    <w:p>
      <w:pPr>
        <w:spacing w:line="560" w:lineRule="exact"/>
        <w:ind w:firstLine="420" w:firstLineChars="200"/>
        <w:rPr>
          <w:rFonts w:ascii="宋体" w:hAnsi="宋体"/>
          <w:color w:val="000000" w:themeColor="text1"/>
          <w:highlight w:val="none"/>
        </w:rPr>
      </w:pPr>
      <w:r>
        <w:rPr>
          <w:rFonts w:hint="eastAsia" w:ascii="宋体" w:hAnsi="宋体"/>
          <w:color w:val="000000" w:themeColor="text1"/>
          <w:highlight w:val="none"/>
        </w:rPr>
        <w:t>签发日期：</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  有效日期至：</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年</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月</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日</w:t>
      </w:r>
    </w:p>
    <w:p>
      <w:pPr>
        <w:autoSpaceDE w:val="0"/>
        <w:autoSpaceDN w:val="0"/>
        <w:adjustRightInd w:val="0"/>
        <w:snapToGrid w:val="0"/>
        <w:spacing w:line="360" w:lineRule="auto"/>
        <w:ind w:firstLine="630"/>
        <w:rPr>
          <w:rFonts w:ascii="宋体" w:hAnsi="宋体"/>
          <w:bCs/>
          <w:color w:val="000000" w:themeColor="text1"/>
          <w:kern w:val="0"/>
          <w:highlight w:val="none"/>
        </w:rPr>
      </w:pPr>
    </w:p>
    <w:p>
      <w:pPr>
        <w:rPr>
          <w:rFonts w:ascii="宋体" w:hAnsi="宋体"/>
          <w:b/>
          <w:color w:val="000000" w:themeColor="text1"/>
          <w:szCs w:val="21"/>
          <w:highlight w:val="none"/>
        </w:rPr>
      </w:pPr>
      <w:r>
        <w:rPr>
          <w:rFonts w:hint="eastAsia" w:ascii="宋体" w:hAnsi="宋体"/>
          <w:b/>
          <w:color w:val="000000" w:themeColor="text1"/>
          <w:szCs w:val="21"/>
          <w:highlight w:val="none"/>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j2AqQ1wAAAAkBAAAPAAAAAAAAAAEAIAAAACIAAABkcnMvZG93bnJl&#10;di54bWxQSwECFAAUAAAACACHTuJAzN7azzcCAABIBAAADgAAAAAAAAABACAAAAAmAQAAZHJzL2Uy&#10;b0RvYy54bWxQSwUGAAAAAAYABgBZAQAAzw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tabs>
          <w:tab w:val="center" w:pos="4483"/>
        </w:tabs>
        <w:rPr>
          <w:rFonts w:ascii="宋体" w:hAnsi="宋体"/>
          <w:bCs/>
          <w:color w:val="000000" w:themeColor="text1"/>
          <w:szCs w:val="21"/>
          <w:highlight w:val="none"/>
        </w:rPr>
      </w:pPr>
    </w:p>
    <w:p>
      <w:pPr>
        <w:pStyle w:val="5"/>
        <w:ind w:firstLine="0"/>
        <w:rPr>
          <w:color w:val="000000" w:themeColor="text1"/>
          <w:highlight w:val="none"/>
        </w:rPr>
      </w:pPr>
    </w:p>
    <w:bookmarkEnd w:id="1688"/>
    <w:p>
      <w:pPr>
        <w:pStyle w:val="4"/>
        <w:numPr>
          <w:ilvl w:val="0"/>
          <w:numId w:val="0"/>
        </w:numPr>
        <w:rPr>
          <w:color w:val="000000" w:themeColor="text1"/>
          <w:highlight w:val="none"/>
        </w:rPr>
      </w:pPr>
      <w:bookmarkStart w:id="1829" w:name="_Toc330460007"/>
      <w:bookmarkStart w:id="1830" w:name="_Toc331512922"/>
      <w:bookmarkStart w:id="1831" w:name="_Toc342398151"/>
      <w:bookmarkStart w:id="1832" w:name="_Toc340677091"/>
      <w:bookmarkStart w:id="1833" w:name="_Toc365985199"/>
      <w:bookmarkStart w:id="1834" w:name="_Toc343248439"/>
      <w:bookmarkStart w:id="1835" w:name="_Toc350756471"/>
      <w:bookmarkStart w:id="1836" w:name="_Toc331684063"/>
      <w:bookmarkStart w:id="1837" w:name="_Toc365967093"/>
      <w:bookmarkStart w:id="1838" w:name="_Toc333935367"/>
      <w:bookmarkStart w:id="1839" w:name="_Toc342296782"/>
      <w:bookmarkStart w:id="1840" w:name="_Toc342312464"/>
      <w:bookmarkStart w:id="1841" w:name="_Toc343247121"/>
      <w:bookmarkStart w:id="1842" w:name="_Toc333237810"/>
      <w:bookmarkStart w:id="1843" w:name="_Toc337632379"/>
      <w:bookmarkStart w:id="1844" w:name="_Toc339362321"/>
      <w:bookmarkStart w:id="1845" w:name="_Toc341348361"/>
      <w:bookmarkStart w:id="1846" w:name="_Toc339019910"/>
      <w:bookmarkStart w:id="1847" w:name="_Toc342060396"/>
      <w:bookmarkStart w:id="1848" w:name="_Toc18923"/>
      <w:bookmarkStart w:id="1849" w:name="_Toc340507463"/>
      <w:bookmarkStart w:id="1850" w:name="_Toc333237699"/>
      <w:bookmarkStart w:id="1851" w:name="_Toc339020116"/>
      <w:bookmarkStart w:id="1852" w:name="_Toc350438770"/>
      <w:bookmarkStart w:id="1853" w:name="_Toc339020036"/>
      <w:bookmarkStart w:id="1854" w:name="_Toc336681956"/>
      <w:bookmarkStart w:id="1855" w:name="_Toc332206730"/>
      <w:bookmarkStart w:id="1856" w:name="_Toc336681601"/>
      <w:bookmarkStart w:id="1857" w:name="_Toc333238655"/>
      <w:bookmarkStart w:id="1858" w:name="_Toc339020254"/>
      <w:bookmarkStart w:id="1859" w:name="_Toc345312618"/>
      <w:bookmarkStart w:id="1860" w:name="_Toc366072550"/>
      <w:bookmarkStart w:id="1861" w:name="_Toc332270368"/>
      <w:bookmarkStart w:id="1862" w:name="_Toc340672890"/>
      <w:bookmarkStart w:id="1863" w:name="_Toc333935708"/>
      <w:bookmarkStart w:id="1864" w:name="_Toc339441108"/>
      <w:bookmarkStart w:id="1865" w:name="_Toc343612941"/>
      <w:r>
        <w:rPr>
          <w:rFonts w:hint="eastAsia"/>
          <w:color w:val="000000" w:themeColor="text1"/>
          <w:highlight w:val="none"/>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pPr>
        <w:widowControl/>
        <w:spacing w:line="400" w:lineRule="exact"/>
        <w:jc w:val="left"/>
        <w:rPr>
          <w:rFonts w:ascii="宋体" w:hAnsi="宋体" w:cs="宋体"/>
          <w:b/>
          <w:color w:val="000000" w:themeColor="text1"/>
          <w:kern w:val="0"/>
          <w:sz w:val="24"/>
          <w:highlight w:val="none"/>
          <w:u w:val="single"/>
        </w:rPr>
      </w:pPr>
      <w:r>
        <w:rPr>
          <w:rFonts w:ascii="宋体" w:hAnsi="宋体"/>
          <w:b/>
          <w:bCs/>
          <w:color w:val="000000" w:themeColor="text1"/>
          <w:highlight w:val="none"/>
        </w:rPr>
        <w:t>致</w:t>
      </w:r>
      <w:r>
        <w:rPr>
          <w:rFonts w:ascii="宋体" w:hAnsi="宋体"/>
          <w:b/>
          <w:bCs/>
          <w:color w:val="000000" w:themeColor="text1"/>
          <w:highlight w:val="none"/>
          <w:u w:val="single"/>
        </w:rPr>
        <w:t>（采购人</w:t>
      </w:r>
      <w:r>
        <w:rPr>
          <w:rFonts w:hint="eastAsia" w:ascii="宋体" w:hAnsi="宋体"/>
          <w:b/>
          <w:bCs/>
          <w:color w:val="000000" w:themeColor="text1"/>
          <w:highlight w:val="none"/>
          <w:u w:val="single"/>
        </w:rPr>
        <w:t>名称</w:t>
      </w:r>
      <w:r>
        <w:rPr>
          <w:rFonts w:ascii="宋体" w:hAnsi="宋体"/>
          <w:b/>
          <w:bCs/>
          <w:color w:val="000000" w:themeColor="text1"/>
          <w:highlight w:val="none"/>
          <w:u w:val="single"/>
        </w:rPr>
        <w:t>）            </w:t>
      </w:r>
      <w:r>
        <w:rPr>
          <w:rFonts w:ascii="宋体" w:hAnsi="宋体" w:cs="宋体"/>
          <w:b/>
          <w:color w:val="000000" w:themeColor="text1"/>
          <w:kern w:val="0"/>
          <w:sz w:val="24"/>
          <w:highlight w:val="none"/>
        </w:rPr>
        <w:t xml:space="preserve">： </w:t>
      </w:r>
    </w:p>
    <w:p>
      <w:pPr>
        <w:adjustRightInd w:val="0"/>
        <w:snapToGrid w:val="0"/>
        <w:spacing w:line="400" w:lineRule="exact"/>
        <w:ind w:firstLine="420"/>
        <w:rPr>
          <w:rFonts w:ascii="宋体" w:hAnsi="宋体"/>
          <w:b/>
          <w:bCs/>
          <w:color w:val="000000" w:themeColor="text1"/>
          <w:highlight w:val="none"/>
        </w:rPr>
      </w:pPr>
      <w:r>
        <w:rPr>
          <w:rFonts w:hint="eastAsia" w:ascii="宋体" w:hAnsi="宋体"/>
          <w:b/>
          <w:bCs/>
          <w:color w:val="000000" w:themeColor="text1"/>
          <w:highlight w:val="none"/>
        </w:rPr>
        <w:t>根据贵方就</w:t>
      </w:r>
      <w:r>
        <w:rPr>
          <w:rFonts w:hint="eastAsia" w:ascii="宋体" w:hAnsi="宋体"/>
          <w:b/>
          <w:bCs/>
          <w:color w:val="000000" w:themeColor="text1"/>
          <w:highlight w:val="none"/>
          <w:u w:val="single"/>
        </w:rPr>
        <w:t xml:space="preserve">   （</w:t>
      </w:r>
      <w:r>
        <w:rPr>
          <w:rFonts w:hint="eastAsia" w:hAnsi="宋体" w:cs="宋体"/>
          <w:b/>
          <w:color w:val="000000" w:themeColor="text1"/>
          <w:szCs w:val="21"/>
          <w:highlight w:val="none"/>
          <w:u w:val="single"/>
        </w:rPr>
        <w:t>项目名称）</w:t>
      </w:r>
      <w:r>
        <w:rPr>
          <w:rFonts w:hint="eastAsia" w:ascii="宋体" w:hAnsi="宋体" w:cs="宋体"/>
          <w:b/>
          <w:color w:val="000000" w:themeColor="text1"/>
          <w:szCs w:val="21"/>
          <w:highlight w:val="none"/>
          <w:u w:val="single"/>
        </w:rPr>
        <w:t xml:space="preserve">    </w:t>
      </w:r>
      <w:r>
        <w:rPr>
          <w:rFonts w:hint="eastAsia" w:ascii="宋体" w:hAnsi="宋体"/>
          <w:b/>
          <w:bCs/>
          <w:color w:val="000000" w:themeColor="text1"/>
          <w:highlight w:val="none"/>
        </w:rPr>
        <w:t>的投标邀请（项目编号:</w:t>
      </w:r>
      <w:r>
        <w:rPr>
          <w:rFonts w:hint="eastAsia" w:ascii="宋体" w:hAnsi="宋体"/>
          <w:b/>
          <w:bCs/>
          <w:color w:val="000000" w:themeColor="text1"/>
          <w:highlight w:val="none"/>
          <w:u w:val="single"/>
        </w:rPr>
        <w:t xml:space="preserve"> </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），我方正式响应投标并提交投标文件</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份正本和</w:t>
      </w:r>
      <w:r>
        <w:rPr>
          <w:rFonts w:ascii="宋体" w:hAnsi="宋体"/>
          <w:b/>
          <w:bCs/>
          <w:color w:val="000000" w:themeColor="text1"/>
          <w:highlight w:val="none"/>
          <w:u w:val="single"/>
        </w:rPr>
        <w:t xml:space="preserve">   </w:t>
      </w:r>
      <w:r>
        <w:rPr>
          <w:rFonts w:hint="eastAsia" w:ascii="宋体" w:hAnsi="宋体"/>
          <w:b/>
          <w:bCs/>
          <w:color w:val="000000" w:themeColor="text1"/>
          <w:highlight w:val="none"/>
        </w:rPr>
        <w:t>份副本，</w:t>
      </w:r>
      <w:r>
        <w:rPr>
          <w:rFonts w:hint="eastAsia" w:ascii="宋体" w:hAnsi="宋体"/>
          <w:b/>
          <w:color w:val="000000" w:themeColor="text1"/>
          <w:kern w:val="0"/>
          <w:szCs w:val="21"/>
          <w:highlight w:val="none"/>
        </w:rPr>
        <w:t>电子文件</w:t>
      </w:r>
      <w:r>
        <w:rPr>
          <w:rFonts w:hint="eastAsia" w:ascii="宋体" w:hAnsi="宋体"/>
          <w:b/>
          <w:color w:val="000000" w:themeColor="text1"/>
          <w:kern w:val="0"/>
          <w:szCs w:val="21"/>
          <w:highlight w:val="none"/>
          <w:u w:val="single"/>
        </w:rPr>
        <w:t xml:space="preserve">     </w:t>
      </w:r>
      <w:r>
        <w:rPr>
          <w:rFonts w:hint="eastAsia" w:ascii="宋体" w:hAnsi="宋体"/>
          <w:b/>
          <w:color w:val="000000" w:themeColor="text1"/>
          <w:kern w:val="0"/>
          <w:szCs w:val="21"/>
          <w:highlight w:val="none"/>
        </w:rPr>
        <w:t>份</w:t>
      </w:r>
      <w:r>
        <w:rPr>
          <w:rFonts w:hint="eastAsia" w:ascii="宋体" w:hAnsi="宋体"/>
          <w:b/>
          <w:bCs/>
          <w:color w:val="000000" w:themeColor="text1"/>
          <w:highlight w:val="none"/>
        </w:rPr>
        <w:t>。</w:t>
      </w:r>
    </w:p>
    <w:p>
      <w:pPr>
        <w:widowControl/>
        <w:tabs>
          <w:tab w:val="left" w:pos="840"/>
        </w:tabs>
        <w:adjustRightInd w:val="0"/>
        <w:snapToGrid w:val="0"/>
        <w:rPr>
          <w:rFonts w:ascii="宋体" w:hAnsi="宋体"/>
          <w:b/>
          <w:bCs/>
          <w:color w:val="000000" w:themeColor="text1"/>
          <w:highlight w:val="none"/>
        </w:rPr>
      </w:pPr>
    </w:p>
    <w:p>
      <w:pPr>
        <w:widowControl/>
        <w:tabs>
          <w:tab w:val="left" w:pos="502"/>
        </w:tabs>
        <w:adjustRightInd w:val="0"/>
        <w:snapToGrid w:val="0"/>
        <w:spacing w:line="360" w:lineRule="auto"/>
        <w:ind w:left="374" w:leftChars="177" w:hanging="2" w:hangingChars="1"/>
        <w:rPr>
          <w:rFonts w:hint="eastAsia" w:ascii="宋体" w:hAnsi="宋体"/>
          <w:b/>
          <w:bCs/>
          <w:color w:val="000000" w:themeColor="text1"/>
          <w:highlight w:val="none"/>
        </w:rPr>
      </w:pPr>
      <w:r>
        <w:rPr>
          <w:rFonts w:hint="eastAsia" w:ascii="宋体" w:hAnsi="宋体"/>
          <w:b/>
          <w:bCs/>
          <w:color w:val="000000" w:themeColor="text1"/>
          <w:highlight w:val="none"/>
        </w:rPr>
        <w:t>以</w:t>
      </w:r>
      <w:r>
        <w:rPr>
          <w:rFonts w:hint="eastAsia" w:ascii="宋体" w:hAnsi="宋体"/>
          <w:b/>
          <w:bCs/>
          <w:color w:val="000000" w:themeColor="text1"/>
          <w:highlight w:val="none"/>
          <w:u w:val="single"/>
        </w:rPr>
        <w:t xml:space="preserve">          </w:t>
      </w:r>
      <w:r>
        <w:rPr>
          <w:rFonts w:hint="eastAsia" w:ascii="宋体" w:hAnsi="宋体"/>
          <w:b/>
          <w:bCs/>
          <w:color w:val="000000" w:themeColor="text1"/>
          <w:highlight w:val="none"/>
        </w:rPr>
        <w:t>形式提交的投标保证金，金额为大写</w:t>
      </w:r>
      <w:r>
        <w:rPr>
          <w:rFonts w:hint="eastAsia" w:ascii="宋体"/>
          <w:b/>
          <w:color w:val="000000" w:themeColor="text1"/>
          <w:highlight w:val="none"/>
        </w:rPr>
        <w:t>人民币</w:t>
      </w:r>
      <w:r>
        <w:rPr>
          <w:rFonts w:hint="eastAsia" w:ascii="宋体"/>
          <w:b/>
          <w:color w:val="000000" w:themeColor="text1"/>
          <w:highlight w:val="none"/>
          <w:u w:val="single"/>
        </w:rPr>
        <w:t xml:space="preserve">             </w:t>
      </w:r>
      <w:r>
        <w:rPr>
          <w:rFonts w:hint="eastAsia" w:ascii="宋体"/>
          <w:b/>
          <w:color w:val="000000" w:themeColor="text1"/>
          <w:highlight w:val="none"/>
        </w:rPr>
        <w:t>（</w:t>
      </w:r>
      <w:r>
        <w:rPr>
          <w:rFonts w:hint="eastAsia" w:ascii="宋体"/>
          <w:b/>
          <w:bCs/>
          <w:color w:val="000000" w:themeColor="text1"/>
          <w:highlight w:val="none"/>
        </w:rPr>
        <w:t>￥</w:t>
      </w:r>
      <w:r>
        <w:rPr>
          <w:rFonts w:hint="eastAsia" w:ascii="宋体"/>
          <w:b/>
          <w:bCs/>
          <w:color w:val="000000" w:themeColor="text1"/>
          <w:highlight w:val="none"/>
          <w:u w:val="single"/>
        </w:rPr>
        <w:t xml:space="preserve">          </w:t>
      </w:r>
      <w:r>
        <w:rPr>
          <w:rFonts w:hint="eastAsia" w:ascii="宋体"/>
          <w:b/>
          <w:bCs/>
          <w:color w:val="000000" w:themeColor="text1"/>
          <w:highlight w:val="none"/>
        </w:rPr>
        <w:t>）。</w:t>
      </w:r>
    </w:p>
    <w:p>
      <w:pPr>
        <w:widowControl/>
        <w:tabs>
          <w:tab w:val="left" w:pos="502"/>
        </w:tabs>
        <w:adjustRightInd w:val="0"/>
        <w:snapToGrid w:val="0"/>
        <w:spacing w:line="360" w:lineRule="auto"/>
        <w:ind w:left="374" w:leftChars="177" w:hanging="2" w:hangingChars="1"/>
        <w:rPr>
          <w:rFonts w:ascii="宋体" w:hAnsi="宋体"/>
          <w:bCs/>
          <w:color w:val="000000" w:themeColor="text1"/>
          <w:highlight w:val="none"/>
        </w:rPr>
      </w:pPr>
      <w:r>
        <w:rPr>
          <w:rFonts w:hint="eastAsia" w:ascii="宋体" w:hAnsi="宋体"/>
          <w:b/>
          <w:bCs/>
          <w:color w:val="000000" w:themeColor="text1"/>
          <w:highlight w:val="none"/>
        </w:rPr>
        <w:t>据此函，签字代表宣布同意如下：</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color w:val="000000" w:themeColor="text1"/>
          <w:highlight w:val="none"/>
        </w:rPr>
        <w:t>所附投标价格表中规定的应提交和交付的货物投标</w:t>
      </w:r>
      <w:r>
        <w:rPr>
          <w:rFonts w:hint="eastAsia" w:ascii="宋体" w:hAnsi="宋体" w:cs="宋体"/>
          <w:color w:val="000000" w:themeColor="text1"/>
          <w:kern w:val="0"/>
          <w:szCs w:val="21"/>
          <w:highlight w:val="none"/>
        </w:rPr>
        <w:t>折扣率</w:t>
      </w:r>
      <w:r>
        <w:rPr>
          <w:rFonts w:hint="eastAsia" w:ascii="宋体" w:hAnsi="宋体"/>
          <w:color w:val="000000" w:themeColor="text1"/>
          <w:highlight w:val="none"/>
        </w:rPr>
        <w:t>为：</w:t>
      </w:r>
      <w:r>
        <w:rPr>
          <w:rFonts w:hint="eastAsia" w:ascii="宋体" w:hAnsi="宋体"/>
          <w:color w:val="000000" w:themeColor="text1"/>
          <w:highlight w:val="none"/>
          <w:u w:val="single"/>
        </w:rPr>
        <w:t xml:space="preserve"> （用文字和数字表示）  </w:t>
      </w:r>
      <w:r>
        <w:rPr>
          <w:rFonts w:hint="eastAsia" w:ascii="宋体" w:hAnsi="宋体"/>
          <w:color w:val="000000" w:themeColor="text1"/>
          <w:highlight w:val="none"/>
        </w:rPr>
        <w:t>。</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单位负责人为同一人或者存在直接控股、管理关系的不同供应商，不得同时参加同一合同 项下的项目投标。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lang w:val="en-US" w:eastAsia="zh-CN"/>
        </w:rPr>
        <w:t>为本项目提供整体设计、规范编制或者项目管理、监理、检测等服务的供应商，不得再参与本项目投标。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本次投标所报内容完全按照招标文件要求填报，所有内容都是真实、准确的。</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投标人将按招标文件的规定履行全部合同责任和义务。</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投标人已详细审查全部招标文件，包括修改文件（如有的话）以及全部参考资料和有关附件。我们完全理解并同意放弃对这方面有不明及误解的权利。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本次投标自开标日起有效期为90天。</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如果在规定的开标时间后，投标人在投标有效期内撤回投标文件，投标保证金将被贵</w:t>
      </w:r>
      <w:r>
        <w:rPr>
          <w:rFonts w:hint="eastAsia" w:ascii="宋体" w:hAnsi="宋体"/>
          <w:color w:val="000000" w:themeColor="text1"/>
          <w:szCs w:val="21"/>
          <w:highlight w:val="none"/>
        </w:rPr>
        <w:t>方</w:t>
      </w:r>
      <w:r>
        <w:rPr>
          <w:rFonts w:hint="eastAsia" w:ascii="宋体" w:hAnsi="宋体"/>
          <w:bCs/>
          <w:color w:val="000000" w:themeColor="text1"/>
          <w:highlight w:val="none"/>
        </w:rPr>
        <w:t>不予退还。</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投标人同意提供按照贵方可能要求与其投标有关的一切数据或资料，完全理解贵方不一定接受最低价的投标或收到的任何投标。</w:t>
      </w:r>
    </w:p>
    <w:p>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rPr>
      </w:pPr>
      <w:r>
        <w:rPr>
          <w:rFonts w:hint="eastAsia" w:ascii="宋体" w:hAnsi="宋体"/>
          <w:bCs/>
          <w:color w:val="000000" w:themeColor="text1"/>
          <w:highlight w:val="none"/>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pStyle w:val="26"/>
        <w:spacing w:line="400" w:lineRule="exact"/>
        <w:rPr>
          <w:rFonts w:hint="eastAsia"/>
          <w:color w:val="000000" w:themeColor="text1"/>
          <w:highlight w:val="none"/>
        </w:rPr>
      </w:pPr>
      <w:r>
        <w:rPr>
          <w:rFonts w:hint="eastAsia" w:hAnsi="宋体"/>
          <w:color w:val="000000" w:themeColor="text1"/>
          <w:highlight w:val="none"/>
        </w:rPr>
        <w:t>注：本投标函为投标人响应本次招标项目的郑重承诺，投标人不得改动且必须满足。</w:t>
      </w:r>
      <w:bookmarkStart w:id="1866" w:name="_Hlt16935467"/>
      <w:bookmarkEnd w:id="1866"/>
      <w:bookmarkStart w:id="1867" w:name="_Toc339020037"/>
      <w:bookmarkStart w:id="1868" w:name="_Toc342296783"/>
      <w:bookmarkStart w:id="1869" w:name="_Toc336681957"/>
      <w:bookmarkStart w:id="1870" w:name="_Toc333238656"/>
      <w:bookmarkStart w:id="1871" w:name="_Toc339020117"/>
      <w:bookmarkStart w:id="1872" w:name="_Toc332270369"/>
      <w:bookmarkStart w:id="1873" w:name="_Toc342312465"/>
      <w:bookmarkStart w:id="1874" w:name="_Toc333237700"/>
      <w:bookmarkStart w:id="1875" w:name="_Toc339362322"/>
      <w:bookmarkStart w:id="1876" w:name="_Toc343248440"/>
      <w:bookmarkStart w:id="1877" w:name="_Toc339020255"/>
      <w:bookmarkStart w:id="1878" w:name="_Toc330460008"/>
      <w:bookmarkStart w:id="1879" w:name="_Toc366072551"/>
      <w:bookmarkStart w:id="1880" w:name="_Toc339441109"/>
      <w:bookmarkStart w:id="1881" w:name="_Toc343612942"/>
      <w:bookmarkStart w:id="1882" w:name="_Toc337632380"/>
      <w:bookmarkStart w:id="1883" w:name="_Toc78816017"/>
      <w:bookmarkStart w:id="1884" w:name="_Toc332206731"/>
      <w:bookmarkStart w:id="1885" w:name="_Toc331512923"/>
      <w:bookmarkStart w:id="1886" w:name="_Toc340677092"/>
      <w:bookmarkStart w:id="1887" w:name="_Toc333935368"/>
      <w:bookmarkStart w:id="1888" w:name="_Toc365985200"/>
      <w:bookmarkStart w:id="1889" w:name="_Toc336681602"/>
      <w:bookmarkStart w:id="1890" w:name="_Toc339019911"/>
      <w:bookmarkStart w:id="1891" w:name="_Toc341348362"/>
      <w:bookmarkStart w:id="1892" w:name="_Toc345312619"/>
      <w:bookmarkStart w:id="1893" w:name="_Toc365967094"/>
      <w:bookmarkStart w:id="1894" w:name="_Toc333237811"/>
      <w:bookmarkStart w:id="1895" w:name="_Toc342398152"/>
      <w:bookmarkStart w:id="1896" w:name="_Toc340672891"/>
      <w:bookmarkStart w:id="1897" w:name="_Toc350438771"/>
      <w:bookmarkStart w:id="1898" w:name="_Toc350756472"/>
      <w:bookmarkStart w:id="1899" w:name="_Toc343247122"/>
      <w:bookmarkStart w:id="1900" w:name="_Toc331684064"/>
      <w:bookmarkStart w:id="1901" w:name="_Toc333935709"/>
      <w:bookmarkStart w:id="1902" w:name="_Toc342060397"/>
      <w:bookmarkStart w:id="1903" w:name="_Toc340507464"/>
    </w:p>
    <w:p>
      <w:pPr>
        <w:pStyle w:val="4"/>
        <w:numPr>
          <w:ilvl w:val="0"/>
          <w:numId w:val="0"/>
        </w:numPr>
        <w:spacing w:line="400" w:lineRule="exact"/>
        <w:rPr>
          <w:rFonts w:hint="eastAsia"/>
          <w:color w:val="000000" w:themeColor="text1"/>
          <w:highlight w:val="none"/>
        </w:rPr>
      </w:pPr>
      <w:bookmarkStart w:id="1904" w:name="_Toc10721"/>
      <w:r>
        <w:rPr>
          <w:rFonts w:hint="eastAsia"/>
          <w:color w:val="000000" w:themeColor="text1"/>
          <w:highlight w:val="none"/>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pPr>
        <w:pStyle w:val="5"/>
      </w:pPr>
    </w:p>
    <w:p>
      <w:pPr>
        <w:adjustRightInd w:val="0"/>
        <w:snapToGrid w:val="0"/>
        <w:spacing w:line="360" w:lineRule="auto"/>
        <w:jc w:val="left"/>
        <w:rPr>
          <w:rFonts w:ascii="宋体" w:hAnsi="宋体"/>
          <w:bCs/>
          <w:color w:val="000000" w:themeColor="text1"/>
          <w:highlight w:val="none"/>
        </w:rPr>
      </w:pPr>
      <w:bookmarkStart w:id="1905" w:name="_Hlk534184967"/>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bookmarkEnd w:id="190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项目编号</w:t>
            </w:r>
          </w:p>
        </w:tc>
        <w:tc>
          <w:tcPr>
            <w:tcW w:w="2873"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项目名称</w:t>
            </w:r>
          </w:p>
        </w:tc>
        <w:tc>
          <w:tcPr>
            <w:tcW w:w="2719" w:type="dxa"/>
            <w:vAlign w:val="center"/>
          </w:tcPr>
          <w:p>
            <w:pPr>
              <w:jc w:val="center"/>
              <w:rPr>
                <w:rFonts w:ascii="宋体" w:hAnsi="宋体"/>
                <w:bCs/>
                <w:color w:val="000000" w:themeColor="text1"/>
                <w:highlight w:val="none"/>
              </w:rPr>
            </w:pPr>
            <w:r>
              <w:rPr>
                <w:rFonts w:hint="eastAsia" w:ascii="宋体" w:hAnsi="宋体" w:cs="宋体"/>
                <w:color w:val="000000" w:themeColor="text1"/>
                <w:kern w:val="0"/>
                <w:szCs w:val="21"/>
                <w:highlight w:val="none"/>
              </w:rPr>
              <w:t>折扣率</w:t>
            </w:r>
          </w:p>
        </w:tc>
        <w:tc>
          <w:tcPr>
            <w:tcW w:w="1673" w:type="dxa"/>
            <w:vAlign w:val="center"/>
          </w:tcPr>
          <w:p>
            <w:pPr>
              <w:jc w:val="center"/>
              <w:rPr>
                <w:rFonts w:hint="eastAsia" w:ascii="宋体" w:hAnsi="宋体" w:eastAsia="宋体"/>
                <w:bCs/>
                <w:color w:val="000000" w:themeColor="text1"/>
                <w:highlight w:val="none"/>
                <w:lang w:eastAsia="zh-CN"/>
              </w:rPr>
            </w:pPr>
            <w:r>
              <w:rPr>
                <w:rFonts w:hint="eastAsia" w:ascii="宋体" w:hAnsi="宋体"/>
                <w:bCs/>
                <w:color w:val="000000" w:themeColor="text1"/>
                <w:highlight w:val="none"/>
                <w:lang w:eastAsia="zh-CN"/>
              </w:rPr>
              <w:t>服务期</w:t>
            </w:r>
          </w:p>
        </w:tc>
        <w:tc>
          <w:tcPr>
            <w:tcW w:w="689" w:type="dxa"/>
            <w:vAlign w:val="center"/>
          </w:tcPr>
          <w:p>
            <w:pPr>
              <w:spacing w:line="360" w:lineRule="auto"/>
              <w:jc w:val="center"/>
              <w:rPr>
                <w:rFonts w:ascii="宋体" w:hAnsi="宋体"/>
                <w:bCs/>
                <w:color w:val="000000" w:themeColor="text1"/>
                <w:highlight w:val="none"/>
              </w:rPr>
            </w:pPr>
            <w:r>
              <w:rPr>
                <w:rFonts w:hint="eastAsia" w:ascii="宋体" w:hAnsi="宋体"/>
                <w:bCs/>
                <w:color w:val="000000" w:themeColor="text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highlight w:val="none"/>
              </w:rPr>
            </w:pPr>
          </w:p>
        </w:tc>
        <w:tc>
          <w:tcPr>
            <w:tcW w:w="2873" w:type="dxa"/>
            <w:vAlign w:val="center"/>
          </w:tcPr>
          <w:p>
            <w:pPr>
              <w:adjustRightInd w:val="0"/>
              <w:snapToGrid w:val="0"/>
              <w:spacing w:line="300" w:lineRule="exact"/>
              <w:jc w:val="center"/>
              <w:rPr>
                <w:rFonts w:ascii="宋体" w:hAnsi="宋体"/>
                <w:bCs/>
                <w:color w:val="000000" w:themeColor="text1"/>
                <w:highlight w:val="none"/>
              </w:rPr>
            </w:pPr>
          </w:p>
        </w:tc>
        <w:tc>
          <w:tcPr>
            <w:tcW w:w="2719" w:type="dxa"/>
            <w:vAlign w:val="center"/>
          </w:tcPr>
          <w:p>
            <w:pPr>
              <w:spacing w:line="260" w:lineRule="exact"/>
              <w:jc w:val="center"/>
              <w:rPr>
                <w:rFonts w:ascii="宋体" w:hAnsi="宋体"/>
                <w:bCs/>
                <w:color w:val="000000" w:themeColor="text1"/>
                <w:highlight w:val="none"/>
              </w:rPr>
            </w:pPr>
            <w:r>
              <w:rPr>
                <w:rFonts w:hint="eastAsia" w:ascii="宋体" w:hAnsi="宋体"/>
                <w:bCs/>
                <w:color w:val="000000" w:themeColor="text1"/>
                <w:highlight w:val="none"/>
                <w:lang w:val="en-US" w:eastAsia="zh-CN"/>
              </w:rPr>
              <w:t>%</w:t>
            </w:r>
          </w:p>
        </w:tc>
        <w:tc>
          <w:tcPr>
            <w:tcW w:w="1673" w:type="dxa"/>
            <w:vAlign w:val="center"/>
          </w:tcPr>
          <w:p>
            <w:pPr>
              <w:topLinePunct/>
              <w:jc w:val="left"/>
              <w:rPr>
                <w:rFonts w:ascii="宋体" w:hAnsi="宋体"/>
                <w:bCs/>
                <w:color w:val="000000" w:themeColor="text1"/>
                <w:highlight w:val="none"/>
                <w:u w:val="single"/>
              </w:rPr>
            </w:pPr>
          </w:p>
        </w:tc>
        <w:tc>
          <w:tcPr>
            <w:tcW w:w="689" w:type="dxa"/>
            <w:vAlign w:val="center"/>
          </w:tcPr>
          <w:p>
            <w:pPr>
              <w:rPr>
                <w:rFonts w:ascii="宋体" w:hAnsi="宋体"/>
                <w:bCs/>
                <w:color w:val="000000" w:themeColor="text1"/>
                <w:highlight w:val="none"/>
              </w:rPr>
            </w:pPr>
          </w:p>
        </w:tc>
      </w:tr>
    </w:tbl>
    <w:p>
      <w:pPr>
        <w:spacing w:line="360" w:lineRule="auto"/>
        <w:rPr>
          <w:rFonts w:ascii="宋体" w:hAnsi="宋体"/>
          <w:bCs/>
          <w:color w:val="000000" w:themeColor="text1"/>
          <w:highlight w:val="none"/>
        </w:rPr>
      </w:pPr>
      <w:r>
        <w:rPr>
          <w:rFonts w:hint="eastAsia" w:ascii="宋体" w:hAnsi="宋体"/>
          <w:bCs/>
          <w:color w:val="000000" w:themeColor="text1"/>
          <w:highlight w:val="none"/>
        </w:rPr>
        <w:t>注：</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color w:val="000000" w:themeColor="text1"/>
          <w:highlight w:val="none"/>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rPr>
      </w:pPr>
      <w:r>
        <w:rPr>
          <w:rFonts w:hint="eastAsia"/>
          <w:bCs/>
          <w:color w:val="000000" w:themeColor="text1"/>
          <w:highlight w:val="none"/>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rPr>
      </w:pPr>
      <w:r>
        <w:rPr>
          <w:rFonts w:hint="eastAsia" w:ascii="宋体" w:hAnsi="宋体"/>
          <w:bCs/>
          <w:color w:val="000000" w:themeColor="text1"/>
          <w:highlight w:val="none"/>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rPr>
      </w:pP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 xml:space="preserve">投标人法定代表人（负责人）或授权代理人（签字）： </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hint="eastAsia"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00" w:lineRule="exact"/>
        <w:rPr>
          <w:rFonts w:ascii="宋体" w:hAnsi="宋体"/>
          <w:bCs/>
          <w:color w:val="000000" w:themeColor="text1"/>
          <w:highlight w:val="none"/>
        </w:rPr>
      </w:pPr>
      <w:r>
        <w:rPr>
          <w:rFonts w:hint="eastAsia" w:ascii="宋体" w:hAnsi="宋体"/>
          <w:bCs/>
          <w:color w:val="000000" w:themeColor="text1"/>
          <w:highlight w:val="none"/>
        </w:rPr>
        <w:t>日期：</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r>
        <w:rPr>
          <w:rFonts w:ascii="宋体" w:hAnsi="宋体"/>
          <w:bCs/>
          <w:color w:val="000000" w:themeColor="text1"/>
          <w:highlight w:val="none"/>
          <w:u w:val="single"/>
        </w:rPr>
        <w:t xml:space="preserve"> </w:t>
      </w:r>
      <w:r>
        <w:rPr>
          <w:rFonts w:ascii="宋体" w:hAnsi="宋体"/>
          <w:bCs/>
          <w:color w:val="000000" w:themeColor="text1"/>
          <w:highlight w:val="none"/>
        </w:rPr>
        <w:t xml:space="preserve"> </w:t>
      </w:r>
      <w:r>
        <w:rPr>
          <w:rFonts w:hint="eastAsia" w:ascii="宋体" w:hAnsi="宋体"/>
          <w:bCs/>
          <w:color w:val="000000" w:themeColor="text1"/>
          <w:highlight w:val="none"/>
        </w:rPr>
        <w:t>年</w:t>
      </w:r>
      <w:r>
        <w:rPr>
          <w:rFonts w:ascii="宋体" w:hAnsi="宋体"/>
          <w:bCs/>
          <w:color w:val="000000" w:themeColor="text1"/>
          <w:highlight w:val="none"/>
          <w:u w:val="single"/>
        </w:rPr>
        <w:t xml:space="preserve">     </w:t>
      </w:r>
      <w:r>
        <w:rPr>
          <w:rFonts w:hint="eastAsia" w:ascii="宋体" w:hAnsi="宋体"/>
          <w:bCs/>
          <w:color w:val="000000" w:themeColor="text1"/>
          <w:highlight w:val="none"/>
        </w:rPr>
        <w:t>月</w:t>
      </w:r>
      <w:r>
        <w:rPr>
          <w:rFonts w:ascii="宋体" w:hAnsi="宋体"/>
          <w:bCs/>
          <w:color w:val="000000" w:themeColor="text1"/>
          <w:highlight w:val="none"/>
        </w:rPr>
        <w:t xml:space="preserve"> </w:t>
      </w:r>
      <w:r>
        <w:rPr>
          <w:rFonts w:ascii="宋体" w:hAnsi="宋体"/>
          <w:bCs/>
          <w:color w:val="000000" w:themeColor="text1"/>
          <w:highlight w:val="none"/>
          <w:u w:val="single"/>
        </w:rPr>
        <w:t xml:space="preserve">    </w:t>
      </w:r>
      <w:r>
        <w:rPr>
          <w:rFonts w:hint="eastAsia" w:ascii="宋体" w:hAnsi="宋体"/>
          <w:bCs/>
          <w:color w:val="000000" w:themeColor="text1"/>
          <w:highlight w:val="none"/>
        </w:rPr>
        <w:t>日</w:t>
      </w:r>
      <w:r>
        <w:rPr>
          <w:rFonts w:ascii="宋体" w:hAnsi="宋体"/>
          <w:bCs/>
          <w:color w:val="000000" w:themeColor="text1"/>
          <w:highlight w:val="none"/>
        </w:rPr>
        <w:t xml:space="preserve"> </w:t>
      </w: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adjustRightInd w:val="0"/>
        <w:snapToGrid w:val="0"/>
        <w:spacing w:line="400" w:lineRule="exact"/>
        <w:rPr>
          <w:rFonts w:ascii="宋体" w:hAnsi="宋体"/>
          <w:bCs/>
          <w:color w:val="000000" w:themeColor="text1"/>
          <w:highlight w:val="none"/>
        </w:rPr>
      </w:pPr>
    </w:p>
    <w:p>
      <w:pPr>
        <w:pStyle w:val="4"/>
        <w:numPr>
          <w:ilvl w:val="0"/>
          <w:numId w:val="0"/>
        </w:numPr>
        <w:spacing w:line="400" w:lineRule="exact"/>
        <w:rPr>
          <w:color w:val="000000" w:themeColor="text1"/>
          <w:highlight w:val="none"/>
        </w:rPr>
      </w:pPr>
      <w:bookmarkStart w:id="1906" w:name="_Toc340507466"/>
      <w:bookmarkStart w:id="1907" w:name="_Toc336681959"/>
      <w:bookmarkStart w:id="1908" w:name="_Toc340672893"/>
      <w:bookmarkStart w:id="1909" w:name="_Toc333237813"/>
      <w:bookmarkStart w:id="1910" w:name="_Toc333935711"/>
      <w:bookmarkStart w:id="1911" w:name="_Toc339020039"/>
      <w:bookmarkStart w:id="1912" w:name="_Toc332270371"/>
      <w:bookmarkStart w:id="1913" w:name="_Toc336681604"/>
      <w:bookmarkStart w:id="1914" w:name="_Toc343612944"/>
      <w:bookmarkStart w:id="1915" w:name="_Toc333237702"/>
      <w:bookmarkStart w:id="1916" w:name="_Toc350756474"/>
      <w:bookmarkStart w:id="1917" w:name="_Toc342296785"/>
      <w:bookmarkStart w:id="1918" w:name="_Toc331512925"/>
      <w:bookmarkStart w:id="1919" w:name="_Toc343247124"/>
      <w:bookmarkStart w:id="1920" w:name="_Toc343248442"/>
      <w:bookmarkStart w:id="1921" w:name="_Toc18000"/>
      <w:bookmarkStart w:id="1922" w:name="_Toc342398154"/>
      <w:bookmarkStart w:id="1923" w:name="_Toc366072553"/>
      <w:bookmarkStart w:id="1924" w:name="_Toc339020257"/>
      <w:bookmarkStart w:id="1925" w:name="_Toc331684066"/>
      <w:bookmarkStart w:id="1926" w:name="_Toc339362324"/>
      <w:bookmarkStart w:id="1927" w:name="_Toc365985202"/>
      <w:bookmarkStart w:id="1928" w:name="_Toc333238658"/>
      <w:bookmarkStart w:id="1929" w:name="_Toc341348364"/>
      <w:bookmarkStart w:id="1930" w:name="_Toc330460010"/>
      <w:bookmarkStart w:id="1931" w:name="_Toc345312621"/>
      <w:bookmarkStart w:id="1932" w:name="_Toc332206733"/>
      <w:bookmarkStart w:id="1933" w:name="_Toc342060399"/>
      <w:bookmarkStart w:id="1934" w:name="_Toc339441111"/>
      <w:bookmarkStart w:id="1935" w:name="_Toc339020119"/>
      <w:bookmarkStart w:id="1936" w:name="_Toc340677094"/>
      <w:bookmarkStart w:id="1937" w:name="_Toc339019913"/>
      <w:bookmarkStart w:id="1938" w:name="_Toc365967096"/>
      <w:bookmarkStart w:id="1939" w:name="_Toc350438773"/>
      <w:bookmarkStart w:id="1940" w:name="_Toc333935370"/>
      <w:bookmarkStart w:id="1941" w:name="_Toc337632382"/>
      <w:bookmarkStart w:id="1942" w:name="_Toc342312467"/>
      <w:r>
        <w:rPr>
          <w:rFonts w:hint="eastAsia"/>
          <w:color w:val="000000" w:themeColor="text1"/>
          <w:highlight w:val="none"/>
        </w:rPr>
        <w:t>附件</w:t>
      </w:r>
      <w:r>
        <w:rPr>
          <w:rFonts w:hint="eastAsia"/>
          <w:color w:val="000000" w:themeColor="text1"/>
          <w:highlight w:val="none"/>
          <w:lang w:val="en-US" w:eastAsia="zh-CN"/>
        </w:rPr>
        <w:t>三</w:t>
      </w:r>
      <w:r>
        <w:rPr>
          <w:rFonts w:hint="eastAsia"/>
          <w:color w:val="000000" w:themeColor="text1"/>
          <w:highlight w:val="none"/>
        </w:rPr>
        <w:t>：商务条款偏离一览表</w:t>
      </w:r>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r>
        <w:rPr>
          <w:rFonts w:hint="eastAsia" w:ascii="宋体" w:hAnsi="宋体"/>
          <w:bCs/>
          <w:caps/>
          <w:color w:val="000000" w:themeColor="text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left="1050" w:hanging="1050" w:hangingChars="500"/>
        <w:jc w:val="left"/>
        <w:textAlignment w:val="auto"/>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ascii="宋体" w:hAnsi="宋体"/>
                <w:bCs/>
                <w:color w:val="000000" w:themeColor="text1"/>
                <w:highlight w:val="none"/>
              </w:rPr>
            </w:pPr>
          </w:p>
        </w:tc>
      </w:tr>
    </w:tbl>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keepNext w:val="0"/>
        <w:keepLines w:val="0"/>
        <w:pageBreakBefore w:val="0"/>
        <w:widowControl w:val="0"/>
        <w:kinsoku/>
        <w:wordWrap/>
        <w:overflowPunct/>
        <w:topLinePunct w:val="0"/>
        <w:autoSpaceDE/>
        <w:autoSpaceDN/>
        <w:bidi w:val="0"/>
        <w:adjustRightInd w:val="0"/>
        <w:snapToGrid w:val="0"/>
        <w:spacing w:line="400" w:lineRule="exact"/>
        <w:ind w:firstLine="630" w:firstLineChars="300"/>
        <w:textAlignment w:val="auto"/>
        <w:rPr>
          <w:rFonts w:ascii="宋体" w:hAnsi="宋体"/>
          <w:b/>
          <w:bCs/>
          <w:color w:val="000000" w:themeColor="text1"/>
          <w:highlight w:val="none"/>
        </w:rPr>
      </w:pPr>
      <w:r>
        <w:rPr>
          <w:rFonts w:hint="eastAsia" w:ascii="宋体" w:hAnsi="宋体"/>
          <w:bCs/>
          <w:color w:val="000000" w:themeColor="text1"/>
          <w:highlight w:val="none"/>
        </w:rPr>
        <w:t>2）对招标文件中商务条款按上列格式逐条说明。</w:t>
      </w:r>
    </w:p>
    <w:p>
      <w:pPr>
        <w:keepNext w:val="0"/>
        <w:keepLines w:val="0"/>
        <w:pageBreakBefore w:val="0"/>
        <w:widowControl w:val="0"/>
        <w:kinsoku/>
        <w:wordWrap/>
        <w:overflowPunct/>
        <w:topLinePunct w:val="0"/>
        <w:autoSpaceDE/>
        <w:autoSpaceDN/>
        <w:bidi w:val="0"/>
        <w:adjustRightInd w:val="0"/>
        <w:snapToGrid w:val="0"/>
        <w:spacing w:line="360" w:lineRule="exact"/>
        <w:ind w:firstLine="632" w:firstLineChars="300"/>
        <w:textAlignment w:val="auto"/>
        <w:rPr>
          <w:rFonts w:ascii="宋体" w:hAnsi="宋体"/>
          <w:b/>
          <w:bCs/>
          <w:color w:val="000000" w:themeColor="text1"/>
          <w:highlight w:val="none"/>
        </w:rPr>
      </w:pP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
          <w:bCs/>
          <w:color w:val="000000" w:themeColor="text1"/>
          <w:highlight w:val="none"/>
        </w:rPr>
      </w:pPr>
      <w:r>
        <w:rPr>
          <w:rFonts w:hint="eastAsia" w:ascii="宋体" w:hAnsi="宋体"/>
          <w:b/>
          <w:bCs/>
          <w:color w:val="000000" w:themeColor="text1"/>
          <w:highlight w:val="none"/>
        </w:rPr>
        <w:t>投标人声明：表中未列全的商务条款，我方均表示完全响应招标文件商务条款的所有要求。</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宋体" w:hAnsi="宋体"/>
          <w:bCs/>
          <w:color w:val="000000" w:themeColor="text1"/>
          <w:highlight w:val="none"/>
        </w:rPr>
      </w:pP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bCs/>
          <w:color w:val="000000" w:themeColor="text1"/>
          <w:highlight w:val="none"/>
          <w:u w:val="single"/>
        </w:rPr>
        <w:sectPr>
          <w:footerReference r:id="rId14" w:type="default"/>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color w:val="000000" w:themeColor="text1"/>
          <w:highlight w:val="none"/>
        </w:rPr>
      </w:pPr>
      <w:bookmarkStart w:id="1943" w:name="_Toc30463"/>
      <w:bookmarkStart w:id="1944" w:name="_Toc340672894"/>
      <w:bookmarkStart w:id="1945" w:name="_Toc331512926"/>
      <w:bookmarkStart w:id="1946" w:name="_Toc342398155"/>
      <w:bookmarkStart w:id="1947" w:name="_Toc340677095"/>
      <w:bookmarkStart w:id="1948" w:name="_Toc339441112"/>
      <w:bookmarkStart w:id="1949" w:name="_Toc365985203"/>
      <w:bookmarkStart w:id="1950" w:name="_Toc336681960"/>
      <w:bookmarkStart w:id="1951" w:name="_Toc333237703"/>
      <w:bookmarkStart w:id="1952" w:name="_Toc339020258"/>
      <w:bookmarkStart w:id="1953" w:name="_Toc343248443"/>
      <w:bookmarkStart w:id="1954" w:name="_Toc333238659"/>
      <w:bookmarkStart w:id="1955" w:name="_Toc339362325"/>
      <w:bookmarkStart w:id="1956" w:name="_Toc331684067"/>
      <w:bookmarkStart w:id="1957" w:name="_Toc337632383"/>
      <w:bookmarkStart w:id="1958" w:name="_Toc366072554"/>
      <w:bookmarkStart w:id="1959" w:name="_Toc339019914"/>
      <w:bookmarkStart w:id="1960" w:name="_Toc342296786"/>
      <w:bookmarkStart w:id="1961" w:name="_Toc343612945"/>
      <w:bookmarkStart w:id="1962" w:name="_Toc340507467"/>
      <w:bookmarkStart w:id="1963" w:name="_Toc339020040"/>
      <w:bookmarkStart w:id="1964" w:name="_Toc339020120"/>
      <w:bookmarkStart w:id="1965" w:name="_Toc330460011"/>
      <w:bookmarkStart w:id="1966" w:name="_Toc333237814"/>
      <w:bookmarkStart w:id="1967" w:name="_Toc342312468"/>
      <w:bookmarkStart w:id="1968" w:name="_Toc343247125"/>
      <w:bookmarkStart w:id="1969" w:name="_Toc345312622"/>
      <w:bookmarkStart w:id="1970" w:name="_Toc350438774"/>
      <w:bookmarkStart w:id="1971" w:name="_Toc333935371"/>
      <w:bookmarkStart w:id="1972" w:name="_Toc342060400"/>
      <w:bookmarkStart w:id="1973" w:name="_Toc350756475"/>
      <w:bookmarkStart w:id="1974" w:name="_Toc332270372"/>
      <w:bookmarkStart w:id="1975" w:name="_Toc341348365"/>
      <w:bookmarkStart w:id="1976" w:name="_Toc336681605"/>
      <w:bookmarkStart w:id="1977" w:name="_Toc333935712"/>
      <w:bookmarkStart w:id="1978" w:name="_Toc365967097"/>
      <w:bookmarkStart w:id="1979" w:name="_Toc332206734"/>
      <w:r>
        <w:rPr>
          <w:rFonts w:hint="eastAsia"/>
          <w:color w:val="000000" w:themeColor="text1"/>
          <w:highlight w:val="none"/>
        </w:rPr>
        <w:t>附件</w:t>
      </w:r>
      <w:r>
        <w:rPr>
          <w:rFonts w:hint="eastAsia"/>
          <w:color w:val="000000" w:themeColor="text1"/>
          <w:highlight w:val="none"/>
          <w:lang w:val="en-US" w:eastAsia="zh-CN"/>
        </w:rPr>
        <w:t>四</w:t>
      </w:r>
      <w:r>
        <w:rPr>
          <w:rFonts w:hint="eastAsia"/>
          <w:color w:val="000000" w:themeColor="text1"/>
          <w:highlight w:val="none"/>
        </w:rPr>
        <w:t>：技术条款偏离一览表</w:t>
      </w:r>
      <w:bookmarkEnd w:id="1943"/>
    </w:p>
    <w:p>
      <w:pPr>
        <w:adjustRightInd w:val="0"/>
        <w:snapToGrid w:val="0"/>
        <w:spacing w:line="360" w:lineRule="auto"/>
        <w:jc w:val="left"/>
        <w:rPr>
          <w:rFonts w:ascii="宋体" w:hAnsi="宋体"/>
          <w:bCs/>
          <w:caps/>
          <w:color w:val="000000" w:themeColor="text1"/>
          <w:highlight w:val="none"/>
          <w:u w:val="single"/>
        </w:rPr>
      </w:pPr>
      <w:r>
        <w:rPr>
          <w:rFonts w:hint="eastAsia" w:ascii="宋体" w:hAnsi="宋体"/>
          <w:bCs/>
          <w:color w:val="000000" w:themeColor="text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highlight w:val="none"/>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rPr>
      </w:pPr>
      <w:r>
        <w:rPr>
          <w:rFonts w:hint="eastAsia" w:ascii="宋体" w:hAnsi="宋体"/>
          <w:bCs/>
          <w:color w:val="000000" w:themeColor="text1"/>
          <w:highlight w:val="none"/>
        </w:rPr>
        <w:t>项目名称：</w:t>
      </w:r>
      <w:r>
        <w:rPr>
          <w:rFonts w:hint="eastAsia"/>
          <w:color w:val="000000" w:themeColor="text1"/>
          <w:szCs w:val="21"/>
          <w:highlight w:val="none"/>
          <w:u w:val="single"/>
        </w:rPr>
        <w:t xml:space="preserve">                     </w:t>
      </w:r>
      <w:r>
        <w:rPr>
          <w:rFonts w:hint="eastAsia" w:ascii="宋体" w:hAnsi="宋体"/>
          <w:b/>
          <w:bCs/>
          <w:caps/>
          <w:color w:val="000000" w:themeColor="text1"/>
          <w:highlight w:val="none"/>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Ansi="宋体"/>
                <w:color w:val="000000" w:themeColor="text1"/>
                <w:szCs w:val="21"/>
                <w:highlight w:val="none"/>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偏离</w:t>
            </w:r>
          </w:p>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r>
              <w:rPr>
                <w:rFonts w:hint="eastAsia" w:ascii="宋体" w:hAnsi="宋体"/>
                <w:bCs/>
                <w:color w:val="000000" w:themeColor="text1"/>
                <w:highlight w:val="none"/>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rPr>
            </w:pPr>
          </w:p>
        </w:tc>
      </w:tr>
    </w:tbl>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rPr>
      </w:pPr>
      <w:r>
        <w:rPr>
          <w:rFonts w:hint="eastAsia" w:ascii="宋体" w:hAnsi="宋体"/>
          <w:bCs/>
          <w:color w:val="000000" w:themeColor="text1"/>
          <w:highlight w:val="none"/>
        </w:rPr>
        <w:t>2）对招标文件中技术条款按上列格式逐条说明。</w:t>
      </w:r>
    </w:p>
    <w:p>
      <w:pPr>
        <w:adjustRightInd w:val="0"/>
        <w:snapToGrid w:val="0"/>
        <w:spacing w:line="360" w:lineRule="auto"/>
        <w:ind w:firstLine="632" w:firstLineChars="300"/>
        <w:rPr>
          <w:rFonts w:ascii="宋体" w:hAnsi="宋体"/>
          <w:b/>
          <w:bCs/>
          <w:color w:val="000000" w:themeColor="text1"/>
          <w:highlight w:val="none"/>
        </w:rPr>
      </w:pPr>
    </w:p>
    <w:p>
      <w:pPr>
        <w:adjustRightInd w:val="0"/>
        <w:snapToGrid w:val="0"/>
        <w:spacing w:line="360" w:lineRule="auto"/>
        <w:rPr>
          <w:rFonts w:ascii="宋体" w:hAnsi="宋体"/>
          <w:b/>
          <w:color w:val="000000" w:themeColor="text1"/>
          <w:highlight w:val="none"/>
        </w:rPr>
      </w:pPr>
      <w:r>
        <w:rPr>
          <w:rFonts w:hint="eastAsia" w:ascii="宋体" w:hAnsi="宋体"/>
          <w:b/>
          <w:bCs/>
          <w:color w:val="000000" w:themeColor="text1"/>
          <w:highlight w:val="none"/>
        </w:rPr>
        <w:t>投标人声明：</w:t>
      </w:r>
      <w:r>
        <w:rPr>
          <w:rFonts w:hint="eastAsia" w:ascii="宋体" w:hAnsi="宋体"/>
          <w:b/>
          <w:color w:val="000000" w:themeColor="text1"/>
          <w:highlight w:val="none"/>
        </w:rPr>
        <w:t>表中未列</w:t>
      </w:r>
      <w:r>
        <w:rPr>
          <w:rFonts w:hint="eastAsia" w:ascii="宋体" w:hAnsi="宋体"/>
          <w:b/>
          <w:bCs/>
          <w:color w:val="000000" w:themeColor="text1"/>
          <w:highlight w:val="none"/>
        </w:rPr>
        <w:t>全</w:t>
      </w:r>
      <w:r>
        <w:rPr>
          <w:rFonts w:hint="eastAsia" w:ascii="宋体" w:hAnsi="宋体"/>
          <w:b/>
          <w:color w:val="000000" w:themeColor="text1"/>
          <w:highlight w:val="none"/>
        </w:rPr>
        <w:t>的技术条款，我方均表示完全响应招标文件技术条款的所有要求。</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p>
      <w:pPr>
        <w:pStyle w:val="5"/>
        <w:ind w:firstLine="0"/>
        <w:rPr>
          <w:rFonts w:hAnsi="宋体"/>
          <w:color w:val="000000" w:themeColor="text1"/>
          <w:sz w:val="21"/>
          <w:szCs w:val="2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1980" w:name="_Toc340677099"/>
      <w:bookmarkStart w:id="1981" w:name="_Toc340672898"/>
      <w:bookmarkStart w:id="1982" w:name="_Toc343248447"/>
      <w:bookmarkStart w:id="1983" w:name="_Toc339020124"/>
      <w:bookmarkStart w:id="1984" w:name="_Toc330460015"/>
      <w:bookmarkStart w:id="1985" w:name="_Toc432695228"/>
      <w:bookmarkStart w:id="1986" w:name="_Toc342398159"/>
      <w:bookmarkStart w:id="1987" w:name="_Toc342060404"/>
      <w:bookmarkStart w:id="1988" w:name="_Toc333237707"/>
      <w:bookmarkStart w:id="1989" w:name="_Toc339020044"/>
      <w:bookmarkStart w:id="1990" w:name="_Toc332270376"/>
      <w:bookmarkStart w:id="1991" w:name="_Toc366072561"/>
      <w:bookmarkStart w:id="1992" w:name="_Toc350438778"/>
      <w:bookmarkStart w:id="1993" w:name="_Toc333237818"/>
      <w:bookmarkStart w:id="1994" w:name="_Toc333238663"/>
      <w:bookmarkStart w:id="1995" w:name="_Toc341348369"/>
      <w:bookmarkStart w:id="1996" w:name="_Toc339441116"/>
      <w:bookmarkStart w:id="1997" w:name="_Toc340507471"/>
      <w:bookmarkStart w:id="1998" w:name="_Toc365967104"/>
      <w:bookmarkStart w:id="1999" w:name="_Toc345312626"/>
      <w:bookmarkStart w:id="2000" w:name="_Toc339362329"/>
      <w:bookmarkStart w:id="2001" w:name="_Toc331512930"/>
      <w:bookmarkStart w:id="2002" w:name="_Toc336681964"/>
      <w:bookmarkStart w:id="2003" w:name="_Toc350756479"/>
      <w:bookmarkStart w:id="2004" w:name="_Toc339020262"/>
      <w:bookmarkStart w:id="2005" w:name="_Toc332206738"/>
      <w:bookmarkStart w:id="2006" w:name="_Toc337632387"/>
      <w:bookmarkStart w:id="2007" w:name="_Toc343247129"/>
      <w:bookmarkStart w:id="2008" w:name="_Toc342312472"/>
      <w:bookmarkStart w:id="2009" w:name="_Toc331684071"/>
      <w:bookmarkStart w:id="2010" w:name="_Toc343612949"/>
      <w:bookmarkStart w:id="2011" w:name="_Toc333935716"/>
      <w:bookmarkStart w:id="2012" w:name="_Toc336681609"/>
      <w:bookmarkStart w:id="2013" w:name="_Toc342296790"/>
      <w:bookmarkStart w:id="2014" w:name="_Toc25139"/>
      <w:bookmarkStart w:id="2015" w:name="_Toc365985210"/>
      <w:bookmarkStart w:id="2016" w:name="_Toc333935375"/>
      <w:bookmarkStart w:id="2017" w:name="_Toc339019918"/>
      <w:r>
        <w:rPr>
          <w:rFonts w:hint="eastAsia"/>
          <w:color w:val="000000" w:themeColor="text1"/>
          <w:highlight w:val="none"/>
        </w:rPr>
        <w:t>附件</w:t>
      </w:r>
      <w:r>
        <w:rPr>
          <w:rFonts w:hint="eastAsia"/>
          <w:color w:val="000000" w:themeColor="text1"/>
          <w:highlight w:val="none"/>
          <w:lang w:val="en-US" w:eastAsia="zh-CN"/>
        </w:rPr>
        <w:t>五</w:t>
      </w:r>
      <w:r>
        <w:rPr>
          <w:rFonts w:hint="eastAsia"/>
          <w:color w:val="000000" w:themeColor="text1"/>
          <w:highlight w:val="none"/>
        </w:rPr>
        <w:t>：同类业绩一览表</w:t>
      </w:r>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pPr>
        <w:adjustRightInd w:val="0"/>
        <w:snapToGrid w:val="0"/>
        <w:spacing w:line="360" w:lineRule="auto"/>
        <w:jc w:val="left"/>
        <w:rPr>
          <w:rFonts w:ascii="宋体" w:hAnsi="宋体"/>
          <w:bCs/>
          <w:caps/>
          <w:color w:val="000000" w:themeColor="text1"/>
          <w:szCs w:val="21"/>
          <w:highlight w:val="none"/>
          <w:u w:val="single"/>
        </w:rPr>
      </w:pPr>
      <w:bookmarkStart w:id="2018" w:name="_Hlk534184855"/>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bookmarkEnd w:id="2018"/>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序号</w:t>
            </w:r>
          </w:p>
        </w:tc>
        <w:tc>
          <w:tcPr>
            <w:tcW w:w="1215"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内容</w:t>
            </w:r>
          </w:p>
        </w:tc>
        <w:tc>
          <w:tcPr>
            <w:tcW w:w="11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数量</w:t>
            </w:r>
          </w:p>
        </w:tc>
        <w:tc>
          <w:tcPr>
            <w:tcW w:w="140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rPr>
            </w:pPr>
            <w:r>
              <w:rPr>
                <w:rFonts w:hint="eastAsia" w:hAnsi="宋体"/>
                <w:bCs/>
                <w:color w:val="000000" w:themeColor="text1"/>
                <w:kern w:val="2"/>
                <w:sz w:val="21"/>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rPr>
            </w:pPr>
          </w:p>
        </w:tc>
        <w:tc>
          <w:tcPr>
            <w:tcW w:w="1215" w:type="dxa"/>
            <w:vAlign w:val="center"/>
          </w:tcPr>
          <w:p>
            <w:pPr>
              <w:pStyle w:val="5"/>
              <w:snapToGrid w:val="0"/>
              <w:ind w:firstLine="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ind w:firstLine="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rPr>
            </w:pPr>
          </w:p>
        </w:tc>
        <w:tc>
          <w:tcPr>
            <w:tcW w:w="1215" w:type="dxa"/>
            <w:vAlign w:val="center"/>
          </w:tcPr>
          <w:p>
            <w:pPr>
              <w:pStyle w:val="5"/>
              <w:snapToGrid w:val="0"/>
              <w:jc w:val="center"/>
              <w:rPr>
                <w:rFonts w:hAnsi="宋体"/>
                <w:bCs/>
                <w:color w:val="000000" w:themeColor="text1"/>
                <w:kern w:val="2"/>
                <w:sz w:val="21"/>
                <w:szCs w:val="24"/>
                <w:highlight w:val="none"/>
              </w:rPr>
            </w:pPr>
          </w:p>
        </w:tc>
        <w:tc>
          <w:tcPr>
            <w:tcW w:w="1267" w:type="dxa"/>
            <w:vAlign w:val="center"/>
          </w:tcPr>
          <w:p>
            <w:pPr>
              <w:pStyle w:val="5"/>
              <w:snapToGrid w:val="0"/>
              <w:jc w:val="center"/>
              <w:rPr>
                <w:rFonts w:hAnsi="宋体"/>
                <w:bCs/>
                <w:color w:val="000000" w:themeColor="text1"/>
                <w:kern w:val="2"/>
                <w:sz w:val="21"/>
                <w:szCs w:val="24"/>
                <w:highlight w:val="none"/>
              </w:rPr>
            </w:pPr>
          </w:p>
        </w:tc>
        <w:tc>
          <w:tcPr>
            <w:tcW w:w="1117" w:type="dxa"/>
            <w:vAlign w:val="center"/>
          </w:tcPr>
          <w:p>
            <w:pPr>
              <w:pStyle w:val="5"/>
              <w:snapToGrid w:val="0"/>
              <w:jc w:val="center"/>
              <w:rPr>
                <w:rFonts w:hAnsi="宋体"/>
                <w:bCs/>
                <w:color w:val="000000" w:themeColor="text1"/>
                <w:kern w:val="2"/>
                <w:sz w:val="21"/>
                <w:szCs w:val="24"/>
                <w:highlight w:val="none"/>
              </w:rPr>
            </w:pPr>
          </w:p>
        </w:tc>
        <w:tc>
          <w:tcPr>
            <w:tcW w:w="1400" w:type="dxa"/>
            <w:vAlign w:val="center"/>
          </w:tcPr>
          <w:p>
            <w:pPr>
              <w:pStyle w:val="5"/>
              <w:snapToGrid w:val="0"/>
              <w:jc w:val="center"/>
              <w:rPr>
                <w:rFonts w:hAnsi="宋体"/>
                <w:bCs/>
                <w:color w:val="000000" w:themeColor="text1"/>
                <w:kern w:val="2"/>
                <w:sz w:val="21"/>
                <w:szCs w:val="24"/>
                <w:highlight w:val="none"/>
              </w:rPr>
            </w:pPr>
          </w:p>
        </w:tc>
        <w:tc>
          <w:tcPr>
            <w:tcW w:w="1233" w:type="dxa"/>
            <w:vAlign w:val="center"/>
          </w:tcPr>
          <w:p>
            <w:pPr>
              <w:pStyle w:val="5"/>
              <w:snapToGrid w:val="0"/>
              <w:jc w:val="center"/>
              <w:rPr>
                <w:rFonts w:hAnsi="宋体"/>
                <w:bCs/>
                <w:color w:val="000000" w:themeColor="text1"/>
                <w:kern w:val="2"/>
                <w:sz w:val="21"/>
                <w:szCs w:val="24"/>
                <w:highlight w:val="none"/>
              </w:rPr>
            </w:pPr>
          </w:p>
        </w:tc>
        <w:tc>
          <w:tcPr>
            <w:tcW w:w="1183" w:type="dxa"/>
            <w:vAlign w:val="center"/>
          </w:tcPr>
          <w:p>
            <w:pPr>
              <w:pStyle w:val="5"/>
              <w:snapToGrid w:val="0"/>
              <w:jc w:val="center"/>
              <w:rPr>
                <w:rFonts w:hAnsi="宋体"/>
                <w:bCs/>
                <w:color w:val="000000" w:themeColor="text1"/>
                <w:kern w:val="2"/>
                <w:sz w:val="21"/>
                <w:szCs w:val="24"/>
                <w:highlight w:val="none"/>
              </w:rPr>
            </w:pPr>
          </w:p>
        </w:tc>
        <w:tc>
          <w:tcPr>
            <w:tcW w:w="1220" w:type="dxa"/>
            <w:vAlign w:val="center"/>
          </w:tcPr>
          <w:p>
            <w:pPr>
              <w:pStyle w:val="5"/>
              <w:snapToGrid w:val="0"/>
              <w:jc w:val="center"/>
              <w:rPr>
                <w:rFonts w:hAnsi="宋体"/>
                <w:bCs/>
                <w:color w:val="000000" w:themeColor="text1"/>
                <w:kern w:val="2"/>
                <w:sz w:val="21"/>
                <w:szCs w:val="24"/>
                <w:highlight w:val="none"/>
              </w:rPr>
            </w:pPr>
          </w:p>
        </w:tc>
        <w:tc>
          <w:tcPr>
            <w:tcW w:w="817" w:type="dxa"/>
            <w:vAlign w:val="center"/>
          </w:tcPr>
          <w:p>
            <w:pPr>
              <w:pStyle w:val="5"/>
              <w:snapToGrid w:val="0"/>
              <w:jc w:val="center"/>
              <w:rPr>
                <w:rFonts w:hAnsi="宋体"/>
                <w:bCs/>
                <w:color w:val="000000" w:themeColor="text1"/>
                <w:kern w:val="2"/>
                <w:sz w:val="21"/>
                <w:szCs w:val="24"/>
                <w:highlight w:val="none"/>
              </w:rPr>
            </w:pPr>
          </w:p>
        </w:tc>
      </w:tr>
    </w:tbl>
    <w:p>
      <w:pPr>
        <w:pStyle w:val="5"/>
        <w:snapToGrid w:val="0"/>
        <w:spacing w:line="360" w:lineRule="auto"/>
        <w:ind w:firstLine="0"/>
        <w:rPr>
          <w:rFonts w:hAnsi="宋体"/>
          <w:bCs/>
          <w:color w:val="000000" w:themeColor="text1"/>
          <w:sz w:val="21"/>
          <w:highlight w:val="none"/>
        </w:rPr>
      </w:pPr>
      <w:r>
        <w:rPr>
          <w:rFonts w:hint="eastAsia" w:hAnsi="宋体"/>
          <w:bCs/>
          <w:color w:val="000000" w:themeColor="text1"/>
          <w:sz w:val="21"/>
          <w:highlight w:val="none"/>
        </w:rPr>
        <w:t>注：如本表格式内容不能满足需要，投标人可自行划表填写，但必须体现以上内容。</w:t>
      </w: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pStyle w:val="5"/>
        <w:snapToGrid w:val="0"/>
        <w:spacing w:line="360" w:lineRule="auto"/>
        <w:ind w:firstLine="0"/>
        <w:rPr>
          <w:rFonts w:hAnsi="宋体"/>
          <w:bCs/>
          <w:color w:val="000000" w:themeColor="text1"/>
          <w:sz w:val="21"/>
          <w:highlight w:val="none"/>
        </w:rPr>
      </w:pPr>
    </w:p>
    <w:p>
      <w:pPr>
        <w:adjustRightInd w:val="0"/>
        <w:snapToGrid w:val="0"/>
        <w:spacing w:line="360" w:lineRule="auto"/>
        <w:rPr>
          <w:rFonts w:ascii="宋体" w:hAnsi="宋体"/>
          <w:bCs/>
          <w:color w:val="000000" w:themeColor="text1"/>
          <w:highlight w:val="none"/>
        </w:rPr>
      </w:pPr>
      <w:bookmarkStart w:id="2019" w:name="_Hlk534184880"/>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360" w:lineRule="auto"/>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bookmarkEnd w:id="2019"/>
    </w:p>
    <w:p>
      <w:pPr>
        <w:pStyle w:val="4"/>
        <w:numPr>
          <w:ilvl w:val="1"/>
          <w:numId w:val="0"/>
        </w:numPr>
        <w:jc w:val="both"/>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rPr>
      </w:pPr>
      <w:bookmarkStart w:id="2020" w:name="_Toc432682754"/>
      <w:bookmarkStart w:id="2021" w:name="_Toc432695229"/>
      <w:bookmarkStart w:id="2022" w:name="_Toc430771089"/>
      <w:bookmarkStart w:id="2023" w:name="_Toc15169"/>
      <w:bookmarkStart w:id="2024" w:name="_Toc366072562"/>
      <w:bookmarkStart w:id="2025" w:name="_Toc341348370"/>
      <w:bookmarkStart w:id="2026" w:name="_Toc332206739"/>
      <w:bookmarkStart w:id="2027" w:name="_Toc337632388"/>
      <w:bookmarkStart w:id="2028" w:name="_Toc332270377"/>
      <w:bookmarkStart w:id="2029" w:name="_Toc342312473"/>
      <w:bookmarkStart w:id="2030" w:name="_Toc333237708"/>
      <w:bookmarkStart w:id="2031" w:name="_Toc336681610"/>
      <w:bookmarkStart w:id="2032" w:name="_Toc340677100"/>
      <w:bookmarkStart w:id="2033" w:name="_Toc339441117"/>
      <w:bookmarkStart w:id="2034" w:name="_Toc350756480"/>
      <w:bookmarkStart w:id="2035" w:name="_Toc333935717"/>
      <w:bookmarkStart w:id="2036" w:name="_Toc339020045"/>
      <w:bookmarkStart w:id="2037" w:name="_Toc331684072"/>
      <w:bookmarkStart w:id="2038" w:name="_Toc331512931"/>
      <w:bookmarkStart w:id="2039" w:name="_Toc343247130"/>
      <w:bookmarkStart w:id="2040" w:name="_Toc330460016"/>
      <w:bookmarkStart w:id="2041" w:name="_Toc339362330"/>
      <w:bookmarkStart w:id="2042" w:name="_Toc333238664"/>
      <w:bookmarkStart w:id="2043" w:name="_Toc342398160"/>
      <w:bookmarkStart w:id="2044" w:name="_Toc339020125"/>
      <w:bookmarkStart w:id="2045" w:name="_Toc345312627"/>
      <w:bookmarkStart w:id="2046" w:name="_Toc365967105"/>
      <w:bookmarkStart w:id="2047" w:name="_Toc333237819"/>
      <w:bookmarkStart w:id="2048" w:name="_Toc333935376"/>
      <w:bookmarkStart w:id="2049" w:name="_Toc350438779"/>
      <w:bookmarkStart w:id="2050" w:name="_Toc340507472"/>
      <w:bookmarkStart w:id="2051" w:name="_Toc340672899"/>
      <w:bookmarkStart w:id="2052" w:name="_Toc342060405"/>
      <w:bookmarkStart w:id="2053" w:name="_Toc339019919"/>
      <w:bookmarkStart w:id="2054" w:name="_Toc343248448"/>
      <w:bookmarkStart w:id="2055" w:name="_Toc342296791"/>
      <w:bookmarkStart w:id="2056" w:name="_Toc343612950"/>
      <w:bookmarkStart w:id="2057" w:name="_Toc365985211"/>
      <w:bookmarkStart w:id="2058" w:name="_Toc339020263"/>
      <w:bookmarkStart w:id="2059" w:name="_Toc102451601"/>
      <w:bookmarkStart w:id="2060" w:name="_Toc336681965"/>
      <w:r>
        <w:rPr>
          <w:rFonts w:hint="eastAsia"/>
          <w:color w:val="000000" w:themeColor="text1"/>
          <w:highlight w:val="none"/>
        </w:rPr>
        <w:t>附件</w:t>
      </w:r>
      <w:r>
        <w:rPr>
          <w:rFonts w:hint="eastAsia"/>
          <w:color w:val="000000" w:themeColor="text1"/>
          <w:highlight w:val="none"/>
          <w:lang w:val="en-US" w:eastAsia="zh-CN"/>
        </w:rPr>
        <w:t>六</w:t>
      </w:r>
      <w:r>
        <w:rPr>
          <w:rFonts w:hint="eastAsia"/>
          <w:color w:val="000000" w:themeColor="text1"/>
          <w:highlight w:val="none"/>
        </w:rPr>
        <w:t>：</w:t>
      </w:r>
      <w:r>
        <w:rPr>
          <w:rFonts w:hint="eastAsia" w:hAnsi="黑体" w:cs="黑体"/>
          <w:color w:val="000000" w:themeColor="text1"/>
          <w:highlight w:val="none"/>
        </w:rPr>
        <w:t>中小微企业声明函</w:t>
      </w:r>
      <w:bookmarkEnd w:id="2020"/>
      <w:bookmarkEnd w:id="2021"/>
      <w:bookmarkEnd w:id="2022"/>
      <w:bookmarkEnd w:id="2023"/>
    </w:p>
    <w:p>
      <w:pPr>
        <w:spacing w:line="440" w:lineRule="exact"/>
        <w:ind w:firstLine="420"/>
        <w:rPr>
          <w:rFonts w:ascii="宋体"/>
          <w:color w:val="000000" w:themeColor="text1"/>
          <w:highlight w:val="none"/>
        </w:rPr>
      </w:pPr>
      <w:r>
        <w:rPr>
          <w:rFonts w:hint="eastAsia" w:ascii="宋体" w:hAnsi="宋体" w:cs="宋体"/>
          <w:color w:val="000000" w:themeColor="text1"/>
          <w:highlight w:val="none"/>
        </w:rPr>
        <w:t>本公司郑重声明，根据</w:t>
      </w:r>
      <w:r>
        <w:rPr>
          <w:rFonts w:ascii="宋体" w:hAnsi="宋体"/>
          <w:color w:val="000000" w:themeColor="text1"/>
          <w:szCs w:val="21"/>
          <w:highlight w:val="none"/>
        </w:rPr>
        <w:t>《政府采购促进中小企业发展管理办法》（财库﹝2020﹞46 号）</w:t>
      </w:r>
      <w:r>
        <w:rPr>
          <w:rFonts w:hint="eastAsia" w:ascii="宋体" w:hAnsi="宋体" w:cs="宋体"/>
          <w:color w:val="000000" w:themeColor="text1"/>
          <w:highlight w:val="none"/>
        </w:rPr>
        <w:t>的规定，本公司为</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（请填写：中型、小型、微型）企业。即，本公司同时满足以下条件：</w:t>
      </w:r>
    </w:p>
    <w:p>
      <w:pPr>
        <w:spacing w:line="440" w:lineRule="exact"/>
        <w:ind w:firstLine="420"/>
        <w:rPr>
          <w:rFonts w:ascii="宋体"/>
          <w:color w:val="000000" w:themeColor="text1"/>
          <w:highlight w:val="none"/>
        </w:rPr>
      </w:pPr>
      <w:r>
        <w:rPr>
          <w:rFonts w:ascii="宋体" w:hAnsi="宋体" w:cs="宋体"/>
          <w:color w:val="000000" w:themeColor="text1"/>
          <w:highlight w:val="none"/>
        </w:rPr>
        <w:t xml:space="preserve"> 1.</w:t>
      </w:r>
      <w:r>
        <w:rPr>
          <w:rFonts w:hint="eastAsia" w:ascii="宋体" w:hAnsi="宋体" w:cs="宋体"/>
          <w:color w:val="000000" w:themeColor="text1"/>
          <w:highlight w:val="none"/>
        </w:rPr>
        <w:t>根据《工业和信息化部、国家统计局、国家发展和改革委员会、财政部关于印发中小企业划型标准规定的通知》（工信部联企业</w:t>
      </w:r>
      <w:r>
        <w:rPr>
          <w:rFonts w:ascii="宋体" w:hAnsi="宋体" w:cs="宋体"/>
          <w:color w:val="000000" w:themeColor="text1"/>
          <w:highlight w:val="none"/>
        </w:rPr>
        <w:t xml:space="preserve">[2011]300 </w:t>
      </w:r>
      <w:r>
        <w:rPr>
          <w:rFonts w:hint="eastAsia" w:ascii="宋体" w:hAnsi="宋体" w:cs="宋体"/>
          <w:color w:val="000000" w:themeColor="text1"/>
          <w:highlight w:val="none"/>
        </w:rPr>
        <w:t>号）规定的划分标准：第四条第</w:t>
      </w:r>
      <w:r>
        <w:rPr>
          <w:rFonts w:ascii="宋体" w:hAnsi="宋体" w:cs="宋体"/>
          <w:color w:val="000000" w:themeColor="text1"/>
          <w:highlight w:val="none"/>
          <w:u w:val="single"/>
        </w:rPr>
        <w:t>______</w:t>
      </w:r>
      <w:r>
        <w:rPr>
          <w:rFonts w:hint="eastAsia" w:ascii="宋体" w:hAnsi="宋体" w:cs="宋体"/>
          <w:color w:val="000000" w:themeColor="text1"/>
          <w:highlight w:val="none"/>
        </w:rPr>
        <w:t>项</w:t>
      </w:r>
      <w:r>
        <w:rPr>
          <w:rFonts w:ascii="宋体" w:hAnsi="宋体" w:cs="宋体"/>
          <w:color w:val="000000" w:themeColor="text1"/>
          <w:highlight w:val="none"/>
          <w:u w:val="single"/>
        </w:rPr>
        <w:t>_________</w:t>
      </w:r>
      <w:r>
        <w:rPr>
          <w:rFonts w:hint="eastAsia" w:ascii="宋体" w:hAnsi="宋体" w:cs="宋体"/>
          <w:color w:val="000000" w:themeColor="text1"/>
          <w:highlight w:val="none"/>
        </w:rPr>
        <w:t>行业，本公司（此处填写从业人员或营业收入的具体数据），为</w:t>
      </w:r>
      <w:r>
        <w:rPr>
          <w:rFonts w:ascii="宋体" w:hAnsi="宋体" w:cs="宋体"/>
          <w:color w:val="000000" w:themeColor="text1"/>
          <w:highlight w:val="none"/>
          <w:u w:val="single"/>
        </w:rPr>
        <w:t xml:space="preserve"> ______</w:t>
      </w:r>
      <w:r>
        <w:rPr>
          <w:rFonts w:hint="eastAsia" w:ascii="宋体" w:hAnsi="宋体" w:cs="宋体"/>
          <w:color w:val="000000" w:themeColor="text1"/>
          <w:highlight w:val="none"/>
        </w:rPr>
        <w:t>（请填写：中型、小型、微型）企业。</w:t>
      </w:r>
    </w:p>
    <w:p>
      <w:pPr>
        <w:spacing w:line="440" w:lineRule="exact"/>
        <w:rPr>
          <w:rFonts w:ascii="宋体"/>
          <w:color w:val="000000" w:themeColor="text1"/>
          <w:highlight w:val="none"/>
        </w:rPr>
      </w:pPr>
      <w:r>
        <w:rPr>
          <w:rFonts w:ascii="宋体" w:hAnsi="宋体" w:cs="宋体"/>
          <w:color w:val="000000" w:themeColor="text1"/>
          <w:highlight w:val="none"/>
        </w:rPr>
        <w:t xml:space="preserve">     2.</w:t>
      </w:r>
      <w:r>
        <w:rPr>
          <w:rFonts w:hint="eastAsia" w:ascii="宋体" w:hAnsi="宋体" w:cs="宋体"/>
          <w:color w:val="000000" w:themeColor="text1"/>
          <w:highlight w:val="none"/>
        </w:rPr>
        <w:t>本公司参加</w:t>
      </w:r>
      <w:r>
        <w:rPr>
          <w:rFonts w:hint="eastAsia" w:ascii="宋体" w:hAnsi="宋体"/>
          <w:color w:val="000000" w:themeColor="text1"/>
          <w:highlight w:val="none"/>
        </w:rPr>
        <w:t>（项目名称：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w:t>
      </w:r>
      <w:r>
        <w:rPr>
          <w:rFonts w:hint="eastAsia" w:ascii="宋体" w:hAnsi="宋体" w:cs="宋体"/>
          <w:color w:val="000000" w:themeColor="text1"/>
          <w:highlight w:val="none"/>
        </w:rPr>
        <w:t>（项目编号：</w:t>
      </w:r>
      <w:r>
        <w:rPr>
          <w:rFonts w:ascii="宋体" w:hAnsi="宋体" w:cs="宋体"/>
          <w:color w:val="000000" w:themeColor="text1"/>
          <w:highlight w:val="none"/>
        </w:rPr>
        <w:t xml:space="preserve"> </w:t>
      </w:r>
      <w:r>
        <w:rPr>
          <w:rFonts w:hint="eastAsia" w:ascii="宋体" w:hAnsi="宋体"/>
          <w:color w:val="000000" w:themeColor="text1"/>
          <w:highlight w:val="none"/>
          <w:u w:val="single"/>
        </w:rPr>
        <w:t xml:space="preserve">             </w:t>
      </w:r>
      <w:r>
        <w:rPr>
          <w:rFonts w:hint="eastAsia" w:ascii="宋体" w:hAnsi="宋体" w:cs="宋体"/>
          <w:color w:val="000000" w:themeColor="text1"/>
          <w:highlight w:val="none"/>
        </w:rPr>
        <w:t>）采购活动提供本企业制造的货物，由本企业承担工程、</w:t>
      </w:r>
      <w:r>
        <w:rPr>
          <w:rFonts w:ascii="宋体" w:hAnsi="宋体" w:cs="宋体"/>
          <w:color w:val="000000" w:themeColor="text1"/>
          <w:highlight w:val="none"/>
        </w:rPr>
        <w:t xml:space="preserve"> </w:t>
      </w:r>
      <w:r>
        <w:rPr>
          <w:rFonts w:hint="eastAsia" w:ascii="宋体" w:hAnsi="宋体" w:cs="宋体"/>
          <w:color w:val="000000" w:themeColor="text1"/>
          <w:highlight w:val="none"/>
        </w:rPr>
        <w:t>提供服务，或者提供其他</w:t>
      </w:r>
      <w:r>
        <w:rPr>
          <w:rFonts w:ascii="宋体" w:hAnsi="宋体" w:cs="宋体"/>
          <w:color w:val="000000" w:themeColor="text1"/>
          <w:highlight w:val="none"/>
          <w:u w:val="single"/>
        </w:rPr>
        <w:t>______</w:t>
      </w:r>
      <w:r>
        <w:rPr>
          <w:rFonts w:hint="eastAsia" w:ascii="宋体" w:hAnsi="宋体" w:cs="宋体"/>
          <w:color w:val="000000" w:themeColor="text1"/>
          <w:highlight w:val="none"/>
        </w:rPr>
        <w:t>（请填写：中型、小型、微型）企业制造的货物。本条所称货物不包括使用大型企业注册商标的货物。</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r>
        <w:rPr>
          <w:rFonts w:ascii="宋体" w:hAnsi="宋体" w:cs="宋体"/>
          <w:color w:val="000000" w:themeColor="text1"/>
          <w:highlight w:val="none"/>
        </w:rPr>
        <w:t xml:space="preserve">   </w:t>
      </w:r>
      <w:r>
        <w:rPr>
          <w:rFonts w:hint="eastAsia" w:ascii="宋体" w:hAnsi="宋体" w:cs="宋体"/>
          <w:color w:val="000000" w:themeColor="text1"/>
          <w:highlight w:val="none"/>
        </w:rPr>
        <w:t>本公司对上述声明的真实性负责。如有虚假，将依法承担相应责任。</w:t>
      </w:r>
    </w:p>
    <w:p>
      <w:pPr>
        <w:spacing w:line="440" w:lineRule="exact"/>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bookmarkStart w:id="2061" w:name="_Hlk534184837"/>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spacing w:line="440" w:lineRule="exact"/>
        <w:rPr>
          <w:rFonts w:ascii="宋体"/>
          <w:color w:val="000000" w:themeColor="text1"/>
          <w:highlight w:val="none"/>
        </w:rPr>
      </w:pPr>
      <w:r>
        <w:rPr>
          <w:rFonts w:ascii="宋体" w:hAnsi="宋体"/>
          <w:color w:val="000000" w:themeColor="text1"/>
          <w:szCs w:val="21"/>
          <w:highlight w:val="none"/>
        </w:rPr>
        <w:t>日期：</w:t>
      </w:r>
      <w:r>
        <w:rPr>
          <w:rFonts w:ascii="宋体" w:hAnsi="宋体"/>
          <w:color w:val="000000" w:themeColor="text1"/>
          <w:szCs w:val="21"/>
          <w:highlight w:val="none"/>
          <w:u w:val="single"/>
        </w:rPr>
        <w:t xml:space="preserve">       </w:t>
      </w:r>
      <w:r>
        <w:rPr>
          <w:rFonts w:ascii="宋体" w:hAnsi="宋体"/>
          <w:color w:val="000000" w:themeColor="text1"/>
          <w:szCs w:val="21"/>
          <w:highlight w:val="none"/>
        </w:rPr>
        <w:t>年</w:t>
      </w:r>
      <w:r>
        <w:rPr>
          <w:rFonts w:ascii="宋体" w:hAnsi="宋体"/>
          <w:color w:val="000000" w:themeColor="text1"/>
          <w:szCs w:val="21"/>
          <w:highlight w:val="none"/>
          <w:u w:val="single"/>
        </w:rPr>
        <w:t xml:space="preserve">     </w:t>
      </w:r>
      <w:r>
        <w:rPr>
          <w:rFonts w:ascii="宋体" w:hAnsi="宋体"/>
          <w:color w:val="000000" w:themeColor="text1"/>
          <w:szCs w:val="21"/>
          <w:highlight w:val="none"/>
        </w:rPr>
        <w:t>月</w:t>
      </w:r>
      <w:r>
        <w:rPr>
          <w:rFonts w:ascii="宋体" w:hAnsi="宋体"/>
          <w:color w:val="000000" w:themeColor="text1"/>
          <w:szCs w:val="21"/>
          <w:highlight w:val="none"/>
          <w:u w:val="single"/>
        </w:rPr>
        <w:t xml:space="preserve">      </w:t>
      </w:r>
      <w:r>
        <w:rPr>
          <w:rFonts w:ascii="宋体" w:hAnsi="宋体"/>
          <w:color w:val="000000" w:themeColor="text1"/>
          <w:szCs w:val="21"/>
          <w:highlight w:val="none"/>
        </w:rPr>
        <w:t>日</w:t>
      </w:r>
      <w:bookmarkEnd w:id="2061"/>
    </w:p>
    <w:p>
      <w:pPr>
        <w:spacing w:line="440" w:lineRule="exact"/>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spacing w:line="440" w:lineRule="exact"/>
        <w:jc w:val="center"/>
        <w:rPr>
          <w:rFonts w:asci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说明：提供其他中小微企业制造的货物，必须同时提供该中小微企业的声明函。</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keepLines w:val="0"/>
        <w:numPr>
          <w:ilvl w:val="0"/>
          <w:numId w:val="0"/>
        </w:numPr>
        <w:tabs>
          <w:tab w:val="left" w:pos="851"/>
        </w:tabs>
        <w:spacing w:before="0" w:after="0" w:line="360" w:lineRule="auto"/>
        <w:rPr>
          <w:rFonts w:ascii="宋体" w:eastAsia="宋体"/>
          <w:color w:val="000000" w:themeColor="text1"/>
          <w:szCs w:val="21"/>
          <w:highlight w:val="none"/>
        </w:rPr>
      </w:pPr>
      <w:bookmarkStart w:id="2062" w:name="_Toc26822"/>
      <w:bookmarkStart w:id="2063" w:name="_Hlk534184757"/>
      <w:r>
        <w:rPr>
          <w:rFonts w:hint="eastAsia"/>
          <w:color w:val="000000" w:themeColor="text1"/>
          <w:highlight w:val="none"/>
        </w:rPr>
        <w:t>附件</w:t>
      </w:r>
      <w:r>
        <w:rPr>
          <w:rFonts w:hint="eastAsia"/>
          <w:color w:val="000000" w:themeColor="text1"/>
          <w:highlight w:val="none"/>
          <w:lang w:val="en-US" w:eastAsia="zh-CN"/>
        </w:rPr>
        <w:t>七</w:t>
      </w:r>
      <w:r>
        <w:rPr>
          <w:rFonts w:hint="eastAsia"/>
          <w:color w:val="000000" w:themeColor="text1"/>
          <w:highlight w:val="none"/>
        </w:rPr>
        <w:t>：</w:t>
      </w:r>
      <w:r>
        <w:rPr>
          <w:rFonts w:hint="eastAsia" w:hAnsi="黑体" w:cs="黑体"/>
          <w:color w:val="000000" w:themeColor="text1"/>
          <w:highlight w:val="none"/>
        </w:rPr>
        <w:t>残疾人福利性单位声明函</w:t>
      </w:r>
      <w:bookmarkEnd w:id="2062"/>
    </w:p>
    <w:p>
      <w:pPr>
        <w:spacing w:line="360" w:lineRule="auto"/>
        <w:jc w:val="center"/>
        <w:rPr>
          <w:rFonts w:ascii="宋体" w:hAnsi="宋体"/>
          <w:b/>
          <w:color w:val="000000" w:themeColor="text1"/>
          <w:sz w:val="24"/>
          <w:highlight w:val="none"/>
        </w:rPr>
      </w:pP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残疾人福利性单位声明函</w:t>
      </w:r>
    </w:p>
    <w:p>
      <w:pPr>
        <w:spacing w:line="360" w:lineRule="auto"/>
        <w:jc w:val="center"/>
        <w:rPr>
          <w:rFonts w:ascii="宋体" w:hAnsi="宋体"/>
          <w:b/>
          <w:color w:val="000000" w:themeColor="text1"/>
          <w:sz w:val="24"/>
          <w:highlight w:val="none"/>
        </w:rPr>
      </w:pPr>
    </w:p>
    <w:p>
      <w:pPr>
        <w:spacing w:line="480" w:lineRule="auto"/>
        <w:jc w:val="left"/>
        <w:rPr>
          <w:rFonts w:ascii="宋体" w:hAnsi="宋体" w:cs="宋体"/>
          <w:color w:val="000000" w:themeColor="text1"/>
          <w:highlight w:val="none"/>
        </w:rPr>
      </w:pPr>
      <w:r>
        <w:rPr>
          <w:rFonts w:hint="eastAsia" w:ascii="宋体" w:hAnsi="宋体" w:cs="宋体"/>
          <w:color w:val="000000" w:themeColor="text1"/>
          <w:highlight w:val="none"/>
        </w:rPr>
        <w:t xml:space="preserve"> </w:t>
      </w:r>
      <w:r>
        <w:rPr>
          <w:rFonts w:ascii="宋体" w:hAnsi="宋体" w:cs="宋体"/>
          <w:color w:val="000000" w:themeColor="text1"/>
          <w:highlight w:val="none"/>
        </w:rPr>
        <w:t xml:space="preserve">   </w:t>
      </w:r>
      <w:r>
        <w:rPr>
          <w:rFonts w:hint="eastAsia" w:ascii="宋体" w:hAnsi="宋体" w:cs="宋体"/>
          <w:color w:val="000000" w:themeColor="text1"/>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rPr>
      </w:pPr>
      <w:r>
        <w:rPr>
          <w:rFonts w:hint="eastAsia" w:ascii="宋体" w:hAnsi="宋体" w:cs="宋体"/>
          <w:color w:val="000000" w:themeColor="text1"/>
          <w:highlight w:val="none"/>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投标人法定代表人（负责人）或授权代理人（签字）：</w:t>
      </w:r>
      <w:r>
        <w:rPr>
          <w:rFonts w:hint="eastAsia" w:ascii="宋体" w:hAnsi="宋体"/>
          <w:bCs/>
          <w:color w:val="000000" w:themeColor="text1"/>
          <w:szCs w:val="21"/>
          <w:highlight w:val="none"/>
          <w:u w:val="single"/>
        </w:rPr>
        <w:t xml:space="preserve">                            </w:t>
      </w:r>
    </w:p>
    <w:p>
      <w:pPr>
        <w:adjustRightInd w:val="0"/>
        <w:snapToGrid w:val="0"/>
        <w:spacing w:line="440" w:lineRule="exact"/>
        <w:rPr>
          <w:rFonts w:ascii="宋体" w:hAnsi="宋体"/>
          <w:bCs/>
          <w:color w:val="000000" w:themeColor="text1"/>
          <w:szCs w:val="21"/>
          <w:highlight w:val="none"/>
        </w:rPr>
      </w:pPr>
      <w:r>
        <w:rPr>
          <w:rFonts w:hint="eastAsia" w:ascii="宋体" w:hAnsi="宋体"/>
          <w:bCs/>
          <w:color w:val="000000" w:themeColor="text1"/>
          <w:szCs w:val="21"/>
          <w:highlight w:val="none"/>
        </w:rPr>
        <w:t>投标人名称（公章）：</w:t>
      </w:r>
      <w:r>
        <w:rPr>
          <w:rFonts w:ascii="宋体" w:hAnsi="宋体"/>
          <w:bCs/>
          <w:color w:val="000000" w:themeColor="text1"/>
          <w:szCs w:val="21"/>
          <w:highlight w:val="none"/>
          <w:u w:val="single"/>
        </w:rPr>
        <w:t xml:space="preserve">    </w:t>
      </w:r>
      <w:r>
        <w:rPr>
          <w:rFonts w:hint="eastAsia" w:ascii="宋体" w:hAnsi="宋体"/>
          <w:bCs/>
          <w:color w:val="000000" w:themeColor="text1"/>
          <w:szCs w:val="21"/>
          <w:highlight w:val="none"/>
          <w:u w:val="single"/>
        </w:rPr>
        <w:t xml:space="preserve">                                              </w:t>
      </w:r>
    </w:p>
    <w:p>
      <w:pPr>
        <w:pStyle w:val="5"/>
        <w:spacing w:line="360" w:lineRule="auto"/>
        <w:ind w:firstLine="0"/>
        <w:rPr>
          <w:rFonts w:hAnsi="宋体" w:cs="宋体"/>
          <w:color w:val="000000" w:themeColor="text1"/>
          <w:kern w:val="2"/>
          <w:sz w:val="21"/>
          <w:szCs w:val="24"/>
          <w:highlight w:val="none"/>
        </w:rPr>
      </w:pPr>
      <w:r>
        <w:rPr>
          <w:rFonts w:hAnsi="宋体"/>
          <w:color w:val="000000" w:themeColor="text1"/>
          <w:sz w:val="21"/>
          <w:szCs w:val="21"/>
          <w:highlight w:val="none"/>
        </w:rPr>
        <w:t>日期：</w:t>
      </w:r>
      <w:r>
        <w:rPr>
          <w:rFonts w:hAnsi="宋体"/>
          <w:color w:val="000000" w:themeColor="text1"/>
          <w:sz w:val="21"/>
          <w:szCs w:val="21"/>
          <w:highlight w:val="none"/>
          <w:u w:val="single"/>
        </w:rPr>
        <w:t xml:space="preserve">       </w:t>
      </w:r>
      <w:r>
        <w:rPr>
          <w:rFonts w:hAnsi="宋体"/>
          <w:color w:val="000000" w:themeColor="text1"/>
          <w:sz w:val="21"/>
          <w:szCs w:val="21"/>
          <w:highlight w:val="none"/>
        </w:rPr>
        <w:t>年</w:t>
      </w:r>
      <w:r>
        <w:rPr>
          <w:rFonts w:hAnsi="宋体"/>
          <w:color w:val="000000" w:themeColor="text1"/>
          <w:sz w:val="21"/>
          <w:szCs w:val="21"/>
          <w:highlight w:val="none"/>
          <w:u w:val="single"/>
        </w:rPr>
        <w:t xml:space="preserve">     </w:t>
      </w:r>
      <w:r>
        <w:rPr>
          <w:rFonts w:hAnsi="宋体"/>
          <w:color w:val="000000" w:themeColor="text1"/>
          <w:sz w:val="21"/>
          <w:szCs w:val="21"/>
          <w:highlight w:val="none"/>
        </w:rPr>
        <w:t>月</w:t>
      </w:r>
      <w:r>
        <w:rPr>
          <w:rFonts w:hAnsi="宋体"/>
          <w:color w:val="000000" w:themeColor="text1"/>
          <w:sz w:val="21"/>
          <w:szCs w:val="21"/>
          <w:highlight w:val="none"/>
          <w:u w:val="single"/>
        </w:rPr>
        <w:t xml:space="preserve">      </w:t>
      </w:r>
      <w:r>
        <w:rPr>
          <w:rFonts w:hAnsi="宋体"/>
          <w:color w:val="000000" w:themeColor="text1"/>
          <w:sz w:val="21"/>
          <w:szCs w:val="21"/>
          <w:highlight w:val="none"/>
        </w:rPr>
        <w:t>日</w:t>
      </w: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rPr>
          <w:rFonts w:hint="eastAsia"/>
          <w:color w:val="000000" w:themeColor="text1"/>
          <w:highlight w:val="none"/>
        </w:rPr>
      </w:pPr>
      <w:bookmarkStart w:id="2064" w:name="_Toc432695230"/>
      <w:r>
        <w:rPr>
          <w:rFonts w:hint="eastAsia"/>
          <w:color w:val="000000" w:themeColor="text1"/>
          <w:highlight w:val="none"/>
        </w:rPr>
        <w:br w:type="page"/>
      </w:r>
    </w:p>
    <w:p>
      <w:pPr>
        <w:pStyle w:val="4"/>
        <w:numPr>
          <w:ilvl w:val="1"/>
          <w:numId w:val="0"/>
        </w:numPr>
        <w:spacing w:line="400" w:lineRule="exact"/>
        <w:rPr>
          <w:color w:val="000000" w:themeColor="text1"/>
          <w:highlight w:val="none"/>
        </w:rPr>
      </w:pPr>
      <w:bookmarkStart w:id="2065" w:name="_Toc23573"/>
      <w:r>
        <w:rPr>
          <w:rFonts w:hint="eastAsia"/>
          <w:color w:val="000000" w:themeColor="text1"/>
          <w:highlight w:val="none"/>
        </w:rPr>
        <w:t>附件</w:t>
      </w:r>
      <w:r>
        <w:rPr>
          <w:rFonts w:hint="eastAsia"/>
          <w:color w:val="000000" w:themeColor="text1"/>
          <w:highlight w:val="none"/>
          <w:lang w:val="en-US" w:eastAsia="zh-CN"/>
        </w:rPr>
        <w:t>八</w:t>
      </w:r>
      <w:r>
        <w:rPr>
          <w:rFonts w:hint="eastAsia"/>
          <w:color w:val="000000" w:themeColor="text1"/>
          <w:highlight w:val="none"/>
        </w:rPr>
        <w:t>：中标服务费承诺</w:t>
      </w:r>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4"/>
      <w:bookmarkEnd w:id="2065"/>
    </w:p>
    <w:p>
      <w:pPr>
        <w:spacing w:line="360" w:lineRule="auto"/>
        <w:rPr>
          <w:rFonts w:ascii="宋体" w:hAnsi="宋体"/>
          <w:color w:val="000000" w:themeColor="text1"/>
          <w:highlight w:val="none"/>
        </w:rPr>
      </w:pPr>
      <w:r>
        <w:rPr>
          <w:rFonts w:hint="eastAsia" w:ascii="宋体" w:hAnsi="宋体"/>
          <w:color w:val="000000" w:themeColor="text1"/>
          <w:highlight w:val="none"/>
        </w:rPr>
        <w:t>致</w:t>
      </w:r>
      <w:r>
        <w:rPr>
          <w:rFonts w:hint="eastAsia" w:ascii="宋体" w:hAnsi="宋体"/>
          <w:color w:val="000000" w:themeColor="text1"/>
          <w:highlight w:val="none"/>
          <w:u w:val="single"/>
        </w:rPr>
        <w:t>广东业信采购招标有限公司</w:t>
      </w:r>
      <w:r>
        <w:rPr>
          <w:rFonts w:hint="eastAsia" w:ascii="宋体" w:hAnsi="宋体"/>
          <w:color w:val="000000" w:themeColor="text1"/>
          <w:highlight w:val="none"/>
        </w:rPr>
        <w:t>：</w:t>
      </w:r>
    </w:p>
    <w:p>
      <w:pPr>
        <w:spacing w:line="360" w:lineRule="auto"/>
        <w:rPr>
          <w:rFonts w:ascii="宋体" w:hAnsi="宋体"/>
          <w:color w:val="000000" w:themeColor="text1"/>
          <w:highlight w:val="none"/>
        </w:rPr>
      </w:pP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针对贵方组织的（项目名称：</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 xml:space="preserve">）招标（项目编号: </w:t>
      </w:r>
      <w:r>
        <w:rPr>
          <w:rFonts w:hint="eastAsia" w:ascii="宋体" w:hAnsi="宋体"/>
          <w:color w:val="000000" w:themeColor="text1"/>
          <w:highlight w:val="none"/>
          <w:u w:val="single"/>
        </w:rPr>
        <w:t xml:space="preserve">          </w:t>
      </w:r>
      <w:r>
        <w:rPr>
          <w:rFonts w:hint="eastAsia" w:ascii="宋体" w:hAnsi="宋体"/>
          <w:color w:val="000000" w:themeColor="text1"/>
          <w:highlight w:val="none"/>
        </w:rPr>
        <w:t>），我方承诺：</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rPr>
      </w:pPr>
      <w:r>
        <w:rPr>
          <w:rFonts w:hint="eastAsia" w:ascii="宋体" w:hAnsi="宋体"/>
          <w:color w:val="000000" w:themeColor="text1"/>
          <w:highlight w:val="none"/>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rPr>
        <w:t>方</w:t>
      </w:r>
      <w:r>
        <w:rPr>
          <w:rFonts w:hint="eastAsia" w:ascii="宋体" w:hAnsi="宋体"/>
          <w:color w:val="000000" w:themeColor="text1"/>
          <w:highlight w:val="none"/>
        </w:rPr>
        <w:t>有权不予退还我方的投标保证金并重新确定中标结果，</w:t>
      </w:r>
      <w:r>
        <w:rPr>
          <w:rFonts w:hint="eastAsia" w:ascii="宋体"/>
          <w:color w:val="000000" w:themeColor="text1"/>
          <w:highlight w:val="none"/>
        </w:rPr>
        <w:t>我方对此无任何异议。</w:t>
      </w:r>
    </w:p>
    <w:p>
      <w:pPr>
        <w:spacing w:line="440" w:lineRule="exact"/>
        <w:rPr>
          <w:rFonts w:ascii="宋体" w:hAnsi="宋体"/>
          <w:color w:val="000000" w:themeColor="text1"/>
          <w:highlight w:val="none"/>
        </w:rPr>
      </w:pPr>
      <w:r>
        <w:rPr>
          <w:rFonts w:hint="eastAsia" w:ascii="宋体" w:hAnsi="宋体"/>
          <w:color w:val="000000" w:themeColor="text1"/>
          <w:highlight w:val="none"/>
        </w:rPr>
        <w:t xml:space="preserve">     </w:t>
      </w:r>
    </w:p>
    <w:p>
      <w:pPr>
        <w:spacing w:line="440" w:lineRule="exact"/>
        <w:ind w:firstLine="420" w:firstLineChars="200"/>
        <w:rPr>
          <w:rFonts w:ascii="宋体" w:hAnsi="宋体"/>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color w:val="000000" w:themeColor="text1"/>
          <w:highlight w:val="none"/>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rPr>
      </w:pPr>
      <w:bookmarkStart w:id="2066" w:name="_Toc326065622"/>
      <w:bookmarkStart w:id="2067" w:name="_Toc333935718"/>
      <w:bookmarkStart w:id="2068" w:name="_Toc333237709"/>
      <w:bookmarkStart w:id="2069" w:name="_Toc366072563"/>
      <w:bookmarkStart w:id="2070" w:name="_Toc345312628"/>
      <w:bookmarkStart w:id="2071" w:name="_Toc339020046"/>
      <w:bookmarkStart w:id="2072" w:name="_Toc333237820"/>
      <w:bookmarkStart w:id="2073" w:name="_Toc432695231"/>
      <w:bookmarkStart w:id="2074" w:name="_Toc336681966"/>
      <w:bookmarkStart w:id="2075" w:name="_Toc340672900"/>
      <w:bookmarkStart w:id="2076" w:name="_Toc365985212"/>
      <w:bookmarkStart w:id="2077" w:name="_Toc342398161"/>
      <w:bookmarkStart w:id="2078" w:name="_Toc342312474"/>
      <w:bookmarkStart w:id="2079" w:name="_Toc365967106"/>
      <w:bookmarkStart w:id="2080" w:name="_Toc340677101"/>
      <w:bookmarkStart w:id="2081" w:name="_Toc332270378"/>
      <w:bookmarkStart w:id="2082" w:name="_Toc342296792"/>
      <w:bookmarkStart w:id="2083" w:name="_Toc339441118"/>
      <w:bookmarkStart w:id="2084" w:name="_Toc331684073"/>
      <w:bookmarkStart w:id="2085" w:name="_Toc333238665"/>
      <w:bookmarkStart w:id="2086" w:name="_Toc343612951"/>
      <w:bookmarkStart w:id="2087" w:name="_Toc343247131"/>
      <w:bookmarkStart w:id="2088" w:name="_Toc339362331"/>
      <w:bookmarkStart w:id="2089" w:name="_Toc350438780"/>
      <w:bookmarkStart w:id="2090" w:name="_Toc341348371"/>
      <w:bookmarkStart w:id="2091" w:name="_Toc339020126"/>
      <w:bookmarkStart w:id="2092" w:name="_Toc339020264"/>
      <w:bookmarkStart w:id="2093" w:name="_Toc340507473"/>
      <w:bookmarkStart w:id="2094" w:name="_Toc330460017"/>
      <w:bookmarkStart w:id="2095" w:name="_Toc342060406"/>
      <w:bookmarkStart w:id="2096" w:name="_Toc331512932"/>
      <w:bookmarkStart w:id="2097" w:name="_Toc336681611"/>
      <w:bookmarkStart w:id="2098" w:name="_Toc343248449"/>
      <w:bookmarkStart w:id="2099" w:name="_Toc350756481"/>
      <w:bookmarkStart w:id="2100" w:name="_Toc339019920"/>
      <w:bookmarkStart w:id="2101" w:name="_Toc23743"/>
      <w:bookmarkStart w:id="2102" w:name="_Toc337632389"/>
      <w:bookmarkStart w:id="2103" w:name="_Toc333935377"/>
      <w:bookmarkStart w:id="2104" w:name="_Toc332206740"/>
      <w:r>
        <w:rPr>
          <w:rFonts w:hint="eastAsia"/>
          <w:color w:val="000000" w:themeColor="text1"/>
          <w:highlight w:val="none"/>
        </w:rPr>
        <w:t>附件</w:t>
      </w:r>
      <w:r>
        <w:rPr>
          <w:rFonts w:hint="eastAsia"/>
          <w:color w:val="000000" w:themeColor="text1"/>
          <w:highlight w:val="none"/>
          <w:lang w:val="en-US" w:eastAsia="zh-CN"/>
        </w:rPr>
        <w:t>九</w:t>
      </w:r>
      <w:r>
        <w:rPr>
          <w:rFonts w:hint="eastAsia"/>
          <w:color w:val="000000" w:themeColor="text1"/>
          <w:highlight w:val="none"/>
        </w:rPr>
        <w:t>：</w:t>
      </w:r>
      <w:bookmarkEnd w:id="2066"/>
      <w:r>
        <w:rPr>
          <w:rFonts w:hint="eastAsia"/>
          <w:color w:val="000000" w:themeColor="text1"/>
          <w:highlight w:val="none"/>
        </w:rPr>
        <w:t>投标人提交的其它商务和技术资料</w:t>
      </w:r>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p>
    <w:p>
      <w:pPr>
        <w:adjustRightInd w:val="0"/>
        <w:snapToGrid w:val="0"/>
        <w:spacing w:line="360" w:lineRule="auto"/>
        <w:jc w:val="left"/>
        <w:rPr>
          <w:rFonts w:ascii="宋体" w:hAnsi="宋体"/>
          <w:bCs/>
          <w:color w:val="000000" w:themeColor="text1"/>
          <w:highlight w:val="none"/>
        </w:rPr>
      </w:pPr>
    </w:p>
    <w:p>
      <w:pPr>
        <w:adjustRightInd w:val="0"/>
        <w:snapToGrid w:val="0"/>
        <w:spacing w:line="360" w:lineRule="auto"/>
        <w:jc w:val="left"/>
        <w:rPr>
          <w:rFonts w:ascii="宋体" w:hAnsi="宋体"/>
          <w:bCs/>
          <w:caps/>
          <w:color w:val="000000" w:themeColor="text1"/>
          <w:szCs w:val="21"/>
          <w:highlight w:val="none"/>
          <w:u w:val="single"/>
        </w:rPr>
      </w:pPr>
      <w:r>
        <w:rPr>
          <w:rFonts w:hint="eastAsia" w:ascii="宋体" w:hAnsi="宋体"/>
          <w:bCs/>
          <w:color w:val="000000" w:themeColor="text1"/>
          <w:szCs w:val="21"/>
          <w:highlight w:val="none"/>
        </w:rPr>
        <w:t>项目编号:</w:t>
      </w:r>
      <w:r>
        <w:rPr>
          <w:rFonts w:hint="eastAsia" w:ascii="宋体" w:hAnsi="宋体"/>
          <w:b/>
          <w:bCs/>
          <w:color w:val="000000" w:themeColor="text1"/>
          <w:highlight w:val="none"/>
          <w:u w:val="single"/>
        </w:rPr>
        <w:t xml:space="preserve">                         </w:t>
      </w:r>
      <w:r>
        <w:rPr>
          <w:rFonts w:hint="eastAsia" w:ascii="宋体" w:hAnsi="宋体"/>
          <w:b/>
          <w:bCs/>
          <w:caps/>
          <w:color w:val="000000" w:themeColor="text1"/>
          <w:highlight w:val="none"/>
          <w:u w:val="single"/>
        </w:rPr>
        <w:t xml:space="preserve">  </w:t>
      </w:r>
      <w:r>
        <w:rPr>
          <w:rFonts w:hint="eastAsia" w:ascii="宋体" w:hAnsi="宋体"/>
          <w:b/>
          <w:bCs/>
          <w:caps/>
          <w:color w:val="000000" w:themeColor="text1"/>
          <w:szCs w:val="21"/>
          <w:highlight w:val="non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r>
        <w:rPr>
          <w:rFonts w:hint="eastAsia" w:ascii="宋体" w:hAnsi="宋体"/>
          <w:bCs/>
          <w:color w:val="000000" w:themeColor="text1"/>
          <w:szCs w:val="21"/>
          <w:highlight w:val="none"/>
        </w:rPr>
        <w:t>项目名称：</w:t>
      </w:r>
      <w:r>
        <w:rPr>
          <w:rFonts w:hint="eastAsia"/>
          <w:color w:val="000000" w:themeColor="text1"/>
          <w:szCs w:val="21"/>
          <w:highlight w:val="none"/>
          <w:u w:val="single"/>
        </w:rPr>
        <w:t xml:space="preserve">                          </w:t>
      </w:r>
    </w:p>
    <w:p>
      <w:pPr>
        <w:adjustRightInd w:val="0"/>
        <w:snapToGrid w:val="0"/>
        <w:spacing w:line="360" w:lineRule="auto"/>
        <w:ind w:left="1050" w:hanging="1050" w:hangingChars="500"/>
        <w:jc w:val="left"/>
        <w:rPr>
          <w:rFonts w:ascii="宋体" w:hAnsi="宋体"/>
          <w:bCs/>
          <w:color w:val="000000" w:themeColor="text1"/>
          <w:highlight w:val="none"/>
        </w:rPr>
      </w:pPr>
    </w:p>
    <w:p>
      <w:pPr>
        <w:pStyle w:val="5"/>
        <w:spacing w:line="360" w:lineRule="auto"/>
        <w:rPr>
          <w:rFonts w:hAnsi="宋体"/>
          <w:bCs/>
          <w:color w:val="000000" w:themeColor="text1"/>
          <w:sz w:val="21"/>
          <w:highlight w:val="none"/>
        </w:rPr>
      </w:pP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一、</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二、</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三、</w:t>
      </w:r>
      <w:r>
        <w:rPr>
          <w:rFonts w:hAnsi="宋体"/>
          <w:bCs/>
          <w:color w:val="000000" w:themeColor="text1"/>
          <w:sz w:val="21"/>
          <w:highlight w:val="none"/>
        </w:rPr>
        <w:t>...</w:t>
      </w:r>
    </w:p>
    <w:p>
      <w:pPr>
        <w:pStyle w:val="5"/>
        <w:spacing w:line="360" w:lineRule="auto"/>
        <w:rPr>
          <w:rFonts w:hAnsi="宋体"/>
          <w:bCs/>
          <w:color w:val="000000" w:themeColor="text1"/>
          <w:sz w:val="21"/>
          <w:highlight w:val="none"/>
        </w:rPr>
      </w:pPr>
      <w:r>
        <w:rPr>
          <w:rFonts w:hint="eastAsia" w:hAnsi="宋体"/>
          <w:bCs/>
          <w:color w:val="000000" w:themeColor="text1"/>
          <w:sz w:val="21"/>
          <w:highlight w:val="none"/>
        </w:rPr>
        <w:t>四、</w:t>
      </w:r>
      <w:r>
        <w:rPr>
          <w:rFonts w:hAnsi="宋体"/>
          <w:bCs/>
          <w:color w:val="000000" w:themeColor="text1"/>
          <w:sz w:val="21"/>
          <w:highlight w:val="none"/>
        </w:rPr>
        <w:t>...</w:t>
      </w: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pStyle w:val="5"/>
        <w:spacing w:line="360" w:lineRule="auto"/>
        <w:rPr>
          <w:color w:val="000000" w:themeColor="text1"/>
          <w:highlight w:val="none"/>
        </w:rPr>
      </w:pPr>
    </w:p>
    <w:p>
      <w:pPr>
        <w:adjustRightInd w:val="0"/>
        <w:snapToGrid w:val="0"/>
        <w:spacing w:line="440" w:lineRule="exact"/>
        <w:rPr>
          <w:color w:val="000000" w:themeColor="text1"/>
          <w:highlight w:val="none"/>
        </w:rPr>
      </w:pPr>
      <w:r>
        <w:rPr>
          <w:rFonts w:hint="eastAsia"/>
          <w:color w:val="000000" w:themeColor="text1"/>
          <w:highlight w:val="none"/>
        </w:rPr>
        <w:t>（投标人认为本节无须提交的，应注明“本节空白”字样）。</w:t>
      </w:r>
    </w:p>
    <w:p>
      <w:pPr>
        <w:pStyle w:val="5"/>
        <w:rPr>
          <w:color w:val="000000" w:themeColor="text1"/>
          <w:highlight w:val="none"/>
        </w:rPr>
      </w:pPr>
      <w:bookmarkStart w:id="2105" w:name="_Toc434832511"/>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bookmarkEnd w:id="2063"/>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5"/>
        <w:rPr>
          <w:color w:val="000000" w:themeColor="text1"/>
          <w:highlight w:val="none"/>
        </w:rPr>
      </w:pPr>
    </w:p>
    <w:p>
      <w:pPr>
        <w:pStyle w:val="4"/>
        <w:numPr>
          <w:ilvl w:val="0"/>
          <w:numId w:val="0"/>
        </w:numPr>
        <w:rPr>
          <w:color w:val="000000" w:themeColor="text1"/>
          <w:sz w:val="52"/>
          <w:highlight w:val="none"/>
        </w:rPr>
      </w:pPr>
      <w:bookmarkStart w:id="2106" w:name="_Toc8303"/>
      <w:bookmarkStart w:id="2107" w:name="_Toc456887842"/>
      <w:bookmarkStart w:id="2108" w:name="_Toc456888293"/>
      <w:r>
        <w:rPr>
          <w:rFonts w:hint="eastAsia"/>
          <w:color w:val="000000" w:themeColor="text1"/>
          <w:sz w:val="52"/>
          <w:highlight w:val="none"/>
        </w:rPr>
        <w:t>其 他 格 式</w:t>
      </w:r>
      <w:bookmarkEnd w:id="2105"/>
      <w:bookmarkEnd w:id="2106"/>
      <w:bookmarkEnd w:id="2107"/>
      <w:bookmarkEnd w:id="2108"/>
    </w:p>
    <w:p>
      <w:pPr>
        <w:jc w:val="center"/>
        <w:rPr>
          <w:rFonts w:ascii="宋体" w:hAnsi="宋体"/>
          <w:b/>
          <w:color w:val="000000" w:themeColor="text1"/>
          <w:sz w:val="28"/>
          <w:highlight w:val="none"/>
        </w:rPr>
      </w:pPr>
      <w:r>
        <w:rPr>
          <w:rFonts w:hint="eastAsia" w:ascii="宋体" w:hAnsi="宋体"/>
          <w:b/>
          <w:color w:val="000000" w:themeColor="text1"/>
          <w:sz w:val="36"/>
          <w:highlight w:val="none"/>
        </w:rPr>
        <w:t>（以下文件勿装订在投标文件内</w:t>
      </w:r>
      <w:r>
        <w:rPr>
          <w:rFonts w:ascii="宋体" w:hAnsi="宋体"/>
          <w:b/>
          <w:color w:val="000000" w:themeColor="text1"/>
          <w:sz w:val="36"/>
          <w:highlight w:val="none"/>
        </w:rPr>
        <w:t>）</w:t>
      </w: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ascii="宋体" w:hAnsi="宋体"/>
          <w:color w:val="000000" w:themeColor="text1"/>
          <w:highlight w:val="none"/>
        </w:rPr>
      </w:pPr>
    </w:p>
    <w:p>
      <w:pPr>
        <w:rPr>
          <w:rFonts w:hint="eastAsia"/>
          <w:b/>
          <w:bCs/>
          <w:color w:val="000000" w:themeColor="text1"/>
          <w:sz w:val="44"/>
          <w:szCs w:val="44"/>
          <w:highlight w:val="none"/>
        </w:rPr>
      </w:pPr>
      <w:bookmarkStart w:id="2109" w:name="_Hlk534184791"/>
      <w:r>
        <w:rPr>
          <w:rFonts w:hint="eastAsia"/>
          <w:b/>
          <w:bCs/>
          <w:color w:val="000000" w:themeColor="text1"/>
          <w:sz w:val="44"/>
          <w:szCs w:val="44"/>
          <w:highlight w:val="none"/>
        </w:rPr>
        <w:br w:type="page"/>
      </w:r>
    </w:p>
    <w:p>
      <w:pPr>
        <w:pStyle w:val="6"/>
        <w:numPr>
          <w:ilvl w:val="0"/>
          <w:numId w:val="0"/>
        </w:numPr>
        <w:spacing w:afterLines="50"/>
        <w:jc w:val="center"/>
        <w:rPr>
          <w:rFonts w:ascii="宋体" w:hAnsi="宋体" w:eastAsia="宋体"/>
          <w:b/>
          <w:color w:val="000000" w:themeColor="text1"/>
          <w:sz w:val="28"/>
          <w:highlight w:val="none"/>
        </w:rPr>
      </w:pPr>
      <w:bookmarkStart w:id="2110" w:name="_Toc30185"/>
      <w:bookmarkStart w:id="2111" w:name="_Toc456888294"/>
      <w:bookmarkStart w:id="2112" w:name="_Toc17417"/>
      <w:bookmarkStart w:id="2113" w:name="_Toc456887843"/>
      <w:r>
        <w:rPr>
          <w:rFonts w:hint="eastAsia" w:ascii="宋体" w:hAnsi="宋体" w:eastAsia="宋体"/>
          <w:b/>
          <w:color w:val="000000" w:themeColor="text1"/>
          <w:sz w:val="28"/>
          <w:highlight w:val="none"/>
        </w:rPr>
        <w:t>投标保证金退付书</w:t>
      </w:r>
      <w:bookmarkEnd w:id="2110"/>
      <w:bookmarkEnd w:id="2111"/>
      <w:bookmarkEnd w:id="2112"/>
      <w:bookmarkEnd w:id="2113"/>
    </w:p>
    <w:p>
      <w:pPr>
        <w:pStyle w:val="5"/>
        <w:rPr>
          <w:color w:val="000000" w:themeColor="text1"/>
          <w:highlight w:val="none"/>
        </w:rPr>
      </w:pPr>
    </w:p>
    <w:p>
      <w:pPr>
        <w:spacing w:line="288" w:lineRule="auto"/>
        <w:rPr>
          <w:rFonts w:ascii="宋体" w:hAnsi="宋体"/>
          <w:b/>
          <w:color w:val="000000" w:themeColor="text1"/>
          <w:szCs w:val="21"/>
          <w:highlight w:val="none"/>
        </w:rPr>
      </w:pPr>
      <w:r>
        <w:rPr>
          <w:rFonts w:hint="eastAsia" w:ascii="宋体" w:hAnsi="宋体"/>
          <w:b/>
          <w:color w:val="000000" w:themeColor="text1"/>
          <w:szCs w:val="21"/>
          <w:highlight w:val="none"/>
        </w:rPr>
        <w:t>致：广东业信采购招标有限公司</w:t>
      </w:r>
    </w:p>
    <w:p>
      <w:pPr>
        <w:spacing w:line="288"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项目编号</w:t>
            </w:r>
          </w:p>
        </w:tc>
        <w:tc>
          <w:tcPr>
            <w:tcW w:w="6095" w:type="dxa"/>
            <w:gridSpan w:val="3"/>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w:t>
            </w: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收款单位地址</w:t>
            </w:r>
          </w:p>
        </w:tc>
        <w:tc>
          <w:tcPr>
            <w:tcW w:w="6095" w:type="dxa"/>
            <w:gridSpan w:val="3"/>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开户银行</w:t>
            </w:r>
            <w:r>
              <w:rPr>
                <w:rStyle w:val="303"/>
                <w:color w:val="000000" w:themeColor="text1"/>
                <w:spacing w:val="10"/>
                <w:sz w:val="21"/>
                <w:szCs w:val="21"/>
                <w:highlight w:val="none"/>
                <w:lang w:val="zh-CN"/>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rPr>
            </w:pPr>
            <w:r>
              <w:rPr>
                <w:rStyle w:val="303"/>
                <w:color w:val="000000" w:themeColor="text1"/>
                <w:spacing w:val="10"/>
                <w:sz w:val="21"/>
                <w:szCs w:val="21"/>
                <w:highlight w:val="none"/>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rPr>
            </w:pPr>
            <w:r>
              <w:rPr>
                <w:color w:val="000000" w:themeColor="text1"/>
                <w:szCs w:val="21"/>
                <w:highlight w:val="none"/>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rPr>
            </w:pPr>
            <w:r>
              <w:rPr>
                <w:rStyle w:val="303"/>
                <w:b/>
                <w:color w:val="000000" w:themeColor="text1"/>
                <w:spacing w:val="10"/>
                <w:sz w:val="21"/>
                <w:szCs w:val="21"/>
                <w:highlight w:val="none"/>
                <w:lang w:val="zh-CN"/>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联系电话</w:t>
            </w:r>
          </w:p>
        </w:tc>
        <w:tc>
          <w:tcPr>
            <w:tcW w:w="3116" w:type="dxa"/>
            <w:vAlign w:val="center"/>
          </w:tcPr>
          <w:p>
            <w:pPr>
              <w:ind w:right="206" w:rightChars="98"/>
              <w:rPr>
                <w:rStyle w:val="303"/>
                <w:color w:val="000000" w:themeColor="text1"/>
                <w:spacing w:val="10"/>
                <w:sz w:val="21"/>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rPr>
            </w:pPr>
          </w:p>
        </w:tc>
        <w:tc>
          <w:tcPr>
            <w:tcW w:w="2836" w:type="dxa"/>
            <w:vMerge w:val="continue"/>
          </w:tcPr>
          <w:p>
            <w:pPr>
              <w:ind w:right="206" w:rightChars="98"/>
              <w:jc w:val="center"/>
              <w:rPr>
                <w:rStyle w:val="303"/>
                <w:b/>
                <w:color w:val="000000" w:themeColor="text1"/>
                <w:spacing w:val="10"/>
                <w:sz w:val="21"/>
                <w:szCs w:val="21"/>
                <w:highlight w:val="none"/>
                <w:lang w:val="zh-CN"/>
              </w:rPr>
            </w:pPr>
          </w:p>
        </w:tc>
        <w:tc>
          <w:tcPr>
            <w:tcW w:w="1498" w:type="dxa"/>
            <w:vMerge w:val="continue"/>
            <w:vAlign w:val="center"/>
          </w:tcPr>
          <w:p>
            <w:pPr>
              <w:ind w:right="206" w:rightChars="98"/>
              <w:rPr>
                <w:rStyle w:val="303"/>
                <w:color w:val="000000" w:themeColor="text1"/>
                <w:spacing w:val="10"/>
                <w:sz w:val="21"/>
                <w:szCs w:val="21"/>
                <w:highlight w:val="none"/>
                <w:lang w:val="zh-CN"/>
              </w:rPr>
            </w:pPr>
          </w:p>
        </w:tc>
        <w:tc>
          <w:tcPr>
            <w:tcW w:w="1481" w:type="dxa"/>
            <w:vAlign w:val="center"/>
          </w:tcPr>
          <w:p>
            <w:pPr>
              <w:ind w:right="206" w:rightChars="98"/>
              <w:jc w:val="center"/>
              <w:rPr>
                <w:rStyle w:val="303"/>
                <w:color w:val="000000" w:themeColor="text1"/>
                <w:spacing w:val="10"/>
                <w:sz w:val="21"/>
                <w:szCs w:val="21"/>
                <w:highlight w:val="none"/>
                <w:lang w:val="zh-CN"/>
              </w:rPr>
            </w:pPr>
            <w:r>
              <w:rPr>
                <w:rStyle w:val="303"/>
                <w:color w:val="000000" w:themeColor="text1"/>
                <w:spacing w:val="10"/>
                <w:sz w:val="21"/>
                <w:szCs w:val="21"/>
                <w:highlight w:val="none"/>
                <w:lang w:val="zh-CN"/>
              </w:rPr>
              <w:t>传真</w:t>
            </w:r>
          </w:p>
        </w:tc>
        <w:tc>
          <w:tcPr>
            <w:tcW w:w="3116" w:type="dxa"/>
            <w:vAlign w:val="center"/>
          </w:tcPr>
          <w:p>
            <w:pPr>
              <w:ind w:right="206" w:rightChars="98"/>
              <w:rPr>
                <w:rStyle w:val="303"/>
                <w:color w:val="000000" w:themeColor="text1"/>
                <w:spacing w:val="10"/>
                <w:sz w:val="21"/>
                <w:szCs w:val="21"/>
                <w:highlight w:val="none"/>
                <w:lang w:val="zh-CN"/>
              </w:rPr>
            </w:pPr>
          </w:p>
        </w:tc>
      </w:tr>
    </w:tbl>
    <w:p>
      <w:pPr>
        <w:rPr>
          <w:rFonts w:ascii="宋体" w:hAnsi="宋体"/>
          <w:color w:val="000000" w:themeColor="text1"/>
          <w:szCs w:val="21"/>
          <w:highlight w:val="none"/>
        </w:rPr>
      </w:pPr>
      <w:r>
        <w:rPr>
          <w:rFonts w:hint="eastAsia" w:ascii="宋体" w:hAnsi="宋体"/>
          <w:color w:val="000000" w:themeColor="text1"/>
          <w:szCs w:val="21"/>
          <w:highlight w:val="none"/>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rPr>
            </w:pPr>
            <w:r>
              <w:rPr>
                <w:rFonts w:hint="eastAsia" w:ascii="宋体" w:hAnsi="宋体"/>
                <w:b/>
                <w:color w:val="000000" w:themeColor="text1"/>
                <w:szCs w:val="21"/>
                <w:highlight w:val="none"/>
              </w:rPr>
              <w:t>投标保证金银行汇款单复印件</w:t>
            </w:r>
          </w:p>
          <w:p>
            <w:pPr>
              <w:jc w:val="center"/>
              <w:rPr>
                <w:rFonts w:ascii="宋体" w:hAnsi="宋体"/>
                <w:b/>
                <w:color w:val="000000" w:themeColor="text1"/>
                <w:szCs w:val="21"/>
                <w:highlight w:val="none"/>
              </w:rPr>
            </w:pPr>
            <w:r>
              <w:rPr>
                <w:rFonts w:hint="eastAsia" w:ascii="宋体" w:hAnsi="宋体"/>
                <w:b/>
                <w:color w:val="000000" w:themeColor="text1"/>
                <w:szCs w:val="21"/>
                <w:highlight w:val="none"/>
              </w:rPr>
              <w:t>（请投标投标人在此处贴上）</w:t>
            </w:r>
          </w:p>
        </w:tc>
      </w:tr>
    </w:tbl>
    <w:p>
      <w:pPr>
        <w:rPr>
          <w:rFonts w:ascii="宋体" w:hAnsi="宋体"/>
          <w:color w:val="000000" w:themeColor="text1"/>
          <w:szCs w:val="21"/>
          <w:highlight w:val="none"/>
        </w:rPr>
      </w:pPr>
    </w:p>
    <w:p>
      <w:pPr>
        <w:adjustRightInd w:val="0"/>
        <w:snapToGrid w:val="0"/>
        <w:spacing w:line="440" w:lineRule="exact"/>
        <w:rPr>
          <w:rFonts w:ascii="宋体" w:hAnsi="宋体"/>
          <w:bCs/>
          <w:color w:val="000000" w:themeColor="text1"/>
          <w:highlight w:val="none"/>
        </w:rPr>
      </w:pPr>
      <w:r>
        <w:rPr>
          <w:rFonts w:hint="eastAsia" w:ascii="宋体" w:hAnsi="宋体"/>
          <w:bCs/>
          <w:color w:val="000000" w:themeColor="text1"/>
          <w:highlight w:val="none"/>
        </w:rPr>
        <w:t>投标人法定代表人（负责人）或授权代理人（签字）：</w:t>
      </w:r>
      <w:r>
        <w:rPr>
          <w:rFonts w:hint="eastAsia" w:ascii="宋体" w:hAnsi="宋体"/>
          <w:bCs/>
          <w:color w:val="000000" w:themeColor="text1"/>
          <w:highlight w:val="none"/>
          <w:u w:val="single"/>
        </w:rPr>
        <w:t xml:space="preserve">                            </w:t>
      </w:r>
    </w:p>
    <w:p>
      <w:pPr>
        <w:adjustRightInd w:val="0"/>
        <w:snapToGrid w:val="0"/>
        <w:spacing w:line="440" w:lineRule="exact"/>
        <w:rPr>
          <w:rFonts w:ascii="宋体" w:hAnsi="宋体"/>
          <w:bCs/>
          <w:color w:val="000000" w:themeColor="text1"/>
          <w:highlight w:val="none"/>
          <w:u w:val="single"/>
        </w:rPr>
      </w:pPr>
      <w:r>
        <w:rPr>
          <w:rFonts w:hint="eastAsia" w:ascii="宋体" w:hAnsi="宋体"/>
          <w:bCs/>
          <w:color w:val="000000" w:themeColor="text1"/>
          <w:highlight w:val="none"/>
        </w:rPr>
        <w:t>投标人名称（公章）：</w:t>
      </w:r>
      <w:r>
        <w:rPr>
          <w:rFonts w:ascii="宋体" w:hAnsi="宋体"/>
          <w:bCs/>
          <w:color w:val="000000" w:themeColor="text1"/>
          <w:highlight w:val="none"/>
          <w:u w:val="single"/>
        </w:rPr>
        <w:t xml:space="preserve">    </w:t>
      </w:r>
      <w:r>
        <w:rPr>
          <w:rFonts w:hint="eastAsia" w:ascii="宋体" w:hAnsi="宋体"/>
          <w:bCs/>
          <w:color w:val="000000" w:themeColor="text1"/>
          <w:highlight w:val="none"/>
          <w:u w:val="single"/>
        </w:rPr>
        <w:t xml:space="preserve">                                              </w:t>
      </w:r>
    </w:p>
    <w:p>
      <w:pPr>
        <w:rPr>
          <w:rFonts w:ascii="宋体" w:hAnsi="宋体"/>
          <w:bCs/>
          <w:color w:val="000000" w:themeColor="text1"/>
          <w:szCs w:val="21"/>
          <w:highlight w:val="none"/>
        </w:rPr>
      </w:pPr>
      <w:r>
        <w:rPr>
          <w:rFonts w:hint="eastAsia" w:ascii="宋体" w:hAnsi="宋体"/>
          <w:bCs/>
          <w:color w:val="000000" w:themeColor="text1"/>
          <w:szCs w:val="21"/>
          <w:highlight w:val="none"/>
        </w:rPr>
        <w:t>日期：</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 年</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 xml:space="preserve">月 </w:t>
      </w:r>
      <w:r>
        <w:rPr>
          <w:rFonts w:hint="eastAsia" w:ascii="宋体" w:hAnsi="宋体"/>
          <w:bCs/>
          <w:color w:val="000000" w:themeColor="text1"/>
          <w:szCs w:val="21"/>
          <w:highlight w:val="none"/>
          <w:u w:val="single"/>
        </w:rPr>
        <w:t xml:space="preserve">    </w:t>
      </w:r>
      <w:r>
        <w:rPr>
          <w:rFonts w:hint="eastAsia" w:ascii="宋体" w:hAnsi="宋体"/>
          <w:bCs/>
          <w:color w:val="000000" w:themeColor="text1"/>
          <w:szCs w:val="21"/>
          <w:highlight w:val="none"/>
        </w:rPr>
        <w:t>日</w:t>
      </w:r>
    </w:p>
    <w:p>
      <w:pPr>
        <w:rPr>
          <w:rFonts w:hint="eastAsia"/>
          <w:b/>
          <w:bCs/>
          <w:color w:val="000000" w:themeColor="text1"/>
          <w:sz w:val="44"/>
          <w:szCs w:val="44"/>
          <w:highlight w:val="none"/>
        </w:rPr>
      </w:pPr>
      <w:r>
        <w:rPr>
          <w:rFonts w:hint="eastAsia" w:ascii="宋体" w:hAnsi="宋体"/>
          <w:b/>
          <w:color w:val="000000" w:themeColor="text1"/>
          <w:szCs w:val="21"/>
          <w:highlight w:val="none"/>
        </w:rPr>
        <w:t>注：本退付书须放入唱标信封内，勿装订在投标文件内。</w:t>
      </w:r>
      <w:r>
        <w:rPr>
          <w:rFonts w:hint="eastAsia"/>
          <w:b/>
          <w:bCs/>
          <w:color w:val="000000" w:themeColor="text1"/>
          <w:sz w:val="44"/>
          <w:szCs w:val="44"/>
          <w:highlight w:val="none"/>
        </w:rPr>
        <w:br w:type="page"/>
      </w:r>
    </w:p>
    <w:p>
      <w:pPr>
        <w:jc w:val="center"/>
        <w:rPr>
          <w:rFonts w:hint="eastAsia"/>
          <w:b/>
          <w:bCs/>
          <w:color w:val="000000" w:themeColor="text1"/>
          <w:szCs w:val="21"/>
          <w:highlight w:val="none"/>
        </w:rPr>
      </w:pPr>
      <w:r>
        <w:rPr>
          <w:rFonts w:hint="eastAsia"/>
          <w:b/>
          <w:bCs/>
          <w:color w:val="000000" w:themeColor="text1"/>
          <w:sz w:val="44"/>
          <w:szCs w:val="44"/>
          <w:highlight w:val="none"/>
        </w:rPr>
        <w:t>购买标书登记表</w:t>
      </w:r>
    </w:p>
    <w:p>
      <w:pPr>
        <w:jc w:val="center"/>
        <w:rPr>
          <w:rFonts w:hint="eastAsia"/>
          <w:color w:val="000000" w:themeColor="text1"/>
          <w:szCs w:val="21"/>
          <w:highlight w:val="none"/>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项目名称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招标编号</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购买时间</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投标商名称</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地址</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电话</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传真</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联系人</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手机</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职务</w:t>
            </w:r>
          </w:p>
        </w:tc>
        <w:tc>
          <w:tcPr>
            <w:tcW w:w="1940" w:type="dxa"/>
            <w:noWrap w:val="0"/>
            <w:vAlign w:val="top"/>
          </w:tcPr>
          <w:p>
            <w:pPr>
              <w:rPr>
                <w:rFonts w:hint="eastAsia"/>
                <w:color w:val="000000" w:themeColor="text1"/>
                <w:sz w:val="28"/>
                <w:szCs w:val="28"/>
                <w:highlight w:val="none"/>
              </w:rPr>
            </w:pPr>
          </w:p>
        </w:tc>
        <w:tc>
          <w:tcPr>
            <w:tcW w:w="1940"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电子邮件</w:t>
            </w:r>
          </w:p>
        </w:tc>
        <w:tc>
          <w:tcPr>
            <w:tcW w:w="2895" w:type="dxa"/>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拟投设备</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制造厂商</w:t>
            </w:r>
          </w:p>
        </w:tc>
        <w:tc>
          <w:tcPr>
            <w:tcW w:w="6775" w:type="dxa"/>
            <w:gridSpan w:val="3"/>
            <w:noWrap w:val="0"/>
            <w:vAlign w:val="top"/>
          </w:tcPr>
          <w:p>
            <w:pPr>
              <w:rPr>
                <w:rFonts w:hint="eastAsia"/>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rPr>
            </w:pPr>
            <w:r>
              <w:rPr>
                <w:rFonts w:hint="eastAsia"/>
                <w:color w:val="000000" w:themeColor="text1"/>
                <w:sz w:val="28"/>
                <w:szCs w:val="28"/>
                <w:highlight w:val="none"/>
              </w:rPr>
              <w:t>经营范围</w:t>
            </w:r>
          </w:p>
        </w:tc>
        <w:tc>
          <w:tcPr>
            <w:tcW w:w="6775" w:type="dxa"/>
            <w:gridSpan w:val="3"/>
            <w:noWrap w:val="0"/>
            <w:vAlign w:val="top"/>
          </w:tcPr>
          <w:p>
            <w:pPr>
              <w:rPr>
                <w:rFonts w:hint="eastAsia"/>
                <w:color w:val="000000" w:themeColor="text1"/>
                <w:sz w:val="28"/>
                <w:szCs w:val="28"/>
                <w:highlight w:val="none"/>
              </w:rPr>
            </w:pPr>
          </w:p>
        </w:tc>
      </w:tr>
    </w:tbl>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spacing w:line="360" w:lineRule="auto"/>
        <w:jc w:val="center"/>
        <w:rPr>
          <w:rFonts w:hint="eastAsia" w:ascii="宋体" w:hAnsi="宋体"/>
          <w:b/>
          <w:color w:val="000000" w:themeColor="text1"/>
          <w:sz w:val="24"/>
          <w:highlight w:val="none"/>
        </w:rPr>
      </w:pPr>
    </w:p>
    <w:p>
      <w:pPr>
        <w:rPr>
          <w:rFonts w:hint="eastAsia" w:ascii="宋体" w:hAnsi="宋体"/>
          <w:b/>
          <w:color w:val="000000" w:themeColor="text1"/>
          <w:sz w:val="24"/>
          <w:highlight w:val="none"/>
        </w:rPr>
      </w:pPr>
      <w:r>
        <w:rPr>
          <w:rFonts w:hint="eastAsia" w:ascii="宋体" w:hAnsi="宋体"/>
          <w:b/>
          <w:color w:val="000000" w:themeColor="text1"/>
          <w:sz w:val="24"/>
          <w:highlight w:val="none"/>
        </w:rPr>
        <w:br w:type="page"/>
      </w:r>
    </w:p>
    <w:p>
      <w:pPr>
        <w:spacing w:line="360" w:lineRule="auto"/>
        <w:jc w:val="center"/>
        <w:rPr>
          <w:rFonts w:ascii="宋体" w:hAnsi="宋体"/>
          <w:b/>
          <w:color w:val="000000" w:themeColor="text1"/>
          <w:sz w:val="24"/>
          <w:highlight w:val="none"/>
        </w:rPr>
      </w:pPr>
      <w:r>
        <w:rPr>
          <w:rFonts w:hint="eastAsia" w:ascii="宋体" w:hAnsi="宋体"/>
          <w:b/>
          <w:color w:val="000000" w:themeColor="text1"/>
          <w:sz w:val="24"/>
          <w:highlight w:val="none"/>
        </w:rPr>
        <w:t>询问函、质疑函格式</w:t>
      </w:r>
    </w:p>
    <w:p>
      <w:pPr>
        <w:pStyle w:val="43"/>
        <w:snapToGrid w:val="0"/>
        <w:spacing w:before="0" w:beforeAutospacing="0" w:after="0" w:afterAutospacing="0" w:line="360" w:lineRule="auto"/>
        <w:jc w:val="both"/>
        <w:rPr>
          <w:color w:val="000000" w:themeColor="text1"/>
          <w:szCs w:val="21"/>
          <w:highlight w:val="none"/>
        </w:rPr>
      </w:pPr>
    </w:p>
    <w:p>
      <w:pPr>
        <w:snapToGrid w:val="0"/>
        <w:spacing w:line="360" w:lineRule="auto"/>
        <w:ind w:firstLine="424" w:firstLineChars="201"/>
        <w:rPr>
          <w:rFonts w:ascii="宋体" w:hAnsi="宋体"/>
          <w:b/>
          <w:color w:val="000000" w:themeColor="text1"/>
          <w:szCs w:val="21"/>
          <w:highlight w:val="none"/>
        </w:rPr>
      </w:pPr>
      <w:r>
        <w:rPr>
          <w:rFonts w:hint="eastAsia" w:ascii="宋体" w:hAnsi="宋体"/>
          <w:b/>
          <w:color w:val="000000" w:themeColor="text1"/>
          <w:szCs w:val="21"/>
          <w:highlight w:val="none"/>
        </w:rPr>
        <w:t>说明：本部分格式为投标供应商提交询问函、质疑函、投诉函时使用，不属于投标文件格式的组成部分。</w:t>
      </w:r>
    </w:p>
    <w:p>
      <w:pPr>
        <w:pStyle w:val="43"/>
        <w:snapToGrid w:val="0"/>
        <w:spacing w:before="0" w:beforeAutospacing="0" w:after="0" w:afterAutospacing="0" w:line="360" w:lineRule="auto"/>
        <w:jc w:val="both"/>
        <w:rPr>
          <w:color w:val="000000" w:themeColor="text1"/>
          <w:szCs w:val="21"/>
          <w:highlight w:val="none"/>
        </w:rPr>
      </w:pPr>
    </w:p>
    <w:p>
      <w:pPr>
        <w:pStyle w:val="43"/>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t>1：询问函格式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询问函</w:t>
      </w:r>
    </w:p>
    <w:p>
      <w:pPr>
        <w:widowControl/>
        <w:tabs>
          <w:tab w:val="left" w:pos="6300"/>
        </w:tabs>
        <w:snapToGrid w:val="0"/>
        <w:spacing w:line="360" w:lineRule="auto"/>
        <w:jc w:val="left"/>
        <w:rPr>
          <w:rFonts w:ascii="宋体" w:hAnsi="宋体"/>
          <w:color w:val="000000" w:themeColor="text1"/>
          <w:highlight w:val="none"/>
        </w:rPr>
      </w:pPr>
      <w:r>
        <w:rPr>
          <w:rFonts w:hint="eastAsia" w:ascii="宋体" w:hAnsi="宋体"/>
          <w:color w:val="000000" w:themeColor="text1"/>
          <w:sz w:val="24"/>
          <w:highlight w:val="none"/>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我单位已报名并准备参与</w:t>
      </w:r>
      <w:r>
        <w:rPr>
          <w:rFonts w:hint="eastAsia" w:ascii="宋体" w:hAnsi="宋体"/>
          <w:color w:val="000000" w:themeColor="text1"/>
          <w:sz w:val="24"/>
          <w:highlight w:val="none"/>
          <w:u w:val="single"/>
        </w:rPr>
        <w:t>（项目名称）</w:t>
      </w:r>
      <w:r>
        <w:rPr>
          <w:rFonts w:hint="eastAsia" w:ascii="宋体" w:hAnsi="宋体"/>
          <w:color w:val="000000" w:themeColor="text1"/>
          <w:sz w:val="24"/>
          <w:highlight w:val="none"/>
        </w:rPr>
        <w:t>项目（采购文件编号：</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rPr>
      </w:pPr>
      <w:r>
        <w:rPr>
          <w:rFonts w:hint="eastAsia" w:ascii="宋体" w:hAnsi="宋体"/>
          <w:color w:val="000000" w:themeColor="text1"/>
          <w:sz w:val="24"/>
          <w:highlight w:val="none"/>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rPr>
      </w:pPr>
      <w:r>
        <w:rPr>
          <w:rFonts w:hint="eastAsia" w:ascii="宋体" w:hAnsi="宋体"/>
          <w:color w:val="000000" w:themeColor="text1"/>
          <w:sz w:val="24"/>
          <w:highlight w:val="none"/>
        </w:rPr>
        <w:t>电话/传真：</w:t>
      </w:r>
    </w:p>
    <w:p>
      <w:pPr>
        <w:spacing w:line="360" w:lineRule="auto"/>
        <w:jc w:val="right"/>
        <w:rPr>
          <w:rFonts w:ascii="宋体" w:hAnsi="宋体"/>
          <w:color w:val="000000" w:themeColor="text1"/>
          <w:sz w:val="24"/>
          <w:highlight w:val="none"/>
        </w:rPr>
      </w:pPr>
      <w:r>
        <w:rPr>
          <w:rFonts w:hint="eastAsia" w:ascii="宋体" w:hAnsi="宋体"/>
          <w:color w:val="000000" w:themeColor="text1"/>
          <w:sz w:val="24"/>
          <w:highlight w:val="none"/>
        </w:rPr>
        <w:t xml:space="preserve"> </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年</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月</w:t>
      </w:r>
      <w:r>
        <w:rPr>
          <w:rFonts w:hint="eastAsia" w:ascii="宋体" w:hAnsi="宋体"/>
          <w:color w:val="000000" w:themeColor="text1"/>
          <w:sz w:val="24"/>
          <w:highlight w:val="none"/>
          <w:u w:val="single"/>
        </w:rPr>
        <w:t xml:space="preserve">  </w:t>
      </w:r>
      <w:r>
        <w:rPr>
          <w:rFonts w:hint="eastAsia" w:ascii="宋体" w:hAnsi="宋体"/>
          <w:color w:val="000000" w:themeColor="text1"/>
          <w:sz w:val="24"/>
          <w:highlight w:val="none"/>
        </w:rPr>
        <w:t>日</w:t>
      </w:r>
    </w:p>
    <w:p>
      <w:pPr>
        <w:snapToGrid w:val="0"/>
        <w:spacing w:line="360" w:lineRule="auto"/>
        <w:ind w:firstLine="432" w:firstLineChars="180"/>
        <w:rPr>
          <w:rFonts w:ascii="宋体" w:hAnsi="宋体"/>
          <w:color w:val="000000" w:themeColor="text1"/>
          <w:sz w:val="24"/>
          <w:highlight w:val="none"/>
        </w:rPr>
      </w:pPr>
    </w:p>
    <w:p>
      <w:pPr>
        <w:pStyle w:val="43"/>
        <w:adjustRightInd w:val="0"/>
        <w:snapToGrid w:val="0"/>
        <w:spacing w:before="0" w:beforeAutospacing="0" w:after="0" w:afterAutospacing="0" w:line="360" w:lineRule="auto"/>
        <w:jc w:val="both"/>
        <w:rPr>
          <w:color w:val="000000" w:themeColor="text1"/>
          <w:highlight w:val="none"/>
        </w:rPr>
      </w:pPr>
      <w:r>
        <w:rPr>
          <w:rFonts w:hint="eastAsia"/>
          <w:color w:val="000000" w:themeColor="text1"/>
          <w:highlight w:val="none"/>
        </w:rPr>
        <w:br w:type="page"/>
      </w:r>
      <w:r>
        <w:rPr>
          <w:rFonts w:hint="eastAsia"/>
          <w:color w:val="000000" w:themeColor="text1"/>
          <w:highlight w:val="none"/>
        </w:rPr>
        <w:t>2：质疑函格式</w:t>
      </w:r>
    </w:p>
    <w:p>
      <w:pPr>
        <w:pStyle w:val="43"/>
        <w:spacing w:before="0" w:beforeAutospacing="0" w:after="0" w:afterAutospacing="0" w:line="360" w:lineRule="auto"/>
        <w:jc w:val="center"/>
        <w:rPr>
          <w:rStyle w:val="49"/>
          <w:rFonts w:cs="Times New Roman"/>
          <w:color w:val="000000" w:themeColor="text1"/>
          <w:highlight w:val="none"/>
        </w:rPr>
      </w:pPr>
      <w:r>
        <w:rPr>
          <w:rStyle w:val="49"/>
          <w:rFonts w:hint="eastAsia" w:cs="Times New Roman"/>
          <w:b w:val="0"/>
          <w:color w:val="000000" w:themeColor="text1"/>
          <w:highlight w:val="none"/>
        </w:rPr>
        <w:t>质疑函</w:t>
      </w:r>
    </w:p>
    <w:p>
      <w:pPr>
        <w:keepNext w:val="0"/>
        <w:keepLines w:val="0"/>
        <w:pageBreakBefore w:val="0"/>
        <w:widowControl w:val="0"/>
        <w:kinsoku/>
        <w:wordWrap/>
        <w:overflowPunct/>
        <w:topLinePunct w:val="0"/>
        <w:autoSpaceDE/>
        <w:autoSpaceDN/>
        <w:bidi w:val="0"/>
        <w:adjustRightInd w:val="0"/>
        <w:snapToGrid w:val="0"/>
        <w:spacing w:beforeLines="100"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质疑供应商：</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联系人：</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授权代表：</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联系电话：</w:t>
      </w:r>
      <w:r>
        <w:rPr>
          <w:rFonts w:hint="eastAsia" w:ascii="宋体" w:hAnsi="宋体" w:cs="仿宋"/>
          <w:color w:val="000000" w:themeColor="text1"/>
          <w:sz w:val="24"/>
          <w:highlight w:val="none"/>
          <w:u w:val="dotted"/>
        </w:rPr>
        <w:t xml:space="preserve">                                           </w:t>
      </w:r>
      <w:r>
        <w:rPr>
          <w:rFonts w:ascii="宋体" w:hAnsi="宋体" w:cs="仿宋"/>
          <w:color w:val="000000" w:themeColor="text1"/>
          <w:sz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地址：</w:t>
      </w:r>
      <w:r>
        <w:rPr>
          <w:rFonts w:ascii="宋体" w:hAnsi="宋体" w:cs="仿宋"/>
          <w:color w:val="000000" w:themeColor="text1"/>
          <w:sz w:val="24"/>
          <w:highlight w:val="none"/>
        </w:rPr>
        <w:t xml:space="preserve"> </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邮编：</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质疑项目的名称：</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质疑项目的编号：</w:t>
      </w:r>
      <w:r>
        <w:rPr>
          <w:rFonts w:hint="eastAsia" w:ascii="宋体" w:hAnsi="宋体" w:cs="仿宋"/>
          <w:color w:val="000000" w:themeColor="text1"/>
          <w:sz w:val="24"/>
          <w:highlight w:val="none"/>
          <w:u w:val="dotted"/>
        </w:rPr>
        <w:t xml:space="preserve">               </w:t>
      </w:r>
      <w:r>
        <w:rPr>
          <w:rFonts w:hint="eastAsia" w:ascii="宋体" w:hAnsi="宋体" w:cs="仿宋"/>
          <w:color w:val="000000" w:themeColor="text1"/>
          <w:sz w:val="24"/>
          <w:highlight w:val="none"/>
        </w:rPr>
        <w:t>包号：</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采购人名称：</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采购文件获取日期：</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质疑事项1：</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事实依据：</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法律依据：</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rPr>
      </w:pPr>
      <w:r>
        <w:rPr>
          <w:rFonts w:hint="eastAsia" w:ascii="宋体" w:hAnsi="宋体" w:cs="仿宋"/>
          <w:color w:val="000000" w:themeColor="text1"/>
          <w:sz w:val="24"/>
          <w:highlight w:val="none"/>
        </w:rPr>
        <w:t>……</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bCs/>
          <w:color w:val="000000" w:themeColor="text1"/>
          <w:sz w:val="24"/>
          <w:highlight w:val="none"/>
        </w:rPr>
      </w:pPr>
      <w:r>
        <w:rPr>
          <w:rFonts w:hint="eastAsia" w:ascii="宋体" w:hAnsi="宋体" w:cs="仿宋"/>
          <w:bCs/>
          <w:color w:val="000000" w:themeColor="text1"/>
          <w:sz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仿宋"/>
          <w:color w:val="000000" w:themeColor="text1"/>
          <w:sz w:val="24"/>
          <w:highlight w:val="none"/>
          <w:u w:val="dotted"/>
        </w:rPr>
      </w:pPr>
      <w:r>
        <w:rPr>
          <w:rFonts w:hint="eastAsia" w:ascii="宋体" w:hAnsi="宋体" w:cs="仿宋"/>
          <w:color w:val="000000" w:themeColor="text1"/>
          <w:sz w:val="24"/>
          <w:highlight w:val="none"/>
        </w:rPr>
        <w:t>请求：</w:t>
      </w:r>
      <w:r>
        <w:rPr>
          <w:rFonts w:hint="eastAsia" w:ascii="宋体" w:hAnsi="宋体" w:cs="仿宋"/>
          <w:color w:val="000000" w:themeColor="text1"/>
          <w:sz w:val="24"/>
          <w:highlight w:val="none"/>
          <w:u w:val="dotted"/>
        </w:rPr>
        <w:t xml:space="preserve">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r>
        <w:rPr>
          <w:rFonts w:hint="eastAsia" w:ascii="宋体" w:hAnsi="宋体"/>
          <w:color w:val="000000" w:themeColor="text1"/>
          <w:sz w:val="24"/>
          <w:highlight w:val="none"/>
        </w:rPr>
        <w:t xml:space="preserve">签字(签章)：                   公章：                      </w:t>
      </w:r>
    </w:p>
    <w:p>
      <w:pPr>
        <w:keepNext w:val="0"/>
        <w:keepLines w:val="0"/>
        <w:pageBreakBefore w:val="0"/>
        <w:widowControl w:val="0"/>
        <w:kinsoku/>
        <w:wordWrap/>
        <w:overflowPunct/>
        <w:topLinePunct w:val="0"/>
        <w:autoSpaceDE/>
        <w:autoSpaceDN/>
        <w:bidi w:val="0"/>
        <w:spacing w:line="400" w:lineRule="exact"/>
        <w:textAlignment w:val="auto"/>
        <w:rPr>
          <w:rFonts w:ascii="宋体" w:hAnsi="宋体"/>
          <w:color w:val="000000" w:themeColor="text1"/>
          <w:sz w:val="24"/>
          <w:highlight w:val="none"/>
        </w:rPr>
      </w:pPr>
    </w:p>
    <w:p>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olor w:val="000000" w:themeColor="text1"/>
          <w:sz w:val="24"/>
          <w:highlight w:val="none"/>
        </w:rPr>
      </w:pPr>
      <w:r>
        <w:rPr>
          <w:rFonts w:hint="eastAsia" w:ascii="宋体" w:hAnsi="宋体"/>
          <w:color w:val="000000" w:themeColor="text1"/>
          <w:sz w:val="24"/>
          <w:highlight w:val="none"/>
        </w:rPr>
        <w:t xml:space="preserve">日期： </w:t>
      </w:r>
    </w:p>
    <w:p>
      <w:pPr>
        <w:rPr>
          <w:rFonts w:hint="eastAsia" w:ascii="宋体" w:hAnsi="宋体"/>
          <w:color w:val="000000" w:themeColor="text1"/>
          <w:sz w:val="24"/>
          <w:highlight w:val="none"/>
        </w:rPr>
      </w:pPr>
      <w:r>
        <w:rPr>
          <w:rFonts w:hint="eastAsia" w:ascii="宋体" w:hAnsi="宋体"/>
          <w:color w:val="000000" w:themeColor="text1"/>
          <w:sz w:val="24"/>
          <w:highlight w:val="none"/>
        </w:rPr>
        <w:br w:type="page"/>
      </w:r>
    </w:p>
    <w:p>
      <w:pPr>
        <w:adjustRightInd w:val="0"/>
        <w:snapToGrid w:val="0"/>
        <w:spacing w:line="360" w:lineRule="auto"/>
        <w:rPr>
          <w:rFonts w:ascii="宋体" w:hAnsi="宋体" w:cs="仿宋"/>
          <w:color w:val="000000" w:themeColor="text1"/>
          <w:sz w:val="24"/>
          <w:highlight w:val="none"/>
        </w:rPr>
      </w:pPr>
    </w:p>
    <w:p>
      <w:pPr>
        <w:spacing w:line="360" w:lineRule="auto"/>
        <w:rPr>
          <w:rFonts w:ascii="宋体" w:hAnsi="宋体"/>
          <w:b/>
          <w:color w:val="000000" w:themeColor="text1"/>
          <w:sz w:val="24"/>
          <w:highlight w:val="none"/>
        </w:rPr>
      </w:pPr>
      <w:r>
        <w:rPr>
          <w:rFonts w:hint="eastAsia" w:ascii="宋体" w:hAnsi="宋体"/>
          <w:b/>
          <w:color w:val="000000" w:themeColor="text1"/>
          <w:sz w:val="24"/>
          <w:highlight w:val="none"/>
        </w:rPr>
        <w:t>质疑函制作说明：</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5.质疑函的质疑请求应与质疑事项相关。</w:t>
      </w:r>
    </w:p>
    <w:p>
      <w:pPr>
        <w:widowControl/>
        <w:spacing w:line="360" w:lineRule="auto"/>
        <w:ind w:firstLine="420" w:firstLineChars="200"/>
        <w:jc w:val="left"/>
        <w:rPr>
          <w:rFonts w:ascii="宋体" w:hAnsi="宋体"/>
          <w:color w:val="000000" w:themeColor="text1"/>
          <w:szCs w:val="21"/>
          <w:highlight w:val="none"/>
        </w:rPr>
      </w:pPr>
      <w:r>
        <w:rPr>
          <w:rFonts w:hint="eastAsia" w:ascii="宋体" w:hAnsi="宋体"/>
          <w:color w:val="000000" w:themeColor="text1"/>
          <w:szCs w:val="21"/>
          <w:highlight w:val="none"/>
        </w:rPr>
        <w:t>6.质疑供应商为自然人的，质疑函应由本人签字；质疑供应商为法人或者其他组织的，</w:t>
      </w:r>
      <w:r>
        <w:rPr>
          <w:rFonts w:ascii="宋体" w:hAnsi="宋体" w:cs="宋体"/>
          <w:color w:val="000000" w:themeColor="text1"/>
          <w:kern w:val="0"/>
          <w:szCs w:val="21"/>
          <w:highlight w:val="none"/>
        </w:rPr>
        <w:t>质疑函应当</w:t>
      </w:r>
      <w:r>
        <w:rPr>
          <w:rFonts w:hint="eastAsia" w:ascii="宋体" w:hAnsi="宋体" w:cs="宋体"/>
          <w:color w:val="000000" w:themeColor="text1"/>
          <w:kern w:val="0"/>
          <w:szCs w:val="21"/>
          <w:highlight w:val="none"/>
        </w:rPr>
        <w:t>由</w:t>
      </w:r>
      <w:r>
        <w:rPr>
          <w:rFonts w:ascii="宋体" w:hAnsi="宋体" w:cs="宋体"/>
          <w:color w:val="000000" w:themeColor="text1"/>
          <w:kern w:val="0"/>
          <w:szCs w:val="21"/>
          <w:highlight w:val="none"/>
        </w:rPr>
        <w:t>质疑</w:t>
      </w:r>
      <w:r>
        <w:rPr>
          <w:rFonts w:hint="eastAsia" w:ascii="宋体" w:hAnsi="宋体" w:cs="宋体"/>
          <w:color w:val="000000" w:themeColor="text1"/>
          <w:kern w:val="0"/>
          <w:szCs w:val="21"/>
          <w:highlight w:val="none"/>
        </w:rPr>
        <w:t>投标人的</w:t>
      </w:r>
      <w:r>
        <w:rPr>
          <w:rFonts w:ascii="宋体" w:hAnsi="宋体" w:cs="宋体"/>
          <w:color w:val="000000" w:themeColor="text1"/>
          <w:kern w:val="0"/>
          <w:szCs w:val="21"/>
          <w:highlight w:val="none"/>
        </w:rPr>
        <w:t>法定代表人（负责人）或主要负责人签字并加盖</w:t>
      </w:r>
      <w:r>
        <w:rPr>
          <w:rFonts w:hint="eastAsia" w:ascii="宋体" w:hAnsi="宋体" w:cs="宋体"/>
          <w:color w:val="000000" w:themeColor="text1"/>
          <w:kern w:val="0"/>
          <w:szCs w:val="21"/>
          <w:highlight w:val="none"/>
        </w:rPr>
        <w:t>单位</w:t>
      </w:r>
      <w:r>
        <w:rPr>
          <w:rFonts w:ascii="宋体" w:hAnsi="宋体" w:cs="宋体"/>
          <w:color w:val="000000" w:themeColor="text1"/>
          <w:kern w:val="0"/>
          <w:szCs w:val="21"/>
          <w:highlight w:val="none"/>
        </w:rPr>
        <w:t>公章</w:t>
      </w:r>
      <w:r>
        <w:rPr>
          <w:rFonts w:hint="eastAsia" w:ascii="宋体" w:hAnsi="宋体" w:cs="宋体"/>
          <w:color w:val="000000" w:themeColor="text1"/>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rPr>
        <w:t>采购人或</w:t>
      </w:r>
      <w:r>
        <w:rPr>
          <w:rFonts w:hint="eastAsia" w:ascii="宋体" w:hAnsi="宋体" w:cs="宋体"/>
          <w:color w:val="000000" w:themeColor="text1"/>
          <w:kern w:val="0"/>
          <w:szCs w:val="21"/>
          <w:highlight w:val="none"/>
        </w:rPr>
        <w:t>代理采购机构可不予作答。</w:t>
      </w:r>
    </w:p>
    <w:p>
      <w:pPr>
        <w:widowControl/>
        <w:snapToGrid w:val="0"/>
        <w:spacing w:line="360" w:lineRule="auto"/>
        <w:ind w:right="960"/>
        <w:rPr>
          <w:rFonts w:ascii="宋体" w:hAnsi="宋体"/>
          <w:color w:val="000000" w:themeColor="text1"/>
          <w:sz w:val="24"/>
          <w:highlight w:val="none"/>
        </w:rPr>
      </w:pPr>
    </w:p>
    <w:bookmarkEnd w:id="2109"/>
    <w:p>
      <w:pPr>
        <w:spacing w:line="360" w:lineRule="auto"/>
        <w:jc w:val="left"/>
        <w:rPr>
          <w:rFonts w:ascii="仿宋_GB2312" w:hAnsi="仿宋" w:eastAsia="仿宋_GB2312"/>
          <w:color w:val="000000" w:themeColor="text1"/>
          <w:sz w:val="24"/>
          <w:highlight w:val="none"/>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0"/>
      </w:rPr>
    </w:pPr>
    <w:r>
      <w:fldChar w:fldCharType="begin"/>
    </w:r>
    <w:r>
      <w:rPr>
        <w:rStyle w:val="50"/>
      </w:rPr>
      <w:instrText xml:space="preserve">PAGE  </w:instrText>
    </w:r>
    <w:r>
      <w:fldChar w:fldCharType="end"/>
    </w:r>
  </w:p>
  <w:p>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37</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39316B08"/>
    <w:multiLevelType w:val="singleLevel"/>
    <w:tmpl w:val="39316B08"/>
    <w:lvl w:ilvl="0" w:tentative="0">
      <w:start w:val="3"/>
      <w:numFmt w:val="decimal"/>
      <w:suff w:val="nothing"/>
      <w:lvlText w:val="（%1）"/>
      <w:lvlJc w:val="left"/>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30"/>
  </w:num>
  <w:num w:numId="25">
    <w:abstractNumId w:val="0"/>
  </w:num>
  <w:num w:numId="26">
    <w:abstractNumId w:val="14"/>
  </w:num>
  <w:num w:numId="27">
    <w:abstractNumId w:val="19"/>
  </w:num>
  <w:num w:numId="28">
    <w:abstractNumId w:val="20"/>
  </w:num>
  <w:num w:numId="29">
    <w:abstractNumId w:val="3"/>
  </w:num>
  <w:num w:numId="30">
    <w:abstractNumId w:val="8"/>
  </w:num>
  <w:num w:numId="31">
    <w:abstractNumId w:val="21"/>
    <w:lvlOverride w:ilvl="0">
      <w:startOverride w:val="1"/>
    </w:lvlOverride>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35"/>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4428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2513AD3"/>
    <w:rsid w:val="055D5421"/>
    <w:rsid w:val="05A14F91"/>
    <w:rsid w:val="08C47915"/>
    <w:rsid w:val="097F381D"/>
    <w:rsid w:val="09B039F5"/>
    <w:rsid w:val="0B7F1E78"/>
    <w:rsid w:val="0B833A2A"/>
    <w:rsid w:val="0B88797C"/>
    <w:rsid w:val="0C792279"/>
    <w:rsid w:val="0E2E5AB0"/>
    <w:rsid w:val="0E30321A"/>
    <w:rsid w:val="0EB82544"/>
    <w:rsid w:val="0ECE669B"/>
    <w:rsid w:val="0EFD592E"/>
    <w:rsid w:val="0FEF50EF"/>
    <w:rsid w:val="102C2A8E"/>
    <w:rsid w:val="112F78F5"/>
    <w:rsid w:val="12C624DB"/>
    <w:rsid w:val="12ED7A68"/>
    <w:rsid w:val="13143247"/>
    <w:rsid w:val="13403777"/>
    <w:rsid w:val="13A4001D"/>
    <w:rsid w:val="13ED10E4"/>
    <w:rsid w:val="141860EE"/>
    <w:rsid w:val="14750D5A"/>
    <w:rsid w:val="14E0507D"/>
    <w:rsid w:val="14FE41AE"/>
    <w:rsid w:val="15E25A94"/>
    <w:rsid w:val="167F7E34"/>
    <w:rsid w:val="175E693E"/>
    <w:rsid w:val="19DD6175"/>
    <w:rsid w:val="1A230556"/>
    <w:rsid w:val="1A807CF4"/>
    <w:rsid w:val="1AB53186"/>
    <w:rsid w:val="1C991E61"/>
    <w:rsid w:val="1F394761"/>
    <w:rsid w:val="204F7E4F"/>
    <w:rsid w:val="20A645AE"/>
    <w:rsid w:val="210A7A37"/>
    <w:rsid w:val="21CF5CF2"/>
    <w:rsid w:val="21F0084A"/>
    <w:rsid w:val="22427039"/>
    <w:rsid w:val="22AB7731"/>
    <w:rsid w:val="25E24D5B"/>
    <w:rsid w:val="26651A76"/>
    <w:rsid w:val="27F96020"/>
    <w:rsid w:val="28F462CE"/>
    <w:rsid w:val="297205D1"/>
    <w:rsid w:val="299564DF"/>
    <w:rsid w:val="2A515672"/>
    <w:rsid w:val="2BC16D67"/>
    <w:rsid w:val="2D8A2980"/>
    <w:rsid w:val="2F0710CD"/>
    <w:rsid w:val="30F36D0F"/>
    <w:rsid w:val="31AA504A"/>
    <w:rsid w:val="31E35DCC"/>
    <w:rsid w:val="342C193B"/>
    <w:rsid w:val="35262FD6"/>
    <w:rsid w:val="36017065"/>
    <w:rsid w:val="36252616"/>
    <w:rsid w:val="38593838"/>
    <w:rsid w:val="3A8D5704"/>
    <w:rsid w:val="3AEF1D20"/>
    <w:rsid w:val="3AEF3ACE"/>
    <w:rsid w:val="3C6A57EA"/>
    <w:rsid w:val="408B6047"/>
    <w:rsid w:val="41B810BD"/>
    <w:rsid w:val="428B0580"/>
    <w:rsid w:val="43363952"/>
    <w:rsid w:val="45610B8F"/>
    <w:rsid w:val="45916A90"/>
    <w:rsid w:val="45F0646A"/>
    <w:rsid w:val="479B6D8E"/>
    <w:rsid w:val="47B03BA9"/>
    <w:rsid w:val="48DC7D87"/>
    <w:rsid w:val="495D18F5"/>
    <w:rsid w:val="4BE10A3F"/>
    <w:rsid w:val="4C643B5B"/>
    <w:rsid w:val="4D5B4FF3"/>
    <w:rsid w:val="4DCD6F24"/>
    <w:rsid w:val="4E04493F"/>
    <w:rsid w:val="4EDF13AF"/>
    <w:rsid w:val="4F390596"/>
    <w:rsid w:val="510E2E01"/>
    <w:rsid w:val="511968B3"/>
    <w:rsid w:val="51D66CF6"/>
    <w:rsid w:val="528024FB"/>
    <w:rsid w:val="53892DB3"/>
    <w:rsid w:val="538C4158"/>
    <w:rsid w:val="5497438F"/>
    <w:rsid w:val="5573641E"/>
    <w:rsid w:val="557B5FFA"/>
    <w:rsid w:val="55A376D3"/>
    <w:rsid w:val="57347E0A"/>
    <w:rsid w:val="576E0066"/>
    <w:rsid w:val="58674488"/>
    <w:rsid w:val="59D5292E"/>
    <w:rsid w:val="5A6C09D0"/>
    <w:rsid w:val="5B062A42"/>
    <w:rsid w:val="5F731F95"/>
    <w:rsid w:val="5F7BDEC3"/>
    <w:rsid w:val="5FF92B75"/>
    <w:rsid w:val="60760A2E"/>
    <w:rsid w:val="60C06C3D"/>
    <w:rsid w:val="61C3343B"/>
    <w:rsid w:val="61C72F2D"/>
    <w:rsid w:val="627D74CD"/>
    <w:rsid w:val="628917B8"/>
    <w:rsid w:val="64D21405"/>
    <w:rsid w:val="65095AD5"/>
    <w:rsid w:val="65841133"/>
    <w:rsid w:val="65C56BAC"/>
    <w:rsid w:val="66250BF8"/>
    <w:rsid w:val="67786A75"/>
    <w:rsid w:val="689E02D8"/>
    <w:rsid w:val="68C36416"/>
    <w:rsid w:val="69FF7BB4"/>
    <w:rsid w:val="6A54159E"/>
    <w:rsid w:val="6A8B3BD0"/>
    <w:rsid w:val="6ADC0CC5"/>
    <w:rsid w:val="6C5E0930"/>
    <w:rsid w:val="6C9402E1"/>
    <w:rsid w:val="6FDE1526"/>
    <w:rsid w:val="75051529"/>
    <w:rsid w:val="756274F0"/>
    <w:rsid w:val="757D653D"/>
    <w:rsid w:val="75986327"/>
    <w:rsid w:val="765C05C3"/>
    <w:rsid w:val="775A4E93"/>
    <w:rsid w:val="79D83DD5"/>
    <w:rsid w:val="7AA80E99"/>
    <w:rsid w:val="7B4524BD"/>
    <w:rsid w:val="7BD74E83"/>
    <w:rsid w:val="7D0F1E92"/>
    <w:rsid w:val="7DA85B40"/>
    <w:rsid w:val="7DF917AF"/>
    <w:rsid w:val="7E1507D5"/>
    <w:rsid w:val="FBEFAE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2"/>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9"/>
    <w:autoRedefine/>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3"/>
    <w:autoRedefine/>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6"/>
    <w:autoRedefine/>
    <w:qFormat/>
    <w:uiPriority w:val="0"/>
    <w:pPr>
      <w:keepNext/>
      <w:keepLines/>
      <w:spacing w:before="280" w:after="290" w:line="376" w:lineRule="auto"/>
      <w:outlineLvl w:val="4"/>
    </w:pPr>
    <w:rPr>
      <w:b/>
      <w:sz w:val="28"/>
      <w:szCs w:val="20"/>
    </w:rPr>
  </w:style>
  <w:style w:type="paragraph" w:styleId="9">
    <w:name w:val="heading 6"/>
    <w:basedOn w:val="1"/>
    <w:next w:val="5"/>
    <w:link w:val="91"/>
    <w:autoRedefine/>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1"/>
    <w:autoRedefine/>
    <w:qFormat/>
    <w:uiPriority w:val="0"/>
    <w:pPr>
      <w:keepNext/>
      <w:keepLines/>
      <w:spacing w:before="240" w:after="64" w:line="320" w:lineRule="auto"/>
      <w:outlineLvl w:val="6"/>
    </w:pPr>
    <w:rPr>
      <w:b/>
      <w:sz w:val="24"/>
      <w:szCs w:val="20"/>
    </w:rPr>
  </w:style>
  <w:style w:type="paragraph" w:styleId="11">
    <w:name w:val="heading 8"/>
    <w:basedOn w:val="1"/>
    <w:next w:val="5"/>
    <w:link w:val="98"/>
    <w:autoRedefine/>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90"/>
    <w:autoRedefine/>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autoRedefine/>
    <w:semiHidden/>
    <w:unhideWhenUsed/>
    <w:qFormat/>
    <w:uiPriority w:val="1"/>
  </w:style>
  <w:style w:type="table" w:default="1" w:styleId="47">
    <w:name w:val="Normal Table"/>
    <w:autoRedefine/>
    <w:semiHidden/>
    <w:unhideWhenUsed/>
    <w:qFormat/>
    <w:uiPriority w:val="99"/>
    <w:tblPr>
      <w:tblCellMar>
        <w:top w:w="0" w:type="dxa"/>
        <w:left w:w="108" w:type="dxa"/>
        <w:bottom w:w="0" w:type="dxa"/>
        <w:right w:w="108" w:type="dxa"/>
      </w:tblCellMar>
    </w:tblPr>
  </w:style>
  <w:style w:type="paragraph" w:styleId="2">
    <w:name w:val="Body Text 2"/>
    <w:basedOn w:val="1"/>
    <w:link w:val="101"/>
    <w:autoRedefine/>
    <w:qFormat/>
    <w:uiPriority w:val="0"/>
    <w:pPr>
      <w:spacing w:line="360" w:lineRule="auto"/>
    </w:pPr>
    <w:rPr>
      <w:rFonts w:ascii="仿宋_GB2312" w:eastAsia="仿宋_GB2312"/>
      <w:sz w:val="32"/>
    </w:rPr>
  </w:style>
  <w:style w:type="paragraph" w:styleId="5">
    <w:name w:val="Normal Indent"/>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autoRedefine/>
    <w:qFormat/>
    <w:uiPriority w:val="0"/>
    <w:pPr>
      <w:ind w:left="1200" w:leftChars="1200"/>
    </w:pPr>
    <w:rPr>
      <w:rFonts w:ascii="Calibri" w:hAnsi="Calibri"/>
      <w:szCs w:val="22"/>
    </w:rPr>
  </w:style>
  <w:style w:type="paragraph" w:styleId="14">
    <w:name w:val="caption"/>
    <w:basedOn w:val="1"/>
    <w:next w:val="1"/>
    <w:autoRedefine/>
    <w:qFormat/>
    <w:uiPriority w:val="0"/>
    <w:pPr>
      <w:spacing w:line="360" w:lineRule="auto"/>
    </w:pPr>
    <w:rPr>
      <w:rFonts w:ascii="Arial" w:hAnsi="Arial" w:eastAsia="黑体" w:cs="Arial"/>
      <w:sz w:val="20"/>
      <w:szCs w:val="20"/>
    </w:rPr>
  </w:style>
  <w:style w:type="paragraph" w:styleId="15">
    <w:name w:val="List Bullet"/>
    <w:basedOn w:val="1"/>
    <w:autoRedefine/>
    <w:qFormat/>
    <w:uiPriority w:val="0"/>
    <w:pPr>
      <w:tabs>
        <w:tab w:val="left" w:pos="360"/>
        <w:tab w:val="left" w:pos="1320"/>
      </w:tabs>
      <w:spacing w:line="360" w:lineRule="auto"/>
      <w:ind w:left="1320" w:hanging="420"/>
    </w:pPr>
    <w:rPr>
      <w:sz w:val="24"/>
    </w:rPr>
  </w:style>
  <w:style w:type="paragraph" w:styleId="16">
    <w:name w:val="Document Map"/>
    <w:basedOn w:val="1"/>
    <w:autoRedefine/>
    <w:qFormat/>
    <w:uiPriority w:val="0"/>
    <w:pPr>
      <w:shd w:val="clear" w:color="auto" w:fill="000080"/>
    </w:pPr>
  </w:style>
  <w:style w:type="paragraph" w:styleId="17">
    <w:name w:val="annotation text"/>
    <w:basedOn w:val="1"/>
    <w:link w:val="131"/>
    <w:autoRedefine/>
    <w:qFormat/>
    <w:uiPriority w:val="0"/>
    <w:pPr>
      <w:spacing w:line="360" w:lineRule="auto"/>
      <w:jc w:val="left"/>
    </w:pPr>
    <w:rPr>
      <w:sz w:val="24"/>
    </w:rPr>
  </w:style>
  <w:style w:type="paragraph" w:styleId="18">
    <w:name w:val="Body Text 3"/>
    <w:basedOn w:val="1"/>
    <w:link w:val="307"/>
    <w:autoRedefine/>
    <w:qFormat/>
    <w:uiPriority w:val="0"/>
    <w:pPr>
      <w:widowControl/>
      <w:spacing w:after="120"/>
      <w:jc w:val="left"/>
    </w:pPr>
    <w:rPr>
      <w:kern w:val="0"/>
      <w:sz w:val="16"/>
      <w:szCs w:val="16"/>
    </w:rPr>
  </w:style>
  <w:style w:type="paragraph" w:styleId="19">
    <w:name w:val="Body Text"/>
    <w:basedOn w:val="1"/>
    <w:next w:val="20"/>
    <w:link w:val="76"/>
    <w:autoRedefine/>
    <w:qFormat/>
    <w:uiPriority w:val="0"/>
    <w:pPr>
      <w:spacing w:after="120"/>
    </w:pPr>
  </w:style>
  <w:style w:type="paragraph" w:styleId="20">
    <w:name w:val="Title"/>
    <w:basedOn w:val="1"/>
    <w:next w:val="1"/>
    <w:link w:val="125"/>
    <w:autoRedefine/>
    <w:qFormat/>
    <w:uiPriority w:val="0"/>
    <w:pPr>
      <w:spacing w:before="240" w:after="60"/>
      <w:jc w:val="center"/>
      <w:outlineLvl w:val="0"/>
    </w:pPr>
    <w:rPr>
      <w:rFonts w:ascii="Cambria" w:hAnsi="Cambria"/>
      <w:b/>
      <w:bCs/>
      <w:sz w:val="32"/>
      <w:szCs w:val="32"/>
    </w:rPr>
  </w:style>
  <w:style w:type="paragraph" w:styleId="21">
    <w:name w:val="Body Text Indent"/>
    <w:basedOn w:val="1"/>
    <w:link w:val="123"/>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2">
    <w:name w:val="List Bullet 2"/>
    <w:basedOn w:val="1"/>
    <w:autoRedefine/>
    <w:qFormat/>
    <w:uiPriority w:val="0"/>
    <w:pPr>
      <w:numPr>
        <w:ilvl w:val="0"/>
        <w:numId w:val="2"/>
      </w:numPr>
    </w:pPr>
  </w:style>
  <w:style w:type="paragraph" w:styleId="23">
    <w:name w:val="HTML Address"/>
    <w:basedOn w:val="1"/>
    <w:link w:val="129"/>
    <w:autoRedefine/>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4"/>
    <w:autoRedefine/>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3"/>
    <w:autoRedefine/>
    <w:qFormat/>
    <w:uiPriority w:val="0"/>
    <w:pPr>
      <w:numPr>
        <w:ilvl w:val="0"/>
        <w:numId w:val="4"/>
      </w:numPr>
      <w:ind w:left="100" w:leftChars="2500"/>
    </w:pPr>
  </w:style>
  <w:style w:type="paragraph" w:styleId="29">
    <w:name w:val="Body Text Indent 2"/>
    <w:basedOn w:val="1"/>
    <w:link w:val="71"/>
    <w:autoRedefine/>
    <w:qFormat/>
    <w:uiPriority w:val="0"/>
    <w:pPr>
      <w:spacing w:line="480" w:lineRule="exact"/>
      <w:ind w:left="810" w:firstLine="675"/>
    </w:pPr>
    <w:rPr>
      <w:rFonts w:eastAsia="仿宋_GB2312"/>
      <w:sz w:val="30"/>
      <w:szCs w:val="20"/>
    </w:rPr>
  </w:style>
  <w:style w:type="paragraph" w:styleId="30">
    <w:name w:val="Balloon Text"/>
    <w:basedOn w:val="1"/>
    <w:link w:val="86"/>
    <w:autoRedefine/>
    <w:qFormat/>
    <w:uiPriority w:val="0"/>
    <w:rPr>
      <w:sz w:val="18"/>
      <w:szCs w:val="18"/>
    </w:rPr>
  </w:style>
  <w:style w:type="paragraph" w:styleId="31">
    <w:name w:val="footer"/>
    <w:basedOn w:val="1"/>
    <w:link w:val="132"/>
    <w:autoRedefine/>
    <w:qFormat/>
    <w:uiPriority w:val="0"/>
    <w:pPr>
      <w:tabs>
        <w:tab w:val="center" w:pos="4153"/>
        <w:tab w:val="right" w:pos="8306"/>
      </w:tabs>
      <w:snapToGrid w:val="0"/>
      <w:jc w:val="left"/>
    </w:pPr>
    <w:rPr>
      <w:sz w:val="18"/>
      <w:szCs w:val="20"/>
    </w:rPr>
  </w:style>
  <w:style w:type="paragraph" w:styleId="32">
    <w:name w:val="header"/>
    <w:basedOn w:val="1"/>
    <w:link w:val="124"/>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pPr>
      <w:tabs>
        <w:tab w:val="right" w:leader="dot" w:pos="8949"/>
      </w:tabs>
      <w:spacing w:before="120" w:after="120"/>
      <w:jc w:val="left"/>
    </w:pPr>
    <w:rPr>
      <w:b/>
      <w:bCs/>
      <w:caps/>
      <w:szCs w:val="21"/>
    </w:rPr>
  </w:style>
  <w:style w:type="paragraph" w:styleId="34">
    <w:name w:val="toc 4"/>
    <w:basedOn w:val="1"/>
    <w:next w:val="1"/>
    <w:autoRedefine/>
    <w:qFormat/>
    <w:uiPriority w:val="0"/>
    <w:pPr>
      <w:ind w:left="600" w:leftChars="600"/>
    </w:pPr>
    <w:rPr>
      <w:rFonts w:ascii="Calibri" w:hAnsi="Calibri"/>
      <w:szCs w:val="22"/>
    </w:rPr>
  </w:style>
  <w:style w:type="paragraph" w:styleId="35">
    <w:name w:val="index heading"/>
    <w:basedOn w:val="1"/>
    <w:next w:val="36"/>
    <w:autoRedefine/>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autoRedefine/>
    <w:qFormat/>
    <w:uiPriority w:val="0"/>
    <w:pPr>
      <w:ind w:left="1000" w:leftChars="1000"/>
    </w:pPr>
    <w:rPr>
      <w:rFonts w:ascii="Calibri" w:hAnsi="Calibri"/>
      <w:szCs w:val="22"/>
    </w:rPr>
  </w:style>
  <w:style w:type="paragraph" w:styleId="39">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autoRedefine/>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autoRedefine/>
    <w:qFormat/>
    <w:uiPriority w:val="0"/>
    <w:pPr>
      <w:ind w:left="1600" w:leftChars="1600"/>
    </w:pPr>
    <w:rPr>
      <w:rFonts w:ascii="Calibri" w:hAnsi="Calibri"/>
      <w:szCs w:val="22"/>
    </w:rPr>
  </w:style>
  <w:style w:type="paragraph" w:styleId="42">
    <w:name w:val="HTML Preformatted"/>
    <w:basedOn w:val="1"/>
    <w:link w:val="13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3">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4">
    <w:name w:val="index 2"/>
    <w:basedOn w:val="1"/>
    <w:next w:val="1"/>
    <w:autoRedefine/>
    <w:qFormat/>
    <w:uiPriority w:val="0"/>
    <w:pPr>
      <w:ind w:left="420" w:hanging="210"/>
      <w:jc w:val="left"/>
    </w:pPr>
    <w:rPr>
      <w:sz w:val="20"/>
      <w:szCs w:val="20"/>
    </w:rPr>
  </w:style>
  <w:style w:type="paragraph" w:styleId="45">
    <w:name w:val="Body Text First Indent"/>
    <w:basedOn w:val="19"/>
    <w:link w:val="133"/>
    <w:qFormat/>
    <w:uiPriority w:val="0"/>
    <w:pPr>
      <w:ind w:firstLine="100" w:firstLineChars="100"/>
    </w:pPr>
    <w:rPr>
      <w:rFonts w:ascii="Calibri" w:hAnsi="Calibri"/>
      <w:szCs w:val="22"/>
    </w:rPr>
  </w:style>
  <w:style w:type="paragraph" w:styleId="46">
    <w:name w:val="Body Text First Indent 2"/>
    <w:basedOn w:val="21"/>
    <w:link w:val="60"/>
    <w:autoRedefine/>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autoRedefine/>
    <w:qFormat/>
    <w:uiPriority w:val="22"/>
    <w:rPr>
      <w:b/>
      <w:bCs/>
    </w:rPr>
  </w:style>
  <w:style w:type="character" w:styleId="50">
    <w:name w:val="page number"/>
    <w:basedOn w:val="48"/>
    <w:qFormat/>
    <w:uiPriority w:val="0"/>
  </w:style>
  <w:style w:type="character" w:styleId="51">
    <w:name w:val="Emphasis"/>
    <w:autoRedefine/>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6"/>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8"/>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6"/>
    <w:link w:val="68"/>
    <w:qFormat/>
    <w:uiPriority w:val="0"/>
  </w:style>
  <w:style w:type="character" w:customStyle="1" w:styleId="70">
    <w:name w:val="style71"/>
    <w:qFormat/>
    <w:uiPriority w:val="0"/>
    <w:rPr>
      <w:sz w:val="21"/>
      <w:szCs w:val="21"/>
    </w:rPr>
  </w:style>
  <w:style w:type="character" w:customStyle="1" w:styleId="71">
    <w:name w:val="正文文本缩进 2 Char"/>
    <w:link w:val="29"/>
    <w:autoRedefine/>
    <w:qFormat/>
    <w:uiPriority w:val="0"/>
    <w:rPr>
      <w:rFonts w:eastAsia="仿宋_GB2312"/>
      <w:kern w:val="2"/>
      <w:sz w:val="30"/>
      <w:lang w:val="en-US" w:eastAsia="zh-CN" w:bidi="ar-SA"/>
    </w:rPr>
  </w:style>
  <w:style w:type="character" w:customStyle="1" w:styleId="72">
    <w:name w:val="正文文本缩进 3 Char"/>
    <w:link w:val="39"/>
    <w:qFormat/>
    <w:uiPriority w:val="0"/>
    <w:rPr>
      <w:rFonts w:ascii="宋体" w:hAnsi="宋体" w:eastAsia="宋体"/>
      <w:kern w:val="2"/>
      <w:sz w:val="21"/>
      <w:szCs w:val="24"/>
      <w:lang w:val="en-US" w:eastAsia="zh-CN" w:bidi="ar-SA"/>
    </w:rPr>
  </w:style>
  <w:style w:type="character" w:customStyle="1" w:styleId="73">
    <w:name w:val="ca-9"/>
    <w:basedOn w:val="48"/>
    <w:autoRedefine/>
    <w:qFormat/>
    <w:uiPriority w:val="0"/>
  </w:style>
  <w:style w:type="character" w:customStyle="1" w:styleId="74">
    <w:name w:val="纯文本 Char"/>
    <w:link w:val="26"/>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9"/>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30"/>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autoRedefine/>
    <w:qFormat/>
    <w:uiPriority w:val="0"/>
  </w:style>
  <w:style w:type="character" w:customStyle="1" w:styleId="89">
    <w:name w:val="不明显参考1"/>
    <w:qFormat/>
    <w:uiPriority w:val="0"/>
    <w:rPr>
      <w:smallCaps/>
      <w:color w:val="C0504D"/>
      <w:u w:val="single"/>
    </w:rPr>
  </w:style>
  <w:style w:type="character" w:customStyle="1" w:styleId="90">
    <w:name w:val="标题 9 Char"/>
    <w:link w:val="12"/>
    <w:qFormat/>
    <w:uiPriority w:val="0"/>
    <w:rPr>
      <w:rFonts w:ascii="Arial" w:hAnsi="Arial" w:eastAsia="黑体"/>
      <w:kern w:val="2"/>
      <w:sz w:val="21"/>
      <w:lang w:val="en-US" w:eastAsia="zh-CN" w:bidi="ar-SA"/>
    </w:rPr>
  </w:style>
  <w:style w:type="character" w:customStyle="1" w:styleId="91">
    <w:name w:val="标题 6 Char"/>
    <w:link w:val="9"/>
    <w:qFormat/>
    <w:uiPriority w:val="0"/>
    <w:rPr>
      <w:rFonts w:ascii="Arial" w:hAnsi="Arial" w:eastAsia="黑体"/>
      <w:b/>
      <w:kern w:val="2"/>
      <w:sz w:val="24"/>
      <w:lang w:val="en-US" w:eastAsia="zh-CN" w:bidi="ar-SA"/>
    </w:rPr>
  </w:style>
  <w:style w:type="character" w:customStyle="1" w:styleId="92">
    <w:name w:val="ca-10"/>
    <w:basedOn w:val="48"/>
    <w:autoRedefine/>
    <w:qFormat/>
    <w:uiPriority w:val="0"/>
  </w:style>
  <w:style w:type="character" w:customStyle="1" w:styleId="93">
    <w:name w:val="标题 4 Char"/>
    <w:link w:val="7"/>
    <w:qFormat/>
    <w:uiPriority w:val="0"/>
    <w:rPr>
      <w:rFonts w:ascii="Arial" w:hAnsi="Arial" w:eastAsia="黑体"/>
      <w:b/>
      <w:kern w:val="2"/>
      <w:sz w:val="28"/>
      <w:lang w:val="en-US" w:eastAsia="zh-CN" w:bidi="ar-SA"/>
    </w:rPr>
  </w:style>
  <w:style w:type="character" w:customStyle="1" w:styleId="94">
    <w:name w:val="批注文字 Char Char"/>
    <w:autoRedefine/>
    <w:qFormat/>
    <w:uiPriority w:val="0"/>
    <w:rPr>
      <w:kern w:val="2"/>
      <w:sz w:val="21"/>
      <w:lang w:bidi="ar-SA"/>
    </w:rPr>
  </w:style>
  <w:style w:type="character" w:customStyle="1" w:styleId="95">
    <w:name w:val="style18"/>
    <w:autoRedefine/>
    <w:qFormat/>
    <w:uiPriority w:val="0"/>
  </w:style>
  <w:style w:type="character" w:customStyle="1" w:styleId="96">
    <w:name w:val="font21"/>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1"/>
    <w:autoRedefine/>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2"/>
    <w:qFormat/>
    <w:uiPriority w:val="0"/>
    <w:rPr>
      <w:rFonts w:ascii="仿宋_GB2312" w:eastAsia="仿宋_GB2312"/>
      <w:kern w:val="2"/>
      <w:sz w:val="32"/>
      <w:szCs w:val="24"/>
      <w:lang w:val="en-US" w:eastAsia="zh-CN" w:bidi="ar-SA"/>
    </w:rPr>
  </w:style>
  <w:style w:type="character" w:customStyle="1" w:styleId="102">
    <w:name w:val="标题 2 Char1"/>
    <w:link w:val="4"/>
    <w:autoRedefine/>
    <w:qFormat/>
    <w:uiPriority w:val="0"/>
    <w:rPr>
      <w:rFonts w:ascii="黑体" w:hAnsi="宋体" w:eastAsia="黑体"/>
      <w:bCs/>
      <w:kern w:val="44"/>
      <w:sz w:val="21"/>
      <w:szCs w:val="24"/>
    </w:rPr>
  </w:style>
  <w:style w:type="character" w:customStyle="1" w:styleId="103">
    <w:name w:val="lineitems1"/>
    <w:autoRedefine/>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autoRedefine/>
    <w:qFormat/>
    <w:uiPriority w:val="0"/>
    <w:rPr>
      <w:rFonts w:eastAsia="宋体"/>
      <w:b/>
      <w:bCs/>
      <w:kern w:val="2"/>
      <w:sz w:val="32"/>
      <w:szCs w:val="32"/>
      <w:lang w:val="en-US" w:eastAsia="zh-CN" w:bidi="ar-SA"/>
    </w:rPr>
  </w:style>
  <w:style w:type="character" w:customStyle="1" w:styleId="106">
    <w:name w:val="标题 5 Char"/>
    <w:link w:val="8"/>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autoRedefine/>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10"/>
    <w:autoRedefine/>
    <w:qFormat/>
    <w:uiPriority w:val="0"/>
    <w:rPr>
      <w:rFonts w:eastAsia="宋体"/>
      <w:b/>
      <w:kern w:val="2"/>
      <w:sz w:val="24"/>
      <w:lang w:val="en-US" w:eastAsia="zh-CN" w:bidi="ar-SA"/>
    </w:rPr>
  </w:style>
  <w:style w:type="character" w:customStyle="1" w:styleId="112">
    <w:name w:val="flname7"/>
    <w:basedOn w:val="48"/>
    <w:autoRedefine/>
    <w:qFormat/>
    <w:uiPriority w:val="0"/>
  </w:style>
  <w:style w:type="character" w:customStyle="1" w:styleId="113">
    <w:name w:val="正文缩进 Char"/>
    <w:link w:val="5"/>
    <w:autoRedefine/>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autoRedefine/>
    <w:qFormat/>
    <w:uiPriority w:val="0"/>
    <w:pPr>
      <w:spacing w:line="400" w:lineRule="exact"/>
      <w:ind w:left="482"/>
    </w:pPr>
    <w:rPr>
      <w:rFonts w:ascii="宋体" w:hAnsi="宋体" w:cs="Arial"/>
      <w:b/>
      <w:sz w:val="24"/>
    </w:rPr>
  </w:style>
  <w:style w:type="character" w:customStyle="1" w:styleId="116">
    <w:name w:val="text1"/>
    <w:autoRedefine/>
    <w:qFormat/>
    <w:uiPriority w:val="0"/>
    <w:rPr>
      <w:sz w:val="20"/>
      <w:szCs w:val="20"/>
    </w:rPr>
  </w:style>
  <w:style w:type="character" w:customStyle="1" w:styleId="117">
    <w:name w:val="样式2"/>
    <w:autoRedefine/>
    <w:qFormat/>
    <w:uiPriority w:val="0"/>
    <w:rPr>
      <w:rFonts w:eastAsia="华文楷体"/>
      <w:b/>
      <w:sz w:val="32"/>
    </w:rPr>
  </w:style>
  <w:style w:type="character" w:customStyle="1" w:styleId="118">
    <w:name w:val="页眉 Char Char"/>
    <w:autoRedefine/>
    <w:qFormat/>
    <w:uiPriority w:val="0"/>
    <w:rPr>
      <w:rFonts w:eastAsia="宋体"/>
      <w:sz w:val="18"/>
      <w:szCs w:val="18"/>
      <w:lang w:bidi="ar-SA"/>
    </w:rPr>
  </w:style>
  <w:style w:type="character" w:customStyle="1" w:styleId="119">
    <w:name w:val="标题 3 Char"/>
    <w:link w:val="6"/>
    <w:autoRedefine/>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21"/>
    <w:qFormat/>
    <w:uiPriority w:val="0"/>
    <w:rPr>
      <w:rFonts w:ascii="仿宋_GB2312" w:eastAsia="仿宋_GB2312"/>
      <w:sz w:val="28"/>
      <w:lang w:val="en-US" w:eastAsia="zh-CN" w:bidi="ar-SA"/>
    </w:rPr>
  </w:style>
  <w:style w:type="character" w:customStyle="1" w:styleId="124">
    <w:name w:val="页眉 Char"/>
    <w:link w:val="32"/>
    <w:qFormat/>
    <w:uiPriority w:val="99"/>
    <w:rPr>
      <w:rFonts w:eastAsia="宋体"/>
      <w:kern w:val="2"/>
      <w:sz w:val="18"/>
      <w:lang w:val="en-US" w:eastAsia="zh-CN" w:bidi="ar-SA"/>
    </w:rPr>
  </w:style>
  <w:style w:type="character" w:customStyle="1" w:styleId="125">
    <w:name w:val="标题 Char"/>
    <w:link w:val="20"/>
    <w:autoRedefine/>
    <w:qFormat/>
    <w:uiPriority w:val="0"/>
    <w:rPr>
      <w:rFonts w:ascii="Cambria" w:hAnsi="Cambria"/>
      <w:b/>
      <w:bCs/>
      <w:kern w:val="2"/>
      <w:sz w:val="32"/>
      <w:szCs w:val="32"/>
    </w:rPr>
  </w:style>
  <w:style w:type="character" w:customStyle="1" w:styleId="126">
    <w:name w:val="标题 8 Char Char"/>
    <w:autoRedefine/>
    <w:qFormat/>
    <w:uiPriority w:val="0"/>
    <w:rPr>
      <w:rFonts w:ascii="Arial" w:hAnsi="Arial" w:eastAsia="黑体"/>
      <w:kern w:val="2"/>
      <w:sz w:val="24"/>
      <w:szCs w:val="24"/>
      <w:lang w:val="en-US" w:eastAsia="zh-CN" w:bidi="ar-SA"/>
    </w:rPr>
  </w:style>
  <w:style w:type="character" w:customStyle="1" w:styleId="127">
    <w:name w:val="正文文本缩进 2 Char Char"/>
    <w:autoRedefine/>
    <w:qFormat/>
    <w:uiPriority w:val="0"/>
    <w:rPr>
      <w:rFonts w:eastAsia="仿宋_GB2312"/>
      <w:sz w:val="30"/>
      <w:lang w:bidi="ar-SA"/>
    </w:rPr>
  </w:style>
  <w:style w:type="character" w:customStyle="1" w:styleId="128">
    <w:name w:val="标题 7 Char Char"/>
    <w:autoRedefine/>
    <w:qFormat/>
    <w:uiPriority w:val="0"/>
    <w:rPr>
      <w:rFonts w:eastAsia="宋体"/>
      <w:b/>
      <w:bCs/>
      <w:kern w:val="2"/>
      <w:sz w:val="24"/>
      <w:szCs w:val="24"/>
      <w:lang w:val="en-US" w:eastAsia="zh-CN" w:bidi="ar-SA"/>
    </w:rPr>
  </w:style>
  <w:style w:type="character" w:customStyle="1" w:styleId="129">
    <w:name w:val="HTML 地址 Char"/>
    <w:link w:val="23"/>
    <w:autoRedefine/>
    <w:qFormat/>
    <w:uiPriority w:val="0"/>
    <w:rPr>
      <w:i/>
      <w:kern w:val="2"/>
      <w:sz w:val="21"/>
      <w:szCs w:val="24"/>
    </w:rPr>
  </w:style>
  <w:style w:type="character" w:customStyle="1" w:styleId="130">
    <w:name w:val="标题 1 Char"/>
    <w:link w:val="3"/>
    <w:autoRedefine/>
    <w:qFormat/>
    <w:uiPriority w:val="0"/>
    <w:rPr>
      <w:rFonts w:ascii="黑体" w:eastAsia="黑体"/>
      <w:bCs/>
      <w:kern w:val="44"/>
      <w:sz w:val="24"/>
      <w:szCs w:val="24"/>
    </w:rPr>
  </w:style>
  <w:style w:type="character" w:customStyle="1" w:styleId="131">
    <w:name w:val="批注文字 Char"/>
    <w:link w:val="17"/>
    <w:autoRedefine/>
    <w:qFormat/>
    <w:uiPriority w:val="0"/>
    <w:rPr>
      <w:kern w:val="2"/>
      <w:sz w:val="24"/>
      <w:szCs w:val="24"/>
    </w:rPr>
  </w:style>
  <w:style w:type="character" w:customStyle="1" w:styleId="132">
    <w:name w:val="页脚 Char"/>
    <w:link w:val="31"/>
    <w:autoRedefine/>
    <w:qFormat/>
    <w:uiPriority w:val="0"/>
    <w:rPr>
      <w:rFonts w:eastAsia="宋体"/>
      <w:kern w:val="2"/>
      <w:sz w:val="18"/>
      <w:lang w:val="en-US" w:eastAsia="zh-CN" w:bidi="ar-SA"/>
    </w:rPr>
  </w:style>
  <w:style w:type="character" w:customStyle="1" w:styleId="133">
    <w:name w:val="正文首行缩进 Char"/>
    <w:link w:val="45"/>
    <w:autoRedefine/>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2"/>
    <w:autoRedefine/>
    <w:qFormat/>
    <w:uiPriority w:val="0"/>
    <w:rPr>
      <w:rFonts w:ascii="黑体" w:hAnsi="Courier New" w:eastAsia="黑体" w:cs="Courier New"/>
      <w:kern w:val="2"/>
      <w:sz w:val="21"/>
      <w:szCs w:val="24"/>
      <w:lang w:val="en-US" w:eastAsia="zh-CN" w:bidi="ar-SA"/>
    </w:rPr>
  </w:style>
  <w:style w:type="character" w:customStyle="1" w:styleId="136">
    <w:name w:val="标题 6 Char Char"/>
    <w:autoRedefine/>
    <w:qFormat/>
    <w:uiPriority w:val="0"/>
    <w:rPr>
      <w:rFonts w:ascii="Arial" w:hAnsi="Arial" w:eastAsia="黑体"/>
      <w:b/>
      <w:bCs/>
      <w:kern w:val="2"/>
      <w:sz w:val="24"/>
      <w:szCs w:val="24"/>
      <w:lang w:val="en-US" w:eastAsia="zh-CN" w:bidi="ar-SA"/>
    </w:rPr>
  </w:style>
  <w:style w:type="character" w:customStyle="1" w:styleId="137">
    <w:name w:val="细目1 Char Char"/>
    <w:link w:val="138"/>
    <w:autoRedefine/>
    <w:qFormat/>
    <w:uiPriority w:val="0"/>
    <w:rPr>
      <w:b/>
      <w:color w:val="215868"/>
      <w:kern w:val="2"/>
      <w:sz w:val="24"/>
      <w:szCs w:val="24"/>
    </w:rPr>
  </w:style>
  <w:style w:type="paragraph" w:customStyle="1" w:styleId="138">
    <w:name w:val="细目1"/>
    <w:basedOn w:val="1"/>
    <w:link w:val="137"/>
    <w:autoRedefine/>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autoRedefine/>
    <w:qFormat/>
    <w:uiPriority w:val="0"/>
    <w:rPr>
      <w:rFonts w:ascii="宋体" w:hAnsi="Courier New" w:eastAsia="宋体"/>
      <w:kern w:val="2"/>
      <w:sz w:val="21"/>
      <w:lang w:val="en-US" w:eastAsia="zh-CN" w:bidi="ar-SA"/>
    </w:rPr>
  </w:style>
  <w:style w:type="character" w:customStyle="1" w:styleId="140">
    <w:name w:val="apple-converted-space"/>
    <w:autoRedefine/>
    <w:qFormat/>
    <w:uiPriority w:val="0"/>
    <w:rPr>
      <w:rFonts w:cs="Times New Roman"/>
    </w:rPr>
  </w:style>
  <w:style w:type="paragraph" w:customStyle="1" w:styleId="141">
    <w:name w:val="xl8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autoRedefine/>
    <w:qFormat/>
    <w:uiPriority w:val="0"/>
    <w:pPr>
      <w:ind w:firstLine="420" w:firstLineChars="200"/>
    </w:pPr>
    <w:rPr>
      <w:rFonts w:ascii="宋体" w:hAnsi="宋体" w:cs="宋体"/>
      <w:szCs w:val="21"/>
    </w:rPr>
  </w:style>
  <w:style w:type="paragraph" w:customStyle="1" w:styleId="148">
    <w:name w:val="TOC 标题1"/>
    <w:basedOn w:val="3"/>
    <w:next w:val="1"/>
    <w:autoRedefine/>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autoRedefine/>
    <w:qFormat/>
    <w:uiPriority w:val="0"/>
    <w:rPr>
      <w:rFonts w:ascii="Tahoma" w:hAnsi="Tahoma"/>
      <w:sz w:val="24"/>
      <w:szCs w:val="20"/>
    </w:rPr>
  </w:style>
  <w:style w:type="paragraph" w:customStyle="1" w:styleId="150">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autoRedefine/>
    <w:qFormat/>
    <w:uiPriority w:val="0"/>
    <w:pPr>
      <w:spacing w:line="360" w:lineRule="auto"/>
      <w:ind w:firstLine="200" w:firstLineChars="200"/>
    </w:pPr>
    <w:rPr>
      <w:rFonts w:ascii="宋体" w:hAnsi="宋体" w:cs="宋体"/>
      <w:sz w:val="24"/>
    </w:rPr>
  </w:style>
  <w:style w:type="paragraph" w:customStyle="1" w:styleId="153">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autoRedefine/>
    <w:qFormat/>
    <w:uiPriority w:val="0"/>
    <w:pPr>
      <w:adjustRightInd w:val="0"/>
      <w:spacing w:line="360" w:lineRule="auto"/>
    </w:pPr>
  </w:style>
  <w:style w:type="paragraph" w:customStyle="1" w:styleId="161">
    <w:name w:val="pa-14"/>
    <w:basedOn w:val="1"/>
    <w:autoRedefine/>
    <w:qFormat/>
    <w:uiPriority w:val="0"/>
    <w:pPr>
      <w:widowControl/>
      <w:spacing w:before="150" w:after="150"/>
      <w:jc w:val="left"/>
    </w:pPr>
    <w:rPr>
      <w:rFonts w:ascii="宋体" w:hAnsi="宋体" w:cs="宋体"/>
      <w:kern w:val="0"/>
      <w:sz w:val="24"/>
    </w:rPr>
  </w:style>
  <w:style w:type="paragraph" w:customStyle="1" w:styleId="162">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autoRedefine/>
    <w:qFormat/>
    <w:uiPriority w:val="0"/>
    <w:pPr>
      <w:numPr>
        <w:ilvl w:val="0"/>
        <w:numId w:val="8"/>
      </w:numPr>
      <w:jc w:val="left"/>
    </w:pPr>
  </w:style>
  <w:style w:type="paragraph" w:customStyle="1" w:styleId="164">
    <w:name w:val="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autoRedefine/>
    <w:qFormat/>
    <w:uiPriority w:val="0"/>
    <w:rPr>
      <w:rFonts w:ascii="Tahoma" w:hAnsi="Tahoma"/>
      <w:sz w:val="24"/>
      <w:szCs w:val="20"/>
    </w:rPr>
  </w:style>
  <w:style w:type="paragraph" w:customStyle="1" w:styleId="169">
    <w:name w:val="Bullet"/>
    <w:autoRedefine/>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autoRedefine/>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autoRedefine/>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6"/>
    <w:autoRedefine/>
    <w:qFormat/>
    <w:uiPriority w:val="0"/>
  </w:style>
  <w:style w:type="paragraph" w:customStyle="1" w:styleId="178">
    <w:name w:val="Char1"/>
    <w:basedOn w:val="1"/>
    <w:autoRedefine/>
    <w:qFormat/>
    <w:uiPriority w:val="0"/>
    <w:pPr>
      <w:widowControl/>
      <w:spacing w:line="400" w:lineRule="exact"/>
      <w:jc w:val="center"/>
    </w:pPr>
    <w:rPr>
      <w:rFonts w:ascii="Verdana" w:hAnsi="Verdana"/>
      <w:kern w:val="0"/>
      <w:szCs w:val="20"/>
      <w:lang w:eastAsia="en-US"/>
    </w:rPr>
  </w:style>
  <w:style w:type="paragraph" w:customStyle="1" w:styleId="179">
    <w:name w:val="xl13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autoRedefine/>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autoRedefine/>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autoRedefine/>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autoRedefine/>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autoRedefine/>
    <w:qFormat/>
    <w:uiPriority w:val="0"/>
    <w:pPr>
      <w:ind w:firstLine="420" w:firstLineChars="200"/>
    </w:pPr>
  </w:style>
  <w:style w:type="paragraph" w:customStyle="1" w:styleId="193">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autoRedefine/>
    <w:qFormat/>
    <w:uiPriority w:val="0"/>
    <w:pPr>
      <w:ind w:left="1365" w:hanging="360"/>
    </w:pPr>
    <w:rPr>
      <w:sz w:val="24"/>
    </w:rPr>
  </w:style>
  <w:style w:type="paragraph" w:customStyle="1" w:styleId="195">
    <w:name w:val="MM Topic 6"/>
    <w:basedOn w:val="9"/>
    <w:autoRedefine/>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7"/>
    <w:autoRedefine/>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autoRedefine/>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9"/>
    <w:autoRedefine/>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autoRedefine/>
    <w:qFormat/>
    <w:uiPriority w:val="0"/>
    <w:pPr>
      <w:widowControl/>
      <w:spacing w:before="150" w:after="150"/>
      <w:jc w:val="left"/>
    </w:pPr>
    <w:rPr>
      <w:rFonts w:ascii="宋体" w:hAnsi="宋体" w:cs="宋体"/>
      <w:kern w:val="0"/>
      <w:sz w:val="24"/>
    </w:rPr>
  </w:style>
  <w:style w:type="paragraph" w:customStyle="1" w:styleId="211">
    <w:name w:val="xl1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autoRedefine/>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autoRedefin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autoRedefine/>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6"/>
    <w:next w:val="1"/>
    <w:autoRedefine/>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autoRedefine/>
    <w:qFormat/>
    <w:uiPriority w:val="0"/>
    <w:pPr>
      <w:tabs>
        <w:tab w:val="left" w:pos="425"/>
      </w:tabs>
      <w:ind w:left="425" w:hanging="425"/>
    </w:pPr>
    <w:rPr>
      <w:sz w:val="24"/>
    </w:rPr>
  </w:style>
  <w:style w:type="paragraph" w:customStyle="1" w:styleId="22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autoRedefine/>
    <w:qFormat/>
    <w:uiPriority w:val="0"/>
    <w:pPr>
      <w:tabs>
        <w:tab w:val="left" w:pos="1365"/>
      </w:tabs>
      <w:ind w:left="1365" w:hanging="360"/>
    </w:pPr>
    <w:rPr>
      <w:sz w:val="24"/>
    </w:rPr>
  </w:style>
  <w:style w:type="paragraph" w:customStyle="1" w:styleId="228">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autoRedefine/>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autoRedefine/>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6"/>
    <w:autoRedefine/>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autoRedefine/>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autoRedefine/>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autoRedefine/>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5"/>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5"/>
    <w:autoRedefine/>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8"/>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7"/>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标题 2 Char"/>
    <w:qFormat/>
    <w:uiPriority w:val="0"/>
    <w:rPr>
      <w:rFonts w:ascii="黑体" w:hAnsi="宋体" w:eastAsia="黑体"/>
      <w:bCs/>
      <w:kern w:val="44"/>
      <w:sz w:val="21"/>
      <w:szCs w:val="24"/>
    </w:rPr>
  </w:style>
  <w:style w:type="character" w:customStyle="1" w:styleId="306">
    <w:name w:val="正文缩进 Char3"/>
    <w:qFormat/>
    <w:uiPriority w:val="0"/>
    <w:rPr>
      <w:rFonts w:ascii="宋体" w:eastAsia="宋体"/>
      <w:sz w:val="34"/>
      <w:lang w:val="en-US" w:eastAsia="zh-CN" w:bidi="ar-SA"/>
    </w:rPr>
  </w:style>
  <w:style w:type="character" w:customStyle="1" w:styleId="307">
    <w:name w:val="正文文本 3 Char"/>
    <w:basedOn w:val="48"/>
    <w:link w:val="18"/>
    <w:qFormat/>
    <w:uiPriority w:val="0"/>
    <w:rPr>
      <w:sz w:val="16"/>
      <w:szCs w:val="16"/>
    </w:rPr>
  </w:style>
  <w:style w:type="paragraph" w:customStyle="1" w:styleId="30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09">
    <w:name w:val="Body Text First Indent 21"/>
    <w:basedOn w:val="310"/>
    <w:qFormat/>
    <w:uiPriority w:val="0"/>
    <w:pPr>
      <w:ind w:firstLine="420"/>
    </w:pPr>
  </w:style>
  <w:style w:type="paragraph" w:customStyle="1" w:styleId="310">
    <w:name w:val="Body Text Indent1"/>
    <w:basedOn w:val="1"/>
    <w:qFormat/>
    <w:uiPriority w:val="0"/>
    <w:pPr>
      <w:spacing w:line="500" w:lineRule="exact"/>
      <w:ind w:firstLine="880" w:firstLineChars="200"/>
    </w:pPr>
  </w:style>
  <w:style w:type="paragraph" w:customStyle="1" w:styleId="311">
    <w:name w:val="首行缩进"/>
    <w:basedOn w:val="1"/>
    <w:qFormat/>
    <w:uiPriority w:val="0"/>
    <w:pPr>
      <w:spacing w:line="360" w:lineRule="auto"/>
      <w:ind w:firstLine="480" w:firstLineChars="200"/>
    </w:pPr>
    <w:rPr>
      <w:rFonts w:ascii="宋体" w:hAnsi="宋体" w:cs="宋体"/>
      <w:kern w:val="0"/>
      <w:sz w:val="24"/>
    </w:rPr>
  </w:style>
  <w:style w:type="paragraph" w:customStyle="1" w:styleId="312">
    <w:name w:val="_Style 22"/>
    <w:basedOn w:val="1"/>
    <w:next w:val="192"/>
    <w:qFormat/>
    <w:uiPriority w:val="34"/>
    <w:pPr>
      <w:ind w:firstLine="420" w:firstLineChars="200"/>
    </w:pPr>
    <w:rPr>
      <w:rFonts w:ascii="Times New Roman" w:hAnsi="Times New Roman" w:cs="Times New Roman"/>
      <w:kern w:val="0"/>
      <w:sz w:val="20"/>
      <w:szCs w:val="24"/>
    </w:rPr>
  </w:style>
  <w:style w:type="paragraph" w:customStyle="1" w:styleId="313">
    <w:name w:val="Table Paragraph"/>
    <w:basedOn w:val="1"/>
    <w:qFormat/>
    <w:uiPriority w:val="1"/>
    <w:pPr>
      <w:spacing w:before="7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pPr>
            <w:pStyle w:val="43"/>
          </w:pPr>
          <w:r>
            <w:rPr>
              <w:rStyle w:val="4"/>
              <w:rFonts w:hint="eastAsia"/>
              <w:color w:val="000000" w:themeColor="text1"/>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Placeholder Text"/>
    <w:basedOn w:val="2"/>
    <w:autoRedefine/>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66</Pages>
  <Words>31295</Words>
  <Characters>33380</Characters>
  <Lines>291</Lines>
  <Paragraphs>82</Paragraphs>
  <TotalTime>10</TotalTime>
  <ScaleCrop>false</ScaleCrop>
  <LinksUpToDate>false</LinksUpToDate>
  <CharactersWithSpaces>38230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2018-12-30T01:12:00Z</dcterms:created>
  <dc:creator>杨佳佳</dc:creator>
  <cp:lastModifiedBy>Administrator</cp:lastModifiedBy>
  <cp:lastPrinted>2023-08-08T11:04:00Z</cp:lastPrinted>
  <dcterms:modified xsi:type="dcterms:W3CDTF">2024-01-02T09:08:10Z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880F57A76A414B14A2387AC33543BC7C</vt:lpwstr>
  </property>
</Properties>
</file>