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3"/>
        <w:widowControl/>
        <w:adjustRightInd w:val="0"/>
        <w:snapToGrid w:val="0"/>
        <w:spacing w:line="360" w:lineRule="auto"/>
        <w:rPr>
          <w:rFonts w:hint="eastAsia" w:ascii="黑体" w:eastAsia="黑体"/>
          <w:bCs/>
          <w:color w:val="000000" w:themeColor="text1"/>
          <w:sz w:val="32"/>
          <w:highlight w:val="none"/>
          <w:lang w:eastAsia="zh-CN"/>
          <w14:textFill>
            <w14:solidFill>
              <w14:schemeClr w14:val="tx1"/>
            </w14:solidFill>
          </w14:textFill>
        </w:rPr>
      </w:pPr>
      <w:bookmarkStart w:id="0" w:name="_Toc491658631"/>
    </w:p>
    <w:p>
      <w:pPr>
        <w:pStyle w:val="23"/>
        <w:widowControl/>
        <w:adjustRightInd w:val="0"/>
        <w:snapToGrid w:val="0"/>
        <w:spacing w:line="360" w:lineRule="auto"/>
        <w:rPr>
          <w:rFonts w:ascii="黑体" w:eastAsia="黑体"/>
          <w:bCs/>
          <w:color w:val="000000" w:themeColor="text1"/>
          <w:sz w:val="32"/>
          <w:highlight w:val="none"/>
          <w14:textFill>
            <w14:solidFill>
              <w14:schemeClr w14:val="tx1"/>
            </w14:solidFill>
          </w14:textFill>
        </w:rPr>
      </w:pPr>
    </w:p>
    <w:p>
      <w:pPr>
        <w:pStyle w:val="23"/>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lang w:eastAsia="zh-CN"/>
          <w14:textFill>
            <w14:solidFill>
              <w14:schemeClr w14:val="tx1"/>
            </w14:solidFill>
          </w14:textFill>
        </w:rPr>
        <w:drawing>
          <wp:inline distT="0" distB="0" distL="114300" distR="114300">
            <wp:extent cx="2265680" cy="400685"/>
            <wp:effectExtent l="0" t="0" r="7620" b="5715"/>
            <wp:docPr id="1" name="图片 1" descr="9ab4214d2ec0bcba5c242ec32d422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ab4214d2ec0bcba5c242ec32d4224a"/>
                    <pic:cNvPicPr>
                      <a:picLocks noChangeAspect="1"/>
                    </pic:cNvPicPr>
                  </pic:nvPicPr>
                  <pic:blipFill>
                    <a:blip r:embed="rId16"/>
                    <a:stretch>
                      <a:fillRect/>
                    </a:stretch>
                  </pic:blipFill>
                  <pic:spPr>
                    <a:xfrm>
                      <a:off x="0" y="0"/>
                      <a:ext cx="2265680" cy="400685"/>
                    </a:xfrm>
                    <a:prstGeom prst="rect">
                      <a:avLst/>
                    </a:prstGeom>
                  </pic:spPr>
                </pic:pic>
              </a:graphicData>
            </a:graphic>
          </wp:inline>
        </w:drawing>
      </w:r>
    </w:p>
    <w:p>
      <w:pPr>
        <w:pStyle w:val="23"/>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3"/>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公开招标</w:t>
      </w:r>
    </w:p>
    <w:p>
      <w:pPr>
        <w:pStyle w:val="23"/>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pPr>
        <w:pStyle w:val="23"/>
        <w:widowControl/>
        <w:adjustRightInd w:val="0"/>
        <w:snapToGrid w:val="0"/>
        <w:spacing w:line="360" w:lineRule="auto"/>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招  标  文  件</w:t>
      </w:r>
    </w:p>
    <w:p>
      <w:pPr>
        <w:pStyle w:val="23"/>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14:textFill>
            <w14:solidFill>
              <w14:schemeClr w14:val="tx1"/>
            </w14:solidFill>
          </w14:textFill>
        </w:rPr>
      </w:pPr>
    </w:p>
    <w:p>
      <w:pPr>
        <w:pStyle w:val="23"/>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3"/>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23"/>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tbl>
      <w:tblPr>
        <w:tblStyle w:val="46"/>
        <w:tblW w:w="8926" w:type="dxa"/>
        <w:jc w:val="center"/>
        <w:tblLayout w:type="fixed"/>
        <w:tblCellMar>
          <w:top w:w="0" w:type="dxa"/>
          <w:left w:w="108" w:type="dxa"/>
          <w:bottom w:w="0" w:type="dxa"/>
          <w:right w:w="108" w:type="dxa"/>
        </w:tblCellMar>
      </w:tblPr>
      <w:tblGrid>
        <w:gridCol w:w="1951"/>
        <w:gridCol w:w="284"/>
        <w:gridCol w:w="6691"/>
      </w:tblGrid>
      <w:tr>
        <w:tblPrEx>
          <w:tblCellMar>
            <w:top w:w="0" w:type="dxa"/>
            <w:left w:w="108" w:type="dxa"/>
            <w:bottom w:w="0" w:type="dxa"/>
            <w:right w:w="108" w:type="dxa"/>
          </w:tblCellMar>
        </w:tblPrEx>
        <w:trPr>
          <w:trHeight w:val="77" w:hRule="atLeast"/>
          <w:jc w:val="center"/>
        </w:trPr>
        <w:tc>
          <w:tcPr>
            <w:tcW w:w="1951" w:type="dxa"/>
            <w:vAlign w:val="center"/>
          </w:tcPr>
          <w:p>
            <w:pPr>
              <w:pStyle w:val="23"/>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pPr>
              <w:pStyle w:val="23"/>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91" w:type="dxa"/>
            <w:vAlign w:val="center"/>
          </w:tcPr>
          <w:p>
            <w:pPr>
              <w:pStyle w:val="23"/>
              <w:widowControl/>
              <w:adjustRightInd w:val="0"/>
              <w:snapToGrid w:val="0"/>
              <w:spacing w:line="360" w:lineRule="auto"/>
              <w:jc w:val="left"/>
              <w:rPr>
                <w:rFonts w:hint="eastAsia" w:hAnsi="宋体" w:eastAsia="宋体"/>
                <w:b/>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YXZB-20231105</w:t>
            </w:r>
          </w:p>
        </w:tc>
      </w:tr>
      <w:tr>
        <w:tblPrEx>
          <w:tblCellMar>
            <w:top w:w="0" w:type="dxa"/>
            <w:left w:w="108" w:type="dxa"/>
            <w:bottom w:w="0" w:type="dxa"/>
            <w:right w:w="108" w:type="dxa"/>
          </w:tblCellMar>
        </w:tblPrEx>
        <w:trPr>
          <w:trHeight w:val="77" w:hRule="atLeast"/>
          <w:jc w:val="center"/>
        </w:trPr>
        <w:tc>
          <w:tcPr>
            <w:tcW w:w="1951" w:type="dxa"/>
          </w:tcPr>
          <w:p>
            <w:pPr>
              <w:pStyle w:val="23"/>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pPr>
              <w:pStyle w:val="23"/>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91" w:type="dxa"/>
            <w:vAlign w:val="center"/>
          </w:tcPr>
          <w:p>
            <w:pPr>
              <w:pStyle w:val="23"/>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阳江市社会保险职工“四险”基金代理银行采购项目</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3"/>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pPr>
              <w:pStyle w:val="23"/>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91" w:type="dxa"/>
            <w:vAlign w:val="center"/>
          </w:tcPr>
          <w:p>
            <w:pPr>
              <w:pStyle w:val="23"/>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阳江市财政局</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3"/>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pPr>
              <w:pStyle w:val="23"/>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6691" w:type="dxa"/>
            <w:vAlign w:val="center"/>
          </w:tcPr>
          <w:p>
            <w:pPr>
              <w:pStyle w:val="23"/>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广东业信招标有限公司</w:t>
            </w:r>
          </w:p>
        </w:tc>
      </w:tr>
    </w:tbl>
    <w:p>
      <w:pPr>
        <w:pStyle w:val="23"/>
        <w:widowControl/>
        <w:adjustRightInd w:val="0"/>
        <w:snapToGrid w:val="0"/>
        <w:spacing w:line="360" w:lineRule="auto"/>
        <w:jc w:val="center"/>
        <w:rPr>
          <w:rFonts w:hint="eastAsia" w:ascii="黑体" w:eastAsia="黑体"/>
          <w:bCs/>
          <w:color w:val="000000" w:themeColor="text1"/>
          <w:sz w:val="24"/>
          <w:highlight w:val="none"/>
          <w14:textFill>
            <w14:solidFill>
              <w14:schemeClr w14:val="tx1"/>
            </w14:solidFill>
          </w14:textFill>
        </w:rPr>
      </w:pPr>
    </w:p>
    <w:p>
      <w:pPr>
        <w:pStyle w:val="23"/>
        <w:widowControl/>
        <w:adjustRightInd w:val="0"/>
        <w:snapToGrid w:val="0"/>
        <w:spacing w:line="360" w:lineRule="auto"/>
        <w:jc w:val="center"/>
        <w:rPr>
          <w:rFonts w:hint="eastAsia" w:ascii="宋体" w:hAnsi="宋体"/>
          <w:b/>
          <w:color w:val="000000" w:themeColor="text1"/>
          <w:sz w:val="36"/>
          <w:highlight w:val="none"/>
          <w14:textFill>
            <w14:solidFill>
              <w14:schemeClr w14:val="tx1"/>
            </w14:solidFill>
          </w14:textFill>
        </w:rPr>
      </w:pPr>
      <w:r>
        <w:rPr>
          <w:rFonts w:hint="eastAsia" w:ascii="黑体" w:eastAsia="黑体"/>
          <w:bCs/>
          <w:color w:val="000000" w:themeColor="text1"/>
          <w:sz w:val="24"/>
          <w:highlight w:val="none"/>
          <w14:textFill>
            <w14:solidFill>
              <w14:schemeClr w14:val="tx1"/>
            </w14:solidFill>
          </w14:textFill>
        </w:rPr>
        <w:t>二○</w:t>
      </w:r>
      <w:r>
        <w:rPr>
          <w:rFonts w:hint="eastAsia" w:ascii="黑体" w:eastAsia="黑体"/>
          <w:bCs/>
          <w:color w:val="000000" w:themeColor="text1"/>
          <w:sz w:val="24"/>
          <w:highlight w:val="none"/>
          <w:lang w:val="en-US" w:eastAsia="zh-CN"/>
          <w14:textFill>
            <w14:solidFill>
              <w14:schemeClr w14:val="tx1"/>
            </w14:solidFill>
          </w14:textFill>
        </w:rPr>
        <w:t>二三</w:t>
      </w:r>
      <w:r>
        <w:rPr>
          <w:rFonts w:hint="eastAsia" w:ascii="黑体" w:eastAsia="黑体"/>
          <w:bCs/>
          <w:color w:val="000000" w:themeColor="text1"/>
          <w:sz w:val="24"/>
          <w:highlight w:val="none"/>
          <w14:textFill>
            <w14:solidFill>
              <w14:schemeClr w14:val="tx1"/>
            </w14:solidFill>
          </w14:textFill>
        </w:rPr>
        <w:t>年</w:t>
      </w:r>
      <w:r>
        <w:rPr>
          <w:rFonts w:hint="eastAsia" w:ascii="黑体" w:eastAsia="黑体"/>
          <w:bCs/>
          <w:color w:val="000000" w:themeColor="text1"/>
          <w:sz w:val="24"/>
          <w:highlight w:val="none"/>
          <w:lang w:val="en-US" w:eastAsia="zh-CN"/>
          <w14:textFill>
            <w14:solidFill>
              <w14:schemeClr w14:val="tx1"/>
            </w14:solidFill>
          </w14:textFill>
        </w:rPr>
        <w:t>十一</w:t>
      </w:r>
      <w:r>
        <w:rPr>
          <w:rFonts w:hint="eastAsia" w:ascii="黑体" w:eastAsia="黑体"/>
          <w:bCs/>
          <w:color w:val="000000" w:themeColor="text1"/>
          <w:sz w:val="24"/>
          <w:highlight w:val="none"/>
          <w14:textFill>
            <w14:solidFill>
              <w14:schemeClr w14:val="tx1"/>
            </w14:solidFill>
          </w14:textFill>
        </w:rPr>
        <w:t>月</w:t>
      </w:r>
    </w:p>
    <w:p>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请供应商特别留意招标文件上注明的投标截止和开标时间，逾期送达或邮寄送达的投标文件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ascii="宋体" w:hAnsi="宋体"/>
          <w:color w:val="000000" w:themeColor="text1"/>
          <w:szCs w:val="21"/>
          <w:highlight w:val="none"/>
          <w14:textFill>
            <w14:solidFill>
              <w14:schemeClr w14:val="tx1"/>
            </w14:solidFill>
          </w14:textFill>
        </w:rPr>
        <w:t>会议室。</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招标文件中标有“★”的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请正确填写《开标一览表》，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的投标项目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报价要求详见招标文件《开标一览表》</w:t>
      </w:r>
      <w:r>
        <w:rPr>
          <w:rFonts w:ascii="宋体" w:hAnsi="宋体"/>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请仔细检查《投标函》、《开标一览表》、</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
          <w:bCs/>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建议将投标文件按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，务必将保证金按招标文件的要求缴纳，招标代理服务费存入招标文件指定的服务费账户。切勿将款项转错账户，以免影响采购活动。</w:t>
      </w:r>
    </w:p>
    <w:p>
      <w:pPr>
        <w:numPr>
          <w:ilvl w:val="0"/>
          <w:numId w:val="21"/>
        </w:numPr>
        <w:spacing w:line="440" w:lineRule="exact"/>
        <w:ind w:left="454" w:hanging="454"/>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评标委员会</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pPr>
        <w:pStyle w:val="23"/>
        <w:widowControl/>
        <w:adjustRightInd w:val="0"/>
        <w:snapToGrid w:val="0"/>
        <w:spacing w:line="440" w:lineRule="exact"/>
        <w:ind w:firstLine="413" w:firstLineChars="196"/>
        <w:rPr>
          <w:rFonts w:ascii="黑体" w:eastAsia="黑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（本提示内容非招标文件的组成部分，仅为善意提醒。如有不一致，以招标文件为准）</w:t>
      </w:r>
    </w:p>
    <w:p>
      <w:pPr>
        <w:pStyle w:val="23"/>
        <w:widowControl/>
        <w:adjustRightInd w:val="0"/>
        <w:snapToGrid w:val="0"/>
        <w:spacing w:line="360" w:lineRule="auto"/>
        <w:jc w:val="center"/>
        <w:rPr>
          <w:rFonts w:ascii="黑体" w:eastAsia="黑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7" w:h="16840"/>
          <w:pgMar w:top="1417" w:right="1474" w:bottom="1417" w:left="1474" w:header="851" w:footer="850" w:gutter="0"/>
          <w:cols w:space="0" w:num="1"/>
          <w:titlePg/>
          <w:docGrid w:linePitch="380" w:charSpace="0"/>
        </w:sect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pStyle w:val="17"/>
        <w:rPr>
          <w:color w:val="000000" w:themeColor="text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pPr>
        <w:pStyle w:val="3"/>
        <w:numPr>
          <w:ilvl w:val="0"/>
          <w:numId w:val="0"/>
        </w:numPr>
        <w:spacing w:beforeLines="0" w:line="240" w:lineRule="auto"/>
        <w:rPr>
          <w:color w:val="000000" w:themeColor="text1"/>
          <w:highlight w:val="none"/>
          <w14:textFill>
            <w14:solidFill>
              <w14:schemeClr w14:val="tx1"/>
            </w14:solidFill>
          </w14:textFill>
        </w:rPr>
      </w:pPr>
    </w:p>
    <w:p>
      <w:pPr>
        <w:pStyle w:val="30"/>
        <w:tabs>
          <w:tab w:val="right" w:leader="dot" w:pos="8959"/>
          <w:tab w:val="clear" w:pos="8949"/>
        </w:tabs>
        <w:rPr>
          <w:color w:val="000000" w:themeColor="text1"/>
          <w:highlight w:val="none"/>
          <w14:textFill>
            <w14:solidFill>
              <w14:schemeClr w14:val="tx1"/>
            </w14:solidFill>
          </w14:textFill>
        </w:rPr>
      </w:pPr>
      <w:r>
        <w:rPr>
          <w:b w:val="0"/>
          <w:bCs w:val="0"/>
          <w:caps w:val="0"/>
          <w:color w:val="000000" w:themeColor="text1"/>
          <w:highlight w:val="none"/>
          <w14:textFill>
            <w14:solidFill>
              <w14:schemeClr w14:val="tx1"/>
            </w14:solidFill>
          </w14:textFill>
        </w:rPr>
        <w:fldChar w:fldCharType="begin"/>
      </w:r>
      <w:r>
        <w:rPr>
          <w:b w:val="0"/>
          <w:bCs w:val="0"/>
          <w:caps w:val="0"/>
          <w:color w:val="000000" w:themeColor="text1"/>
          <w:highlight w:val="none"/>
          <w14:textFill>
            <w14:solidFill>
              <w14:schemeClr w14:val="tx1"/>
            </w14:solidFill>
          </w14:textFill>
        </w:rPr>
        <w:instrText xml:space="preserve"> TOC \o "1-3" \h \z \u </w:instrText>
      </w:r>
      <w:r>
        <w:rPr>
          <w:b w:val="0"/>
          <w:bCs w:val="0"/>
          <w:caps w:val="0"/>
          <w:color w:val="000000" w:themeColor="text1"/>
          <w:highlight w:val="none"/>
          <w14:textFill>
            <w14:solidFill>
              <w14:schemeClr w14:val="tx1"/>
            </w14:solidFill>
          </w14:textFill>
        </w:rPr>
        <w:fldChar w:fldCharType="separate"/>
      </w:r>
      <w:r>
        <w:rPr>
          <w:bCs w:val="0"/>
          <w:caps w:val="0"/>
          <w:color w:val="000000" w:themeColor="text1"/>
          <w:highlight w:val="none"/>
          <w14:textFill>
            <w14:solidFill>
              <w14:schemeClr w14:val="tx1"/>
            </w14:solidFill>
          </w14:textFill>
        </w:rPr>
        <w:fldChar w:fldCharType="begin"/>
      </w:r>
      <w:r>
        <w:rPr>
          <w:bCs w:val="0"/>
          <w:caps w:val="0"/>
          <w:color w:val="000000" w:themeColor="text1"/>
          <w:highlight w:val="none"/>
          <w14:textFill>
            <w14:solidFill>
              <w14:schemeClr w14:val="tx1"/>
            </w14:solidFill>
          </w14:textFill>
        </w:rPr>
        <w:instrText xml:space="preserve"> HYPERLINK \l _Toc8483 </w:instrText>
      </w:r>
      <w:r>
        <w:rPr>
          <w:bCs w:val="0"/>
          <w:caps w:val="0"/>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第一部分 投标邀请函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_Toc8483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bCs w:val="0"/>
          <w:caps w:val="0"/>
          <w:color w:val="000000" w:themeColor="text1"/>
          <w:highlight w:val="none"/>
          <w14:textFill>
            <w14:solidFill>
              <w14:schemeClr w14:val="tx1"/>
            </w14:solidFill>
          </w14:textFill>
        </w:rPr>
        <w:fldChar w:fldCharType="end"/>
      </w:r>
    </w:p>
    <w:p>
      <w:pPr>
        <w:pStyle w:val="30"/>
        <w:tabs>
          <w:tab w:val="right" w:leader="dot" w:pos="8959"/>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_Toc10340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_Toc10340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_Toc26198 </w:instrText>
      </w:r>
      <w:r>
        <w:rPr>
          <w:bCs/>
          <w:caps/>
          <w:color w:val="000000" w:themeColor="text1"/>
          <w:szCs w:val="21"/>
          <w:highlight w:val="none"/>
          <w14:textFill>
            <w14:solidFill>
              <w14:schemeClr w14:val="tx1"/>
            </w14:solidFill>
          </w14:textFill>
        </w:rPr>
        <w:fldChar w:fldCharType="separate"/>
      </w:r>
      <w:r>
        <w:rPr>
          <w:color w:val="000000" w:themeColor="text1"/>
          <w:kern w:val="0"/>
          <w:highlight w:val="none"/>
          <w14:textFill>
            <w14:solidFill>
              <w14:schemeClr w14:val="tx1"/>
            </w14:solidFill>
          </w14:textFill>
        </w:rPr>
        <w:t xml:space="preserve">A  </w:t>
      </w:r>
      <w:r>
        <w:rPr>
          <w:rFonts w:hint="eastAsia"/>
          <w:color w:val="000000" w:themeColor="text1"/>
          <w:kern w:val="0"/>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_Toc26198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_Toc3084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kern w:val="0"/>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0"/>
        <w:tabs>
          <w:tab w:val="right" w:leader="dot" w:pos="8959"/>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_Toc11319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第三部分 投标人须知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_Toc11319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_Toc18428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szCs w:val="2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_Toc18428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_Toc12110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Ａ说明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_Toc12110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_Toc31527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 </w:t>
      </w:r>
      <w:r>
        <w:rPr>
          <w:rFonts w:hint="eastAsia"/>
          <w:color w:val="000000" w:themeColor="text1"/>
          <w:highlight w:val="none"/>
          <w14:textFill>
            <w14:solidFill>
              <w14:schemeClr w14:val="tx1"/>
            </w14:solidFill>
          </w14:textFill>
        </w:rPr>
        <w:t>适用范围和资金来源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_Toc31527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_Toc15651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 </w:t>
      </w:r>
      <w:r>
        <w:rPr>
          <w:rFonts w:hint="eastAsia"/>
          <w:color w:val="000000" w:themeColor="text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_Toc15651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_Toc17869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 </w:t>
      </w:r>
      <w:r>
        <w:rPr>
          <w:rFonts w:hint="eastAsia"/>
          <w:color w:val="000000" w:themeColor="text1"/>
          <w:highlight w:val="none"/>
          <w14:textFill>
            <w14:solidFill>
              <w14:schemeClr w14:val="tx1"/>
            </w14:solidFill>
          </w14:textFill>
        </w:rPr>
        <w:t>合格的投标人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_Toc17869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_Toc16997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4 </w:t>
      </w:r>
      <w:r>
        <w:rPr>
          <w:rFonts w:hint="eastAsia"/>
          <w:color w:val="000000" w:themeColor="text1"/>
          <w:highlight w:val="none"/>
          <w14:textFill>
            <w14:solidFill>
              <w14:schemeClr w14:val="tx1"/>
            </w14:solidFill>
          </w14:textFill>
        </w:rPr>
        <w:t>投标费用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_Toc16997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_Toc16776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Ｂ招标文件说明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_Toc16776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_Toc31560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5 </w:t>
      </w:r>
      <w:r>
        <w:rPr>
          <w:rFonts w:hint="eastAsia"/>
          <w:color w:val="000000" w:themeColor="text1"/>
          <w:highlight w:val="none"/>
          <w14:textFill>
            <w14:solidFill>
              <w14:schemeClr w14:val="tx1"/>
            </w14:solidFill>
          </w14:textFill>
        </w:rPr>
        <w:t>招标文件的构成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_Toc31560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_Toc9915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6 </w:t>
      </w:r>
      <w:r>
        <w:rPr>
          <w:rFonts w:hint="eastAsia"/>
          <w:color w:val="000000" w:themeColor="text1"/>
          <w:highlight w:val="none"/>
          <w14:textFill>
            <w14:solidFill>
              <w14:schemeClr w14:val="tx1"/>
            </w14:solidFill>
          </w14:textFill>
        </w:rPr>
        <w:t>招标文件的澄清、修改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_Toc9915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_Toc24507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Ｃ投标文件的编制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_Toc24507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_Toc29283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7 </w:t>
      </w:r>
      <w:r>
        <w:rPr>
          <w:rFonts w:hint="eastAsia"/>
          <w:color w:val="000000" w:themeColor="text1"/>
          <w:highlight w:val="none"/>
          <w14:textFill>
            <w14:solidFill>
              <w14:schemeClr w14:val="tx1"/>
            </w14:solidFill>
          </w14:textFill>
        </w:rPr>
        <w:t>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_Toc29283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_Toc29285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8 </w:t>
      </w:r>
      <w:r>
        <w:rPr>
          <w:rFonts w:hint="eastAsia"/>
          <w:color w:val="000000" w:themeColor="text1"/>
          <w:highlight w:val="none"/>
          <w14:textFill>
            <w14:solidFill>
              <w14:schemeClr w14:val="tx1"/>
            </w14:solidFill>
          </w14:textFill>
        </w:rPr>
        <w:t>投标语言及计量单位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_Toc29285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_Toc14241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9 </w:t>
      </w:r>
      <w:r>
        <w:rPr>
          <w:rFonts w:hint="eastAsia"/>
          <w:color w:val="000000" w:themeColor="text1"/>
          <w:highlight w:val="none"/>
          <w14:textFill>
            <w14:solidFill>
              <w14:schemeClr w14:val="tx1"/>
            </w14:solidFill>
          </w14:textFill>
        </w:rPr>
        <w:t>投标文件的构成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_Toc14241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_Toc4243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10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_Toc4243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_Toc25213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11 </w:t>
      </w:r>
      <w:r>
        <w:rPr>
          <w:rFonts w:hint="eastAsia"/>
          <w:color w:val="000000" w:themeColor="text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_Toc25213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_Toc4723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12 </w:t>
      </w:r>
      <w:r>
        <w:rPr>
          <w:rFonts w:hint="eastAsia"/>
          <w:color w:val="000000" w:themeColor="text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_Toc4723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_Toc7585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13 </w:t>
      </w:r>
      <w:r>
        <w:rPr>
          <w:rFonts w:hint="eastAsia"/>
          <w:color w:val="000000" w:themeColor="text1"/>
          <w:highlight w:val="none"/>
          <w14:textFill>
            <w14:solidFill>
              <w14:schemeClr w14:val="tx1"/>
            </w14:solidFill>
          </w14:textFill>
        </w:rPr>
        <w:t>投标报价与投标货币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_Toc7585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_Toc18006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14 </w:t>
      </w:r>
      <w:r>
        <w:rPr>
          <w:rFonts w:hint="eastAsia"/>
          <w:color w:val="000000" w:themeColor="text1"/>
          <w:highlight w:val="none"/>
          <w14:textFill>
            <w14:solidFill>
              <w14:schemeClr w14:val="tx1"/>
            </w14:solidFill>
          </w14:textFill>
        </w:rPr>
        <w:t>投标保证金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_Toc18006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_Toc23337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15 </w:t>
      </w:r>
      <w:r>
        <w:rPr>
          <w:rFonts w:hint="eastAsia"/>
          <w:color w:val="000000" w:themeColor="text1"/>
          <w:highlight w:val="none"/>
          <w14:textFill>
            <w14:solidFill>
              <w14:schemeClr w14:val="tx1"/>
            </w14:solidFill>
          </w14:textFill>
        </w:rPr>
        <w:t>投标有效期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_Toc23337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_Toc26317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16 </w:t>
      </w:r>
      <w:r>
        <w:rPr>
          <w:rFonts w:hint="eastAsia"/>
          <w:color w:val="000000" w:themeColor="text1"/>
          <w:highlight w:val="none"/>
          <w14:textFill>
            <w14:solidFill>
              <w14:schemeClr w14:val="tx1"/>
            </w14:solidFill>
          </w14:textFill>
        </w:rPr>
        <w:t>投标文件的签署及规定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_Toc26317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_Toc16569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Ｄ投标文件的递交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_Toc16569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_Toc27355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17 </w:t>
      </w:r>
      <w:r>
        <w:rPr>
          <w:rFonts w:hint="eastAsia"/>
          <w:color w:val="000000" w:themeColor="text1"/>
          <w:highlight w:val="none"/>
          <w14:textFill>
            <w14:solidFill>
              <w14:schemeClr w14:val="tx1"/>
            </w14:solidFill>
          </w14:textFill>
        </w:rPr>
        <w:t>投标文件的密封和标记</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_Toc27355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_Toc31094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18 </w:t>
      </w:r>
      <w:r>
        <w:rPr>
          <w:rFonts w:hint="eastAsia"/>
          <w:color w:val="000000" w:themeColor="text1"/>
          <w:highlight w:val="none"/>
          <w14:textFill>
            <w14:solidFill>
              <w14:schemeClr w14:val="tx1"/>
            </w14:solidFill>
          </w14:textFill>
        </w:rPr>
        <w:t>递交投标文件的时间、地点及截止时间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_Toc31094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_Toc18580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19 </w:t>
      </w:r>
      <w:r>
        <w:rPr>
          <w:rFonts w:hint="eastAsia"/>
          <w:color w:val="000000" w:themeColor="text1"/>
          <w:highlight w:val="none"/>
          <w14:textFill>
            <w14:solidFill>
              <w14:schemeClr w14:val="tx1"/>
            </w14:solidFill>
          </w14:textFill>
        </w:rPr>
        <w:t>迟交的投标文件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_Toc18580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_Toc17559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20 </w:t>
      </w:r>
      <w:r>
        <w:rPr>
          <w:rFonts w:hint="eastAsia"/>
          <w:color w:val="000000" w:themeColor="text1"/>
          <w:highlight w:val="none"/>
          <w14:textFill>
            <w14:solidFill>
              <w14:schemeClr w14:val="tx1"/>
            </w14:solidFill>
          </w14:textFill>
        </w:rPr>
        <w:t>投标文件的修改和撤回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_Toc17559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_Toc17893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Ｅ开标和评标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_Toc17893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_Toc3495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21 </w:t>
      </w:r>
      <w:r>
        <w:rPr>
          <w:rFonts w:hint="eastAsia"/>
          <w:color w:val="000000" w:themeColor="text1"/>
          <w:highlight w:val="none"/>
          <w14:textFill>
            <w14:solidFill>
              <w14:schemeClr w14:val="tx1"/>
            </w14:solidFill>
          </w14:textFill>
        </w:rPr>
        <w:t>开标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_Toc3495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_Toc4178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22 </w:t>
      </w:r>
      <w:r>
        <w:rPr>
          <w:rFonts w:hint="eastAsia"/>
          <w:color w:val="000000" w:themeColor="text1"/>
          <w:highlight w:val="none"/>
          <w14:textFill>
            <w14:solidFill>
              <w14:schemeClr w14:val="tx1"/>
            </w14:solidFill>
          </w14:textFill>
        </w:rPr>
        <w:t>评标委员会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_Toc4178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_Toc943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23 </w:t>
      </w:r>
      <w:r>
        <w:rPr>
          <w:rFonts w:hint="eastAsia"/>
          <w:color w:val="000000" w:themeColor="text1"/>
          <w:highlight w:val="none"/>
          <w14:textFill>
            <w14:solidFill>
              <w14:schemeClr w14:val="tx1"/>
            </w14:solidFill>
          </w14:textFill>
        </w:rPr>
        <w:t>对投标文件的初审和响应性的确定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_Toc23533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24 </w:t>
      </w:r>
      <w:r>
        <w:rPr>
          <w:rFonts w:hint="eastAsia"/>
          <w:color w:val="000000" w:themeColor="text1"/>
          <w:highlight w:val="none"/>
          <w14:textFill>
            <w14:solidFill>
              <w14:schemeClr w14:val="tx1"/>
            </w14:solidFill>
          </w14:textFill>
        </w:rPr>
        <w:t>投标报价的审核</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_Toc23533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_Toc3811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25 </w:t>
      </w:r>
      <w:r>
        <w:rPr>
          <w:rFonts w:hint="eastAsia"/>
          <w:color w:val="000000" w:themeColor="text1"/>
          <w:highlight w:val="none"/>
          <w14:textFill>
            <w14:solidFill>
              <w14:schemeClr w14:val="tx1"/>
            </w14:solidFill>
          </w14:textFill>
        </w:rPr>
        <w:t>询标及投标文件的澄清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_Toc3811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_Toc2781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26 </w:t>
      </w:r>
      <w:r>
        <w:rPr>
          <w:rFonts w:hint="eastAsia"/>
          <w:color w:val="000000" w:themeColor="text1"/>
          <w:highlight w:val="none"/>
          <w14:textFill>
            <w14:solidFill>
              <w14:schemeClr w14:val="tx1"/>
            </w14:solidFill>
          </w14:textFill>
        </w:rPr>
        <w:t>评标原则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_Toc16522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27 </w:t>
      </w:r>
      <w:r>
        <w:rPr>
          <w:rFonts w:hint="eastAsia"/>
          <w:color w:val="000000" w:themeColor="text1"/>
          <w:highlight w:val="none"/>
          <w14:textFill>
            <w14:solidFill>
              <w14:schemeClr w14:val="tx1"/>
            </w14:solidFill>
          </w14:textFill>
        </w:rPr>
        <w:t>评标标准和办法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_Toc16522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_Toc10786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28 </w:t>
      </w:r>
      <w:r>
        <w:rPr>
          <w:rFonts w:hint="eastAsia"/>
          <w:color w:val="000000" w:themeColor="text1"/>
          <w:highlight w:val="none"/>
          <w14:textFill>
            <w14:solidFill>
              <w14:schemeClr w14:val="tx1"/>
            </w14:solidFill>
          </w14:textFill>
        </w:rPr>
        <w:t>评标注意事项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_Toc10786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_Toc30510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29 </w:t>
      </w:r>
      <w:r>
        <w:rPr>
          <w:rFonts w:hint="eastAsia"/>
          <w:color w:val="000000" w:themeColor="text1"/>
          <w:highlight w:val="none"/>
          <w14:textFill>
            <w14:solidFill>
              <w14:schemeClr w14:val="tx1"/>
            </w14:solidFill>
          </w14:textFill>
        </w:rPr>
        <w:t>接受和拒绝投标的权利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_Toc30510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_Toc13695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30 </w:t>
      </w:r>
      <w:r>
        <w:rPr>
          <w:rFonts w:hint="eastAsia"/>
          <w:color w:val="000000" w:themeColor="text1"/>
          <w:highlight w:val="none"/>
          <w14:textFill>
            <w14:solidFill>
              <w14:schemeClr w14:val="tx1"/>
            </w14:solidFill>
          </w14:textFill>
        </w:rPr>
        <w:t>发布中标结果公告和发放中标通知书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_Toc13695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_Toc353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31 </w:t>
      </w:r>
      <w:r>
        <w:rPr>
          <w:rFonts w:hint="eastAsia"/>
          <w:color w:val="000000" w:themeColor="text1"/>
          <w:highlight w:val="none"/>
          <w14:textFill>
            <w14:solidFill>
              <w14:schemeClr w14:val="tx1"/>
            </w14:solidFill>
          </w14:textFill>
        </w:rPr>
        <w:t>投标人对中标结果的质疑、投诉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_Toc25519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Ｆ  授予合同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_Toc25519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_Toc7064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32 </w:t>
      </w:r>
      <w:r>
        <w:rPr>
          <w:rFonts w:hint="eastAsia"/>
          <w:color w:val="000000" w:themeColor="text1"/>
          <w:highlight w:val="none"/>
          <w14:textFill>
            <w14:solidFill>
              <w14:schemeClr w14:val="tx1"/>
            </w14:solidFill>
          </w14:textFill>
        </w:rPr>
        <w:t>合同授予标准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_Toc7064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_Toc1363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33 </w:t>
      </w:r>
      <w:r>
        <w:rPr>
          <w:rFonts w:hint="eastAsia"/>
          <w:color w:val="000000" w:themeColor="text1"/>
          <w:highlight w:val="none"/>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_Toc18922 </w:instrText>
      </w:r>
      <w:r>
        <w:rPr>
          <w:bCs/>
          <w:caps/>
          <w:color w:val="000000" w:themeColor="text1"/>
          <w:szCs w:val="21"/>
          <w:highlight w:val="none"/>
          <w14:textFill>
            <w14:solidFill>
              <w14:schemeClr w14:val="tx1"/>
            </w14:solidFill>
          </w14:textFill>
        </w:rPr>
        <w:fldChar w:fldCharType="separate"/>
      </w:r>
      <w:r>
        <w:rPr>
          <w:color w:val="000000" w:themeColor="text1"/>
          <w:highlight w:val="none"/>
          <w14:textFill>
            <w14:solidFill>
              <w14:schemeClr w14:val="tx1"/>
            </w14:solidFill>
          </w14:textFill>
        </w:rPr>
        <w:t>G</w:t>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_Toc18922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_Toc5180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H、评标细则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_Toc5180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0"/>
        <w:tabs>
          <w:tab w:val="right" w:leader="dot" w:pos="8959"/>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_Toc21684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第四部分  采购项目合同（参考范本）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_Toc21684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0"/>
        <w:tabs>
          <w:tab w:val="right" w:leader="dot" w:pos="8959"/>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_Toc15858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第五部分投标文件格式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_Toc15858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_Toc10098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资格审查封面格式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_Toc10098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_Toc19383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第一章 </w:t>
      </w:r>
      <w:r>
        <w:rPr>
          <w:rFonts w:hint="eastAsia"/>
          <w:color w:val="000000" w:themeColor="text1"/>
          <w:highlight w:val="none"/>
          <w14:textFill>
            <w14:solidFill>
              <w14:schemeClr w14:val="tx1"/>
            </w14:solidFill>
          </w14:textFill>
        </w:rPr>
        <w:t>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_Toc19383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_Toc2892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资格性自查表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_Toc6991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（一）资格审查文件要求提交的有效证明文件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_Toc6991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_Toc17196 </w:instrText>
      </w:r>
      <w:r>
        <w:rPr>
          <w:bCs/>
          <w:caps/>
          <w:color w:val="000000" w:themeColor="text1"/>
          <w:szCs w:val="21"/>
          <w:highlight w:val="none"/>
          <w14:textFill>
            <w14:solidFill>
              <w14:schemeClr w14:val="tx1"/>
            </w14:solidFill>
          </w14:textFill>
        </w:rPr>
        <w:fldChar w:fldCharType="separate"/>
      </w:r>
      <w:r>
        <w:rPr>
          <w:rFonts w:hint="eastAsia" w:hAnsi="黑体"/>
          <w:color w:val="000000" w:themeColor="text1"/>
          <w:szCs w:val="21"/>
          <w:highlight w:val="none"/>
          <w14:textFill>
            <w14:solidFill>
              <w14:schemeClr w14:val="tx1"/>
            </w14:solidFill>
          </w14:textFill>
        </w:rPr>
        <w:t>（二）无重大违法记录声明函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_Toc17196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_Toc14164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第二章 </w:t>
      </w:r>
      <w:r>
        <w:rPr>
          <w:rFonts w:hint="eastAsia"/>
          <w:color w:val="000000" w:themeColor="text1"/>
          <w:highlight w:val="none"/>
          <w14:textFill>
            <w14:solidFill>
              <w14:schemeClr w14:val="tx1"/>
            </w14:solidFill>
          </w14:textFill>
        </w:rPr>
        <w:t>投标文件商务及技术部分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_Toc14164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_Toc32083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商务及技术封面格式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_Toc32083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_Toc21216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_Toc21216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_Toc28361 </w:instrText>
      </w:r>
      <w:r>
        <w:rPr>
          <w:bCs/>
          <w:caps/>
          <w:color w:val="000000" w:themeColor="text1"/>
          <w:szCs w:val="21"/>
          <w:highlight w:val="none"/>
          <w14:textFill>
            <w14:solidFill>
              <w14:schemeClr w14:val="tx1"/>
            </w14:solidFill>
          </w14:textFill>
        </w:rPr>
        <w:fldChar w:fldCharType="separate"/>
      </w:r>
      <w:r>
        <w:rPr>
          <w:rFonts w:hint="eastAsia" w:ascii="宋体"/>
          <w:color w:val="000000" w:themeColor="text1"/>
          <w:szCs w:val="21"/>
          <w:highlight w:val="none"/>
          <w14:textFill>
            <w14:solidFill>
              <w14:schemeClr w14:val="tx1"/>
            </w14:solidFill>
          </w14:textFill>
        </w:rPr>
        <w:t>评审项目投标资料表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_Toc28361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_Toc19410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_Toc19410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_Toc20251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（二）法定代表人（负责人）授权书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_Toc20251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_Toc12287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附件一：投标函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_Toc12287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_Toc24392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附件二：开标一览表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_Toc24392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_Toc25857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附件三：商务条款偏离一览表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_Toc25857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_Toc15561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四</w:t>
      </w:r>
      <w:r>
        <w:rPr>
          <w:rFonts w:hint="eastAsia"/>
          <w:color w:val="000000" w:themeColor="text1"/>
          <w:highlight w:val="none"/>
          <w14:textFill>
            <w14:solidFill>
              <w14:schemeClr w14:val="tx1"/>
            </w14:solidFill>
          </w14:textFill>
        </w:rPr>
        <w:t>：技术条款偏离一览表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_Toc15561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_Toc20367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五</w:t>
      </w:r>
      <w:r>
        <w:rPr>
          <w:rFonts w:hint="eastAsia"/>
          <w:color w:val="000000" w:themeColor="text1"/>
          <w:highlight w:val="none"/>
          <w14:textFill>
            <w14:solidFill>
              <w14:schemeClr w14:val="tx1"/>
            </w14:solidFill>
          </w14:textFill>
        </w:rPr>
        <w:t>：同类业绩一览表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_Toc20367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_Toc2576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六</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_Toc32385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七</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_Toc32385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八</w:t>
      </w:r>
      <w:r>
        <w:rPr>
          <w:rFonts w:hint="eastAsia"/>
          <w:color w:val="000000" w:themeColor="text1"/>
          <w:highlight w:val="none"/>
          <w14:textFill>
            <w14:solidFill>
              <w14:schemeClr w14:val="tx1"/>
            </w14:solidFill>
          </w14:textFill>
        </w:rPr>
        <w:t>：中标服务费承诺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_Toc16098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九</w:t>
      </w:r>
      <w:r>
        <w:rPr>
          <w:rFonts w:hint="eastAsia"/>
          <w:color w:val="000000" w:themeColor="text1"/>
          <w:highlight w:val="none"/>
          <w14:textFill>
            <w14:solidFill>
              <w14:schemeClr w14:val="tx1"/>
            </w14:solidFill>
          </w14:textFill>
        </w:rPr>
        <w:t>：投标人提交的其它商务和技术资料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_Toc16098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_Toc22588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 他 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_Toc22588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_Toc27084 </w:instrText>
      </w:r>
      <w:r>
        <w:rPr>
          <w:bCs/>
          <w:caps/>
          <w:color w:val="000000" w:themeColor="text1"/>
          <w:szCs w:val="21"/>
          <w:highlight w:val="none"/>
          <w14:textFill>
            <w14:solidFill>
              <w14:schemeClr w14:val="tx1"/>
            </w14:solidFill>
          </w14:textFill>
        </w:rPr>
        <w:fldChar w:fldCharType="separate"/>
      </w:r>
      <w:r>
        <w:rPr>
          <w:rFonts w:hint="eastAsia" w:ascii="宋体" w:hAnsi="宋体" w:eastAsia="宋体"/>
          <w:color w:val="000000" w:themeColor="text1"/>
          <w:highlight w:val="none"/>
          <w14:textFill>
            <w14:solidFill>
              <w14:schemeClr w14:val="tx1"/>
            </w14:solidFill>
          </w14:textFill>
        </w:rPr>
        <w:t>投标保证金退付书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_Toc27084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rPr>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7" w:h="16840"/>
          <w:pgMar w:top="1418" w:right="1474" w:bottom="1418" w:left="1474" w:header="851" w:footer="851" w:gutter="0"/>
          <w:cols w:space="720" w:num="1"/>
          <w:docGrid w:linePitch="462" w:charSpace="0"/>
        </w:sectPr>
      </w:pPr>
      <w:r>
        <w:rPr>
          <w:bCs/>
          <w:caps/>
          <w:color w:val="000000" w:themeColor="text1"/>
          <w:szCs w:val="21"/>
          <w:highlight w:val="none"/>
          <w14:textFill>
            <w14:solidFill>
              <w14:schemeClr w14:val="tx1"/>
            </w14:solidFill>
          </w14:textFill>
        </w:rPr>
        <w:fldChar w:fldCharType="end"/>
      </w:r>
    </w:p>
    <w:bookmarkEnd w:id="0"/>
    <w:p>
      <w:pPr>
        <w:pStyle w:val="3"/>
        <w:numPr>
          <w:ilvl w:val="0"/>
          <w:numId w:val="0"/>
        </w:numPr>
        <w:spacing w:beforeLines="0"/>
        <w:rPr>
          <w:color w:val="000000" w:themeColor="text1"/>
          <w:highlight w:val="none"/>
          <w14:textFill>
            <w14:solidFill>
              <w14:schemeClr w14:val="tx1"/>
            </w14:solidFill>
          </w14:textFill>
        </w:rPr>
      </w:pPr>
      <w:bookmarkStart w:id="1" w:name="_Toc331683994"/>
      <w:bookmarkStart w:id="2" w:name="_Toc365967002"/>
      <w:bookmarkStart w:id="3" w:name="_Toc366072457"/>
      <w:bookmarkStart w:id="4" w:name="_Toc8483"/>
      <w:bookmarkStart w:id="5" w:name="_Toc350438702"/>
      <w:bookmarkStart w:id="6" w:name="_Toc332270305"/>
      <w:bookmarkStart w:id="7" w:name="_Toc339441044"/>
      <w:bookmarkStart w:id="8" w:name="_Toc336681892"/>
      <w:bookmarkStart w:id="9" w:name="_Toc339020186"/>
      <w:bookmarkStart w:id="10" w:name="_Toc365985108"/>
      <w:bookmarkStart w:id="11" w:name="_Toc342296708"/>
      <w:bookmarkStart w:id="12" w:name="_Toc339019828"/>
      <w:bookmarkStart w:id="13" w:name="_Toc340507403"/>
      <w:bookmarkStart w:id="14" w:name="_Toc340672830"/>
      <w:bookmarkStart w:id="15" w:name="_Toc333238571"/>
      <w:bookmarkStart w:id="16" w:name="_Toc349127583"/>
      <w:bookmarkStart w:id="17" w:name="_Toc333237612"/>
      <w:bookmarkStart w:id="18" w:name="_Toc339019954"/>
      <w:bookmarkStart w:id="19" w:name="_Toc340677031"/>
      <w:bookmarkStart w:id="20" w:name="_Toc339362257"/>
      <w:bookmarkStart w:id="21" w:name="_Toc350756403"/>
      <w:bookmarkStart w:id="22" w:name="_Toc339020048"/>
      <w:bookmarkStart w:id="23" w:name="_Toc336681537"/>
      <w:bookmarkStart w:id="24" w:name="_Toc333935619"/>
      <w:bookmarkStart w:id="25" w:name="_Toc332206657"/>
      <w:bookmarkStart w:id="26" w:name="_Toc333935278"/>
      <w:bookmarkStart w:id="27" w:name="_Toc330459945"/>
      <w:bookmarkStart w:id="28" w:name="_Toc333237723"/>
      <w:bookmarkStart w:id="29" w:name="_Toc342060322"/>
      <w:bookmarkStart w:id="30" w:name="_Toc331512856"/>
      <w:bookmarkStart w:id="31" w:name="_Toc349143546"/>
      <w:bookmarkStart w:id="32" w:name="_Toc345513762"/>
      <w:bookmarkStart w:id="33" w:name="_Toc341348291"/>
      <w:bookmarkStart w:id="34" w:name="_Toc337632315"/>
      <w:bookmarkStart w:id="35" w:name="_Toc500860978"/>
      <w:r>
        <w:rPr>
          <w:rFonts w:hint="eastAsia"/>
          <w:color w:val="000000" w:themeColor="text1"/>
          <w:highlight w:val="none"/>
          <w14:textFill>
            <w14:solidFill>
              <w14:schemeClr w14:val="tx1"/>
            </w14:solidFill>
          </w14:textFill>
        </w:rPr>
        <w:t>第一</w:t>
      </w:r>
      <w:bookmarkStart w:id="36" w:name="_Hlt23321731"/>
      <w:bookmarkEnd w:id="36"/>
      <w:r>
        <w:rPr>
          <w:rFonts w:hint="eastAsia"/>
          <w:color w:val="000000" w:themeColor="text1"/>
          <w:highlight w:val="none"/>
          <w14:textFill>
            <w14:solidFill>
              <w14:schemeClr w14:val="tx1"/>
            </w14:solidFill>
          </w14:textFill>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pPr>
        <w:keepNext w:val="0"/>
        <w:keepLines w:val="0"/>
        <w:pageBreakBefore w:val="0"/>
        <w:widowControl/>
        <w:tabs>
          <w:tab w:val="left" w:pos="502"/>
          <w:tab w:val="left" w:pos="5145"/>
        </w:tabs>
        <w:kinsoku/>
        <w:wordWrap/>
        <w:overflowPunct/>
        <w:topLinePunct w:val="0"/>
        <w:autoSpaceDE/>
        <w:autoSpaceDN/>
        <w:bidi w:val="0"/>
        <w:adjustRightInd w:val="0"/>
        <w:snapToGrid w:val="0"/>
        <w:spacing w:line="360" w:lineRule="auto"/>
        <w:ind w:left="105" w:leftChars="50" w:firstLine="420" w:firstLineChars="200"/>
        <w:jc w:val="left"/>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广东业信招标有限公司</w:t>
      </w:r>
      <w:r>
        <w:rPr>
          <w:rFonts w:hint="eastAsia" w:ascii="宋体" w:hAnsi="宋体"/>
          <w:bCs/>
          <w:color w:val="000000" w:themeColor="text1"/>
          <w:highlight w:val="none"/>
          <w14:textFill>
            <w14:solidFill>
              <w14:schemeClr w14:val="tx1"/>
            </w14:solidFill>
          </w14:textFill>
        </w:rPr>
        <w:t>（以下简称“代理采购机构”）受</w:t>
      </w:r>
      <w:r>
        <w:rPr>
          <w:rFonts w:hint="eastAsia" w:ascii="宋体" w:hAnsi="宋体"/>
          <w:bCs/>
          <w:color w:val="000000" w:themeColor="text1"/>
          <w:highlight w:val="none"/>
          <w:lang w:eastAsia="zh-CN"/>
          <w14:textFill>
            <w14:solidFill>
              <w14:schemeClr w14:val="tx1"/>
            </w14:solidFill>
          </w14:textFill>
        </w:rPr>
        <w:t>阳江市财政局</w:t>
      </w:r>
      <w:r>
        <w:rPr>
          <w:rFonts w:hint="eastAsia" w:ascii="宋体" w:hAnsi="宋体"/>
          <w:bCs/>
          <w:color w:val="000000" w:themeColor="text1"/>
          <w:highlight w:val="none"/>
          <w14:textFill>
            <w14:solidFill>
              <w14:schemeClr w14:val="tx1"/>
            </w14:solidFill>
          </w14:textFill>
        </w:rPr>
        <w:t>（以下简称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w:t>
      </w:r>
      <w:r>
        <w:rPr>
          <w:rFonts w:hint="eastAsia" w:ascii="宋体" w:hAnsi="宋体"/>
          <w:bCs/>
          <w:color w:val="000000" w:themeColor="text1"/>
          <w:highlight w:val="none"/>
          <w:lang w:eastAsia="zh-CN"/>
          <w14:textFill>
            <w14:solidFill>
              <w14:schemeClr w14:val="tx1"/>
            </w14:solidFill>
          </w14:textFill>
        </w:rPr>
        <w:t>阳江市社会保险职工“四险”基金代理银行采购项目</w:t>
      </w:r>
      <w:r>
        <w:rPr>
          <w:rFonts w:hint="eastAsia" w:ascii="宋体" w:hAnsi="宋体"/>
          <w:bCs/>
          <w:color w:val="000000" w:themeColor="text1"/>
          <w:highlight w:val="none"/>
          <w14:textFill>
            <w14:solidFill>
              <w14:schemeClr w14:val="tx1"/>
            </w14:solidFill>
          </w14:textFill>
        </w:rPr>
        <w:t>进行公开招标(项目编号:</w:t>
      </w:r>
      <w:r>
        <w:rPr>
          <w:rFonts w:hint="eastAsia" w:ascii="宋体" w:hAnsi="宋体"/>
          <w:bCs/>
          <w:color w:val="000000" w:themeColor="text1"/>
          <w:highlight w:val="none"/>
          <w:lang w:eastAsia="zh-CN"/>
          <w14:textFill>
            <w14:solidFill>
              <w14:schemeClr w14:val="tx1"/>
            </w14:solidFill>
          </w14:textFill>
        </w:rPr>
        <w:t>YXZB-20231105</w:t>
      </w:r>
      <w:r>
        <w:rPr>
          <w:rFonts w:hint="eastAsia" w:ascii="宋体" w:hAnsi="宋体"/>
          <w:bCs/>
          <w:color w:val="000000" w:themeColor="text1"/>
          <w:highlight w:val="none"/>
          <w14:textFill>
            <w14:solidFill>
              <w14:schemeClr w14:val="tx1"/>
            </w14:solidFill>
          </w14:textFill>
        </w:rPr>
        <w:t>)，欢迎符合条件的投标人参加。有关事项如下：</w:t>
      </w:r>
    </w:p>
    <w:p>
      <w:pPr>
        <w:keepNext w:val="0"/>
        <w:keepLines w:val="0"/>
        <w:pageBreakBefore w:val="0"/>
        <w:widowControl/>
        <w:tabs>
          <w:tab w:val="left" w:pos="502"/>
        </w:tabs>
        <w:kinsoku/>
        <w:wordWrap/>
        <w:overflowPunct/>
        <w:topLinePunct w:val="0"/>
        <w:autoSpaceDE/>
        <w:autoSpaceDN/>
        <w:bidi w:val="0"/>
        <w:adjustRightInd w:val="0"/>
        <w:snapToGrid w:val="0"/>
        <w:spacing w:line="360" w:lineRule="auto"/>
        <w:textAlignment w:val="auto"/>
        <w:rPr>
          <w:rFonts w:ascii="Tahoma" w:hAnsi="Tahoma"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Tahoma" w:hAnsi="Tahoma" w:cs="Tahoma"/>
          <w:b/>
          <w:bCs/>
          <w:color w:val="000000" w:themeColor="text1"/>
          <w:szCs w:val="21"/>
          <w:highlight w:val="none"/>
          <w14:textFill>
            <w14:solidFill>
              <w14:schemeClr w14:val="tx1"/>
            </w14:solidFill>
          </w14:textFill>
        </w:rPr>
        <w:t>招标项目的名称、用途、数量、采购方式</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60" w:lineRule="auto"/>
        <w:ind w:left="1785" w:leftChars="200" w:hanging="1365" w:hangingChars="6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ascii="宋体" w:hAnsi="宋体"/>
          <w:bCs/>
          <w:color w:val="000000" w:themeColor="text1"/>
          <w:highlight w:val="none"/>
          <w:lang w:eastAsia="zh-CN"/>
          <w14:textFill>
            <w14:solidFill>
              <w14:schemeClr w14:val="tx1"/>
            </w14:solidFill>
          </w14:textFill>
        </w:rPr>
        <w:t>阳江市社会保险职工“四险”基金代理银行采购项目</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60" w:lineRule="auto"/>
        <w:ind w:left="420" w:leftChars="200" w:firstLine="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Cs/>
          <w:color w:val="000000" w:themeColor="text1"/>
          <w:highlight w:val="none"/>
          <w:lang w:eastAsia="zh-CN"/>
          <w14:textFill>
            <w14:solidFill>
              <w14:schemeClr w14:val="tx1"/>
            </w14:solidFill>
          </w14:textFill>
        </w:rPr>
        <w:t>：YXZB-20231105</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60" w:lineRule="auto"/>
        <w:ind w:left="735" w:leftChars="200" w:hanging="315"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数  量：</w:t>
      </w:r>
      <w:r>
        <w:rPr>
          <w:rFonts w:hint="eastAsia" w:ascii="宋体" w:hAnsi="宋体"/>
          <w:bCs/>
          <w:color w:val="000000" w:themeColor="text1"/>
          <w:highlight w:val="none"/>
          <w:lang w:val="en-US" w:eastAsia="zh-CN"/>
          <w14:textFill>
            <w14:solidFill>
              <w14:schemeClr w14:val="tx1"/>
            </w14:solidFill>
          </w14:textFill>
        </w:rPr>
        <w:t>四</w:t>
      </w:r>
      <w:r>
        <w:rPr>
          <w:rFonts w:hint="eastAsia" w:ascii="宋体" w:hAnsi="宋体"/>
          <w:bCs/>
          <w:color w:val="000000" w:themeColor="text1"/>
          <w:highlight w:val="none"/>
          <w14:textFill>
            <w14:solidFill>
              <w14:schemeClr w14:val="tx1"/>
            </w14:solidFill>
          </w14:textFill>
        </w:rPr>
        <w:t>项</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60" w:lineRule="auto"/>
        <w:ind w:left="736" w:leftChars="200" w:hanging="316"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服务期</w:t>
      </w:r>
      <w:r>
        <w:rPr>
          <w:rFonts w:hint="eastAsia" w:ascii="宋体" w:hAnsi="宋体"/>
          <w:b/>
          <w:bCs/>
          <w:color w:val="000000" w:themeColor="text1"/>
          <w:spacing w:val="-6"/>
          <w:szCs w:val="21"/>
          <w:highlight w:val="none"/>
          <w14:textFill>
            <w14:solidFill>
              <w14:schemeClr w14:val="tx1"/>
            </w14:solidFill>
          </w14:textFill>
        </w:rPr>
        <w:t>：</w:t>
      </w:r>
      <w:r>
        <w:rPr>
          <w:rFonts w:hint="eastAsia" w:ascii="宋体" w:hAnsi="宋体"/>
          <w:b w:val="0"/>
          <w:bCs w:val="0"/>
          <w:color w:val="000000" w:themeColor="text1"/>
          <w:spacing w:val="-6"/>
          <w:szCs w:val="21"/>
          <w:highlight w:val="none"/>
          <w:lang w:val="en-US" w:eastAsia="zh-CN"/>
          <w14:textFill>
            <w14:solidFill>
              <w14:schemeClr w14:val="tx1"/>
            </w14:solidFill>
          </w14:textFill>
        </w:rPr>
        <w:t>3</w:t>
      </w:r>
      <w:r>
        <w:rPr>
          <w:rFonts w:hint="eastAsia" w:ascii="宋体" w:hAnsi="宋体"/>
          <w:b w:val="0"/>
          <w:bCs w:val="0"/>
          <w:color w:val="000000" w:themeColor="text1"/>
          <w:spacing w:val="-6"/>
          <w:szCs w:val="21"/>
          <w:highlight w:val="none"/>
          <w14:textFill>
            <w14:solidFill>
              <w14:schemeClr w14:val="tx1"/>
            </w14:solidFill>
          </w14:textFill>
        </w:rPr>
        <w:t>年，从合同生效之日起开始计算。</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lang w:val="en-US" w:eastAsia="zh-CN"/>
          <w14:textFill>
            <w14:solidFill>
              <w14:schemeClr w14:val="tx1"/>
            </w14:solidFill>
          </w14:textFill>
        </w:rPr>
        <w:t>少于</w:t>
      </w:r>
      <w:r>
        <w:rPr>
          <w:rFonts w:hint="eastAsia" w:ascii="宋体" w:hAnsi="宋体"/>
          <w:bCs/>
          <w:color w:val="000000" w:themeColor="text1"/>
          <w:highlight w:val="none"/>
          <w14:textFill>
            <w14:solidFill>
              <w14:schemeClr w14:val="tx1"/>
            </w14:solidFill>
          </w14:textFill>
        </w:rPr>
        <w:t>该服务期将作为无效投标处理）</w:t>
      </w:r>
    </w:p>
    <w:p>
      <w:pPr>
        <w:keepNext w:val="0"/>
        <w:keepLines w:val="0"/>
        <w:pageBreakBefore w:val="0"/>
        <w:widowControl/>
        <w:numPr>
          <w:ilvl w:val="0"/>
          <w:numId w:val="20"/>
        </w:numPr>
        <w:tabs>
          <w:tab w:val="left" w:pos="315"/>
          <w:tab w:val="left" w:pos="735"/>
          <w:tab w:val="clear" w:pos="528"/>
        </w:tabs>
        <w:kinsoku/>
        <w:wordWrap/>
        <w:overflowPunct/>
        <w:topLinePunct w:val="0"/>
        <w:autoSpaceDE/>
        <w:autoSpaceDN/>
        <w:bidi w:val="0"/>
        <w:adjustRightInd w:val="0"/>
        <w:snapToGrid w:val="0"/>
        <w:spacing w:line="360" w:lineRule="auto"/>
        <w:ind w:left="420" w:leftChars="200" w:firstLine="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中标</w:t>
      </w:r>
      <w:r>
        <w:rPr>
          <w:rFonts w:hint="eastAsia" w:ascii="宋体" w:hAnsi="宋体"/>
          <w:bCs/>
          <w:color w:val="000000" w:themeColor="text1"/>
          <w:highlight w:val="none"/>
          <w14:textFill>
            <w14:solidFill>
              <w14:schemeClr w14:val="tx1"/>
            </w14:solidFill>
          </w14:textFill>
        </w:rPr>
        <w:t>单位数量：</w:t>
      </w:r>
      <w:r>
        <w:rPr>
          <w:rFonts w:hint="eastAsia" w:ascii="宋体" w:hAnsi="宋体"/>
          <w:bCs/>
          <w:color w:val="000000" w:themeColor="text1"/>
          <w:highlight w:val="none"/>
          <w:lang w:val="en-US" w:eastAsia="zh-CN"/>
          <w14:textFill>
            <w14:solidFill>
              <w14:schemeClr w14:val="tx1"/>
            </w14:solidFill>
          </w14:textFill>
        </w:rPr>
        <w:t>4家。</w:t>
      </w:r>
    </w:p>
    <w:p>
      <w:pPr>
        <w:keepNext w:val="0"/>
        <w:keepLines w:val="0"/>
        <w:pageBreakBefore w:val="0"/>
        <w:widowControl/>
        <w:numPr>
          <w:ilvl w:val="0"/>
          <w:numId w:val="20"/>
        </w:numPr>
        <w:tabs>
          <w:tab w:val="left" w:pos="315"/>
          <w:tab w:val="left" w:pos="735"/>
          <w:tab w:val="clear" w:pos="528"/>
        </w:tabs>
        <w:kinsoku/>
        <w:wordWrap/>
        <w:overflowPunct/>
        <w:topLinePunct w:val="0"/>
        <w:autoSpaceDE/>
        <w:autoSpaceDN/>
        <w:bidi w:val="0"/>
        <w:adjustRightInd w:val="0"/>
        <w:snapToGrid w:val="0"/>
        <w:spacing w:line="360" w:lineRule="auto"/>
        <w:ind w:left="420" w:leftChars="200" w:firstLine="0"/>
        <w:textAlignment w:val="auto"/>
        <w:rPr>
          <w:rFonts w:hint="default" w:ascii="宋体" w:hAnsi="宋体"/>
          <w:b/>
          <w:bCs w:val="0"/>
          <w:color w:val="000000" w:themeColor="text1"/>
          <w:highlight w:val="none"/>
          <w:lang w:val="en-US" w:eastAsia="zh-CN"/>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评审方式：采取综合评分法，得分按高至低依次排列，选取得分排名前四位的投标人作为中标候选人，并按得分排序依次由高至低优先自由选取包组。得分最高的优先在4个包组中任意选取1个包组，得分次之的在剩下的3个包组中任意选取1个包组，得分排名第三位的，在剩下的2个包组中任意选取1个包组，得分排名第四位的，无条件选取剩下的1个包组。按照投标文件优先选取包组的顺序确定各个包组的中标候选人。</w:t>
      </w:r>
      <w:r>
        <w:rPr>
          <w:rFonts w:hint="eastAsia" w:ascii="宋体" w:hAnsi="宋体"/>
          <w:b/>
          <w:bCs w:val="0"/>
          <w:color w:val="000000" w:themeColor="text1"/>
          <w:highlight w:val="none"/>
          <w:lang w:val="en-US" w:eastAsia="zh-CN"/>
          <w14:textFill>
            <w14:solidFill>
              <w14:schemeClr w14:val="tx1"/>
            </w14:solidFill>
          </w14:textFill>
        </w:rPr>
        <w:t>（优先选取包组顺序必须按“开标一览表”格式填写，否则作无效投标处理）</w:t>
      </w:r>
    </w:p>
    <w:p>
      <w:pPr>
        <w:keepNext w:val="0"/>
        <w:keepLines w:val="0"/>
        <w:pageBreakBefore w:val="0"/>
        <w:widowControl/>
        <w:numPr>
          <w:ilvl w:val="0"/>
          <w:numId w:val="20"/>
        </w:numPr>
        <w:tabs>
          <w:tab w:val="left" w:pos="315"/>
          <w:tab w:val="left" w:pos="735"/>
          <w:tab w:val="clear" w:pos="528"/>
        </w:tabs>
        <w:kinsoku/>
        <w:wordWrap/>
        <w:overflowPunct/>
        <w:topLinePunct w:val="0"/>
        <w:autoSpaceDE/>
        <w:autoSpaceDN/>
        <w:bidi w:val="0"/>
        <w:adjustRightInd w:val="0"/>
        <w:snapToGrid w:val="0"/>
        <w:spacing w:line="360" w:lineRule="auto"/>
        <w:ind w:left="420" w:leftChars="200" w:firstLine="0"/>
        <w:textAlignment w:val="auto"/>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项目采购方式：公开招标</w:t>
      </w:r>
    </w:p>
    <w:p>
      <w:pPr>
        <w:keepNext w:val="0"/>
        <w:keepLines w:val="0"/>
        <w:pageBreakBefore w:val="0"/>
        <w:widowControl/>
        <w:tabs>
          <w:tab w:val="left" w:pos="502"/>
        </w:tabs>
        <w:kinsoku/>
        <w:wordWrap/>
        <w:overflowPunct/>
        <w:topLinePunct w:val="0"/>
        <w:autoSpaceDE/>
        <w:autoSpaceDN/>
        <w:bidi w:val="0"/>
        <w:adjustRightInd w:val="0"/>
        <w:snapToGrid w:val="0"/>
        <w:spacing w:line="360" w:lineRule="auto"/>
        <w:textAlignment w:val="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二、投标人资格要求为：</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60" w:lineRule="auto"/>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pPr>
        <w:keepNext w:val="0"/>
        <w:keepLines w:val="0"/>
        <w:pageBreakBefore w:val="0"/>
        <w:widowControl/>
        <w:tabs>
          <w:tab w:val="left" w:pos="525"/>
        </w:tabs>
        <w:kinsoku/>
        <w:wordWrap/>
        <w:overflowPunct/>
        <w:topLinePunct w:val="0"/>
        <w:autoSpaceDE/>
        <w:autoSpaceDN/>
        <w:bidi w:val="0"/>
        <w:adjustRightInd w:val="0"/>
        <w:snapToGrid w:val="0"/>
        <w:spacing w:line="360" w:lineRule="auto"/>
        <w:ind w:left="630" w:leftChars="300"/>
        <w:textAlignment w:val="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1）具有独立承担民事责任的能力；</w:t>
      </w:r>
    </w:p>
    <w:p>
      <w:pPr>
        <w:keepNext w:val="0"/>
        <w:keepLines w:val="0"/>
        <w:pageBreakBefore w:val="0"/>
        <w:widowControl/>
        <w:tabs>
          <w:tab w:val="left" w:pos="525"/>
        </w:tabs>
        <w:kinsoku/>
        <w:wordWrap/>
        <w:overflowPunct/>
        <w:topLinePunct w:val="0"/>
        <w:autoSpaceDE/>
        <w:autoSpaceDN/>
        <w:bidi w:val="0"/>
        <w:adjustRightInd w:val="0"/>
        <w:snapToGrid w:val="0"/>
        <w:spacing w:line="360" w:lineRule="auto"/>
        <w:ind w:left="630" w:leftChars="300"/>
        <w:textAlignment w:val="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2）具有良好的商业信誉和健全的财务会计制度；</w:t>
      </w:r>
    </w:p>
    <w:p>
      <w:pPr>
        <w:keepNext w:val="0"/>
        <w:keepLines w:val="0"/>
        <w:pageBreakBefore w:val="0"/>
        <w:widowControl/>
        <w:tabs>
          <w:tab w:val="left" w:pos="525"/>
        </w:tabs>
        <w:kinsoku/>
        <w:wordWrap/>
        <w:overflowPunct/>
        <w:topLinePunct w:val="0"/>
        <w:autoSpaceDE/>
        <w:autoSpaceDN/>
        <w:bidi w:val="0"/>
        <w:adjustRightInd w:val="0"/>
        <w:snapToGrid w:val="0"/>
        <w:spacing w:line="360" w:lineRule="auto"/>
        <w:ind w:left="630" w:leftChars="300"/>
        <w:textAlignment w:val="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3）具有履行合同所必需的设备和专业技术能力；</w:t>
      </w:r>
    </w:p>
    <w:p>
      <w:pPr>
        <w:keepNext w:val="0"/>
        <w:keepLines w:val="0"/>
        <w:pageBreakBefore w:val="0"/>
        <w:widowControl/>
        <w:tabs>
          <w:tab w:val="left" w:pos="525"/>
        </w:tabs>
        <w:kinsoku/>
        <w:wordWrap/>
        <w:overflowPunct/>
        <w:topLinePunct w:val="0"/>
        <w:autoSpaceDE/>
        <w:autoSpaceDN/>
        <w:bidi w:val="0"/>
        <w:adjustRightInd w:val="0"/>
        <w:snapToGrid w:val="0"/>
        <w:spacing w:line="360" w:lineRule="auto"/>
        <w:ind w:left="630" w:leftChars="300"/>
        <w:textAlignment w:val="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4）有依法缴纳税收和社会保障资金的良好记录；</w:t>
      </w:r>
    </w:p>
    <w:p>
      <w:pPr>
        <w:keepNext w:val="0"/>
        <w:keepLines w:val="0"/>
        <w:pageBreakBefore w:val="0"/>
        <w:widowControl/>
        <w:tabs>
          <w:tab w:val="left" w:pos="525"/>
        </w:tabs>
        <w:kinsoku/>
        <w:wordWrap/>
        <w:overflowPunct/>
        <w:topLinePunct w:val="0"/>
        <w:autoSpaceDE/>
        <w:autoSpaceDN/>
        <w:bidi w:val="0"/>
        <w:adjustRightInd w:val="0"/>
        <w:snapToGrid w:val="0"/>
        <w:spacing w:line="360" w:lineRule="auto"/>
        <w:ind w:left="630" w:leftChars="300"/>
        <w:textAlignment w:val="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5）参加政府采购活动前三年内，在经营活动中没有重大违法记录；</w:t>
      </w:r>
    </w:p>
    <w:p>
      <w:pPr>
        <w:keepNext w:val="0"/>
        <w:keepLines w:val="0"/>
        <w:pageBreakBefore w:val="0"/>
        <w:widowControl/>
        <w:tabs>
          <w:tab w:val="left" w:pos="525"/>
        </w:tabs>
        <w:kinsoku/>
        <w:wordWrap/>
        <w:overflowPunct/>
        <w:topLinePunct w:val="0"/>
        <w:autoSpaceDE/>
        <w:autoSpaceDN/>
        <w:bidi w:val="0"/>
        <w:adjustRightInd w:val="0"/>
        <w:snapToGrid w:val="0"/>
        <w:spacing w:line="360" w:lineRule="auto"/>
        <w:ind w:left="630" w:leftChars="300"/>
        <w:textAlignment w:val="auto"/>
        <w:rPr>
          <w:rFonts w:ascii="宋体" w:hAnsi="宋体"/>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6）法律、行政法规规定的其他条件。</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60" w:lineRule="auto"/>
        <w:ind w:left="735" w:hanging="315"/>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投标人应为在阳江市建成区内依法设立并取得营业执照的市级商业银行、农村</w:t>
      </w:r>
      <w:r>
        <w:rPr>
          <w:rFonts w:hint="eastAsia" w:ascii="宋体" w:hAnsi="宋体"/>
          <w:color w:val="000000" w:themeColor="text1"/>
          <w:szCs w:val="21"/>
          <w:highlight w:val="none"/>
          <w:lang w:val="en-US" w:eastAsia="zh-CN"/>
          <w14:textFill>
            <w14:solidFill>
              <w14:schemeClr w14:val="tx1"/>
            </w14:solidFill>
          </w14:textFill>
        </w:rPr>
        <w:t>商业银行</w:t>
      </w:r>
      <w:r>
        <w:rPr>
          <w:rFonts w:hint="eastAsia" w:ascii="宋体" w:hAnsi="宋体"/>
          <w:color w:val="000000" w:themeColor="text1"/>
          <w:szCs w:val="21"/>
          <w:highlight w:val="none"/>
          <w:lang w:eastAsia="zh-CN"/>
          <w14:textFill>
            <w14:solidFill>
              <w14:schemeClr w14:val="tx1"/>
            </w14:solidFill>
          </w14:textFill>
        </w:rPr>
        <w:t>等吸收公众存款的金融机构以及政策性银行；（</w:t>
      </w:r>
      <w:r>
        <w:rPr>
          <w:rFonts w:hint="eastAsia" w:ascii="宋体" w:hAnsi="宋体"/>
          <w:color w:val="000000" w:themeColor="text1"/>
          <w:szCs w:val="21"/>
          <w:highlight w:val="none"/>
          <w:lang w:val="en-US" w:eastAsia="zh-CN"/>
          <w14:textFill>
            <w14:solidFill>
              <w14:schemeClr w14:val="tx1"/>
            </w14:solidFill>
          </w14:textFill>
        </w:rPr>
        <w:t>提供《金融许可证》</w:t>
      </w:r>
      <w:r>
        <w:rPr>
          <w:rFonts w:hint="eastAsia" w:ascii="宋体" w:hAnsi="宋体"/>
          <w:color w:val="000000" w:themeColor="text1"/>
          <w:szCs w:val="21"/>
          <w:highlight w:val="none"/>
          <w:lang w:eastAsia="zh-CN"/>
          <w14:textFill>
            <w14:solidFill>
              <w14:schemeClr w14:val="tx1"/>
            </w14:solidFill>
          </w14:textFill>
        </w:rPr>
        <w:t>）</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60" w:lineRule="auto"/>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本项目不接受联合体投标，中标单位不得转分包项目；</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60" w:lineRule="auto"/>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在招标代理机构登记并购买招标文件。</w:t>
      </w:r>
    </w:p>
    <w:p>
      <w:pPr>
        <w:keepNext w:val="0"/>
        <w:keepLines w:val="0"/>
        <w:pageBreakBefore w:val="0"/>
        <w:widowControl/>
        <w:tabs>
          <w:tab w:val="left" w:pos="502"/>
        </w:tabs>
        <w:kinsoku/>
        <w:wordWrap/>
        <w:overflowPunct/>
        <w:topLinePunct w:val="0"/>
        <w:autoSpaceDE/>
        <w:autoSpaceDN/>
        <w:bidi w:val="0"/>
        <w:adjustRightInd w:val="0"/>
        <w:snapToGrid w:val="0"/>
        <w:spacing w:line="360" w:lineRule="auto"/>
        <w:textAlignment w:val="auto"/>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三、</w:t>
      </w:r>
      <w:r>
        <w:rPr>
          <w:rFonts w:ascii="Tahoma" w:hAnsi="Tahoma" w:cs="Tahoma"/>
          <w:b/>
          <w:bCs/>
          <w:color w:val="000000" w:themeColor="text1"/>
          <w:szCs w:val="21"/>
          <w:highlight w:val="none"/>
          <w14:textFill>
            <w14:solidFill>
              <w14:schemeClr w14:val="tx1"/>
            </w14:solidFill>
          </w14:textFill>
        </w:rPr>
        <w:t>招标文件的公示</w:t>
      </w:r>
    </w:p>
    <w:p>
      <w:pPr>
        <w:keepNext w:val="0"/>
        <w:keepLines w:val="0"/>
        <w:pageBreakBefore w:val="0"/>
        <w:kinsoku/>
        <w:wordWrap/>
        <w:overflowPunct/>
        <w:topLinePunct w:val="0"/>
        <w:autoSpaceDE/>
        <w:autoSpaceDN/>
        <w:bidi w:val="0"/>
        <w:spacing w:line="360" w:lineRule="auto"/>
        <w:ind w:firstLine="210" w:firstLineChars="1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r>
        <w:rPr>
          <w:rFonts w:hint="eastAsia" w:ascii="宋体" w:hAnsi="宋体" w:cs="Arial"/>
          <w:color w:val="000000" w:themeColor="text1"/>
          <w:highlight w:val="none"/>
          <w14:textFill>
            <w14:solidFill>
              <w14:schemeClr w14:val="tx1"/>
            </w14:solidFill>
          </w14:textFill>
        </w:rPr>
        <w:t>招标文件公示时</w:t>
      </w:r>
      <w:r>
        <w:rPr>
          <w:rFonts w:hint="eastAsia" w:ascii="宋体" w:hAnsi="宋体"/>
          <w:bCs/>
          <w:color w:val="000000" w:themeColor="text1"/>
          <w:highlight w:val="none"/>
          <w14:textFill>
            <w14:solidFill>
              <w14:schemeClr w14:val="tx1"/>
            </w14:solidFill>
          </w14:textFill>
        </w:rPr>
        <w:t>间及下载：</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3</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11</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7</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日</w:t>
      </w:r>
      <w:r>
        <w:rPr>
          <w:rFonts w:hint="eastAsia" w:ascii="宋体" w:hAnsi="宋体" w:eastAsia="宋体" w:cs="宋体"/>
          <w:color w:val="000000" w:themeColor="text1"/>
          <w:szCs w:val="21"/>
          <w:highlight w:val="none"/>
          <w14:textFill>
            <w14:solidFill>
              <w14:schemeClr w14:val="tx1"/>
            </w14:solidFill>
          </w14:textFill>
        </w:rPr>
        <w:t>至</w:t>
      </w:r>
      <w:r>
        <w:rPr>
          <w:rFonts w:hint="eastAsia" w:ascii="宋体" w:hAnsi="宋体" w:eastAsia="宋体" w:cs="宋体"/>
          <w:color w:val="000000" w:themeColor="text1"/>
          <w:szCs w:val="21"/>
          <w:highlight w:val="none"/>
          <w:lang w:val="en-US" w:eastAsia="zh-CN"/>
          <w14:textFill>
            <w14:solidFill>
              <w14:schemeClr w14:val="tx1"/>
            </w14:solidFill>
          </w14:textFill>
        </w:rPr>
        <w:t>202</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11</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14</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日</w:t>
      </w:r>
      <w:r>
        <w:rPr>
          <w:rFonts w:hint="eastAsia" w:ascii="宋体" w:hAnsi="宋体" w:eastAsia="宋体" w:cs="宋体"/>
          <w:bCs/>
          <w:color w:val="000000" w:themeColor="text1"/>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line="360" w:lineRule="auto"/>
        <w:ind w:left="315" w:leftChars="100" w:hanging="105" w:hangingChars="5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2．根据《广东省实施〈中华人民共和国政府采购法〉办法》第三十五条的规定，投标人认为政府采购文件的内容损害其权益</w:t>
      </w:r>
      <w:r>
        <w:rPr>
          <w:rFonts w:hint="eastAsia" w:ascii="宋体" w:hAnsi="宋体" w:eastAsia="宋体" w:cs="宋体"/>
          <w:color w:val="000000" w:themeColor="text1"/>
          <w:kern w:val="0"/>
          <w:szCs w:val="21"/>
          <w:highlight w:val="none"/>
          <w14:textFill>
            <w14:solidFill>
              <w14:schemeClr w14:val="tx1"/>
            </w14:solidFill>
          </w14:textFill>
        </w:rPr>
        <w:t>的，可以在公示期间或者自期满之日起七个工作日内以书面形式向采购人或代理采购机构提出质疑。质疑函应当由质疑投标人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pPr>
        <w:keepNext w:val="0"/>
        <w:keepLines w:val="0"/>
        <w:pageBreakBefore w:val="0"/>
        <w:widowControl/>
        <w:numPr>
          <w:ilvl w:val="0"/>
          <w:numId w:val="23"/>
        </w:numPr>
        <w:tabs>
          <w:tab w:val="left" w:pos="502"/>
        </w:tabs>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购买招标文件的时间、地点、方式及招标文件售价</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210" w:leftChars="1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1.购买招标文件</w:t>
      </w:r>
      <w:r>
        <w:rPr>
          <w:rFonts w:hint="eastAsia" w:ascii="宋体" w:hAnsi="宋体" w:eastAsia="宋体" w:cs="宋体"/>
          <w:bCs/>
          <w:color w:val="000000" w:themeColor="text1"/>
          <w:highlight w:val="none"/>
          <w14:textFill>
            <w14:solidFill>
              <w14:schemeClr w14:val="tx1"/>
            </w14:solidFill>
          </w14:textFill>
        </w:rPr>
        <w:t>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3</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11</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7</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日</w:t>
      </w:r>
      <w:r>
        <w:rPr>
          <w:rFonts w:hint="eastAsia" w:ascii="宋体" w:hAnsi="宋体" w:eastAsia="宋体" w:cs="宋体"/>
          <w:color w:val="000000" w:themeColor="text1"/>
          <w:szCs w:val="21"/>
          <w:highlight w:val="none"/>
          <w14:textFill>
            <w14:solidFill>
              <w14:schemeClr w14:val="tx1"/>
            </w14:solidFill>
          </w14:textFill>
        </w:rPr>
        <w:t>至</w:t>
      </w:r>
      <w:r>
        <w:rPr>
          <w:rFonts w:hint="eastAsia" w:ascii="宋体" w:hAnsi="宋体" w:eastAsia="宋体" w:cs="宋体"/>
          <w:color w:val="000000" w:themeColor="text1"/>
          <w:szCs w:val="21"/>
          <w:highlight w:val="none"/>
          <w:lang w:val="en-US" w:eastAsia="zh-CN"/>
          <w14:textFill>
            <w14:solidFill>
              <w14:schemeClr w14:val="tx1"/>
            </w14:solidFill>
          </w14:textFill>
        </w:rPr>
        <w:t>202</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11</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14</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日</w:t>
      </w:r>
      <w:r>
        <w:rPr>
          <w:rFonts w:hint="eastAsia" w:ascii="宋体" w:hAnsi="宋体" w:eastAsia="宋体" w:cs="宋体"/>
          <w:bCs/>
          <w:color w:val="000000" w:themeColor="text1"/>
          <w:highlight w:val="none"/>
          <w14:textFill>
            <w14:solidFill>
              <w14:schemeClr w14:val="tx1"/>
            </w14:solidFill>
          </w14:textFill>
        </w:rPr>
        <w:t>，上午9:00～12:00，下午2:30～5:30（节假日除外）（北</w:t>
      </w:r>
      <w:r>
        <w:rPr>
          <w:rFonts w:hint="eastAsia" w:ascii="宋体" w:hAnsi="宋体" w:eastAsia="宋体" w:cs="宋体"/>
          <w:color w:val="000000" w:themeColor="text1"/>
          <w:highlight w:val="none"/>
          <w14:textFill>
            <w14:solidFill>
              <w14:schemeClr w14:val="tx1"/>
            </w14:solidFill>
          </w14:textFill>
        </w:rPr>
        <w:t>京时间）。</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210" w:leftChars="1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2.购买招标文件地点：</w:t>
      </w:r>
      <w:r>
        <w:rPr>
          <w:rFonts w:hint="eastAsia" w:ascii="宋体" w:hAnsi="宋体" w:eastAsia="宋体" w:cs="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eastAsia="宋体" w:cs="宋体"/>
          <w:color w:val="000000" w:themeColor="text1"/>
          <w:szCs w:val="21"/>
          <w:highlight w:val="none"/>
          <w:lang w:val="en-US" w:eastAsia="zh-CN"/>
          <w14:textFill>
            <w14:solidFill>
              <w14:schemeClr w14:val="tx1"/>
            </w14:solidFill>
          </w14:textFill>
        </w:rPr>
        <w:t>205室</w:t>
      </w:r>
      <w:r>
        <w:rPr>
          <w:rFonts w:hint="eastAsia" w:ascii="宋体" w:hAnsi="宋体" w:eastAsia="宋体" w:cs="宋体"/>
          <w:color w:val="000000" w:themeColor="text1"/>
          <w:szCs w:val="21"/>
          <w:highlight w:val="none"/>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210" w:leftChars="1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3.招标文件售价：</w:t>
      </w:r>
      <w:r>
        <w:rPr>
          <w:rFonts w:hint="eastAsia" w:ascii="宋体" w:hAnsi="宋体" w:eastAsia="宋体" w:cs="宋体"/>
          <w:bCs/>
          <w:color w:val="000000" w:themeColor="text1"/>
          <w:szCs w:val="21"/>
          <w:highlight w:val="none"/>
          <w14:textFill>
            <w14:solidFill>
              <w14:schemeClr w14:val="tx1"/>
            </w14:solidFill>
          </w14:textFill>
        </w:rPr>
        <w:t>招标文件每套人民币300元，售后不退</w:t>
      </w:r>
      <w:r>
        <w:rPr>
          <w:rFonts w:hint="eastAsia" w:ascii="宋体" w:hAnsi="宋体" w:eastAsia="宋体" w:cs="宋体"/>
          <w:bCs/>
          <w:color w:val="000000" w:themeColor="text1"/>
          <w:highlight w:val="none"/>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420" w:leftChars="100" w:hanging="210" w:hangingChars="1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4.招标文件获取方式：现场发售。</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420" w:leftChars="100" w:hanging="210" w:hangingChars="100"/>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5.</w:t>
      </w:r>
      <w:r>
        <w:rPr>
          <w:rFonts w:hint="eastAsia" w:ascii="宋体" w:hAnsi="宋体" w:eastAsia="宋体" w:cs="宋体"/>
          <w:bCs/>
          <w:color w:val="000000" w:themeColor="text1"/>
          <w:szCs w:val="21"/>
          <w:highlight w:val="none"/>
          <w14:textFill>
            <w14:solidFill>
              <w14:schemeClr w14:val="tx1"/>
            </w14:solidFill>
          </w14:textFill>
        </w:rPr>
        <w:t>购买招标文件必须携带:</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659" w:leftChars="164" w:hanging="315" w:hangingChars="15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营业执照副本复印件和相关资质证书复印件及《购买标书登记表》（</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"http://www.yjgpc.gov.cn/" </w:instrText>
      </w:r>
      <w:r>
        <w:rPr>
          <w:rFonts w:hint="eastAsia" w:ascii="宋体" w:hAnsi="宋体" w:eastAsia="宋体" w:cs="宋体"/>
          <w:color w:val="000000" w:themeColor="text1"/>
          <w:highlight w:val="none"/>
          <w14:textFill>
            <w14:solidFill>
              <w14:schemeClr w14:val="tx1"/>
            </w14:solidFill>
          </w14:textFill>
        </w:rPr>
        <w:fldChar w:fldCharType="separate"/>
      </w:r>
      <w:r>
        <w:rPr>
          <w:rStyle w:val="52"/>
          <w:rFonts w:hint="eastAsia" w:ascii="宋体" w:hAnsi="宋体" w:eastAsia="宋体" w:cs="宋体"/>
          <w:color w:val="000000" w:themeColor="text1"/>
          <w:highlight w:val="none"/>
          <w14:textFill>
            <w14:solidFill>
              <w14:schemeClr w14:val="tx1"/>
            </w14:solidFill>
          </w14:textFill>
        </w:rPr>
        <w:t>http://www.yjcg.cc</w:t>
      </w:r>
      <w:r>
        <w:rPr>
          <w:rStyle w:val="52"/>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"http://www.yjcg.cc/index.php?c=content&amp;a=list&amp;catid=14" \o "政府采购资料下载" </w:instrText>
      </w:r>
      <w:r>
        <w:rPr>
          <w:rFonts w:hint="eastAsia" w:ascii="宋体" w:hAnsi="宋体" w:eastAsia="宋体" w:cs="宋体"/>
          <w:color w:val="000000" w:themeColor="text1"/>
          <w:highlight w:val="none"/>
          <w14:textFill>
            <w14:solidFill>
              <w14:schemeClr w14:val="tx1"/>
            </w14:solidFill>
          </w14:textFill>
        </w:rPr>
        <w:fldChar w:fldCharType="separate"/>
      </w:r>
      <w:r>
        <w:rPr>
          <w:rStyle w:val="52"/>
          <w:rFonts w:hint="eastAsia" w:ascii="宋体" w:hAnsi="宋体" w:eastAsia="宋体" w:cs="宋体"/>
          <w:bCs/>
          <w:color w:val="000000" w:themeColor="text1"/>
          <w:highlight w:val="none"/>
          <w14:textFill>
            <w14:solidFill>
              <w14:schemeClr w14:val="tx1"/>
            </w14:solidFill>
          </w14:textFill>
        </w:rPr>
        <w:t>政府采购资料</w:t>
      </w:r>
      <w:r>
        <w:rPr>
          <w:rStyle w:val="52"/>
          <w:rFonts w:hint="eastAsia" w:ascii="宋体" w:hAnsi="宋体" w:eastAsia="宋体" w:cs="宋体"/>
          <w:bCs/>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t>下载专区）加盖公章到指定地址购买。</w:t>
      </w:r>
      <w:r>
        <w:rPr>
          <w:rFonts w:hint="eastAsia" w:ascii="宋体" w:hAnsi="宋体" w:eastAsia="宋体" w:cs="宋体"/>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eastAsia="宋体" w:cs="宋体"/>
          <w:bCs/>
          <w:color w:val="000000" w:themeColor="text1"/>
          <w:highlight w:val="none"/>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660" w:leftChars="164" w:hanging="316" w:hangingChars="150"/>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2）供应商须提供未被列入“信用中国”网站(www.creditchina.gov.cn)“记录失信被执行人或</w:t>
      </w:r>
      <w:r>
        <w:rPr>
          <w:rFonts w:hint="eastAsia" w:ascii="宋体" w:hAnsi="宋体" w:eastAsia="宋体" w:cs="宋体"/>
          <w:b/>
          <w:bCs/>
          <w:color w:val="000000" w:themeColor="text1"/>
          <w:highlight w:val="none"/>
          <w:lang w:val="en-US" w:eastAsia="zh-CN"/>
          <w14:textFill>
            <w14:solidFill>
              <w14:schemeClr w14:val="tx1"/>
            </w14:solidFill>
          </w14:textFill>
        </w:rPr>
        <w:t>重大税收违法失信主体</w:t>
      </w:r>
      <w:r>
        <w:rPr>
          <w:rFonts w:hint="eastAsia" w:ascii="宋体" w:hAnsi="宋体" w:eastAsia="宋体" w:cs="宋体"/>
          <w:b/>
          <w:bCs/>
          <w:color w:val="000000" w:themeColor="text1"/>
          <w:highlight w:val="none"/>
          <w14:textFill>
            <w14:solidFill>
              <w14:schemeClr w14:val="tx1"/>
            </w14:solidFill>
          </w14:textFill>
        </w:rPr>
        <w:t>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keepNext w:val="0"/>
        <w:keepLines w:val="0"/>
        <w:pageBreakBefore w:val="0"/>
        <w:widowControl/>
        <w:numPr>
          <w:ilvl w:val="0"/>
          <w:numId w:val="23"/>
        </w:numPr>
        <w:tabs>
          <w:tab w:val="left" w:pos="502"/>
        </w:tabs>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投标截止时间、开标时间及地点</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210" w:firstLineChars="1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1.递交投标文件时间：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3</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11</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28</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日</w:t>
      </w:r>
      <w:r>
        <w:rPr>
          <w:rFonts w:hint="eastAsia" w:ascii="宋体" w:hAnsi="宋体" w:cs="宋体"/>
          <w:color w:val="000000" w:themeColor="text1"/>
          <w:highlight w:val="none"/>
          <w:lang w:val="en-US" w:eastAsia="zh-CN"/>
          <w14:textFill>
            <w14:solidFill>
              <w14:schemeClr w14:val="tx1"/>
            </w14:solidFill>
          </w14:textFill>
        </w:rPr>
        <w:t xml:space="preserve"> 14</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0-</w:t>
      </w:r>
      <w:r>
        <w:rPr>
          <w:rFonts w:hint="eastAsia" w:ascii="宋体" w:hAnsi="宋体" w:cs="宋体"/>
          <w:color w:val="000000" w:themeColor="text1"/>
          <w:highlight w:val="none"/>
          <w:lang w:val="en-US" w:eastAsia="zh-CN"/>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0</w:t>
      </w:r>
      <w:r>
        <w:rPr>
          <w:rFonts w:hint="eastAsia" w:ascii="宋体" w:hAnsi="宋体" w:eastAsia="宋体" w:cs="宋体"/>
          <w:color w:val="000000" w:themeColor="text1"/>
          <w:highlight w:val="none"/>
          <w14:textFill>
            <w14:solidFill>
              <w14:schemeClr w14:val="tx1"/>
            </w14:solidFill>
          </w14:textFill>
        </w:rPr>
        <w:t>0 (北京时间)。</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210" w:firstLineChars="1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2.投标截止时间、开标时间：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3</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11</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28</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日</w:t>
      </w:r>
      <w:r>
        <w:rPr>
          <w:rFonts w:hint="eastAsia" w:ascii="宋体" w:hAnsi="宋体" w:cs="宋体"/>
          <w:color w:val="000000" w:themeColor="text1"/>
          <w:highlight w:val="none"/>
          <w:lang w:val="en-US" w:eastAsia="zh-CN"/>
          <w14:textFill>
            <w14:solidFill>
              <w14:schemeClr w14:val="tx1"/>
            </w14:solidFill>
          </w14:textFill>
        </w:rPr>
        <w:t xml:space="preserve"> 15</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00</w:t>
      </w:r>
      <w:r>
        <w:rPr>
          <w:rFonts w:hint="eastAsia" w:ascii="宋体" w:hAnsi="宋体" w:eastAsia="宋体" w:cs="宋体"/>
          <w:color w:val="000000" w:themeColor="text1"/>
          <w:highlight w:val="none"/>
          <w14:textFill>
            <w14:solidFill>
              <w14:schemeClr w14:val="tx1"/>
            </w14:solidFill>
          </w14:textFill>
        </w:rPr>
        <w:t>(北京时间)。</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210" w:firstLineChars="1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3.递交投标文件地点、开标地点：</w:t>
      </w:r>
      <w:r>
        <w:rPr>
          <w:rFonts w:hint="eastAsia" w:ascii="宋体" w:hAnsi="宋体" w:eastAsia="宋体" w:cs="宋体"/>
          <w:color w:val="000000" w:themeColor="text1"/>
          <w:highlight w:val="none"/>
          <w:lang w:eastAsia="zh-CN"/>
          <w14:textFill>
            <w14:solidFill>
              <w14:schemeClr w14:val="tx1"/>
            </w14:solidFill>
          </w14:textFill>
        </w:rPr>
        <w:t>阳江市江城区猫山四街33号A座2楼</w:t>
      </w:r>
      <w:r>
        <w:rPr>
          <w:rFonts w:hint="eastAsia" w:ascii="宋体" w:hAnsi="宋体" w:eastAsia="宋体" w:cs="宋体"/>
          <w:color w:val="000000" w:themeColor="text1"/>
          <w:highlight w:val="none"/>
          <w:lang w:val="en-US" w:eastAsia="zh-CN"/>
          <w14:textFill>
            <w14:solidFill>
              <w14:schemeClr w14:val="tx1"/>
            </w14:solidFill>
          </w14:textFill>
        </w:rPr>
        <w:t>201</w:t>
      </w:r>
      <w:r>
        <w:rPr>
          <w:rFonts w:hint="eastAsia" w:ascii="宋体" w:hAnsi="宋体" w:eastAsia="宋体" w:cs="宋体"/>
          <w:color w:val="000000" w:themeColor="text1"/>
          <w:highlight w:val="none"/>
          <w14:textFill>
            <w14:solidFill>
              <w14:schemeClr w14:val="tx1"/>
            </w14:solidFill>
          </w14:textFill>
        </w:rPr>
        <w:t>开标室。</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六、采购人、代理采购机构的名称、地址和联系方式</w:t>
      </w:r>
    </w:p>
    <w:p>
      <w:pPr>
        <w:keepNext w:val="0"/>
        <w:keepLines w:val="0"/>
        <w:pageBreakBefore w:val="0"/>
        <w:widowControl/>
        <w:tabs>
          <w:tab w:val="left" w:pos="630"/>
        </w:tabs>
        <w:kinsoku/>
        <w:wordWrap/>
        <w:overflowPunct/>
        <w:topLinePunct w:val="0"/>
        <w:autoSpaceDE/>
        <w:autoSpaceDN/>
        <w:bidi w:val="0"/>
        <w:adjustRightInd w:val="0"/>
        <w:snapToGrid w:val="0"/>
        <w:spacing w:line="360" w:lineRule="auto"/>
        <w:ind w:firstLine="315" w:firstLineChars="15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1．采购人联系方式：</w:t>
      </w:r>
    </w:p>
    <w:p>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kern w:val="28"/>
          <w:szCs w:val="21"/>
          <w:highlight w:val="none"/>
          <w:lang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名    称：</w:t>
      </w:r>
      <w:r>
        <w:rPr>
          <w:rFonts w:hint="eastAsia" w:ascii="宋体" w:hAnsi="宋体" w:cs="宋体"/>
          <w:color w:val="000000" w:themeColor="text1"/>
          <w:kern w:val="28"/>
          <w:szCs w:val="21"/>
          <w:highlight w:val="none"/>
          <w:lang w:eastAsia="zh-CN"/>
          <w14:textFill>
            <w14:solidFill>
              <w14:schemeClr w14:val="tx1"/>
            </w14:solidFill>
          </w14:textFill>
        </w:rPr>
        <w:t>阳江市财政局</w:t>
      </w:r>
    </w:p>
    <w:p>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630" w:firstLineChars="300"/>
        <w:textAlignment w:val="auto"/>
        <w:rPr>
          <w:rFonts w:hint="default" w:ascii="宋体" w:hAnsi="宋体" w:eastAsia="宋体" w:cs="宋体"/>
          <w:color w:val="000000" w:themeColor="text1"/>
          <w:kern w:val="28"/>
          <w:szCs w:val="21"/>
          <w:highlight w:val="none"/>
          <w:lang w:val="en-US" w:eastAsia="zh-CN"/>
          <w14:textFill>
            <w14:solidFill>
              <w14:schemeClr w14:val="tx1"/>
            </w14:solidFill>
          </w14:textFill>
        </w:rPr>
      </w:pPr>
      <w:r>
        <w:rPr>
          <w:rFonts w:hint="default" w:ascii="宋体" w:hAnsi="宋体" w:eastAsia="宋体" w:cs="宋体"/>
          <w:color w:val="000000" w:themeColor="text1"/>
          <w:kern w:val="28"/>
          <w:szCs w:val="21"/>
          <w:highlight w:val="none"/>
          <w:lang w:val="en-US"/>
          <w14:textFill>
            <w14:solidFill>
              <w14:schemeClr w14:val="tx1"/>
            </w14:solidFill>
          </w14:textFill>
        </w:rPr>
        <w:t>地    址：</w:t>
      </w:r>
      <w:r>
        <w:rPr>
          <w:rFonts w:hint="default" w:ascii="宋体" w:hAnsi="宋体" w:eastAsia="宋体" w:cs="宋体"/>
          <w:color w:val="000000" w:themeColor="text1"/>
          <w:kern w:val="28"/>
          <w:szCs w:val="21"/>
          <w:highlight w:val="none"/>
          <w:lang w:val="en-US" w:eastAsia="zh-CN"/>
          <w14:textFill>
            <w14:solidFill>
              <w14:schemeClr w14:val="tx1"/>
            </w14:solidFill>
          </w14:textFill>
        </w:rPr>
        <w:t>阳江市石湾北路225号</w:t>
      </w:r>
    </w:p>
    <w:p>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kern w:val="28"/>
          <w:szCs w:val="21"/>
          <w:highlight w:val="none"/>
          <w:lang w:val="en-US" w:eastAsia="zh-CN"/>
          <w14:textFill>
            <w14:solidFill>
              <w14:schemeClr w14:val="tx1"/>
            </w14:solidFill>
          </w14:textFill>
        </w:rPr>
      </w:pPr>
      <w:r>
        <w:rPr>
          <w:rFonts w:hint="default" w:ascii="宋体" w:hAnsi="宋体" w:eastAsia="宋体" w:cs="宋体"/>
          <w:color w:val="000000" w:themeColor="text1"/>
          <w:kern w:val="28"/>
          <w:szCs w:val="21"/>
          <w:highlight w:val="none"/>
          <w:lang w:val="en-US"/>
          <w14:textFill>
            <w14:solidFill>
              <w14:schemeClr w14:val="tx1"/>
            </w14:solidFill>
          </w14:textFill>
        </w:rPr>
        <w:t>联 系 人：钟</w:t>
      </w:r>
      <w:r>
        <w:rPr>
          <w:rFonts w:hint="eastAsia" w:ascii="宋体" w:hAnsi="宋体" w:cs="宋体"/>
          <w:color w:val="000000" w:themeColor="text1"/>
          <w:kern w:val="28"/>
          <w:szCs w:val="21"/>
          <w:highlight w:val="none"/>
          <w:lang w:val="en-US" w:eastAsia="zh-CN"/>
          <w14:textFill>
            <w14:solidFill>
              <w14:schemeClr w14:val="tx1"/>
            </w14:solidFill>
          </w14:textFill>
        </w:rPr>
        <w:t>小姐</w:t>
      </w:r>
    </w:p>
    <w:p>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630" w:firstLineChars="300"/>
        <w:textAlignment w:val="auto"/>
        <w:rPr>
          <w:rFonts w:hint="default" w:ascii="宋体" w:hAnsi="宋体" w:eastAsia="宋体" w:cs="宋体"/>
          <w:color w:val="000000" w:themeColor="text1"/>
          <w:kern w:val="28"/>
          <w:szCs w:val="21"/>
          <w:highlight w:val="none"/>
          <w:lang w:val="en-US"/>
          <w14:textFill>
            <w14:solidFill>
              <w14:schemeClr w14:val="tx1"/>
            </w14:solidFill>
          </w14:textFill>
        </w:rPr>
      </w:pPr>
      <w:r>
        <w:rPr>
          <w:rFonts w:hint="default" w:ascii="宋体" w:hAnsi="宋体" w:eastAsia="宋体" w:cs="宋体"/>
          <w:color w:val="000000" w:themeColor="text1"/>
          <w:kern w:val="28"/>
          <w:szCs w:val="21"/>
          <w:highlight w:val="none"/>
          <w:lang w:val="en-US"/>
          <w14:textFill>
            <w14:solidFill>
              <w14:schemeClr w14:val="tx1"/>
            </w14:solidFill>
          </w14:textFill>
        </w:rPr>
        <w:t>联系电话：0662-34219</w:t>
      </w:r>
      <w:r>
        <w:rPr>
          <w:rFonts w:hint="default" w:ascii="宋体" w:hAnsi="宋体" w:eastAsia="宋体" w:cs="宋体"/>
          <w:color w:val="000000" w:themeColor="text1"/>
          <w:kern w:val="28"/>
          <w:szCs w:val="21"/>
          <w:highlight w:val="none"/>
          <w:lang w:val="en-US" w:eastAsia="zh-CN"/>
          <w14:textFill>
            <w14:solidFill>
              <w14:schemeClr w14:val="tx1"/>
            </w14:solidFill>
          </w14:textFill>
        </w:rPr>
        <w:t>3</w:t>
      </w:r>
      <w:r>
        <w:rPr>
          <w:rFonts w:hint="default" w:ascii="宋体" w:hAnsi="宋体" w:eastAsia="宋体" w:cs="宋体"/>
          <w:color w:val="000000" w:themeColor="text1"/>
          <w:kern w:val="28"/>
          <w:szCs w:val="21"/>
          <w:highlight w:val="none"/>
          <w:lang w:val="en-US"/>
          <w14:textFill>
            <w14:solidFill>
              <w14:schemeClr w14:val="tx1"/>
            </w14:solidFill>
          </w14:textFill>
        </w:rPr>
        <w:t>0</w:t>
      </w:r>
    </w:p>
    <w:p>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315" w:firstLineChars="150"/>
        <w:textAlignment w:val="auto"/>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代理采购机构联系方式：</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名    称：</w:t>
      </w:r>
      <w:r>
        <w:rPr>
          <w:rFonts w:hint="eastAsia" w:ascii="宋体" w:hAnsi="宋体" w:eastAsia="宋体" w:cs="宋体"/>
          <w:color w:val="000000" w:themeColor="text1"/>
          <w:highlight w:val="none"/>
          <w:lang w:eastAsia="zh-CN"/>
          <w14:textFill>
            <w14:solidFill>
              <w14:schemeClr w14:val="tx1"/>
            </w14:solidFill>
          </w14:textFill>
        </w:rPr>
        <w:t>广东业信招标有限公司</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    址：</w:t>
      </w:r>
      <w:r>
        <w:rPr>
          <w:rFonts w:hint="eastAsia" w:ascii="宋体" w:hAnsi="宋体" w:eastAsia="宋体" w:cs="宋体"/>
          <w:color w:val="000000" w:themeColor="text1"/>
          <w:highlight w:val="none"/>
          <w:lang w:eastAsia="zh-CN"/>
          <w14:textFill>
            <w14:solidFill>
              <w14:schemeClr w14:val="tx1"/>
            </w14:solidFill>
          </w14:textFill>
        </w:rPr>
        <w:t>阳江市江城区猫山四街33号A座2楼</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 系 人：</w:t>
      </w:r>
      <w:r>
        <w:rPr>
          <w:rFonts w:hint="eastAsia" w:ascii="宋体" w:hAnsi="宋体" w:eastAsia="宋体" w:cs="宋体"/>
          <w:color w:val="000000" w:themeColor="text1"/>
          <w:highlight w:val="none"/>
          <w:lang w:val="en-US" w:eastAsia="zh-CN"/>
          <w14:textFill>
            <w14:solidFill>
              <w14:schemeClr w14:val="tx1"/>
            </w14:solidFill>
          </w14:textFill>
        </w:rPr>
        <w:t>谢小姐</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联系电话：0662-3167266</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传    真：0662-2669666</w:t>
      </w:r>
    </w:p>
    <w:p>
      <w:pPr>
        <w:keepNext w:val="0"/>
        <w:keepLines w:val="0"/>
        <w:pageBreakBefore w:val="0"/>
        <w:tabs>
          <w:tab w:val="left" w:pos="4680"/>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网    址：</w:t>
      </w:r>
      <w:r>
        <w:rPr>
          <w:rFonts w:hint="eastAsia" w:ascii="宋体" w:hAnsi="宋体" w:eastAsia="宋体" w:cs="宋体"/>
          <w:bCs/>
          <w:color w:val="000000" w:themeColor="text1"/>
          <w:highlight w:val="none"/>
          <w14:textFill>
            <w14:solidFill>
              <w14:schemeClr w14:val="tx1"/>
            </w14:solidFill>
          </w14:textFill>
        </w:rPr>
        <w:t>http://www.yjcg.cc</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b/>
          <w:color w:val="000000" w:themeColor="text1"/>
          <w:spacing w:val="20"/>
          <w:szCs w:val="21"/>
          <w:highlight w:val="none"/>
          <w14:textFill>
            <w14:solidFill>
              <w14:schemeClr w14:val="tx1"/>
            </w14:solidFill>
          </w14:textFill>
        </w:rPr>
      </w:pPr>
    </w:p>
    <w:p>
      <w:pPr>
        <w:keepNext w:val="0"/>
        <w:keepLines w:val="0"/>
        <w:pageBreakBefore w:val="0"/>
        <w:widowControl/>
        <w:tabs>
          <w:tab w:val="left" w:pos="4769"/>
        </w:tabs>
        <w:kinsoku/>
        <w:wordWrap/>
        <w:overflowPunct/>
        <w:topLinePunct w:val="0"/>
        <w:autoSpaceDE/>
        <w:autoSpaceDN/>
        <w:bidi w:val="0"/>
        <w:adjustRightInd w:val="0"/>
        <w:snapToGrid w:val="0"/>
        <w:spacing w:line="360" w:lineRule="auto"/>
        <w:ind w:left="105" w:leftChars="50" w:firstLine="420" w:firstLineChars="200"/>
        <w:jc w:val="right"/>
        <w:textAlignment w:val="auto"/>
        <w:rPr>
          <w:rFonts w:hint="eastAsia" w:ascii="宋体" w:hAnsi="宋体" w:eastAsia="宋体" w:cs="宋体"/>
          <w:bCs/>
          <w:color w:val="000000" w:themeColor="text1"/>
          <w:highlight w:val="none"/>
          <w:lang w:eastAsia="zh-CN"/>
          <w14:textFill>
            <w14:solidFill>
              <w14:schemeClr w14:val="tx1"/>
            </w14:solidFill>
          </w14:textFill>
        </w:rPr>
      </w:pPr>
      <w:r>
        <w:rPr>
          <w:rFonts w:hint="eastAsia" w:ascii="宋体" w:hAnsi="宋体" w:eastAsia="宋体" w:cs="宋体"/>
          <w:bCs/>
          <w:color w:val="000000" w:themeColor="text1"/>
          <w:highlight w:val="none"/>
          <w:lang w:eastAsia="zh-CN"/>
          <w14:textFill>
            <w14:solidFill>
              <w14:schemeClr w14:val="tx1"/>
            </w14:solidFill>
          </w14:textFill>
        </w:rPr>
        <w:t>广东业信招标有限公司</w:t>
      </w:r>
    </w:p>
    <w:p>
      <w:pPr>
        <w:keepNext w:val="0"/>
        <w:keepLines w:val="0"/>
        <w:pageBreakBefore w:val="0"/>
        <w:widowControl/>
        <w:tabs>
          <w:tab w:val="left" w:pos="4769"/>
        </w:tabs>
        <w:kinsoku/>
        <w:wordWrap/>
        <w:overflowPunct/>
        <w:topLinePunct w:val="0"/>
        <w:autoSpaceDE/>
        <w:autoSpaceDN/>
        <w:bidi w:val="0"/>
        <w:adjustRightInd w:val="0"/>
        <w:snapToGrid w:val="0"/>
        <w:spacing w:line="360" w:lineRule="auto"/>
        <w:ind w:left="105" w:leftChars="50" w:firstLine="420" w:firstLineChars="200"/>
        <w:jc w:val="right"/>
        <w:textAlignment w:val="auto"/>
        <w:rPr>
          <w:rFonts w:hint="eastAsia" w:ascii="宋体" w:hAnsi="宋体" w:eastAsia="宋体" w:cs="宋体"/>
          <w:bCs/>
          <w:color w:val="000000" w:themeColor="text1"/>
          <w:highlight w:val="none"/>
          <w14:textFill>
            <w14:solidFill>
              <w14:schemeClr w14:val="tx1"/>
            </w14:solidFill>
          </w14:textFill>
        </w:rPr>
      </w:pPr>
      <w:bookmarkStart w:id="37" w:name="_Toc336681893"/>
      <w:bookmarkStart w:id="38" w:name="_Toc340677032"/>
      <w:bookmarkStart w:id="39" w:name="_Toc340672831"/>
      <w:bookmarkStart w:id="40" w:name="_Toc345513763"/>
      <w:bookmarkStart w:id="41" w:name="_Toc333237724"/>
      <w:bookmarkStart w:id="42" w:name="_Toc342060323"/>
      <w:bookmarkStart w:id="43" w:name="_Toc333935620"/>
      <w:bookmarkStart w:id="44" w:name="_Toc365985109"/>
      <w:bookmarkStart w:id="45" w:name="_Toc339020187"/>
      <w:bookmarkStart w:id="46" w:name="_Toc339441045"/>
      <w:bookmarkStart w:id="47" w:name="_Toc366072458"/>
      <w:bookmarkStart w:id="48" w:name="_Toc331512857"/>
      <w:bookmarkStart w:id="49" w:name="_Toc337632316"/>
      <w:bookmarkStart w:id="50" w:name="_Toc333935279"/>
      <w:bookmarkStart w:id="51" w:name="_Toc332270306"/>
      <w:bookmarkStart w:id="52" w:name="_Toc349127584"/>
      <w:bookmarkStart w:id="53" w:name="_Toc339020049"/>
      <w:bookmarkStart w:id="54" w:name="_Toc339362258"/>
      <w:bookmarkStart w:id="55" w:name="_Toc339019955"/>
      <w:bookmarkStart w:id="56" w:name="_Toc339019829"/>
      <w:bookmarkStart w:id="57" w:name="_Toc333237613"/>
      <w:bookmarkStart w:id="58" w:name="_Toc331683995"/>
      <w:bookmarkStart w:id="59" w:name="_Toc342296709"/>
      <w:bookmarkStart w:id="60" w:name="_Toc365967003"/>
      <w:bookmarkStart w:id="61" w:name="_Toc340507404"/>
      <w:bookmarkStart w:id="62" w:name="_Toc350756404"/>
      <w:bookmarkStart w:id="63" w:name="_Toc336681538"/>
      <w:bookmarkStart w:id="64" w:name="_Toc349143547"/>
      <w:bookmarkStart w:id="65" w:name="_Toc341348292"/>
      <w:bookmarkStart w:id="66" w:name="_Toc332206658"/>
      <w:bookmarkStart w:id="67" w:name="_Toc350438703"/>
      <w:bookmarkStart w:id="68" w:name="_Toc333238572"/>
      <w:bookmarkStart w:id="69" w:name="_Toc330459946"/>
      <w:r>
        <w:rPr>
          <w:rFonts w:hint="eastAsia" w:ascii="宋体" w:hAnsi="宋体" w:cs="宋体"/>
          <w:color w:val="000000" w:themeColor="text1"/>
          <w:kern w:val="2"/>
          <w:sz w:val="21"/>
          <w:szCs w:val="24"/>
          <w:highlight w:val="none"/>
          <w:lang w:val="en-US" w:eastAsia="zh-CN" w:bidi="ar-SA"/>
          <w14:textFill>
            <w14:solidFill>
              <w14:schemeClr w14:val="tx1"/>
            </w14:solidFill>
          </w14:textFill>
        </w:rPr>
        <w:t>2023</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11</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7</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日</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3"/>
        <w:numPr>
          <w:ilvl w:val="0"/>
          <w:numId w:val="0"/>
        </w:numPr>
        <w:spacing w:beforeLines="0" w:afterLines="50" w:line="390" w:lineRule="exact"/>
        <w:ind w:left="105" w:leftChars="50" w:firstLine="480" w:firstLineChars="200"/>
        <w:rPr>
          <w:color w:val="000000" w:themeColor="text1"/>
          <w:highlight w:val="none"/>
          <w14:textFill>
            <w14:solidFill>
              <w14:schemeClr w14:val="tx1"/>
            </w14:solidFill>
          </w14:textFill>
        </w:rPr>
      </w:pPr>
      <w:bookmarkStart w:id="70" w:name="_Toc10340"/>
      <w:r>
        <w:rPr>
          <w:rFonts w:hint="eastAsia"/>
          <w:color w:val="000000" w:themeColor="text1"/>
          <w:highlight w:val="none"/>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75570886"/>
      <w:bookmarkStart w:id="73" w:name="_Toc333935280"/>
      <w:bookmarkStart w:id="74" w:name="_Toc333935621"/>
      <w:bookmarkStart w:id="75" w:name="_Toc333237725"/>
      <w:bookmarkStart w:id="76" w:name="_Toc333237614"/>
      <w:bookmarkStart w:id="77" w:name="_Toc330459949"/>
      <w:bookmarkStart w:id="78" w:name="_Toc333238573"/>
      <w:r>
        <w:rPr>
          <w:rFonts w:hint="eastAsia"/>
          <w:color w:val="000000" w:themeColor="text1"/>
          <w:highlight w:val="none"/>
          <w14:textFill>
            <w14:solidFill>
              <w14:schemeClr w14:val="tx1"/>
            </w14:solidFill>
          </w14:textFill>
        </w:rPr>
        <w:t>采购项目内容</w:t>
      </w:r>
      <w:bookmarkEnd w:id="70"/>
    </w:p>
    <w:bookmarkEnd w:id="72"/>
    <w:bookmarkEnd w:id="73"/>
    <w:bookmarkEnd w:id="74"/>
    <w:bookmarkEnd w:id="75"/>
    <w:bookmarkEnd w:id="76"/>
    <w:bookmarkEnd w:id="77"/>
    <w:bookmarkEnd w:id="78"/>
    <w:p>
      <w:pPr>
        <w:pStyle w:val="4"/>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79" w:name="_Toc26198"/>
      <w:bookmarkStart w:id="80" w:name="_Toc332206675"/>
      <w:bookmarkStart w:id="81" w:name="_Toc350756417"/>
      <w:bookmarkStart w:id="82" w:name="_Toc339441054"/>
      <w:bookmarkStart w:id="83" w:name="_Toc365985146"/>
      <w:bookmarkStart w:id="84" w:name="_Toc331512865"/>
      <w:bookmarkStart w:id="85" w:name="_Toc330459952"/>
      <w:bookmarkStart w:id="86" w:name="_Toc349127593"/>
      <w:bookmarkStart w:id="87" w:name="_Toc339019982"/>
      <w:bookmarkStart w:id="88" w:name="_Toc366072495"/>
      <w:bookmarkStart w:id="89" w:name="_Toc331684005"/>
      <w:bookmarkStart w:id="90" w:name="_Toc340677037"/>
      <w:bookmarkStart w:id="91" w:name="_Toc365967040"/>
      <w:bookmarkStart w:id="92" w:name="_Toc333935313"/>
      <w:bookmarkStart w:id="93" w:name="_Toc342296727"/>
      <w:bookmarkStart w:id="94" w:name="_Toc340672836"/>
      <w:bookmarkStart w:id="95" w:name="_Toc345513834"/>
      <w:bookmarkStart w:id="96" w:name="_Toc340507409"/>
      <w:bookmarkStart w:id="97" w:name="_Toc339020200"/>
      <w:bookmarkStart w:id="98" w:name="_Toc333238600"/>
      <w:bookmarkStart w:id="99" w:name="_Toc337632325"/>
      <w:bookmarkStart w:id="100" w:name="_Toc336681547"/>
      <w:bookmarkStart w:id="101" w:name="_Toc333935654"/>
      <w:bookmarkStart w:id="102" w:name="_Toc339020062"/>
      <w:bookmarkStart w:id="103" w:name="_Toc336681902"/>
      <w:bookmarkStart w:id="104" w:name="_Toc349143556"/>
      <w:bookmarkStart w:id="105" w:name="_Toc333237644"/>
      <w:bookmarkStart w:id="106" w:name="_Toc339362267"/>
      <w:bookmarkStart w:id="107" w:name="_Toc350438716"/>
      <w:bookmarkStart w:id="108" w:name="_Toc333237755"/>
      <w:bookmarkStart w:id="109" w:name="_Toc341348305"/>
      <w:bookmarkStart w:id="110" w:name="_Toc339019856"/>
      <w:bookmarkStart w:id="111" w:name="_Toc342060341"/>
      <w:bookmarkStart w:id="112" w:name="_Toc332270313"/>
      <w:r>
        <w:rPr>
          <w:color w:val="000000" w:themeColor="text1"/>
          <w:kern w:val="0"/>
          <w:sz w:val="24"/>
          <w:highlight w:val="none"/>
          <w14:textFill>
            <w14:solidFill>
              <w14:schemeClr w14:val="tx1"/>
            </w14:solidFill>
          </w14:textFill>
        </w:rPr>
        <w:t xml:space="preserve">A  </w:t>
      </w:r>
      <w:r>
        <w:rPr>
          <w:rFonts w:hint="eastAsia"/>
          <w:color w:val="000000" w:themeColor="text1"/>
          <w:kern w:val="0"/>
          <w:sz w:val="24"/>
          <w:highlight w:val="none"/>
          <w14:textFill>
            <w14:solidFill>
              <w14:schemeClr w14:val="tx1"/>
            </w14:solidFill>
          </w14:textFill>
        </w:rPr>
        <w:t>商务要求</w:t>
      </w:r>
      <w:bookmarkEnd w:id="79"/>
    </w:p>
    <w:tbl>
      <w:tblPr>
        <w:tblStyle w:val="46"/>
        <w:tblW w:w="10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autoSpaceDE/>
              <w:autoSpaceDN/>
              <w:bidi w:val="0"/>
              <w:adjustRightInd/>
              <w:spacing w:line="360" w:lineRule="exact"/>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autoSpaceDE/>
              <w:autoSpaceDN/>
              <w:bidi w:val="0"/>
              <w:adjustRightInd/>
              <w:spacing w:line="360" w:lineRule="exact"/>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w:t>
            </w:r>
          </w:p>
        </w:tc>
        <w:tc>
          <w:tcPr>
            <w:tcW w:w="680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autoSpaceDE/>
              <w:autoSpaceDN/>
              <w:bidi w:val="0"/>
              <w:adjustRightInd/>
              <w:spacing w:line="360" w:lineRule="exact"/>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投标人投标资格要求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w:t>
            </w:r>
            <w:r>
              <w:rPr>
                <w:rFonts w:hint="eastAsia"/>
                <w:color w:val="000000" w:themeColor="text1"/>
                <w:highlight w:val="none"/>
                <w:lang w:eastAsia="zh-CN"/>
                <w14:textFill>
                  <w14:solidFill>
                    <w14:schemeClr w14:val="tx1"/>
                  </w14:solidFill>
                </w14:textFill>
              </w:rPr>
              <w:t>部分</w:t>
            </w:r>
            <w:r>
              <w:rPr>
                <w:rFonts w:hint="eastAsia"/>
                <w:color w:val="000000" w:themeColor="text1"/>
                <w:highlight w:val="none"/>
                <w14:textFill>
                  <w14:solidFill>
                    <w14:schemeClr w14:val="tx1"/>
                  </w14:solidFill>
                </w14:textFill>
              </w:rPr>
              <w:t>《投标邀请函》。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服务期</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合同签订要求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采购合同由中标供应商</w:t>
            </w:r>
            <w:r>
              <w:rPr>
                <w:rFonts w:hint="eastAsia"/>
                <w:color w:val="000000" w:themeColor="text1"/>
                <w:highlight w:val="none"/>
                <w:lang w:val="en-US" w:eastAsia="zh-CN"/>
                <w14:textFill>
                  <w14:solidFill>
                    <w14:schemeClr w14:val="tx1"/>
                  </w14:solidFill>
                </w14:textFill>
              </w:rPr>
              <w:t>凭《中标通知书》</w:t>
            </w:r>
            <w:r>
              <w:rPr>
                <w:rFonts w:hint="eastAsia"/>
                <w:color w:val="000000" w:themeColor="text1"/>
                <w:highlight w:val="none"/>
                <w14:textFill>
                  <w14:solidFill>
                    <w14:schemeClr w14:val="tx1"/>
                  </w14:solidFill>
                </w14:textFill>
              </w:rPr>
              <w:t>与采购人双方签订，签订时间为《中标通知书》</w:t>
            </w:r>
            <w:r>
              <w:rPr>
                <w:rFonts w:hint="eastAsia"/>
                <w:color w:val="000000" w:themeColor="text1"/>
                <w:highlight w:val="none"/>
                <w:lang w:val="en-US" w:eastAsia="zh-CN"/>
                <w14:textFill>
                  <w14:solidFill>
                    <w14:schemeClr w14:val="tx1"/>
                  </w14:solidFill>
                </w14:textFill>
              </w:rPr>
              <w:t>发出</w:t>
            </w:r>
            <w:r>
              <w:rPr>
                <w:rFonts w:hint="eastAsia"/>
                <w:color w:val="000000" w:themeColor="text1"/>
                <w:highlight w:val="none"/>
                <w14:textFill>
                  <w14:solidFill>
                    <w14:schemeClr w14:val="tx1"/>
                  </w14:solidFill>
                </w14:textFill>
              </w:rPr>
              <w:t>后30日内。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服务</w:t>
            </w:r>
            <w:r>
              <w:rPr>
                <w:rFonts w:hint="eastAsia"/>
                <w:b/>
                <w:color w:val="000000" w:themeColor="text1"/>
                <w:highlight w:val="none"/>
                <w14:textFill>
                  <w14:solidFill>
                    <w14:schemeClr w14:val="tx1"/>
                  </w14:solidFill>
                </w14:textFill>
              </w:rPr>
              <w:t>地点</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textAlignment w:val="auto"/>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采购人指定地点</w:t>
            </w:r>
            <w:r>
              <w:rPr>
                <w:rFonts w:hint="eastAsia"/>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商务要求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投标人交所提的服务应符合或优于国家现行相关标准。没有国家标准的，执行现行的行业标准。</w:t>
            </w:r>
          </w:p>
          <w:p>
            <w:pPr>
              <w:keepNext w:val="0"/>
              <w:keepLines w:val="0"/>
              <w:pageBreakBefore w:val="0"/>
              <w:kinsoku/>
              <w:wordWrap/>
              <w:overflowPunct/>
              <w:topLinePunct w:val="0"/>
              <w:autoSpaceDE/>
              <w:autoSpaceDN/>
              <w:bidi w:val="0"/>
              <w:adjustRightInd/>
              <w:spacing w:line="360" w:lineRule="exact"/>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投标人必须具备良好的资产质量状况、良好的偿付能力、良好的运营能力和严格的内部控制制度,保证账户资金安全。</w:t>
            </w:r>
          </w:p>
          <w:p>
            <w:pPr>
              <w:keepNext w:val="0"/>
              <w:keepLines w:val="0"/>
              <w:pageBreakBefore w:val="0"/>
              <w:kinsoku/>
              <w:wordWrap/>
              <w:overflowPunct/>
              <w:topLinePunct w:val="0"/>
              <w:autoSpaceDE/>
              <w:autoSpaceDN/>
              <w:bidi w:val="0"/>
              <w:adjustRightInd/>
              <w:spacing w:line="360" w:lineRule="exac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投标人应对我市经济发展做出贡献。近三年来投标人履行社会责任及对地方财政、社保工作的支持情况良好，小微企业的贷款情况良好。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其他要求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投标人的投标方案应包括但不限于以下内容：</w:t>
            </w:r>
          </w:p>
          <w:p>
            <w:pPr>
              <w:keepNext w:val="0"/>
              <w:keepLines w:val="0"/>
              <w:pageBreakBefore w:val="0"/>
              <w:kinsoku/>
              <w:wordWrap/>
              <w:overflowPunct/>
              <w:topLinePunct w:val="0"/>
              <w:autoSpaceDE/>
              <w:autoSpaceDN/>
              <w:bidi w:val="0"/>
              <w:adjustRightInd/>
              <w:spacing w:line="360" w:lineRule="exact"/>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w:t>
            </w:r>
            <w:r>
              <w:rPr>
                <w:rFonts w:hint="eastAsia"/>
                <w:color w:val="000000" w:themeColor="text1"/>
                <w:highlight w:val="none"/>
                <w14:textFill>
                  <w14:solidFill>
                    <w14:schemeClr w14:val="tx1"/>
                  </w14:solidFill>
                </w14:textFill>
              </w:rPr>
              <w:t>业务的组织（包括业务组织架构，参与业务的人员配备和素质、管理体系等）。内部规章制度、中国人民银行阳江市</w:t>
            </w:r>
            <w:r>
              <w:rPr>
                <w:rFonts w:hint="eastAsia"/>
                <w:color w:val="000000" w:themeColor="text1"/>
                <w:highlight w:val="none"/>
                <w:lang w:eastAsia="zh-CN"/>
                <w14:textFill>
                  <w14:solidFill>
                    <w14:schemeClr w14:val="tx1"/>
                  </w14:solidFill>
                </w14:textFill>
              </w:rPr>
              <w:t>分</w:t>
            </w:r>
            <w:r>
              <w:rPr>
                <w:rFonts w:hint="eastAsia"/>
                <w:color w:val="000000" w:themeColor="text1"/>
                <w:highlight w:val="none"/>
                <w14:textFill>
                  <w14:solidFill>
                    <w14:schemeClr w14:val="tx1"/>
                  </w14:solidFill>
                </w14:textFill>
              </w:rPr>
              <w:t>行或阳江银监局核准的数据材料；</w:t>
            </w:r>
          </w:p>
          <w:p>
            <w:pPr>
              <w:keepNext w:val="0"/>
              <w:keepLines w:val="0"/>
              <w:pageBreakBefore w:val="0"/>
              <w:kinsoku/>
              <w:wordWrap/>
              <w:overflowPunct/>
              <w:topLinePunct w:val="0"/>
              <w:autoSpaceDE/>
              <w:autoSpaceDN/>
              <w:bidi w:val="0"/>
              <w:adjustRightInd/>
              <w:spacing w:line="360" w:lineRule="exact"/>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r>
              <w:rPr>
                <w:rFonts w:hint="eastAsia"/>
                <w:color w:val="000000" w:themeColor="text1"/>
                <w:highlight w:val="none"/>
                <w:lang w:val="en-US" w:eastAsia="zh-CN"/>
                <w14:textFill>
                  <w14:solidFill>
                    <w14:schemeClr w14:val="tx1"/>
                  </w14:solidFill>
                </w14:textFill>
              </w:rPr>
              <w:t>.</w:t>
            </w:r>
            <w:r>
              <w:rPr>
                <w:rFonts w:hint="eastAsia"/>
                <w:color w:val="000000" w:themeColor="text1"/>
                <w:highlight w:val="none"/>
                <w14:textFill>
                  <w14:solidFill>
                    <w14:schemeClr w14:val="tx1"/>
                  </w14:solidFill>
                </w14:textFill>
              </w:rPr>
              <w:t>投标人需提供正在实施的利率文件或业务协议或业务操作规程等材料；</w:t>
            </w:r>
          </w:p>
          <w:p>
            <w:pPr>
              <w:keepNext w:val="0"/>
              <w:keepLines w:val="0"/>
              <w:pageBreakBefore w:val="0"/>
              <w:kinsoku/>
              <w:wordWrap/>
              <w:overflowPunct/>
              <w:topLinePunct w:val="0"/>
              <w:autoSpaceDE/>
              <w:autoSpaceDN/>
              <w:bidi w:val="0"/>
              <w:adjustRightInd/>
              <w:spacing w:line="360" w:lineRule="exact"/>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r>
              <w:rPr>
                <w:rFonts w:hint="eastAsia"/>
                <w:color w:val="000000" w:themeColor="text1"/>
                <w:highlight w:val="none"/>
                <w:lang w:val="en-US" w:eastAsia="zh-CN"/>
                <w14:textFill>
                  <w14:solidFill>
                    <w14:schemeClr w14:val="tx1"/>
                  </w14:solidFill>
                </w14:textFill>
              </w:rPr>
              <w:t>.</w:t>
            </w:r>
            <w:r>
              <w:rPr>
                <w:rFonts w:hint="eastAsia"/>
                <w:color w:val="000000" w:themeColor="text1"/>
                <w:highlight w:val="none"/>
                <w14:textFill>
                  <w14:solidFill>
                    <w14:schemeClr w14:val="tx1"/>
                  </w14:solidFill>
                </w14:textFill>
              </w:rPr>
              <w:t>业务处理流程；</w:t>
            </w:r>
          </w:p>
          <w:p>
            <w:pPr>
              <w:keepNext w:val="0"/>
              <w:keepLines w:val="0"/>
              <w:pageBreakBefore w:val="0"/>
              <w:kinsoku/>
              <w:wordWrap/>
              <w:overflowPunct/>
              <w:topLinePunct w:val="0"/>
              <w:autoSpaceDE/>
              <w:autoSpaceDN/>
              <w:bidi w:val="0"/>
              <w:adjustRightInd/>
              <w:spacing w:line="360" w:lineRule="exact"/>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r>
              <w:rPr>
                <w:rFonts w:hint="eastAsia"/>
                <w:color w:val="000000" w:themeColor="text1"/>
                <w:highlight w:val="none"/>
                <w:lang w:val="en-US" w:eastAsia="zh-CN"/>
                <w14:textFill>
                  <w14:solidFill>
                    <w14:schemeClr w14:val="tx1"/>
                  </w14:solidFill>
                </w14:textFill>
              </w:rPr>
              <w:t>.</w:t>
            </w:r>
            <w:r>
              <w:rPr>
                <w:rFonts w:hint="eastAsia"/>
                <w:color w:val="000000" w:themeColor="text1"/>
                <w:highlight w:val="none"/>
                <w14:textFill>
                  <w14:solidFill>
                    <w14:schemeClr w14:val="tx1"/>
                  </w14:solidFill>
                </w14:textFill>
              </w:rPr>
              <w:t>保证资金及时、安全、准确汇划的措施；</w:t>
            </w:r>
          </w:p>
          <w:p>
            <w:pPr>
              <w:keepNext w:val="0"/>
              <w:keepLines w:val="0"/>
              <w:pageBreakBefore w:val="0"/>
              <w:kinsoku/>
              <w:wordWrap/>
              <w:overflowPunct/>
              <w:topLinePunct w:val="0"/>
              <w:autoSpaceDE/>
              <w:autoSpaceDN/>
              <w:bidi w:val="0"/>
              <w:adjustRightInd/>
              <w:spacing w:line="360" w:lineRule="exact"/>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r>
              <w:rPr>
                <w:rFonts w:hint="eastAsia"/>
                <w:color w:val="000000" w:themeColor="text1"/>
                <w:highlight w:val="none"/>
                <w:lang w:val="en-US" w:eastAsia="zh-CN"/>
                <w14:textFill>
                  <w14:solidFill>
                    <w14:schemeClr w14:val="tx1"/>
                  </w14:solidFill>
                </w14:textFill>
              </w:rPr>
              <w:t>.</w:t>
            </w:r>
            <w:r>
              <w:rPr>
                <w:rFonts w:hint="eastAsia"/>
                <w:color w:val="000000" w:themeColor="text1"/>
                <w:highlight w:val="none"/>
                <w14:textFill>
                  <w14:solidFill>
                    <w14:schemeClr w14:val="tx1"/>
                  </w14:solidFill>
                </w14:textFill>
              </w:rPr>
              <w:t>划拨资金、汇总、报表处理措施；</w:t>
            </w:r>
          </w:p>
          <w:p>
            <w:pPr>
              <w:keepNext w:val="0"/>
              <w:keepLines w:val="0"/>
              <w:pageBreakBefore w:val="0"/>
              <w:kinsoku/>
              <w:wordWrap/>
              <w:overflowPunct/>
              <w:topLinePunct w:val="0"/>
              <w:autoSpaceDE/>
              <w:autoSpaceDN/>
              <w:bidi w:val="0"/>
              <w:adjustRightInd/>
              <w:spacing w:line="360" w:lineRule="exact"/>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w:t>
            </w:r>
            <w:r>
              <w:rPr>
                <w:rFonts w:hint="eastAsia"/>
                <w:color w:val="000000" w:themeColor="text1"/>
                <w:highlight w:val="none"/>
                <w:lang w:val="en-US" w:eastAsia="zh-CN"/>
                <w14:textFill>
                  <w14:solidFill>
                    <w14:schemeClr w14:val="tx1"/>
                  </w14:solidFill>
                </w14:textFill>
              </w:rPr>
              <w:t>.</w:t>
            </w:r>
            <w:r>
              <w:rPr>
                <w:rFonts w:hint="eastAsia"/>
                <w:color w:val="000000" w:themeColor="text1"/>
                <w:highlight w:val="none"/>
                <w14:textFill>
                  <w14:solidFill>
                    <w14:schemeClr w14:val="tx1"/>
                  </w14:solidFill>
                </w14:textFill>
              </w:rPr>
              <w:t>信息反馈的措施、手段；</w:t>
            </w:r>
          </w:p>
          <w:p>
            <w:pPr>
              <w:keepNext w:val="0"/>
              <w:keepLines w:val="0"/>
              <w:pageBreakBefore w:val="0"/>
              <w:kinsoku/>
              <w:wordWrap/>
              <w:overflowPunct/>
              <w:topLinePunct w:val="0"/>
              <w:autoSpaceDE/>
              <w:autoSpaceDN/>
              <w:bidi w:val="0"/>
              <w:adjustRightInd/>
              <w:spacing w:line="360" w:lineRule="exact"/>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r>
              <w:rPr>
                <w:rFonts w:hint="eastAsia"/>
                <w:color w:val="000000" w:themeColor="text1"/>
                <w:highlight w:val="none"/>
                <w:lang w:val="en-US" w:eastAsia="zh-CN"/>
                <w14:textFill>
                  <w14:solidFill>
                    <w14:schemeClr w14:val="tx1"/>
                  </w14:solidFill>
                </w14:textFill>
              </w:rPr>
              <w:t>.</w:t>
            </w:r>
            <w:r>
              <w:rPr>
                <w:rFonts w:hint="eastAsia"/>
                <w:color w:val="000000" w:themeColor="text1"/>
                <w:highlight w:val="none"/>
                <w14:textFill>
                  <w14:solidFill>
                    <w14:schemeClr w14:val="tx1"/>
                  </w14:solidFill>
                </w14:textFill>
              </w:rPr>
              <w:t>紧急业务处理程序和时间限定；</w:t>
            </w:r>
          </w:p>
          <w:p>
            <w:pPr>
              <w:keepNext w:val="0"/>
              <w:keepLines w:val="0"/>
              <w:pageBreakBefore w:val="0"/>
              <w:kinsoku/>
              <w:wordWrap/>
              <w:overflowPunct/>
              <w:topLinePunct w:val="0"/>
              <w:autoSpaceDE/>
              <w:autoSpaceDN/>
              <w:bidi w:val="0"/>
              <w:adjustRightInd/>
              <w:spacing w:line="360" w:lineRule="exact"/>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w:t>
            </w:r>
            <w:r>
              <w:rPr>
                <w:rFonts w:hint="eastAsia"/>
                <w:color w:val="000000" w:themeColor="text1"/>
                <w:highlight w:val="none"/>
                <w:lang w:val="en-US" w:eastAsia="zh-CN"/>
                <w14:textFill>
                  <w14:solidFill>
                    <w14:schemeClr w14:val="tx1"/>
                  </w14:solidFill>
                </w14:textFill>
              </w:rPr>
              <w:t>.</w:t>
            </w:r>
            <w:r>
              <w:rPr>
                <w:rFonts w:hint="eastAsia"/>
                <w:color w:val="000000" w:themeColor="text1"/>
                <w:highlight w:val="none"/>
                <w14:textFill>
                  <w14:solidFill>
                    <w14:schemeClr w14:val="tx1"/>
                  </w14:solidFill>
                </w14:textFill>
              </w:rPr>
              <w:t>保密措施；</w:t>
            </w:r>
          </w:p>
          <w:p>
            <w:pPr>
              <w:keepNext w:val="0"/>
              <w:keepLines w:val="0"/>
              <w:pageBreakBefore w:val="0"/>
              <w:kinsoku/>
              <w:wordWrap/>
              <w:overflowPunct/>
              <w:topLinePunct w:val="0"/>
              <w:autoSpaceDE/>
              <w:autoSpaceDN/>
              <w:bidi w:val="0"/>
              <w:adjustRightInd/>
              <w:spacing w:line="360" w:lineRule="exact"/>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9</w:t>
            </w:r>
            <w:r>
              <w:rPr>
                <w:rFonts w:hint="eastAsia"/>
                <w:color w:val="000000" w:themeColor="text1"/>
                <w:highlight w:val="none"/>
                <w:lang w:val="en-US" w:eastAsia="zh-CN"/>
                <w14:textFill>
                  <w14:solidFill>
                    <w14:schemeClr w14:val="tx1"/>
                  </w14:solidFill>
                </w14:textFill>
              </w:rPr>
              <w:t>.</w:t>
            </w:r>
            <w:r>
              <w:rPr>
                <w:rFonts w:hint="eastAsia"/>
                <w:color w:val="000000" w:themeColor="text1"/>
                <w:highlight w:val="none"/>
                <w14:textFill>
                  <w14:solidFill>
                    <w14:schemeClr w14:val="tx1"/>
                  </w14:solidFill>
                </w14:textFill>
              </w:rPr>
              <w:t>对财政部门、社保经办机构的其他服务承诺和优惠措施；</w:t>
            </w:r>
          </w:p>
          <w:p>
            <w:pPr>
              <w:keepNext w:val="0"/>
              <w:keepLines w:val="0"/>
              <w:pageBreakBefore w:val="0"/>
              <w:kinsoku/>
              <w:wordWrap/>
              <w:overflowPunct/>
              <w:topLinePunct w:val="0"/>
              <w:autoSpaceDE/>
              <w:autoSpaceDN/>
              <w:bidi w:val="0"/>
              <w:adjustRightInd/>
              <w:spacing w:line="360" w:lineRule="exact"/>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w:t>
            </w:r>
            <w:r>
              <w:rPr>
                <w:rFonts w:hint="eastAsia"/>
                <w:color w:val="000000" w:themeColor="text1"/>
                <w:highlight w:val="none"/>
                <w:lang w:val="en-US" w:eastAsia="zh-CN"/>
                <w14:textFill>
                  <w14:solidFill>
                    <w14:schemeClr w14:val="tx1"/>
                  </w14:solidFill>
                </w14:textFill>
              </w:rPr>
              <w:t>.</w:t>
            </w:r>
            <w:r>
              <w:rPr>
                <w:rFonts w:hint="eastAsia"/>
                <w:color w:val="000000" w:themeColor="text1"/>
                <w:highlight w:val="none"/>
                <w14:textFill>
                  <w14:solidFill>
                    <w14:schemeClr w14:val="tx1"/>
                  </w14:solidFill>
                </w14:textFill>
              </w:rPr>
              <w:t>纠错处理措施；</w:t>
            </w:r>
          </w:p>
          <w:p>
            <w:pPr>
              <w:keepNext w:val="0"/>
              <w:keepLines w:val="0"/>
              <w:pageBreakBefore w:val="0"/>
              <w:kinsoku/>
              <w:wordWrap/>
              <w:overflowPunct/>
              <w:topLinePunct w:val="0"/>
              <w:autoSpaceDE/>
              <w:autoSpaceDN/>
              <w:bidi w:val="0"/>
              <w:adjustRightInd/>
              <w:spacing w:line="360" w:lineRule="exact"/>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w:t>
            </w:r>
            <w:r>
              <w:rPr>
                <w:rFonts w:hint="eastAsia"/>
                <w:color w:val="000000" w:themeColor="text1"/>
                <w:highlight w:val="none"/>
                <w:lang w:val="en-US" w:eastAsia="zh-CN"/>
                <w14:textFill>
                  <w14:solidFill>
                    <w14:schemeClr w14:val="tx1"/>
                  </w14:solidFill>
                </w14:textFill>
              </w:rPr>
              <w:t>.</w:t>
            </w:r>
            <w:r>
              <w:rPr>
                <w:rFonts w:hint="eastAsia"/>
                <w:color w:val="000000" w:themeColor="text1"/>
                <w:highlight w:val="none"/>
                <w14:textFill>
                  <w14:solidFill>
                    <w14:schemeClr w14:val="tx1"/>
                  </w14:solidFill>
                </w14:textFill>
              </w:rPr>
              <w:t>廉政承诺书；</w:t>
            </w:r>
          </w:p>
          <w:p>
            <w:pPr>
              <w:keepNext w:val="0"/>
              <w:keepLines w:val="0"/>
              <w:pageBreakBefore w:val="0"/>
              <w:kinsoku/>
              <w:wordWrap/>
              <w:overflowPunct/>
              <w:topLinePunct w:val="0"/>
              <w:autoSpaceDE/>
              <w:autoSpaceDN/>
              <w:bidi w:val="0"/>
              <w:adjustRightInd/>
              <w:spacing w:line="360" w:lineRule="exact"/>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12</w:t>
            </w:r>
            <w:r>
              <w:rPr>
                <w:rFonts w:hint="eastAsia"/>
                <w:color w:val="000000" w:themeColor="text1"/>
                <w:highlight w:val="none"/>
                <w:lang w:val="en-US" w:eastAsia="zh-CN"/>
                <w14:textFill>
                  <w14:solidFill>
                    <w14:schemeClr w14:val="tx1"/>
                  </w14:solidFill>
                </w14:textFill>
              </w:rPr>
              <w:t>.接受未到期的社保基金定期存款（项目新合同生效之日起半年内到期的）先留存在原代理银行存放，待定期存款到期后转入；</w:t>
            </w:r>
          </w:p>
          <w:p>
            <w:pPr>
              <w:keepNext w:val="0"/>
              <w:keepLines w:val="0"/>
              <w:pageBreakBefore w:val="0"/>
              <w:kinsoku/>
              <w:wordWrap/>
              <w:overflowPunct/>
              <w:topLinePunct w:val="0"/>
              <w:autoSpaceDE/>
              <w:autoSpaceDN/>
              <w:bidi w:val="0"/>
              <w:adjustRightInd/>
              <w:spacing w:line="360" w:lineRule="exact"/>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3.若中标单位为未设有市财政局社保基金财政专户的商业银行，则须配合市财政局根据有关规定依法向财政部申请开立社保基金财政专户，在新的社保基金财政专户开立完成前，原开户银行需与现中标银行相互沟通相关社保基金的协调工作，保证相关社保基金的正常运转；</w:t>
            </w:r>
          </w:p>
          <w:p>
            <w:pPr>
              <w:keepNext w:val="0"/>
              <w:keepLines w:val="0"/>
              <w:pageBreakBefore w:val="0"/>
              <w:kinsoku/>
              <w:wordWrap/>
              <w:overflowPunct/>
              <w:topLinePunct w:val="0"/>
              <w:autoSpaceDE/>
              <w:autoSpaceDN/>
              <w:bidi w:val="0"/>
              <w:adjustRightInd/>
              <w:spacing w:line="360" w:lineRule="exact"/>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14.财政专户开设先后顺序，依据中标人投标结果综合得分由高到低排名；采购人有义务及时办理向上级财政申请社保基金财政专户开立有关事宜，但若因政策性因素，财政专户无法及时开立或开设，中标人不得追究采购人任何责任。</w:t>
            </w:r>
          </w:p>
          <w:p>
            <w:pPr>
              <w:keepNext w:val="0"/>
              <w:keepLines w:val="0"/>
              <w:pageBreakBefore w:val="0"/>
              <w:kinsoku/>
              <w:wordWrap/>
              <w:overflowPunct/>
              <w:topLinePunct w:val="0"/>
              <w:autoSpaceDE/>
              <w:autoSpaceDN/>
              <w:bidi w:val="0"/>
              <w:adjustRightInd/>
              <w:spacing w:line="360" w:lineRule="exact"/>
              <w:textAlignment w:val="auto"/>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15.</w:t>
            </w:r>
            <w:r>
              <w:rPr>
                <w:rFonts w:hint="eastAsia"/>
                <w:color w:val="000000" w:themeColor="text1"/>
                <w:highlight w:val="none"/>
                <w14:textFill>
                  <w14:solidFill>
                    <w14:schemeClr w14:val="tx1"/>
                  </w14:solidFill>
                </w14:textFill>
              </w:rPr>
              <w:t>其他需要说明的问题。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7</w:t>
            </w:r>
          </w:p>
        </w:tc>
        <w:tc>
          <w:tcPr>
            <w:tcW w:w="2552"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w:t>
            </w:r>
          </w:p>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（应当以支票、汇票、本票或者金融机构、担保机构出具的保函等非现金</w:t>
            </w:r>
          </w:p>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形式提交）。</w:t>
            </w:r>
          </w:p>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提交主体：应以投标人名义交纳，如由上级行或其他上级金融机构代交的，须出具《情况说明书》，并说明理由。</w:t>
            </w:r>
            <w:r>
              <w:rPr>
                <w:rFonts w:hint="eastAsia" w:ascii="宋体" w:hAnsi="宋体" w:eastAsia="宋体" w:cs="宋体"/>
                <w:color w:val="000000" w:themeColor="text1"/>
                <w:sz w:val="21"/>
                <w:szCs w:val="21"/>
                <w:highlight w:val="none"/>
                <w14:textFill>
                  <w14:solidFill>
                    <w14:schemeClr w14:val="tx1"/>
                  </w14:solidFill>
                </w14:textFill>
              </w:rPr>
              <w:t>应注明“</w:t>
            </w:r>
            <w:r>
              <w:rPr>
                <w:rFonts w:hint="eastAsia" w:ascii="宋体" w:hAnsi="宋体" w:eastAsia="宋体" w:cs="宋体"/>
                <w:b/>
                <w:color w:val="000000" w:themeColor="text1"/>
                <w:sz w:val="21"/>
                <w:szCs w:val="21"/>
                <w:highlight w:val="none"/>
                <w14:textFill>
                  <w14:solidFill>
                    <w14:schemeClr w14:val="tx1"/>
                  </w14:solidFill>
                </w14:textFill>
              </w:rPr>
              <w:t>（项目编号）投标保证金</w:t>
            </w:r>
            <w:r>
              <w:rPr>
                <w:rFonts w:hint="eastAsia" w:ascii="宋体" w:hAnsi="宋体" w:eastAsia="宋体" w:cs="宋体"/>
                <w:color w:val="000000" w:themeColor="text1"/>
                <w:sz w:val="21"/>
                <w:szCs w:val="21"/>
                <w:highlight w:val="none"/>
                <w14:textFill>
                  <w14:solidFill>
                    <w14:schemeClr w14:val="tx1"/>
                  </w14:solidFill>
                </w14:textFill>
              </w:rPr>
              <w:t>”。</w:t>
            </w: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6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保证金数额</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60" w:lineRule="exact"/>
              <w:ind w:left="316" w:hanging="316" w:hangingChars="150"/>
              <w:jc w:val="left"/>
              <w:textAlignment w:val="auto"/>
              <w:rPr>
                <w:rFonts w:ascii="宋体" w:hAnsi="宋体"/>
                <w:b/>
                <w:color w:val="000000" w:themeColor="text1"/>
                <w:szCs w:val="21"/>
                <w:highlight w:val="none"/>
                <w14:textFill>
                  <w14:solidFill>
                    <w14:schemeClr w14:val="tx1"/>
                  </w14:solidFill>
                </w14:textFill>
              </w:rPr>
            </w:pPr>
            <w:r>
              <w:rPr>
                <w:rFonts w:hint="eastAsia" w:ascii="宋体" w:hAnsi="宋体" w:cs="宋体"/>
                <w:b/>
                <w:color w:val="000000" w:themeColor="text1"/>
                <w:sz w:val="21"/>
                <w:szCs w:val="21"/>
                <w:highlight w:val="none"/>
                <w:lang w:val="en-US" w:eastAsia="zh-CN"/>
                <w14:textFill>
                  <w14:solidFill>
                    <w14:schemeClr w14:val="tx1"/>
                  </w14:solidFill>
                </w14:textFill>
              </w:rPr>
              <w:t>人</w:t>
            </w:r>
            <w:r>
              <w:rPr>
                <w:rFonts w:hint="eastAsia" w:ascii="宋体" w:hAnsi="宋体" w:eastAsia="宋体" w:cs="宋体"/>
                <w:b/>
                <w:color w:val="000000" w:themeColor="text1"/>
                <w:sz w:val="21"/>
                <w:szCs w:val="21"/>
                <w:highlight w:val="none"/>
                <w14:textFill>
                  <w14:solidFill>
                    <w14:schemeClr w14:val="tx1"/>
                  </w14:solidFill>
                </w14:textFill>
              </w:rPr>
              <w:t>民币</w:t>
            </w:r>
            <w:r>
              <w:rPr>
                <w:rFonts w:hint="eastAsia" w:ascii="宋体" w:hAnsi="宋体" w:eastAsia="宋体" w:cs="宋体"/>
                <w:b/>
                <w:color w:val="000000" w:themeColor="text1"/>
                <w:sz w:val="21"/>
                <w:szCs w:val="21"/>
                <w:highlight w:val="none"/>
                <w:lang w:eastAsia="zh-CN"/>
                <w14:textFill>
                  <w14:solidFill>
                    <w14:schemeClr w14:val="tx1"/>
                  </w14:solidFill>
                </w14:textFill>
              </w:rPr>
              <w:t>伍万</w:t>
            </w:r>
            <w:r>
              <w:rPr>
                <w:rFonts w:hint="eastAsia" w:ascii="宋体" w:hAnsi="宋体" w:eastAsia="宋体" w:cs="宋体"/>
                <w:b/>
                <w:color w:val="000000" w:themeColor="text1"/>
                <w:sz w:val="21"/>
                <w:szCs w:val="21"/>
                <w:highlight w:val="none"/>
                <w14:textFill>
                  <w14:solidFill>
                    <w14:schemeClr w14:val="tx1"/>
                  </w14:solidFill>
                </w14:textFill>
              </w:rPr>
              <w:t>元整（￥</w:t>
            </w:r>
            <w:r>
              <w:rPr>
                <w:rFonts w:hint="eastAsia" w:ascii="宋体" w:hAnsi="宋体" w:eastAsia="宋体" w:cs="宋体"/>
                <w:b/>
                <w:color w:val="000000" w:themeColor="text1"/>
                <w:sz w:val="21"/>
                <w:szCs w:val="21"/>
                <w:highlight w:val="none"/>
                <w:lang w:val="en-US" w:eastAsia="zh-CN"/>
                <w14:textFill>
                  <w14:solidFill>
                    <w14:schemeClr w14:val="tx1"/>
                  </w14:solidFill>
                </w14:textFill>
              </w:rPr>
              <w:t>50000</w:t>
            </w:r>
            <w:r>
              <w:rPr>
                <w:rFonts w:hint="eastAsia" w:ascii="宋体" w:hAnsi="宋体" w:eastAsia="宋体" w:cs="宋体"/>
                <w:b/>
                <w:color w:val="000000" w:themeColor="text1"/>
                <w:sz w:val="21"/>
                <w:szCs w:val="21"/>
                <w:highlight w:val="none"/>
                <w14:textFill>
                  <w14:solidFill>
                    <w14:schemeClr w14:val="tx1"/>
                  </w14:solidFill>
                </w14:textFill>
              </w:rPr>
              <w:t>.00元）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b/>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left"/>
              <w:textAlignment w:val="auto"/>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b/>
                <w:bCs/>
                <w:color w:val="000000" w:themeColor="text1"/>
                <w:szCs w:val="21"/>
                <w:highlight w:val="none"/>
                <w:lang w:eastAsia="zh-CN"/>
                <w14:textFill>
                  <w14:solidFill>
                    <w14:schemeClr w14:val="tx1"/>
                  </w14:solidFill>
                </w14:textFill>
              </w:rPr>
            </w:pPr>
            <w:r>
              <w:rPr>
                <w:rFonts w:hint="eastAsia" w:ascii="宋体" w:hAnsi="宋体" w:eastAsia="宋体"/>
                <w:b/>
                <w:bCs/>
                <w:color w:val="000000" w:themeColor="text1"/>
                <w:szCs w:val="21"/>
                <w:highlight w:val="none"/>
                <w:lang w:eastAsia="zh-CN"/>
                <w14:textFill>
                  <w14:solidFill>
                    <w14:schemeClr w14:val="tx1"/>
                  </w14:solidFill>
                </w14:textFill>
              </w:rPr>
              <w:t>80020000016804642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left"/>
              <w:textAlignment w:val="auto"/>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eastAsia="宋体"/>
                <w:b/>
                <w:bCs/>
                <w:color w:val="000000" w:themeColor="text1"/>
                <w:szCs w:val="21"/>
                <w:highlight w:val="none"/>
                <w:lang w:eastAsia="zh-CN"/>
                <w14:textFill>
                  <w14:solidFill>
                    <w14:schemeClr w14:val="tx1"/>
                  </w14:solidFill>
                </w14:textFill>
              </w:rPr>
            </w:pPr>
            <w:r>
              <w:rPr>
                <w:rFonts w:hint="eastAsia" w:ascii="宋体" w:hAnsi="宋体" w:eastAsia="宋体"/>
                <w:b/>
                <w:bCs/>
                <w:color w:val="000000" w:themeColor="text1"/>
                <w:szCs w:val="21"/>
                <w:highlight w:val="none"/>
                <w:lang w:eastAsia="zh-CN"/>
                <w14:textFill>
                  <w14:solidFill>
                    <w14:schemeClr w14:val="tx1"/>
                  </w14:solidFill>
                </w14:textFill>
              </w:rPr>
              <w:t>阳江农村商业银行股份有限公司营业部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left"/>
              <w:textAlignment w:val="auto"/>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60" w:lineRule="exact"/>
              <w:jc w:val="center"/>
              <w:textAlignment w:val="auto"/>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交纳时间</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60" w:lineRule="exact"/>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投标保证金作为供应商投标的组成部分，与投标文件一同递交。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8</w:t>
            </w:r>
          </w:p>
        </w:tc>
        <w:tc>
          <w:tcPr>
            <w:tcW w:w="2552"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中标服务费</w:t>
            </w:r>
          </w:p>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收费标准：</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left"/>
              <w:textAlignment w:val="auto"/>
              <w:rPr>
                <w:rFonts w:ascii="宋体" w:hAnsi="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根据发改价格[2015]299号文的规定</w:t>
            </w:r>
            <w:r>
              <w:rPr>
                <w:rFonts w:hint="eastAsia" w:ascii="宋体" w:hAnsi="宋体" w:eastAsia="宋体" w:cs="宋体"/>
                <w:color w:val="000000" w:themeColor="text1"/>
                <w:sz w:val="21"/>
                <w:szCs w:val="21"/>
                <w:highlight w:val="none"/>
                <w14:textFill>
                  <w14:solidFill>
                    <w14:schemeClr w14:val="tx1"/>
                  </w14:solidFill>
                </w14:textFill>
              </w:rPr>
              <w:t>，招标代理服务费实行市场调节价。</w:t>
            </w:r>
            <w:r>
              <w:rPr>
                <w:rFonts w:hint="eastAsia" w:ascii="宋体" w:hAnsi="宋体" w:cs="宋体"/>
                <w:color w:val="000000" w:themeColor="text1"/>
                <w:sz w:val="21"/>
                <w:szCs w:val="21"/>
                <w:highlight w:val="none"/>
                <w:lang w:val="en-US" w:eastAsia="zh-CN"/>
                <w14:textFill>
                  <w14:solidFill>
                    <w14:schemeClr w14:val="tx1"/>
                  </w14:solidFill>
                </w14:textFill>
              </w:rPr>
              <w:t>各</w:t>
            </w:r>
            <w:r>
              <w:rPr>
                <w:rFonts w:hint="eastAsia" w:ascii="宋体" w:hAnsi="宋体" w:eastAsia="宋体" w:cs="宋体"/>
                <w:bCs/>
                <w:color w:val="000000" w:themeColor="text1"/>
                <w:sz w:val="21"/>
                <w:szCs w:val="21"/>
                <w:highlight w:val="none"/>
                <w14:textFill>
                  <w14:solidFill>
                    <w14:schemeClr w14:val="tx1"/>
                  </w14:solidFill>
                </w14:textFill>
              </w:rPr>
              <w:t>中标供应商</w:t>
            </w:r>
            <w:r>
              <w:rPr>
                <w:rFonts w:hint="eastAsia" w:ascii="宋体" w:hAnsi="宋体" w:cs="宋体"/>
                <w:bCs/>
                <w:color w:val="000000" w:themeColor="text1"/>
                <w:sz w:val="21"/>
                <w:szCs w:val="21"/>
                <w:highlight w:val="none"/>
                <w:lang w:val="en-US" w:eastAsia="zh-CN"/>
                <w14:textFill>
                  <w14:solidFill>
                    <w14:schemeClr w14:val="tx1"/>
                  </w14:solidFill>
                </w14:textFill>
              </w:rPr>
              <w:t>分别</w:t>
            </w:r>
            <w:r>
              <w:rPr>
                <w:rFonts w:hint="eastAsia" w:ascii="宋体" w:hAnsi="宋体" w:eastAsia="宋体" w:cs="宋体"/>
                <w:bCs/>
                <w:color w:val="000000" w:themeColor="text1"/>
                <w:sz w:val="21"/>
                <w:szCs w:val="21"/>
                <w:highlight w:val="none"/>
                <w14:textFill>
                  <w14:solidFill>
                    <w14:schemeClr w14:val="tx1"/>
                  </w14:solidFill>
                </w14:textFill>
              </w:rPr>
              <w:t>在领取《中标通知书》之前应一次性交纳招标代理服务费</w:t>
            </w:r>
            <w:r>
              <w:rPr>
                <w:rFonts w:hint="eastAsia" w:ascii="宋体" w:hAnsi="宋体" w:eastAsia="宋体" w:cs="宋体"/>
                <w:color w:val="000000" w:themeColor="text1"/>
                <w:sz w:val="21"/>
                <w:szCs w:val="21"/>
                <w:highlight w:val="none"/>
                <w:lang w:eastAsia="zh-CN"/>
                <w14:textFill>
                  <w14:solidFill>
                    <w14:schemeClr w14:val="tx1"/>
                  </w14:solidFill>
                </w14:textFill>
              </w:rPr>
              <w:t>伍</w:t>
            </w:r>
            <w:r>
              <w:rPr>
                <w:rFonts w:hint="eastAsia" w:ascii="宋体" w:hAnsi="宋体" w:eastAsia="宋体" w:cs="宋体"/>
                <w:color w:val="000000" w:themeColor="text1"/>
                <w:sz w:val="21"/>
                <w:szCs w:val="21"/>
                <w:highlight w:val="none"/>
                <w14:textFill>
                  <w14:solidFill>
                    <w14:schemeClr w14:val="tx1"/>
                  </w14:solidFill>
                </w14:textFill>
              </w:rPr>
              <w:t>万元整（￥</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0000.00元）。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44546601040029205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中国农业银行股份有限公司阳江江城支行</w:t>
            </w:r>
          </w:p>
        </w:tc>
      </w:tr>
    </w:tbl>
    <w:p>
      <w:pPr>
        <w:adjustRightInd w:val="0"/>
        <w:snapToGrid w:val="0"/>
        <w:spacing w:line="360" w:lineRule="auto"/>
        <w:rPr>
          <w:b/>
          <w:color w:val="000000" w:themeColor="text1"/>
          <w:szCs w:val="21"/>
          <w:highlight w:val="none"/>
          <w14:textFill>
            <w14:solidFill>
              <w14:schemeClr w14:val="tx1"/>
            </w14:solidFill>
          </w14:textFill>
        </w:rPr>
      </w:pPr>
    </w:p>
    <w:p>
      <w:pPr>
        <w:rPr>
          <w:rFonts w:hint="eastAsia"/>
          <w:color w:val="000000" w:themeColor="text1"/>
          <w:kern w:val="0"/>
          <w:sz w:val="24"/>
          <w:highlight w:val="none"/>
          <w14:textFill>
            <w14:solidFill>
              <w14:schemeClr w14:val="tx1"/>
            </w14:solidFill>
          </w14:textFill>
        </w:rPr>
      </w:pPr>
      <w:r>
        <w:rPr>
          <w:rFonts w:hint="eastAsia"/>
          <w:color w:val="000000" w:themeColor="text1"/>
          <w:kern w:val="0"/>
          <w:sz w:val="24"/>
          <w:highlight w:val="none"/>
          <w14:textFill>
            <w14:solidFill>
              <w14:schemeClr w14:val="tx1"/>
            </w14:solidFill>
          </w14:textFill>
        </w:rPr>
        <w:br w:type="page"/>
      </w:r>
    </w:p>
    <w:p>
      <w:pPr>
        <w:pStyle w:val="4"/>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113" w:name="_Toc3084"/>
      <w:r>
        <w:rPr>
          <w:rFonts w:hint="eastAsia"/>
          <w:color w:val="000000" w:themeColor="text1"/>
          <w:kern w:val="0"/>
          <w:sz w:val="24"/>
          <w:highlight w:val="none"/>
          <w14:textFill>
            <w14:solidFill>
              <w14:schemeClr w14:val="tx1"/>
            </w14:solidFill>
          </w14:textFill>
        </w:rPr>
        <w:t>B  技术要求</w:t>
      </w:r>
      <w:bookmarkEnd w:id="113"/>
    </w:p>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一、</w:t>
      </w:r>
      <w:r>
        <w:rPr>
          <w:rFonts w:hint="eastAsia" w:ascii="宋体" w:hAnsi="宋体" w:eastAsia="宋体" w:cs="宋体"/>
          <w:b/>
          <w:color w:val="000000" w:themeColor="text1"/>
          <w:sz w:val="21"/>
          <w:szCs w:val="21"/>
          <w:highlight w:val="none"/>
          <w14:textFill>
            <w14:solidFill>
              <w14:schemeClr w14:val="tx1"/>
            </w14:solidFill>
          </w14:textFill>
        </w:rPr>
        <w:t>项目基本情况</w:t>
      </w:r>
    </w:p>
    <w:p>
      <w:pPr>
        <w:spacing w:line="360" w:lineRule="auto"/>
        <w:ind w:firstLine="420" w:firstLineChars="200"/>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1</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val="0"/>
          <w:bCs/>
          <w:color w:val="000000" w:themeColor="text1"/>
          <w:sz w:val="21"/>
          <w:szCs w:val="21"/>
          <w:highlight w:val="none"/>
          <w14:textFill>
            <w14:solidFill>
              <w14:schemeClr w14:val="tx1"/>
            </w14:solidFill>
          </w14:textFill>
        </w:rPr>
        <w:t>阳江市社会保险职工“</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四</w:t>
      </w:r>
      <w:r>
        <w:rPr>
          <w:rFonts w:hint="eastAsia" w:ascii="宋体" w:hAnsi="宋体" w:eastAsia="宋体" w:cs="宋体"/>
          <w:b w:val="0"/>
          <w:bCs/>
          <w:color w:val="000000" w:themeColor="text1"/>
          <w:sz w:val="21"/>
          <w:szCs w:val="21"/>
          <w:highlight w:val="none"/>
          <w14:textFill>
            <w14:solidFill>
              <w14:schemeClr w14:val="tx1"/>
            </w14:solidFill>
          </w14:textFill>
        </w:rPr>
        <w:t>险”基金主要由阳江市企业职工基本养老保险基金、职工医疗</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（含生育）</w:t>
      </w:r>
      <w:r>
        <w:rPr>
          <w:rFonts w:hint="eastAsia" w:ascii="宋体" w:hAnsi="宋体" w:eastAsia="宋体" w:cs="宋体"/>
          <w:b w:val="0"/>
          <w:bCs/>
          <w:color w:val="000000" w:themeColor="text1"/>
          <w:sz w:val="21"/>
          <w:szCs w:val="21"/>
          <w:highlight w:val="none"/>
          <w14:textFill>
            <w14:solidFill>
              <w14:schemeClr w14:val="tx1"/>
            </w14:solidFill>
          </w14:textFill>
        </w:rPr>
        <w:t>保险</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color w:val="000000" w:themeColor="text1"/>
          <w:sz w:val="21"/>
          <w:szCs w:val="21"/>
          <w:highlight w:val="none"/>
          <w14:textFill>
            <w14:solidFill>
              <w14:schemeClr w14:val="tx1"/>
            </w14:solidFill>
          </w14:textFill>
        </w:rPr>
        <w:t>工伤保险基金和失业保险基金共</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四</w:t>
      </w:r>
      <w:r>
        <w:rPr>
          <w:rFonts w:hint="eastAsia" w:ascii="宋体" w:hAnsi="宋体" w:eastAsia="宋体" w:cs="宋体"/>
          <w:b w:val="0"/>
          <w:bCs/>
          <w:color w:val="000000" w:themeColor="text1"/>
          <w:sz w:val="21"/>
          <w:szCs w:val="21"/>
          <w:highlight w:val="none"/>
          <w14:textFill>
            <w14:solidFill>
              <w14:schemeClr w14:val="tx1"/>
            </w14:solidFill>
          </w14:textFill>
        </w:rPr>
        <w:t>个险种基金组成（简称职工“</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四</w:t>
      </w:r>
      <w:r>
        <w:rPr>
          <w:rFonts w:hint="eastAsia" w:ascii="宋体" w:hAnsi="宋体" w:eastAsia="宋体" w:cs="宋体"/>
          <w:b w:val="0"/>
          <w:bCs/>
          <w:color w:val="000000" w:themeColor="text1"/>
          <w:sz w:val="21"/>
          <w:szCs w:val="21"/>
          <w:highlight w:val="none"/>
          <w14:textFill>
            <w14:solidFill>
              <w14:schemeClr w14:val="tx1"/>
            </w14:solidFill>
          </w14:textFill>
        </w:rPr>
        <w:t>险”基金）。阳江市社会保险职工“</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四</w:t>
      </w:r>
      <w:r>
        <w:rPr>
          <w:rFonts w:hint="eastAsia" w:ascii="宋体" w:hAnsi="宋体" w:eastAsia="宋体" w:cs="宋体"/>
          <w:b w:val="0"/>
          <w:bCs/>
          <w:color w:val="000000" w:themeColor="text1"/>
          <w:sz w:val="21"/>
          <w:szCs w:val="21"/>
          <w:highlight w:val="none"/>
          <w14:textFill>
            <w14:solidFill>
              <w14:schemeClr w14:val="tx1"/>
            </w14:solidFill>
          </w14:textFill>
        </w:rPr>
        <w:t>险”基金代理银行项目分</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 w:val="0"/>
          <w:bCs/>
          <w:color w:val="000000" w:themeColor="text1"/>
          <w:sz w:val="21"/>
          <w:szCs w:val="21"/>
          <w:highlight w:val="none"/>
          <w14:textFill>
            <w14:solidFill>
              <w14:schemeClr w14:val="tx1"/>
            </w14:solidFill>
          </w14:textFill>
        </w:rPr>
        <w:t>个包组，分别招标</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 w:val="0"/>
          <w:bCs/>
          <w:color w:val="000000" w:themeColor="text1"/>
          <w:sz w:val="21"/>
          <w:szCs w:val="21"/>
          <w:highlight w:val="none"/>
          <w14:textFill>
            <w14:solidFill>
              <w14:schemeClr w14:val="tx1"/>
            </w14:solidFill>
          </w14:textFill>
        </w:rPr>
        <w:t>家代理银行。</w:t>
      </w:r>
    </w:p>
    <w:p>
      <w:pPr>
        <w:spacing w:line="360" w:lineRule="auto"/>
        <w:ind w:firstLine="422"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01</w:t>
      </w:r>
      <w:r>
        <w:rPr>
          <w:rFonts w:hint="eastAsia" w:ascii="宋体" w:hAnsi="宋体" w:eastAsia="宋体" w:cs="宋体"/>
          <w:b/>
          <w:color w:val="000000" w:themeColor="text1"/>
          <w:sz w:val="21"/>
          <w:szCs w:val="21"/>
          <w:highlight w:val="none"/>
          <w14:textFill>
            <w14:solidFill>
              <w14:schemeClr w14:val="tx1"/>
            </w14:solidFill>
          </w14:textFill>
        </w:rPr>
        <w:t>包组：</w:t>
      </w:r>
      <w:r>
        <w:rPr>
          <w:rFonts w:hint="eastAsia" w:ascii="宋体" w:hAnsi="宋体" w:eastAsia="宋体" w:cs="宋体"/>
          <w:color w:val="000000" w:themeColor="text1"/>
          <w:sz w:val="21"/>
          <w:szCs w:val="21"/>
          <w:highlight w:val="none"/>
          <w14:textFill>
            <w14:solidFill>
              <w14:schemeClr w14:val="tx1"/>
            </w14:solidFill>
          </w14:textFill>
        </w:rPr>
        <w:t>阳江市企业职工基本养老保险基金财政专户</w:t>
      </w:r>
      <w:r>
        <w:rPr>
          <w:rFonts w:hint="eastAsia" w:ascii="宋体" w:hAnsi="宋体" w:eastAsia="宋体" w:cs="宋体"/>
          <w:color w:val="000000" w:themeColor="text1"/>
          <w:sz w:val="21"/>
          <w:szCs w:val="21"/>
          <w:highlight w:val="none"/>
          <w:lang w:eastAsia="zh-CN"/>
          <w14:textFill>
            <w14:solidFill>
              <w14:schemeClr w14:val="tx1"/>
            </w14:solidFill>
          </w14:textFill>
        </w:rPr>
        <w:t>和支出户代理</w:t>
      </w:r>
      <w:r>
        <w:rPr>
          <w:rFonts w:hint="eastAsia" w:ascii="宋体" w:hAnsi="宋体" w:eastAsia="宋体" w:cs="宋体"/>
          <w:color w:val="000000" w:themeColor="text1"/>
          <w:sz w:val="21"/>
          <w:szCs w:val="21"/>
          <w:highlight w:val="none"/>
          <w14:textFill>
            <w14:solidFill>
              <w14:schemeClr w14:val="tx1"/>
            </w14:solidFill>
          </w14:textFill>
        </w:rPr>
        <w:t>银行项目</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pPr>
        <w:spacing w:line="360" w:lineRule="auto"/>
        <w:ind w:firstLine="422"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02</w:t>
      </w:r>
      <w:r>
        <w:rPr>
          <w:rFonts w:hint="eastAsia" w:ascii="宋体" w:hAnsi="宋体" w:eastAsia="宋体" w:cs="宋体"/>
          <w:b/>
          <w:color w:val="000000" w:themeColor="text1"/>
          <w:sz w:val="21"/>
          <w:szCs w:val="21"/>
          <w:highlight w:val="none"/>
          <w14:textFill>
            <w14:solidFill>
              <w14:schemeClr w14:val="tx1"/>
            </w14:solidFill>
          </w14:textFill>
        </w:rPr>
        <w:t>包组：</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职工</w:t>
      </w:r>
      <w:r>
        <w:rPr>
          <w:rFonts w:hint="eastAsia" w:ascii="宋体" w:hAnsi="宋体" w:eastAsia="宋体" w:cs="宋体"/>
          <w:b w:val="0"/>
          <w:bCs/>
          <w:color w:val="000000" w:themeColor="text1"/>
          <w:sz w:val="21"/>
          <w:szCs w:val="21"/>
          <w:highlight w:val="none"/>
          <w14:textFill>
            <w14:solidFill>
              <w14:schemeClr w14:val="tx1"/>
            </w14:solidFill>
          </w14:textFill>
        </w:rPr>
        <w:t>医</w:t>
      </w:r>
      <w:r>
        <w:rPr>
          <w:rFonts w:hint="eastAsia" w:ascii="宋体" w:hAnsi="宋体" w:eastAsia="宋体" w:cs="宋体"/>
          <w:color w:val="000000" w:themeColor="text1"/>
          <w:sz w:val="21"/>
          <w:szCs w:val="21"/>
          <w:highlight w:val="none"/>
          <w14:textFill>
            <w14:solidFill>
              <w14:schemeClr w14:val="tx1"/>
            </w14:solidFill>
          </w14:textFill>
        </w:rPr>
        <w:t>疗</w:t>
      </w:r>
      <w:r>
        <w:rPr>
          <w:rFonts w:hint="eastAsia" w:ascii="宋体" w:hAnsi="宋体" w:eastAsia="宋体" w:cs="宋体"/>
          <w:color w:val="000000" w:themeColor="text1"/>
          <w:sz w:val="21"/>
          <w:szCs w:val="21"/>
          <w:highlight w:val="none"/>
          <w:lang w:eastAsia="zh-CN"/>
          <w14:textFill>
            <w14:solidFill>
              <w14:schemeClr w14:val="tx1"/>
            </w14:solidFill>
          </w14:textFill>
        </w:rPr>
        <w:t>（含生育）</w:t>
      </w:r>
      <w:r>
        <w:rPr>
          <w:rFonts w:hint="eastAsia" w:ascii="宋体" w:hAnsi="宋体" w:eastAsia="宋体" w:cs="宋体"/>
          <w:color w:val="000000" w:themeColor="text1"/>
          <w:sz w:val="21"/>
          <w:szCs w:val="21"/>
          <w:highlight w:val="none"/>
          <w14:textFill>
            <w14:solidFill>
              <w14:schemeClr w14:val="tx1"/>
            </w14:solidFill>
          </w14:textFill>
        </w:rPr>
        <w:t>保险财政专户</w:t>
      </w:r>
      <w:r>
        <w:rPr>
          <w:rFonts w:hint="eastAsia" w:ascii="宋体" w:hAnsi="宋体" w:eastAsia="宋体" w:cs="宋体"/>
          <w:color w:val="000000" w:themeColor="text1"/>
          <w:sz w:val="21"/>
          <w:szCs w:val="21"/>
          <w:highlight w:val="none"/>
          <w:lang w:eastAsia="zh-CN"/>
          <w14:textFill>
            <w14:solidFill>
              <w14:schemeClr w14:val="tx1"/>
            </w14:solidFill>
          </w14:textFill>
        </w:rPr>
        <w:t>和支出户</w:t>
      </w:r>
      <w:r>
        <w:rPr>
          <w:rFonts w:hint="eastAsia" w:ascii="宋体" w:hAnsi="宋体" w:eastAsia="宋体" w:cs="宋体"/>
          <w:color w:val="000000" w:themeColor="text1"/>
          <w:sz w:val="21"/>
          <w:szCs w:val="21"/>
          <w:highlight w:val="none"/>
          <w14:textFill>
            <w14:solidFill>
              <w14:schemeClr w14:val="tx1"/>
            </w14:solidFill>
          </w14:textFill>
        </w:rPr>
        <w:t>代理银行项目</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pPr>
        <w:spacing w:line="360" w:lineRule="auto"/>
        <w:ind w:firstLine="422"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03</w:t>
      </w:r>
      <w:r>
        <w:rPr>
          <w:rFonts w:hint="eastAsia" w:ascii="宋体" w:hAnsi="宋体" w:eastAsia="宋体" w:cs="宋体"/>
          <w:b/>
          <w:color w:val="000000" w:themeColor="text1"/>
          <w:sz w:val="21"/>
          <w:szCs w:val="21"/>
          <w:highlight w:val="none"/>
          <w14:textFill>
            <w14:solidFill>
              <w14:schemeClr w14:val="tx1"/>
            </w14:solidFill>
          </w14:textFill>
        </w:rPr>
        <w:t>包组：</w:t>
      </w:r>
      <w:r>
        <w:rPr>
          <w:rFonts w:hint="eastAsia" w:ascii="宋体" w:hAnsi="宋体" w:eastAsia="宋体" w:cs="宋体"/>
          <w:color w:val="000000" w:themeColor="text1"/>
          <w:sz w:val="21"/>
          <w:szCs w:val="21"/>
          <w:highlight w:val="none"/>
          <w14:textFill>
            <w14:solidFill>
              <w14:schemeClr w14:val="tx1"/>
            </w14:solidFill>
          </w14:textFill>
        </w:rPr>
        <w:t>工伤保险保险财政专户</w:t>
      </w:r>
      <w:r>
        <w:rPr>
          <w:rFonts w:hint="eastAsia" w:ascii="宋体" w:hAnsi="宋体" w:eastAsia="宋体" w:cs="宋体"/>
          <w:color w:val="000000" w:themeColor="text1"/>
          <w:sz w:val="21"/>
          <w:szCs w:val="21"/>
          <w:highlight w:val="none"/>
          <w:lang w:eastAsia="zh-CN"/>
          <w14:textFill>
            <w14:solidFill>
              <w14:schemeClr w14:val="tx1"/>
            </w14:solidFill>
          </w14:textFill>
        </w:rPr>
        <w:t>和支出户</w:t>
      </w:r>
      <w:r>
        <w:rPr>
          <w:rFonts w:hint="eastAsia" w:ascii="宋体" w:hAnsi="宋体" w:eastAsia="宋体" w:cs="宋体"/>
          <w:color w:val="000000" w:themeColor="text1"/>
          <w:sz w:val="21"/>
          <w:szCs w:val="21"/>
          <w:highlight w:val="none"/>
          <w14:textFill>
            <w14:solidFill>
              <w14:schemeClr w14:val="tx1"/>
            </w14:solidFill>
          </w14:textFill>
        </w:rPr>
        <w:t>代理银行项目</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pPr>
        <w:spacing w:line="360" w:lineRule="auto"/>
        <w:ind w:firstLine="422"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04</w:t>
      </w:r>
      <w:r>
        <w:rPr>
          <w:rFonts w:hint="eastAsia" w:ascii="宋体" w:hAnsi="宋体" w:eastAsia="宋体" w:cs="宋体"/>
          <w:b/>
          <w:color w:val="000000" w:themeColor="text1"/>
          <w:sz w:val="21"/>
          <w:szCs w:val="21"/>
          <w:highlight w:val="none"/>
          <w14:textFill>
            <w14:solidFill>
              <w14:schemeClr w14:val="tx1"/>
            </w14:solidFill>
          </w14:textFill>
        </w:rPr>
        <w:t>包组：</w:t>
      </w:r>
      <w:r>
        <w:rPr>
          <w:rFonts w:hint="eastAsia" w:ascii="宋体" w:hAnsi="宋体" w:eastAsia="宋体" w:cs="宋体"/>
          <w:color w:val="000000" w:themeColor="text1"/>
          <w:sz w:val="21"/>
          <w:szCs w:val="21"/>
          <w:highlight w:val="none"/>
          <w14:textFill>
            <w14:solidFill>
              <w14:schemeClr w14:val="tx1"/>
            </w14:solidFill>
          </w14:textFill>
        </w:rPr>
        <w:t>失业保险财政专户</w:t>
      </w:r>
      <w:r>
        <w:rPr>
          <w:rFonts w:hint="eastAsia" w:ascii="宋体" w:hAnsi="宋体" w:eastAsia="宋体" w:cs="宋体"/>
          <w:color w:val="000000" w:themeColor="text1"/>
          <w:sz w:val="21"/>
          <w:szCs w:val="21"/>
          <w:highlight w:val="none"/>
          <w:lang w:eastAsia="zh-CN"/>
          <w14:textFill>
            <w14:solidFill>
              <w14:schemeClr w14:val="tx1"/>
            </w14:solidFill>
          </w14:textFill>
        </w:rPr>
        <w:t>和支出户</w:t>
      </w:r>
      <w:r>
        <w:rPr>
          <w:rFonts w:hint="eastAsia" w:ascii="宋体" w:hAnsi="宋体" w:eastAsia="宋体" w:cs="宋体"/>
          <w:color w:val="000000" w:themeColor="text1"/>
          <w:sz w:val="21"/>
          <w:szCs w:val="21"/>
          <w:highlight w:val="none"/>
          <w14:textFill>
            <w14:solidFill>
              <w14:schemeClr w14:val="tx1"/>
            </w14:solidFill>
          </w14:textFill>
        </w:rPr>
        <w:t>代理银行项目</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阳江市社会保险“</w:t>
      </w:r>
      <w:r>
        <w:rPr>
          <w:rFonts w:hint="eastAsia" w:ascii="宋体" w:hAnsi="宋体" w:eastAsia="宋体" w:cs="宋体"/>
          <w:color w:val="000000" w:themeColor="text1"/>
          <w:sz w:val="21"/>
          <w:szCs w:val="21"/>
          <w:highlight w:val="none"/>
          <w:lang w:eastAsia="zh-CN"/>
          <w14:textFill>
            <w14:solidFill>
              <w14:schemeClr w14:val="tx1"/>
            </w14:solidFill>
          </w14:textFill>
        </w:rPr>
        <w:t>四</w:t>
      </w:r>
      <w:r>
        <w:rPr>
          <w:rFonts w:hint="eastAsia" w:ascii="宋体" w:hAnsi="宋体" w:eastAsia="宋体" w:cs="宋体"/>
          <w:color w:val="000000" w:themeColor="text1"/>
          <w:sz w:val="21"/>
          <w:szCs w:val="21"/>
          <w:highlight w:val="none"/>
          <w14:textFill>
            <w14:solidFill>
              <w14:schemeClr w14:val="tx1"/>
            </w14:solidFill>
          </w14:textFill>
        </w:rPr>
        <w:t>险”基金支出户主要是用于接收财政专户每月划拨的用于支付社会保险待遇的资金，接收本账户银行存款产生的利息，每月支付社会保险待遇等。</w:t>
      </w:r>
    </w:p>
    <w:p>
      <w:pPr>
        <w:numPr>
          <w:ilvl w:val="0"/>
          <w:numId w:val="0"/>
        </w:numPr>
        <w:spacing w:line="360" w:lineRule="auto"/>
        <w:ind w:firstLine="420" w:firstLineChars="200"/>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val="0"/>
          <w:bCs/>
          <w:color w:val="000000" w:themeColor="text1"/>
          <w:sz w:val="21"/>
          <w:szCs w:val="21"/>
          <w:highlight w:val="none"/>
          <w14:textFill>
            <w14:solidFill>
              <w14:schemeClr w14:val="tx1"/>
            </w14:solidFill>
          </w14:textFill>
        </w:rPr>
        <w:t>委托承办业务包括：账户</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的开</w:t>
      </w:r>
      <w:r>
        <w:rPr>
          <w:rFonts w:hint="eastAsia" w:ascii="宋体" w:hAnsi="宋体" w:eastAsia="宋体" w:cs="宋体"/>
          <w:b w:val="0"/>
          <w:bCs/>
          <w:color w:val="000000" w:themeColor="text1"/>
          <w:sz w:val="21"/>
          <w:szCs w:val="21"/>
          <w:highlight w:val="none"/>
          <w14:textFill>
            <w14:solidFill>
              <w14:schemeClr w14:val="tx1"/>
            </w14:solidFill>
          </w14:textFill>
        </w:rPr>
        <w:t>设、管理，资金的收入、划拨等业务。在确保资金安全的前提下，按照上级的规定，以最优的方式使本账户银行存款实现最大化的保值增值。</w:t>
      </w: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20" w:firstLineChars="200"/>
        <w:jc w:val="both"/>
        <w:textAlignment w:val="baseline"/>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t>3.根据市财政局、市人力资源和社会保障局《关于调整阳江市职工医保、生育保险征缴政策及实施缴费年限有关问题的通知》（阳医保通〔2022〕59号）、市府文件《批转市劳动和社会保障局、市财政局、市地方税务局&lt;关于实施阳江市市直国家公务员医疗补助暂行办法&gt;的通知》（阳府〔2003〕21号）和市医保局、国税江市税务局、市委办 市府办《关于印发阳江市企业离休干部医疗保障试行办法的通知》（阳办发〔2000〕28号）文件规定，参加职工基本医疗保险的人员需同步参加职工大额医疗补助险、公务员医疗补助险，职工大额医疗补助险及公务员医疗补助险是职工基本医疗保险的补充医疗保险，因此，中标我市职工基本医疗保险专户和支出户的银行需同时承接职工大额医疗补助险、公</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务员医疗补助险和离休人员补助的财政专户和支出户业务。</w:t>
      </w:r>
    </w:p>
    <w:p>
      <w:pPr>
        <w:spacing w:line="360" w:lineRule="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二</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b/>
          <w:color w:val="000000" w:themeColor="text1"/>
          <w:sz w:val="21"/>
          <w:szCs w:val="21"/>
          <w:highlight w:val="none"/>
          <w14:textFill>
            <w14:solidFill>
              <w14:schemeClr w14:val="tx1"/>
            </w14:solidFill>
          </w14:textFill>
        </w:rPr>
        <w:t>基本原则：</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一是安全优先，在依法依规的基础上，采取公正透明的招投标方式，科学评估和选择代理银行，以确保资金安全为前提，防止出现资金安全风险事件；</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是增值最大化，在符合国家利率政策的前提下，合理确定资金的存放方式，争取最多的利息收入；三是代理银行的服务质量良好，从投标银行提供的服务团队、操作规程和操作系统等软硬件方面考量，确保代理业务银行的服务质量有上乘的水平。</w:t>
      </w:r>
    </w:p>
    <w:p>
      <w:pPr>
        <w:spacing w:line="360" w:lineRule="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三</w:t>
      </w:r>
      <w:r>
        <w:rPr>
          <w:rFonts w:hint="eastAsia" w:ascii="宋体" w:hAnsi="宋体" w:eastAsia="宋体" w:cs="宋体"/>
          <w:b/>
          <w:color w:val="000000" w:themeColor="text1"/>
          <w:sz w:val="21"/>
          <w:szCs w:val="21"/>
          <w:highlight w:val="none"/>
          <w14:textFill>
            <w14:solidFill>
              <w14:schemeClr w14:val="tx1"/>
            </w14:solidFill>
          </w14:textFill>
        </w:rPr>
        <w:t>、技术要求</w:t>
      </w:r>
    </w:p>
    <w:p>
      <w:pPr>
        <w:adjustRightInd w:val="0"/>
        <w:snapToGrid w:val="0"/>
        <w:spacing w:line="360" w:lineRule="auto"/>
        <w:ind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1.投标人要求：</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1）投标人须在阳江市</w:t>
      </w:r>
      <w:r>
        <w:rPr>
          <w:rFonts w:hint="eastAsia" w:ascii="宋体" w:hAnsi="宋体" w:eastAsia="宋体" w:cs="宋体"/>
          <w:color w:val="000000" w:themeColor="text1"/>
          <w:sz w:val="21"/>
          <w:szCs w:val="21"/>
          <w:highlight w:val="none"/>
          <w:lang w:val="en-US" w:eastAsia="zh-CN"/>
          <w14:textFill>
            <w14:solidFill>
              <w14:schemeClr w14:val="tx1"/>
            </w14:solidFill>
          </w14:textFill>
        </w:rPr>
        <w:t>各县区</w:t>
      </w:r>
      <w:r>
        <w:rPr>
          <w:rFonts w:hint="eastAsia" w:ascii="宋体" w:hAnsi="宋体" w:eastAsia="宋体" w:cs="宋体"/>
          <w:color w:val="000000" w:themeColor="text1"/>
          <w:sz w:val="21"/>
          <w:szCs w:val="21"/>
          <w:highlight w:val="none"/>
          <w14:textFill>
            <w14:solidFill>
              <w14:schemeClr w14:val="tx1"/>
            </w14:solidFill>
          </w14:textFill>
        </w:rPr>
        <w:t>设有可为采购人服务对象提供服务的，经银行业监管机构批准设立，具有可满足社保资金结算业务需要的金融业务许可证的金融网点。</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2）投标人已具有健全的网络建设基础和规范的业务管理，以及能根据财政、社保业务需要提供良好的服务。</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3）投标人经营状况良好，资产规模大，不良贷款率低，近三年无发生资金安全事件。</w:t>
      </w:r>
    </w:p>
    <w:p>
      <w:pPr>
        <w:spacing w:line="360" w:lineRule="auto"/>
        <w:ind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2.项目服务系统要求：</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服务系统。具备满足社会保险基金专网结算系统及相关业务需要的资金结算系统，保证资金结算的准确性、及时性；具备高效的应急处理和纠错措施，保证资金结算系统和内部网络的安全性，并承担自身网络安全问题方面的有关责任；具备先进的信息反馈系统，能够及时、全面、准确地反馈社会保险基金结算业务信息。</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实施本项目中，采购人将通过专网与中标人进行数据信息交换，通过专网实现社会保险资金联网结算业务，投标人应综合考虑专网的运营成本，如若中标，投标人从合同签订之日起60日内须完成专网的开发或升级完善，通过专网与社会保险信息系统对接，为采购人办理社会保险基金银行结算业务，投标人须予以承诺。</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投标人如不能在约定时限内通过专网与社会保险信息系统对接办理社会保险保险资金银行结算业务，采购人有权从符合采购要求的未中标合格投标人中选取得分最高的投标人为中标人，为采购人办理资金银行结算业务。</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投标人负责全市社会保险经办机构信息系统开发建设，并提供所需设备和技术支持，负责全市社会保险信息系统相关的网络、设备、系统软件、安全防护等的维护，确保信息系统稳定、安全运行。实现与采购人在社会保险信息系统数据集中实时交换，保证与省社会保险大集中系统的实时对接，达到省、市、县、乡镇四级联网的要求，实现社保、财政、银行和社会保险费征收机构四方联网。</w:t>
      </w:r>
    </w:p>
    <w:p>
      <w:pPr>
        <w:spacing w:line="360" w:lineRule="auto"/>
        <w:ind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3.银行存款利率的要求：</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投标人须保证采购人资金存储利息收入最大化，在符合国家利率政策的基础上，投标人须对基准利率上浮幅度给予承诺。</w:t>
      </w:r>
    </w:p>
    <w:p>
      <w:pPr>
        <w:spacing w:line="360" w:lineRule="auto"/>
        <w:ind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4.资金代理结算要求：</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1）投标人须保证采购人资金代理结算业务按时、足额、安全、准确，并提供精细化服务。</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投标人必须在每天下午5点前将采购人当天的资金结算代理业务办理完成。代理结算不成功的资金，同行结算的须当天退回采购人指定的银行账户，跨行结算的须在3个工作日内退回采购人指定的银行账户。投标人须及时将退单信息反馈给采购人，说明退单原因。</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3）投标人须指定专人负责采购人资金银行结算业务以及系统建设维护等的日常跟踪服务工作，并派员为采购人送递、收取相关票据。</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投标人必须按国家相关规定执行票据管理，应于当日将代理结算资金明细生成电子对账文本，通过专网反馈给采购人对账，投标人要及时准确传递各种回单，并保证各种回单备注栏信息的准确性和完整性。投标人对账单要在次月第一个工作日前送达采购人。</w:t>
      </w:r>
    </w:p>
    <w:p>
      <w:pPr>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5）投标人内部管理规范，内控制度健全，具有严格的操作规程和保密措施。</w:t>
      </w:r>
    </w:p>
    <w:p>
      <w:pPr>
        <w:spacing w:line="360" w:lineRule="auto"/>
        <w:ind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5.服务网点要求：</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取得中标资格的</w:t>
      </w:r>
      <w:r>
        <w:rPr>
          <w:rFonts w:hint="eastAsia" w:ascii="宋体" w:hAnsi="宋体" w:eastAsia="宋体" w:cs="宋体"/>
          <w:color w:val="000000" w:themeColor="text1"/>
          <w:sz w:val="21"/>
          <w:szCs w:val="21"/>
          <w:highlight w:val="none"/>
          <w14:textFill>
            <w14:solidFill>
              <w14:schemeClr w14:val="tx1"/>
            </w14:solidFill>
          </w14:textFill>
        </w:rPr>
        <w:t>投标人应在阳江市各</w:t>
      </w:r>
      <w:r>
        <w:rPr>
          <w:rFonts w:hint="eastAsia" w:ascii="宋体" w:hAnsi="宋体" w:eastAsia="宋体" w:cs="宋体"/>
          <w:color w:val="000000" w:themeColor="text1"/>
          <w:sz w:val="21"/>
          <w:szCs w:val="21"/>
          <w:highlight w:val="none"/>
          <w:lang w:eastAsia="zh-CN"/>
          <w14:textFill>
            <w14:solidFill>
              <w14:schemeClr w14:val="tx1"/>
            </w14:solidFill>
          </w14:textFill>
        </w:rPr>
        <w:t>县区</w:t>
      </w:r>
      <w:r>
        <w:rPr>
          <w:rFonts w:hint="eastAsia" w:ascii="宋体" w:hAnsi="宋体" w:eastAsia="宋体" w:cs="宋体"/>
          <w:color w:val="000000" w:themeColor="text1"/>
          <w:sz w:val="21"/>
          <w:szCs w:val="21"/>
          <w:highlight w:val="none"/>
          <w14:textFill>
            <w14:solidFill>
              <w14:schemeClr w14:val="tx1"/>
            </w14:solidFill>
          </w14:textFill>
        </w:rPr>
        <w:t>设立可为采购人服务对象提供服务的金融服务网点。按采购人要求，设置醒目的全市统一的社会保险业务办理标识，在中标日起30日内提交采购人验收。</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2）投标人所提供的服务网点应为采购人服务对象配置必要的服务工具，确保能满足采购人服务对象资金结算业务的需要。</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3）投标人应按采购人要求，为采购人提供相关服务。</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4）投标人中标后，应在客户服务热线等电子银行服务方面增加社会保险业务的咨询内容。</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5）投标人须对所提供服务网点的工作人员就社会保险业务进行必要的业务培训,确保社会保险基金银行结算等相关业务能够顺利开展，并确保资金存储的安全。</w:t>
      </w:r>
    </w:p>
    <w:p>
      <w:pPr>
        <w:spacing w:line="360" w:lineRule="auto"/>
        <w:ind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6.其他服务要求：</w:t>
      </w:r>
    </w:p>
    <w:p>
      <w:pPr>
        <w:spacing w:line="360" w:lineRule="auto"/>
        <w:ind w:firstLine="420" w:firstLineChars="200"/>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1）投标人对采购人提供的客户信息负保密责任，未经采购人书面同意不得向他人提供。</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2）接受采</w:t>
      </w:r>
      <w:r>
        <w:rPr>
          <w:rFonts w:hint="eastAsia" w:ascii="宋体" w:hAnsi="宋体" w:eastAsia="宋体" w:cs="宋体"/>
          <w:color w:val="000000" w:themeColor="text1"/>
          <w:sz w:val="21"/>
          <w:szCs w:val="21"/>
          <w:highlight w:val="none"/>
          <w14:textFill>
            <w14:solidFill>
              <w14:schemeClr w14:val="tx1"/>
            </w14:solidFill>
          </w14:textFill>
        </w:rPr>
        <w:t>购人和中国人民银行阳江市</w:t>
      </w:r>
      <w:r>
        <w:rPr>
          <w:rFonts w:hint="eastAsia" w:ascii="宋体" w:hAnsi="宋体" w:eastAsia="宋体" w:cs="宋体"/>
          <w:color w:val="000000" w:themeColor="text1"/>
          <w:sz w:val="21"/>
          <w:szCs w:val="21"/>
          <w:highlight w:val="none"/>
          <w:lang w:eastAsia="zh-CN"/>
          <w14:textFill>
            <w14:solidFill>
              <w14:schemeClr w14:val="tx1"/>
            </w14:solidFill>
          </w14:textFill>
        </w:rPr>
        <w:t>分</w:t>
      </w:r>
      <w:r>
        <w:rPr>
          <w:rFonts w:hint="eastAsia" w:ascii="宋体" w:hAnsi="宋体" w:eastAsia="宋体" w:cs="宋体"/>
          <w:color w:val="000000" w:themeColor="text1"/>
          <w:sz w:val="21"/>
          <w:szCs w:val="21"/>
          <w:highlight w:val="none"/>
          <w14:textFill>
            <w14:solidFill>
              <w14:schemeClr w14:val="tx1"/>
            </w14:solidFill>
          </w14:textFill>
        </w:rPr>
        <w:t>行对相关账户业务的监督管理。</w:t>
      </w:r>
    </w:p>
    <w:p>
      <w:pPr>
        <w:spacing w:line="360" w:lineRule="auto"/>
        <w:ind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7.项目需投入经费：</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1）与阳江市社会保险职工“</w:t>
      </w:r>
      <w:r>
        <w:rPr>
          <w:rFonts w:hint="eastAsia" w:ascii="宋体" w:hAnsi="宋体" w:eastAsia="宋体" w:cs="宋体"/>
          <w:color w:val="000000" w:themeColor="text1"/>
          <w:sz w:val="21"/>
          <w:szCs w:val="21"/>
          <w:highlight w:val="none"/>
          <w:lang w:eastAsia="zh-CN"/>
          <w14:textFill>
            <w14:solidFill>
              <w14:schemeClr w14:val="tx1"/>
            </w14:solidFill>
          </w14:textFill>
        </w:rPr>
        <w:t>四</w:t>
      </w:r>
      <w:r>
        <w:rPr>
          <w:rFonts w:hint="eastAsia" w:ascii="宋体" w:hAnsi="宋体" w:eastAsia="宋体" w:cs="宋体"/>
          <w:color w:val="000000" w:themeColor="text1"/>
          <w:sz w:val="21"/>
          <w:szCs w:val="21"/>
          <w:highlight w:val="none"/>
          <w14:textFill>
            <w14:solidFill>
              <w14:schemeClr w14:val="tx1"/>
            </w14:solidFill>
          </w14:textFill>
        </w:rPr>
        <w:t>险”基金代理业务有关的所有经费(包括采购人信息系统机房建设、信息系统开发、硬件设备、软硬件维护、广告宣传、业务培训等)由中标人负责，采购人不再承担任何费用。</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2）中标代理银行应投入的所有项目经费，按采购人确定时点，中标代理银行所代理结算资金银行存款总额占全市职工“</w:t>
      </w:r>
      <w:r>
        <w:rPr>
          <w:rFonts w:hint="eastAsia" w:ascii="宋体" w:hAnsi="宋体" w:eastAsia="宋体" w:cs="宋体"/>
          <w:color w:val="000000" w:themeColor="text1"/>
          <w:sz w:val="21"/>
          <w:szCs w:val="21"/>
          <w:highlight w:val="none"/>
          <w:lang w:eastAsia="zh-CN"/>
          <w14:textFill>
            <w14:solidFill>
              <w14:schemeClr w14:val="tx1"/>
            </w14:solidFill>
          </w14:textFill>
        </w:rPr>
        <w:t>四</w:t>
      </w:r>
      <w:r>
        <w:rPr>
          <w:rFonts w:hint="eastAsia" w:ascii="宋体" w:hAnsi="宋体" w:eastAsia="宋体" w:cs="宋体"/>
          <w:color w:val="000000" w:themeColor="text1"/>
          <w:sz w:val="21"/>
          <w:szCs w:val="21"/>
          <w:highlight w:val="none"/>
          <w14:textFill>
            <w14:solidFill>
              <w14:schemeClr w14:val="tx1"/>
            </w14:solidFill>
          </w14:textFill>
        </w:rPr>
        <w:t>险”基金银行存款总量权重核定。</w:t>
      </w:r>
    </w:p>
    <w:p>
      <w:pPr>
        <w:spacing w:line="360" w:lineRule="auto"/>
        <w:ind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8.代理项目的服务费、手续费要求：</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投标人不得收取采购人委托代理的社会保险基金银行结算业务的任何服务费、手续费，投标人应给予承诺。</w:t>
      </w:r>
    </w:p>
    <w:p>
      <w:pPr>
        <w:widowControl w:val="0"/>
        <w:snapToGrid w:val="0"/>
        <w:spacing w:line="360" w:lineRule="auto"/>
        <w:ind w:right="420" w:rightChars="200"/>
        <w:jc w:val="both"/>
        <w:rPr>
          <w:rFonts w:hint="eastAsia" w:ascii="宋体" w:hAnsi="宋体" w:eastAsia="宋体" w:cs="宋体"/>
          <w:b/>
          <w:color w:val="000000" w:themeColor="text1"/>
          <w:sz w:val="21"/>
          <w:szCs w:val="21"/>
          <w:highlight w:val="none"/>
          <w:lang w:eastAsia="zh-CN"/>
          <w14:textFill>
            <w14:solidFill>
              <w14:schemeClr w14:val="tx1"/>
            </w14:solidFill>
          </w14:textFill>
        </w:rPr>
      </w:pPr>
    </w:p>
    <w:p>
      <w:pPr>
        <w:widowControl w:val="0"/>
        <w:snapToGrid w:val="0"/>
        <w:spacing w:line="360" w:lineRule="auto"/>
        <w:ind w:right="420" w:rightChars="200"/>
        <w:jc w:val="both"/>
        <w:rPr>
          <w:rFonts w:hint="eastAsia" w:ascii="宋体" w:hAnsi="宋体" w:eastAsia="宋体" w:cs="宋体"/>
          <w:b/>
          <w:color w:val="000000" w:themeColor="text1"/>
          <w:sz w:val="21"/>
          <w:szCs w:val="21"/>
          <w:highlight w:val="none"/>
          <w:lang w:eastAsia="zh-CN"/>
          <w14:textFill>
            <w14:solidFill>
              <w14:schemeClr w14:val="tx1"/>
            </w14:solidFill>
          </w14:textFill>
        </w:rPr>
      </w:pPr>
    </w:p>
    <w:p>
      <w:pPr>
        <w:widowControl w:val="0"/>
        <w:snapToGrid w:val="0"/>
        <w:spacing w:line="360" w:lineRule="auto"/>
        <w:ind w:right="420" w:rightChars="200"/>
        <w:jc w:val="both"/>
        <w:rPr>
          <w:rFonts w:hint="eastAsia" w:ascii="宋体" w:hAnsi="宋体" w:eastAsia="宋体" w:cs="宋体"/>
          <w:b/>
          <w:color w:val="000000" w:themeColor="text1"/>
          <w:sz w:val="21"/>
          <w:szCs w:val="21"/>
          <w:highlight w:val="none"/>
          <w:lang w:eastAsia="zh-CN"/>
          <w14:textFill>
            <w14:solidFill>
              <w14:schemeClr w14:val="tx1"/>
            </w14:solidFill>
          </w14:textFill>
        </w:rPr>
      </w:pPr>
    </w:p>
    <w:p>
      <w:pPr>
        <w:widowControl w:val="0"/>
        <w:snapToGrid w:val="0"/>
        <w:spacing w:line="360" w:lineRule="auto"/>
        <w:ind w:right="420" w:rightChars="200"/>
        <w:jc w:val="both"/>
        <w:rPr>
          <w:rFonts w:hint="eastAsia" w:ascii="宋体" w:hAnsi="宋体" w:eastAsia="宋体" w:cs="宋体"/>
          <w:b/>
          <w:color w:val="000000" w:themeColor="text1"/>
          <w:sz w:val="21"/>
          <w:szCs w:val="21"/>
          <w:highlight w:val="none"/>
          <w:lang w:eastAsia="zh-CN"/>
          <w14:textFill>
            <w14:solidFill>
              <w14:schemeClr w14:val="tx1"/>
            </w14:solidFill>
          </w14:textFill>
        </w:rPr>
      </w:pPr>
    </w:p>
    <w:p>
      <w:pPr>
        <w:widowControl w:val="0"/>
        <w:snapToGrid w:val="0"/>
        <w:spacing w:line="360" w:lineRule="auto"/>
        <w:ind w:right="420" w:rightChars="200"/>
        <w:jc w:val="both"/>
        <w:rPr>
          <w:rFonts w:hint="eastAsia" w:ascii="宋体" w:hAnsi="宋体" w:eastAsia="宋体" w:cs="宋体"/>
          <w:b/>
          <w:color w:val="000000" w:themeColor="text1"/>
          <w:sz w:val="21"/>
          <w:szCs w:val="21"/>
          <w:highlight w:val="none"/>
          <w:lang w:eastAsia="zh-CN"/>
          <w14:textFill>
            <w14:solidFill>
              <w14:schemeClr w14:val="tx1"/>
            </w14:solidFill>
          </w14:textFill>
        </w:rPr>
      </w:pPr>
    </w:p>
    <w:p>
      <w:pPr>
        <w:widowControl w:val="0"/>
        <w:snapToGrid w:val="0"/>
        <w:spacing w:line="360" w:lineRule="auto"/>
        <w:ind w:right="420" w:rightChars="200"/>
        <w:jc w:val="both"/>
        <w:rPr>
          <w:rFonts w:hint="eastAsia" w:ascii="宋体" w:hAnsi="宋体" w:eastAsia="宋体" w:cs="宋体"/>
          <w:b/>
          <w:color w:val="000000" w:themeColor="text1"/>
          <w:sz w:val="24"/>
          <w:szCs w:val="24"/>
          <w:highlight w:val="none"/>
          <w:lang w:eastAsia="zh-CN"/>
          <w14:textFill>
            <w14:solidFill>
              <w14:schemeClr w14:val="tx1"/>
            </w14:solidFill>
          </w14:textFill>
        </w:rPr>
      </w:pPr>
    </w:p>
    <w:p>
      <w:pPr>
        <w:rPr>
          <w:rFonts w:hint="eastAsia" w:hAnsi="宋体"/>
          <w:b/>
          <w:color w:val="000000" w:themeColor="text1"/>
          <w:szCs w:val="21"/>
          <w:highlight w:val="none"/>
          <w14:textFill>
            <w14:solidFill>
              <w14:schemeClr w14:val="tx1"/>
            </w14:solidFill>
          </w14:textFill>
        </w:rPr>
      </w:pPr>
      <w:r>
        <w:rPr>
          <w:rFonts w:hint="eastAsia" w:hAnsi="宋体"/>
          <w:b/>
          <w:color w:val="000000" w:themeColor="text1"/>
          <w:szCs w:val="21"/>
          <w:highlight w:val="none"/>
          <w14:textFill>
            <w14:solidFill>
              <w14:schemeClr w14:val="tx1"/>
            </w14:solidFill>
          </w14:textFill>
        </w:rPr>
        <w:br w:type="page"/>
      </w:r>
    </w:p>
    <w:p>
      <w:pPr>
        <w:pStyle w:val="23"/>
        <w:spacing w:line="360" w:lineRule="auto"/>
        <w:rPr>
          <w:rFonts w:hAnsi="宋体"/>
          <w:color w:val="000000" w:themeColor="text1"/>
          <w:sz w:val="24"/>
          <w:szCs w:val="24"/>
          <w:highlight w:val="none"/>
          <w14:textFill>
            <w14:solidFill>
              <w14:schemeClr w14:val="tx1"/>
            </w14:solidFill>
          </w14:textFill>
        </w:rPr>
      </w:pPr>
      <w:r>
        <w:rPr>
          <w:rFonts w:hint="eastAsia" w:hAnsi="宋体"/>
          <w:b/>
          <w:color w:val="000000" w:themeColor="text1"/>
          <w:szCs w:val="21"/>
          <w:highlight w:val="none"/>
          <w14:textFill>
            <w14:solidFill>
              <w14:schemeClr w14:val="tx1"/>
            </w14:solidFill>
          </w14:textFill>
        </w:rPr>
        <w:t>附表：</w:t>
      </w:r>
      <w:r>
        <w:rPr>
          <w:rFonts w:hint="eastAsia" w:hAnsi="宋体"/>
          <w:b/>
          <w:bCs/>
          <w:color w:val="000000" w:themeColor="text1"/>
          <w:sz w:val="21"/>
          <w:szCs w:val="21"/>
          <w:highlight w:val="none"/>
          <w14:textFill>
            <w14:solidFill>
              <w14:schemeClr w14:val="tx1"/>
            </w14:solidFill>
          </w14:textFill>
        </w:rPr>
        <w:t>2</w:t>
      </w:r>
      <w:r>
        <w:rPr>
          <w:rFonts w:hint="eastAsia" w:hAnsi="宋体"/>
          <w:b/>
          <w:bCs/>
          <w:color w:val="000000" w:themeColor="text1"/>
          <w:sz w:val="21"/>
          <w:szCs w:val="21"/>
          <w:highlight w:val="none"/>
          <w:lang w:val="en-US" w:eastAsia="zh-CN"/>
          <w14:textFill>
            <w14:solidFill>
              <w14:schemeClr w14:val="tx1"/>
            </w14:solidFill>
          </w14:textFill>
        </w:rPr>
        <w:t>022</w:t>
      </w:r>
      <w:r>
        <w:rPr>
          <w:rFonts w:hint="eastAsia" w:hAnsi="宋体"/>
          <w:b/>
          <w:bCs/>
          <w:color w:val="000000" w:themeColor="text1"/>
          <w:sz w:val="21"/>
          <w:szCs w:val="21"/>
          <w:highlight w:val="none"/>
          <w14:textFill>
            <w14:solidFill>
              <w14:schemeClr w14:val="tx1"/>
            </w14:solidFill>
          </w14:textFill>
        </w:rPr>
        <w:t>年度投标人经营指标情况表</w:t>
      </w:r>
    </w:p>
    <w:p>
      <w:pPr>
        <w:jc w:val="center"/>
        <w:rPr>
          <w:rFonts w:hint="eastAsia" w:ascii="宋体" w:hAnsi="宋体" w:eastAsia="宋体" w:cs="宋体"/>
          <w:color w:val="000000" w:themeColor="text1"/>
          <w:sz w:val="32"/>
          <w:szCs w:val="32"/>
          <w:highlight w:val="none"/>
          <w14:textFill>
            <w14:solidFill>
              <w14:schemeClr w14:val="tx1"/>
            </w14:solidFill>
          </w14:textFill>
        </w:rPr>
      </w:pPr>
    </w:p>
    <w:p>
      <w:pPr>
        <w:jc w:val="center"/>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20</w:t>
      </w:r>
      <w:r>
        <w:rPr>
          <w:rFonts w:hint="eastAsia" w:ascii="宋体" w:hAnsi="宋体" w:eastAsia="宋体" w:cs="宋体"/>
          <w:color w:val="000000" w:themeColor="text1"/>
          <w:sz w:val="32"/>
          <w:szCs w:val="32"/>
          <w:highlight w:val="none"/>
          <w:lang w:val="en-US" w:eastAsia="zh-CN"/>
          <w14:textFill>
            <w14:solidFill>
              <w14:schemeClr w14:val="tx1"/>
            </w14:solidFill>
          </w14:textFill>
        </w:rPr>
        <w:t>22</w:t>
      </w:r>
      <w:r>
        <w:rPr>
          <w:rFonts w:hint="eastAsia" w:ascii="宋体" w:hAnsi="宋体" w:eastAsia="宋体" w:cs="宋体"/>
          <w:color w:val="000000" w:themeColor="text1"/>
          <w:sz w:val="32"/>
          <w:szCs w:val="32"/>
          <w:highlight w:val="none"/>
          <w14:textFill>
            <w14:solidFill>
              <w14:schemeClr w14:val="tx1"/>
            </w14:solidFill>
          </w14:textFill>
        </w:rPr>
        <w:t>年度投标人经营指标情况表</w:t>
      </w:r>
    </w:p>
    <w:p>
      <w:pPr>
        <w:ind w:firstLine="315" w:firstLineChars="150"/>
        <w:rPr>
          <w:rFonts w:hint="eastAsia" w:ascii="宋体" w:hAnsi="宋体" w:eastAsia="宋体" w:cs="宋体"/>
          <w:color w:val="000000" w:themeColor="text1"/>
          <w:highlight w:val="none"/>
          <w14:textFill>
            <w14:solidFill>
              <w14:schemeClr w14:val="tx1"/>
            </w14:solidFill>
          </w14:textFill>
        </w:rPr>
      </w:pPr>
    </w:p>
    <w:p>
      <w:pPr>
        <w:ind w:firstLine="315" w:firstLineChars="15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编制单位：</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单位：万元（本外币）</w:t>
      </w:r>
    </w:p>
    <w:tbl>
      <w:tblPr>
        <w:tblStyle w:val="46"/>
        <w:tblW w:w="0" w:type="auto"/>
        <w:jc w:val="center"/>
        <w:tblLayout w:type="fixed"/>
        <w:tblCellMar>
          <w:top w:w="0" w:type="dxa"/>
          <w:left w:w="108" w:type="dxa"/>
          <w:bottom w:w="0" w:type="dxa"/>
          <w:right w:w="108" w:type="dxa"/>
        </w:tblCellMar>
      </w:tblPr>
      <w:tblGrid>
        <w:gridCol w:w="828"/>
        <w:gridCol w:w="4865"/>
        <w:gridCol w:w="2947"/>
      </w:tblGrid>
      <w:tr>
        <w:tblPrEx>
          <w:tblCellMar>
            <w:top w:w="0" w:type="dxa"/>
            <w:left w:w="108" w:type="dxa"/>
            <w:bottom w:w="0" w:type="dxa"/>
            <w:right w:w="108" w:type="dxa"/>
          </w:tblCellMar>
        </w:tblPrEx>
        <w:trPr>
          <w:trHeight w:val="728"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序号</w:t>
            </w:r>
          </w:p>
        </w:tc>
        <w:tc>
          <w:tcPr>
            <w:tcW w:w="486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xml:space="preserve"> 指标 </w:t>
            </w:r>
          </w:p>
        </w:tc>
        <w:tc>
          <w:tcPr>
            <w:tcW w:w="294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xml:space="preserve"> 金额</w:t>
            </w:r>
          </w:p>
        </w:tc>
      </w:tr>
      <w:tr>
        <w:tblPrEx>
          <w:tblCellMar>
            <w:top w:w="0" w:type="dxa"/>
            <w:left w:w="108" w:type="dxa"/>
            <w:bottom w:w="0" w:type="dxa"/>
            <w:right w:w="108" w:type="dxa"/>
          </w:tblCellMar>
        </w:tblPrEx>
        <w:trPr>
          <w:trHeight w:val="567" w:hRule="atLeast"/>
          <w:jc w:val="center"/>
        </w:trPr>
        <w:tc>
          <w:tcPr>
            <w:tcW w:w="828"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w:t>
            </w:r>
          </w:p>
        </w:tc>
        <w:tc>
          <w:tcPr>
            <w:tcW w:w="4865" w:type="dxa"/>
            <w:tcBorders>
              <w:top w:val="nil"/>
              <w:left w:val="nil"/>
              <w:bottom w:val="single" w:color="auto" w:sz="4" w:space="0"/>
              <w:right w:val="single" w:color="auto" w:sz="4" w:space="0"/>
            </w:tcBorders>
            <w:noWrap w:val="0"/>
            <w:vAlign w:val="center"/>
          </w:tcPr>
          <w:p>
            <w:pPr>
              <w:widowControl/>
              <w:jc w:val="both"/>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贷款总规模（贷款余额）</w:t>
            </w:r>
          </w:p>
        </w:tc>
        <w:tc>
          <w:tcPr>
            <w:tcW w:w="2947" w:type="dxa"/>
            <w:tcBorders>
              <w:top w:val="nil"/>
              <w:left w:val="nil"/>
              <w:bottom w:val="single" w:color="auto" w:sz="4" w:space="0"/>
              <w:right w:val="single" w:color="auto" w:sz="4" w:space="0"/>
            </w:tcBorders>
            <w:noWrap w:val="0"/>
            <w:vAlign w:val="center"/>
          </w:tcPr>
          <w:p>
            <w:pPr>
              <w:widowControl/>
              <w:jc w:val="righ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w:t>
            </w:r>
          </w:p>
        </w:tc>
      </w:tr>
      <w:tr>
        <w:tblPrEx>
          <w:tblCellMar>
            <w:top w:w="0" w:type="dxa"/>
            <w:left w:w="108" w:type="dxa"/>
            <w:bottom w:w="0" w:type="dxa"/>
            <w:right w:w="108" w:type="dxa"/>
          </w:tblCellMar>
        </w:tblPrEx>
        <w:trPr>
          <w:trHeight w:val="567" w:hRule="atLeast"/>
          <w:jc w:val="center"/>
        </w:trPr>
        <w:tc>
          <w:tcPr>
            <w:tcW w:w="828"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w:t>
            </w:r>
          </w:p>
        </w:tc>
        <w:tc>
          <w:tcPr>
            <w:tcW w:w="4865" w:type="dxa"/>
            <w:tcBorders>
              <w:top w:val="nil"/>
              <w:left w:val="nil"/>
              <w:bottom w:val="single" w:color="auto" w:sz="4" w:space="0"/>
              <w:right w:val="single" w:color="auto" w:sz="4" w:space="0"/>
            </w:tcBorders>
            <w:noWrap w:val="0"/>
            <w:vAlign w:val="center"/>
          </w:tcPr>
          <w:p>
            <w:pPr>
              <w:widowControl/>
              <w:jc w:val="both"/>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存款总规模（存款余额）</w:t>
            </w:r>
          </w:p>
        </w:tc>
        <w:tc>
          <w:tcPr>
            <w:tcW w:w="2947" w:type="dxa"/>
            <w:tcBorders>
              <w:top w:val="nil"/>
              <w:left w:val="nil"/>
              <w:bottom w:val="single" w:color="auto" w:sz="4" w:space="0"/>
              <w:right w:val="single" w:color="auto" w:sz="4" w:space="0"/>
            </w:tcBorders>
            <w:noWrap w:val="0"/>
            <w:vAlign w:val="center"/>
          </w:tcPr>
          <w:p>
            <w:pPr>
              <w:widowControl/>
              <w:jc w:val="righ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w:t>
            </w:r>
          </w:p>
        </w:tc>
      </w:tr>
      <w:tr>
        <w:tblPrEx>
          <w:tblCellMar>
            <w:top w:w="0" w:type="dxa"/>
            <w:left w:w="108" w:type="dxa"/>
            <w:bottom w:w="0" w:type="dxa"/>
            <w:right w:w="108" w:type="dxa"/>
          </w:tblCellMar>
        </w:tblPrEx>
        <w:trPr>
          <w:trHeight w:val="567" w:hRule="atLeast"/>
          <w:jc w:val="center"/>
        </w:trPr>
        <w:tc>
          <w:tcPr>
            <w:tcW w:w="828"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3</w:t>
            </w:r>
          </w:p>
        </w:tc>
        <w:tc>
          <w:tcPr>
            <w:tcW w:w="4865" w:type="dxa"/>
            <w:tcBorders>
              <w:top w:val="nil"/>
              <w:left w:val="nil"/>
              <w:bottom w:val="single" w:color="auto" w:sz="4" w:space="0"/>
              <w:right w:val="single" w:color="auto" w:sz="4" w:space="0"/>
            </w:tcBorders>
            <w:noWrap w:val="0"/>
            <w:vAlign w:val="center"/>
          </w:tcPr>
          <w:p>
            <w:pPr>
              <w:widowControl/>
              <w:jc w:val="both"/>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新增贷款（比年初增加额）</w:t>
            </w:r>
          </w:p>
        </w:tc>
        <w:tc>
          <w:tcPr>
            <w:tcW w:w="2947" w:type="dxa"/>
            <w:tcBorders>
              <w:top w:val="nil"/>
              <w:left w:val="nil"/>
              <w:bottom w:val="single" w:color="auto" w:sz="4" w:space="0"/>
              <w:right w:val="single" w:color="auto" w:sz="4" w:space="0"/>
            </w:tcBorders>
            <w:noWrap w:val="0"/>
            <w:vAlign w:val="center"/>
          </w:tcPr>
          <w:p>
            <w:pPr>
              <w:widowControl/>
              <w:jc w:val="righ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w:t>
            </w:r>
          </w:p>
        </w:tc>
      </w:tr>
      <w:tr>
        <w:tblPrEx>
          <w:tblCellMar>
            <w:top w:w="0" w:type="dxa"/>
            <w:left w:w="108" w:type="dxa"/>
            <w:bottom w:w="0" w:type="dxa"/>
            <w:right w:w="108" w:type="dxa"/>
          </w:tblCellMar>
        </w:tblPrEx>
        <w:trPr>
          <w:trHeight w:val="567" w:hRule="atLeast"/>
          <w:jc w:val="center"/>
        </w:trPr>
        <w:tc>
          <w:tcPr>
            <w:tcW w:w="828"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4</w:t>
            </w:r>
          </w:p>
        </w:tc>
        <w:tc>
          <w:tcPr>
            <w:tcW w:w="4865" w:type="dxa"/>
            <w:tcBorders>
              <w:top w:val="nil"/>
              <w:left w:val="nil"/>
              <w:bottom w:val="single" w:color="auto" w:sz="4" w:space="0"/>
              <w:right w:val="single" w:color="auto" w:sz="4" w:space="0"/>
            </w:tcBorders>
            <w:noWrap w:val="0"/>
            <w:vAlign w:val="center"/>
          </w:tcPr>
          <w:p>
            <w:pPr>
              <w:widowControl/>
              <w:jc w:val="both"/>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不良贷款余额</w:t>
            </w:r>
          </w:p>
        </w:tc>
        <w:tc>
          <w:tcPr>
            <w:tcW w:w="2947" w:type="dxa"/>
            <w:tcBorders>
              <w:top w:val="nil"/>
              <w:left w:val="nil"/>
              <w:bottom w:val="single" w:color="auto" w:sz="4" w:space="0"/>
              <w:right w:val="single" w:color="auto" w:sz="4" w:space="0"/>
            </w:tcBorders>
            <w:noWrap w:val="0"/>
            <w:vAlign w:val="center"/>
          </w:tcPr>
          <w:p>
            <w:pPr>
              <w:widowControl/>
              <w:jc w:val="righ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w:t>
            </w:r>
          </w:p>
        </w:tc>
      </w:tr>
      <w:tr>
        <w:tblPrEx>
          <w:tblCellMar>
            <w:top w:w="0" w:type="dxa"/>
            <w:left w:w="108" w:type="dxa"/>
            <w:bottom w:w="0" w:type="dxa"/>
            <w:right w:w="108" w:type="dxa"/>
          </w:tblCellMar>
        </w:tblPrEx>
        <w:trPr>
          <w:trHeight w:val="567" w:hRule="atLeast"/>
          <w:jc w:val="center"/>
        </w:trPr>
        <w:tc>
          <w:tcPr>
            <w:tcW w:w="828"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5</w:t>
            </w:r>
          </w:p>
        </w:tc>
        <w:tc>
          <w:tcPr>
            <w:tcW w:w="4865" w:type="dxa"/>
            <w:tcBorders>
              <w:top w:val="nil"/>
              <w:left w:val="nil"/>
              <w:bottom w:val="single" w:color="auto" w:sz="4" w:space="0"/>
              <w:right w:val="single" w:color="auto" w:sz="4" w:space="0"/>
            </w:tcBorders>
            <w:noWrap w:val="0"/>
            <w:vAlign w:val="center"/>
          </w:tcPr>
          <w:p>
            <w:pPr>
              <w:widowControl/>
              <w:jc w:val="both"/>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不良贷款率（不良贷款余额/各项贷款余额）(%)</w:t>
            </w:r>
          </w:p>
        </w:tc>
        <w:tc>
          <w:tcPr>
            <w:tcW w:w="2947"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w:t>
            </w:r>
          </w:p>
        </w:tc>
      </w:tr>
      <w:tr>
        <w:tblPrEx>
          <w:tblCellMar>
            <w:top w:w="0" w:type="dxa"/>
            <w:left w:w="108" w:type="dxa"/>
            <w:bottom w:w="0" w:type="dxa"/>
            <w:right w:w="108" w:type="dxa"/>
          </w:tblCellMar>
        </w:tblPrEx>
        <w:trPr>
          <w:trHeight w:val="567" w:hRule="atLeast"/>
          <w:jc w:val="center"/>
        </w:trPr>
        <w:tc>
          <w:tcPr>
            <w:tcW w:w="828"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6</w:t>
            </w:r>
          </w:p>
        </w:tc>
        <w:tc>
          <w:tcPr>
            <w:tcW w:w="4865" w:type="dxa"/>
            <w:tcBorders>
              <w:top w:val="nil"/>
              <w:left w:val="nil"/>
              <w:bottom w:val="single" w:color="auto" w:sz="4" w:space="0"/>
              <w:right w:val="single" w:color="auto" w:sz="4" w:space="0"/>
            </w:tcBorders>
            <w:noWrap w:val="0"/>
            <w:vAlign w:val="center"/>
          </w:tcPr>
          <w:p>
            <w:pPr>
              <w:widowControl/>
              <w:jc w:val="both"/>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资产总额</w:t>
            </w:r>
          </w:p>
        </w:tc>
        <w:tc>
          <w:tcPr>
            <w:tcW w:w="2947"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w:t>
            </w:r>
          </w:p>
        </w:tc>
      </w:tr>
      <w:tr>
        <w:tblPrEx>
          <w:tblCellMar>
            <w:top w:w="0" w:type="dxa"/>
            <w:left w:w="108" w:type="dxa"/>
            <w:bottom w:w="0" w:type="dxa"/>
            <w:right w:w="108" w:type="dxa"/>
          </w:tblCellMar>
        </w:tblPrEx>
        <w:trPr>
          <w:trHeight w:val="567" w:hRule="atLeast"/>
          <w:jc w:val="center"/>
        </w:trPr>
        <w:tc>
          <w:tcPr>
            <w:tcW w:w="828"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7</w:t>
            </w:r>
          </w:p>
        </w:tc>
        <w:tc>
          <w:tcPr>
            <w:tcW w:w="4865" w:type="dxa"/>
            <w:tcBorders>
              <w:top w:val="nil"/>
              <w:left w:val="nil"/>
              <w:bottom w:val="single" w:color="auto" w:sz="4" w:space="0"/>
              <w:right w:val="single" w:color="auto" w:sz="4" w:space="0"/>
            </w:tcBorders>
            <w:noWrap w:val="0"/>
            <w:vAlign w:val="center"/>
          </w:tcPr>
          <w:p>
            <w:pPr>
              <w:widowControl/>
              <w:jc w:val="both"/>
              <w:rPr>
                <w:rFonts w:hint="eastAsia" w:ascii="宋体" w:hAnsi="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年度营业收入总额</w:t>
            </w:r>
          </w:p>
        </w:tc>
        <w:tc>
          <w:tcPr>
            <w:tcW w:w="2947"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w:t>
            </w:r>
          </w:p>
        </w:tc>
      </w:tr>
      <w:tr>
        <w:tblPrEx>
          <w:tblCellMar>
            <w:top w:w="0" w:type="dxa"/>
            <w:left w:w="108" w:type="dxa"/>
            <w:bottom w:w="0" w:type="dxa"/>
            <w:right w:w="108" w:type="dxa"/>
          </w:tblCellMar>
        </w:tblPrEx>
        <w:trPr>
          <w:trHeight w:val="567" w:hRule="atLeast"/>
          <w:jc w:val="center"/>
        </w:trPr>
        <w:tc>
          <w:tcPr>
            <w:tcW w:w="828"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8</w:t>
            </w:r>
          </w:p>
        </w:tc>
        <w:tc>
          <w:tcPr>
            <w:tcW w:w="4865" w:type="dxa"/>
            <w:tcBorders>
              <w:top w:val="nil"/>
              <w:left w:val="nil"/>
              <w:bottom w:val="single" w:color="auto" w:sz="4" w:space="0"/>
              <w:right w:val="single" w:color="auto" w:sz="4" w:space="0"/>
            </w:tcBorders>
            <w:noWrap w:val="0"/>
            <w:vAlign w:val="center"/>
          </w:tcPr>
          <w:p>
            <w:pPr>
              <w:widowControl/>
              <w:jc w:val="both"/>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年度税前利润总额</w:t>
            </w:r>
          </w:p>
        </w:tc>
        <w:tc>
          <w:tcPr>
            <w:tcW w:w="2947" w:type="dxa"/>
            <w:tcBorders>
              <w:top w:val="nil"/>
              <w:left w:val="nil"/>
              <w:bottom w:val="single" w:color="auto" w:sz="4" w:space="0"/>
              <w:right w:val="single" w:color="auto" w:sz="4" w:space="0"/>
            </w:tcBorders>
            <w:noWrap w:val="0"/>
            <w:vAlign w:val="center"/>
          </w:tcPr>
          <w:p>
            <w:pPr>
              <w:widowControl/>
              <w:jc w:val="righ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w:t>
            </w:r>
          </w:p>
        </w:tc>
      </w:tr>
      <w:tr>
        <w:tblPrEx>
          <w:tblCellMar>
            <w:top w:w="0" w:type="dxa"/>
            <w:left w:w="108" w:type="dxa"/>
            <w:bottom w:w="0" w:type="dxa"/>
            <w:right w:w="108" w:type="dxa"/>
          </w:tblCellMar>
        </w:tblPrEx>
        <w:trPr>
          <w:trHeight w:val="567" w:hRule="atLeast"/>
          <w:jc w:val="center"/>
        </w:trPr>
        <w:tc>
          <w:tcPr>
            <w:tcW w:w="828"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9</w:t>
            </w:r>
          </w:p>
        </w:tc>
        <w:tc>
          <w:tcPr>
            <w:tcW w:w="4865" w:type="dxa"/>
            <w:tcBorders>
              <w:top w:val="nil"/>
              <w:left w:val="nil"/>
              <w:bottom w:val="single" w:color="auto" w:sz="4" w:space="0"/>
              <w:right w:val="single" w:color="auto" w:sz="4" w:space="0"/>
            </w:tcBorders>
            <w:noWrap w:val="0"/>
            <w:vAlign w:val="center"/>
          </w:tcPr>
          <w:p>
            <w:pPr>
              <w:widowControl/>
              <w:jc w:val="both"/>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小微企业贷款</w:t>
            </w:r>
          </w:p>
        </w:tc>
        <w:tc>
          <w:tcPr>
            <w:tcW w:w="2947" w:type="dxa"/>
            <w:tcBorders>
              <w:top w:val="nil"/>
              <w:left w:val="nil"/>
              <w:bottom w:val="single" w:color="auto" w:sz="4" w:space="0"/>
              <w:right w:val="single" w:color="auto" w:sz="4" w:space="0"/>
            </w:tcBorders>
            <w:noWrap w:val="0"/>
            <w:vAlign w:val="center"/>
          </w:tcPr>
          <w:p>
            <w:pPr>
              <w:widowControl/>
              <w:jc w:val="righ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w:t>
            </w:r>
          </w:p>
        </w:tc>
      </w:tr>
      <w:tr>
        <w:tblPrEx>
          <w:tblCellMar>
            <w:top w:w="0" w:type="dxa"/>
            <w:left w:w="108" w:type="dxa"/>
            <w:bottom w:w="0" w:type="dxa"/>
            <w:right w:w="108" w:type="dxa"/>
          </w:tblCellMar>
        </w:tblPrEx>
        <w:trPr>
          <w:trHeight w:val="990" w:hRule="atLeast"/>
          <w:jc w:val="center"/>
        </w:trPr>
        <w:tc>
          <w:tcPr>
            <w:tcW w:w="828"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10</w:t>
            </w:r>
          </w:p>
        </w:tc>
        <w:tc>
          <w:tcPr>
            <w:tcW w:w="4865" w:type="dxa"/>
            <w:tcBorders>
              <w:top w:val="nil"/>
              <w:left w:val="nil"/>
              <w:bottom w:val="single" w:color="auto" w:sz="4" w:space="0"/>
              <w:right w:val="single" w:color="auto" w:sz="4" w:space="0"/>
            </w:tcBorders>
            <w:noWrap w:val="0"/>
            <w:vAlign w:val="center"/>
          </w:tcPr>
          <w:p>
            <w:pPr>
              <w:widowControl/>
              <w:jc w:val="both"/>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营业网点</w:t>
            </w:r>
            <w:r>
              <w:rPr>
                <w:rFonts w:hint="eastAsia" w:ascii="宋体" w:hAnsi="宋体" w:cs="宋体"/>
                <w:color w:val="000000" w:themeColor="text1"/>
                <w:kern w:val="0"/>
                <w:sz w:val="21"/>
                <w:szCs w:val="21"/>
                <w:highlight w:val="none"/>
                <w:lang w:eastAsia="zh-CN"/>
                <w14:textFill>
                  <w14:solidFill>
                    <w14:schemeClr w14:val="tx1"/>
                  </w14:solidFill>
                </w14:textFill>
              </w:rPr>
              <w:t>区域</w:t>
            </w:r>
            <w:r>
              <w:rPr>
                <w:rFonts w:hint="eastAsia" w:ascii="宋体" w:hAnsi="宋体" w:cs="宋体"/>
                <w:color w:val="000000" w:themeColor="text1"/>
                <w:kern w:val="0"/>
                <w:sz w:val="21"/>
                <w:szCs w:val="21"/>
                <w:highlight w:val="none"/>
                <w:lang w:val="en-US" w:eastAsia="zh-CN"/>
                <w14:textFill>
                  <w14:solidFill>
                    <w14:schemeClr w14:val="tx1"/>
                  </w14:solidFill>
                </w14:textFill>
              </w:rPr>
              <w:t>分布情况（个）（全市分</w:t>
            </w: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江城、阳春、阳西、阳东、海陵、高新区等六个区域）</w:t>
            </w:r>
          </w:p>
        </w:tc>
        <w:tc>
          <w:tcPr>
            <w:tcW w:w="2947" w:type="dxa"/>
            <w:tcBorders>
              <w:top w:val="nil"/>
              <w:left w:val="nil"/>
              <w:bottom w:val="single" w:color="auto" w:sz="4" w:space="0"/>
              <w:right w:val="single" w:color="auto" w:sz="4" w:space="0"/>
            </w:tcBorders>
            <w:noWrap w:val="0"/>
            <w:vAlign w:val="center"/>
          </w:tcPr>
          <w:p>
            <w:pPr>
              <w:widowControl/>
              <w:jc w:val="righ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w:t>
            </w:r>
          </w:p>
        </w:tc>
      </w:tr>
    </w:tbl>
    <w:p>
      <w:pPr>
        <w:pStyle w:val="192"/>
        <w:ind w:left="0" w:leftChars="0" w:firstLine="0" w:firstLineChars="0"/>
        <w:rPr>
          <w:rFonts w:hint="eastAsia" w:ascii="宋体" w:hAnsi="宋体"/>
          <w:color w:val="000000" w:themeColor="text1"/>
          <w:highlight w:val="none"/>
          <w14:textFill>
            <w14:solidFill>
              <w14:schemeClr w14:val="tx1"/>
            </w14:solidFill>
          </w14:textFill>
        </w:rPr>
      </w:pPr>
    </w:p>
    <w:p>
      <w:pPr>
        <w:pStyle w:val="23"/>
        <w:spacing w:line="360" w:lineRule="auto"/>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★注：本表数据为20</w:t>
      </w:r>
      <w:r>
        <w:rPr>
          <w:rFonts w:hint="eastAsia" w:ascii="宋体" w:hAnsi="宋体"/>
          <w:color w:val="000000" w:themeColor="text1"/>
          <w:highlight w:val="none"/>
          <w:lang w:val="en-US" w:eastAsia="zh-CN"/>
          <w14:textFill>
            <w14:solidFill>
              <w14:schemeClr w14:val="tx1"/>
            </w14:solidFill>
          </w14:textFill>
        </w:rPr>
        <w:t>22</w:t>
      </w:r>
      <w:r>
        <w:rPr>
          <w:rFonts w:hint="eastAsia" w:ascii="宋体" w:hAnsi="宋体"/>
          <w:color w:val="000000" w:themeColor="text1"/>
          <w:highlight w:val="none"/>
          <w14:textFill>
            <w14:solidFill>
              <w14:schemeClr w14:val="tx1"/>
            </w14:solidFill>
          </w14:textFill>
        </w:rPr>
        <w:t>年12月31日的时点数，</w:t>
      </w:r>
      <w:r>
        <w:rPr>
          <w:rFonts w:hint="eastAsia" w:ascii="宋体" w:hAnsi="宋体"/>
          <w:color w:val="000000" w:themeColor="text1"/>
          <w:highlight w:val="none"/>
          <w:lang w:eastAsia="zh-CN"/>
          <w14:textFill>
            <w14:solidFill>
              <w14:schemeClr w14:val="tx1"/>
            </w14:solidFill>
          </w14:textFill>
        </w:rPr>
        <w:t>序号</w:t>
      </w:r>
      <w:r>
        <w:rPr>
          <w:rFonts w:hint="eastAsia" w:ascii="宋体" w:hAnsi="宋体"/>
          <w:color w:val="000000" w:themeColor="text1"/>
          <w:highlight w:val="none"/>
          <w:lang w:val="en-US" w:eastAsia="zh-CN"/>
          <w14:textFill>
            <w14:solidFill>
              <w14:schemeClr w14:val="tx1"/>
            </w14:solidFill>
          </w14:textFill>
        </w:rPr>
        <w:t>1-9项</w:t>
      </w:r>
      <w:r>
        <w:rPr>
          <w:rFonts w:hint="eastAsia" w:ascii="宋体" w:hAnsi="宋体"/>
          <w:color w:val="000000" w:themeColor="text1"/>
          <w:highlight w:val="none"/>
          <w14:textFill>
            <w14:solidFill>
              <w14:schemeClr w14:val="tx1"/>
            </w14:solidFill>
          </w14:textFill>
        </w:rPr>
        <w:t>以投标人上报银监局的非现场监管系统数据为准，如有不一致的，则作为无效投标处理（本表数据允许四舍五入造成的数据误差）</w:t>
      </w:r>
      <w:r>
        <w:rPr>
          <w:rFonts w:hint="eastAsia" w:ascii="宋体" w:hAnsi="宋体"/>
          <w:color w:val="000000" w:themeColor="text1"/>
          <w:highlight w:val="none"/>
          <w:lang w:eastAsia="zh-CN"/>
          <w14:textFill>
            <w14:solidFill>
              <w14:schemeClr w14:val="tx1"/>
            </w14:solidFill>
          </w14:textFill>
        </w:rPr>
        <w:t>；序号</w:t>
      </w:r>
      <w:r>
        <w:rPr>
          <w:rFonts w:hint="eastAsia" w:ascii="宋体" w:hAnsi="宋体"/>
          <w:color w:val="000000" w:themeColor="text1"/>
          <w:highlight w:val="none"/>
          <w:lang w:val="en-US" w:eastAsia="zh-CN"/>
          <w14:textFill>
            <w14:solidFill>
              <w14:schemeClr w14:val="tx1"/>
            </w14:solidFill>
          </w14:textFill>
        </w:rPr>
        <w:t>10项为据实填写项，每个区域网点均以当地银监部门颁发的有效的《金融许可证》视为有效网点，《金融许可证》上地址作为区域网点分布依据。</w:t>
      </w:r>
    </w:p>
    <w:p>
      <w:pPr>
        <w:widowControl w:val="0"/>
        <w:snapToGrid w:val="0"/>
        <w:spacing w:line="360" w:lineRule="auto"/>
        <w:ind w:right="420" w:rightChars="200"/>
        <w:jc w:val="both"/>
        <w:rPr>
          <w:rFonts w:hint="eastAsia" w:ascii="宋体" w:hAnsi="宋体"/>
          <w:color w:val="000000" w:themeColor="text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br w:type="page"/>
      </w:r>
    </w:p>
    <w:p>
      <w:pPr>
        <w:pStyle w:val="3"/>
        <w:numPr>
          <w:ilvl w:val="0"/>
          <w:numId w:val="0"/>
        </w:numPr>
        <w:spacing w:beforeLines="0" w:line="240" w:lineRule="auto"/>
        <w:rPr>
          <w:color w:val="000000" w:themeColor="text1"/>
          <w:highlight w:val="none"/>
          <w14:textFill>
            <w14:solidFill>
              <w14:schemeClr w14:val="tx1"/>
            </w14:solidFill>
          </w14:textFill>
        </w:rPr>
      </w:pPr>
      <w:bookmarkStart w:id="114" w:name="_Toc11319"/>
      <w:r>
        <w:rPr>
          <w:rFonts w:hint="eastAsia"/>
          <w:color w:val="000000" w:themeColor="text1"/>
          <w:highlight w:val="none"/>
          <w14:textFill>
            <w14:solidFill>
              <w14:schemeClr w14:val="tx1"/>
            </w14:solidFill>
          </w14:textFill>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4"/>
    </w:p>
    <w:p>
      <w:pPr>
        <w:pStyle w:val="4"/>
        <w:numPr>
          <w:ilvl w:val="0"/>
          <w:numId w:val="0"/>
        </w:numPr>
        <w:rPr>
          <w:rFonts w:hint="eastAsia"/>
          <w:color w:val="000000" w:themeColor="text1"/>
          <w:szCs w:val="21"/>
          <w:highlight w:val="none"/>
          <w14:textFill>
            <w14:solidFill>
              <w14:schemeClr w14:val="tx1"/>
            </w14:solidFill>
          </w14:textFill>
        </w:rPr>
      </w:pPr>
      <w:bookmarkStart w:id="115" w:name="_Toc18428"/>
      <w:bookmarkStart w:id="116" w:name="_Toc456648358"/>
      <w:bookmarkStart w:id="117" w:name="_Toc434832495"/>
      <w:bookmarkStart w:id="118" w:name="_Toc456272919"/>
      <w:r>
        <w:rPr>
          <w:rFonts w:hint="eastAsia"/>
          <w:color w:val="000000" w:themeColor="text1"/>
          <w:szCs w:val="21"/>
          <w:highlight w:val="none"/>
          <w14:textFill>
            <w14:solidFill>
              <w14:schemeClr w14:val="tx1"/>
            </w14:solidFill>
          </w14:textFill>
        </w:rPr>
        <w:t>投标人须知前附表</w:t>
      </w:r>
      <w:bookmarkEnd w:id="115"/>
      <w:bookmarkEnd w:id="116"/>
      <w:bookmarkEnd w:id="117"/>
      <w:bookmarkEnd w:id="118"/>
    </w:p>
    <w:tbl>
      <w:tblPr>
        <w:tblStyle w:val="46"/>
        <w:tblW w:w="9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831"/>
        <w:gridCol w:w="3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1</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评标委员会</w:t>
            </w:r>
            <w:r>
              <w:rPr>
                <w:rFonts w:hint="eastAsia" w:ascii="宋体"/>
                <w:bCs/>
                <w:color w:val="000000" w:themeColor="text1"/>
                <w:highlight w:val="none"/>
                <w:lang w:val="en-US" w:eastAsia="zh-CN"/>
                <w14:textFill>
                  <w14:solidFill>
                    <w14:schemeClr w14:val="tx1"/>
                  </w14:solidFill>
                </w14:textFill>
              </w:rPr>
              <w:t>根据政府采购相关法律法规组成</w:t>
            </w:r>
            <w:r>
              <w:rPr>
                <w:rFonts w:hint="eastAsia" w:ascii="宋体"/>
                <w:bCs/>
                <w:color w:val="000000" w:themeColor="text1"/>
                <w:highlight w:val="none"/>
                <w14:textFill>
                  <w14:solidFill>
                    <w14:schemeClr w14:val="tx1"/>
                  </w14:solidFill>
                </w14:textFill>
              </w:rPr>
              <w:t>，评审专家根据相关法律法规及法律程序</w:t>
            </w:r>
            <w:r>
              <w:rPr>
                <w:rFonts w:hint="eastAsia" w:ascii="宋体"/>
                <w:bCs/>
                <w:color w:val="000000" w:themeColor="text1"/>
                <w:highlight w:val="none"/>
                <w:lang w:eastAsia="zh-CN"/>
                <w14:textFill>
                  <w14:solidFill>
                    <w14:schemeClr w14:val="tx1"/>
                  </w14:solidFill>
                </w14:textFill>
              </w:rPr>
              <w:t>，</w:t>
            </w:r>
            <w:r>
              <w:rPr>
                <w:rFonts w:hint="eastAsia" w:ascii="宋体"/>
                <w:bCs/>
                <w:color w:val="000000" w:themeColor="text1"/>
                <w:highlight w:val="none"/>
                <w14:textFill>
                  <w14:solidFill>
                    <w14:schemeClr w14:val="tx1"/>
                  </w14:solidFill>
                </w14:textFill>
              </w:rPr>
              <w:t>依据本次采购活动的特点和需要在政府指定的专家库中随机抽取产生,</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5</w:t>
            </w:r>
            <w:r>
              <w:rPr>
                <w:rFonts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7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r>
              <w:rPr>
                <w:rFonts w:hint="eastAsia" w:ascii="宋体" w:hAnsi="宋体"/>
                <w:color w:val="000000" w:themeColor="text1"/>
                <w:szCs w:val="21"/>
                <w:highlight w:val="none"/>
                <w:lang w:val="en-US" w:eastAsia="zh-CN"/>
                <w14:textFill>
                  <w14:solidFill>
                    <w14:schemeClr w14:val="tx1"/>
                  </w14:solidFill>
                </w14:textFill>
              </w:rPr>
              <w:t>要求</w:t>
            </w:r>
          </w:p>
        </w:tc>
        <w:tc>
          <w:tcPr>
            <w:tcW w:w="1587" w:type="dxa"/>
            <w:vMerge w:val="restart"/>
            <w:tcBorders>
              <w:top w:val="single" w:color="auto" w:sz="4" w:space="0"/>
              <w:left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both"/>
              <w:rPr>
                <w:rFonts w:hint="eastAsia" w:ascii="宋体" w:hAnsi="宋体"/>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共提供4份</w:t>
            </w:r>
            <w:r>
              <w:rPr>
                <w:rFonts w:hint="eastAsia" w:ascii="宋体" w:hAnsi="宋体"/>
                <w:b/>
                <w:bCs/>
                <w:color w:val="000000" w:themeColor="text1"/>
                <w:szCs w:val="21"/>
                <w:highlight w:val="none"/>
                <w14:textFill>
                  <w14:solidFill>
                    <w14:schemeClr w14:val="tx1"/>
                  </w14:solidFill>
                </w14:textFill>
              </w:rPr>
              <w:t>投标</w:t>
            </w:r>
            <w:r>
              <w:rPr>
                <w:rFonts w:hint="eastAsia" w:ascii="宋体" w:hAnsi="宋体"/>
                <w:b/>
                <w:bCs/>
                <w:color w:val="000000" w:themeColor="text1"/>
                <w:szCs w:val="21"/>
                <w:highlight w:val="none"/>
                <w:lang w:val="en-US" w:eastAsia="zh-CN"/>
                <w14:textFill>
                  <w14:solidFill>
                    <w14:schemeClr w14:val="tx1"/>
                  </w14:solidFill>
                </w14:textFill>
              </w:rPr>
              <w:t>资料，分别封装：</w:t>
            </w:r>
          </w:p>
          <w:p>
            <w:pPr>
              <w:pStyle w:val="17"/>
              <w:rPr>
                <w:rFonts w:hint="eastAsia"/>
                <w:color w:val="000000" w:themeColor="text1"/>
                <w:highlight w:val="none"/>
                <w:lang w:eastAsia="zh-CN"/>
                <w14:textFill>
                  <w14:solidFill>
                    <w14:schemeClr w14:val="tx1"/>
                  </w14:solidFill>
                </w14:textFill>
              </w:rPr>
            </w:pPr>
          </w:p>
          <w:p>
            <w:pPr>
              <w:keepNext w:val="0"/>
              <w:keepLines w:val="0"/>
              <w:pageBreakBefore w:val="0"/>
              <w:numPr>
                <w:ilvl w:val="0"/>
                <w:numId w:val="0"/>
              </w:numPr>
              <w:tabs>
                <w:tab w:val="left" w:pos="528"/>
                <w:tab w:val="left" w:pos="783"/>
              </w:tabs>
              <w:kinsoku/>
              <w:wordWrap/>
              <w:overflowPunct/>
              <w:topLinePunct w:val="0"/>
              <w:bidi w:val="0"/>
              <w:snapToGrid/>
              <w:spacing w:line="400" w:lineRule="exact"/>
              <w:jc w:val="center"/>
              <w:rPr>
                <w:rFonts w:ascii="宋体" w:hAnsi="宋体"/>
                <w:b/>
                <w:color w:val="000000" w:themeColor="text1"/>
                <w:szCs w:val="21"/>
                <w:highlight w:val="none"/>
                <w:shd w:val="pct10" w:color="auto" w:fill="FFFFFF"/>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1、</w:t>
            </w:r>
            <w:r>
              <w:rPr>
                <w:rFonts w:hint="eastAsia" w:ascii="宋体" w:hAnsi="宋体"/>
                <w:b/>
                <w:bCs/>
                <w:color w:val="000000" w:themeColor="text1"/>
                <w:szCs w:val="21"/>
                <w:highlight w:val="none"/>
                <w14:textFill>
                  <w14:solidFill>
                    <w14:schemeClr w14:val="tx1"/>
                  </w14:solidFill>
                </w14:textFill>
              </w:rPr>
              <w:t>资格审查文件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4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2、</w:t>
            </w:r>
            <w:r>
              <w:rPr>
                <w:rFonts w:hint="eastAsia" w:ascii="宋体" w:hAnsi="宋体"/>
                <w:b/>
                <w:bCs/>
                <w:color w:val="000000" w:themeColor="text1"/>
                <w:szCs w:val="21"/>
                <w:highlight w:val="none"/>
                <w14:textFill>
                  <w14:solidFill>
                    <w14:schemeClr w14:val="tx1"/>
                  </w14:solidFill>
                </w14:textFill>
              </w:rPr>
              <w:t>商务及技术文件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4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24"/>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14:textFill>
                  <w14:solidFill>
                    <w14:schemeClr w14:val="tx1"/>
                  </w14:solidFill>
                </w14:textFill>
              </w:rPr>
              <w:t>开标信封</w:t>
            </w:r>
            <w:r>
              <w:rPr>
                <w:rFonts w:hint="eastAsia"/>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（内含“开标一览表”、“投标保证金”、“保证金退付书”、“法定代表人（负责人）证明书”和“法定代表人（负责人）授权书”</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lang w:val="en-US" w:eastAsia="zh-CN"/>
                <w14:textFill>
                  <w14:solidFill>
                    <w14:schemeClr w14:val="tx1"/>
                  </w14:solidFill>
                </w14:textFill>
              </w:rPr>
              <w:t>4、</w:t>
            </w:r>
            <w:r>
              <w:rPr>
                <w:rFonts w:hint="eastAsia"/>
                <w:b/>
                <w:bCs/>
                <w:color w:val="000000" w:themeColor="text1"/>
                <w:highlight w:val="none"/>
                <w:lang w:val="en-US" w:eastAsia="zh-CN"/>
                <w14:textFill>
                  <w14:solidFill>
                    <w14:schemeClr w14:val="tx1"/>
                  </w14:solidFill>
                </w14:textFill>
              </w:rPr>
              <w:t>投标文件电子版。</w:t>
            </w:r>
            <w:r>
              <w:rPr>
                <w:rFonts w:hint="eastAsia"/>
                <w:color w:val="000000" w:themeColor="text1"/>
                <w:highlight w:val="none"/>
                <w:lang w:val="en-US" w:eastAsia="zh-CN"/>
                <w14:textFill>
                  <w14:solidFill>
                    <w14:schemeClr w14:val="tx1"/>
                  </w14:solidFill>
                </w14:textFill>
              </w:rPr>
              <w:t>（以光盘或U盘提供，内含PDF及可编辑的投标文件电子版1份，</w:t>
            </w:r>
            <w:r>
              <w:rPr>
                <w:rFonts w:hint="eastAsia"/>
                <w:color w:val="000000" w:themeColor="text1"/>
                <w:szCs w:val="21"/>
                <w:highlight w:val="none"/>
                <w14:textFill>
                  <w14:solidFill>
                    <w14:schemeClr w14:val="tx1"/>
                  </w14:solidFill>
                </w14:textFill>
              </w:rPr>
              <w:t>在封面上注明“</w:t>
            </w:r>
            <w:r>
              <w:rPr>
                <w:rFonts w:hint="eastAsia"/>
                <w:color w:val="000000" w:themeColor="text1"/>
                <w:szCs w:val="21"/>
                <w:highlight w:val="none"/>
                <w:lang w:val="en-US" w:eastAsia="zh-CN"/>
                <w14:textFill>
                  <w14:solidFill>
                    <w14:schemeClr w14:val="tx1"/>
                  </w14:solidFill>
                </w14:textFill>
              </w:rPr>
              <w:t>公司名称-</w:t>
            </w:r>
            <w:r>
              <w:rPr>
                <w:rFonts w:hint="eastAsia"/>
                <w:color w:val="000000" w:themeColor="text1"/>
                <w:highlight w:val="none"/>
                <w:lang w:val="en-US" w:eastAsia="zh-CN"/>
                <w14:textFill>
                  <w14:solidFill>
                    <w14:schemeClr w14:val="tx1"/>
                  </w14:solidFill>
                </w14:textFill>
              </w:rPr>
              <w:t>投标文件电子版</w:t>
            </w:r>
            <w:r>
              <w:rPr>
                <w:rFonts w:hint="eastAsia"/>
                <w:color w:val="000000" w:themeColor="text1"/>
                <w:szCs w:val="2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hAnsi="宋体"/>
                <w:b/>
                <w:bCs w:val="0"/>
                <w:color w:val="000000" w:themeColor="text1"/>
                <w:szCs w:val="21"/>
                <w:highlight w:val="none"/>
                <w:lang w:val="en-US" w:eastAsia="zh-CN"/>
                <w14:textFill>
                  <w14:solidFill>
                    <w14:schemeClr w14:val="tx1"/>
                  </w14:solidFill>
                </w14:textFill>
              </w:rPr>
              <w:t>所有投标资料</w:t>
            </w:r>
            <w:r>
              <w:rPr>
                <w:rFonts w:hint="eastAsia" w:ascii="宋体"/>
                <w:bCs/>
                <w:color w:val="000000" w:themeColor="text1"/>
                <w:szCs w:val="21"/>
                <w:highlight w:val="none"/>
                <w14:textFill>
                  <w14:solidFill>
                    <w14:schemeClr w14:val="tx1"/>
                  </w14:solidFill>
                </w14:textFill>
              </w:rPr>
              <w:t>分别</w:t>
            </w:r>
            <w:r>
              <w:rPr>
                <w:rFonts w:hint="eastAsia" w:ascii="宋体" w:hAnsi="宋体"/>
                <w:bCs/>
                <w:color w:val="000000" w:themeColor="text1"/>
                <w:szCs w:val="2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封面需按招标文件封面格式要求标注并加盖公章。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每一密封封</w:t>
            </w:r>
            <w:r>
              <w:rPr>
                <w:rFonts w:hint="eastAsia" w:ascii="宋体"/>
                <w:bCs/>
                <w:color w:val="000000" w:themeColor="text1"/>
                <w:highlight w:val="none"/>
                <w:lang w:val="en-US" w:eastAsia="zh-CN"/>
                <w14:textFill>
                  <w14:solidFill>
                    <w14:schemeClr w14:val="tx1"/>
                  </w14:solidFill>
                </w14:textFill>
              </w:rPr>
              <w:t>装</w:t>
            </w:r>
            <w:r>
              <w:rPr>
                <w:rFonts w:hint="eastAsia" w:ascii="宋体"/>
                <w:bCs/>
                <w:color w:val="000000" w:themeColor="text1"/>
                <w:highlight w:val="none"/>
                <w14:textFill>
                  <w14:solidFill>
                    <w14:schemeClr w14:val="tx1"/>
                  </w14:solidFill>
                </w14:textFill>
              </w:rPr>
              <w:t>上均注明“于</w:t>
            </w:r>
            <w:r>
              <w:rPr>
                <w:rFonts w:hint="eastAsia" w:ascii="宋体"/>
                <w:bCs/>
                <w:color w:val="000000" w:themeColor="text1"/>
                <w:highlight w:val="none"/>
                <w:u w:val="single"/>
                <w14:textFill>
                  <w14:solidFill>
                    <w14:schemeClr w14:val="tx1"/>
                  </w14:solidFill>
                </w14:textFill>
              </w:rPr>
              <w:t xml:space="preserve">     （投标截止时间）   </w:t>
            </w:r>
            <w:r>
              <w:rPr>
                <w:rFonts w:hint="eastAsia" w:ascii="宋体"/>
                <w:bCs/>
                <w:color w:val="000000" w:themeColor="text1"/>
                <w:highlight w:val="none"/>
                <w14:textFill>
                  <w14:solidFill>
                    <w14:schemeClr w14:val="tx1"/>
                  </w14:solidFill>
                </w14:textFill>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投标人未按上述规定对投标文件进行密封和加写标记，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r>
              <w:rPr>
                <w:b/>
                <w:bCs/>
                <w:color w:val="000000" w:themeColor="text1"/>
                <w:szCs w:val="21"/>
                <w:highlight w:val="none"/>
                <w14:textFill>
                  <w14:solidFill>
                    <w14:schemeClr w14:val="tx1"/>
                  </w14:solidFill>
                </w14:textFill>
              </w:rPr>
              <w:t>所有投标文件密封袋的封口处应加盖投标人</w:t>
            </w:r>
            <w:r>
              <w:rPr>
                <w:rFonts w:hint="eastAsia"/>
                <w:b/>
                <w:bCs/>
                <w:color w:val="000000" w:themeColor="text1"/>
                <w:szCs w:val="21"/>
                <w:highlight w:val="none"/>
                <w14:textFill>
                  <w14:solidFill>
                    <w14:schemeClr w14:val="tx1"/>
                  </w14:solidFill>
                </w14:textFill>
              </w:rPr>
              <w:t>公章或密封章。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pStyle w:val="2"/>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招标文件中打“★”号条款必须实质性响应，负偏离（不满足要求）将导致投标无效。</w:t>
            </w:r>
          </w:p>
          <w:p>
            <w:pPr>
              <w:pStyle w:val="2"/>
              <w:keepNext w:val="0"/>
              <w:keepLines w:val="0"/>
              <w:pageBreakBefore w:val="0"/>
              <w:numPr>
                <w:ilvl w:val="0"/>
                <w:numId w:val="0"/>
              </w:numPr>
              <w:tabs>
                <w:tab w:val="left" w:pos="26"/>
              </w:tabs>
              <w:kinsoku/>
              <w:wordWrap/>
              <w:overflowPunct/>
              <w:topLinePunct w:val="0"/>
              <w:bidi w:val="0"/>
              <w:snapToGrid/>
              <w:spacing w:line="400" w:lineRule="exact"/>
              <w:ind w:left="26" w:leftChars="0"/>
              <w:jc w:val="both"/>
              <w:rPr>
                <w:bCs/>
                <w:color w:val="000000" w:themeColor="text1"/>
                <w:highlight w:val="none"/>
                <w14:textFill>
                  <w14:solidFill>
                    <w14:schemeClr w14:val="tx1"/>
                  </w14:solidFill>
                </w14:textFill>
              </w:rPr>
            </w:pPr>
            <w:r>
              <w:rPr>
                <w:rFonts w:hint="eastAsia"/>
                <w:b/>
                <w:color w:val="000000" w:themeColor="text1"/>
                <w:sz w:val="21"/>
                <w:szCs w:val="21"/>
                <w:highlight w:val="none"/>
                <w:lang w:val="en-US" w:eastAsia="zh-CN"/>
                <w14:textFill>
                  <w14:solidFill>
                    <w14:schemeClr w14:val="tx1"/>
                  </w14:solidFill>
                </w14:textFill>
              </w:rPr>
              <w:t>2、</w:t>
            </w:r>
            <w:r>
              <w:rPr>
                <w:rFonts w:hint="eastAsia"/>
                <w:b/>
                <w:color w:val="000000" w:themeColor="text1"/>
                <w:sz w:val="21"/>
                <w:szCs w:val="21"/>
                <w:highlight w:val="none"/>
                <w14:textFill>
                  <w14:solidFill>
                    <w14:schemeClr w14:val="tx1"/>
                  </w14:solidFill>
                </w14:textFill>
              </w:rPr>
              <w:t>招标文件中带“▲”为实质性参数要求响应, 负偏离（不满足要求）将导致严重扣分。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1856"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418" w:type="dxa"/>
            <w:gridSpan w:val="2"/>
            <w:vMerge w:val="restart"/>
            <w:tcBorders>
              <w:top w:val="single" w:color="auto" w:sz="4" w:space="0"/>
              <w:left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中国政府采购网</w:t>
            </w:r>
          </w:p>
        </w:tc>
        <w:tc>
          <w:tcPr>
            <w:tcW w:w="361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http://www.ccgp.gov.cn/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3418" w:type="dxa"/>
            <w:gridSpan w:val="2"/>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网</w:t>
            </w: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3418" w:type="dxa"/>
            <w:gridSpan w:val="2"/>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pPr>
        <w:pStyle w:val="2"/>
        <w:ind w:left="0" w:leftChars="0" w:firstLine="0" w:firstLineChars="0"/>
        <w:rPr>
          <w:rFonts w:hint="eastAsia"/>
          <w:color w:val="000000" w:themeColor="text1"/>
          <w:szCs w:val="21"/>
          <w:highlight w:val="none"/>
          <w14:textFill>
            <w14:solidFill>
              <w14:schemeClr w14:val="tx1"/>
            </w14:solidFill>
          </w14:textFill>
        </w:rPr>
      </w:pPr>
    </w:p>
    <w:p>
      <w:pPr>
        <w:pStyle w:val="2"/>
        <w:ind w:left="0" w:leftChars="0" w:firstLine="0" w:firstLineChars="0"/>
        <w:rPr>
          <w:rFonts w:hint="eastAsia"/>
          <w:color w:val="000000" w:themeColor="text1"/>
          <w:szCs w:val="21"/>
          <w:highlight w:val="none"/>
          <w14:textFill>
            <w14:solidFill>
              <w14:schemeClr w14:val="tx1"/>
            </w14:solidFill>
          </w14:textFill>
        </w:rPr>
      </w:pPr>
    </w:p>
    <w:p>
      <w:pPr>
        <w:pStyle w:val="4"/>
        <w:numPr>
          <w:ilvl w:val="0"/>
          <w:numId w:val="0"/>
        </w:numPr>
        <w:rPr>
          <w:color w:val="000000" w:themeColor="text1"/>
          <w:sz w:val="24"/>
          <w:highlight w:val="none"/>
          <w14:textFill>
            <w14:solidFill>
              <w14:schemeClr w14:val="tx1"/>
            </w14:solidFill>
          </w14:textFill>
        </w:rPr>
      </w:pPr>
      <w:bookmarkStart w:id="119" w:name="_Hlt21938668"/>
      <w:bookmarkEnd w:id="119"/>
      <w:bookmarkStart w:id="120" w:name="_Hlt21938665"/>
      <w:bookmarkEnd w:id="120"/>
      <w:bookmarkStart w:id="121" w:name="_Toc342296728"/>
      <w:bookmarkStart w:id="122" w:name="_Toc339441055"/>
      <w:bookmarkStart w:id="123" w:name="_Toc366072496"/>
      <w:bookmarkStart w:id="124" w:name="_Toc349127594"/>
      <w:bookmarkStart w:id="125" w:name="_Toc330459953"/>
      <w:bookmarkStart w:id="126" w:name="_Toc503785396"/>
      <w:bookmarkStart w:id="127" w:name="_Toc333237756"/>
      <w:bookmarkStart w:id="128" w:name="_Toc336681903"/>
      <w:bookmarkStart w:id="129" w:name="_Toc12110"/>
      <w:bookmarkStart w:id="130" w:name="_Toc332206676"/>
      <w:bookmarkStart w:id="131" w:name="_Toc339020063"/>
      <w:bookmarkStart w:id="132" w:name="_Toc339019983"/>
      <w:bookmarkStart w:id="133" w:name="_Toc333935655"/>
      <w:bookmarkStart w:id="134" w:name="_Toc331512866"/>
      <w:bookmarkStart w:id="135" w:name="_Toc341348306"/>
      <w:bookmarkStart w:id="136" w:name="_Toc337632326"/>
      <w:bookmarkStart w:id="137" w:name="_Toc497224194"/>
      <w:bookmarkStart w:id="138" w:name="_Toc339019857"/>
      <w:bookmarkStart w:id="139" w:name="_Toc349143557"/>
      <w:bookmarkStart w:id="140" w:name="_Toc350756418"/>
      <w:bookmarkStart w:id="141" w:name="_Toc332270314"/>
      <w:bookmarkStart w:id="142" w:name="_Toc340672837"/>
      <w:bookmarkStart w:id="143" w:name="_Toc340507410"/>
      <w:bookmarkStart w:id="144" w:name="_Toc331684006"/>
      <w:bookmarkStart w:id="145" w:name="_Toc340677038"/>
      <w:bookmarkStart w:id="146" w:name="_Toc333237645"/>
      <w:bookmarkStart w:id="147" w:name="_Toc339020201"/>
      <w:bookmarkStart w:id="148" w:name="_Toc345513835"/>
      <w:bookmarkStart w:id="149" w:name="_Toc339362268"/>
      <w:bookmarkStart w:id="150" w:name="_Toc336681548"/>
      <w:bookmarkStart w:id="151" w:name="_Toc365967041"/>
      <w:bookmarkStart w:id="152" w:name="_Toc350438717"/>
      <w:bookmarkStart w:id="153" w:name="_Toc333238601"/>
      <w:bookmarkStart w:id="154" w:name="_Toc365985147"/>
      <w:bookmarkStart w:id="155" w:name="_Toc333935314"/>
      <w:bookmarkStart w:id="156" w:name="_Toc342060342"/>
      <w:r>
        <w:rPr>
          <w:rFonts w:hint="eastAsia"/>
          <w:color w:val="000000" w:themeColor="text1"/>
          <w:sz w:val="24"/>
          <w:highlight w:val="none"/>
          <w14:textFill>
            <w14:solidFill>
              <w14:schemeClr w14:val="tx1"/>
            </w14:solidFill>
          </w14:textFill>
        </w:rPr>
        <w:t>Ａ说明</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57" w:name="_Toc503785397"/>
      <w:bookmarkStart w:id="158" w:name="_Toc497224195"/>
      <w:bookmarkStart w:id="159" w:name="_Toc365985148"/>
      <w:bookmarkStart w:id="160" w:name="_Toc349143558"/>
      <w:bookmarkStart w:id="161" w:name="_Toc332206677"/>
      <w:bookmarkStart w:id="162" w:name="_Toc339019984"/>
      <w:bookmarkStart w:id="163" w:name="_Toc339019858"/>
      <w:bookmarkStart w:id="164" w:name="_Toc333238602"/>
      <w:bookmarkStart w:id="165" w:name="_Toc331512867"/>
      <w:bookmarkStart w:id="166" w:name="_Toc332270315"/>
      <w:bookmarkStart w:id="167" w:name="_Toc336681549"/>
      <w:bookmarkStart w:id="168" w:name="_Toc339441056"/>
      <w:bookmarkStart w:id="169" w:name="_Toc350756419"/>
      <w:bookmarkStart w:id="170" w:name="_Toc345513836"/>
      <w:bookmarkStart w:id="171" w:name="_Toc366072497"/>
      <w:bookmarkStart w:id="172" w:name="_Toc333935656"/>
      <w:bookmarkStart w:id="173" w:name="_Toc339362269"/>
      <w:bookmarkStart w:id="174" w:name="_Toc350438718"/>
      <w:bookmarkStart w:id="175" w:name="_Toc337632327"/>
      <w:bookmarkStart w:id="176" w:name="_Toc336681904"/>
      <w:bookmarkStart w:id="177" w:name="_Toc342060343"/>
      <w:bookmarkStart w:id="178" w:name="_Toc339020064"/>
      <w:bookmarkStart w:id="179" w:name="_Toc31527"/>
      <w:bookmarkStart w:id="180" w:name="_Toc340507411"/>
      <w:bookmarkStart w:id="181" w:name="_Toc333237646"/>
      <w:bookmarkStart w:id="182" w:name="_Toc340672838"/>
      <w:bookmarkStart w:id="183" w:name="_Toc330459954"/>
      <w:bookmarkStart w:id="184" w:name="_Toc333237757"/>
      <w:bookmarkStart w:id="185" w:name="_Toc341348307"/>
      <w:bookmarkStart w:id="186" w:name="_Toc365967042"/>
      <w:bookmarkStart w:id="187" w:name="_Toc339020202"/>
      <w:bookmarkStart w:id="188" w:name="_Toc349127595"/>
      <w:bookmarkStart w:id="189" w:name="_Toc333935315"/>
      <w:bookmarkStart w:id="190" w:name="_Toc331684007"/>
      <w:bookmarkStart w:id="191" w:name="_Toc340677039"/>
      <w:bookmarkStart w:id="192" w:name="_Toc342296729"/>
      <w:r>
        <w:rPr>
          <w:rFonts w:hint="eastAsia"/>
          <w:color w:val="000000" w:themeColor="text1"/>
          <w:highlight w:val="none"/>
          <w14:textFill>
            <w14:solidFill>
              <w14:schemeClr w14:val="tx1"/>
            </w14:solidFill>
          </w14:textFill>
        </w:rPr>
        <w:t>适用范围</w:t>
      </w:r>
      <w:bookmarkEnd w:id="157"/>
      <w:bookmarkEnd w:id="158"/>
      <w:r>
        <w:rPr>
          <w:rFonts w:hint="eastAsia"/>
          <w:color w:val="000000" w:themeColor="text1"/>
          <w:highlight w:val="none"/>
          <w14:textFill>
            <w14:solidFill>
              <w14:schemeClr w14:val="tx1"/>
            </w14:solidFill>
          </w14:textFill>
        </w:rPr>
        <w:t>和资金来源</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bookmarkStart w:id="193" w:name="_Toc331512868"/>
      <w:bookmarkStart w:id="194" w:name="_Toc345513837"/>
      <w:bookmarkStart w:id="195" w:name="_Toc333237758"/>
      <w:bookmarkStart w:id="196" w:name="_Toc503785398"/>
      <w:bookmarkStart w:id="197" w:name="_Toc339020203"/>
      <w:bookmarkStart w:id="198" w:name="_Toc365967043"/>
      <w:bookmarkStart w:id="199" w:name="_Toc342060344"/>
      <w:bookmarkStart w:id="200" w:name="_Toc365985149"/>
      <w:bookmarkStart w:id="201" w:name="_Toc497224196"/>
      <w:bookmarkStart w:id="202" w:name="_Toc332270316"/>
      <w:bookmarkStart w:id="203" w:name="_Toc339362270"/>
      <w:bookmarkStart w:id="204" w:name="_Toc333238603"/>
      <w:bookmarkStart w:id="205" w:name="_Toc330459955"/>
      <w:bookmarkStart w:id="206" w:name="_Toc336681905"/>
      <w:bookmarkStart w:id="207" w:name="_Toc340507412"/>
      <w:bookmarkStart w:id="208" w:name="_Toc340677040"/>
      <w:bookmarkStart w:id="209" w:name="_Toc339019859"/>
      <w:bookmarkStart w:id="210" w:name="_Toc366072498"/>
      <w:bookmarkStart w:id="211" w:name="_Toc349127596"/>
      <w:bookmarkStart w:id="212" w:name="_Toc350438719"/>
      <w:bookmarkStart w:id="213" w:name="_Toc340672839"/>
      <w:bookmarkStart w:id="214" w:name="_Toc333237647"/>
      <w:bookmarkStart w:id="215" w:name="_Toc339019985"/>
      <w:bookmarkStart w:id="216" w:name="_Toc349143559"/>
      <w:bookmarkStart w:id="217" w:name="_Toc332206678"/>
      <w:bookmarkStart w:id="218" w:name="_Toc350756420"/>
      <w:bookmarkStart w:id="219" w:name="_Toc331684008"/>
      <w:bookmarkStart w:id="220" w:name="_Toc336681550"/>
      <w:bookmarkStart w:id="221" w:name="_Toc341348308"/>
      <w:bookmarkStart w:id="222" w:name="_Toc333935316"/>
      <w:bookmarkStart w:id="223" w:name="_Toc333935657"/>
      <w:bookmarkStart w:id="224" w:name="_Toc339020065"/>
      <w:bookmarkStart w:id="225" w:name="_Toc339441057"/>
      <w:bookmarkStart w:id="226" w:name="_Toc337632328"/>
      <w:bookmarkStart w:id="227" w:name="_Toc342296730"/>
      <w:bookmarkStart w:id="228" w:name="_Toc374454571"/>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本招标文件仅适用于本次投标邀请函中所叙述的采购招标项目。</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2    本项目的采购人已分别获得一笔资金用于支付本次招标项下的所有合同款项。</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    本招标文件由代理采购机构负责解释。</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29" w:name="_Toc15651"/>
      <w:r>
        <w:rPr>
          <w:rFonts w:hint="eastAsia"/>
          <w:color w:val="000000" w:themeColor="text1"/>
          <w:highlight w:val="none"/>
          <w14:textFill>
            <w14:solidFill>
              <w14:schemeClr w14:val="tx1"/>
            </w14:solidFill>
          </w14:textFill>
        </w:rPr>
        <w:t>定义</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“代理采购机构”系指组织本次招标的</w:t>
      </w:r>
      <w:r>
        <w:rPr>
          <w:rFonts w:hint="eastAsia" w:ascii="宋体"/>
          <w:bCs/>
          <w:color w:val="000000" w:themeColor="text1"/>
          <w:highlight w:val="none"/>
          <w:lang w:eastAsia="zh-CN"/>
          <w14:textFill>
            <w14:solidFill>
              <w14:schemeClr w14:val="tx1"/>
            </w14:solidFill>
          </w14:textFill>
        </w:rPr>
        <w:t>广东业信招标有限公司</w:t>
      </w:r>
      <w:r>
        <w:rPr>
          <w:rFonts w:hint="eastAsia" w:ascii="宋体"/>
          <w:bCs/>
          <w:color w:val="000000" w:themeColor="text1"/>
          <w:highlight w:val="none"/>
          <w14:textFill>
            <w14:solidFill>
              <w14:schemeClr w14:val="tx1"/>
            </w14:solidFill>
          </w14:textFill>
        </w:rPr>
        <w:t>。</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“投标人”系指</w:t>
      </w:r>
      <w:r>
        <w:rPr>
          <w:rFonts w:hint="eastAsia" w:ascii="宋体" w:hAnsi="宋体"/>
          <w:bCs/>
          <w:color w:val="000000" w:themeColor="text1"/>
          <w:highlight w:val="none"/>
          <w14:textFill>
            <w14:solidFill>
              <w14:schemeClr w14:val="tx1"/>
            </w14:solidFill>
          </w14:textFill>
        </w:rPr>
        <w:t>符合招标文件合格投标人资格要求，并按招标文件规定提交投标文件的投标人。</w:t>
      </w:r>
    </w:p>
    <w:p>
      <w:pPr>
        <w:widowControl/>
        <w:tabs>
          <w:tab w:val="left" w:pos="753"/>
        </w:tabs>
        <w:adjustRightInd w:val="0"/>
        <w:snapToGrid w:val="0"/>
        <w:spacing w:line="360" w:lineRule="auto"/>
        <w:ind w:left="735" w:hanging="735" w:hangingChars="350"/>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“采购人”系指</w:t>
      </w:r>
      <w:r>
        <w:rPr>
          <w:rFonts w:hint="eastAsia" w:ascii="宋体"/>
          <w:bCs/>
          <w:color w:val="000000" w:themeColor="text1"/>
          <w:highlight w:val="none"/>
          <w:lang w:eastAsia="zh-CN"/>
          <w14:textFill>
            <w14:solidFill>
              <w14:schemeClr w14:val="tx1"/>
            </w14:solidFill>
          </w14:textFill>
        </w:rPr>
        <w:t>阳江市财政局</w:t>
      </w:r>
      <w:r>
        <w:rPr>
          <w:rFonts w:hint="eastAsia" w:ascii="宋体"/>
          <w:bCs/>
          <w:color w:val="000000" w:themeColor="text1"/>
          <w:highlight w:val="none"/>
          <w14:textFill>
            <w14:solidFill>
              <w14:schemeClr w14:val="tx1"/>
            </w14:solidFill>
          </w14:textFill>
        </w:rPr>
        <w:t>，即项目采购用户方。</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货物</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系指投标人根据招标文件规定，须向采购人提供的设备、材料、备品备件、工具、使用手册、软件及有关技术资料等。</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“服务”系指招标文件规定中标投标人须承担与实施本项目有关的伴随服务，包括但不限于运输、安装、调试、技术支持、培训、售后服务等义务和合同中规定中标投标人应承担的其它义务。</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“日”系指日历天。</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“工作日”系指国家规定除法定节假日以外的以日</w:t>
      </w:r>
      <w:r>
        <w:rPr>
          <w:rFonts w:ascii="宋体" w:hAnsi="宋体"/>
          <w:bCs/>
          <w:color w:val="000000" w:themeColor="text1"/>
          <w:highlight w:val="none"/>
          <w14:textFill>
            <w14:solidFill>
              <w14:schemeClr w14:val="tx1"/>
            </w14:solidFill>
          </w14:textFill>
        </w:rPr>
        <w:t>为计算单位的工作时间</w:t>
      </w:r>
      <w:r>
        <w:rPr>
          <w:rFonts w:hint="eastAsia" w:ascii="宋体" w:hAnsi="宋体"/>
          <w:bCs/>
          <w:color w:val="000000" w:themeColor="text1"/>
          <w:highlight w:val="none"/>
          <w14:textFill>
            <w14:solidFill>
              <w14:schemeClr w14:val="tx1"/>
            </w14:solidFill>
          </w14:textFill>
        </w:rPr>
        <w:t>。</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30" w:name="_Toc503785399"/>
      <w:bookmarkStart w:id="231" w:name="_Toc497224197"/>
      <w:bookmarkStart w:id="232" w:name="_Toc350438720"/>
      <w:bookmarkStart w:id="233" w:name="_Toc341348309"/>
      <w:bookmarkStart w:id="234" w:name="_Toc333238604"/>
      <w:bookmarkStart w:id="235" w:name="_Toc339441058"/>
      <w:bookmarkStart w:id="236" w:name="_Toc17869"/>
      <w:bookmarkStart w:id="237" w:name="_Toc333237648"/>
      <w:bookmarkStart w:id="238" w:name="_Toc366072499"/>
      <w:bookmarkStart w:id="239" w:name="_Toc337632329"/>
      <w:bookmarkStart w:id="240" w:name="_Toc342296731"/>
      <w:bookmarkStart w:id="241" w:name="_Toc365967044"/>
      <w:bookmarkStart w:id="242" w:name="_Toc330459956"/>
      <w:bookmarkStart w:id="243" w:name="_Toc340672840"/>
      <w:bookmarkStart w:id="244" w:name="_Toc374454572"/>
      <w:bookmarkStart w:id="245" w:name="_Toc331512869"/>
      <w:bookmarkStart w:id="246" w:name="_Toc342060345"/>
      <w:bookmarkStart w:id="247" w:name="_Toc350756421"/>
      <w:bookmarkStart w:id="248" w:name="_Toc340677041"/>
      <w:bookmarkStart w:id="249" w:name="_Toc349143560"/>
      <w:bookmarkStart w:id="250" w:name="_Toc339020204"/>
      <w:bookmarkStart w:id="251" w:name="_Toc331684009"/>
      <w:bookmarkStart w:id="252" w:name="_Toc332206679"/>
      <w:bookmarkStart w:id="253" w:name="_Toc345513838"/>
      <w:bookmarkStart w:id="254" w:name="_Toc333935658"/>
      <w:bookmarkStart w:id="255" w:name="_Toc365985150"/>
      <w:bookmarkStart w:id="256" w:name="_Toc339362271"/>
      <w:bookmarkStart w:id="257" w:name="_Toc339020066"/>
      <w:bookmarkStart w:id="258" w:name="_Toc333935317"/>
      <w:bookmarkStart w:id="259" w:name="_Toc332270317"/>
      <w:bookmarkStart w:id="260" w:name="_Toc333237759"/>
      <w:bookmarkStart w:id="261" w:name="_Toc336681906"/>
      <w:bookmarkStart w:id="262" w:name="_Toc349127597"/>
      <w:bookmarkStart w:id="263" w:name="_Toc339019986"/>
      <w:bookmarkStart w:id="264" w:name="_Toc339019860"/>
      <w:bookmarkStart w:id="265" w:name="_Toc340507413"/>
      <w:bookmarkStart w:id="266" w:name="_Toc336681551"/>
      <w:r>
        <w:rPr>
          <w:rFonts w:hint="eastAsia"/>
          <w:color w:val="000000" w:themeColor="text1"/>
          <w:highlight w:val="none"/>
          <w14:textFill>
            <w14:solidFill>
              <w14:schemeClr w14:val="tx1"/>
            </w14:solidFill>
          </w14:textFill>
        </w:rPr>
        <w:t>合格的</w:t>
      </w:r>
      <w:bookmarkEnd w:id="230"/>
      <w:bookmarkEnd w:id="231"/>
      <w:r>
        <w:rPr>
          <w:rFonts w:hint="eastAsia"/>
          <w:color w:val="000000" w:themeColor="text1"/>
          <w:highlight w:val="none"/>
          <w14:textFill>
            <w14:solidFill>
              <w14:schemeClr w14:val="tx1"/>
            </w14:solidFill>
          </w14:textFill>
        </w:rPr>
        <w:t>投标人</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pPr>
        <w:widowControl/>
        <w:tabs>
          <w:tab w:val="left" w:pos="502"/>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国内有能力提供采购项目相关的工程、货物和服务且符合本项目合格投标人资格条件的投标人</w:t>
      </w:r>
      <w:r>
        <w:rPr>
          <w:rFonts w:hint="eastAsia" w:ascii="宋体"/>
          <w:bCs/>
          <w:color w:val="000000" w:themeColor="text1"/>
          <w:highlight w:val="none"/>
          <w14:textFill>
            <w14:solidFill>
              <w14:schemeClr w14:val="tx1"/>
            </w14:solidFill>
          </w14:textFill>
        </w:rPr>
        <w:t>为合格投标人。</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投标人必须遵守《中华人民共和国招标投标法》、《中华人民共和国政府采购法》的有关规定和其他相关的法律、法规、规章、条例及招标文件中的规定。</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3.6    </w:t>
      </w:r>
      <w:r>
        <w:rPr>
          <w:bCs/>
          <w:color w:val="000000" w:themeColor="text1"/>
          <w:szCs w:val="21"/>
          <w:highlight w:val="none"/>
          <w14:textFill>
            <w14:solidFill>
              <w14:schemeClr w14:val="tx1"/>
            </w14:solidFill>
          </w14:textFill>
        </w:rPr>
        <w:t>专门面向中小微企业采购的项目，只能由中小企业或微型企业参加。</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67" w:name="_Toc350756422"/>
      <w:bookmarkStart w:id="268" w:name="_Toc333935659"/>
      <w:bookmarkStart w:id="269" w:name="_Toc339362272"/>
      <w:bookmarkStart w:id="270" w:name="_Toc345513839"/>
      <w:bookmarkStart w:id="271" w:name="_Toc331512870"/>
      <w:bookmarkStart w:id="272" w:name="_Toc336681552"/>
      <w:bookmarkStart w:id="273" w:name="_Toc339020067"/>
      <w:bookmarkStart w:id="274" w:name="_Toc341348310"/>
      <w:bookmarkStart w:id="275" w:name="_Toc339019987"/>
      <w:bookmarkStart w:id="276" w:name="_Toc331684010"/>
      <w:bookmarkStart w:id="277" w:name="_Toc350438721"/>
      <w:bookmarkStart w:id="278" w:name="_Toc336681907"/>
      <w:bookmarkStart w:id="279" w:name="_Toc503785400"/>
      <w:bookmarkStart w:id="280" w:name="_Toc366072500"/>
      <w:bookmarkStart w:id="281" w:name="_Toc340677042"/>
      <w:bookmarkStart w:id="282" w:name="_Toc340672841"/>
      <w:bookmarkStart w:id="283" w:name="_Toc333935318"/>
      <w:bookmarkStart w:id="284" w:name="_Toc333237649"/>
      <w:bookmarkStart w:id="285" w:name="_Toc365967045"/>
      <w:bookmarkStart w:id="286" w:name="_Toc330459957"/>
      <w:bookmarkStart w:id="287" w:name="_Toc332270318"/>
      <w:bookmarkStart w:id="288" w:name="_Toc497224198"/>
      <w:bookmarkStart w:id="289" w:name="_Toc333237760"/>
      <w:bookmarkStart w:id="290" w:name="_Toc365985151"/>
      <w:bookmarkStart w:id="291" w:name="_Toc374454573"/>
      <w:bookmarkStart w:id="292" w:name="_Toc337632330"/>
      <w:bookmarkStart w:id="293" w:name="_Toc342060346"/>
      <w:bookmarkStart w:id="294" w:name="_Toc339020205"/>
      <w:bookmarkStart w:id="295" w:name="_Toc332206680"/>
      <w:bookmarkStart w:id="296" w:name="_Toc339019861"/>
      <w:bookmarkStart w:id="297" w:name="_Toc349143561"/>
      <w:bookmarkStart w:id="298" w:name="_Toc333238605"/>
      <w:bookmarkStart w:id="299" w:name="_Toc349127598"/>
      <w:bookmarkStart w:id="300" w:name="_Toc339441059"/>
      <w:bookmarkStart w:id="301" w:name="_Toc16997"/>
      <w:bookmarkStart w:id="302" w:name="_Toc342296732"/>
      <w:bookmarkStart w:id="303" w:name="_Toc340507414"/>
      <w:r>
        <w:rPr>
          <w:rFonts w:hint="eastAsia"/>
          <w:color w:val="000000" w:themeColor="text1"/>
          <w:highlight w:val="none"/>
          <w14:textFill>
            <w14:solidFill>
              <w14:schemeClr w14:val="tx1"/>
            </w14:solidFill>
          </w14:textFill>
        </w:rPr>
        <w:t>投标费用</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4.1</w:t>
      </w:r>
      <w:r>
        <w:rPr>
          <w:rFonts w:hint="eastAsia" w:asci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投标人应承担所有与准备和参加投标有关的费用。不论投标的结果如何，代理采购机构和采购人均无义务和责任承担这些费用</w:t>
      </w:r>
      <w:r>
        <w:rPr>
          <w:rFonts w:hint="eastAsia" w:ascii="宋体"/>
          <w:bCs/>
          <w:color w:val="000000" w:themeColor="text1"/>
          <w:highlight w:val="none"/>
          <w14:textFill>
            <w14:solidFill>
              <w14:schemeClr w14:val="tx1"/>
            </w14:solidFill>
          </w14:textFill>
        </w:rPr>
        <w:t>。</w:t>
      </w:r>
      <w:bookmarkStart w:id="304" w:name="_Toc342296733"/>
      <w:bookmarkStart w:id="305" w:name="_Toc345513840"/>
      <w:bookmarkStart w:id="306" w:name="_Toc340507415"/>
      <w:bookmarkStart w:id="307" w:name="_Toc350756423"/>
      <w:bookmarkStart w:id="308" w:name="_Toc333935319"/>
      <w:bookmarkStart w:id="309" w:name="_Toc339019862"/>
      <w:bookmarkStart w:id="310" w:name="_Toc339020068"/>
      <w:bookmarkStart w:id="311" w:name="_Toc333237650"/>
      <w:bookmarkStart w:id="312" w:name="_Toc339020206"/>
      <w:bookmarkStart w:id="313" w:name="_Toc330459958"/>
      <w:bookmarkStart w:id="314" w:name="_Toc332270319"/>
      <w:bookmarkStart w:id="315" w:name="_Toc374454574"/>
      <w:bookmarkStart w:id="316" w:name="_Toc340672842"/>
      <w:bookmarkStart w:id="317" w:name="_Toc337632331"/>
      <w:bookmarkStart w:id="318" w:name="_Toc339441060"/>
      <w:bookmarkStart w:id="319" w:name="_Toc349127599"/>
      <w:bookmarkStart w:id="320" w:name="_Toc336681908"/>
      <w:bookmarkStart w:id="321" w:name="_Toc333238606"/>
      <w:bookmarkStart w:id="322" w:name="_Toc350438722"/>
      <w:bookmarkStart w:id="323" w:name="_Toc497224199"/>
      <w:bookmarkStart w:id="324" w:name="_Toc332206681"/>
      <w:bookmarkStart w:id="325" w:name="_Toc340677043"/>
      <w:bookmarkStart w:id="326" w:name="_Toc341348311"/>
      <w:bookmarkStart w:id="327" w:name="_Toc333935660"/>
      <w:bookmarkStart w:id="328" w:name="_Toc336681553"/>
      <w:bookmarkStart w:id="329" w:name="_Toc331512871"/>
      <w:bookmarkStart w:id="330" w:name="_Toc366072501"/>
      <w:bookmarkStart w:id="331" w:name="_Toc339362273"/>
      <w:bookmarkStart w:id="332" w:name="_Toc503785401"/>
      <w:bookmarkStart w:id="333" w:name="_Toc339019988"/>
      <w:bookmarkStart w:id="334" w:name="_Toc342060347"/>
      <w:bookmarkStart w:id="335" w:name="_Toc331684011"/>
      <w:bookmarkStart w:id="336" w:name="_Toc365967046"/>
      <w:bookmarkStart w:id="337" w:name="_Toc365985152"/>
      <w:bookmarkStart w:id="338" w:name="_Toc349143562"/>
      <w:bookmarkStart w:id="339" w:name="_Toc333237761"/>
    </w:p>
    <w:p>
      <w:pPr>
        <w:pStyle w:val="4"/>
        <w:numPr>
          <w:ilvl w:val="0"/>
          <w:numId w:val="0"/>
        </w:numPr>
        <w:rPr>
          <w:color w:val="000000" w:themeColor="text1"/>
          <w:sz w:val="24"/>
          <w:highlight w:val="none"/>
          <w14:textFill>
            <w14:solidFill>
              <w14:schemeClr w14:val="tx1"/>
            </w14:solidFill>
          </w14:textFill>
        </w:rPr>
      </w:pPr>
      <w:bookmarkStart w:id="340" w:name="_Toc16776"/>
      <w:r>
        <w:rPr>
          <w:rFonts w:hint="eastAsia"/>
          <w:color w:val="000000" w:themeColor="text1"/>
          <w:sz w:val="24"/>
          <w:highlight w:val="none"/>
          <w14:textFill>
            <w14:solidFill>
              <w14:schemeClr w14:val="tx1"/>
            </w14:solidFill>
          </w14:textFill>
        </w:rPr>
        <w:t>Ｂ招标文件说明</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341" w:name="_Toc340672843"/>
      <w:bookmarkStart w:id="342" w:name="_Toc340677044"/>
      <w:bookmarkStart w:id="343" w:name="_Toc331512872"/>
      <w:bookmarkStart w:id="344" w:name="_Toc339362274"/>
      <w:bookmarkStart w:id="345" w:name="_Toc336681909"/>
      <w:bookmarkStart w:id="346" w:name="_Toc349143563"/>
      <w:bookmarkStart w:id="347" w:name="_Toc342060348"/>
      <w:bookmarkStart w:id="348" w:name="_Toc345513841"/>
      <w:bookmarkStart w:id="349" w:name="_Toc350438723"/>
      <w:bookmarkStart w:id="350" w:name="_Toc333935320"/>
      <w:bookmarkStart w:id="351" w:name="_Toc333237762"/>
      <w:bookmarkStart w:id="352" w:name="_Toc339441061"/>
      <w:bookmarkStart w:id="353" w:name="_Toc366072502"/>
      <w:bookmarkStart w:id="354" w:name="_Toc339020207"/>
      <w:bookmarkStart w:id="355" w:name="_Toc339019863"/>
      <w:bookmarkStart w:id="356" w:name="_Toc365985153"/>
      <w:bookmarkStart w:id="357" w:name="_Toc31560"/>
      <w:bookmarkStart w:id="358" w:name="_Toc332270320"/>
      <w:bookmarkStart w:id="359" w:name="_Toc339019989"/>
      <w:bookmarkStart w:id="360" w:name="_Toc332206682"/>
      <w:bookmarkStart w:id="361" w:name="_Toc497224200"/>
      <w:bookmarkStart w:id="362" w:name="_Toc374454575"/>
      <w:bookmarkStart w:id="363" w:name="_Toc330459959"/>
      <w:bookmarkStart w:id="364" w:name="_Toc349127600"/>
      <w:bookmarkStart w:id="365" w:name="_Toc341348312"/>
      <w:bookmarkStart w:id="366" w:name="_Toc337632332"/>
      <w:bookmarkStart w:id="367" w:name="_Toc340507416"/>
      <w:bookmarkStart w:id="368" w:name="_Toc331684012"/>
      <w:bookmarkStart w:id="369" w:name="_Toc336681554"/>
      <w:bookmarkStart w:id="370" w:name="_Toc350756424"/>
      <w:bookmarkStart w:id="371" w:name="_Toc342296734"/>
      <w:bookmarkStart w:id="372" w:name="_Toc333237651"/>
      <w:bookmarkStart w:id="373" w:name="_Toc503785402"/>
      <w:bookmarkStart w:id="374" w:name="_Toc339020069"/>
      <w:bookmarkStart w:id="375" w:name="_Toc333238607"/>
      <w:bookmarkStart w:id="376" w:name="_Toc333935661"/>
      <w:bookmarkStart w:id="377" w:name="_Toc365967047"/>
      <w:r>
        <w:rPr>
          <w:rFonts w:hint="eastAsia"/>
          <w:color w:val="000000" w:themeColor="text1"/>
          <w:highlight w:val="none"/>
          <w14:textFill>
            <w14:solidFill>
              <w14:schemeClr w14:val="tx1"/>
            </w14:solidFill>
          </w14:textFill>
        </w:rPr>
        <w:t>招标文件的构成</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招标文件用以阐明所需货物及服务、招标投标程序、合同条款及相关附件。招标文件由下述部分组成：</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投标邀请函</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投标人须知</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参考合同</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投标文件格式（含附件）</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5.2</w:t>
      </w:r>
      <w:r>
        <w:rPr>
          <w:rFonts w:hint="eastAsia" w:ascii="宋体"/>
          <w:bCs/>
          <w:color w:val="000000" w:themeColor="text1"/>
          <w:highlight w:val="none"/>
          <w14:textFill>
            <w14:solidFill>
              <w14:schemeClr w14:val="tx1"/>
            </w14:solidFill>
          </w14:textFill>
        </w:rPr>
        <w:t xml:space="preserve"> </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招标文件以中文编印。</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378" w:name="_Toc339020208"/>
      <w:bookmarkStart w:id="379" w:name="_Toc340507417"/>
      <w:bookmarkStart w:id="380" w:name="_Toc341348313"/>
      <w:bookmarkStart w:id="381" w:name="_Toc331512873"/>
      <w:bookmarkStart w:id="382" w:name="_Toc339019864"/>
      <w:bookmarkStart w:id="383" w:name="_Toc339020070"/>
      <w:bookmarkStart w:id="384" w:name="_Toc332270321"/>
      <w:bookmarkStart w:id="385" w:name="_Toc345513842"/>
      <w:bookmarkStart w:id="386" w:name="_Toc331684013"/>
      <w:bookmarkStart w:id="387" w:name="_Toc337632333"/>
      <w:bookmarkStart w:id="388" w:name="_Toc503785403"/>
      <w:bookmarkStart w:id="389" w:name="_Toc497224201"/>
      <w:bookmarkStart w:id="390" w:name="_Toc333237763"/>
      <w:bookmarkStart w:id="391" w:name="_Toc336681555"/>
      <w:bookmarkStart w:id="392" w:name="_Toc332206683"/>
      <w:bookmarkStart w:id="393" w:name="_Toc365967048"/>
      <w:bookmarkStart w:id="394" w:name="_Toc365985154"/>
      <w:bookmarkStart w:id="395" w:name="_Toc333935321"/>
      <w:bookmarkStart w:id="396" w:name="_Toc349127601"/>
      <w:bookmarkStart w:id="397" w:name="_Toc333935662"/>
      <w:bookmarkStart w:id="398" w:name="_Toc333238608"/>
      <w:bookmarkStart w:id="399" w:name="_Toc370388389"/>
      <w:bookmarkStart w:id="400" w:name="_Toc340672844"/>
      <w:bookmarkStart w:id="401" w:name="_Toc342296735"/>
      <w:bookmarkStart w:id="402" w:name="_Toc349143564"/>
      <w:bookmarkStart w:id="403" w:name="_Toc339441062"/>
      <w:bookmarkStart w:id="404" w:name="_Toc342060349"/>
      <w:bookmarkStart w:id="405" w:name="_Toc350438724"/>
      <w:bookmarkStart w:id="406" w:name="_Toc339019990"/>
      <w:bookmarkStart w:id="407" w:name="_Toc330459960"/>
      <w:bookmarkStart w:id="408" w:name="_Toc333237652"/>
      <w:bookmarkStart w:id="409" w:name="_Toc340677045"/>
      <w:bookmarkStart w:id="410" w:name="_Toc336681910"/>
      <w:bookmarkStart w:id="411" w:name="_Toc350756425"/>
      <w:bookmarkStart w:id="412" w:name="_Toc339362275"/>
      <w:bookmarkStart w:id="413" w:name="_Toc9915"/>
      <w:bookmarkStart w:id="414" w:name="_Toc374454576"/>
      <w:bookmarkStart w:id="415" w:name="_Toc503785405"/>
      <w:bookmarkStart w:id="416" w:name="_Toc497224203"/>
      <w:bookmarkStart w:id="417" w:name="_Toc342296737"/>
      <w:bookmarkStart w:id="418" w:name="_Toc366072505"/>
      <w:bookmarkStart w:id="419" w:name="_Toc330459962"/>
      <w:bookmarkStart w:id="420" w:name="_Toc340672846"/>
      <w:bookmarkStart w:id="421" w:name="_Toc336681557"/>
      <w:bookmarkStart w:id="422" w:name="_Toc333237654"/>
      <w:bookmarkStart w:id="423" w:name="_Toc350756427"/>
      <w:bookmarkStart w:id="424" w:name="_Toc333237765"/>
      <w:bookmarkStart w:id="425" w:name="_Toc336681912"/>
      <w:bookmarkStart w:id="426" w:name="_Toc341348315"/>
      <w:bookmarkStart w:id="427" w:name="_Toc333935323"/>
      <w:bookmarkStart w:id="428" w:name="_Toc333238610"/>
      <w:bookmarkStart w:id="429" w:name="_Toc365967050"/>
      <w:bookmarkStart w:id="430" w:name="_Toc345513844"/>
      <w:bookmarkStart w:id="431" w:name="_Toc350438726"/>
      <w:bookmarkStart w:id="432" w:name="_Toc365985156"/>
      <w:bookmarkStart w:id="433" w:name="_Toc339020210"/>
      <w:bookmarkStart w:id="434" w:name="_Toc332206685"/>
      <w:bookmarkStart w:id="435" w:name="_Toc333935664"/>
      <w:bookmarkStart w:id="436" w:name="_Toc349127603"/>
      <w:bookmarkStart w:id="437" w:name="_Toc339019992"/>
      <w:bookmarkStart w:id="438" w:name="_Toc339362277"/>
      <w:bookmarkStart w:id="439" w:name="_Toc340677047"/>
      <w:bookmarkStart w:id="440" w:name="_Toc339019866"/>
      <w:bookmarkStart w:id="441" w:name="_Toc332270323"/>
      <w:bookmarkStart w:id="442" w:name="_Toc339441064"/>
      <w:bookmarkStart w:id="443" w:name="_Toc339020072"/>
      <w:bookmarkStart w:id="444" w:name="_Toc342060351"/>
      <w:bookmarkStart w:id="445" w:name="_Toc340507419"/>
      <w:bookmarkStart w:id="446" w:name="_Toc349143566"/>
      <w:bookmarkStart w:id="447" w:name="_Toc331684015"/>
      <w:bookmarkStart w:id="448" w:name="_Toc337632335"/>
      <w:bookmarkStart w:id="449" w:name="_Toc331512875"/>
      <w:r>
        <w:rPr>
          <w:rFonts w:hint="eastAsia"/>
          <w:color w:val="000000" w:themeColor="text1"/>
          <w:highlight w:val="none"/>
          <w14:textFill>
            <w14:solidFill>
              <w14:schemeClr w14:val="tx1"/>
            </w14:solidFill>
          </w14:textFill>
        </w:rPr>
        <w:t>招标文件的澄清</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r>
        <w:rPr>
          <w:rFonts w:hint="eastAsia"/>
          <w:color w:val="000000" w:themeColor="text1"/>
          <w:highlight w:val="none"/>
          <w14:textFill>
            <w14:solidFill>
              <w14:schemeClr w14:val="tx1"/>
            </w14:solidFill>
          </w14:textFill>
        </w:rPr>
        <w:t>、修改</w:t>
      </w:r>
      <w:bookmarkEnd w:id="413"/>
      <w:bookmarkEnd w:id="414"/>
    </w:p>
    <w:p>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澄清或修改时间距投标截止时间不足15日的，采购人或代理采购机构在征得已获取招标文件的投标人同意并书面确认后，可不改变投标截止时间。</w:t>
      </w:r>
    </w:p>
    <w:p>
      <w:pPr>
        <w:pStyle w:val="4"/>
        <w:numPr>
          <w:ilvl w:val="0"/>
          <w:numId w:val="0"/>
        </w:numPr>
        <w:rPr>
          <w:color w:val="000000" w:themeColor="text1"/>
          <w:sz w:val="24"/>
          <w:highlight w:val="none"/>
          <w14:textFill>
            <w14:solidFill>
              <w14:schemeClr w14:val="tx1"/>
            </w14:solidFill>
          </w14:textFill>
        </w:rPr>
      </w:pPr>
      <w:bookmarkStart w:id="450" w:name="_Toc374454577"/>
      <w:r>
        <w:rPr>
          <w:color w:val="000000" w:themeColor="text1"/>
          <w:sz w:val="24"/>
          <w:highlight w:val="none"/>
          <w14:textFill>
            <w14:solidFill>
              <w14:schemeClr w14:val="tx1"/>
            </w14:solidFill>
          </w14:textFill>
        </w:rPr>
        <w:br w:type="page"/>
      </w:r>
      <w:bookmarkStart w:id="451" w:name="_Toc24507"/>
      <w:r>
        <w:rPr>
          <w:rFonts w:hint="eastAsia"/>
          <w:color w:val="000000" w:themeColor="text1"/>
          <w:sz w:val="24"/>
          <w:highlight w:val="none"/>
          <w14:textFill>
            <w14:solidFill>
              <w14:schemeClr w14:val="tx1"/>
            </w14:solidFill>
          </w14:textFill>
        </w:rPr>
        <w:t>Ｃ投标文件的编</w:t>
      </w:r>
      <w:bookmarkEnd w:id="415"/>
      <w:bookmarkEnd w:id="416"/>
      <w:r>
        <w:rPr>
          <w:rFonts w:hint="eastAsia"/>
          <w:color w:val="000000" w:themeColor="text1"/>
          <w:sz w:val="24"/>
          <w:highlight w:val="none"/>
          <w14:textFill>
            <w14:solidFill>
              <w14:schemeClr w14:val="tx1"/>
            </w14:solidFill>
          </w14:textFill>
        </w:rPr>
        <w:t>制</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452" w:name="_Toc345513845"/>
      <w:bookmarkStart w:id="453" w:name="_Toc336681558"/>
      <w:bookmarkStart w:id="454" w:name="_Toc349143567"/>
      <w:bookmarkStart w:id="455" w:name="_Toc497224204"/>
      <w:bookmarkStart w:id="456" w:name="_Toc333237766"/>
      <w:bookmarkStart w:id="457" w:name="_Toc333237655"/>
      <w:bookmarkStart w:id="458" w:name="_Toc339441065"/>
      <w:bookmarkStart w:id="459" w:name="_Toc374454578"/>
      <w:bookmarkStart w:id="460" w:name="_Toc339019993"/>
      <w:bookmarkStart w:id="461" w:name="_Toc339020073"/>
      <w:bookmarkStart w:id="462" w:name="_Toc333238611"/>
      <w:bookmarkStart w:id="463" w:name="_Toc339020211"/>
      <w:bookmarkStart w:id="464" w:name="_Toc331684016"/>
      <w:bookmarkStart w:id="465" w:name="_Toc366072506"/>
      <w:bookmarkStart w:id="466" w:name="_Toc339362278"/>
      <w:bookmarkStart w:id="467" w:name="_Toc342296738"/>
      <w:bookmarkStart w:id="468" w:name="_Toc339019867"/>
      <w:bookmarkStart w:id="469" w:name="_Toc340677048"/>
      <w:bookmarkStart w:id="470" w:name="_Toc340507420"/>
      <w:bookmarkStart w:id="471" w:name="_Toc29283"/>
      <w:bookmarkStart w:id="472" w:name="_Toc332270324"/>
      <w:bookmarkStart w:id="473" w:name="_Toc350756428"/>
      <w:bookmarkStart w:id="474" w:name="_Toc503785406"/>
      <w:bookmarkStart w:id="475" w:name="_Toc341348316"/>
      <w:bookmarkStart w:id="476" w:name="_Toc350438727"/>
      <w:bookmarkStart w:id="477" w:name="_Toc365985157"/>
      <w:bookmarkStart w:id="478" w:name="_Toc331512876"/>
      <w:bookmarkStart w:id="479" w:name="_Toc340672847"/>
      <w:bookmarkStart w:id="480" w:name="_Toc349127604"/>
      <w:bookmarkStart w:id="481" w:name="_Toc365967051"/>
      <w:bookmarkStart w:id="482" w:name="_Toc337632336"/>
      <w:bookmarkStart w:id="483" w:name="_Toc342060352"/>
      <w:bookmarkStart w:id="484" w:name="_Toc332206686"/>
      <w:bookmarkStart w:id="485" w:name="_Toc333935324"/>
      <w:bookmarkStart w:id="486" w:name="_Toc333935665"/>
      <w:bookmarkStart w:id="487" w:name="_Toc330459963"/>
      <w:bookmarkStart w:id="488" w:name="_Toc336681913"/>
      <w:r>
        <w:rPr>
          <w:rFonts w:hint="eastAsia"/>
          <w:color w:val="000000" w:themeColor="text1"/>
          <w:highlight w:val="none"/>
          <w14:textFill>
            <w14:solidFill>
              <w14:schemeClr w14:val="tx1"/>
            </w14:solidFill>
          </w14:textFill>
        </w:rPr>
        <w:t>要求</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投标人应仔细阅读招标文件的所有内容，按招标文件的要求编制投标文件，并保证所提供的全部资料的真实性，以使其投标对招标文件提出的要求和条件做出实质性响应，否则，其投标将作无效投标处理。</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489" w:name="_Toc345513846"/>
      <w:bookmarkStart w:id="490" w:name="_Toc336681559"/>
      <w:bookmarkStart w:id="491" w:name="_Toc29285"/>
      <w:bookmarkStart w:id="492" w:name="_Toc342060353"/>
      <w:bookmarkStart w:id="493" w:name="_Toc374454579"/>
      <w:bookmarkStart w:id="494" w:name="_Toc497224205"/>
      <w:bookmarkStart w:id="495" w:name="_Toc340672848"/>
      <w:bookmarkStart w:id="496" w:name="_Toc342296739"/>
      <w:bookmarkStart w:id="497" w:name="_Toc339441066"/>
      <w:bookmarkStart w:id="498" w:name="_Toc330459964"/>
      <w:bookmarkStart w:id="499" w:name="_Toc332206687"/>
      <w:bookmarkStart w:id="500" w:name="_Toc333237767"/>
      <w:bookmarkStart w:id="501" w:name="_Toc366072507"/>
      <w:bookmarkStart w:id="502" w:name="_Toc350438728"/>
      <w:bookmarkStart w:id="503" w:name="_Toc350756429"/>
      <w:bookmarkStart w:id="504" w:name="_Toc339019868"/>
      <w:bookmarkStart w:id="505" w:name="_Toc331512877"/>
      <w:bookmarkStart w:id="506" w:name="_Toc339020212"/>
      <w:bookmarkStart w:id="507" w:name="_Toc333935666"/>
      <w:bookmarkStart w:id="508" w:name="_Toc337632337"/>
      <w:bookmarkStart w:id="509" w:name="_Toc332270325"/>
      <w:bookmarkStart w:id="510" w:name="_Toc333935325"/>
      <w:bookmarkStart w:id="511" w:name="_Toc336681914"/>
      <w:bookmarkStart w:id="512" w:name="_Toc333238612"/>
      <w:bookmarkStart w:id="513" w:name="_Toc340677049"/>
      <w:bookmarkStart w:id="514" w:name="_Toc503785407"/>
      <w:bookmarkStart w:id="515" w:name="_Toc339019994"/>
      <w:bookmarkStart w:id="516" w:name="_Toc340507421"/>
      <w:bookmarkStart w:id="517" w:name="_Toc333237656"/>
      <w:bookmarkStart w:id="518" w:name="_Toc365985158"/>
      <w:bookmarkStart w:id="519" w:name="_Toc341348317"/>
      <w:bookmarkStart w:id="520" w:name="_Toc339362279"/>
      <w:bookmarkStart w:id="521" w:name="_Toc331684017"/>
      <w:bookmarkStart w:id="522" w:name="_Toc339020074"/>
      <w:bookmarkStart w:id="523" w:name="_Toc349127605"/>
      <w:bookmarkStart w:id="524" w:name="_Toc365967052"/>
      <w:bookmarkStart w:id="525" w:name="_Toc349143568"/>
      <w:r>
        <w:rPr>
          <w:rFonts w:hint="eastAsia"/>
          <w:color w:val="000000" w:themeColor="text1"/>
          <w:highlight w:val="none"/>
          <w14:textFill>
            <w14:solidFill>
              <w14:schemeClr w14:val="tx1"/>
            </w14:solidFill>
          </w14:textFill>
        </w:rPr>
        <w:t>投标语言及计量单位</w:t>
      </w:r>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投标人提交的投标文件（包括资格证明文件）以及投标人与代理采购机构就有关投标的所有往来函电均应使用中文。投标人可以提交用其它语言打印的资料，但有关段落必须译成中文。</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 xml:space="preserve"> </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除在招标文件的技术规格中另有规定外，计量单位应使用中华人民共和国法定计量单位</w:t>
      </w:r>
      <w:r>
        <w:rPr>
          <w:rFonts w:hint="eastAsia"/>
          <w:bCs/>
          <w:color w:val="000000" w:themeColor="text1"/>
          <w:highlight w:val="none"/>
          <w14:textFill>
            <w14:solidFill>
              <w14:schemeClr w14:val="tx1"/>
            </w14:solidFill>
          </w14:textFill>
        </w:rPr>
        <w:t>（国际单位制和国家选定的其他计量单位）</w:t>
      </w:r>
      <w:r>
        <w:rPr>
          <w:rFonts w:hint="eastAsia" w:ascii="宋体"/>
          <w:bCs/>
          <w:color w:val="000000" w:themeColor="text1"/>
          <w:highlight w:val="none"/>
          <w14:textFill>
            <w14:solidFill>
              <w14:schemeClr w14:val="tx1"/>
            </w14:solidFill>
          </w14:textFill>
        </w:rPr>
        <w:t>。</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526" w:name="_Toc341348318"/>
      <w:bookmarkStart w:id="527" w:name="_Toc374454580"/>
      <w:bookmarkStart w:id="528" w:name="_Toc333935667"/>
      <w:bookmarkStart w:id="529" w:name="_Toc333237768"/>
      <w:bookmarkStart w:id="530" w:name="_Toc330459965"/>
      <w:bookmarkStart w:id="531" w:name="_Toc340507422"/>
      <w:bookmarkStart w:id="532" w:name="_Toc342060354"/>
      <w:bookmarkStart w:id="533" w:name="_Toc366072508"/>
      <w:bookmarkStart w:id="534" w:name="_Toc339441067"/>
      <w:bookmarkStart w:id="535" w:name="_Toc332206688"/>
      <w:bookmarkStart w:id="536" w:name="_Toc337632338"/>
      <w:bookmarkStart w:id="537" w:name="_Toc333238613"/>
      <w:bookmarkStart w:id="538" w:name="_Toc350756430"/>
      <w:bookmarkStart w:id="539" w:name="_Toc333935326"/>
      <w:bookmarkStart w:id="540" w:name="_Toc349127606"/>
      <w:bookmarkStart w:id="541" w:name="_Toc339362280"/>
      <w:bookmarkStart w:id="542" w:name="_Toc342296740"/>
      <w:bookmarkStart w:id="543" w:name="_Toc333237657"/>
      <w:bookmarkStart w:id="544" w:name="_Toc350438729"/>
      <w:bookmarkStart w:id="545" w:name="_Toc14241"/>
      <w:bookmarkStart w:id="546" w:name="_Toc332270326"/>
      <w:bookmarkStart w:id="547" w:name="_Toc339019995"/>
      <w:bookmarkStart w:id="548" w:name="_Toc336681915"/>
      <w:bookmarkStart w:id="549" w:name="_Toc331512878"/>
      <w:bookmarkStart w:id="550" w:name="_Toc339020075"/>
      <w:bookmarkStart w:id="551" w:name="_Toc365967053"/>
      <w:bookmarkStart w:id="552" w:name="_Toc339020213"/>
      <w:bookmarkStart w:id="553" w:name="_Toc331684018"/>
      <w:bookmarkStart w:id="554" w:name="_Toc340672849"/>
      <w:bookmarkStart w:id="555" w:name="_Toc497224206"/>
      <w:bookmarkStart w:id="556" w:name="_Toc503785408"/>
      <w:bookmarkStart w:id="557" w:name="_Toc339019869"/>
      <w:bookmarkStart w:id="558" w:name="_Toc365985159"/>
      <w:bookmarkStart w:id="559" w:name="_Toc345513847"/>
      <w:bookmarkStart w:id="560" w:name="_Toc349143569"/>
      <w:bookmarkStart w:id="561" w:name="_Toc336681560"/>
      <w:bookmarkStart w:id="562" w:name="_Toc340677050"/>
      <w:r>
        <w:rPr>
          <w:rFonts w:hint="eastAsia"/>
          <w:color w:val="000000" w:themeColor="text1"/>
          <w:highlight w:val="none"/>
          <w14:textFill>
            <w14:solidFill>
              <w14:schemeClr w14:val="tx1"/>
            </w14:solidFill>
          </w14:textFill>
        </w:rPr>
        <w:t>投标文件的构成</w:t>
      </w:r>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p>
    <w:p>
      <w:pPr>
        <w:widowControl/>
        <w:tabs>
          <w:tab w:val="left" w:pos="753"/>
        </w:tabs>
        <w:adjustRightInd w:val="0"/>
        <w:snapToGrid w:val="0"/>
        <w:spacing w:line="360" w:lineRule="auto"/>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投标文件包括：</w:t>
      </w:r>
    </w:p>
    <w:p>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bookmarkStart w:id="563" w:name="_Toc503785409"/>
      <w:bookmarkStart w:id="564" w:name="_Toc497224207"/>
      <w:r>
        <w:rPr>
          <w:rFonts w:hint="eastAsia" w:ascii="宋体" w:hAnsi="宋体"/>
          <w:bCs/>
          <w:color w:val="000000" w:themeColor="text1"/>
          <w:highlight w:val="none"/>
          <w14:textFill>
            <w14:solidFill>
              <w14:schemeClr w14:val="tx1"/>
            </w14:solidFill>
          </w14:textFill>
        </w:rPr>
        <w:t>第一章 资格审查文件（含附件）</w:t>
      </w:r>
    </w:p>
    <w:p>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第二章 商务和技术部分</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565" w:name="_Toc349143570"/>
      <w:bookmarkStart w:id="566" w:name="_Toc336681561"/>
      <w:bookmarkStart w:id="567" w:name="_Toc366072509"/>
      <w:bookmarkStart w:id="568" w:name="_Toc333237769"/>
      <w:bookmarkStart w:id="569" w:name="_Toc341348319"/>
      <w:bookmarkStart w:id="570" w:name="_Toc342060355"/>
      <w:bookmarkStart w:id="571" w:name="_Toc331512879"/>
      <w:bookmarkStart w:id="572" w:name="_Toc339020214"/>
      <w:bookmarkStart w:id="573" w:name="_Toc339362281"/>
      <w:bookmarkStart w:id="574" w:name="_Toc337632339"/>
      <w:bookmarkStart w:id="575" w:name="_Toc350756431"/>
      <w:bookmarkStart w:id="576" w:name="_Toc330459966"/>
      <w:bookmarkStart w:id="577" w:name="_Toc333935327"/>
      <w:bookmarkStart w:id="578" w:name="_Toc339019870"/>
      <w:bookmarkStart w:id="579" w:name="_Toc365985160"/>
      <w:bookmarkStart w:id="580" w:name="_Toc333237658"/>
      <w:bookmarkStart w:id="581" w:name="_Toc339020076"/>
      <w:bookmarkStart w:id="582" w:name="_Toc340672850"/>
      <w:bookmarkStart w:id="583" w:name="_Toc349127607"/>
      <w:bookmarkStart w:id="584" w:name="_Toc374454581"/>
      <w:bookmarkStart w:id="585" w:name="_Toc340507423"/>
      <w:bookmarkStart w:id="586" w:name="_Toc331684019"/>
      <w:bookmarkStart w:id="587" w:name="_Toc345513848"/>
      <w:bookmarkStart w:id="588" w:name="_Toc332270327"/>
      <w:bookmarkStart w:id="589" w:name="_Toc340677051"/>
      <w:bookmarkStart w:id="590" w:name="_Toc339441068"/>
      <w:bookmarkStart w:id="591" w:name="_Toc350438730"/>
      <w:bookmarkStart w:id="592" w:name="_Toc365967054"/>
      <w:bookmarkStart w:id="593" w:name="_Toc332206689"/>
      <w:bookmarkStart w:id="594" w:name="_Toc336681916"/>
      <w:bookmarkStart w:id="595" w:name="_Toc4243"/>
      <w:bookmarkStart w:id="596" w:name="_Toc333238614"/>
      <w:bookmarkStart w:id="597" w:name="_Toc342296741"/>
      <w:bookmarkStart w:id="598" w:name="_Toc333935668"/>
      <w:bookmarkStart w:id="599" w:name="_Toc339019996"/>
      <w:r>
        <w:rPr>
          <w:rFonts w:hint="eastAsia"/>
          <w:color w:val="000000" w:themeColor="text1"/>
          <w:highlight w:val="none"/>
          <w14:textFill>
            <w14:solidFill>
              <w14:schemeClr w14:val="tx1"/>
            </w14:solidFill>
          </w14:textFill>
        </w:rPr>
        <w:t>投标文件格式</w:t>
      </w:r>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p>
    <w:p>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投标人应</w:t>
      </w:r>
      <w:r>
        <w:rPr>
          <w:rFonts w:hint="eastAsia" w:ascii="宋体" w:hAnsi="宋体"/>
          <w:bCs/>
          <w:color w:val="000000" w:themeColor="text1"/>
          <w:highlight w:val="none"/>
          <w14:textFill>
            <w14:solidFill>
              <w14:schemeClr w14:val="tx1"/>
            </w14:solidFill>
          </w14:textFill>
        </w:rPr>
        <w:t>按照招标文件中提供的投标文件格式编制投标文件（详见第五部分）。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10.2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投标人应完整地填写招标文件提供的投标函、开标一览表等表格，表明所提供的货物、货物简介（含技术参数）、数量和价格；若招标为工程类或服务类项目的，投标文件中涉及货物的技术参数等可不填写。</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00" w:name="_Toc333935669"/>
      <w:bookmarkStart w:id="601" w:name="_Toc332270328"/>
      <w:bookmarkStart w:id="602" w:name="_Toc25213"/>
      <w:bookmarkStart w:id="603" w:name="_Toc365985161"/>
      <w:bookmarkStart w:id="604" w:name="_Toc365967055"/>
      <w:bookmarkStart w:id="605" w:name="_Toc340672851"/>
      <w:bookmarkStart w:id="606" w:name="_Toc350756432"/>
      <w:bookmarkStart w:id="607" w:name="_Toc331684020"/>
      <w:bookmarkStart w:id="608" w:name="_Toc349143571"/>
      <w:bookmarkStart w:id="609" w:name="_Toc339019997"/>
      <w:bookmarkStart w:id="610" w:name="_Toc333935328"/>
      <w:bookmarkStart w:id="611" w:name="_Toc341348320"/>
      <w:bookmarkStart w:id="612" w:name="_Toc366072510"/>
      <w:bookmarkStart w:id="613" w:name="_Toc331512880"/>
      <w:bookmarkStart w:id="614" w:name="_Toc330459967"/>
      <w:bookmarkStart w:id="615" w:name="_Toc336681917"/>
      <w:bookmarkStart w:id="616" w:name="_Toc339441069"/>
      <w:bookmarkStart w:id="617" w:name="_Toc374454582"/>
      <w:bookmarkStart w:id="618" w:name="_Toc332206690"/>
      <w:bookmarkStart w:id="619" w:name="_Toc340677052"/>
      <w:bookmarkStart w:id="620" w:name="_Toc340507424"/>
      <w:bookmarkStart w:id="621" w:name="_Toc350438731"/>
      <w:bookmarkStart w:id="622" w:name="_Toc339362282"/>
      <w:bookmarkStart w:id="623" w:name="_Toc345513849"/>
      <w:bookmarkStart w:id="624" w:name="_Toc5003680"/>
      <w:bookmarkStart w:id="625" w:name="_Toc339020077"/>
      <w:bookmarkStart w:id="626" w:name="_Toc333237659"/>
      <w:bookmarkStart w:id="627" w:name="_Toc339019871"/>
      <w:bookmarkStart w:id="628" w:name="_Toc333237770"/>
      <w:bookmarkStart w:id="629" w:name="_Toc336681562"/>
      <w:bookmarkStart w:id="630" w:name="_Toc337632340"/>
      <w:bookmarkStart w:id="631" w:name="_Toc333238615"/>
      <w:bookmarkStart w:id="632" w:name="_Toc339020215"/>
      <w:bookmarkStart w:id="633" w:name="_Toc349127608"/>
      <w:bookmarkStart w:id="634" w:name="_Toc342060356"/>
      <w:bookmarkStart w:id="635" w:name="_Toc342296742"/>
      <w:r>
        <w:rPr>
          <w:rFonts w:hint="eastAsia"/>
          <w:color w:val="000000" w:themeColor="text1"/>
          <w:highlight w:val="none"/>
          <w14:textFill>
            <w14:solidFill>
              <w14:schemeClr w14:val="tx1"/>
            </w14:solidFill>
          </w14:textFill>
        </w:rPr>
        <w:t>资格证明文件</w:t>
      </w:r>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11.1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投标人应按招标文件的要求，提交其有资格参加投标和中标后有履行合同能力的文件，并作为其投标文件的组成部分，包括但不限于下列文件：</w:t>
      </w:r>
    </w:p>
    <w:p>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投标人满足招标文件中列出的资格标准；</w:t>
      </w:r>
    </w:p>
    <w:p>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投标人已具备履行合同所需的财务、技术、生产和服务能力。</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11.3   资格证明文件必须真实有效，要求提供的证明材料为复印件的，必须加盖单位公章。资格条件不符合、资格证明文件不全或者资格证明文件复印件没有盖单位公章的投标人的投标将作无效投标处理。</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36" w:name="_Toc333935329"/>
      <w:bookmarkStart w:id="637" w:name="_Toc340672852"/>
      <w:bookmarkStart w:id="638" w:name="_Toc349143572"/>
      <w:bookmarkStart w:id="639" w:name="_Toc333237771"/>
      <w:bookmarkStart w:id="640" w:name="_Toc350438732"/>
      <w:bookmarkStart w:id="641" w:name="_Toc337632341"/>
      <w:bookmarkStart w:id="642" w:name="_Toc336681918"/>
      <w:bookmarkStart w:id="643" w:name="_Toc350756433"/>
      <w:bookmarkStart w:id="644" w:name="_Toc374454583"/>
      <w:bookmarkStart w:id="645" w:name="_Toc5003681"/>
      <w:bookmarkStart w:id="646" w:name="_Toc340507425"/>
      <w:bookmarkStart w:id="647" w:name="_Toc330459968"/>
      <w:bookmarkStart w:id="648" w:name="_Toc349127609"/>
      <w:bookmarkStart w:id="649" w:name="_Toc366072511"/>
      <w:bookmarkStart w:id="650" w:name="_Toc4723"/>
      <w:bookmarkStart w:id="651" w:name="_Toc339020078"/>
      <w:bookmarkStart w:id="652" w:name="_Toc339362283"/>
      <w:bookmarkStart w:id="653" w:name="_Toc333237660"/>
      <w:bookmarkStart w:id="654" w:name="_Toc332270329"/>
      <w:bookmarkStart w:id="655" w:name="_Toc331512881"/>
      <w:bookmarkStart w:id="656" w:name="_Toc331684021"/>
      <w:bookmarkStart w:id="657" w:name="_Toc336681563"/>
      <w:bookmarkStart w:id="658" w:name="_Toc365967056"/>
      <w:bookmarkStart w:id="659" w:name="_Toc365985162"/>
      <w:bookmarkStart w:id="660" w:name="_Toc333238616"/>
      <w:bookmarkStart w:id="661" w:name="_Toc339019998"/>
      <w:bookmarkStart w:id="662" w:name="_Toc340677053"/>
      <w:bookmarkStart w:id="663" w:name="_Toc342060357"/>
      <w:bookmarkStart w:id="664" w:name="_Toc339019872"/>
      <w:bookmarkStart w:id="665" w:name="_Toc341348321"/>
      <w:bookmarkStart w:id="666" w:name="_Toc333935670"/>
      <w:bookmarkStart w:id="667" w:name="_Toc339020216"/>
      <w:bookmarkStart w:id="668" w:name="_Toc345513850"/>
      <w:bookmarkStart w:id="669" w:name="_Toc342296743"/>
      <w:bookmarkStart w:id="670" w:name="_Toc332206691"/>
      <w:bookmarkStart w:id="671" w:name="_Toc339441070"/>
      <w:r>
        <w:rPr>
          <w:rFonts w:hint="eastAsia"/>
          <w:color w:val="000000" w:themeColor="text1"/>
          <w:highlight w:val="none"/>
          <w14:textFill>
            <w14:solidFill>
              <w14:schemeClr w14:val="tx1"/>
            </w14:solidFill>
          </w14:textFill>
        </w:rPr>
        <w:t>货物和服务的证明文件</w:t>
      </w:r>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12.1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投标人应提交其拟供的合同项下的货物和服务的合格性符合招标文件规定的证明文件，并作为其投标文件的一部分。</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证明货物和服务与招标文件的要求相一致的文件，它可以是文字资料、图纸、手册和数据，包括：</w:t>
      </w:r>
    </w:p>
    <w:p>
      <w:pPr>
        <w:numPr>
          <w:ilvl w:val="5"/>
          <w:numId w:val="25"/>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货物主要技术指标和性能的详细说明。</w:t>
      </w:r>
    </w:p>
    <w:p>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货物从采购人开始使用至招标要求中规定的周期内正常、连续地使用所必须的备件和专用工具清单，包括备件和专用工具的货源及现行价格。</w:t>
      </w:r>
    </w:p>
    <w:p>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投标人在阐述上述第</w:t>
      </w:r>
      <w:r>
        <w:rPr>
          <w:rFonts w:hint="eastAsia" w:ascii="宋体" w:hAnsi="宋体"/>
          <w:color w:val="000000" w:themeColor="text1"/>
          <w:highlight w:val="none"/>
          <w14:textFill>
            <w14:solidFill>
              <w14:schemeClr w14:val="tx1"/>
            </w14:solidFill>
          </w14:textFill>
        </w:rPr>
        <w:t>12.2（3）</w:t>
      </w:r>
      <w:r>
        <w:rPr>
          <w:rFonts w:hint="eastAsia"/>
          <w:color w:val="000000" w:themeColor="text1"/>
          <w:highlight w:val="none"/>
          <w14:textFill>
            <w14:solidFill>
              <w14:schemeClr w14:val="tx1"/>
            </w14:solidFill>
          </w14:textFill>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12.4   评标委员会对投标人所提供的证明货物和服务的合格性的文件进行审查，审查不合格的投标将作为无效投标处理。</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72" w:name="_Toc503785411"/>
      <w:bookmarkStart w:id="673" w:name="_Toc340672853"/>
      <w:bookmarkStart w:id="674" w:name="_Toc333237772"/>
      <w:bookmarkStart w:id="675" w:name="_Toc339019999"/>
      <w:bookmarkStart w:id="676" w:name="_Toc366072512"/>
      <w:bookmarkStart w:id="677" w:name="_Toc336681564"/>
      <w:bookmarkStart w:id="678" w:name="_Toc342296744"/>
      <w:bookmarkStart w:id="679" w:name="_Toc365967057"/>
      <w:bookmarkStart w:id="680" w:name="_Toc339020079"/>
      <w:bookmarkStart w:id="681" w:name="_Toc365985163"/>
      <w:bookmarkStart w:id="682" w:name="_Toc333935330"/>
      <w:bookmarkStart w:id="683" w:name="_Toc374454584"/>
      <w:bookmarkStart w:id="684" w:name="_Toc350756434"/>
      <w:bookmarkStart w:id="685" w:name="_Toc339362284"/>
      <w:bookmarkStart w:id="686" w:name="_Toc339019873"/>
      <w:bookmarkStart w:id="687" w:name="_Toc339020217"/>
      <w:bookmarkStart w:id="688" w:name="_Toc497224209"/>
      <w:bookmarkStart w:id="689" w:name="_Toc345513851"/>
      <w:bookmarkStart w:id="690" w:name="_Toc350438733"/>
      <w:bookmarkStart w:id="691" w:name="_Toc333935671"/>
      <w:bookmarkStart w:id="692" w:name="_Toc332270330"/>
      <w:bookmarkStart w:id="693" w:name="_Toc349143573"/>
      <w:bookmarkStart w:id="694" w:name="_Toc331684022"/>
      <w:bookmarkStart w:id="695" w:name="_Toc7585"/>
      <w:bookmarkStart w:id="696" w:name="_Toc341348322"/>
      <w:bookmarkStart w:id="697" w:name="_Toc337632342"/>
      <w:bookmarkStart w:id="698" w:name="_Toc333238617"/>
      <w:bookmarkStart w:id="699" w:name="_Toc336681919"/>
      <w:bookmarkStart w:id="700" w:name="_Toc333237661"/>
      <w:bookmarkStart w:id="701" w:name="_Toc332206692"/>
      <w:bookmarkStart w:id="702" w:name="_Toc340677054"/>
      <w:bookmarkStart w:id="703" w:name="_Toc349127610"/>
      <w:bookmarkStart w:id="704" w:name="_Toc342060358"/>
      <w:bookmarkStart w:id="705" w:name="_Toc330459969"/>
      <w:bookmarkStart w:id="706" w:name="_Toc340507426"/>
      <w:bookmarkStart w:id="707" w:name="_Toc339441071"/>
      <w:bookmarkStart w:id="708" w:name="_Toc331512882"/>
      <w:r>
        <w:rPr>
          <w:rFonts w:hint="eastAsia"/>
          <w:color w:val="000000" w:themeColor="text1"/>
          <w:highlight w:val="none"/>
          <w14:textFill>
            <w14:solidFill>
              <w14:schemeClr w14:val="tx1"/>
            </w14:solidFill>
          </w14:textFill>
        </w:rPr>
        <w:t>投标报价与投标货币</w:t>
      </w:r>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13.1</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 xml:space="preserve"> 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14:textFill>
            <w14:solidFill>
              <w14:schemeClr w14:val="tx1"/>
            </w14:solidFill>
          </w14:textFill>
        </w:rPr>
        <w:t>价格。</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13.2   投标报价为一次性报价，开标后不得更改。</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13.3</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投标人对货物只允许有一个报价，任何有选择报价的投标将被拒绝。</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13.4   投标人所报出的投标价在合同执行过程中是固定不变的，不得以任何理由予以变更。</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13.5   投标价格一律用人民币填报。</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13.6   投标人在投标文件中如有任何遗漏，影响到招标文件中规定的范围、质量、性能和项目的实施或限制了采购人的权利和投标人的义务，由此产生的费用由投标人负责。</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09" w:name="_Toc341348323"/>
      <w:bookmarkStart w:id="710" w:name="_Toc340677055"/>
      <w:bookmarkStart w:id="711" w:name="_Toc374454585"/>
      <w:bookmarkStart w:id="712" w:name="_Toc336681565"/>
      <w:bookmarkStart w:id="713" w:name="_Toc331512883"/>
      <w:bookmarkStart w:id="714" w:name="_Toc350438734"/>
      <w:bookmarkStart w:id="715" w:name="_Toc497224212"/>
      <w:bookmarkStart w:id="716" w:name="_Toc349143574"/>
      <w:bookmarkStart w:id="717" w:name="_Toc333238618"/>
      <w:bookmarkStart w:id="718" w:name="_Toc339441072"/>
      <w:bookmarkStart w:id="719" w:name="_Toc339020000"/>
      <w:bookmarkStart w:id="720" w:name="_Toc340672854"/>
      <w:bookmarkStart w:id="721" w:name="_Toc333237773"/>
      <w:bookmarkStart w:id="722" w:name="_Toc350756435"/>
      <w:bookmarkStart w:id="723" w:name="_Toc332270331"/>
      <w:bookmarkStart w:id="724" w:name="_Toc332206693"/>
      <w:bookmarkStart w:id="725" w:name="_Toc349127611"/>
      <w:bookmarkStart w:id="726" w:name="_Toc333935331"/>
      <w:bookmarkStart w:id="727" w:name="_Toc333237662"/>
      <w:bookmarkStart w:id="728" w:name="_Toc330459970"/>
      <w:bookmarkStart w:id="729" w:name="_Toc339019874"/>
      <w:bookmarkStart w:id="730" w:name="_Toc331684023"/>
      <w:bookmarkStart w:id="731" w:name="_Toc365967058"/>
      <w:bookmarkStart w:id="732" w:name="_Toc336681920"/>
      <w:bookmarkStart w:id="733" w:name="_Toc339362285"/>
      <w:bookmarkStart w:id="734" w:name="_Toc339020218"/>
      <w:bookmarkStart w:id="735" w:name="_Toc340507427"/>
      <w:bookmarkStart w:id="736" w:name="_Toc365985164"/>
      <w:bookmarkStart w:id="737" w:name="_Toc345513852"/>
      <w:bookmarkStart w:id="738" w:name="_Toc342060359"/>
      <w:bookmarkStart w:id="739" w:name="_Toc333935672"/>
      <w:bookmarkStart w:id="740" w:name="_Toc503785414"/>
      <w:bookmarkStart w:id="741" w:name="_Toc337632343"/>
      <w:bookmarkStart w:id="742" w:name="_Toc342296745"/>
      <w:bookmarkStart w:id="743" w:name="_Toc366072513"/>
      <w:bookmarkStart w:id="744" w:name="_Toc18006"/>
      <w:bookmarkStart w:id="745" w:name="_Toc339020080"/>
      <w:r>
        <w:rPr>
          <w:rFonts w:hint="eastAsia"/>
          <w:color w:val="000000" w:themeColor="text1"/>
          <w:highlight w:val="none"/>
          <w14:textFill>
            <w14:solidFill>
              <w14:schemeClr w14:val="tx1"/>
            </w14:solidFill>
          </w14:textFill>
        </w:rPr>
        <w:t>投标保证金</w:t>
      </w:r>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投标保证金为投标文件的重要组成部分之一。</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14.2   投标人在投标时应按照招标文件商务要求中规定的形式和金额提交投标保证金。</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14.3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投标保证金用于保护本次招标免遭因投标人的行为而蒙受的损失。</w:t>
      </w:r>
      <w:r>
        <w:rPr>
          <w:rFonts w:hint="eastAsia" w:ascii="宋体" w:hAnsi="宋体"/>
          <w:color w:val="000000" w:themeColor="text1"/>
          <w:highlight w:val="none"/>
          <w14:textFill>
            <w14:solidFill>
              <w14:schemeClr w14:val="tx1"/>
            </w14:solidFill>
          </w14:textFill>
        </w:rPr>
        <w:t>代理采购机构在因投标人的行为受到损害时，可根据第14.7条的规定，投标人的投标保证金不予退还。</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凡未按本须知第14.2条规定随附有效投标保证金的投标</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将被视为非实质性响应投标作无效投标处理。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未中标的投标人的投标保证金，采购</w:t>
      </w:r>
      <w:r>
        <w:rPr>
          <w:rFonts w:hint="eastAsia" w:ascii="宋体" w:hAnsi="宋体"/>
          <w:bCs/>
          <w:color w:val="000000" w:themeColor="text1"/>
          <w:szCs w:val="21"/>
          <w:highlight w:val="none"/>
          <w14:textFill>
            <w14:solidFill>
              <w14:schemeClr w14:val="tx1"/>
            </w14:solidFill>
          </w14:textFill>
        </w:rPr>
        <w:t>代理</w:t>
      </w:r>
      <w:r>
        <w:rPr>
          <w:rFonts w:hint="eastAsia" w:ascii="宋体" w:hAnsi="宋体"/>
          <w:bCs/>
          <w:color w:val="000000" w:themeColor="text1"/>
          <w:highlight w:val="none"/>
          <w14:textFill>
            <w14:solidFill>
              <w14:schemeClr w14:val="tx1"/>
            </w14:solidFill>
          </w14:textFill>
        </w:rPr>
        <w:t>机构应当自中标通知书发出之日起5个工作日内无息退还。</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中标投标人的投标保证金</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在中标投标人付清中标服务费、签订合同之日起5个工作日内无息退</w:t>
      </w:r>
      <w:r>
        <w:rPr>
          <w:rFonts w:hint="eastAsia" w:ascii="宋体"/>
          <w:bCs/>
          <w:color w:val="000000" w:themeColor="text1"/>
          <w:highlight w:val="none"/>
          <w14:textFill>
            <w14:solidFill>
              <w14:schemeClr w14:val="tx1"/>
            </w14:solidFill>
          </w14:textFill>
        </w:rPr>
        <w:t>还。</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发生以下情况之一的，投标保证金将不予退还：</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（1）投标人在招标文件中规定的投标有效期内撤回其投标文件；</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（2）中标投标人未能按招标文件的规定签订合同；</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（3）中标投标人未能按招标文件的有关规定交纳中标服务费；</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（4）投标人提供虚假投标文件或虚假补充文件的。</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46" w:name="_Toc333935332"/>
      <w:bookmarkStart w:id="747" w:name="_Toc345513853"/>
      <w:bookmarkStart w:id="748" w:name="_Toc350438735"/>
      <w:bookmarkStart w:id="749" w:name="_Toc333237774"/>
      <w:bookmarkStart w:id="750" w:name="_Toc337632344"/>
      <w:bookmarkStart w:id="751" w:name="_Toc333935673"/>
      <w:bookmarkStart w:id="752" w:name="_Toc340672855"/>
      <w:bookmarkStart w:id="753" w:name="_Toc332206694"/>
      <w:bookmarkStart w:id="754" w:name="_Toc333237663"/>
      <w:bookmarkStart w:id="755" w:name="_Toc336681566"/>
      <w:bookmarkStart w:id="756" w:name="_Toc342296746"/>
      <w:bookmarkStart w:id="757" w:name="_Toc366072514"/>
      <w:bookmarkStart w:id="758" w:name="_Toc342060360"/>
      <w:bookmarkStart w:id="759" w:name="_Toc332270332"/>
      <w:bookmarkStart w:id="760" w:name="_Toc365985165"/>
      <w:bookmarkStart w:id="761" w:name="_Toc339362286"/>
      <w:bookmarkStart w:id="762" w:name="_Toc340507428"/>
      <w:bookmarkStart w:id="763" w:name="_Toc339020001"/>
      <w:bookmarkStart w:id="764" w:name="_Toc350756436"/>
      <w:bookmarkStart w:id="765" w:name="_Toc503785415"/>
      <w:bookmarkStart w:id="766" w:name="_Toc333238619"/>
      <w:bookmarkStart w:id="767" w:name="_Toc336681921"/>
      <w:bookmarkStart w:id="768" w:name="_Toc331684024"/>
      <w:bookmarkStart w:id="769" w:name="_Toc331512884"/>
      <w:bookmarkStart w:id="770" w:name="_Toc339020081"/>
      <w:bookmarkStart w:id="771" w:name="_Toc497224213"/>
      <w:bookmarkStart w:id="772" w:name="_Toc330459971"/>
      <w:bookmarkStart w:id="773" w:name="_Toc349143575"/>
      <w:bookmarkStart w:id="774" w:name="_Toc23337"/>
      <w:bookmarkStart w:id="775" w:name="_Toc339020219"/>
      <w:bookmarkStart w:id="776" w:name="_Toc341348324"/>
      <w:bookmarkStart w:id="777" w:name="_Toc339441073"/>
      <w:bookmarkStart w:id="778" w:name="_Toc349127612"/>
      <w:bookmarkStart w:id="779" w:name="_Toc339019875"/>
      <w:bookmarkStart w:id="780" w:name="_Toc365967059"/>
      <w:bookmarkStart w:id="781" w:name="_Toc374454586"/>
      <w:bookmarkStart w:id="782" w:name="_Toc340677056"/>
      <w:r>
        <w:rPr>
          <w:rFonts w:hint="eastAsia"/>
          <w:color w:val="000000" w:themeColor="text1"/>
          <w:highlight w:val="none"/>
          <w14:textFill>
            <w14:solidFill>
              <w14:schemeClr w14:val="tx1"/>
            </w14:solidFill>
          </w14:textFill>
        </w:rPr>
        <w:t>投标有效期</w:t>
      </w:r>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从开标之日起，本项目的投标有效期为90天。</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83" w:name="_Toc366072515"/>
      <w:bookmarkStart w:id="784" w:name="_Toc339020220"/>
      <w:bookmarkStart w:id="785" w:name="_Toc336681922"/>
      <w:bookmarkStart w:id="786" w:name="_Toc333238620"/>
      <w:bookmarkStart w:id="787" w:name="_Toc333237664"/>
      <w:bookmarkStart w:id="788" w:name="_Toc339441074"/>
      <w:bookmarkStart w:id="789" w:name="_Toc341348325"/>
      <w:bookmarkStart w:id="790" w:name="_Toc339362287"/>
      <w:bookmarkStart w:id="791" w:name="_Toc365985166"/>
      <w:bookmarkStart w:id="792" w:name="_Toc332270333"/>
      <w:bookmarkStart w:id="793" w:name="_Toc340672856"/>
      <w:bookmarkStart w:id="794" w:name="_Toc497224214"/>
      <w:bookmarkStart w:id="795" w:name="_Toc337632345"/>
      <w:bookmarkStart w:id="796" w:name="_Toc374454587"/>
      <w:bookmarkStart w:id="797" w:name="_Toc111534389"/>
      <w:bookmarkStart w:id="798" w:name="_Toc345513854"/>
      <w:bookmarkStart w:id="799" w:name="_Toc349127613"/>
      <w:bookmarkStart w:id="800" w:name="_Toc339020002"/>
      <w:bookmarkStart w:id="801" w:name="_Toc342296747"/>
      <w:bookmarkStart w:id="802" w:name="_Toc339019876"/>
      <w:bookmarkStart w:id="803" w:name="_Toc350756437"/>
      <w:bookmarkStart w:id="804" w:name="_Toc331512885"/>
      <w:bookmarkStart w:id="805" w:name="_Toc349143576"/>
      <w:bookmarkStart w:id="806" w:name="_Toc333237775"/>
      <w:bookmarkStart w:id="807" w:name="_Toc342060361"/>
      <w:bookmarkStart w:id="808" w:name="_Toc503785416"/>
      <w:bookmarkStart w:id="809" w:name="_Toc333935333"/>
      <w:bookmarkStart w:id="810" w:name="_Toc330459972"/>
      <w:bookmarkStart w:id="811" w:name="_Toc333935674"/>
      <w:bookmarkStart w:id="812" w:name="_Toc350438736"/>
      <w:bookmarkStart w:id="813" w:name="_Toc331684025"/>
      <w:bookmarkStart w:id="814" w:name="_Toc332206695"/>
      <w:bookmarkStart w:id="815" w:name="_Toc340677057"/>
      <w:bookmarkStart w:id="816" w:name="_Toc340507429"/>
      <w:bookmarkStart w:id="817" w:name="_Toc26317"/>
      <w:bookmarkStart w:id="818" w:name="_Toc336681567"/>
      <w:bookmarkStart w:id="819" w:name="_Toc339020082"/>
      <w:bookmarkStart w:id="820" w:name="_Toc365967060"/>
      <w:r>
        <w:rPr>
          <w:rFonts w:hint="eastAsia"/>
          <w:color w:val="000000" w:themeColor="text1"/>
          <w:highlight w:val="none"/>
          <w14:textFill>
            <w14:solidFill>
              <w14:schemeClr w14:val="tx1"/>
            </w14:solidFill>
          </w14:textFill>
        </w:rPr>
        <w:t>投标文件的签署及规定</w:t>
      </w:r>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14:textFill>
            <w14:solidFill>
              <w14:schemeClr w14:val="tx1"/>
            </w14:solidFill>
          </w14:textFill>
        </w:rPr>
        <w:t>只接受PDF格式的电子文件（电子文件须单独密封，在封皮上注明“（公司名称）投标电子版”并加盖公章）。</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pPr>
        <w:widowControl/>
        <w:tabs>
          <w:tab w:val="left" w:pos="753"/>
        </w:tabs>
        <w:adjustRightInd w:val="0"/>
        <w:snapToGrid w:val="0"/>
        <w:spacing w:line="360" w:lineRule="auto"/>
        <w:ind w:left="630" w:hanging="630" w:hangingChars="300"/>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除投标人对差错处做必要修改外，投标文件中不允许有行间插字、涂改或增删，如有修改错漏处，必须由投标文件的签署人签字并在修改错漏处加盖公章，以示确认。</w:t>
      </w:r>
    </w:p>
    <w:p>
      <w:pPr>
        <w:pStyle w:val="4"/>
        <w:numPr>
          <w:ilvl w:val="0"/>
          <w:numId w:val="0"/>
        </w:numPr>
        <w:rPr>
          <w:color w:val="000000" w:themeColor="text1"/>
          <w:sz w:val="24"/>
          <w:highlight w:val="none"/>
          <w14:textFill>
            <w14:solidFill>
              <w14:schemeClr w14:val="tx1"/>
            </w14:solidFill>
          </w14:textFill>
        </w:rPr>
      </w:pPr>
      <w:bookmarkStart w:id="821" w:name="_Toc497224215"/>
      <w:bookmarkStart w:id="822" w:name="_Toc340507430"/>
      <w:bookmarkStart w:id="823" w:name="_Toc345513855"/>
      <w:bookmarkStart w:id="824" w:name="_Toc342060362"/>
      <w:bookmarkStart w:id="825" w:name="_Toc365967061"/>
      <w:bookmarkStart w:id="826" w:name="_Toc340677058"/>
      <w:bookmarkStart w:id="827" w:name="_Toc331684026"/>
      <w:bookmarkStart w:id="828" w:name="_Toc336681923"/>
      <w:bookmarkStart w:id="829" w:name="_Toc365985167"/>
      <w:bookmarkStart w:id="830" w:name="_Toc349143577"/>
      <w:bookmarkStart w:id="831" w:name="_Toc332270334"/>
      <w:bookmarkStart w:id="832" w:name="_Toc366072516"/>
      <w:bookmarkStart w:id="833" w:name="_Toc350756438"/>
      <w:bookmarkStart w:id="834" w:name="_Toc332206696"/>
      <w:bookmarkStart w:id="835" w:name="_Toc503785417"/>
      <w:bookmarkStart w:id="836" w:name="_Toc342296748"/>
      <w:bookmarkStart w:id="837" w:name="_Toc336681568"/>
      <w:bookmarkStart w:id="838" w:name="_Toc333237776"/>
      <w:bookmarkStart w:id="839" w:name="_Toc333237665"/>
      <w:bookmarkStart w:id="840" w:name="_Toc333935334"/>
      <w:bookmarkStart w:id="841" w:name="_Toc339020003"/>
      <w:bookmarkStart w:id="842" w:name="_Toc333238621"/>
      <w:bookmarkStart w:id="843" w:name="_Toc339441075"/>
      <w:bookmarkStart w:id="844" w:name="_Toc339020083"/>
      <w:bookmarkStart w:id="845" w:name="_Toc374454588"/>
      <w:bookmarkStart w:id="846" w:name="_Toc337632346"/>
      <w:bookmarkStart w:id="847" w:name="_Toc339019877"/>
      <w:bookmarkStart w:id="848" w:name="_Toc339362288"/>
      <w:bookmarkStart w:id="849" w:name="_Toc339020221"/>
      <w:bookmarkStart w:id="850" w:name="_Toc350438737"/>
      <w:bookmarkStart w:id="851" w:name="_Toc111534390"/>
      <w:bookmarkStart w:id="852" w:name="_Toc349127614"/>
      <w:bookmarkStart w:id="853" w:name="_Toc333935675"/>
      <w:bookmarkStart w:id="854" w:name="_Toc330459973"/>
      <w:bookmarkStart w:id="855" w:name="_Toc331512886"/>
      <w:bookmarkStart w:id="856" w:name="_Toc340672857"/>
      <w:bookmarkStart w:id="857" w:name="_Toc341348326"/>
      <w:r>
        <w:rPr>
          <w:color w:val="000000" w:themeColor="text1"/>
          <w:sz w:val="24"/>
          <w:highlight w:val="none"/>
          <w14:textFill>
            <w14:solidFill>
              <w14:schemeClr w14:val="tx1"/>
            </w14:solidFill>
          </w14:textFill>
        </w:rPr>
        <w:br w:type="page"/>
      </w:r>
      <w:bookmarkStart w:id="858" w:name="_Toc16569"/>
      <w:r>
        <w:rPr>
          <w:rFonts w:hint="eastAsia"/>
          <w:color w:val="000000" w:themeColor="text1"/>
          <w:sz w:val="24"/>
          <w:highlight w:val="none"/>
          <w14:textFill>
            <w14:solidFill>
              <w14:schemeClr w14:val="tx1"/>
            </w14:solidFill>
          </w14:textFill>
        </w:rPr>
        <w:t>Ｄ投标文件的递交</w:t>
      </w:r>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p>
    <w:p>
      <w:pPr>
        <w:pStyle w:val="5"/>
        <w:numPr>
          <w:ilvl w:val="4"/>
          <w:numId w:val="25"/>
        </w:numPr>
        <w:tabs>
          <w:tab w:val="left" w:pos="251"/>
          <w:tab w:val="left" w:pos="720"/>
        </w:tabs>
        <w:spacing w:before="240" w:after="120"/>
        <w:ind w:left="751" w:leftChars="1" w:hangingChars="357"/>
        <w:rPr>
          <w:rFonts w:ascii="宋体" w:hAnsi="宋体"/>
          <w:color w:val="000000" w:themeColor="text1"/>
          <w:highlight w:val="none"/>
          <w14:textFill>
            <w14:solidFill>
              <w14:schemeClr w14:val="tx1"/>
            </w14:solidFill>
          </w14:textFill>
        </w:rPr>
      </w:pPr>
      <w:bookmarkStart w:id="859" w:name="_Toc111534391"/>
      <w:bookmarkStart w:id="860" w:name="_Toc497224216"/>
      <w:bookmarkStart w:id="861" w:name="_Toc342060363"/>
      <w:bookmarkStart w:id="862" w:name="_Toc349143578"/>
      <w:bookmarkStart w:id="863" w:name="_Toc366072517"/>
      <w:bookmarkStart w:id="864" w:name="_Toc365967062"/>
      <w:bookmarkStart w:id="865" w:name="_Toc331684027"/>
      <w:bookmarkStart w:id="866" w:name="_Toc374454589"/>
      <w:bookmarkStart w:id="867" w:name="_Toc333237666"/>
      <w:bookmarkStart w:id="868" w:name="_Toc340507431"/>
      <w:bookmarkStart w:id="869" w:name="_Toc339362289"/>
      <w:bookmarkStart w:id="870" w:name="_Toc332270335"/>
      <w:bookmarkStart w:id="871" w:name="_Toc333935676"/>
      <w:bookmarkStart w:id="872" w:name="_Toc331512887"/>
      <w:bookmarkStart w:id="873" w:name="_Toc349127615"/>
      <w:bookmarkStart w:id="874" w:name="_Toc333238622"/>
      <w:bookmarkStart w:id="875" w:name="_Toc503785418"/>
      <w:bookmarkStart w:id="876" w:name="_Toc350756439"/>
      <w:bookmarkStart w:id="877" w:name="_Toc340677059"/>
      <w:bookmarkStart w:id="878" w:name="_Toc339020004"/>
      <w:bookmarkStart w:id="879" w:name="_Toc332206697"/>
      <w:bookmarkStart w:id="880" w:name="_Toc345513856"/>
      <w:bookmarkStart w:id="881" w:name="_Toc339019878"/>
      <w:bookmarkStart w:id="882" w:name="_Toc333237777"/>
      <w:bookmarkStart w:id="883" w:name="_Toc337632347"/>
      <w:bookmarkStart w:id="884" w:name="_Toc340672858"/>
      <w:bookmarkStart w:id="885" w:name="_Toc333935335"/>
      <w:bookmarkStart w:id="886" w:name="_Toc336681569"/>
      <w:bookmarkStart w:id="887" w:name="_Toc339020222"/>
      <w:bookmarkStart w:id="888" w:name="_Toc341348327"/>
      <w:bookmarkStart w:id="889" w:name="_Toc350438738"/>
      <w:bookmarkStart w:id="890" w:name="_Toc336681924"/>
      <w:bookmarkStart w:id="891" w:name="_Toc330459974"/>
      <w:bookmarkStart w:id="892" w:name="_Toc339020084"/>
      <w:bookmarkStart w:id="893" w:name="_Toc339441076"/>
      <w:bookmarkStart w:id="894" w:name="_Toc365985168"/>
      <w:bookmarkStart w:id="895" w:name="_Toc342296749"/>
      <w:r>
        <w:rPr>
          <w:rFonts w:hint="eastAsia"/>
          <w:color w:val="000000" w:themeColor="text1"/>
          <w:highlight w:val="none"/>
          <w14:textFill>
            <w14:solidFill>
              <w14:schemeClr w14:val="tx1"/>
            </w14:solidFill>
          </w14:textFill>
        </w:rPr>
        <w:t xml:space="preserve">     </w:t>
      </w:r>
      <w:bookmarkStart w:id="896" w:name="_Toc27355"/>
      <w:r>
        <w:rPr>
          <w:rFonts w:hint="eastAsia"/>
          <w:color w:val="000000" w:themeColor="text1"/>
          <w:highlight w:val="none"/>
          <w14:textFill>
            <w14:solidFill>
              <w14:schemeClr w14:val="tx1"/>
            </w14:solidFill>
          </w14:textFill>
        </w:rPr>
        <w:t>投标文件的密封和标记</w:t>
      </w:r>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p>
    <w:p>
      <w:pPr>
        <w:pStyle w:val="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 xml:space="preserve">  </w:t>
      </w: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897" w:name="_Toc333237667"/>
      <w:bookmarkStart w:id="898" w:name="_Toc331512888"/>
      <w:bookmarkStart w:id="899" w:name="_Toc330459975"/>
      <w:bookmarkStart w:id="900" w:name="_Toc333238623"/>
      <w:bookmarkStart w:id="901" w:name="_Toc340507432"/>
      <w:bookmarkStart w:id="902" w:name="_Toc350756440"/>
      <w:bookmarkStart w:id="903" w:name="_Toc339020085"/>
      <w:bookmarkStart w:id="904" w:name="_Toc333935677"/>
      <w:bookmarkStart w:id="905" w:name="_Toc345513857"/>
      <w:bookmarkStart w:id="906" w:name="_Toc374454590"/>
      <w:bookmarkStart w:id="907" w:name="_Toc339019879"/>
      <w:bookmarkStart w:id="908" w:name="_Toc342060364"/>
      <w:bookmarkStart w:id="909" w:name="_Toc339020223"/>
      <w:bookmarkStart w:id="910" w:name="_Toc336681925"/>
      <w:bookmarkStart w:id="911" w:name="_Toc332270336"/>
      <w:bookmarkStart w:id="912" w:name="_Toc365985169"/>
      <w:bookmarkStart w:id="913" w:name="_Toc339362290"/>
      <w:bookmarkStart w:id="914" w:name="_Toc341348328"/>
      <w:bookmarkStart w:id="915" w:name="_Toc31094"/>
      <w:bookmarkStart w:id="916" w:name="_Toc350438739"/>
      <w:bookmarkStart w:id="917" w:name="_Toc339441077"/>
      <w:bookmarkStart w:id="918" w:name="_Toc331684028"/>
      <w:bookmarkStart w:id="919" w:name="_Toc336681570"/>
      <w:bookmarkStart w:id="920" w:name="_Toc365967063"/>
      <w:bookmarkStart w:id="921" w:name="_Toc340672859"/>
      <w:bookmarkStart w:id="922" w:name="_Toc333935336"/>
      <w:bookmarkStart w:id="923" w:name="_Toc503785419"/>
      <w:bookmarkStart w:id="924" w:name="_Toc332206698"/>
      <w:bookmarkStart w:id="925" w:name="_Toc111534392"/>
      <w:bookmarkStart w:id="926" w:name="_Toc333237778"/>
      <w:bookmarkStart w:id="927" w:name="_Toc337632348"/>
      <w:bookmarkStart w:id="928" w:name="_Toc497224217"/>
      <w:bookmarkStart w:id="929" w:name="_Toc342296750"/>
      <w:bookmarkStart w:id="930" w:name="_Toc366072518"/>
      <w:bookmarkStart w:id="931" w:name="_Toc349143579"/>
      <w:bookmarkStart w:id="932" w:name="_Toc339020005"/>
      <w:bookmarkStart w:id="933" w:name="_Toc349127616"/>
      <w:bookmarkStart w:id="934" w:name="_Toc340677060"/>
      <w:r>
        <w:rPr>
          <w:rFonts w:hint="eastAsia"/>
          <w:color w:val="000000" w:themeColor="text1"/>
          <w:highlight w:val="none"/>
          <w14:textFill>
            <w14:solidFill>
              <w14:schemeClr w14:val="tx1"/>
            </w14:solidFill>
          </w14:textFill>
        </w:rPr>
        <w:t>递交投标文件的时间、地点及截止时间</w:t>
      </w:r>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递交投标文件的地点与开标仪式的地点为同一地点；投标截止时间与开标时间为同一时间。</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投标文件需由专人送交。投标人须将密封和标记后的投标文件，按照招标文件中注明的开标地址于投标截止时间之前送交代理采购机构。</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bookmarkStart w:id="935" w:name="_Toc339020006"/>
      <w:bookmarkStart w:id="936" w:name="_Toc350756441"/>
      <w:bookmarkStart w:id="937" w:name="_Toc339020224"/>
      <w:bookmarkStart w:id="938" w:name="_Toc331684029"/>
      <w:bookmarkStart w:id="939" w:name="_Toc349127617"/>
      <w:bookmarkStart w:id="940" w:name="_Toc339362291"/>
      <w:bookmarkStart w:id="941" w:name="_Toc340507433"/>
      <w:bookmarkStart w:id="942" w:name="_Toc336681926"/>
      <w:bookmarkStart w:id="943" w:name="_Toc332270337"/>
      <w:bookmarkStart w:id="944" w:name="_Toc341348329"/>
      <w:bookmarkStart w:id="945" w:name="_Toc333237668"/>
      <w:bookmarkStart w:id="946" w:name="_Toc342060365"/>
      <w:bookmarkStart w:id="947" w:name="_Toc339019880"/>
      <w:bookmarkStart w:id="948" w:name="_Toc336681571"/>
      <w:bookmarkStart w:id="949" w:name="_Toc333935337"/>
      <w:bookmarkStart w:id="950" w:name="_Toc339441078"/>
      <w:bookmarkStart w:id="951" w:name="_Toc365985170"/>
      <w:bookmarkStart w:id="952" w:name="_Toc333935678"/>
      <w:bookmarkStart w:id="953" w:name="_Toc366072519"/>
      <w:bookmarkStart w:id="954" w:name="_Toc333238624"/>
      <w:bookmarkStart w:id="955" w:name="_Toc340677061"/>
      <w:bookmarkStart w:id="956" w:name="_Toc337632349"/>
      <w:bookmarkStart w:id="957" w:name="_Toc332206699"/>
      <w:bookmarkStart w:id="958" w:name="_Toc365967064"/>
      <w:bookmarkStart w:id="959" w:name="_Toc350438740"/>
      <w:bookmarkStart w:id="960" w:name="_Toc349143580"/>
      <w:bookmarkStart w:id="961" w:name="_Toc333237779"/>
      <w:bookmarkStart w:id="962" w:name="_Toc345513858"/>
      <w:bookmarkStart w:id="963" w:name="_Toc330459976"/>
      <w:bookmarkStart w:id="964" w:name="_Toc374454591"/>
      <w:bookmarkStart w:id="965" w:name="_Toc497224218"/>
      <w:bookmarkStart w:id="966" w:name="_Toc331512889"/>
      <w:bookmarkStart w:id="967" w:name="_Toc503785420"/>
      <w:bookmarkStart w:id="968" w:name="_Toc339020086"/>
      <w:bookmarkStart w:id="969" w:name="_Toc340672860"/>
      <w:bookmarkStart w:id="970" w:name="_Toc342296751"/>
      <w:r>
        <w:rPr>
          <w:rFonts w:hint="eastAsia" w:ascii="宋体" w:hAnsi="宋体"/>
          <w:bCs/>
          <w:color w:val="000000" w:themeColor="text1"/>
          <w:highlight w:val="none"/>
          <w14:textFill>
            <w14:solidFill>
              <w14:schemeClr w14:val="tx1"/>
            </w14:solidFill>
          </w14:textFill>
        </w:rPr>
        <w:t>18.3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代理采购机构于投标截止时间前30分钟开始接收投标文件，并于招标文件“第一部分投标邀请函”规定的开标时间、开标地点公开开标。</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971" w:name="_Toc18580"/>
      <w:r>
        <w:rPr>
          <w:rFonts w:hint="eastAsia"/>
          <w:color w:val="000000" w:themeColor="text1"/>
          <w:highlight w:val="none"/>
          <w14:textFill>
            <w14:solidFill>
              <w14:schemeClr w14:val="tx1"/>
            </w14:solidFill>
          </w14:textFill>
        </w:rPr>
        <w:t>迟交的投标文件</w:t>
      </w:r>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代理采购机构将拒绝在投标截止时间后递交的任何投标文件。</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972" w:name="_Toc503785421"/>
      <w:bookmarkStart w:id="973" w:name="_Toc497224219"/>
      <w:bookmarkStart w:id="974" w:name="_Toc339441079"/>
      <w:bookmarkStart w:id="975" w:name="_Toc365985171"/>
      <w:bookmarkStart w:id="976" w:name="_Toc331512890"/>
      <w:bookmarkStart w:id="977" w:name="_Toc349127618"/>
      <w:bookmarkStart w:id="978" w:name="_Toc17559"/>
      <w:bookmarkStart w:id="979" w:name="_Toc333237669"/>
      <w:bookmarkStart w:id="980" w:name="_Toc350438741"/>
      <w:bookmarkStart w:id="981" w:name="_Toc342060366"/>
      <w:bookmarkStart w:id="982" w:name="_Toc365967065"/>
      <w:bookmarkStart w:id="983" w:name="_Toc366072520"/>
      <w:bookmarkStart w:id="984" w:name="_Toc340507434"/>
      <w:bookmarkStart w:id="985" w:name="_Toc332206700"/>
      <w:bookmarkStart w:id="986" w:name="_Toc337632350"/>
      <w:bookmarkStart w:id="987" w:name="_Toc350756442"/>
      <w:bookmarkStart w:id="988" w:name="_Toc339362292"/>
      <w:bookmarkStart w:id="989" w:name="_Toc333238625"/>
      <w:bookmarkStart w:id="990" w:name="_Toc342296752"/>
      <w:bookmarkStart w:id="991" w:name="_Toc333935338"/>
      <w:bookmarkStart w:id="992" w:name="_Toc341348330"/>
      <w:bookmarkStart w:id="993" w:name="_Toc340677062"/>
      <w:bookmarkStart w:id="994" w:name="_Toc339020225"/>
      <w:bookmarkStart w:id="995" w:name="_Toc340672861"/>
      <w:bookmarkStart w:id="996" w:name="_Toc330459977"/>
      <w:bookmarkStart w:id="997" w:name="_Toc339019881"/>
      <w:bookmarkStart w:id="998" w:name="_Toc339020007"/>
      <w:bookmarkStart w:id="999" w:name="_Toc333237780"/>
      <w:bookmarkStart w:id="1000" w:name="_Toc331684030"/>
      <w:bookmarkStart w:id="1001" w:name="_Toc349143581"/>
      <w:bookmarkStart w:id="1002" w:name="_Toc374454592"/>
      <w:bookmarkStart w:id="1003" w:name="_Toc333935679"/>
      <w:bookmarkStart w:id="1004" w:name="_Toc345513859"/>
      <w:bookmarkStart w:id="1005" w:name="_Toc336681927"/>
      <w:bookmarkStart w:id="1006" w:name="_Toc339020087"/>
      <w:bookmarkStart w:id="1007" w:name="_Toc332270338"/>
      <w:bookmarkStart w:id="1008" w:name="_Toc336681572"/>
      <w:r>
        <w:rPr>
          <w:rFonts w:hint="eastAsia"/>
          <w:color w:val="000000" w:themeColor="text1"/>
          <w:highlight w:val="none"/>
          <w14:textFill>
            <w14:solidFill>
              <w14:schemeClr w14:val="tx1"/>
            </w14:solidFill>
          </w14:textFill>
        </w:rPr>
        <w:t>投标文件的修改和撤</w:t>
      </w:r>
      <w:bookmarkEnd w:id="972"/>
      <w:bookmarkEnd w:id="973"/>
      <w:r>
        <w:rPr>
          <w:rFonts w:hint="eastAsia"/>
          <w:color w:val="000000" w:themeColor="text1"/>
          <w:highlight w:val="none"/>
          <w14:textFill>
            <w14:solidFill>
              <w14:schemeClr w14:val="tx1"/>
            </w14:solidFill>
          </w14:textFill>
        </w:rPr>
        <w:t>回</w:t>
      </w:r>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投标人在</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截止时间前，可以修改或撤回其投标文件。但必须在规定的</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截止时间之前以书面通知到代理采购机构，该通知须有投标人法定代表人（负责人）或其授权代表签字。</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投标人对投标文件修改的书面材料或撤销的通知应注明“修改投标文件”或“撤销投标”字样。</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在投标截止时间之后，投标人不得对其投标文件做任何修改。</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从投标截止时间至投标文件有效期期满之前，投标人不得撤回其投标文件，否则代理采购机构将按规定不予退还投标保证金。</w:t>
      </w:r>
    </w:p>
    <w:p>
      <w:pPr>
        <w:pStyle w:val="4"/>
        <w:numPr>
          <w:ilvl w:val="0"/>
          <w:numId w:val="0"/>
        </w:numPr>
        <w:rPr>
          <w:color w:val="000000" w:themeColor="text1"/>
          <w:sz w:val="24"/>
          <w:highlight w:val="none"/>
          <w14:textFill>
            <w14:solidFill>
              <w14:schemeClr w14:val="tx1"/>
            </w14:solidFill>
          </w14:textFill>
        </w:rPr>
      </w:pPr>
      <w:bookmarkStart w:id="1009" w:name="_Toc503785422"/>
      <w:bookmarkStart w:id="1010" w:name="_Toc332206701"/>
      <w:bookmarkStart w:id="1011" w:name="_Toc339020226"/>
      <w:bookmarkStart w:id="1012" w:name="_Toc332270339"/>
      <w:bookmarkStart w:id="1013" w:name="_Toc349127619"/>
      <w:bookmarkStart w:id="1014" w:name="_Toc336681573"/>
      <w:bookmarkStart w:id="1015" w:name="_Toc365985172"/>
      <w:bookmarkStart w:id="1016" w:name="_Toc350438742"/>
      <w:bookmarkStart w:id="1017" w:name="_Toc333238626"/>
      <w:bookmarkStart w:id="1018" w:name="_Toc339441080"/>
      <w:bookmarkStart w:id="1019" w:name="_Toc336681928"/>
      <w:bookmarkStart w:id="1020" w:name="_Toc330459978"/>
      <w:bookmarkStart w:id="1021" w:name="_Toc340672862"/>
      <w:bookmarkStart w:id="1022" w:name="_Toc337632351"/>
      <w:bookmarkStart w:id="1023" w:name="_Toc345513860"/>
      <w:bookmarkStart w:id="1024" w:name="_Toc340677063"/>
      <w:bookmarkStart w:id="1025" w:name="_Toc331684031"/>
      <w:bookmarkStart w:id="1026" w:name="_Toc350756443"/>
      <w:bookmarkStart w:id="1027" w:name="_Toc333935680"/>
      <w:bookmarkStart w:id="1028" w:name="_Toc366072521"/>
      <w:bookmarkStart w:id="1029" w:name="_Toc497224220"/>
      <w:bookmarkStart w:id="1030" w:name="_Toc365967066"/>
      <w:bookmarkStart w:id="1031" w:name="_Toc342060367"/>
      <w:bookmarkStart w:id="1032" w:name="_Toc349143582"/>
      <w:bookmarkStart w:id="1033" w:name="_Toc331512891"/>
      <w:bookmarkStart w:id="1034" w:name="_Toc339362293"/>
      <w:bookmarkStart w:id="1035" w:name="_Toc374454593"/>
      <w:bookmarkStart w:id="1036" w:name="_Toc333237781"/>
      <w:bookmarkStart w:id="1037" w:name="_Toc339020088"/>
      <w:bookmarkStart w:id="1038" w:name="_Toc339020008"/>
      <w:bookmarkStart w:id="1039" w:name="_Toc340507435"/>
      <w:bookmarkStart w:id="1040" w:name="_Toc339019882"/>
      <w:bookmarkStart w:id="1041" w:name="_Toc342296753"/>
      <w:bookmarkStart w:id="1042" w:name="_Toc333935339"/>
      <w:bookmarkStart w:id="1043" w:name="_Toc341348331"/>
      <w:bookmarkStart w:id="1044" w:name="_Toc333237670"/>
      <w:r>
        <w:rPr>
          <w:color w:val="000000" w:themeColor="text1"/>
          <w:sz w:val="24"/>
          <w:highlight w:val="none"/>
          <w14:textFill>
            <w14:solidFill>
              <w14:schemeClr w14:val="tx1"/>
            </w14:solidFill>
          </w14:textFill>
        </w:rPr>
        <w:br w:type="page"/>
      </w:r>
      <w:bookmarkStart w:id="1045" w:name="_Toc17893"/>
      <w:r>
        <w:rPr>
          <w:rFonts w:hint="eastAsia"/>
          <w:color w:val="000000" w:themeColor="text1"/>
          <w:sz w:val="24"/>
          <w:highlight w:val="none"/>
          <w14:textFill>
            <w14:solidFill>
              <w14:schemeClr w14:val="tx1"/>
            </w14:solidFill>
          </w14:textFill>
        </w:rPr>
        <w:t>Ｅ开标和评标</w:t>
      </w:r>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046" w:name="_Toc339441081"/>
      <w:bookmarkStart w:id="1047" w:name="_Toc349127620"/>
      <w:bookmarkStart w:id="1048" w:name="_Toc339020227"/>
      <w:bookmarkStart w:id="1049" w:name="_Toc340677064"/>
      <w:bookmarkStart w:id="1050" w:name="_Toc332206702"/>
      <w:bookmarkStart w:id="1051" w:name="_Toc349143583"/>
      <w:bookmarkStart w:id="1052" w:name="_Toc497224221"/>
      <w:bookmarkStart w:id="1053" w:name="_Toc336681929"/>
      <w:bookmarkStart w:id="1054" w:name="_Toc366072522"/>
      <w:bookmarkStart w:id="1055" w:name="_Toc3495"/>
      <w:bookmarkStart w:id="1056" w:name="_Toc333238627"/>
      <w:bookmarkStart w:id="1057" w:name="_Toc331684032"/>
      <w:bookmarkStart w:id="1058" w:name="_Toc342060368"/>
      <w:bookmarkStart w:id="1059" w:name="_Toc340507436"/>
      <w:bookmarkStart w:id="1060" w:name="_Toc339019883"/>
      <w:bookmarkStart w:id="1061" w:name="_Toc337632352"/>
      <w:bookmarkStart w:id="1062" w:name="_Toc350756444"/>
      <w:bookmarkStart w:id="1063" w:name="_Toc330459979"/>
      <w:bookmarkStart w:id="1064" w:name="_Toc331512892"/>
      <w:bookmarkStart w:id="1065" w:name="_Toc341348332"/>
      <w:bookmarkStart w:id="1066" w:name="_Toc333237671"/>
      <w:bookmarkStart w:id="1067" w:name="_Toc340672863"/>
      <w:bookmarkStart w:id="1068" w:name="_Toc333935340"/>
      <w:bookmarkStart w:id="1069" w:name="_Toc332270340"/>
      <w:bookmarkStart w:id="1070" w:name="_Toc374454594"/>
      <w:bookmarkStart w:id="1071" w:name="_Toc333237782"/>
      <w:bookmarkStart w:id="1072" w:name="_Toc503785423"/>
      <w:bookmarkStart w:id="1073" w:name="_Toc342296754"/>
      <w:bookmarkStart w:id="1074" w:name="_Toc339020009"/>
      <w:bookmarkStart w:id="1075" w:name="_Toc350438743"/>
      <w:bookmarkStart w:id="1076" w:name="_Toc333935681"/>
      <w:bookmarkStart w:id="1077" w:name="_Toc339362294"/>
      <w:bookmarkStart w:id="1078" w:name="_Toc336681574"/>
      <w:bookmarkStart w:id="1079" w:name="_Toc365967067"/>
      <w:bookmarkStart w:id="1080" w:name="_Toc339020089"/>
      <w:bookmarkStart w:id="1081" w:name="_Toc365985173"/>
      <w:bookmarkStart w:id="1082" w:name="_Toc345513861"/>
      <w:r>
        <w:rPr>
          <w:rFonts w:hint="eastAsia"/>
          <w:color w:val="000000" w:themeColor="text1"/>
          <w:highlight w:val="none"/>
          <w14:textFill>
            <w14:solidFill>
              <w14:schemeClr w14:val="tx1"/>
            </w14:solidFill>
          </w14:textFill>
        </w:rPr>
        <w:t>开标</w:t>
      </w:r>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代理采购机构在招标文件中规定的时间和地点公开开标。开标会由代理采购机构主持。投标人代表均需按时参加开标会。参加开标的投标人代表应签名报到以证明其出席。</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21.3   在投标截止之前收到的所有投标文件，开标时都应当众拆封并宣读。在开标时没有当众拆封和宣读的投标文件在评标时将不予考虑。提交了可接受的“撤回”通知的投标文件将不予拆封。</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21.4</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唱标结束后，代理采购机构将做唱标记录，并按规定在唱标记录上签字。</w:t>
      </w:r>
    </w:p>
    <w:p>
      <w:pPr>
        <w:pStyle w:val="5"/>
        <w:numPr>
          <w:ilvl w:val="4"/>
          <w:numId w:val="25"/>
        </w:numPr>
        <w:tabs>
          <w:tab w:val="left" w:pos="720"/>
        </w:tabs>
        <w:spacing w:before="240" w:after="120"/>
        <w:ind w:left="752" w:hanging="751" w:hangingChars="358"/>
        <w:rPr>
          <w:rFonts w:ascii="宋体" w:hAnsi="宋体"/>
          <w:color w:val="000000" w:themeColor="text1"/>
          <w:highlight w:val="none"/>
          <w14:textFill>
            <w14:solidFill>
              <w14:schemeClr w14:val="tx1"/>
            </w14:solidFill>
          </w14:textFill>
        </w:rPr>
      </w:pPr>
      <w:bookmarkStart w:id="1083" w:name="_Toc350438744"/>
      <w:bookmarkStart w:id="1084" w:name="_Toc333237783"/>
      <w:bookmarkStart w:id="1085" w:name="_Toc349127621"/>
      <w:bookmarkStart w:id="1086" w:name="_Toc350756445"/>
      <w:bookmarkStart w:id="1087" w:name="_Toc340507437"/>
      <w:bookmarkStart w:id="1088" w:name="_Toc339020090"/>
      <w:bookmarkStart w:id="1089" w:name="_Toc333237672"/>
      <w:bookmarkStart w:id="1090" w:name="_Toc332270341"/>
      <w:bookmarkStart w:id="1091" w:name="_Toc337632353"/>
      <w:bookmarkStart w:id="1092" w:name="_Toc339019884"/>
      <w:bookmarkStart w:id="1093" w:name="_Toc366072523"/>
      <w:bookmarkStart w:id="1094" w:name="_Toc345513862"/>
      <w:bookmarkStart w:id="1095" w:name="_Toc333238628"/>
      <w:bookmarkStart w:id="1096" w:name="_Toc374454595"/>
      <w:bookmarkStart w:id="1097" w:name="_Toc339020010"/>
      <w:bookmarkStart w:id="1098" w:name="_Toc365967068"/>
      <w:bookmarkStart w:id="1099" w:name="_Toc331512893"/>
      <w:bookmarkStart w:id="1100" w:name="_Toc339362295"/>
      <w:bookmarkStart w:id="1101" w:name="_Toc342060369"/>
      <w:bookmarkStart w:id="1102" w:name="_Toc333935682"/>
      <w:bookmarkStart w:id="1103" w:name="_Toc339020228"/>
      <w:bookmarkStart w:id="1104" w:name="_Toc341348333"/>
      <w:bookmarkStart w:id="1105" w:name="_Toc333935341"/>
      <w:bookmarkStart w:id="1106" w:name="_Toc332206703"/>
      <w:bookmarkStart w:id="1107" w:name="_Toc503785424"/>
      <w:bookmarkStart w:id="1108" w:name="_Toc4178"/>
      <w:bookmarkStart w:id="1109" w:name="_Toc497224222"/>
      <w:bookmarkStart w:id="1110" w:name="_Toc365985174"/>
      <w:bookmarkStart w:id="1111" w:name="_Toc330459980"/>
      <w:bookmarkStart w:id="1112" w:name="_Toc336681930"/>
      <w:bookmarkStart w:id="1113" w:name="_Toc336681575"/>
      <w:bookmarkStart w:id="1114" w:name="_Toc339441082"/>
      <w:bookmarkStart w:id="1115" w:name="_Toc331684033"/>
      <w:bookmarkStart w:id="1116" w:name="_Toc340677065"/>
      <w:bookmarkStart w:id="1117" w:name="_Toc340672864"/>
      <w:bookmarkStart w:id="1118" w:name="_Toc349143584"/>
      <w:bookmarkStart w:id="1119" w:name="_Toc342296755"/>
      <w:r>
        <w:rPr>
          <w:rFonts w:hint="eastAsia"/>
          <w:color w:val="000000" w:themeColor="text1"/>
          <w:highlight w:val="none"/>
          <w14:textFill>
            <w14:solidFill>
              <w14:schemeClr w14:val="tx1"/>
            </w14:solidFill>
          </w14:textFill>
        </w:rPr>
        <w:t>评标委员会</w:t>
      </w:r>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p>
    <w:p>
      <w:pPr>
        <w:pStyle w:val="2"/>
        <w:rPr>
          <w:color w:val="000000" w:themeColor="text1"/>
          <w:highlight w:val="none"/>
          <w14:textFill>
            <w14:solidFill>
              <w14:schemeClr w14:val="tx1"/>
            </w14:solidFill>
          </w14:textFill>
        </w:rPr>
      </w:pP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20" w:name="_Toc341348334"/>
      <w:bookmarkStart w:id="1121" w:name="_Toc374454596"/>
      <w:bookmarkStart w:id="1122" w:name="_Toc365967069"/>
      <w:bookmarkStart w:id="1123" w:name="_Toc331512894"/>
      <w:bookmarkStart w:id="1124" w:name="_Toc333237673"/>
      <w:bookmarkStart w:id="1125" w:name="_Toc340507438"/>
      <w:bookmarkStart w:id="1126" w:name="_Toc339020011"/>
      <w:bookmarkStart w:id="1127" w:name="_Toc342060370"/>
      <w:bookmarkStart w:id="1128" w:name="_Toc342296756"/>
      <w:bookmarkStart w:id="1129" w:name="_Toc337632354"/>
      <w:bookmarkStart w:id="1130" w:name="_Toc339019885"/>
      <w:bookmarkStart w:id="1131" w:name="_Toc366072524"/>
      <w:bookmarkStart w:id="1132" w:name="_Toc336681931"/>
      <w:bookmarkStart w:id="1133" w:name="_Toc349143585"/>
      <w:bookmarkStart w:id="1134" w:name="_Toc332270342"/>
      <w:bookmarkStart w:id="1135" w:name="_Toc943"/>
      <w:bookmarkStart w:id="1136" w:name="_Toc345513863"/>
      <w:bookmarkStart w:id="1137" w:name="_Toc503785425"/>
      <w:bookmarkStart w:id="1138" w:name="_Toc365985175"/>
      <w:bookmarkStart w:id="1139" w:name="_Toc336681576"/>
      <w:bookmarkStart w:id="1140" w:name="_Toc333237784"/>
      <w:bookmarkStart w:id="1141" w:name="_Toc350756446"/>
      <w:bookmarkStart w:id="1142" w:name="_Toc332206704"/>
      <w:bookmarkStart w:id="1143" w:name="_Toc333238629"/>
      <w:bookmarkStart w:id="1144" w:name="_Toc350438745"/>
      <w:bookmarkStart w:id="1145" w:name="_Toc330459981"/>
      <w:bookmarkStart w:id="1146" w:name="_Toc339020229"/>
      <w:bookmarkStart w:id="1147" w:name="_Toc339362296"/>
      <w:bookmarkStart w:id="1148" w:name="_Toc497224223"/>
      <w:bookmarkStart w:id="1149" w:name="_Toc331684034"/>
      <w:bookmarkStart w:id="1150" w:name="_Toc333935683"/>
      <w:bookmarkStart w:id="1151" w:name="_Toc333935342"/>
      <w:bookmarkStart w:id="1152" w:name="_Toc339020091"/>
      <w:bookmarkStart w:id="1153" w:name="_Toc340677066"/>
      <w:bookmarkStart w:id="1154" w:name="_Toc340672865"/>
      <w:bookmarkStart w:id="1155" w:name="_Toc349127622"/>
      <w:bookmarkStart w:id="1156" w:name="_Toc339441083"/>
      <w:r>
        <w:rPr>
          <w:rFonts w:hint="eastAsia"/>
          <w:color w:val="000000" w:themeColor="text1"/>
          <w:highlight w:val="none"/>
          <w14:textFill>
            <w14:solidFill>
              <w14:schemeClr w14:val="tx1"/>
            </w14:solidFill>
          </w14:textFill>
        </w:rPr>
        <w:t>对投标文件的初审和响应性的确定</w:t>
      </w:r>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开标后，评标委员会将组织审查投标文件是否完整，文件签署是否合格，证明文件是否齐全等。</w:t>
      </w:r>
    </w:p>
    <w:p>
      <w:pPr>
        <w:widowControl/>
        <w:tabs>
          <w:tab w:val="left" w:pos="567"/>
        </w:tabs>
        <w:adjustRightInd w:val="0"/>
        <w:snapToGrid w:val="0"/>
        <w:spacing w:line="360" w:lineRule="auto"/>
        <w:ind w:left="752" w:hanging="751" w:hangingChars="358"/>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 xml:space="preserve">23.2   </w:t>
      </w:r>
      <w:r>
        <w:rPr>
          <w:rFonts w:hint="eastAsia" w:ascii="宋体" w:hAnsi="宋体"/>
          <w:color w:val="000000" w:themeColor="text1"/>
          <w:highlight w:val="none"/>
          <w14:textFill>
            <w14:solidFill>
              <w14:schemeClr w14:val="tx1"/>
            </w14:solidFill>
          </w14:textFill>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评标委员会将确定每一投标是否对招标文件的要求做出了实质性的响应，而没有重大偏离。实质性响应的投标是指投标符合招标文件的所有条款、条件和规定且没有重大偏离或保留。重大偏离或保留</w:t>
      </w:r>
      <w:r>
        <w:rPr>
          <w:rFonts w:hint="eastAsia" w:ascii="宋体"/>
          <w:bCs/>
          <w:color w:val="000000" w:themeColor="text1"/>
          <w:highlight w:val="none"/>
          <w:lang w:val="en-US" w:eastAsia="zh-CN"/>
          <w14:textFill>
            <w14:solidFill>
              <w14:schemeClr w14:val="tx1"/>
            </w14:solidFill>
          </w14:textFill>
        </w:rPr>
        <w:t>是</w:t>
      </w:r>
      <w:r>
        <w:rPr>
          <w:rFonts w:hint="eastAsia" w:ascii="宋体"/>
          <w:bCs/>
          <w:color w:val="000000" w:themeColor="text1"/>
          <w:highlight w:val="none"/>
          <w14:textFill>
            <w14:solidFill>
              <w14:schemeClr w14:val="tx1"/>
            </w14:solidFill>
          </w14:textFill>
        </w:rPr>
        <w:t>指影响到招标文件规定的供货范围、质量和性能，或限制了买方的权力和投标人的义务的规定，而纠正这些偏离将影响到其它提交实质性响应投标的投标人的公平竞争地位。</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评标委员会将拒绝被确定为非实质性响应的投标，投标人不能通过修正或撤销不符之处而使其投标成为实质性响应的投标。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 xml:space="preserve">5 </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如果发现下列情况之一的，其投标将被拒绝而作无效投标处理：</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资格审查结果为不合格的；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投标人未提交投标保证金或投标保证金金额不足或无效的；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投标函</w:t>
      </w:r>
      <w:r>
        <w:rPr>
          <w:rFonts w:ascii="宋体" w:hAnsi="宋体"/>
          <w:bCs/>
          <w:color w:val="000000" w:themeColor="text1"/>
          <w:highlight w:val="none"/>
          <w14:textFill>
            <w14:solidFill>
              <w14:schemeClr w14:val="tx1"/>
            </w14:solidFill>
          </w14:textFill>
        </w:rPr>
        <w:t>未加盖</w:t>
      </w:r>
      <w:r>
        <w:rPr>
          <w:rFonts w:hint="eastAsia" w:ascii="宋体" w:hAnsi="宋体"/>
          <w:bCs/>
          <w:color w:val="000000" w:themeColor="text1"/>
          <w:highlight w:val="none"/>
          <w14:textFill>
            <w14:solidFill>
              <w14:schemeClr w14:val="tx1"/>
            </w14:solidFill>
          </w14:textFill>
        </w:rPr>
        <w:t>投标人</w:t>
      </w:r>
      <w:r>
        <w:rPr>
          <w:rFonts w:ascii="宋体" w:hAnsi="宋体"/>
          <w:bCs/>
          <w:color w:val="000000" w:themeColor="text1"/>
          <w:highlight w:val="none"/>
          <w14:textFill>
            <w14:solidFill>
              <w14:schemeClr w14:val="tx1"/>
            </w14:solidFill>
          </w14:textFill>
        </w:rPr>
        <w:t>公章</w:t>
      </w:r>
      <w:r>
        <w:rPr>
          <w:rFonts w:hint="eastAsia" w:ascii="宋体" w:hAnsi="宋体"/>
          <w:bCs/>
          <w:color w:val="000000" w:themeColor="text1"/>
          <w:highlight w:val="none"/>
          <w14:textFill>
            <w14:solidFill>
              <w14:schemeClr w14:val="tx1"/>
            </w14:solidFill>
          </w14:textFill>
        </w:rPr>
        <w:t>或</w:t>
      </w:r>
      <w:r>
        <w:rPr>
          <w:rFonts w:ascii="宋体" w:hAnsi="宋体"/>
          <w:bCs/>
          <w:color w:val="000000" w:themeColor="text1"/>
          <w:highlight w:val="none"/>
          <w14:textFill>
            <w14:solidFill>
              <w14:schemeClr w14:val="tx1"/>
            </w14:solidFill>
          </w14:textFill>
        </w:rPr>
        <w:t>未有</w:t>
      </w:r>
      <w:r>
        <w:rPr>
          <w:rFonts w:hint="eastAsia" w:ascii="宋体" w:hAnsi="宋体"/>
          <w:bCs/>
          <w:color w:val="000000" w:themeColor="text1"/>
          <w:highlight w:val="none"/>
          <w14:textFill>
            <w14:solidFill>
              <w14:schemeClr w14:val="tx1"/>
            </w14:solidFill>
          </w14:textFill>
        </w:rPr>
        <w:t>法定代表人（负责人）</w:t>
      </w:r>
      <w:r>
        <w:rPr>
          <w:rFonts w:ascii="宋体" w:hAnsi="宋体"/>
          <w:bCs/>
          <w:color w:val="000000" w:themeColor="text1"/>
          <w:highlight w:val="none"/>
          <w14:textFill>
            <w14:solidFill>
              <w14:schemeClr w14:val="tx1"/>
            </w14:solidFill>
          </w14:textFill>
        </w:rPr>
        <w:t>或者被授权人签名的；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未按招标文件规定格式填写或者字迹模糊不清的；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投标报价超出最高投标报价（预算价）上限的；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投标文件载明的招标项目完工期（服务期）超过招标文件规定的期限，或服务期不满足招标文件规定要求的； </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投标有效期不足的；</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投标文件附有采购人或代理采购机构不能接受的条件的；</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招标文件规定的其他实质性要求的；</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法律、法规规定的其他废标条款。</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57" w:name="_Toc333935684"/>
      <w:bookmarkStart w:id="1158" w:name="_Toc340672866"/>
      <w:bookmarkStart w:id="1159" w:name="_Toc333238630"/>
      <w:bookmarkStart w:id="1160" w:name="_Toc333237674"/>
      <w:bookmarkStart w:id="1161" w:name="_Toc340507439"/>
      <w:bookmarkStart w:id="1162" w:name="_Toc330459982"/>
      <w:bookmarkStart w:id="1163" w:name="_Toc333237785"/>
      <w:bookmarkStart w:id="1164" w:name="_Toc365985176"/>
      <w:bookmarkStart w:id="1165" w:name="_Toc336681577"/>
      <w:bookmarkStart w:id="1166" w:name="_Toc331512895"/>
      <w:bookmarkStart w:id="1167" w:name="_Toc365967070"/>
      <w:bookmarkStart w:id="1168" w:name="_Toc350438746"/>
      <w:bookmarkStart w:id="1169" w:name="_Toc337632355"/>
      <w:bookmarkStart w:id="1170" w:name="_Toc339019886"/>
      <w:bookmarkStart w:id="1171" w:name="_Toc339362297"/>
      <w:bookmarkStart w:id="1172" w:name="_Toc345513864"/>
      <w:bookmarkStart w:id="1173" w:name="_Toc342296757"/>
      <w:bookmarkStart w:id="1174" w:name="_Toc350756447"/>
      <w:bookmarkStart w:id="1175" w:name="_Toc341348335"/>
      <w:bookmarkStart w:id="1176" w:name="_Toc339020230"/>
      <w:bookmarkStart w:id="1177" w:name="_Toc339441084"/>
      <w:bookmarkStart w:id="1178" w:name="_Toc333935343"/>
      <w:bookmarkStart w:id="1179" w:name="_Toc349127623"/>
      <w:bookmarkStart w:id="1180" w:name="_Toc332206705"/>
      <w:bookmarkStart w:id="1181" w:name="_Toc366072525"/>
      <w:bookmarkStart w:id="1182" w:name="_Toc336681932"/>
      <w:bookmarkStart w:id="1183" w:name="_Toc331684035"/>
      <w:bookmarkStart w:id="1184" w:name="_Toc374454597"/>
      <w:bookmarkStart w:id="1185" w:name="_Toc339020012"/>
      <w:bookmarkStart w:id="1186" w:name="_Toc339020092"/>
      <w:bookmarkStart w:id="1187" w:name="_Toc332270343"/>
      <w:bookmarkStart w:id="1188" w:name="_Toc349143586"/>
      <w:bookmarkStart w:id="1189" w:name="_Toc342060371"/>
      <w:bookmarkStart w:id="1190" w:name="_Toc340677067"/>
      <w:bookmarkStart w:id="1191" w:name="_Toc23533"/>
      <w:r>
        <w:rPr>
          <w:rFonts w:hint="eastAsia"/>
          <w:color w:val="000000" w:themeColor="text1"/>
          <w:highlight w:val="none"/>
          <w14:textFill>
            <w14:solidFill>
              <w14:schemeClr w14:val="tx1"/>
            </w14:solidFill>
          </w14:textFill>
        </w:rPr>
        <w:t>投标报价的审核</w:t>
      </w:r>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p>
    <w:p>
      <w:pPr>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pPr>
        <w:spacing w:line="360" w:lineRule="auto"/>
        <w:ind w:left="1233" w:hanging="1232" w:hangingChars="587"/>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24.2  </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投标文件中开标一览表(报价表)内容与投标文件中相应内容不一致的，以开标一览表(报价表)为准;</w:t>
      </w:r>
    </w:p>
    <w:p>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大写金额和小写金额不一致的，以大写金额为准;</w:t>
      </w:r>
    </w:p>
    <w:p>
      <w:pPr>
        <w:spacing w:line="360" w:lineRule="auto"/>
        <w:ind w:firstLine="735" w:firstLineChars="350"/>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单价金额小数点或者百分比有明显错位的，以开标一览表的总价为准，并修改单价;</w:t>
      </w:r>
    </w:p>
    <w:p>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总价金额与按单价汇总金额不一致的，以单价金额计算结果为准。</w:t>
      </w:r>
    </w:p>
    <w:p>
      <w:pPr>
        <w:tabs>
          <w:tab w:val="left" w:pos="753"/>
        </w:tabs>
        <w:adjustRightInd w:val="0"/>
        <w:snapToGrid w:val="0"/>
        <w:spacing w:line="360" w:lineRule="auto"/>
        <w:ind w:left="1276" w:leftChars="351" w:hanging="539" w:hangingChars="257"/>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同时出现两种以上不一致的，按照前款规定的顺序修正。修正后的报价按照《政府采购货物和服务招标投标管理办法》第五十一条第二款的规定经投标人确认后产生约束力，投标人不确认的，其投标无效。</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92" w:name="_Toc341348336"/>
      <w:bookmarkStart w:id="1193" w:name="_Toc340507440"/>
      <w:bookmarkStart w:id="1194" w:name="_Toc333935344"/>
      <w:bookmarkStart w:id="1195" w:name="_Toc350756448"/>
      <w:bookmarkStart w:id="1196" w:name="_Toc339020093"/>
      <w:bookmarkStart w:id="1197" w:name="_Toc333238631"/>
      <w:bookmarkStart w:id="1198" w:name="_Toc333237675"/>
      <w:bookmarkStart w:id="1199" w:name="_Toc336681933"/>
      <w:bookmarkStart w:id="1200" w:name="_Toc336681578"/>
      <w:bookmarkStart w:id="1201" w:name="_Toc365967071"/>
      <w:bookmarkStart w:id="1202" w:name="_Toc332270344"/>
      <w:bookmarkStart w:id="1203" w:name="_Toc339020231"/>
      <w:bookmarkStart w:id="1204" w:name="_Toc349127624"/>
      <w:bookmarkStart w:id="1205" w:name="_Toc349143587"/>
      <w:bookmarkStart w:id="1206" w:name="_Toc365985177"/>
      <w:bookmarkStart w:id="1207" w:name="_Toc339020013"/>
      <w:bookmarkStart w:id="1208" w:name="_Toc350438747"/>
      <w:bookmarkStart w:id="1209" w:name="_Toc331684036"/>
      <w:bookmarkStart w:id="1210" w:name="_Toc3811"/>
      <w:bookmarkStart w:id="1211" w:name="_Toc333935685"/>
      <w:bookmarkStart w:id="1212" w:name="_Toc503785426"/>
      <w:bookmarkStart w:id="1213" w:name="_Toc374454598"/>
      <w:bookmarkStart w:id="1214" w:name="_Toc340677068"/>
      <w:bookmarkStart w:id="1215" w:name="_Toc333237786"/>
      <w:bookmarkStart w:id="1216" w:name="_Toc332206706"/>
      <w:bookmarkStart w:id="1217" w:name="_Toc340672867"/>
      <w:bookmarkStart w:id="1218" w:name="_Toc330459983"/>
      <w:bookmarkStart w:id="1219" w:name="_Toc366072526"/>
      <w:bookmarkStart w:id="1220" w:name="_Toc497224224"/>
      <w:bookmarkStart w:id="1221" w:name="_Toc345513865"/>
      <w:bookmarkStart w:id="1222" w:name="_Toc339441085"/>
      <w:bookmarkStart w:id="1223" w:name="_Toc331512896"/>
      <w:bookmarkStart w:id="1224" w:name="_Toc339019887"/>
      <w:bookmarkStart w:id="1225" w:name="_Toc342060372"/>
      <w:bookmarkStart w:id="1226" w:name="_Toc342296758"/>
      <w:bookmarkStart w:id="1227" w:name="_Toc339362298"/>
      <w:bookmarkStart w:id="1228" w:name="_Toc337632356"/>
      <w:r>
        <w:rPr>
          <w:rFonts w:hint="eastAsia"/>
          <w:color w:val="000000" w:themeColor="text1"/>
          <w:highlight w:val="none"/>
          <w14:textFill>
            <w14:solidFill>
              <w14:schemeClr w14:val="tx1"/>
            </w14:solidFill>
          </w14:textFill>
        </w:rPr>
        <w:t>询标及投标文件的澄清</w:t>
      </w:r>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为了有助于对投标文件进行审查、评估和比较，评标委员会有权向投标人质疑，请投标人澄清其投标内容。投标人有责任按照代理采购机构通知的时间、地点指派专人进行答疑和澄清。</w:t>
      </w:r>
    </w:p>
    <w:p>
      <w:pPr>
        <w:widowControl/>
        <w:tabs>
          <w:tab w:val="left" w:pos="753"/>
        </w:tabs>
        <w:adjustRightInd w:val="0"/>
        <w:snapToGrid w:val="0"/>
        <w:spacing w:line="360" w:lineRule="auto"/>
        <w:ind w:left="752" w:hanging="751" w:hangingChars="358"/>
        <w:rPr>
          <w:rFonts w:ascii="宋体"/>
          <w:color w:val="000000" w:themeColor="text1"/>
          <w:highlight w:val="none"/>
          <w14:textFill>
            <w14:solidFill>
              <w14:schemeClr w14:val="tx1"/>
            </w14:solidFill>
          </w14:textFill>
        </w:rPr>
      </w:pP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5</w:t>
      </w: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 xml:space="preserve"> </w:t>
      </w:r>
      <w:r>
        <w:rPr>
          <w:rFonts w:hint="eastAsia" w:ascii="宋体"/>
          <w:color w:val="000000" w:themeColor="text1"/>
          <w:highlight w:val="none"/>
          <w14:textFill>
            <w14:solidFill>
              <w14:schemeClr w14:val="tx1"/>
            </w14:solidFill>
          </w14:textFill>
        </w:rPr>
        <w:tab/>
      </w:r>
      <w:r>
        <w:rPr>
          <w:rFonts w:hint="eastAsia" w:ascii="宋体"/>
          <w:color w:val="000000" w:themeColor="text1"/>
          <w:highlight w:val="none"/>
          <w14:textFill>
            <w14:solidFill>
              <w14:schemeClr w14:val="tx1"/>
            </w14:solidFill>
          </w14:textFill>
        </w:rPr>
        <w:t>重要澄清的答复应是书面的，但不得对投标内容进行实质性修改。</w:t>
      </w:r>
    </w:p>
    <w:p>
      <w:pPr>
        <w:widowControl/>
        <w:tabs>
          <w:tab w:val="left" w:pos="753"/>
        </w:tabs>
        <w:adjustRightInd w:val="0"/>
        <w:snapToGrid w:val="0"/>
        <w:spacing w:line="360" w:lineRule="auto"/>
        <w:ind w:left="752" w:hanging="751" w:hangingChars="358"/>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25.3</w:t>
      </w:r>
      <w:r>
        <w:rPr>
          <w:rFonts w:hint="eastAsia"/>
          <w:color w:val="000000" w:themeColor="text1"/>
          <w:highlight w:val="none"/>
          <w14:textFill>
            <w14:solidFill>
              <w14:schemeClr w14:val="tx1"/>
            </w14:solidFill>
          </w14:textFill>
        </w:rPr>
        <w:tab/>
      </w:r>
      <w:r>
        <w:rPr>
          <w:rFonts w:hint="eastAsia" w:cs="Arial Unicode MS"/>
          <w:color w:val="000000" w:themeColor="text1"/>
          <w:highlight w:val="none"/>
          <w14:textFill>
            <w14:solidFill>
              <w14:schemeClr w14:val="tx1"/>
            </w14:solidFill>
          </w14:textFill>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229" w:name="_Toc330459984"/>
      <w:bookmarkStart w:id="1230" w:name="_Toc350756449"/>
      <w:bookmarkStart w:id="1231" w:name="_Toc332270345"/>
      <w:bookmarkStart w:id="1232" w:name="_Toc331684037"/>
      <w:bookmarkStart w:id="1233" w:name="_Toc342296759"/>
      <w:bookmarkStart w:id="1234" w:name="_Toc333238632"/>
      <w:bookmarkStart w:id="1235" w:name="_Toc350438748"/>
      <w:bookmarkStart w:id="1236" w:name="_Toc336681579"/>
      <w:bookmarkStart w:id="1237" w:name="_Toc337632357"/>
      <w:bookmarkStart w:id="1238" w:name="_Toc365967072"/>
      <w:bookmarkStart w:id="1239" w:name="_Toc339362299"/>
      <w:bookmarkStart w:id="1240" w:name="_Toc333935686"/>
      <w:bookmarkStart w:id="1241" w:name="_Toc340507441"/>
      <w:bookmarkStart w:id="1242" w:name="_Toc340677069"/>
      <w:bookmarkStart w:id="1243" w:name="_Toc341348337"/>
      <w:bookmarkStart w:id="1244" w:name="_Toc339020232"/>
      <w:bookmarkStart w:id="1245" w:name="_Toc339020094"/>
      <w:bookmarkStart w:id="1246" w:name="_Toc365985178"/>
      <w:bookmarkStart w:id="1247" w:name="_Toc366072527"/>
      <w:bookmarkStart w:id="1248" w:name="_Toc332206707"/>
      <w:bookmarkStart w:id="1249" w:name="_Toc340672868"/>
      <w:bookmarkStart w:id="1250" w:name="_Toc333237676"/>
      <w:bookmarkStart w:id="1251" w:name="_Toc333935345"/>
      <w:bookmarkStart w:id="1252" w:name="_Toc345513866"/>
      <w:bookmarkStart w:id="1253" w:name="_Toc349127625"/>
      <w:bookmarkStart w:id="1254" w:name="_Toc339020014"/>
      <w:bookmarkStart w:id="1255" w:name="_Toc339441086"/>
      <w:bookmarkStart w:id="1256" w:name="_Toc333237787"/>
      <w:bookmarkStart w:id="1257" w:name="_Toc336681934"/>
      <w:bookmarkStart w:id="1258" w:name="_Toc342060373"/>
      <w:bookmarkStart w:id="1259" w:name="_Toc374454599"/>
      <w:bookmarkStart w:id="1260" w:name="_Toc2781"/>
      <w:bookmarkStart w:id="1261" w:name="_Toc349143588"/>
      <w:bookmarkStart w:id="1262" w:name="_Toc331512897"/>
      <w:bookmarkStart w:id="1263" w:name="_Toc339019888"/>
      <w:r>
        <w:rPr>
          <w:rFonts w:hint="eastAsia"/>
          <w:color w:val="000000" w:themeColor="text1"/>
          <w:highlight w:val="none"/>
          <w14:textFill>
            <w14:solidFill>
              <w14:schemeClr w14:val="tx1"/>
            </w14:solidFill>
          </w14:textFill>
        </w:rPr>
        <w:t>评标原则</w:t>
      </w:r>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依据有关法律法规，确定评标标准和方法，维护招标采购当事人的合法权益。</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坚持公平、公正、科学和择优原则。</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实行科学评估、集体决策。</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264" w:name="_Toc336681580"/>
      <w:bookmarkStart w:id="1265" w:name="_Toc341348338"/>
      <w:bookmarkStart w:id="1266" w:name="_Toc350438749"/>
      <w:bookmarkStart w:id="1267" w:name="_Toc340507442"/>
      <w:bookmarkStart w:id="1268" w:name="_Toc340672869"/>
      <w:bookmarkStart w:id="1269" w:name="_Toc332270346"/>
      <w:bookmarkStart w:id="1270" w:name="_Toc331684038"/>
      <w:bookmarkStart w:id="1271" w:name="_Toc332206708"/>
      <w:bookmarkStart w:id="1272" w:name="_Toc333935687"/>
      <w:bookmarkStart w:id="1273" w:name="_Toc333237677"/>
      <w:bookmarkStart w:id="1274" w:name="_Toc339362300"/>
      <w:bookmarkStart w:id="1275" w:name="_Toc339441087"/>
      <w:bookmarkStart w:id="1276" w:name="_Toc350756450"/>
      <w:bookmarkStart w:id="1277" w:name="_Toc333237788"/>
      <w:bookmarkStart w:id="1278" w:name="_Toc340677070"/>
      <w:bookmarkStart w:id="1279" w:name="_Toc374454600"/>
      <w:bookmarkStart w:id="1280" w:name="_Toc333935346"/>
      <w:bookmarkStart w:id="1281" w:name="_Toc342296760"/>
      <w:bookmarkStart w:id="1282" w:name="_Toc342060374"/>
      <w:bookmarkStart w:id="1283" w:name="_Toc345513867"/>
      <w:bookmarkStart w:id="1284" w:name="_Toc365985179"/>
      <w:bookmarkStart w:id="1285" w:name="_Toc349127626"/>
      <w:bookmarkStart w:id="1286" w:name="_Toc365967073"/>
      <w:bookmarkStart w:id="1287" w:name="_Toc339020233"/>
      <w:bookmarkStart w:id="1288" w:name="_Toc366072528"/>
      <w:bookmarkStart w:id="1289" w:name="_Toc333238633"/>
      <w:bookmarkStart w:id="1290" w:name="_Toc336681935"/>
      <w:bookmarkStart w:id="1291" w:name="_Toc339020015"/>
      <w:bookmarkStart w:id="1292" w:name="_Toc349143589"/>
      <w:bookmarkStart w:id="1293" w:name="_Toc330459985"/>
      <w:bookmarkStart w:id="1294" w:name="_Toc339019889"/>
      <w:bookmarkStart w:id="1295" w:name="_Toc16522"/>
      <w:bookmarkStart w:id="1296" w:name="_Toc331512898"/>
      <w:bookmarkStart w:id="1297" w:name="_Toc339020095"/>
      <w:bookmarkStart w:id="1298" w:name="_Toc337632358"/>
      <w:r>
        <w:rPr>
          <w:rFonts w:hint="eastAsia"/>
          <w:color w:val="000000" w:themeColor="text1"/>
          <w:highlight w:val="none"/>
          <w14:textFill>
            <w14:solidFill>
              <w14:schemeClr w14:val="tx1"/>
            </w14:solidFill>
          </w14:textFill>
        </w:rPr>
        <w:t>评标标准和办法</w:t>
      </w:r>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p>
    <w:p>
      <w:pPr>
        <w:pStyle w:val="23"/>
        <w:tabs>
          <w:tab w:val="left" w:pos="753"/>
        </w:tabs>
        <w:adjustRightInd w:val="0"/>
        <w:snapToGrid w:val="0"/>
        <w:spacing w:line="360" w:lineRule="auto"/>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27.1</w:t>
      </w:r>
      <w:r>
        <w:rPr>
          <w:rFonts w:hint="eastAsia" w:hAnsi="宋体"/>
          <w:bCs/>
          <w:color w:val="000000" w:themeColor="text1"/>
          <w:highlight w:val="none"/>
          <w14:textFill>
            <w14:solidFill>
              <w14:schemeClr w14:val="tx1"/>
            </w14:solidFill>
          </w14:textFill>
        </w:rPr>
        <w:tab/>
      </w:r>
      <w:r>
        <w:rPr>
          <w:rFonts w:hint="eastAsia" w:hAnsi="宋体"/>
          <w:bCs/>
          <w:color w:val="000000" w:themeColor="text1"/>
          <w:highlight w:val="none"/>
          <w14:textFill>
            <w14:solidFill>
              <w14:schemeClr w14:val="tx1"/>
            </w14:solidFill>
          </w14:textFill>
        </w:rPr>
        <w:t xml:space="preserve">评标委员会将综合分析投标人的各项指标，而不以单项指标的优劣评选出中标单位。对所有投标人的投标评估，都采用相同的程序和标准，评标严格按照招标文件的要求和条件进行。 </w:t>
      </w:r>
    </w:p>
    <w:p>
      <w:pPr>
        <w:pStyle w:val="23"/>
        <w:widowControl/>
        <w:tabs>
          <w:tab w:val="left" w:pos="753"/>
        </w:tabs>
        <w:adjustRightInd w:val="0"/>
        <w:snapToGrid w:val="0"/>
        <w:spacing w:line="360" w:lineRule="auto"/>
        <w:ind w:left="752" w:hanging="751" w:hangingChars="358"/>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w:t>
      </w:r>
      <w:r>
        <w:rPr>
          <w:rFonts w:hAnsi="宋体"/>
          <w:bCs/>
          <w:color w:val="000000" w:themeColor="text1"/>
          <w:highlight w:val="none"/>
          <w14:textFill>
            <w14:solidFill>
              <w14:schemeClr w14:val="tx1"/>
            </w14:solidFill>
          </w14:textFill>
        </w:rPr>
        <w:t>.2</w:t>
      </w:r>
      <w:r>
        <w:rPr>
          <w:rFonts w:hint="eastAsia" w:hAnsi="宋体"/>
          <w:bCs/>
          <w:color w:val="000000" w:themeColor="text1"/>
          <w:highlight w:val="none"/>
          <w14:textFill>
            <w14:solidFill>
              <w14:schemeClr w14:val="tx1"/>
            </w14:solidFill>
          </w14:textFill>
        </w:rPr>
        <w:tab/>
      </w:r>
      <w:bookmarkStart w:id="1299" w:name="_Toc497707712"/>
      <w:bookmarkStart w:id="1300" w:name="_Toc500861023"/>
      <w:bookmarkStart w:id="1301" w:name="_Toc500953375"/>
      <w:r>
        <w:rPr>
          <w:rFonts w:hint="eastAsia" w:hAnsi="宋体"/>
          <w:bCs/>
          <w:color w:val="000000" w:themeColor="text1"/>
          <w:highlight w:val="none"/>
          <w14:textFill>
            <w14:solidFill>
              <w14:schemeClr w14:val="tx1"/>
            </w14:solidFill>
          </w14:textFill>
        </w:rPr>
        <w:t>采用计分法（综合评价法）来确定各投标人的排名。其操作程序为：</w:t>
      </w:r>
      <w:r>
        <w:rPr>
          <w:rFonts w:hint="eastAsia" w:hAnsi="宋体"/>
          <w:b/>
          <w:color w:val="000000" w:themeColor="text1"/>
          <w:highlight w:val="none"/>
          <w14:textFill>
            <w14:solidFill>
              <w14:schemeClr w14:val="tx1"/>
            </w14:solidFill>
          </w14:textFill>
        </w:rPr>
        <w:t>详见H评标细则。</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02" w:name="_Toc10786"/>
      <w:bookmarkStart w:id="1303" w:name="_Toc366072529"/>
      <w:bookmarkStart w:id="1304" w:name="_Toc327367761"/>
      <w:bookmarkStart w:id="1305" w:name="_Toc327368025"/>
      <w:bookmarkStart w:id="1306" w:name="_Toc330459986"/>
      <w:bookmarkStart w:id="1307" w:name="_Toc341348339"/>
      <w:bookmarkStart w:id="1308" w:name="_Toc332206709"/>
      <w:bookmarkStart w:id="1309" w:name="_Toc332270347"/>
      <w:bookmarkStart w:id="1310" w:name="_Toc339020234"/>
      <w:bookmarkStart w:id="1311" w:name="_Toc331512899"/>
      <w:bookmarkStart w:id="1312" w:name="_Toc339441088"/>
      <w:bookmarkStart w:id="1313" w:name="_Toc333935688"/>
      <w:bookmarkStart w:id="1314" w:name="_Toc342060375"/>
      <w:bookmarkStart w:id="1315" w:name="_Toc337632359"/>
      <w:bookmarkStart w:id="1316" w:name="_Toc340677071"/>
      <w:bookmarkStart w:id="1317" w:name="_Toc331684039"/>
      <w:bookmarkStart w:id="1318" w:name="_Toc336681936"/>
      <w:bookmarkStart w:id="1319" w:name="_Toc333935347"/>
      <w:bookmarkStart w:id="1320" w:name="_Toc345513902"/>
      <w:bookmarkStart w:id="1321" w:name="_Toc339020096"/>
      <w:bookmarkStart w:id="1322" w:name="_Toc342296761"/>
      <w:bookmarkStart w:id="1323" w:name="_Toc339362301"/>
      <w:bookmarkStart w:id="1324" w:name="_Toc339020016"/>
      <w:bookmarkStart w:id="1325" w:name="_Toc333238634"/>
      <w:bookmarkStart w:id="1326" w:name="_Toc336681581"/>
      <w:bookmarkStart w:id="1327" w:name="_Toc340507443"/>
      <w:bookmarkStart w:id="1328" w:name="_Toc339019890"/>
      <w:bookmarkStart w:id="1329" w:name="_Toc333237789"/>
      <w:bookmarkStart w:id="1330" w:name="_Toc333237678"/>
      <w:bookmarkStart w:id="1331" w:name="_Toc340672870"/>
      <w:r>
        <w:rPr>
          <w:rFonts w:hint="eastAsia"/>
          <w:color w:val="000000" w:themeColor="text1"/>
          <w:highlight w:val="none"/>
          <w14:textFill>
            <w14:solidFill>
              <w14:schemeClr w14:val="tx1"/>
            </w14:solidFill>
          </w14:textFill>
        </w:rPr>
        <w:t>评标注意事项</w:t>
      </w:r>
      <w:bookmarkEnd w:id="1302"/>
      <w:bookmarkEnd w:id="1303"/>
      <w:bookmarkEnd w:id="1304"/>
      <w:bookmarkEnd w:id="1305"/>
    </w:p>
    <w:bookmarkEnd w:id="35"/>
    <w:bookmarkEnd w:id="1299"/>
    <w:bookmarkEnd w:id="1300"/>
    <w:bookmarkEnd w:id="1301"/>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bookmarkStart w:id="1332" w:name="_Toc6397151"/>
      <w:bookmarkStart w:id="1333" w:name="_Toc500861027"/>
      <w:bookmarkStart w:id="1334" w:name="_Toc491658680"/>
      <w:bookmarkStart w:id="1335" w:name="_Toc6727972"/>
      <w:bookmarkStart w:id="1336" w:name="_Toc26066260"/>
      <w:r>
        <w:rPr>
          <w:rFonts w:hint="eastAsia" w:ascii="宋体" w:hAnsi="宋体"/>
          <w:bCs/>
          <w:color w:val="000000" w:themeColor="text1"/>
          <w:highlight w:val="none"/>
          <w14:textFill>
            <w14:solidFill>
              <w14:schemeClr w14:val="tx1"/>
            </w14:solidFill>
          </w14:textFill>
        </w:rPr>
        <w:t>28.1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评标是招标工作的重要环节，评标工作在评标委员会内独立进行。评标委员会将公正、平等地对待所有投标人。</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28.2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在开标、评标期间，投标人不得向评委询问评标情况，不得进行旨在影响评标结果的活动。</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在招标工作结束后，评标委员会成员和参与评标的有关工作人员不得透露与评标有关的情况。</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37" w:name="_Toc374454602"/>
      <w:bookmarkStart w:id="1338" w:name="_Toc332206710"/>
      <w:bookmarkStart w:id="1339" w:name="_Toc349143591"/>
      <w:bookmarkStart w:id="1340" w:name="_Toc333237679"/>
      <w:bookmarkStart w:id="1341" w:name="_Toc339020017"/>
      <w:bookmarkStart w:id="1342" w:name="_Toc341348340"/>
      <w:bookmarkStart w:id="1343" w:name="_Toc333935348"/>
      <w:bookmarkStart w:id="1344" w:name="_Toc340677072"/>
      <w:bookmarkStart w:id="1345" w:name="_Toc332270348"/>
      <w:bookmarkStart w:id="1346" w:name="_Toc340507444"/>
      <w:bookmarkStart w:id="1347" w:name="_Toc337632360"/>
      <w:bookmarkStart w:id="1348" w:name="_Toc366072530"/>
      <w:bookmarkStart w:id="1349" w:name="_Toc339441089"/>
      <w:bookmarkStart w:id="1350" w:name="_Toc342060376"/>
      <w:bookmarkStart w:id="1351" w:name="_Toc340672871"/>
      <w:bookmarkStart w:id="1352" w:name="_Toc331684040"/>
      <w:bookmarkStart w:id="1353" w:name="_Toc345513903"/>
      <w:bookmarkStart w:id="1354" w:name="_Toc339019891"/>
      <w:bookmarkStart w:id="1355" w:name="_Toc333238635"/>
      <w:bookmarkStart w:id="1356" w:name="_Toc30510"/>
      <w:bookmarkStart w:id="1357" w:name="_Toc336681937"/>
      <w:bookmarkStart w:id="1358" w:name="_Toc339020097"/>
      <w:bookmarkStart w:id="1359" w:name="_Toc336681582"/>
      <w:bookmarkStart w:id="1360" w:name="_Toc350438751"/>
      <w:bookmarkStart w:id="1361" w:name="_Toc333237790"/>
      <w:bookmarkStart w:id="1362" w:name="_Toc330459987"/>
      <w:bookmarkStart w:id="1363" w:name="_Toc365967074"/>
      <w:bookmarkStart w:id="1364" w:name="_Toc333935689"/>
      <w:bookmarkStart w:id="1365" w:name="_Toc342296762"/>
      <w:bookmarkStart w:id="1366" w:name="_Toc339362302"/>
      <w:bookmarkStart w:id="1367" w:name="_Toc349127628"/>
      <w:bookmarkStart w:id="1368" w:name="_Toc331512900"/>
      <w:bookmarkStart w:id="1369" w:name="_Toc339020235"/>
      <w:bookmarkStart w:id="1370" w:name="_Toc350756452"/>
      <w:bookmarkStart w:id="1371" w:name="_Toc365985180"/>
      <w:r>
        <w:rPr>
          <w:rFonts w:hint="eastAsia"/>
          <w:color w:val="000000" w:themeColor="text1"/>
          <w:highlight w:val="none"/>
          <w14:textFill>
            <w14:solidFill>
              <w14:schemeClr w14:val="tx1"/>
            </w14:solidFill>
          </w14:textFill>
        </w:rPr>
        <w:t>接受和拒绝投标的权利</w:t>
      </w:r>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评标委员会经评审认为所有投标都不符合招标文件要求的，或所有投标报价均超过预算价且采购人无法支付的，有权否决所有投标。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代理采购机构将重新组织招标或采用政府采购管理部门依法批准的其他政府采购方式进行采购。</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72" w:name="_Toc13695"/>
      <w:bookmarkStart w:id="1373" w:name="_Toc366072531"/>
      <w:bookmarkStart w:id="1374" w:name="_Toc374454603"/>
      <w:r>
        <w:rPr>
          <w:rFonts w:hint="eastAsia"/>
          <w:color w:val="000000" w:themeColor="text1"/>
          <w:highlight w:val="none"/>
          <w14:textFill>
            <w14:solidFill>
              <w14:schemeClr w14:val="tx1"/>
            </w14:solidFill>
          </w14:textFill>
        </w:rPr>
        <w:t>发布中标结果公告和发放中标通知书</w:t>
      </w:r>
      <w:bookmarkEnd w:id="1372"/>
      <w:bookmarkEnd w:id="1373"/>
      <w:bookmarkEnd w:id="1374"/>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75" w:name="_Toc366072532"/>
      <w:r>
        <w:rPr>
          <w:rFonts w:hint="eastAsia" w:ascii="宋体" w:hAnsi="宋体"/>
          <w:color w:val="000000" w:themeColor="text1"/>
          <w:szCs w:val="21"/>
          <w:highlight w:val="none"/>
          <w14:textFill>
            <w14:solidFill>
              <w14:schemeClr w14:val="tx1"/>
            </w14:solidFill>
          </w14:textFill>
        </w:rPr>
        <w:t>30.1   采购人或其授权的评标委员会应按照评标报告中推荐的中标候选投标人排名顺序确定中标投标人。</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30.2   中标投标人确认后，中标结果将于指定媒体上公告(</w:t>
      </w:r>
      <w:r>
        <w:rPr>
          <w:rFonts w:hint="eastAsia" w:ascii="黑体" w:eastAsia="黑体"/>
          <w:bCs/>
          <w:color w:val="000000" w:themeColor="text1"/>
          <w:highlight w:val="none"/>
          <w14:textFill>
            <w14:solidFill>
              <w14:schemeClr w14:val="tx1"/>
            </w14:solidFill>
          </w14:textFill>
        </w:rPr>
        <w:t>详见第三部份《投标人须知〈投标人须知前附表〉》</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。发布中标结果公告的同时，代理采购机构向中标投标人发出中标通知书。</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   未中标投标人，代理采购机构不再以其它方式另行通知。</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30.4   中标通知书发出后，采购人改变中标结果，或者中标投标人放弃中标，应当承担相应的法律责任。</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76" w:name="_Toc353"/>
      <w:bookmarkStart w:id="1377" w:name="_Toc374454604"/>
      <w:r>
        <w:rPr>
          <w:rFonts w:hint="eastAsia"/>
          <w:color w:val="000000" w:themeColor="text1"/>
          <w:highlight w:val="none"/>
          <w14:textFill>
            <w14:solidFill>
              <w14:schemeClr w14:val="tx1"/>
            </w14:solidFill>
          </w14:textFill>
        </w:rPr>
        <w:t>投标人对中标结果的质疑、投诉</w:t>
      </w:r>
      <w:bookmarkEnd w:id="1375"/>
      <w:bookmarkEnd w:id="1376"/>
      <w:bookmarkEnd w:id="1377"/>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78" w:name="_Toc365985183"/>
      <w:bookmarkStart w:id="1379" w:name="_Toc350756455"/>
      <w:bookmarkStart w:id="1380" w:name="_Toc333935351"/>
      <w:bookmarkStart w:id="1381" w:name="_Toc331512903"/>
      <w:bookmarkStart w:id="1382" w:name="_Toc365967077"/>
      <w:bookmarkStart w:id="1383" w:name="_Toc332270351"/>
      <w:bookmarkStart w:id="1384" w:name="_Toc349143594"/>
      <w:bookmarkStart w:id="1385" w:name="_Toc332206713"/>
      <w:bookmarkStart w:id="1386" w:name="_Toc340677075"/>
      <w:bookmarkStart w:id="1387" w:name="_Toc336681585"/>
      <w:bookmarkStart w:id="1388" w:name="_Toc349127631"/>
      <w:bookmarkStart w:id="1389" w:name="_Toc333935692"/>
      <w:bookmarkStart w:id="1390" w:name="_Toc345513906"/>
      <w:bookmarkStart w:id="1391" w:name="_Toc333237682"/>
      <w:bookmarkStart w:id="1392" w:name="_Toc339362305"/>
      <w:bookmarkStart w:id="1393" w:name="_Toc340507447"/>
      <w:bookmarkStart w:id="1394" w:name="_Toc330459990"/>
      <w:bookmarkStart w:id="1395" w:name="_Toc342060379"/>
      <w:bookmarkStart w:id="1396" w:name="_Toc333237793"/>
      <w:bookmarkStart w:id="1397" w:name="_Toc350438754"/>
      <w:bookmarkStart w:id="1398" w:name="_Toc342296765"/>
      <w:bookmarkStart w:id="1399" w:name="_Toc336681940"/>
      <w:bookmarkStart w:id="1400" w:name="_Toc340672874"/>
      <w:bookmarkStart w:id="1401" w:name="_Toc339019894"/>
      <w:bookmarkStart w:id="1402" w:name="_Toc337632363"/>
      <w:bookmarkStart w:id="1403" w:name="_Toc339020020"/>
      <w:bookmarkStart w:id="1404" w:name="_Toc339441092"/>
      <w:bookmarkStart w:id="1405" w:name="_Toc339020100"/>
      <w:bookmarkStart w:id="1406" w:name="_Toc341348343"/>
      <w:bookmarkStart w:id="1407" w:name="_Toc333238638"/>
      <w:bookmarkStart w:id="1408" w:name="_Toc331684043"/>
      <w:bookmarkStart w:id="1409" w:name="_Toc339020238"/>
      <w:r>
        <w:rPr>
          <w:rFonts w:hint="eastAsia" w:ascii="宋体" w:hAnsi="宋体"/>
          <w:color w:val="000000" w:themeColor="text1"/>
          <w:szCs w:val="21"/>
          <w:highlight w:val="none"/>
          <w14:textFill>
            <w14:solidFill>
              <w14:schemeClr w14:val="tx1"/>
            </w14:solidFill>
          </w14:textFill>
        </w:rPr>
        <w:t>31.1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投标人对中标公告有异议的，应当在中标结果公告发布之日起七个工作日内，以书面形式向采购人或代理采购机构提出质疑。</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采购人或代理采购机构应当在收到</w:t>
      </w:r>
      <w:r>
        <w:rPr>
          <w:rFonts w:hint="eastAsia" w:ascii="宋体" w:hAnsi="宋体"/>
          <w:color w:val="000000" w:themeColor="text1"/>
          <w:szCs w:val="21"/>
          <w:highlight w:val="none"/>
          <w:lang w:eastAsia="zh-CN"/>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人书面质疑后七个工作日内，对质疑内容作出答复。</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31.3   投标人对采购人或代理采购机构的答复不满意或者采购人、代理采购机构未在规定时间内答复的，可以在答复期满后十五个工作日内按有关规定，向同级人民政府财政部门投诉。</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   财政部门应当在收到投诉后三十个工作日内，对投诉事项作出处理决定。</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31.5   投标人须对质疑或投诉内容的真实性承担责任。</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   质疑函应当署名。质疑投标人为自然人的，应当由本人签字；质疑投标人为法人或其他组织的，应由法定代表人（负责人）或者主要负责人签字并盖公章。</w:t>
      </w:r>
    </w:p>
    <w:p>
      <w:pPr>
        <w:pStyle w:val="4"/>
        <w:numPr>
          <w:ilvl w:val="0"/>
          <w:numId w:val="0"/>
        </w:numPr>
        <w:rPr>
          <w:color w:val="000000" w:themeColor="text1"/>
          <w:sz w:val="24"/>
          <w:highlight w:val="none"/>
          <w14:textFill>
            <w14:solidFill>
              <w14:schemeClr w14:val="tx1"/>
            </w14:solidFill>
          </w14:textFill>
        </w:rPr>
      </w:pPr>
      <w:bookmarkStart w:id="1410" w:name="_Toc366072533"/>
      <w:bookmarkStart w:id="1411" w:name="_Toc374454605"/>
      <w:r>
        <w:rPr>
          <w:color w:val="000000" w:themeColor="text1"/>
          <w:sz w:val="24"/>
          <w:highlight w:val="none"/>
          <w14:textFill>
            <w14:solidFill>
              <w14:schemeClr w14:val="tx1"/>
            </w14:solidFill>
          </w14:textFill>
        </w:rPr>
        <w:br w:type="page"/>
      </w:r>
      <w:bookmarkStart w:id="1412" w:name="_Toc25519"/>
      <w:r>
        <w:rPr>
          <w:rFonts w:hint="eastAsia"/>
          <w:color w:val="000000" w:themeColor="text1"/>
          <w:sz w:val="24"/>
          <w:highlight w:val="none"/>
          <w14:textFill>
            <w14:solidFill>
              <w14:schemeClr w14:val="tx1"/>
            </w14:solidFill>
          </w14:textFill>
        </w:rPr>
        <w:t>Ｆ  授予合同</w:t>
      </w:r>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413" w:name="_Toc337632364"/>
      <w:bookmarkStart w:id="1414" w:name="_Toc340677076"/>
      <w:bookmarkStart w:id="1415" w:name="_Toc336681586"/>
      <w:bookmarkStart w:id="1416" w:name="_Toc468606048"/>
      <w:bookmarkStart w:id="1417" w:name="_Toc333935693"/>
      <w:bookmarkStart w:id="1418" w:name="_Toc350438755"/>
      <w:bookmarkStart w:id="1419" w:name="_Toc479991601"/>
      <w:bookmarkStart w:id="1420" w:name="_Toc342060380"/>
      <w:bookmarkStart w:id="1421" w:name="_Toc480010727"/>
      <w:bookmarkStart w:id="1422" w:name="_Toc331684044"/>
      <w:bookmarkStart w:id="1423" w:name="_Toc480021072"/>
      <w:bookmarkStart w:id="1424" w:name="_Toc491658670"/>
      <w:bookmarkStart w:id="1425" w:name="_Toc332270352"/>
      <w:bookmarkStart w:id="1426" w:name="_Toc339020101"/>
      <w:bookmarkStart w:id="1427" w:name="_Toc333237683"/>
      <w:bookmarkStart w:id="1428" w:name="_Toc340507448"/>
      <w:bookmarkStart w:id="1429" w:name="_Toc339019895"/>
      <w:bookmarkStart w:id="1430" w:name="_Toc333935352"/>
      <w:bookmarkStart w:id="1431" w:name="_Toc339020239"/>
      <w:bookmarkStart w:id="1432" w:name="_Toc333237794"/>
      <w:bookmarkStart w:id="1433" w:name="_Toc365985184"/>
      <w:bookmarkStart w:id="1434" w:name="_Toc480020276"/>
      <w:bookmarkStart w:id="1435" w:name="_Toc340672875"/>
      <w:bookmarkStart w:id="1436" w:name="_Toc339362306"/>
      <w:bookmarkStart w:id="1437" w:name="_Toc467236759"/>
      <w:bookmarkStart w:id="1438" w:name="_Toc350756456"/>
      <w:bookmarkStart w:id="1439" w:name="_Toc365967078"/>
      <w:bookmarkStart w:id="1440" w:name="_Toc330459991"/>
      <w:bookmarkStart w:id="1441" w:name="_Toc500861016"/>
      <w:bookmarkStart w:id="1442" w:name="_Toc467987842"/>
      <w:bookmarkStart w:id="1443" w:name="_Toc468157555"/>
      <w:bookmarkStart w:id="1444" w:name="_Toc366072534"/>
      <w:bookmarkStart w:id="1445" w:name="_Toc349127632"/>
      <w:bookmarkStart w:id="1446" w:name="_Toc341348344"/>
      <w:bookmarkStart w:id="1447" w:name="_Toc339020021"/>
      <w:bookmarkStart w:id="1448" w:name="_Toc339441093"/>
      <w:bookmarkStart w:id="1449" w:name="_Toc7064"/>
      <w:bookmarkStart w:id="1450" w:name="_Toc333238639"/>
      <w:bookmarkStart w:id="1451" w:name="_Toc331512904"/>
      <w:bookmarkStart w:id="1452" w:name="_Toc332206714"/>
      <w:bookmarkStart w:id="1453" w:name="_Toc336681941"/>
      <w:bookmarkStart w:id="1454" w:name="_Toc345513907"/>
      <w:bookmarkStart w:id="1455" w:name="_Toc374454606"/>
      <w:bookmarkStart w:id="1456" w:name="_Toc349143595"/>
      <w:bookmarkStart w:id="1457" w:name="_Toc342296766"/>
      <w:bookmarkStart w:id="1458" w:name="_Toc458262633"/>
      <w:bookmarkStart w:id="1459" w:name="_Toc454701400"/>
      <w:r>
        <w:rPr>
          <w:rFonts w:hint="eastAsia"/>
          <w:color w:val="000000" w:themeColor="text1"/>
          <w:highlight w:val="none"/>
          <w14:textFill>
            <w14:solidFill>
              <w14:schemeClr w14:val="tx1"/>
            </w14:solidFill>
          </w14:textFill>
        </w:rPr>
        <w:t>合同授予标准</w:t>
      </w:r>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p>
    <w:p>
      <w:pPr>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按第30条规定，采购人将把合同授予此次招标的中标投标人。</w:t>
      </w:r>
    </w:p>
    <w:bookmarkEnd w:id="1458"/>
    <w:bookmarkEnd w:id="1459"/>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460" w:name="_Toc458262635"/>
      <w:bookmarkStart w:id="1461" w:name="_Toc333237795"/>
      <w:bookmarkStart w:id="1462" w:name="_Toc330459992"/>
      <w:bookmarkStart w:id="1463" w:name="_Toc349143596"/>
      <w:bookmarkStart w:id="1464" w:name="_Toc340677077"/>
      <w:bookmarkStart w:id="1465" w:name="_Toc340507449"/>
      <w:bookmarkStart w:id="1466" w:name="_Toc468606052"/>
      <w:bookmarkStart w:id="1467" w:name="_Toc339020102"/>
      <w:bookmarkStart w:id="1468" w:name="_Toc339441094"/>
      <w:bookmarkStart w:id="1469" w:name="_Toc345513908"/>
      <w:bookmarkStart w:id="1470" w:name="_Toc333935353"/>
      <w:bookmarkStart w:id="1471" w:name="_Toc366072535"/>
      <w:bookmarkStart w:id="1472" w:name="_Toc480020280"/>
      <w:bookmarkStart w:id="1473" w:name="_Toc333237684"/>
      <w:bookmarkStart w:id="1474" w:name="_Toc342296767"/>
      <w:bookmarkStart w:id="1475" w:name="_Toc349127633"/>
      <w:bookmarkStart w:id="1476" w:name="_Toc500861020"/>
      <w:bookmarkStart w:id="1477" w:name="_Toc332270353"/>
      <w:bookmarkStart w:id="1478" w:name="_Toc491658674"/>
      <w:bookmarkStart w:id="1479" w:name="_Toc331684045"/>
      <w:bookmarkStart w:id="1480" w:name="_Toc467987846"/>
      <w:bookmarkStart w:id="1481" w:name="_Toc332206715"/>
      <w:bookmarkStart w:id="1482" w:name="_Toc337632365"/>
      <w:bookmarkStart w:id="1483" w:name="_Toc339020240"/>
      <w:bookmarkStart w:id="1484" w:name="_Toc480021076"/>
      <w:bookmarkStart w:id="1485" w:name="_Toc333935694"/>
      <w:bookmarkStart w:id="1486" w:name="_Toc480010731"/>
      <w:bookmarkStart w:id="1487" w:name="_Toc341348345"/>
      <w:bookmarkStart w:id="1488" w:name="_Toc331512905"/>
      <w:bookmarkStart w:id="1489" w:name="_Toc454701402"/>
      <w:bookmarkStart w:id="1490" w:name="_Toc342060381"/>
      <w:bookmarkStart w:id="1491" w:name="_Toc365967079"/>
      <w:bookmarkStart w:id="1492" w:name="_Toc479991605"/>
      <w:bookmarkStart w:id="1493" w:name="_Toc350756457"/>
      <w:bookmarkStart w:id="1494" w:name="_Toc340672876"/>
      <w:bookmarkStart w:id="1495" w:name="_Toc1363"/>
      <w:bookmarkStart w:id="1496" w:name="_Toc374454607"/>
      <w:bookmarkStart w:id="1497" w:name="_Toc339020022"/>
      <w:bookmarkStart w:id="1498" w:name="_Toc336681942"/>
      <w:bookmarkStart w:id="1499" w:name="_Toc365985185"/>
      <w:bookmarkStart w:id="1500" w:name="_Toc339019896"/>
      <w:bookmarkStart w:id="1501" w:name="_Toc468157559"/>
      <w:bookmarkStart w:id="1502" w:name="_Toc336681587"/>
      <w:bookmarkStart w:id="1503" w:name="_Toc350438756"/>
      <w:bookmarkStart w:id="1504" w:name="_Toc333238640"/>
      <w:bookmarkStart w:id="1505" w:name="_Toc467236763"/>
      <w:bookmarkStart w:id="1506" w:name="_Toc339362307"/>
      <w:r>
        <w:rPr>
          <w:rFonts w:hint="eastAsia"/>
          <w:color w:val="000000" w:themeColor="text1"/>
          <w:highlight w:val="none"/>
          <w14:textFill>
            <w14:solidFill>
              <w14:schemeClr w14:val="tx1"/>
            </w14:solidFill>
          </w14:textFill>
        </w:rPr>
        <w:t>签订合同</w:t>
      </w:r>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bookmarkStart w:id="1507" w:name="_Toc366681897"/>
      <w:bookmarkStart w:id="1508" w:name="_Toc370983962"/>
      <w:bookmarkStart w:id="1509" w:name="_Toc370309169"/>
      <w:bookmarkStart w:id="1510" w:name="_Toc367095382"/>
      <w:bookmarkStart w:id="1511" w:name="_Toc374454608"/>
      <w:bookmarkStart w:id="1512" w:name="_Toc366072536"/>
      <w:bookmarkStart w:id="1513" w:name="_Toc374093632"/>
      <w:bookmarkStart w:id="1514" w:name="_Toc383069738"/>
      <w:bookmarkStart w:id="1515" w:name="_Toc379896705"/>
      <w:bookmarkStart w:id="1516" w:name="_Toc372209289"/>
      <w:bookmarkStart w:id="1517" w:name="_Toc377129068"/>
      <w:bookmarkStart w:id="1518" w:name="_Toc369700990"/>
      <w:bookmarkStart w:id="1519" w:name="_Toc378261823"/>
      <w:bookmarkStart w:id="1520" w:name="_Toc373401413"/>
      <w:bookmarkStart w:id="1521" w:name="_Toc332270354"/>
      <w:bookmarkStart w:id="1522" w:name="_Toc339020103"/>
      <w:bookmarkStart w:id="1523" w:name="_Toc339020241"/>
      <w:bookmarkStart w:id="1524" w:name="_Toc332206716"/>
      <w:bookmarkStart w:id="1525" w:name="_Toc342296768"/>
      <w:bookmarkStart w:id="1526" w:name="_Toc333935354"/>
      <w:bookmarkStart w:id="1527" w:name="_Toc340677078"/>
      <w:bookmarkStart w:id="1528" w:name="_Toc339020023"/>
      <w:bookmarkStart w:id="1529" w:name="_Toc350756458"/>
      <w:bookmarkStart w:id="1530" w:name="_Toc337632366"/>
      <w:bookmarkStart w:id="1531" w:name="_Toc341348346"/>
      <w:bookmarkStart w:id="1532" w:name="_Toc333237685"/>
      <w:bookmarkStart w:id="1533" w:name="_Toc345513909"/>
      <w:bookmarkStart w:id="1534" w:name="_Toc365985186"/>
      <w:bookmarkStart w:id="1535" w:name="_Toc340507450"/>
      <w:bookmarkStart w:id="1536" w:name="_Toc339441095"/>
      <w:bookmarkStart w:id="1537" w:name="_Toc349143597"/>
      <w:bookmarkStart w:id="1538" w:name="_Toc340672877"/>
      <w:bookmarkStart w:id="1539" w:name="_Toc331684046"/>
      <w:bookmarkStart w:id="1540" w:name="_Toc330459993"/>
      <w:bookmarkStart w:id="1541" w:name="_Toc333935695"/>
      <w:bookmarkStart w:id="1542" w:name="_Toc349127634"/>
      <w:bookmarkStart w:id="1543" w:name="_Toc339362308"/>
      <w:bookmarkStart w:id="1544" w:name="_Toc336681943"/>
      <w:bookmarkStart w:id="1545" w:name="_Toc339019897"/>
      <w:bookmarkStart w:id="1546" w:name="_Toc365967080"/>
      <w:bookmarkStart w:id="1547" w:name="_Toc333237796"/>
      <w:bookmarkStart w:id="1548" w:name="_Toc333238641"/>
      <w:bookmarkStart w:id="1549" w:name="_Toc336681588"/>
      <w:bookmarkStart w:id="1550" w:name="_Toc350438757"/>
      <w:bookmarkStart w:id="1551" w:name="_Toc342060382"/>
      <w:bookmarkStart w:id="1552" w:name="_Toc331512906"/>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采购人应当自采购合同签订之日起七个工作日内，按照有关规定将采购合同副本报同级人民政府财政部门和代理采购机构备案。</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 xml:space="preserve">33.3   </w:t>
      </w:r>
      <w:r>
        <w:rPr>
          <w:rFonts w:ascii="宋体" w:hAnsi="宋体"/>
          <w:bCs/>
          <w:color w:val="000000" w:themeColor="text1"/>
          <w:highlight w:val="none"/>
          <w14:textFill>
            <w14:solidFill>
              <w14:schemeClr w14:val="tx1"/>
            </w14:solidFill>
          </w14:textFill>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14:textFill>
            <w14:solidFill>
              <w14:schemeClr w14:val="tx1"/>
            </w14:solidFill>
          </w14:textFill>
        </w:rPr>
        <w:t>。</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p>
      <w:pPr>
        <w:pStyle w:val="4"/>
        <w:numPr>
          <w:ilvl w:val="0"/>
          <w:numId w:val="0"/>
        </w:numPr>
        <w:rPr>
          <w:color w:val="000000" w:themeColor="text1"/>
          <w:sz w:val="24"/>
          <w:highlight w:val="none"/>
          <w14:textFill>
            <w14:solidFill>
              <w14:schemeClr w14:val="tx1"/>
            </w14:solidFill>
          </w14:textFill>
        </w:rPr>
      </w:pPr>
      <w:bookmarkStart w:id="1553" w:name="_Toc432682726"/>
      <w:bookmarkStart w:id="1554" w:name="_Toc430771059"/>
      <w:bookmarkStart w:id="1555" w:name="_Toc18922"/>
      <w:bookmarkStart w:id="1556" w:name="_Toc468157562"/>
      <w:bookmarkStart w:id="1557" w:name="_Toc467236766"/>
      <w:bookmarkStart w:id="1558" w:name="_Toc468606055"/>
      <w:bookmarkStart w:id="1559" w:name="_Toc500861024"/>
      <w:bookmarkStart w:id="1560" w:name="_Toc480021079"/>
      <w:bookmarkStart w:id="1561" w:name="_Toc479991608"/>
      <w:bookmarkStart w:id="1562" w:name="_Toc491658677"/>
      <w:bookmarkStart w:id="1563" w:name="_Toc480020283"/>
      <w:bookmarkStart w:id="1564" w:name="_Toc467987849"/>
      <w:bookmarkStart w:id="1565" w:name="_Toc480010734"/>
      <w:r>
        <w:rPr>
          <w:color w:val="000000" w:themeColor="text1"/>
          <w:sz w:val="24"/>
          <w:highlight w:val="none"/>
          <w14:textFill>
            <w14:solidFill>
              <w14:schemeClr w14:val="tx1"/>
            </w14:solidFill>
          </w14:textFill>
        </w:rPr>
        <w:t>G</w:t>
      </w:r>
      <w:r>
        <w:rPr>
          <w:rFonts w:hint="eastAsia"/>
          <w:color w:val="000000" w:themeColor="text1"/>
          <w:sz w:val="24"/>
          <w:highlight w:val="none"/>
          <w14:textFill>
            <w14:solidFill>
              <w14:schemeClr w14:val="tx1"/>
            </w14:solidFill>
          </w14:textFill>
        </w:rPr>
        <w:t>、政府采购政策</w:t>
      </w:r>
      <w:bookmarkEnd w:id="1553"/>
      <w:bookmarkEnd w:id="1554"/>
      <w:bookmarkEnd w:id="1555"/>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66" w:name="_Toc430185803"/>
      <w:bookmarkStart w:id="1567" w:name="_Toc430771060"/>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 xml:space="preserve">     </w:t>
      </w:r>
      <w:bookmarkStart w:id="1568" w:name="_Hlk499217741"/>
      <w:r>
        <w:rPr>
          <w:rFonts w:hint="eastAsia" w:ascii="宋体" w:hAnsi="宋体" w:eastAsia="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1566"/>
      <w:bookmarkEnd w:id="1567"/>
      <w:bookmarkEnd w:id="1568"/>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69" w:name="_Toc430185804"/>
      <w:bookmarkStart w:id="1570" w:name="_Toc430771061"/>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69"/>
      <w:bookmarkEnd w:id="1570"/>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1" w:name="_Toc430185805"/>
      <w:bookmarkStart w:id="1572" w:name="_Toc430771062"/>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http://www.ccgp.gov.cn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/）、国家环境保护总局网（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http://www.sepa.gov.cn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/）、中国绿色采购网（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"http://www.cgpn.cn"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http://www.cgpn.cn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/）上发布。</w:t>
      </w:r>
      <w:bookmarkEnd w:id="1571"/>
      <w:bookmarkEnd w:id="1572"/>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3" w:name="_Toc430185806"/>
      <w:bookmarkStart w:id="1574" w:name="_Toc430771063"/>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t xml:space="preserve">     根据《关于印发《政府采购促进中小企业发展管理方法》的通知》（财库[2020]46号）的规定，投标人投标时需注意：</w:t>
      </w:r>
      <w:bookmarkEnd w:id="1573"/>
      <w:bookmarkEnd w:id="1574"/>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lang w:val="en-US" w:eastAsia="zh-CN"/>
          <w14:textFill>
            <w14:solidFill>
              <w14:schemeClr w14:val="tx1"/>
            </w14:solidFill>
          </w14:textFill>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3</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7</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14:textFill>
            <w14:solidFill>
              <w14:schemeClr w14:val="tx1"/>
            </w14:solidFill>
          </w14:textFill>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p>
    <w:tbl>
      <w:tblPr>
        <w:tblStyle w:val="46"/>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对联合体总金额扣除</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w:t>
            </w:r>
            <w:r>
              <w:rPr>
                <w:rFonts w:hint="eastAsia" w:ascii="宋体" w:hAnsi="宋体" w:eastAsia="宋体" w:cs="宋体"/>
                <w:color w:val="000000" w:themeColor="text1"/>
                <w:szCs w:val="21"/>
                <w:highlight w:val="none"/>
                <w:u w:val="single"/>
                <w14:textFill>
                  <w14:solidFill>
                    <w14:schemeClr w14:val="tx1"/>
                  </w14:solidFill>
                </w14:textFill>
              </w:rPr>
              <w:t>1-</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w:t>
            </w:r>
          </w:p>
        </w:tc>
      </w:tr>
    </w:tbl>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pStyle w:val="4"/>
        <w:numPr>
          <w:ilvl w:val="0"/>
          <w:numId w:val="0"/>
        </w:numPr>
        <w:rPr>
          <w:color w:val="000000" w:themeColor="text1"/>
          <w:sz w:val="24"/>
          <w:highlight w:val="none"/>
          <w14:textFill>
            <w14:solidFill>
              <w14:schemeClr w14:val="tx1"/>
            </w14:solidFill>
          </w14:textFill>
        </w:rPr>
      </w:pPr>
      <w:bookmarkStart w:id="1575" w:name="_Toc5180"/>
      <w:r>
        <w:rPr>
          <w:rFonts w:hint="eastAsia"/>
          <w:color w:val="000000" w:themeColor="text1"/>
          <w:sz w:val="24"/>
          <w:highlight w:val="none"/>
          <w14:textFill>
            <w14:solidFill>
              <w14:schemeClr w14:val="tx1"/>
            </w14:solidFill>
          </w14:textFill>
        </w:rPr>
        <w:t>H、评标细则</w:t>
      </w:r>
      <w:bookmarkEnd w:id="1575"/>
    </w:p>
    <w:p>
      <w:pPr>
        <w:pStyle w:val="23"/>
        <w:widowControl/>
        <w:tabs>
          <w:tab w:val="left" w:pos="753"/>
        </w:tabs>
        <w:adjustRightInd w:val="0"/>
        <w:snapToGrid w:val="0"/>
        <w:spacing w:line="360" w:lineRule="auto"/>
        <w:ind w:left="752" w:hanging="751" w:hangingChars="358"/>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采用计分法（综合评价法）来确定各投标人的排名。其操作程序为：</w:t>
      </w:r>
    </w:p>
    <w:p>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根据招标文件和评标原则，按下表（评价指标和权重表）所列评价指标和各评价指标的权重进行评标。</w:t>
      </w:r>
    </w:p>
    <w:p>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color w:val="000000" w:themeColor="text1"/>
          <w:sz w:val="21"/>
          <w:highlight w:val="none"/>
          <w14:textFill>
            <w14:solidFill>
              <w14:schemeClr w14:val="tx1"/>
            </w14:solidFill>
          </w14:textFill>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14:textFill>
            <w14:solidFill>
              <w14:schemeClr w14:val="tx1"/>
            </w14:solidFill>
          </w14:textFill>
        </w:rPr>
        <w:t>经济价格标得分＝(评标基准价/投标报价)×价格指标权重×100。</w:t>
      </w:r>
    </w:p>
    <w:p>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由评委独立地根据各项指标的评价标准，结合每个投标人的实际情况，分别就投标报价以外的各项指标对每个投标人独立打分。</w:t>
      </w:r>
    </w:p>
    <w:p>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技术部分和商务部分得分结果为全部评委评价指标评分的算术平均值。</w:t>
      </w:r>
    </w:p>
    <w:p>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将所有评价指标所得实际评价分数相加，即为该投标人的综合得分。</w:t>
      </w:r>
    </w:p>
    <w:p>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评标委员会将推荐综合得分最高的投标人为该项目的中标候选人。</w:t>
      </w: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评价指标及权重：</w:t>
      </w:r>
    </w:p>
    <w:p>
      <w:pPr>
        <w:rPr>
          <w:color w:val="000000" w:themeColor="text1"/>
          <w:highlight w:val="none"/>
          <w14:textFill>
            <w14:solidFill>
              <w14:schemeClr w14:val="tx1"/>
            </w14:solidFill>
          </w14:textFill>
        </w:rPr>
      </w:pPr>
    </w:p>
    <w:tbl>
      <w:tblPr>
        <w:tblStyle w:val="46"/>
        <w:tblW w:w="8521" w:type="dxa"/>
        <w:jc w:val="center"/>
        <w:tblLayout w:type="fixed"/>
        <w:tblCellMar>
          <w:top w:w="0" w:type="dxa"/>
          <w:left w:w="0" w:type="dxa"/>
          <w:bottom w:w="0" w:type="dxa"/>
          <w:right w:w="0" w:type="dxa"/>
        </w:tblCellMar>
      </w:tblPr>
      <w:tblGrid>
        <w:gridCol w:w="2443"/>
        <w:gridCol w:w="2913"/>
        <w:gridCol w:w="3165"/>
      </w:tblGrid>
      <w:tr>
        <w:tblPrEx>
          <w:tblCellMar>
            <w:top w:w="0" w:type="dxa"/>
            <w:left w:w="0" w:type="dxa"/>
            <w:bottom w:w="0" w:type="dxa"/>
            <w:right w:w="0" w:type="dxa"/>
          </w:tblCellMar>
        </w:tblPrEx>
        <w:trPr>
          <w:trHeight w:val="400" w:hRule="atLeast"/>
          <w:jc w:val="center"/>
        </w:trPr>
        <w:tc>
          <w:tcPr>
            <w:tcW w:w="24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评分项目</w:t>
            </w:r>
          </w:p>
        </w:tc>
        <w:tc>
          <w:tcPr>
            <w:tcW w:w="291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技术评分</w:t>
            </w:r>
          </w:p>
        </w:tc>
        <w:tc>
          <w:tcPr>
            <w:tcW w:w="31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商务评分</w:t>
            </w:r>
          </w:p>
        </w:tc>
      </w:tr>
      <w:tr>
        <w:tblPrEx>
          <w:tblCellMar>
            <w:top w:w="0" w:type="dxa"/>
            <w:left w:w="0" w:type="dxa"/>
            <w:bottom w:w="0" w:type="dxa"/>
            <w:right w:w="0" w:type="dxa"/>
          </w:tblCellMar>
        </w:tblPrEx>
        <w:trPr>
          <w:trHeight w:val="400" w:hRule="atLeast"/>
          <w:jc w:val="center"/>
        </w:trPr>
        <w:tc>
          <w:tcPr>
            <w:tcW w:w="24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分值</w:t>
            </w:r>
          </w:p>
        </w:tc>
        <w:tc>
          <w:tcPr>
            <w:tcW w:w="291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60</w:t>
            </w:r>
            <w:r>
              <w:rPr>
                <w:rFonts w:hint="eastAsia" w:ascii="宋体" w:hAnsi="宋体" w:eastAsia="宋体" w:cs="宋体"/>
                <w:color w:val="000000" w:themeColor="text1"/>
                <w:kern w:val="0"/>
                <w:sz w:val="21"/>
                <w:szCs w:val="21"/>
                <w:highlight w:val="none"/>
                <w14:textFill>
                  <w14:solidFill>
                    <w14:schemeClr w14:val="tx1"/>
                  </w14:solidFill>
                </w14:textFill>
              </w:rPr>
              <w:t>分</w:t>
            </w:r>
          </w:p>
        </w:tc>
        <w:tc>
          <w:tcPr>
            <w:tcW w:w="31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40</w:t>
            </w:r>
            <w:r>
              <w:rPr>
                <w:rFonts w:hint="eastAsia" w:ascii="宋体" w:hAnsi="宋体" w:eastAsia="宋体" w:cs="宋体"/>
                <w:color w:val="000000" w:themeColor="text1"/>
                <w:kern w:val="0"/>
                <w:sz w:val="21"/>
                <w:szCs w:val="21"/>
                <w:highlight w:val="none"/>
                <w14:textFill>
                  <w14:solidFill>
                    <w14:schemeClr w14:val="tx1"/>
                  </w14:solidFill>
                </w14:textFill>
              </w:rPr>
              <w:t>分</w:t>
            </w:r>
          </w:p>
        </w:tc>
      </w:tr>
    </w:tbl>
    <w:p>
      <w:pPr>
        <w:rPr>
          <w:color w:val="000000" w:themeColor="text1"/>
          <w:highlight w:val="none"/>
          <w14:textFill>
            <w14:solidFill>
              <w14:schemeClr w14:val="tx1"/>
            </w14:solidFill>
          </w14:textFill>
        </w:rPr>
      </w:pPr>
    </w:p>
    <w:bookmarkEnd w:id="1556"/>
    <w:bookmarkEnd w:id="1557"/>
    <w:bookmarkEnd w:id="1558"/>
    <w:bookmarkEnd w:id="1559"/>
    <w:bookmarkEnd w:id="1560"/>
    <w:bookmarkEnd w:id="1561"/>
    <w:bookmarkEnd w:id="1562"/>
    <w:bookmarkEnd w:id="1563"/>
    <w:bookmarkEnd w:id="1564"/>
    <w:bookmarkEnd w:id="1565"/>
    <w:p>
      <w:pPr>
        <w:rPr>
          <w:color w:val="000000" w:themeColor="text1"/>
          <w:highlight w:val="none"/>
          <w14:textFill>
            <w14:solidFill>
              <w14:schemeClr w14:val="tx1"/>
            </w14:solidFill>
          </w14:textFill>
        </w:rPr>
      </w:pPr>
      <w:bookmarkStart w:id="1576" w:name="_Toc345513910"/>
      <w:bookmarkStart w:id="1577" w:name="_Toc342060383"/>
      <w:bookmarkStart w:id="1578" w:name="_Toc339020104"/>
      <w:bookmarkStart w:id="1579" w:name="_Toc333237686"/>
      <w:bookmarkStart w:id="1580" w:name="_Toc365985187"/>
      <w:bookmarkStart w:id="1581" w:name="_Toc333935355"/>
      <w:bookmarkStart w:id="1582" w:name="_Toc340672878"/>
      <w:bookmarkStart w:id="1583" w:name="_Toc333237797"/>
      <w:bookmarkStart w:id="1584" w:name="_Toc342296769"/>
      <w:bookmarkStart w:id="1585" w:name="_Toc349127635"/>
      <w:bookmarkStart w:id="1586" w:name="_Toc332206717"/>
      <w:bookmarkStart w:id="1587" w:name="_Toc339362309"/>
      <w:bookmarkStart w:id="1588" w:name="_Toc365967081"/>
      <w:bookmarkStart w:id="1589" w:name="_Toc341348347"/>
      <w:bookmarkStart w:id="1590" w:name="_Toc339020242"/>
      <w:bookmarkStart w:id="1591" w:name="_Toc340507451"/>
      <w:bookmarkStart w:id="1592" w:name="_Toc340677079"/>
      <w:bookmarkStart w:id="1593" w:name="_Toc366072538"/>
      <w:bookmarkStart w:id="1594" w:name="_Toc333935696"/>
      <w:bookmarkStart w:id="1595" w:name="_Toc330459994"/>
      <w:bookmarkStart w:id="1596" w:name="_Toc337632367"/>
      <w:bookmarkStart w:id="1597" w:name="_Toc339441096"/>
      <w:bookmarkStart w:id="1598" w:name="_Toc331684047"/>
      <w:bookmarkStart w:id="1599" w:name="_Toc350438758"/>
      <w:bookmarkStart w:id="1600" w:name="_Toc339020024"/>
      <w:bookmarkStart w:id="1601" w:name="_Toc350756459"/>
      <w:bookmarkStart w:id="1602" w:name="_Toc332270355"/>
      <w:bookmarkStart w:id="1603" w:name="_Toc349143598"/>
      <w:bookmarkStart w:id="1604" w:name="_Toc336681944"/>
      <w:bookmarkStart w:id="1605" w:name="_Toc339019898"/>
      <w:bookmarkStart w:id="1606" w:name="_Toc333238642"/>
      <w:bookmarkStart w:id="1607" w:name="_Toc336681589"/>
      <w:bookmarkStart w:id="1608" w:name="_Toc331512907"/>
      <w:bookmarkStart w:id="1609" w:name="_Toc374454610"/>
      <w:r>
        <w:rPr>
          <w:rFonts w:hint="eastAsia"/>
          <w:color w:val="000000" w:themeColor="text1"/>
          <w:highlight w:val="none"/>
          <w14:textFill>
            <w14:solidFill>
              <w14:schemeClr w14:val="tx1"/>
            </w14:solidFill>
          </w14:textFill>
        </w:rPr>
        <w:t>技术评分细则：</w:t>
      </w:r>
    </w:p>
    <w:tbl>
      <w:tblPr>
        <w:tblStyle w:val="46"/>
        <w:tblW w:w="96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970"/>
        <w:gridCol w:w="2696"/>
        <w:gridCol w:w="5075"/>
        <w:gridCol w:w="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7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color w:val="000000" w:themeColor="text1"/>
                <w:kern w:val="0"/>
                <w:sz w:val="21"/>
                <w:szCs w:val="21"/>
                <w:highlight w:val="none"/>
                <w:u w:val="none"/>
                <w:lang w:val="en-US" w:eastAsia="zh-CN" w:bidi="ar"/>
                <w14:textFill>
                  <w14:solidFill>
                    <w14:schemeClr w14:val="tx1"/>
                  </w14:solidFill>
                </w14:textFill>
              </w:rPr>
              <w:t>项目</w:t>
            </w:r>
          </w:p>
        </w:tc>
        <w:tc>
          <w:tcPr>
            <w:tcW w:w="2696"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color w:val="000000" w:themeColor="text1"/>
                <w:kern w:val="0"/>
                <w:sz w:val="21"/>
                <w:szCs w:val="21"/>
                <w:highlight w:val="none"/>
                <w:u w:val="none"/>
                <w:lang w:val="en-US" w:eastAsia="zh-CN" w:bidi="ar"/>
                <w14:textFill>
                  <w14:solidFill>
                    <w14:schemeClr w14:val="tx1"/>
                  </w14:solidFill>
                </w14:textFill>
              </w:rPr>
              <w:t>评审指标</w:t>
            </w:r>
          </w:p>
        </w:tc>
        <w:tc>
          <w:tcPr>
            <w:tcW w:w="507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color w:val="000000" w:themeColor="text1"/>
                <w:kern w:val="0"/>
                <w:sz w:val="21"/>
                <w:szCs w:val="21"/>
                <w:highlight w:val="none"/>
                <w:u w:val="none"/>
                <w:lang w:val="en-US" w:eastAsia="zh-CN" w:bidi="ar"/>
                <w14:textFill>
                  <w14:solidFill>
                    <w14:schemeClr w14:val="tx1"/>
                  </w14:solidFill>
                </w14:textFill>
              </w:rPr>
              <w:t>评分说明</w:t>
            </w:r>
          </w:p>
        </w:tc>
        <w:tc>
          <w:tcPr>
            <w:tcW w:w="91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color w:val="000000" w:themeColor="text1"/>
                <w:kern w:val="0"/>
                <w:sz w:val="21"/>
                <w:szCs w:val="21"/>
                <w:highlight w:val="none"/>
                <w:u w:val="none"/>
                <w:lang w:val="en-US" w:eastAsia="zh-CN" w:bidi="ar"/>
                <w14:textFill>
                  <w14:solidFill>
                    <w14:schemeClr w14:val="tx1"/>
                  </w14:solidFill>
                </w14:textFill>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jc w:val="center"/>
        </w:trPr>
        <w:tc>
          <w:tcPr>
            <w:tcW w:w="970" w:type="dxa"/>
            <w:vMerge w:val="restar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t>履行社会责任及对地方财政、社保工作的支持</w:t>
            </w:r>
          </w:p>
        </w:tc>
        <w:tc>
          <w:tcPr>
            <w:tcW w:w="2696"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1.小微企业贷款投放比例，截止2022年12月31日投标人对小微企业贷款余额占贷款总规模的比重（小微企业贷款余额/各项贷款余额）。</w:t>
            </w:r>
          </w:p>
        </w:tc>
        <w:tc>
          <w:tcPr>
            <w:tcW w:w="507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该指标体现投标人对当地小微企业的支持力度，按投标人指标值评分。投标人小微企业贷款投放比例高于20%（含20%）得满分；低于20%，高于15%（含15%）得80分；低于15%，高于10%（含10%）得60分；低于10%得40分。（小微企业贷款余额及贷款总规模以投标人上报银监局的非现场监管系统数据为准）（本小项满分为100分，最终得分×本小项权重比例）。</w:t>
            </w:r>
          </w:p>
        </w:tc>
        <w:tc>
          <w:tcPr>
            <w:tcW w:w="91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9" w:hRule="atLeast"/>
          <w:jc w:val="center"/>
        </w:trPr>
        <w:tc>
          <w:tcPr>
            <w:tcW w:w="970" w:type="dxa"/>
            <w:vMerge w:val="continue"/>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14:textFill>
                  <w14:solidFill>
                    <w14:schemeClr w14:val="tx1"/>
                  </w14:solidFill>
                </w14:textFill>
              </w:rPr>
            </w:pPr>
          </w:p>
        </w:tc>
        <w:tc>
          <w:tcPr>
            <w:tcW w:w="2696"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2.阳江市银行业机构综合评级</w:t>
            </w:r>
          </w:p>
        </w:tc>
        <w:tc>
          <w:tcPr>
            <w:tcW w:w="507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2022年度阳江市银行业机构综合评级为A得满分，评级为B得50分，评级为B-得0分。（以中国人民银行阳江市中心支行评级通报文件为准）（本小项满分为100分，最终得分×本小项权重比例）</w:t>
            </w:r>
          </w:p>
        </w:tc>
        <w:tc>
          <w:tcPr>
            <w:tcW w:w="91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70" w:type="dxa"/>
            <w:vMerge w:val="continue"/>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14:textFill>
                  <w14:solidFill>
                    <w14:schemeClr w14:val="tx1"/>
                  </w14:solidFill>
                </w14:textFill>
              </w:rPr>
            </w:pPr>
          </w:p>
        </w:tc>
        <w:tc>
          <w:tcPr>
            <w:tcW w:w="2696"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3.阳江市金融机构服务乡村振兴考核评估</w:t>
            </w:r>
          </w:p>
        </w:tc>
        <w:tc>
          <w:tcPr>
            <w:tcW w:w="507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2022 年度阳江市金融机构服务乡村振兴考核评估为优秀得满分，良好得75分，一般得50分，勉励得25分。（以中国人民银行阳江市中心支行评级通报文件为准）（本小项满分为100分，最终得分×本小项权重比例）</w:t>
            </w:r>
          </w:p>
        </w:tc>
        <w:tc>
          <w:tcPr>
            <w:tcW w:w="91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70" w:type="dxa"/>
            <w:vMerge w:val="continue"/>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14:textFill>
                  <w14:solidFill>
                    <w14:schemeClr w14:val="tx1"/>
                  </w14:solidFill>
                </w14:textFill>
              </w:rPr>
            </w:pPr>
          </w:p>
        </w:tc>
        <w:tc>
          <w:tcPr>
            <w:tcW w:w="2696"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4.纳税人信用级别，税务部门评定的2022年度纳税信用评级情况。</w:t>
            </w:r>
          </w:p>
        </w:tc>
        <w:tc>
          <w:tcPr>
            <w:tcW w:w="507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纳税信用评级为A级得满分，B得80分，C得0分。（以税务部门颁发的相关评级证书为准）（本小项满分为100分，最终得分×本小项权重比例）</w:t>
            </w:r>
          </w:p>
        </w:tc>
        <w:tc>
          <w:tcPr>
            <w:tcW w:w="91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jc w:val="center"/>
        </w:trPr>
        <w:tc>
          <w:tcPr>
            <w:tcW w:w="970" w:type="dxa"/>
            <w:vMerge w:val="continue"/>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14:textFill>
                  <w14:solidFill>
                    <w14:schemeClr w14:val="tx1"/>
                  </w14:solidFill>
                </w14:textFill>
              </w:rPr>
            </w:pPr>
          </w:p>
        </w:tc>
        <w:tc>
          <w:tcPr>
            <w:tcW w:w="2696"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5.优惠存款利率承诺</w:t>
            </w:r>
          </w:p>
        </w:tc>
        <w:tc>
          <w:tcPr>
            <w:tcW w:w="507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投标人承诺在符合国家利率政策的基础上，按照社保基金管理有关优惠利率规定，给予存放资金最优惠存款利率。承诺即得满分，不承诺不得分。（需提供书面承诺函）（本小项满分为100分，最终得分×本小项权重比例）</w:t>
            </w:r>
          </w:p>
        </w:tc>
        <w:tc>
          <w:tcPr>
            <w:tcW w:w="91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cs="宋体"/>
                <w:i w:val="0"/>
                <w:color w:val="000000" w:themeColor="text1"/>
                <w:kern w:val="0"/>
                <w:sz w:val="21"/>
                <w:szCs w:val="21"/>
                <w:highlight w:val="none"/>
                <w:u w:val="none"/>
                <w:lang w:val="en-US" w:eastAsia="zh-CN" w:bidi="ar"/>
                <w14:textFill>
                  <w14:solidFill>
                    <w14:schemeClr w14:val="tx1"/>
                  </w14:solidFill>
                </w14:textFill>
              </w:rPr>
              <w:t>6</w:t>
            </w: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jc w:val="center"/>
        </w:trPr>
        <w:tc>
          <w:tcPr>
            <w:tcW w:w="970" w:type="dxa"/>
            <w:vMerge w:val="restar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服务水平</w:t>
            </w:r>
          </w:p>
        </w:tc>
        <w:tc>
          <w:tcPr>
            <w:tcW w:w="2696"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1.业务方案，投标人业务实施方案的科学合理高效情况以及完善程度。</w:t>
            </w:r>
          </w:p>
        </w:tc>
        <w:tc>
          <w:tcPr>
            <w:tcW w:w="507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1.投标人服务实施方案合理高效、组织结构完善、业务办理迅速高效，服务区域影响力大、具有良好的客户信誉度和满意度得100分；</w:t>
            </w: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2.投标人服务实施方案较合理、组织结构较完善、业务办理较为迅速，服务区域影响力较大、客户信誉度和满意度一般得80分；</w:t>
            </w: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3.投标人服务实施方案基本合理、组织结构基本完整、业务办理流程较长，服务区域影响力不大、客户信誉度和满意度低得60分。</w:t>
            </w: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（本小项满分为100分，最终得分×本小项权重比例）</w:t>
            </w:r>
          </w:p>
        </w:tc>
        <w:tc>
          <w:tcPr>
            <w:tcW w:w="91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465" w:hRule="atLeast"/>
          <w:jc w:val="center"/>
        </w:trPr>
        <w:tc>
          <w:tcPr>
            <w:tcW w:w="970" w:type="dxa"/>
            <w:vMerge w:val="continue"/>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p>
        </w:tc>
        <w:tc>
          <w:tcPr>
            <w:tcW w:w="2696"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2.投标人委派项目专职负责人员进行现场述标（述标时间6分钟，不含专家提问时间）。</w:t>
            </w:r>
          </w:p>
        </w:tc>
        <w:tc>
          <w:tcPr>
            <w:tcW w:w="507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1.投标人能在规定时间内结合“业务方案”详细完整讲述社保基金业务的办理流程，能详细说明所提供的服务内容情况，专职负责人员语言表达清晰流畅，得100分；</w:t>
            </w:r>
          </w:p>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2.投标人能在规定时间内结合“业务方案”讲述社保基金业务的办理流程，但讲述内容不够详细完整，所提供的服务内容表达不详细，专职负责人员语言表达清晰流畅，得75分；</w:t>
            </w:r>
          </w:p>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3.投标人能在规定时间内结合“业务方案”讲述社保基金业务的办理流程，讲述内容只满足部分要求，所提供的服务内容表达不完整，专职负责人员语言表达清晰流畅，得50分；</w:t>
            </w:r>
          </w:p>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4.投标人不能在规定时间内结合“业务方案”讲述社保基金业务的办理流程，讲述内容欠缺，所提供的服务内容表达不完整，专职负责人员语言表达不通顺、不清晰，得25分；</w:t>
            </w:r>
          </w:p>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5.不提供现场述标不得分。（本小项满分为100分，最终得分×本小项权重比例）</w:t>
            </w:r>
          </w:p>
        </w:tc>
        <w:tc>
          <w:tcPr>
            <w:tcW w:w="91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cs="宋体"/>
                <w:i w:val="0"/>
                <w:color w:val="000000" w:themeColor="text1"/>
                <w:kern w:val="0"/>
                <w:sz w:val="21"/>
                <w:szCs w:val="21"/>
                <w:highlight w:val="none"/>
                <w:u w:val="none"/>
                <w:lang w:val="en-US" w:eastAsia="zh-CN" w:bidi="ar"/>
                <w14:textFill>
                  <w14:solidFill>
                    <w14:schemeClr w14:val="tx1"/>
                  </w14:solidFill>
                </w14:textFill>
              </w:rPr>
              <w:t>3</w:t>
            </w: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jc w:val="center"/>
        </w:trPr>
        <w:tc>
          <w:tcPr>
            <w:tcW w:w="970" w:type="dxa"/>
            <w:vMerge w:val="continue"/>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14:textFill>
                  <w14:solidFill>
                    <w14:schemeClr w14:val="tx1"/>
                  </w14:solidFill>
                </w14:textFill>
              </w:rPr>
            </w:pPr>
          </w:p>
        </w:tc>
        <w:tc>
          <w:tcPr>
            <w:tcW w:w="2696"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3.服务承诺，配备专职人员负责城镇职工五险资金结算及相关业务日常跟踪服务工作，派遣专人负责为采购人送递、收取相关票据。</w:t>
            </w:r>
          </w:p>
        </w:tc>
        <w:tc>
          <w:tcPr>
            <w:tcW w:w="507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投标人服务承诺满足所有要求的，得满分；有任何一项不满足的，得0 分。（本小项满分为100分，最终得分×本小项权重比例）</w:t>
            </w:r>
          </w:p>
        </w:tc>
        <w:tc>
          <w:tcPr>
            <w:tcW w:w="91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jc w:val="center"/>
        </w:trPr>
        <w:tc>
          <w:tcPr>
            <w:tcW w:w="970" w:type="dxa"/>
            <w:vMerge w:val="continue"/>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14:textFill>
                  <w14:solidFill>
                    <w14:schemeClr w14:val="tx1"/>
                  </w14:solidFill>
                </w14:textFill>
              </w:rPr>
            </w:pPr>
          </w:p>
        </w:tc>
        <w:tc>
          <w:tcPr>
            <w:tcW w:w="2696"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4.服务系统，具备满足社会保险基金专网结算系统及相关业务需要的资金结算系统，保证资金结算的准确性、及时性，具备高效的应急处理和纠错措施，保证资金结算系统和内部网络的安全性，并承担自身网络安全问题方面的有关责任，具备先进的信息反馈系统，能够及时、全面、准确地反馈社会保险基金结算业务信息。</w:t>
            </w:r>
          </w:p>
        </w:tc>
        <w:tc>
          <w:tcPr>
            <w:tcW w:w="507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满足所有要求的，得满分；有任何一项不满足的，得0分。（本小项满分为100分，最终得分X本小项权重比例）</w:t>
            </w:r>
          </w:p>
        </w:tc>
        <w:tc>
          <w:tcPr>
            <w:tcW w:w="91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70" w:type="dxa"/>
            <w:vMerge w:val="continue"/>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14:textFill>
                  <w14:solidFill>
                    <w14:schemeClr w14:val="tx1"/>
                  </w14:solidFill>
                </w14:textFill>
              </w:rPr>
            </w:pPr>
          </w:p>
        </w:tc>
        <w:tc>
          <w:tcPr>
            <w:tcW w:w="2696"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5.支持本项目实施投入所需必要经费的承诺</w:t>
            </w:r>
          </w:p>
        </w:tc>
        <w:tc>
          <w:tcPr>
            <w:tcW w:w="507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给予承诺的得满分，部分承诺或不承诺的，得0分。（本小项满分为100分，最终得分×本小项权重比例）</w:t>
            </w:r>
          </w:p>
        </w:tc>
        <w:tc>
          <w:tcPr>
            <w:tcW w:w="91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jc w:val="center"/>
        </w:trPr>
        <w:tc>
          <w:tcPr>
            <w:tcW w:w="970" w:type="dxa"/>
            <w:vMerge w:val="continue"/>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14:textFill>
                  <w14:solidFill>
                    <w14:schemeClr w14:val="tx1"/>
                  </w14:solidFill>
                </w14:textFill>
              </w:rPr>
            </w:pPr>
          </w:p>
        </w:tc>
        <w:tc>
          <w:tcPr>
            <w:tcW w:w="2696"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6.制度保障和风险控制</w:t>
            </w:r>
          </w:p>
        </w:tc>
        <w:tc>
          <w:tcPr>
            <w:tcW w:w="507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1.投标人管理体系、监督机制严谨规范、突发事件应急预案合理可行的得100分；</w:t>
            </w: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2.投标人管理体系、监督机制合理、突发事件应急预案较合理可行的得80分；</w:t>
            </w: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3.投标人管理体系、监督机制基本规范、突发事件应急预案基本可行的得60分。（本小项满分为100分，最终得分×本小项权重比例）</w:t>
            </w:r>
          </w:p>
        </w:tc>
        <w:tc>
          <w:tcPr>
            <w:tcW w:w="91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jc w:val="center"/>
        </w:trPr>
        <w:tc>
          <w:tcPr>
            <w:tcW w:w="970" w:type="dxa"/>
            <w:vMerge w:val="continue"/>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14:textFill>
                  <w14:solidFill>
                    <w14:schemeClr w14:val="tx1"/>
                  </w14:solidFill>
                </w14:textFill>
              </w:rPr>
            </w:pPr>
          </w:p>
        </w:tc>
        <w:tc>
          <w:tcPr>
            <w:tcW w:w="2696"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7.代理市级财政国库及社保业务经验</w:t>
            </w:r>
          </w:p>
        </w:tc>
        <w:tc>
          <w:tcPr>
            <w:tcW w:w="507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商业银行代理的市级财政国库及社保业务主要包括：</w:t>
            </w: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财政授权支付、财政直接支付、财政统发工资、非税收缴、社保业务五项。2020年8月以来投标人代理的上述业务项目数量评分，每项得20分，五项为满分。（不同年份的相同项目不重复计分，须提供相关合同文本或文件资料，合同签订主体须与投标人名称一致，不提供不得分）（本小项满分为100分，最终得分×本小项权重比例）</w:t>
            </w:r>
          </w:p>
        </w:tc>
        <w:tc>
          <w:tcPr>
            <w:tcW w:w="91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70" w:type="dxa"/>
            <w:vMerge w:val="continue"/>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14:textFill>
                  <w14:solidFill>
                    <w14:schemeClr w14:val="tx1"/>
                  </w14:solidFill>
                </w14:textFill>
              </w:rPr>
            </w:pPr>
          </w:p>
        </w:tc>
        <w:tc>
          <w:tcPr>
            <w:tcW w:w="2696"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8.营业网点分布情况</w:t>
            </w:r>
          </w:p>
        </w:tc>
        <w:tc>
          <w:tcPr>
            <w:tcW w:w="507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按投标人在阳江市市直及各县区网点分布情况评分，包括江城、阳春、阳西、阳东、海陵、高新区6个区域，每覆盖一个区域得15分，全覆盖得满分。（每个网点均需提供当地银监部门颁发的有效的《金融许可证》视为有效网点）（本小项满分为100分，最终得分×本小项权重比例）</w:t>
            </w:r>
          </w:p>
        </w:tc>
        <w:tc>
          <w:tcPr>
            <w:tcW w:w="91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jc w:val="center"/>
        </w:trPr>
        <w:tc>
          <w:tcPr>
            <w:tcW w:w="970" w:type="dxa"/>
            <w:vMerge w:val="continue"/>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14:textFill>
                  <w14:solidFill>
                    <w14:schemeClr w14:val="tx1"/>
                  </w14:solidFill>
                </w14:textFill>
              </w:rPr>
            </w:pPr>
          </w:p>
        </w:tc>
        <w:tc>
          <w:tcPr>
            <w:tcW w:w="2696"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9.社会保障卡发行量，发行量/全市数据。</w:t>
            </w:r>
          </w:p>
        </w:tc>
        <w:tc>
          <w:tcPr>
            <w:tcW w:w="507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截止2022年12月31日社会保障卡发卡量占全市总发行量权重最高者得满分，投标人之间横向对比评分，数值相对最高者每低1个百分点扣1分，满分为100分。（以阳江市人社局通报数据或证明文件为准）（本小项满分为100分，最终得分X本小项权重比例）</w:t>
            </w:r>
          </w:p>
        </w:tc>
        <w:tc>
          <w:tcPr>
            <w:tcW w:w="91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5" w:hRule="atLeast"/>
          <w:jc w:val="center"/>
        </w:trPr>
        <w:tc>
          <w:tcPr>
            <w:tcW w:w="970" w:type="dxa"/>
            <w:vMerge w:val="continue"/>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14:textFill>
                  <w14:solidFill>
                    <w14:schemeClr w14:val="tx1"/>
                  </w14:solidFill>
                </w14:textFill>
              </w:rPr>
            </w:pPr>
          </w:p>
        </w:tc>
        <w:tc>
          <w:tcPr>
            <w:tcW w:w="2696"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10.社会保障卡激活率，投标人发行的社会保障卡中激活数量占总发卡量的比率。</w:t>
            </w:r>
          </w:p>
        </w:tc>
        <w:tc>
          <w:tcPr>
            <w:tcW w:w="507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截止2022年12月31日投标人社会保障卡激活率高于90%者（含90%）为优，得满分；高于80%（含80%）且低于90%者为良，得75分；高于70%（含70%）且低于80%，得50分，低于70%，得25分。（以阳江市人社局通报数据或证明文件为准）（本小项满分为100分，最终得分×本小项权重比例）</w:t>
            </w:r>
          </w:p>
        </w:tc>
        <w:tc>
          <w:tcPr>
            <w:tcW w:w="91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jc w:val="center"/>
        </w:trPr>
        <w:tc>
          <w:tcPr>
            <w:tcW w:w="3666" w:type="dxa"/>
            <w:gridSpan w:val="2"/>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合计</w:t>
            </w:r>
          </w:p>
        </w:tc>
        <w:tc>
          <w:tcPr>
            <w:tcW w:w="507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p>
        </w:tc>
        <w:tc>
          <w:tcPr>
            <w:tcW w:w="91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60%</w:t>
            </w:r>
          </w:p>
        </w:tc>
      </w:tr>
    </w:tbl>
    <w:p>
      <w:pPr>
        <w:spacing w:line="360" w:lineRule="auto"/>
        <w:rPr>
          <w:color w:val="000000" w:themeColor="text1"/>
          <w:highlight w:val="none"/>
          <w14:textFill>
            <w14:solidFill>
              <w14:schemeClr w14:val="tx1"/>
            </w14:solidFill>
          </w14:textFill>
        </w:rPr>
      </w:pPr>
    </w:p>
    <w:p>
      <w:pPr>
        <w:spacing w:line="360" w:lineRule="auto"/>
        <w:rPr>
          <w:color w:val="000000" w:themeColor="text1"/>
          <w:highlight w:val="none"/>
          <w14:textFill>
            <w14:solidFill>
              <w14:schemeClr w14:val="tx1"/>
            </w14:solidFill>
          </w14:textFill>
        </w:rPr>
      </w:pPr>
    </w:p>
    <w:p>
      <w:pPr>
        <w:spacing w:line="360" w:lineRule="auto"/>
        <w:rPr>
          <w:color w:val="000000" w:themeColor="text1"/>
          <w:highlight w:val="none"/>
          <w14:textFill>
            <w14:solidFill>
              <w14:schemeClr w14:val="tx1"/>
            </w14:solidFill>
          </w14:textFill>
        </w:rPr>
      </w:pPr>
    </w:p>
    <w:p>
      <w:pPr>
        <w:spacing w:line="360" w:lineRule="auto"/>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商务</w:t>
      </w:r>
      <w:r>
        <w:rPr>
          <w:rFonts w:hint="eastAsia"/>
          <w:color w:val="000000" w:themeColor="text1"/>
          <w:highlight w:val="none"/>
          <w14:textFill>
            <w14:solidFill>
              <w14:schemeClr w14:val="tx1"/>
            </w14:solidFill>
          </w14:textFill>
        </w:rPr>
        <w:t>评</w:t>
      </w:r>
      <w:r>
        <w:rPr>
          <w:color w:val="000000" w:themeColor="text1"/>
          <w:highlight w:val="none"/>
          <w14:textFill>
            <w14:solidFill>
              <w14:schemeClr w14:val="tx1"/>
            </w14:solidFill>
          </w14:textFill>
        </w:rPr>
        <w:t>分</w:t>
      </w:r>
      <w:r>
        <w:rPr>
          <w:rFonts w:hint="eastAsia"/>
          <w:color w:val="000000" w:themeColor="text1"/>
          <w:highlight w:val="none"/>
          <w14:textFill>
            <w14:solidFill>
              <w14:schemeClr w14:val="tx1"/>
            </w14:solidFill>
          </w14:textFill>
        </w:rPr>
        <w:t>细则</w:t>
      </w:r>
      <w:r>
        <w:rPr>
          <w:rFonts w:hint="eastAsia"/>
          <w:color w:val="000000" w:themeColor="text1"/>
          <w:highlight w:val="none"/>
          <w:lang w:eastAsia="zh-CN"/>
          <w14:textFill>
            <w14:solidFill>
              <w14:schemeClr w14:val="tx1"/>
            </w14:solidFill>
          </w14:textFill>
        </w:rPr>
        <w:t>：</w:t>
      </w:r>
    </w:p>
    <w:tbl>
      <w:tblPr>
        <w:tblStyle w:val="47"/>
        <w:tblW w:w="9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
        <w:gridCol w:w="2697"/>
        <w:gridCol w:w="5091"/>
        <w:gridCol w:w="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55"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b/>
                <w:bCs/>
                <w:i w:val="0"/>
                <w:color w:val="000000" w:themeColor="text1"/>
                <w:kern w:val="0"/>
                <w:sz w:val="21"/>
                <w:szCs w:val="21"/>
                <w:highlight w:val="none"/>
                <w:u w:val="none"/>
                <w:lang w:val="en-US" w:eastAsia="zh-CN" w:bidi="ar"/>
                <w14:textFill>
                  <w14:solidFill>
                    <w14:schemeClr w14:val="tx1"/>
                  </w14:solidFill>
                </w14:textFill>
              </w:rPr>
              <w:t>项目</w:t>
            </w:r>
          </w:p>
        </w:tc>
        <w:tc>
          <w:tcPr>
            <w:tcW w:w="2697"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b/>
                <w:bCs/>
                <w:i w:val="0"/>
                <w:color w:val="000000" w:themeColor="text1"/>
                <w:kern w:val="0"/>
                <w:sz w:val="21"/>
                <w:szCs w:val="21"/>
                <w:highlight w:val="none"/>
                <w:u w:val="none"/>
                <w:lang w:val="en-US" w:eastAsia="zh-CN" w:bidi="ar"/>
                <w14:textFill>
                  <w14:solidFill>
                    <w14:schemeClr w14:val="tx1"/>
                  </w14:solidFill>
                </w14:textFill>
              </w:rPr>
              <w:t>评审指标</w:t>
            </w:r>
          </w:p>
        </w:tc>
        <w:tc>
          <w:tcPr>
            <w:tcW w:w="5091"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b/>
                <w:bCs/>
                <w:i w:val="0"/>
                <w:color w:val="000000" w:themeColor="text1"/>
                <w:kern w:val="0"/>
                <w:sz w:val="21"/>
                <w:szCs w:val="21"/>
                <w:highlight w:val="none"/>
                <w:u w:val="none"/>
                <w:lang w:val="en-US" w:eastAsia="zh-CN" w:bidi="ar"/>
                <w14:textFill>
                  <w14:solidFill>
                    <w14:schemeClr w14:val="tx1"/>
                  </w14:solidFill>
                </w14:textFill>
              </w:rPr>
              <w:t>评分说明</w:t>
            </w:r>
          </w:p>
        </w:tc>
        <w:tc>
          <w:tcPr>
            <w:tcW w:w="914"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b/>
                <w:bCs/>
                <w:i w:val="0"/>
                <w:color w:val="000000" w:themeColor="text1"/>
                <w:kern w:val="0"/>
                <w:sz w:val="21"/>
                <w:szCs w:val="21"/>
                <w:highlight w:val="none"/>
                <w:u w:val="none"/>
                <w:lang w:val="en-US" w:eastAsia="zh-CN" w:bidi="ar"/>
                <w14:textFill>
                  <w14:solidFill>
                    <w14:schemeClr w14:val="tx1"/>
                  </w14:solidFill>
                </w14:textFill>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经营状况及安全性指标（全市数据）</w:t>
            </w:r>
          </w:p>
        </w:tc>
        <w:tc>
          <w:tcPr>
            <w:tcW w:w="2697"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1.各项贷款, 截止2022年12月31日投标人的各项贷款余额。</w:t>
            </w:r>
          </w:p>
        </w:tc>
        <w:tc>
          <w:tcPr>
            <w:tcW w:w="5091"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投标人各项贷款总额最高者得满分，投标人之间按比例横向对比评分，数值相对最高者每低1个百分点扣1分，满分为100分。（以投标人上报银保监局的非现场监管系统数据为准）（本小项满分为100分，最终得分×本小项权重比例）</w:t>
            </w:r>
          </w:p>
        </w:tc>
        <w:tc>
          <w:tcPr>
            <w:tcW w:w="914"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5"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color w:val="000000" w:themeColor="text1"/>
                <w:sz w:val="21"/>
                <w:szCs w:val="21"/>
                <w:highlight w:val="none"/>
                <w:vertAlign w:val="baseline"/>
                <w14:textFill>
                  <w14:solidFill>
                    <w14:schemeClr w14:val="tx1"/>
                  </w14:solidFill>
                </w14:textFill>
              </w:rPr>
            </w:pPr>
          </w:p>
        </w:tc>
        <w:tc>
          <w:tcPr>
            <w:tcW w:w="2697"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2.各项存款，截止2022年12月31日投标人的存款余额。</w:t>
            </w:r>
          </w:p>
        </w:tc>
        <w:tc>
          <w:tcPr>
            <w:tcW w:w="5091"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投标人各项存款余额最高者得满分，投标人之间横向对比评分，数值相对最高者每低1个百分点扣1分，满分为100分。（以投标人上报银保监局的非现场监管系统数据为准（本小项满分为100分，最终得分×本小项权重比例）</w:t>
            </w:r>
          </w:p>
        </w:tc>
        <w:tc>
          <w:tcPr>
            <w:tcW w:w="914"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5"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color w:val="000000" w:themeColor="text1"/>
                <w:sz w:val="21"/>
                <w:szCs w:val="21"/>
                <w:highlight w:val="none"/>
                <w:vertAlign w:val="baseline"/>
                <w14:textFill>
                  <w14:solidFill>
                    <w14:schemeClr w14:val="tx1"/>
                  </w14:solidFill>
                </w14:textFill>
              </w:rPr>
            </w:pPr>
          </w:p>
        </w:tc>
        <w:tc>
          <w:tcPr>
            <w:tcW w:w="2697"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3.贷存比，截止2022年12月31日投标人贷款余额与存款余额的比例（各项贷款余额/各项存款余额）。</w:t>
            </w:r>
          </w:p>
        </w:tc>
        <w:tc>
          <w:tcPr>
            <w:tcW w:w="5091"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该指标体现投标人对当地经济发展的支持力度，按投标人指标值评分。投标人贷存款比例高于100%（含100%）得满分；低于100%，高于80%（含80%）得80分；低于</w:t>
            </w:r>
            <w:r>
              <w:rPr>
                <w:rFonts w:hint="eastAsia" w:ascii="宋体" w:hAnsi="宋体" w:cs="宋体"/>
                <w:i w:val="0"/>
                <w:color w:val="000000" w:themeColor="text1"/>
                <w:kern w:val="0"/>
                <w:sz w:val="21"/>
                <w:szCs w:val="21"/>
                <w:highlight w:val="none"/>
                <w:u w:val="none"/>
                <w:lang w:val="en-US" w:eastAsia="zh-CN" w:bidi="ar"/>
                <w14:textFill>
                  <w14:solidFill>
                    <w14:schemeClr w14:val="tx1"/>
                  </w14:solidFill>
                </w14:textFill>
              </w:rPr>
              <w:t>8</w:t>
            </w: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0%，高于</w:t>
            </w:r>
            <w:r>
              <w:rPr>
                <w:rFonts w:hint="eastAsia" w:ascii="宋体" w:hAnsi="宋体" w:cs="宋体"/>
                <w:i w:val="0"/>
                <w:color w:val="000000" w:themeColor="text1"/>
                <w:kern w:val="0"/>
                <w:sz w:val="21"/>
                <w:szCs w:val="21"/>
                <w:highlight w:val="none"/>
                <w:u w:val="none"/>
                <w:lang w:val="en-US" w:eastAsia="zh-CN" w:bidi="ar"/>
                <w14:textFill>
                  <w14:solidFill>
                    <w14:schemeClr w14:val="tx1"/>
                  </w14:solidFill>
                </w14:textFill>
              </w:rPr>
              <w:t>6</w:t>
            </w: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0%</w:t>
            </w: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（含60%）得60分；低于60%得40分。满分为100分。（本小项满分为100分，最终得分×本小项权重比例）</w:t>
            </w:r>
          </w:p>
        </w:tc>
        <w:tc>
          <w:tcPr>
            <w:tcW w:w="914"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5"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color w:val="000000" w:themeColor="text1"/>
                <w:sz w:val="21"/>
                <w:szCs w:val="21"/>
                <w:highlight w:val="none"/>
                <w:vertAlign w:val="baseline"/>
                <w14:textFill>
                  <w14:solidFill>
                    <w14:schemeClr w14:val="tx1"/>
                  </w14:solidFill>
                </w14:textFill>
              </w:rPr>
            </w:pPr>
          </w:p>
        </w:tc>
        <w:tc>
          <w:tcPr>
            <w:tcW w:w="2697"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4.贷款新增额，截止2022年12月31日投标人比年初新增额。</w:t>
            </w:r>
          </w:p>
        </w:tc>
        <w:tc>
          <w:tcPr>
            <w:tcW w:w="5091"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投标人之间贷款新增额横向对比从高到低排名评分，贷款新增为第一名得满分；第二名得90分；第三名80分，如此类推。（贷款新增额以投标人上报银监局的非现场监管系统数据为准）（本小项满分为100分，最终得分×本小项权重比例）</w:t>
            </w:r>
          </w:p>
        </w:tc>
        <w:tc>
          <w:tcPr>
            <w:tcW w:w="914"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5"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color w:val="000000" w:themeColor="text1"/>
                <w:sz w:val="21"/>
                <w:szCs w:val="21"/>
                <w:highlight w:val="none"/>
                <w:vertAlign w:val="baseline"/>
                <w14:textFill>
                  <w14:solidFill>
                    <w14:schemeClr w14:val="tx1"/>
                  </w14:solidFill>
                </w14:textFill>
              </w:rPr>
            </w:pPr>
          </w:p>
        </w:tc>
        <w:tc>
          <w:tcPr>
            <w:tcW w:w="2697"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5.不良贷款率，截止2022年12月31日投标人的不良贷款率（不良贷款余额/各项贷款）。</w:t>
            </w:r>
          </w:p>
        </w:tc>
        <w:tc>
          <w:tcPr>
            <w:tcW w:w="5091"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投标人之间横向对比评分，投标人不良贷款率最低者得满分。数值相对最低者每高0.1个百分点扣1分，满分为100分。（不良贷款余额及各项贷款余额以投标人上报银保监局或人民银行的非现场监管系统数据为准）（本小项满分为100分，最终得分×本小项权重比例）</w:t>
            </w:r>
          </w:p>
        </w:tc>
        <w:tc>
          <w:tcPr>
            <w:tcW w:w="914"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3652"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合计</w:t>
            </w:r>
          </w:p>
        </w:tc>
        <w:tc>
          <w:tcPr>
            <w:tcW w:w="5091"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p>
        </w:tc>
        <w:tc>
          <w:tcPr>
            <w:tcW w:w="914"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40%</w:t>
            </w:r>
          </w:p>
        </w:tc>
      </w:tr>
    </w:tbl>
    <w:p>
      <w:pPr>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注：对照每项评价指标要求，投标文件完全不满足要求的，不得分。</w:t>
      </w:r>
    </w:p>
    <w:p>
      <w:pPr>
        <w:pStyle w:val="17"/>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3"/>
        <w:numPr>
          <w:ilvl w:val="0"/>
          <w:numId w:val="0"/>
        </w:numPr>
        <w:spacing w:beforeLines="0"/>
        <w:rPr>
          <w:color w:val="000000" w:themeColor="text1"/>
          <w:highlight w:val="none"/>
          <w14:textFill>
            <w14:solidFill>
              <w14:schemeClr w14:val="tx1"/>
            </w14:solidFill>
          </w14:textFill>
        </w:rPr>
      </w:pPr>
      <w:bookmarkStart w:id="1610" w:name="_Toc21684"/>
      <w:r>
        <w:rPr>
          <w:rFonts w:hint="eastAsia"/>
          <w:color w:val="000000" w:themeColor="text1"/>
          <w:highlight w:val="none"/>
          <w14:textFill>
            <w14:solidFill>
              <w14:schemeClr w14:val="tx1"/>
            </w14:solidFill>
          </w14:textFill>
        </w:rPr>
        <w:t>第四部分  采购项目合同</w:t>
      </w:r>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Start w:id="1611" w:name="_Hlt97188170"/>
      <w:bookmarkEnd w:id="1611"/>
      <w:r>
        <w:rPr>
          <w:rFonts w:hint="eastAsia"/>
          <w:color w:val="000000" w:themeColor="text1"/>
          <w:highlight w:val="none"/>
          <w14:textFill>
            <w14:solidFill>
              <w14:schemeClr w14:val="tx1"/>
            </w14:solidFill>
          </w14:textFill>
        </w:rPr>
        <w:t>（参考范本）</w:t>
      </w:r>
      <w:bookmarkEnd w:id="1610"/>
    </w:p>
    <w:p>
      <w:pPr>
        <w:rPr>
          <w:bCs/>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jc w:val="center"/>
        <w:rPr>
          <w:rFonts w:hint="eastAsia" w:ascii="宋体" w:hAnsi="宋体"/>
          <w:b/>
          <w:color w:val="000000" w:themeColor="text1"/>
          <w:sz w:val="30"/>
          <w:szCs w:val="30"/>
          <w:highlight w:val="none"/>
          <w14:textFill>
            <w14:solidFill>
              <w14:schemeClr w14:val="tx1"/>
            </w14:solidFill>
          </w14:textFill>
        </w:rPr>
      </w:pPr>
    </w:p>
    <w:p>
      <w:pPr>
        <w:jc w:val="center"/>
        <w:rPr>
          <w:rFonts w:hint="eastAsia" w:ascii="宋体" w:hAnsi="宋体"/>
          <w:b/>
          <w:color w:val="000000" w:themeColor="text1"/>
          <w:sz w:val="36"/>
          <w:szCs w:val="36"/>
          <w:highlight w:val="none"/>
          <w14:textFill>
            <w14:solidFill>
              <w14:schemeClr w14:val="tx1"/>
            </w14:solidFill>
          </w14:textFill>
        </w:rPr>
      </w:pPr>
    </w:p>
    <w:p>
      <w:pPr>
        <w:pStyle w:val="54"/>
        <w:rPr>
          <w:rFonts w:hint="eastAsia" w:ascii="宋体" w:hAnsi="宋体"/>
          <w:b/>
          <w:color w:val="000000" w:themeColor="text1"/>
          <w:sz w:val="36"/>
          <w:szCs w:val="36"/>
          <w:highlight w:val="none"/>
          <w14:textFill>
            <w14:solidFill>
              <w14:schemeClr w14:val="tx1"/>
            </w14:solidFill>
          </w14:textFill>
        </w:rPr>
      </w:pPr>
    </w:p>
    <w:p>
      <w:pPr>
        <w:pStyle w:val="54"/>
        <w:rPr>
          <w:rFonts w:hint="eastAsia" w:ascii="宋体" w:hAnsi="宋体"/>
          <w:b/>
          <w:color w:val="000000" w:themeColor="text1"/>
          <w:sz w:val="36"/>
          <w:szCs w:val="36"/>
          <w:highlight w:val="none"/>
          <w14:textFill>
            <w14:solidFill>
              <w14:schemeClr w14:val="tx1"/>
            </w14:solidFill>
          </w14:textFill>
        </w:rPr>
      </w:pPr>
    </w:p>
    <w:p>
      <w:pPr>
        <w:pStyle w:val="54"/>
        <w:rPr>
          <w:rFonts w:hint="eastAsia" w:ascii="宋体" w:hAnsi="宋体"/>
          <w:b/>
          <w:color w:val="000000" w:themeColor="text1"/>
          <w:sz w:val="36"/>
          <w:szCs w:val="36"/>
          <w:highlight w:val="none"/>
          <w14:textFill>
            <w14:solidFill>
              <w14:schemeClr w14:val="tx1"/>
            </w14:solidFill>
          </w14:textFill>
        </w:rPr>
      </w:pPr>
    </w:p>
    <w:p>
      <w:pPr>
        <w:pStyle w:val="54"/>
        <w:rPr>
          <w:rFonts w:hint="eastAsia" w:ascii="宋体" w:hAnsi="宋体"/>
          <w:b/>
          <w:color w:val="000000" w:themeColor="text1"/>
          <w:sz w:val="36"/>
          <w:szCs w:val="36"/>
          <w:highlight w:val="none"/>
          <w14:textFill>
            <w14:solidFill>
              <w14:schemeClr w14:val="tx1"/>
            </w14:solidFill>
          </w14:textFill>
        </w:rPr>
      </w:pPr>
    </w:p>
    <w:p>
      <w:pPr>
        <w:jc w:val="center"/>
        <w:rPr>
          <w:rFonts w:hint="eastAsia"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合 同 书</w:t>
      </w:r>
    </w:p>
    <w:p>
      <w:pPr>
        <w:jc w:val="center"/>
        <w:rPr>
          <w:rFonts w:hint="eastAsia" w:ascii="宋体" w:hAnsi="宋体"/>
          <w:b/>
          <w:color w:val="000000" w:themeColor="text1"/>
          <w:sz w:val="28"/>
          <w:szCs w:val="28"/>
          <w:highlight w:val="none"/>
          <w14:textFill>
            <w14:solidFill>
              <w14:schemeClr w14:val="tx1"/>
            </w14:solidFill>
          </w14:textFill>
        </w:rPr>
      </w:pPr>
    </w:p>
    <w:p>
      <w:pPr>
        <w:jc w:val="center"/>
        <w:rPr>
          <w:rFonts w:hint="eastAsia" w:ascii="宋体" w:hAnsi="宋体"/>
          <w:b/>
          <w:color w:val="000000" w:themeColor="text1"/>
          <w:sz w:val="28"/>
          <w:szCs w:val="28"/>
          <w:highlight w:val="none"/>
          <w14:textFill>
            <w14:solidFill>
              <w14:schemeClr w14:val="tx1"/>
            </w14:solidFill>
          </w14:textFill>
        </w:rPr>
      </w:pPr>
    </w:p>
    <w:p>
      <w:pPr>
        <w:jc w:val="center"/>
        <w:rPr>
          <w:rFonts w:hint="eastAsia" w:ascii="宋体" w:hAnsi="宋体"/>
          <w:b/>
          <w:color w:val="000000" w:themeColor="text1"/>
          <w:sz w:val="28"/>
          <w:szCs w:val="28"/>
          <w:highlight w:val="none"/>
          <w14:textFill>
            <w14:solidFill>
              <w14:schemeClr w14:val="tx1"/>
            </w14:solidFill>
          </w14:textFill>
        </w:rPr>
      </w:pPr>
    </w:p>
    <w:p>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采购编号：</w:t>
      </w:r>
      <w:r>
        <w:rPr>
          <w:rFonts w:hint="eastAsia" w:ascii="宋体" w:hAnsi="宋体"/>
          <w:b/>
          <w:color w:val="000000" w:themeColor="text1"/>
          <w:sz w:val="28"/>
          <w:szCs w:val="28"/>
          <w:highlight w:val="none"/>
          <w:u w:val="single"/>
          <w14:textFill>
            <w14:solidFill>
              <w14:schemeClr w14:val="tx1"/>
            </w14:solidFill>
          </w14:textFill>
        </w:rPr>
        <w:t xml:space="preserve">                          </w:t>
      </w:r>
    </w:p>
    <w:p>
      <w:pPr>
        <w:rPr>
          <w:rFonts w:hint="eastAsia" w:ascii="宋体" w:hAnsi="宋体"/>
          <w:b/>
          <w:color w:val="000000" w:themeColor="text1"/>
          <w:sz w:val="28"/>
          <w:szCs w:val="28"/>
          <w:highlight w:val="none"/>
          <w14:textFill>
            <w14:solidFill>
              <w14:schemeClr w14:val="tx1"/>
            </w14:solidFill>
          </w14:textFill>
        </w:rPr>
      </w:pPr>
    </w:p>
    <w:p>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项目名称：</w:t>
      </w:r>
      <w:r>
        <w:rPr>
          <w:rFonts w:hint="eastAsia" w:ascii="宋体" w:hAnsi="宋体"/>
          <w:b/>
          <w:color w:val="000000" w:themeColor="text1"/>
          <w:sz w:val="28"/>
          <w:szCs w:val="28"/>
          <w:highlight w:val="none"/>
          <w:u w:val="single"/>
          <w14:textFill>
            <w14:solidFill>
              <w14:schemeClr w14:val="tx1"/>
            </w14:solidFill>
          </w14:textFill>
        </w:rPr>
        <w:t xml:space="preserve">                           </w:t>
      </w: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注：本合同仅为合同草案文本，合同签订双方可根据项目的具体要求进行修订和细化。</w:t>
      </w:r>
    </w:p>
    <w:p>
      <w:pPr>
        <w:ind w:firstLine="5670" w:firstLineChars="2700"/>
        <w:rPr>
          <w:rFonts w:hint="eastAsia" w:ascii="宋体" w:hAnsi="宋体"/>
          <w:color w:val="000000" w:themeColor="text1"/>
          <w:szCs w:val="21"/>
          <w:highlight w:val="none"/>
          <w14:textFill>
            <w14:solidFill>
              <w14:schemeClr w14:val="tx1"/>
            </w14:solidFill>
          </w14:textFill>
        </w:rPr>
      </w:pPr>
    </w:p>
    <w:p>
      <w:pPr>
        <w:keepNext w:val="0"/>
        <w:keepLines w:val="0"/>
        <w:pageBreakBefore/>
        <w:widowControl w:val="0"/>
        <w:tabs>
          <w:tab w:val="left" w:pos="720"/>
        </w:tabs>
        <w:kinsoku/>
        <w:wordWrap/>
        <w:overflowPunct/>
        <w:topLinePunct w:val="0"/>
        <w:autoSpaceDE/>
        <w:autoSpaceDN/>
        <w:bidi w:val="0"/>
        <w:adjustRightInd/>
        <w:snapToGrid/>
        <w:spacing w:before="291" w:beforeLines="100"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甲    方：</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    话：           　   传  真：           地  址：</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乙    方：</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电    话：                传  真：           地  址：   </w:t>
      </w:r>
    </w:p>
    <w:p>
      <w:pPr>
        <w:keepNext w:val="0"/>
        <w:keepLines w:val="0"/>
        <w:widowControl w:val="0"/>
        <w:tabs>
          <w:tab w:val="left" w:pos="720"/>
        </w:tabs>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项目名称：                                   采购编号：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555"/>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根据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项目（采购编号：</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）的采购结果</w:t>
      </w:r>
      <w:r>
        <w:rPr>
          <w:rFonts w:hint="eastAsia" w:ascii="宋体" w:hAnsi="宋体" w:eastAsia="宋体" w:cs="宋体"/>
          <w:color w:val="000000" w:themeColor="text1"/>
          <w:sz w:val="21"/>
          <w:szCs w:val="21"/>
          <w:highlight w:val="none"/>
          <w:lang w:val="en-US" w:eastAsia="zh-CN"/>
          <w14:textFill>
            <w14:solidFill>
              <w14:schemeClr w14:val="tx1"/>
            </w14:solidFill>
          </w14:textFill>
        </w:rPr>
        <w:t>及</w:t>
      </w:r>
      <w:r>
        <w:rPr>
          <w:rFonts w:hint="eastAsia" w:ascii="宋体" w:hAnsi="宋体" w:eastAsia="宋体" w:cs="宋体"/>
          <w:color w:val="000000" w:themeColor="text1"/>
          <w:sz w:val="21"/>
          <w:szCs w:val="21"/>
          <w:highlight w:val="none"/>
          <w14:textFill>
            <w14:solidFill>
              <w14:schemeClr w14:val="tx1"/>
            </w14:solidFill>
          </w14:textFill>
        </w:rPr>
        <w:t>招标投标文件中的相关约定，按照《中华人民共和国政府采购法》、</w:t>
      </w:r>
      <w:r>
        <w:rPr>
          <w:rFonts w:hint="eastAsia" w:ascii="宋体" w:hAnsi="宋体" w:cs="宋体"/>
          <w:color w:val="000000" w:themeColor="text1"/>
          <w:sz w:val="21"/>
          <w:szCs w:val="21"/>
          <w:highlight w:val="none"/>
          <w:lang w:eastAsia="zh-CN"/>
          <w14:textFill>
            <w14:solidFill>
              <w14:schemeClr w14:val="tx1"/>
            </w14:solidFill>
          </w14:textFill>
        </w:rPr>
        <w:t>《中华人民共和国民法典》</w:t>
      </w:r>
      <w:r>
        <w:rPr>
          <w:rFonts w:hint="eastAsia" w:ascii="宋体" w:hAnsi="宋体" w:eastAsia="宋体" w:cs="宋体"/>
          <w:color w:val="000000" w:themeColor="text1"/>
          <w:sz w:val="21"/>
          <w:szCs w:val="21"/>
          <w:highlight w:val="none"/>
          <w14:textFill>
            <w14:solidFill>
              <w14:schemeClr w14:val="tx1"/>
            </w14:solidFill>
          </w14:textFill>
        </w:rPr>
        <w:t>的规定，</w:t>
      </w:r>
      <w:r>
        <w:rPr>
          <w:rFonts w:hint="eastAsia" w:ascii="宋体" w:hAnsi="宋体" w:eastAsia="宋体" w:cs="宋体"/>
          <w:color w:val="000000" w:themeColor="text1"/>
          <w:kern w:val="28"/>
          <w:sz w:val="21"/>
          <w:szCs w:val="21"/>
          <w:highlight w:val="none"/>
          <w14:textFill>
            <w14:solidFill>
              <w14:schemeClr w14:val="tx1"/>
            </w14:solidFill>
          </w14:textFill>
        </w:rPr>
        <w:t>经双方协商，</w:t>
      </w:r>
      <w:r>
        <w:rPr>
          <w:rFonts w:hint="eastAsia" w:ascii="宋体" w:hAnsi="宋体" w:eastAsia="宋体" w:cs="宋体"/>
          <w:color w:val="000000" w:themeColor="text1"/>
          <w:sz w:val="21"/>
          <w:szCs w:val="21"/>
          <w:highlight w:val="none"/>
          <w14:textFill>
            <w14:solidFill>
              <w14:schemeClr w14:val="tx1"/>
            </w14:solidFill>
          </w14:textFill>
        </w:rPr>
        <w:t>本着平等互利和诚实信用的原则，</w:t>
      </w:r>
      <w:r>
        <w:rPr>
          <w:rFonts w:hint="eastAsia" w:ascii="宋体" w:hAnsi="宋体" w:eastAsia="宋体" w:cs="宋体"/>
          <w:color w:val="000000" w:themeColor="text1"/>
          <w:kern w:val="28"/>
          <w:sz w:val="21"/>
          <w:szCs w:val="21"/>
          <w:highlight w:val="none"/>
          <w14:textFill>
            <w14:solidFill>
              <w14:schemeClr w14:val="tx1"/>
            </w14:solidFill>
          </w14:textFill>
        </w:rPr>
        <w:t>一致同意签订本合同如下。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一、</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合同金额</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合同金额为人民币（大写</w:t>
      </w: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二、</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服务范围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甲方聘请乙方提供以下服务：</w:t>
      </w:r>
    </w:p>
    <w:p>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p>
    <w:p>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eastAsia="宋体"/>
          <w:b/>
          <w:bCs/>
          <w:color w:val="000000" w:themeColor="text1"/>
          <w:highlight w:val="none"/>
          <w:lang w:val="en-US" w:eastAsia="zh-CN"/>
          <w14:textFill>
            <w14:solidFill>
              <w14:schemeClr w14:val="tx1"/>
            </w14:solidFill>
          </w14:textFill>
        </w:rPr>
        <w:t>三、</w:t>
      </w:r>
      <w:r>
        <w:rPr>
          <w:rFonts w:hint="eastAsia" w:ascii="宋体" w:hAnsi="宋体" w:eastAsia="宋体" w:cs="宋体"/>
          <w:b/>
          <w:bCs/>
          <w:color w:val="000000" w:themeColor="text1"/>
          <w:sz w:val="21"/>
          <w:szCs w:val="21"/>
          <w:highlight w:val="none"/>
          <w14:textFill>
            <w14:solidFill>
              <w14:schemeClr w14:val="tx1"/>
            </w14:solidFill>
          </w14:textFill>
        </w:rPr>
        <w:t>甲方乙方的权利和义务</w:t>
      </w: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甲方的权利和义务</w:t>
      </w: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乙方的权利和义务</w:t>
      </w: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四、</w:t>
      </w:r>
      <w:r>
        <w:rPr>
          <w:rFonts w:hint="eastAsia" w:ascii="宋体" w:hAnsi="宋体" w:eastAsia="宋体" w:cs="宋体"/>
          <w:b/>
          <w:bCs/>
          <w:color w:val="000000" w:themeColor="text1"/>
          <w:sz w:val="21"/>
          <w:szCs w:val="21"/>
          <w:highlight w:val="none"/>
          <w14:textFill>
            <w14:solidFill>
              <w14:schemeClr w14:val="tx1"/>
            </w14:solidFill>
          </w14:textFill>
        </w:rPr>
        <w:t>服务期间（项目完成期限）</w:t>
      </w: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 xml:space="preserve">委托服务期间自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年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月至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年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月止。</w:t>
      </w: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五、付款方式</w:t>
      </w: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六、 知识产权归属</w:t>
      </w:r>
    </w:p>
    <w:p>
      <w:pPr>
        <w:pStyle w:val="54"/>
        <w:rPr>
          <w:rFonts w:hint="eastAsia"/>
          <w:color w:val="000000" w:themeColor="text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七 、 保 密</w:t>
      </w:r>
    </w:p>
    <w:p>
      <w:pPr>
        <w:pStyle w:val="54"/>
        <w:rPr>
          <w:rFonts w:hint="eastAsia"/>
          <w:color w:val="000000" w:themeColor="text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八、 违约责任与赔偿损失</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乙方提供的服务不符合本合同规定的，甲方有权拒收，并且乙方须向甲方支付本合同总价 5%的违约金。</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乙方未能按本合同规定的交货时间提供服务，从逾期之日起每日按本合同总价 3‰ 的数额向甲方支付违约金；逾期半个月以上的，甲方有权终止合同，由此造成的甲方经济损失由乙方承担。</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甲方无正当理由拒收接受服务，到期拒付服务款项的，甲方向乙方偿付本合同总的5%的违约金。甲方人逾期付款，则每日按本合同总价的 3‰向乙方偿付违约金。</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对于因甲方原因导致变更、中止或者终止政府采购合同的，甲方应当依照以下合同约定对供应商受到的损失予以赔偿或者补偿：</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其它违约责任按</w:t>
      </w:r>
      <w:r>
        <w:rPr>
          <w:rFonts w:hint="eastAsia" w:ascii="宋体" w:hAnsi="宋体" w:cs="宋体"/>
          <w:color w:val="000000" w:themeColor="text1"/>
          <w:sz w:val="21"/>
          <w:szCs w:val="21"/>
          <w:highlight w:val="none"/>
          <w:lang w:eastAsia="zh-CN"/>
          <w14:textFill>
            <w14:solidFill>
              <w14:schemeClr w14:val="tx1"/>
            </w14:solidFill>
          </w14:textFill>
        </w:rPr>
        <w:t>《中华人民共和国民法典》</w:t>
      </w:r>
      <w:r>
        <w:rPr>
          <w:rFonts w:hint="eastAsia" w:ascii="宋体" w:hAnsi="宋体" w:eastAsia="宋体" w:cs="宋体"/>
          <w:color w:val="000000" w:themeColor="text1"/>
          <w:sz w:val="21"/>
          <w:szCs w:val="21"/>
          <w:highlight w:val="none"/>
          <w14:textFill>
            <w14:solidFill>
              <w14:schemeClr w14:val="tx1"/>
            </w14:solidFill>
          </w14:textFill>
        </w:rPr>
        <w:t>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九、 争议的解决</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1.合同执行过程中发生的任何争议，如双方不能通过友好协商解决，按相关法律法规处理。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 不可抗力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1.任何一方由于不可抗力原因不能履行合同时，应在不可抗力事件结束后 1 日内向对方通报，以减轻可能给对方造成的损失，在取得有关机构的不可抗力证明或双方谅解确认后，允许延期履行或修订合同，并根据情况可部分或全部免于承担违约责任。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十一、  税费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1.在中国境内、外发生的与本合同执行有关的一切税费均由乙方负担。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十二、 其它</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本合同所有附件、招标文件、投标文件、中标通知书均为合同的有效组成部分，与本合同具有同等法律效力。</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在执行本合同的过程中，所有经双方签署确认的文件（包括会议纪要、补充协议、往来信函）即成为本合同的有效组成部分。</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如一方地址、电话、传真号码有变更，应在变更当日内书面通知对方，否则，应承担相应责任。</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除甲方事先书面同意外，乙方不得部分或全部转让其应履行的合同项下的义务。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十三、</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合同生效</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本合同在甲乙双方法人代表或其授权代表签字盖章后生效。</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合同一式 </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份。</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本项目合同订立后，应提供</w:t>
      </w:r>
      <w:r>
        <w:rPr>
          <w:rFonts w:hint="eastAsia" w:ascii="宋体" w:hAnsi="宋体" w:eastAsia="宋体" w:cs="宋体"/>
          <w:color w:val="000000" w:themeColor="text1"/>
          <w:sz w:val="21"/>
          <w:szCs w:val="21"/>
          <w:highlight w:val="none"/>
          <w:lang w:val="en-US" w:eastAsia="zh-CN"/>
          <w14:textFill>
            <w14:solidFill>
              <w14:schemeClr w14:val="tx1"/>
            </w14:solidFill>
          </w14:textFill>
        </w:rPr>
        <w:t>一份</w:t>
      </w:r>
      <w:r>
        <w:rPr>
          <w:rFonts w:hint="eastAsia" w:ascii="宋体" w:hAnsi="宋体" w:eastAsia="宋体" w:cs="宋体"/>
          <w:color w:val="000000" w:themeColor="text1"/>
          <w:sz w:val="21"/>
          <w:szCs w:val="21"/>
          <w:highlight w:val="none"/>
          <w14:textFill>
            <w14:solidFill>
              <w14:schemeClr w14:val="tx1"/>
            </w14:solidFill>
          </w14:textFill>
        </w:rPr>
        <w:t>至</w:t>
      </w:r>
      <w:r>
        <w:rPr>
          <w:rFonts w:hint="eastAsia" w:ascii="宋体" w:hAnsi="宋体" w:cs="宋体"/>
          <w:color w:val="000000" w:themeColor="text1"/>
          <w:sz w:val="21"/>
          <w:szCs w:val="21"/>
          <w:highlight w:val="none"/>
          <w:u w:val="single"/>
          <w:lang w:eastAsia="zh-CN"/>
          <w14:textFill>
            <w14:solidFill>
              <w14:schemeClr w14:val="tx1"/>
            </w14:solidFill>
          </w14:textFill>
        </w:rPr>
        <w:t>广东业信招标有限公司</w:t>
      </w:r>
      <w:r>
        <w:rPr>
          <w:rFonts w:hint="eastAsia" w:ascii="宋体" w:hAnsi="宋体" w:eastAsia="宋体" w:cs="宋体"/>
          <w:color w:val="000000" w:themeColor="text1"/>
          <w:sz w:val="21"/>
          <w:szCs w:val="21"/>
          <w:highlight w:val="none"/>
          <w14:textFill>
            <w14:solidFill>
              <w14:schemeClr w14:val="tx1"/>
            </w14:solidFill>
          </w14:textFill>
        </w:rPr>
        <w:t xml:space="preserve">备案；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甲方（盖章）：                         乙方（盖章）：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代表：                                代表：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签定地点：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签定日期：   年   月  日              签定日期：    年   月   日    </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开户名称：</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银行帐号：</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ascii="宋体" w:hAnsi="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 户 行：</w:t>
      </w:r>
    </w:p>
    <w:p>
      <w:pPr>
        <w:rPr>
          <w:color w:val="000000" w:themeColor="text1"/>
          <w:highlight w:val="none"/>
          <w14:textFill>
            <w14:solidFill>
              <w14:schemeClr w14:val="tx1"/>
            </w14:solidFill>
          </w14:textFill>
        </w:rPr>
      </w:pPr>
    </w:p>
    <w:p>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footerReference r:id="rId10" w:type="first"/>
          <w:footerReference r:id="rId9" w:type="default"/>
          <w:pgSz w:w="11906" w:h="16838"/>
          <w:pgMar w:top="1418" w:right="1474" w:bottom="1418" w:left="1474" w:header="851" w:footer="851" w:gutter="0"/>
          <w:cols w:space="720" w:num="1"/>
          <w:titlePg/>
          <w:docGrid w:linePitch="312" w:charSpace="0"/>
        </w:sectPr>
      </w:pPr>
    </w:p>
    <w:p>
      <w:pPr>
        <w:pStyle w:val="3"/>
        <w:numPr>
          <w:ilvl w:val="0"/>
          <w:numId w:val="0"/>
        </w:numPr>
        <w:spacing w:beforeLines="0"/>
        <w:rPr>
          <w:color w:val="000000" w:themeColor="text1"/>
          <w:highlight w:val="none"/>
          <w14:textFill>
            <w14:solidFill>
              <w14:schemeClr w14:val="tx1"/>
            </w14:solidFill>
          </w14:textFill>
        </w:rPr>
      </w:pPr>
      <w:bookmarkStart w:id="1612" w:name="_Toc339020243"/>
      <w:bookmarkStart w:id="1613" w:name="_Toc336681590"/>
      <w:bookmarkStart w:id="1614" w:name="_Toc339020105"/>
      <w:bookmarkStart w:id="1615" w:name="_Toc339362310"/>
      <w:bookmarkStart w:id="1616" w:name="_Toc350756460"/>
      <w:bookmarkStart w:id="1617" w:name="_Toc349143599"/>
      <w:bookmarkStart w:id="1618" w:name="_Toc332206718"/>
      <w:bookmarkStart w:id="1619" w:name="_Toc339020025"/>
      <w:bookmarkStart w:id="1620" w:name="_Toc341348348"/>
      <w:bookmarkStart w:id="1621" w:name="_Toc340672879"/>
      <w:bookmarkStart w:id="1622" w:name="_Toc340677080"/>
      <w:bookmarkStart w:id="1623" w:name="_Toc339019899"/>
      <w:bookmarkStart w:id="1624" w:name="_Toc350438759"/>
      <w:bookmarkStart w:id="1625" w:name="_Toc342060384"/>
      <w:bookmarkStart w:id="1626" w:name="_Toc333237798"/>
      <w:bookmarkStart w:id="1627" w:name="_Toc333935356"/>
      <w:bookmarkStart w:id="1628" w:name="_Toc491658678"/>
      <w:bookmarkStart w:id="1629" w:name="_Toc333935697"/>
      <w:bookmarkStart w:id="1630" w:name="_Toc345513911"/>
      <w:bookmarkStart w:id="1631" w:name="_Toc365967082"/>
      <w:bookmarkStart w:id="1632" w:name="_Toc365985188"/>
      <w:bookmarkStart w:id="1633" w:name="_Toc330459995"/>
      <w:bookmarkStart w:id="1634" w:name="_Toc331512908"/>
      <w:bookmarkStart w:id="1635" w:name="_Toc342296770"/>
      <w:bookmarkStart w:id="1636" w:name="_Toc339441097"/>
      <w:bookmarkStart w:id="1637" w:name="_Toc340507452"/>
      <w:bookmarkStart w:id="1638" w:name="_Toc332270356"/>
      <w:bookmarkStart w:id="1639" w:name="_Toc333238643"/>
      <w:bookmarkStart w:id="1640" w:name="_Toc366072539"/>
      <w:bookmarkStart w:id="1641" w:name="_Toc337632368"/>
      <w:bookmarkStart w:id="1642" w:name="_Toc500861025"/>
      <w:bookmarkStart w:id="1643" w:name="_Toc349127636"/>
      <w:bookmarkStart w:id="1644" w:name="_Toc331684048"/>
      <w:bookmarkStart w:id="1645" w:name="_Toc333237687"/>
      <w:bookmarkStart w:id="1646" w:name="_Toc336681945"/>
      <w:bookmarkStart w:id="1647" w:name="_Toc15858"/>
      <w:r>
        <w:rPr>
          <w:rFonts w:hint="eastAsia"/>
          <w:color w:val="000000" w:themeColor="text1"/>
          <w:highlight w:val="none"/>
          <w14:textFill>
            <w14:solidFill>
              <w14:schemeClr w14:val="tx1"/>
            </w14:solidFill>
          </w14:textFill>
        </w:rPr>
        <w:t>第五部分</w:t>
      </w:r>
      <w:bookmarkStart w:id="1648" w:name="_Hlt97188172"/>
      <w:bookmarkEnd w:id="1648"/>
      <w:r>
        <w:rPr>
          <w:rFonts w:hint="eastAsia"/>
          <w:color w:val="000000" w:themeColor="text1"/>
          <w:highlight w:val="none"/>
          <w14:textFill>
            <w14:solidFill>
              <w14:schemeClr w14:val="tx1"/>
            </w14:solidFill>
          </w14:textFill>
        </w:rPr>
        <w:t>投标文件格式</w:t>
      </w:r>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Start w:id="1649" w:name="_Hlt21938933"/>
      <w:bookmarkEnd w:id="1649"/>
    </w:p>
    <w:p>
      <w:pPr>
        <w:pStyle w:val="4"/>
        <w:numPr>
          <w:ilvl w:val="0"/>
          <w:numId w:val="0"/>
        </w:numPr>
        <w:rPr>
          <w:color w:val="000000" w:themeColor="text1"/>
          <w:sz w:val="24"/>
          <w:highlight w:val="none"/>
          <w14:textFill>
            <w14:solidFill>
              <w14:schemeClr w14:val="tx1"/>
            </w14:solidFill>
          </w14:textFill>
        </w:rPr>
      </w:pPr>
      <w:bookmarkStart w:id="1650" w:name="_Toc18699"/>
      <w:bookmarkStart w:id="1651" w:name="_Toc10098"/>
      <w:r>
        <w:rPr>
          <w:rFonts w:hint="eastAsia"/>
          <w:color w:val="000000" w:themeColor="text1"/>
          <w:sz w:val="24"/>
          <w:highlight w:val="none"/>
          <w14:textFill>
            <w14:solidFill>
              <w14:schemeClr w14:val="tx1"/>
            </w14:solidFill>
          </w14:textFill>
        </w:rPr>
        <w:t>资格审查封面格式</w:t>
      </w:r>
      <w:bookmarkEnd w:id="1650"/>
      <w:bookmarkEnd w:id="1651"/>
    </w:p>
    <w:p>
      <w:pPr>
        <w:pStyle w:val="2"/>
        <w:rPr>
          <w:rFonts w:hAnsi="宋体"/>
          <w:bCs/>
          <w:color w:val="000000" w:themeColor="text1"/>
          <w:sz w:val="21"/>
          <w:highlight w:val="none"/>
          <w14:textFill>
            <w14:solidFill>
              <w14:schemeClr w14:val="tx1"/>
            </w14:solidFill>
          </w14:textFill>
        </w:rPr>
      </w:pP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 xml:space="preserve">1、投标内容应当编有目录、页码，按页码排序并装订成册。  </w:t>
      </w:r>
    </w:p>
    <w:p>
      <w:pPr>
        <w:pStyle w:val="2"/>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pStyle w:val="2"/>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（资格审查文件）</w:t>
      </w: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4"/>
        <w:numPr>
          <w:ilvl w:val="7"/>
          <w:numId w:val="6"/>
        </w:numPr>
        <w:tabs>
          <w:tab w:val="clear" w:pos="720"/>
        </w:tabs>
        <w:spacing w:before="240" w:after="240" w:line="360" w:lineRule="exact"/>
        <w:ind w:left="0" w:firstLine="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  </w:t>
      </w:r>
      <w:bookmarkStart w:id="1652" w:name="_Toc19383"/>
      <w:bookmarkStart w:id="1653" w:name="_Toc31809"/>
      <w:r>
        <w:rPr>
          <w:rFonts w:hint="eastAsia"/>
          <w:color w:val="000000" w:themeColor="text1"/>
          <w:sz w:val="24"/>
          <w:highlight w:val="none"/>
          <w14:textFill>
            <w14:solidFill>
              <w14:schemeClr w14:val="tx1"/>
            </w14:solidFill>
          </w14:textFill>
        </w:rPr>
        <w:t>自查表</w:t>
      </w:r>
      <w:bookmarkEnd w:id="1652"/>
      <w:bookmarkEnd w:id="1653"/>
    </w:p>
    <w:p>
      <w:pPr>
        <w:pStyle w:val="4"/>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654" w:name="_Toc15898"/>
      <w:r>
        <w:rPr>
          <w:rFonts w:hint="eastAsia" w:ascii="宋体"/>
          <w:b/>
          <w:bCs w:val="0"/>
          <w:color w:val="000000" w:themeColor="text1"/>
          <w:szCs w:val="21"/>
          <w:highlight w:val="none"/>
          <w14:textFill>
            <w14:solidFill>
              <w14:schemeClr w14:val="tx1"/>
            </w14:solidFill>
          </w14:textFill>
        </w:rPr>
        <w:t xml:space="preserve"> </w:t>
      </w:r>
      <w:bookmarkStart w:id="1655" w:name="_Toc2892"/>
      <w:r>
        <w:rPr>
          <w:rFonts w:hint="eastAsia" w:ascii="宋体"/>
          <w:b/>
          <w:bCs w:val="0"/>
          <w:color w:val="000000" w:themeColor="text1"/>
          <w:szCs w:val="21"/>
          <w:highlight w:val="none"/>
          <w14:textFill>
            <w14:solidFill>
              <w14:schemeClr w14:val="tx1"/>
            </w14:solidFill>
          </w14:textFill>
        </w:rPr>
        <w:t>资格性自查表</w:t>
      </w:r>
      <w:bookmarkEnd w:id="1654"/>
      <w:bookmarkEnd w:id="1655"/>
    </w:p>
    <w:p>
      <w:pPr>
        <w:jc w:val="center"/>
        <w:rPr>
          <w:rFonts w:ascii="宋体" w:hAnsi="宋体"/>
          <w:b/>
          <w:bCs/>
          <w:color w:val="000000" w:themeColor="text1"/>
          <w:szCs w:val="21"/>
          <w:highlight w:val="none"/>
          <w14:textFill>
            <w14:solidFill>
              <w14:schemeClr w14:val="tx1"/>
            </w14:solidFill>
          </w14:textFill>
        </w:rPr>
      </w:pPr>
    </w:p>
    <w:tbl>
      <w:tblPr>
        <w:tblStyle w:val="46"/>
        <w:tblW w:w="9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
        <w:gridCol w:w="1862"/>
        <w:gridCol w:w="2817"/>
        <w:gridCol w:w="1743"/>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74" w:type="dxa"/>
            <w:gridSpan w:val="2"/>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2817" w:type="dxa"/>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743" w:type="dxa"/>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484" w:type="dxa"/>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0" w:hRule="atLeast"/>
          <w:jc w:val="center"/>
        </w:trPr>
        <w:tc>
          <w:tcPr>
            <w:tcW w:w="912" w:type="dxa"/>
            <w:vMerge w:val="restart"/>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资格性</w:t>
            </w:r>
          </w:p>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检查</w:t>
            </w:r>
          </w:p>
        </w:tc>
        <w:tc>
          <w:tcPr>
            <w:tcW w:w="1862" w:type="dxa"/>
            <w:vMerge w:val="restart"/>
            <w:vAlign w:val="center"/>
          </w:tcPr>
          <w:p>
            <w:pPr>
              <w:keepNext w:val="0"/>
              <w:keepLines w:val="0"/>
              <w:pageBreakBefore w:val="0"/>
              <w:widowControl w:val="0"/>
              <w:tabs>
                <w:tab w:val="left" w:pos="146"/>
              </w:tabs>
              <w:kinsoku/>
              <w:wordWrap/>
              <w:overflowPunct/>
              <w:topLinePunct w:val="0"/>
              <w:autoSpaceDE/>
              <w:autoSpaceDN/>
              <w:bidi w:val="0"/>
              <w:adjustRightInd/>
              <w:snapToGrid/>
              <w:spacing w:line="320" w:lineRule="exact"/>
              <w:ind w:left="146"/>
              <w:textAlignment w:val="auto"/>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投标人资格要求</w:t>
            </w:r>
          </w:p>
        </w:tc>
        <w:tc>
          <w:tcPr>
            <w:tcW w:w="2817"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20" w:lineRule="exact"/>
              <w:textAlignment w:val="auto"/>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投标人应具备《中华人民共和国政府采购法》第二十二条规定的条件</w:t>
            </w:r>
          </w:p>
        </w:tc>
        <w:tc>
          <w:tcPr>
            <w:tcW w:w="1743" w:type="dxa"/>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textAlignment w:val="auto"/>
              <w:rPr>
                <w:rFonts w:ascii="宋体" w:hAnsi="宋体"/>
                <w:b/>
                <w:bCs/>
                <w:color w:val="000000" w:themeColor="text1"/>
                <w:szCs w:val="21"/>
                <w:highlight w:val="none"/>
                <w14:textFill>
                  <w14:solidFill>
                    <w14:schemeClr w14:val="tx1"/>
                  </w14:solidFill>
                </w14:textFill>
              </w:rPr>
            </w:pPr>
          </w:p>
        </w:tc>
        <w:tc>
          <w:tcPr>
            <w:tcW w:w="2484"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见投标文件</w:t>
            </w:r>
          </w:p>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要求：提交合法有效的营业执照复印件加盖公章、</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1" w:hRule="atLeast"/>
          <w:jc w:val="center"/>
        </w:trPr>
        <w:tc>
          <w:tcPr>
            <w:tcW w:w="912" w:type="dxa"/>
            <w:vMerge w:val="continue"/>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hint="eastAsia" w:ascii="宋体" w:hAnsi="宋体"/>
                <w:color w:val="000000" w:themeColor="text1"/>
                <w:szCs w:val="21"/>
                <w:highlight w:val="none"/>
                <w14:textFill>
                  <w14:solidFill>
                    <w14:schemeClr w14:val="tx1"/>
                  </w14:solidFill>
                </w14:textFill>
              </w:rPr>
            </w:pPr>
          </w:p>
        </w:tc>
        <w:tc>
          <w:tcPr>
            <w:tcW w:w="1862" w:type="dxa"/>
            <w:vMerge w:val="continue"/>
            <w:vAlign w:val="center"/>
          </w:tcPr>
          <w:p>
            <w:pPr>
              <w:keepNext w:val="0"/>
              <w:keepLines w:val="0"/>
              <w:pageBreakBefore w:val="0"/>
              <w:widowControl w:val="0"/>
              <w:tabs>
                <w:tab w:val="left" w:pos="146"/>
              </w:tabs>
              <w:kinsoku/>
              <w:wordWrap/>
              <w:overflowPunct/>
              <w:topLinePunct w:val="0"/>
              <w:autoSpaceDE/>
              <w:autoSpaceDN/>
              <w:bidi w:val="0"/>
              <w:adjustRightInd/>
              <w:snapToGrid/>
              <w:spacing w:line="320" w:lineRule="exact"/>
              <w:ind w:left="146"/>
              <w:textAlignment w:val="auto"/>
              <w:rPr>
                <w:rFonts w:hint="eastAsia" w:ascii="宋体" w:hAnsi="宋体"/>
                <w:b w:val="0"/>
                <w:bCs w:val="0"/>
                <w:color w:val="000000" w:themeColor="text1"/>
                <w:szCs w:val="21"/>
                <w:highlight w:val="none"/>
                <w14:textFill>
                  <w14:solidFill>
                    <w14:schemeClr w14:val="tx1"/>
                  </w14:solidFill>
                </w14:textFill>
              </w:rPr>
            </w:pPr>
          </w:p>
        </w:tc>
        <w:tc>
          <w:tcPr>
            <w:tcW w:w="2817"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20" w:lineRule="exact"/>
              <w:textAlignment w:val="auto"/>
              <w:rPr>
                <w:rFonts w:hint="eastAsia" w:ascii="宋体" w:hAnsi="宋体"/>
                <w:b w:val="0"/>
                <w:bCs w:val="0"/>
                <w:color w:val="000000" w:themeColor="text1"/>
                <w:szCs w:val="21"/>
                <w:highlight w:val="none"/>
                <w14:textFill>
                  <w14:solidFill>
                    <w14:schemeClr w14:val="tx1"/>
                  </w14:solidFill>
                </w14:textFill>
              </w:rPr>
            </w:pPr>
            <w:r>
              <w:rPr>
                <w:rFonts w:hint="eastAsia" w:ascii="宋体" w:hAnsi="宋体" w:eastAsia="宋体"/>
                <w:b w:val="0"/>
                <w:bCs w:val="0"/>
                <w:color w:val="000000" w:themeColor="text1"/>
                <w:szCs w:val="21"/>
                <w:highlight w:val="none"/>
                <w:lang w:eastAsia="zh-CN"/>
                <w14:textFill>
                  <w14:solidFill>
                    <w14:schemeClr w14:val="tx1"/>
                  </w14:solidFill>
                </w14:textFill>
              </w:rPr>
              <w:t>投标人应为在阳江市建成区内依法设立并取得营业执照的市级商业银行、农村</w:t>
            </w:r>
            <w:r>
              <w:rPr>
                <w:rFonts w:hint="eastAsia" w:ascii="宋体" w:hAnsi="宋体" w:eastAsia="宋体"/>
                <w:b w:val="0"/>
                <w:bCs w:val="0"/>
                <w:color w:val="000000" w:themeColor="text1"/>
                <w:szCs w:val="21"/>
                <w:highlight w:val="none"/>
                <w:lang w:val="en-US" w:eastAsia="zh-CN"/>
                <w14:textFill>
                  <w14:solidFill>
                    <w14:schemeClr w14:val="tx1"/>
                  </w14:solidFill>
                </w14:textFill>
              </w:rPr>
              <w:t>商业银行</w:t>
            </w:r>
            <w:r>
              <w:rPr>
                <w:rFonts w:hint="eastAsia" w:ascii="宋体" w:hAnsi="宋体" w:eastAsia="宋体"/>
                <w:b w:val="0"/>
                <w:bCs w:val="0"/>
                <w:color w:val="000000" w:themeColor="text1"/>
                <w:szCs w:val="21"/>
                <w:highlight w:val="none"/>
                <w:lang w:eastAsia="zh-CN"/>
                <w14:textFill>
                  <w14:solidFill>
                    <w14:schemeClr w14:val="tx1"/>
                  </w14:solidFill>
                </w14:textFill>
              </w:rPr>
              <w:t>等吸收公众存款的金融机构以及政策性银行；（</w:t>
            </w:r>
            <w:r>
              <w:rPr>
                <w:rFonts w:hint="eastAsia" w:ascii="宋体" w:hAnsi="宋体" w:eastAsia="宋体"/>
                <w:b w:val="0"/>
                <w:bCs w:val="0"/>
                <w:color w:val="000000" w:themeColor="text1"/>
                <w:szCs w:val="21"/>
                <w:highlight w:val="none"/>
                <w:lang w:val="en-US" w:eastAsia="zh-CN"/>
                <w14:textFill>
                  <w14:solidFill>
                    <w14:schemeClr w14:val="tx1"/>
                  </w14:solidFill>
                </w14:textFill>
              </w:rPr>
              <w:t>提供《金融许可证》</w:t>
            </w:r>
            <w:r>
              <w:rPr>
                <w:rFonts w:hint="eastAsia" w:ascii="宋体" w:hAnsi="宋体" w:eastAsia="宋体"/>
                <w:b w:val="0"/>
                <w:bCs w:val="0"/>
                <w:color w:val="000000" w:themeColor="text1"/>
                <w:szCs w:val="21"/>
                <w:highlight w:val="none"/>
                <w:lang w:eastAsia="zh-CN"/>
                <w14:textFill>
                  <w14:solidFill>
                    <w14:schemeClr w14:val="tx1"/>
                  </w14:solidFill>
                </w14:textFill>
              </w:rPr>
              <w:t>）</w:t>
            </w:r>
          </w:p>
        </w:tc>
        <w:tc>
          <w:tcPr>
            <w:tcW w:w="1743" w:type="dxa"/>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textAlignment w:val="auto"/>
              <w:rPr>
                <w:rFonts w:ascii="宋体" w:hAnsi="宋体"/>
                <w:b/>
                <w:bCs/>
                <w:color w:val="000000" w:themeColor="text1"/>
                <w:szCs w:val="21"/>
                <w:highlight w:val="none"/>
                <w14:textFill>
                  <w14:solidFill>
                    <w14:schemeClr w14:val="tx1"/>
                  </w14:solidFill>
                </w14:textFill>
              </w:rPr>
            </w:pPr>
          </w:p>
        </w:tc>
        <w:tc>
          <w:tcPr>
            <w:tcW w:w="2484"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912" w:type="dxa"/>
            <w:vMerge w:val="continue"/>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color w:val="000000" w:themeColor="text1"/>
                <w:szCs w:val="21"/>
                <w:highlight w:val="none"/>
                <w14:textFill>
                  <w14:solidFill>
                    <w14:schemeClr w14:val="tx1"/>
                  </w14:solidFill>
                </w14:textFill>
              </w:rPr>
            </w:pPr>
          </w:p>
        </w:tc>
        <w:tc>
          <w:tcPr>
            <w:tcW w:w="1862" w:type="dxa"/>
            <w:vAlign w:val="center"/>
          </w:tcPr>
          <w:p>
            <w:pPr>
              <w:keepNext w:val="0"/>
              <w:keepLines w:val="0"/>
              <w:pageBreakBefore w:val="0"/>
              <w:widowControl w:val="0"/>
              <w:tabs>
                <w:tab w:val="left" w:pos="146"/>
              </w:tabs>
              <w:kinsoku/>
              <w:wordWrap/>
              <w:overflowPunct/>
              <w:topLinePunct w:val="0"/>
              <w:autoSpaceDE/>
              <w:autoSpaceDN/>
              <w:bidi w:val="0"/>
              <w:adjustRightInd/>
              <w:snapToGrid/>
              <w:spacing w:line="320" w:lineRule="exact"/>
              <w:ind w:left="146"/>
              <w:textAlignment w:val="auto"/>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lang w:val="en-US" w:eastAsia="zh-CN"/>
                <w14:textFill>
                  <w14:solidFill>
                    <w14:schemeClr w14:val="tx1"/>
                  </w14:solidFill>
                </w14:textFill>
              </w:rPr>
              <w:t>本项目不接受联合体投标，中标单位不得转分包项目</w:t>
            </w:r>
          </w:p>
        </w:tc>
        <w:tc>
          <w:tcPr>
            <w:tcW w:w="2817"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20" w:lineRule="exact"/>
              <w:textAlignment w:val="auto"/>
              <w:rPr>
                <w:rFonts w:ascii="宋体" w:hAnsi="宋体"/>
                <w:b w:val="0"/>
                <w:bCs w:val="0"/>
                <w:color w:val="000000" w:themeColor="text1"/>
                <w:sz w:val="24"/>
                <w:szCs w:val="24"/>
                <w:highlight w:val="none"/>
                <w14:textFill>
                  <w14:solidFill>
                    <w14:schemeClr w14:val="tx1"/>
                  </w14:solidFill>
                </w14:textFill>
              </w:rPr>
            </w:pPr>
            <w:r>
              <w:rPr>
                <w:rFonts w:hint="eastAsia" w:ascii="宋体" w:hAnsi="宋体"/>
                <w:b w:val="0"/>
                <w:bCs w:val="0"/>
                <w:color w:val="000000" w:themeColor="text1"/>
                <w:sz w:val="21"/>
                <w:szCs w:val="21"/>
                <w:highlight w:val="none"/>
                <w14:textFill>
                  <w14:solidFill>
                    <w14:schemeClr w14:val="tx1"/>
                  </w14:solidFill>
                </w14:textFill>
              </w:rPr>
              <w:t>按招标文件要求</w:t>
            </w:r>
          </w:p>
        </w:tc>
        <w:tc>
          <w:tcPr>
            <w:tcW w:w="1743" w:type="dxa"/>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107" w:leftChars="-51" w:firstLine="106"/>
              <w:textAlignment w:val="auto"/>
              <w:rPr>
                <w:rFonts w:ascii="宋体" w:hAnsi="宋体"/>
                <w:b/>
                <w:bCs/>
                <w:color w:val="000000" w:themeColor="text1"/>
                <w:szCs w:val="21"/>
                <w:highlight w:val="none"/>
                <w14:textFill>
                  <w14:solidFill>
                    <w14:schemeClr w14:val="tx1"/>
                  </w14:solidFill>
                </w14:textFill>
              </w:rPr>
            </w:pPr>
          </w:p>
        </w:tc>
        <w:tc>
          <w:tcPr>
            <w:tcW w:w="2484"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rPr>
          <w:rFonts w:hint="eastAsia" w:ascii="宋体" w:hAnsi="宋体"/>
          <w:color w:val="000000" w:themeColor="text1"/>
          <w:szCs w:val="21"/>
          <w:highlight w:val="none"/>
          <w14:textFill>
            <w14:solidFill>
              <w14:schemeClr w14:val="tx1"/>
            </w14:solidFill>
          </w14:textFill>
        </w:rPr>
      </w:pPr>
    </w:p>
    <w:p>
      <w:pPr>
        <w:tabs>
          <w:tab w:val="center" w:pos="4483"/>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p>
    <w:p>
      <w:pPr>
        <w:adjustRightInd w:val="0"/>
        <w:snapToGrid w:val="0"/>
        <w:spacing w:line="300" w:lineRule="auto"/>
        <w:rPr>
          <w:color w:val="000000" w:themeColor="text1"/>
          <w:szCs w:val="2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adjustRightInd w:val="0"/>
        <w:snapToGrid w:val="0"/>
        <w:spacing w:line="300" w:lineRule="auto"/>
        <w:rPr>
          <w:color w:val="000000" w:themeColor="text1"/>
          <w:sz w:val="24"/>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bookmarkStart w:id="1656" w:name="_Toc21470"/>
      <w:r>
        <w:rPr>
          <w:rFonts w:hint="eastAsia"/>
          <w:color w:val="000000" w:themeColor="text1"/>
          <w:highlight w:val="none"/>
          <w14:textFill>
            <w14:solidFill>
              <w14:schemeClr w14:val="tx1"/>
            </w14:solidFill>
          </w14:textFill>
        </w:rPr>
        <w:br w:type="page"/>
      </w:r>
    </w:p>
    <w:p>
      <w:pPr>
        <w:pStyle w:val="4"/>
        <w:numPr>
          <w:ilvl w:val="0"/>
          <w:numId w:val="0"/>
        </w:numPr>
        <w:rPr>
          <w:color w:val="000000" w:themeColor="text1"/>
          <w:highlight w:val="none"/>
          <w14:textFill>
            <w14:solidFill>
              <w14:schemeClr w14:val="tx1"/>
            </w14:solidFill>
          </w14:textFill>
        </w:rPr>
      </w:pPr>
      <w:bookmarkStart w:id="1657" w:name="_Toc6991"/>
      <w:r>
        <w:rPr>
          <w:rFonts w:hint="eastAsia"/>
          <w:color w:val="000000" w:themeColor="text1"/>
          <w:highlight w:val="none"/>
          <w14:textFill>
            <w14:solidFill>
              <w14:schemeClr w14:val="tx1"/>
            </w14:solidFill>
          </w14:textFill>
        </w:rPr>
        <w:t>（一）资格审查文件要求提交的有效证明文件</w:t>
      </w:r>
      <w:bookmarkEnd w:id="1656"/>
      <w:bookmarkEnd w:id="1657"/>
    </w:p>
    <w:p>
      <w:pPr>
        <w:adjustRightInd w:val="0"/>
        <w:snapToGrid w:val="0"/>
        <w:spacing w:line="360" w:lineRule="auto"/>
        <w:jc w:val="left"/>
        <w:rPr>
          <w:rFonts w:ascii="宋体" w:hAnsi="宋体"/>
          <w:b/>
          <w:bCs/>
          <w:cap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pStyle w:val="2"/>
        <w:rPr>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6、相关资质证明文件：</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p>
      <w:pPr>
        <w:pStyle w:val="2"/>
        <w:rPr>
          <w:rFonts w:hAnsi="宋体"/>
          <w:bCs/>
          <w:color w:val="000000" w:themeColor="text1"/>
          <w:sz w:val="21"/>
          <w:szCs w:val="21"/>
          <w:highlight w:val="none"/>
          <w14:textFill>
            <w14:solidFill>
              <w14:schemeClr w14:val="tx1"/>
            </w14:solidFill>
          </w14:textFill>
        </w:rPr>
      </w:pPr>
    </w:p>
    <w:p>
      <w:pPr>
        <w:pStyle w:val="2"/>
        <w:rPr>
          <w:rFonts w:hAnsi="宋体"/>
          <w:bCs/>
          <w:color w:val="000000" w:themeColor="text1"/>
          <w:sz w:val="21"/>
          <w:szCs w:val="21"/>
          <w:highlight w:val="none"/>
          <w14:textFill>
            <w14:solidFill>
              <w14:schemeClr w14:val="tx1"/>
            </w14:solidFill>
          </w14:textFill>
        </w:rPr>
      </w:pPr>
    </w:p>
    <w:p>
      <w:pPr>
        <w:pStyle w:val="2"/>
        <w:rPr>
          <w:rFonts w:hAnsi="宋体"/>
          <w:bCs/>
          <w:color w:val="000000" w:themeColor="text1"/>
          <w:sz w:val="21"/>
          <w:szCs w:val="21"/>
          <w:highlight w:val="none"/>
          <w14:textFill>
            <w14:solidFill>
              <w14:schemeClr w14:val="tx1"/>
            </w14:solidFill>
          </w14:textFill>
        </w:rPr>
      </w:pPr>
    </w:p>
    <w:p>
      <w:pPr>
        <w:pStyle w:val="2"/>
        <w:rPr>
          <w:rFonts w:hAnsi="宋体"/>
          <w:bCs/>
          <w:color w:val="000000" w:themeColor="text1"/>
          <w:sz w:val="21"/>
          <w:szCs w:val="21"/>
          <w:highlight w:val="none"/>
          <w14:textFill>
            <w14:solidFill>
              <w14:schemeClr w14:val="tx1"/>
            </w14:solidFill>
          </w14:textFill>
        </w:rPr>
      </w:pPr>
    </w:p>
    <w:p>
      <w:pPr>
        <w:pStyle w:val="2"/>
        <w:rPr>
          <w:rFonts w:hAnsi="宋体"/>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提供招标文件要求的资格</w:t>
      </w:r>
      <w:r>
        <w:rPr>
          <w:rFonts w:hint="eastAsia" w:hAnsi="宋体"/>
          <w:color w:val="000000" w:themeColor="text1"/>
          <w:sz w:val="21"/>
          <w:szCs w:val="21"/>
          <w:highlight w:val="none"/>
          <w14:textFill>
            <w14:solidFill>
              <w14:schemeClr w14:val="tx1"/>
            </w14:solidFill>
          </w14:textFill>
        </w:rPr>
        <w:t>证明文件复印件加盖公章。</w:t>
      </w: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4"/>
        <w:numPr>
          <w:ilvl w:val="0"/>
          <w:numId w:val="0"/>
        </w:numPr>
        <w:rPr>
          <w:rFonts w:hAnsi="黑体"/>
          <w:color w:val="000000" w:themeColor="text1"/>
          <w:szCs w:val="21"/>
          <w:highlight w:val="none"/>
          <w14:textFill>
            <w14:solidFill>
              <w14:schemeClr w14:val="tx1"/>
            </w14:solidFill>
          </w14:textFill>
        </w:rPr>
      </w:pPr>
      <w:bookmarkStart w:id="1658" w:name="_Toc17196"/>
      <w:bookmarkStart w:id="1659" w:name="_Toc26194"/>
      <w:r>
        <w:rPr>
          <w:rFonts w:hint="eastAsia" w:hAnsi="黑体"/>
          <w:color w:val="000000" w:themeColor="text1"/>
          <w:szCs w:val="21"/>
          <w:highlight w:val="none"/>
          <w14:textFill>
            <w14:solidFill>
              <w14:schemeClr w14:val="tx1"/>
            </w14:solidFill>
          </w14:textFill>
        </w:rPr>
        <w:t>（二）无重大违法记录声明函</w:t>
      </w:r>
      <w:bookmarkEnd w:id="1658"/>
      <w:bookmarkEnd w:id="1659"/>
    </w:p>
    <w:p>
      <w:pPr>
        <w:pStyle w:val="2"/>
        <w:spacing w:line="360" w:lineRule="auto"/>
        <w:ind w:left="420" w:firstLine="0"/>
        <w:rPr>
          <w:color w:val="000000" w:themeColor="text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w:t>
      </w:r>
      <w:r>
        <w:rPr>
          <w:rFonts w:hint="eastAsia"/>
          <w:color w:val="000000" w:themeColor="text1"/>
          <w:szCs w:val="21"/>
          <w:highlight w:val="none"/>
          <w:lang w:eastAsia="zh-CN"/>
          <w14:textFill>
            <w14:solidFill>
              <w14:schemeClr w14:val="tx1"/>
            </w14:solidFill>
          </w14:textFill>
        </w:rPr>
        <w:t>广东业信招标有限公司</w:t>
      </w:r>
      <w:r>
        <w:rPr>
          <w:rFonts w:hint="eastAsia"/>
          <w:color w:val="000000" w:themeColor="text1"/>
          <w:szCs w:val="21"/>
          <w:highlight w:val="none"/>
          <w14:textFill>
            <w14:solidFill>
              <w14:schemeClr w14:val="tx1"/>
            </w14:solidFill>
          </w14:textFill>
        </w:rPr>
        <w:t>：</w:t>
      </w:r>
    </w:p>
    <w:p>
      <w:pPr>
        <w:spacing w:line="360" w:lineRule="auto"/>
        <w:rPr>
          <w:rFonts w:ascii="宋体" w:hAnsi="宋体"/>
          <w:bCs/>
          <w:color w:val="000000" w:themeColor="text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针对贵</w:t>
      </w:r>
      <w:r>
        <w:rPr>
          <w:rFonts w:hint="eastAsia" w:ascii="宋体" w:hAnsi="宋体"/>
          <w:color w:val="000000" w:themeColor="text1"/>
          <w:szCs w:val="21"/>
          <w:highlight w:val="none"/>
          <w14:textFill>
            <w14:solidFill>
              <w14:schemeClr w14:val="tx1"/>
            </w14:solidFill>
          </w14:textFill>
        </w:rPr>
        <w:t>方</w:t>
      </w:r>
      <w:r>
        <w:rPr>
          <w:rFonts w:hint="eastAsia"/>
          <w:color w:val="000000" w:themeColor="text1"/>
          <w:szCs w:val="21"/>
          <w:highlight w:val="none"/>
          <w14:textFill>
            <w14:solidFill>
              <w14:schemeClr w14:val="tx1"/>
            </w14:solidFill>
          </w14:textFill>
        </w:rPr>
        <w:t>组织的（项目名称：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），我方郑重承诺：</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参加本次政府采购活动前三年内，在经营活动中没有重大违法记录。</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本公司对上述声明的真实性负责。如有虚假，将依法承担相关责任。</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特此声明。</w:t>
      </w: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投标人名称（公章）：</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pStyle w:val="4"/>
        <w:numPr>
          <w:ilvl w:val="7"/>
          <w:numId w:val="6"/>
        </w:numPr>
        <w:tabs>
          <w:tab w:val="clear" w:pos="720"/>
        </w:tabs>
        <w:ind w:left="720"/>
        <w:rPr>
          <w:color w:val="000000" w:themeColor="text1"/>
          <w:highlight w:val="none"/>
          <w14:textFill>
            <w14:solidFill>
              <w14:schemeClr w14:val="tx1"/>
            </w14:solidFill>
          </w14:textFill>
        </w:rPr>
      </w:pPr>
      <w:bookmarkStart w:id="1660" w:name="_Toc14164"/>
      <w:bookmarkStart w:id="1661" w:name="_Toc5256"/>
      <w:r>
        <w:rPr>
          <w:rFonts w:hint="eastAsia"/>
          <w:color w:val="000000" w:themeColor="text1"/>
          <w:highlight w:val="none"/>
          <w14:textFill>
            <w14:solidFill>
              <w14:schemeClr w14:val="tx1"/>
            </w14:solidFill>
          </w14:textFill>
        </w:rPr>
        <w:t>投标文件商务及技术部分</w:t>
      </w:r>
      <w:bookmarkEnd w:id="1660"/>
      <w:bookmarkEnd w:id="1661"/>
    </w:p>
    <w:p>
      <w:pPr>
        <w:pStyle w:val="4"/>
        <w:numPr>
          <w:ilvl w:val="0"/>
          <w:numId w:val="0"/>
        </w:numPr>
        <w:rPr>
          <w:color w:val="000000" w:themeColor="text1"/>
          <w:sz w:val="24"/>
          <w:highlight w:val="none"/>
          <w14:textFill>
            <w14:solidFill>
              <w14:schemeClr w14:val="tx1"/>
            </w14:solidFill>
          </w14:textFill>
        </w:rPr>
      </w:pPr>
      <w:bookmarkStart w:id="1662" w:name="_Toc32083"/>
      <w:r>
        <w:rPr>
          <w:rFonts w:hint="eastAsia"/>
          <w:color w:val="000000" w:themeColor="text1"/>
          <w:sz w:val="24"/>
          <w:highlight w:val="none"/>
          <w14:textFill>
            <w14:solidFill>
              <w14:schemeClr w14:val="tx1"/>
            </w14:solidFill>
          </w14:textFill>
        </w:rPr>
        <w:t>商务及技术封面格式</w:t>
      </w:r>
      <w:bookmarkEnd w:id="1662"/>
    </w:p>
    <w:p>
      <w:pPr>
        <w:pStyle w:val="2"/>
        <w:rPr>
          <w:rFonts w:hAnsi="宋体"/>
          <w:bCs/>
          <w:color w:val="000000" w:themeColor="text1"/>
          <w:sz w:val="21"/>
          <w:highlight w:val="none"/>
          <w14:textFill>
            <w14:solidFill>
              <w14:schemeClr w14:val="tx1"/>
            </w14:solidFill>
          </w14:textFill>
        </w:rPr>
      </w:pPr>
    </w:p>
    <w:p>
      <w:pPr>
        <w:pStyle w:val="2"/>
        <w:spacing w:line="360" w:lineRule="auto"/>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1</w:t>
      </w:r>
      <w:r>
        <w:rPr>
          <w:rFonts w:hint="eastAsia" w:hAnsi="宋体"/>
          <w:bCs/>
          <w:color w:val="000000" w:themeColor="text1"/>
          <w:sz w:val="21"/>
          <w:highlight w:val="none"/>
          <w14:textFill>
            <w14:solidFill>
              <w14:schemeClr w14:val="tx1"/>
            </w14:solidFill>
          </w14:textFill>
        </w:rPr>
        <w:t xml:space="preserve">、投标内容应当编有目录、页码，按页码排序并装订成册。   </w:t>
      </w:r>
    </w:p>
    <w:p>
      <w:pPr>
        <w:pStyle w:val="2"/>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ind w:firstLine="0"/>
        <w:jc w:val="both"/>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pStyle w:val="2"/>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（商务及技术文件）</w:t>
      </w: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p>
      <w:pPr>
        <w:pStyle w:val="4"/>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663" w:name="_Toc21216"/>
      <w:r>
        <w:rPr>
          <w:rFonts w:hint="eastAsia" w:ascii="宋体"/>
          <w:b/>
          <w:bCs w:val="0"/>
          <w:color w:val="000000" w:themeColor="text1"/>
          <w:szCs w:val="21"/>
          <w:highlight w:val="none"/>
          <w14:textFill>
            <w14:solidFill>
              <w14:schemeClr w14:val="tx1"/>
            </w14:solidFill>
          </w14:textFill>
        </w:rPr>
        <w:t>符合性自查表</w:t>
      </w:r>
      <w:bookmarkEnd w:id="1663"/>
    </w:p>
    <w:p>
      <w:pPr>
        <w:jc w:val="center"/>
        <w:rPr>
          <w:rFonts w:ascii="宋体" w:hAnsi="宋体"/>
          <w:b/>
          <w:bCs/>
          <w:color w:val="000000" w:themeColor="text1"/>
          <w:szCs w:val="21"/>
          <w:highlight w:val="none"/>
          <w14:textFill>
            <w14:solidFill>
              <w14:schemeClr w14:val="tx1"/>
            </w14:solidFill>
          </w14:textFill>
        </w:rPr>
      </w:pPr>
    </w:p>
    <w:tbl>
      <w:tblPr>
        <w:tblStyle w:val="46"/>
        <w:tblW w:w="95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1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1958"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1991"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4" w:hRule="atLeast"/>
          <w:jc w:val="center"/>
        </w:trPr>
        <w:tc>
          <w:tcPr>
            <w:tcW w:w="1374" w:type="dxa"/>
            <w:vMerge w:val="restart"/>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符合性审查</w:t>
            </w:r>
          </w:p>
        </w:tc>
        <w:tc>
          <w:tcPr>
            <w:tcW w:w="2300" w:type="dxa"/>
            <w:vAlign w:val="center"/>
          </w:tcPr>
          <w:p>
            <w:pPr>
              <w:tabs>
                <w:tab w:val="left" w:pos="146"/>
              </w:tabs>
              <w:ind w:left="146" w:leftChars="0"/>
              <w:rPr>
                <w:rFonts w:hint="default"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须满足要</w:t>
            </w:r>
            <w:r>
              <w:rPr>
                <w:rFonts w:hint="eastAsia" w:ascii="宋体" w:hAnsi="宋体"/>
                <w:b w:val="0"/>
                <w:bCs w:val="0"/>
                <w:color w:val="000000" w:themeColor="text1"/>
                <w:szCs w:val="21"/>
                <w:highlight w:val="none"/>
                <w14:textFill>
                  <w14:solidFill>
                    <w14:schemeClr w14:val="tx1"/>
                  </w14:solidFill>
                </w14:textFill>
              </w:rPr>
              <w:t>求</w:t>
            </w:r>
            <w:r>
              <w:rPr>
                <w:rFonts w:hint="eastAsia"/>
                <w:b w:val="0"/>
                <w:bCs w:val="0"/>
                <w:color w:val="000000" w:themeColor="text1"/>
                <w:sz w:val="21"/>
                <w:szCs w:val="21"/>
                <w:highlight w:val="none"/>
                <w14:textFill>
                  <w14:solidFill>
                    <w14:schemeClr w14:val="tx1"/>
                  </w14:solidFill>
                </w14:textFill>
              </w:rPr>
              <w:t>“★”</w:t>
            </w:r>
            <w:r>
              <w:rPr>
                <w:rFonts w:hint="eastAsia"/>
                <w:b w:val="0"/>
                <w:bCs w:val="0"/>
                <w:color w:val="000000" w:themeColor="text1"/>
                <w:sz w:val="21"/>
                <w:szCs w:val="21"/>
                <w:highlight w:val="none"/>
                <w:lang w:val="en-US" w:eastAsia="zh-CN"/>
                <w14:textFill>
                  <w14:solidFill>
                    <w14:schemeClr w14:val="tx1"/>
                  </w14:solidFill>
                </w14:textFill>
              </w:rPr>
              <w:t>号要求</w:t>
            </w:r>
          </w:p>
        </w:tc>
        <w:tc>
          <w:tcPr>
            <w:tcW w:w="1958" w:type="dxa"/>
            <w:vAlign w:val="center"/>
          </w:tcPr>
          <w:p>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leftChars="0" w:hanging="480"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1991"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jc w:val="center"/>
        </w:trPr>
        <w:tc>
          <w:tcPr>
            <w:tcW w:w="1374" w:type="dxa"/>
            <w:vMerge w:val="continue"/>
            <w:vAlign w:val="center"/>
          </w:tcPr>
          <w:p>
            <w:pPr>
              <w:tabs>
                <w:tab w:val="left" w:pos="480"/>
              </w:tabs>
              <w:ind w:left="480" w:hanging="480"/>
              <w:jc w:val="center"/>
              <w:rPr>
                <w:rFonts w:hint="eastAsia" w:ascii="宋体" w:hAnsi="宋体"/>
                <w:color w:val="000000" w:themeColor="text1"/>
                <w:szCs w:val="21"/>
                <w:highlight w:val="none"/>
                <w14:textFill>
                  <w14:solidFill>
                    <w14:schemeClr w14:val="tx1"/>
                  </w14:solidFill>
                </w14:textFill>
              </w:rPr>
            </w:pPr>
          </w:p>
        </w:tc>
        <w:tc>
          <w:tcPr>
            <w:tcW w:w="2300" w:type="dxa"/>
            <w:vAlign w:val="center"/>
          </w:tcPr>
          <w:p>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服务期须满足要求</w:t>
            </w:r>
          </w:p>
        </w:tc>
        <w:tc>
          <w:tcPr>
            <w:tcW w:w="1958" w:type="dxa"/>
            <w:vAlign w:val="center"/>
          </w:tcPr>
          <w:p>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leftChars="0" w:hanging="480"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1991"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4"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保证金须满足要求</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1991"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975" w:type="dxa"/>
            <w:vAlign w:val="center"/>
          </w:tcPr>
          <w:p>
            <w:pPr>
              <w:pStyle w:val="8"/>
              <w:rPr>
                <w:rFonts w:ascii="宋体" w:hAnsi="宋体"/>
                <w:bCs/>
                <w:color w:val="000000" w:themeColor="text1"/>
                <w:szCs w:val="21"/>
                <w:highlight w:val="none"/>
                <w14:textFill>
                  <w14:solidFill>
                    <w14:schemeClr w14:val="tx1"/>
                  </w14:solidFill>
                </w14:textFill>
              </w:rPr>
            </w:pPr>
          </w:p>
        </w:tc>
        <w:tc>
          <w:tcPr>
            <w:tcW w:w="1991"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按投标资料清单中规定提供“必须提交”的文件资料</w:t>
            </w:r>
          </w:p>
        </w:tc>
        <w:tc>
          <w:tcPr>
            <w:tcW w:w="1975" w:type="dxa"/>
            <w:vAlign w:val="center"/>
          </w:tcPr>
          <w:p>
            <w:pPr>
              <w:tabs>
                <w:tab w:val="left" w:pos="480"/>
              </w:tabs>
              <w:ind w:left="480" w:hanging="480"/>
              <w:rPr>
                <w:color w:val="000000" w:themeColor="text1"/>
                <w:highlight w:val="none"/>
                <w14:textFill>
                  <w14:solidFill>
                    <w14:schemeClr w14:val="tx1"/>
                  </w14:solidFill>
                </w14:textFill>
              </w:rPr>
            </w:pPr>
          </w:p>
        </w:tc>
        <w:tc>
          <w:tcPr>
            <w:tcW w:w="1991"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投标人的投标文件为法定代表人（负责人）签署并由法定代表人（负责人）亲自递交投标文件和参加开标会的，可不提供“法定代表人（负责人）授权书”及“代理人身份证”。</w:t>
      </w:r>
    </w:p>
    <w:p>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rPr>
          <w:rFonts w:hint="eastAsia" w:ascii="宋体"/>
          <w:b/>
          <w:color w:val="000000" w:themeColor="text1"/>
          <w:szCs w:val="21"/>
          <w:highlight w:val="none"/>
          <w14:textFill>
            <w14:solidFill>
              <w14:schemeClr w14:val="tx1"/>
            </w14:solidFill>
          </w14:textFill>
        </w:rPr>
      </w:pPr>
      <w:bookmarkStart w:id="1664" w:name="_Toc26704"/>
      <w:r>
        <w:rPr>
          <w:rFonts w:hint="eastAsia" w:ascii="宋体"/>
          <w:b/>
          <w:color w:val="000000" w:themeColor="text1"/>
          <w:szCs w:val="21"/>
          <w:highlight w:val="none"/>
          <w14:textFill>
            <w14:solidFill>
              <w14:schemeClr w14:val="tx1"/>
            </w14:solidFill>
          </w14:textFill>
        </w:rPr>
        <w:br w:type="page"/>
      </w:r>
    </w:p>
    <w:p>
      <w:pPr>
        <w:pStyle w:val="4"/>
        <w:keepLines w:val="0"/>
        <w:numPr>
          <w:ilvl w:val="0"/>
          <w:numId w:val="0"/>
        </w:numPr>
        <w:tabs>
          <w:tab w:val="left" w:pos="4320"/>
        </w:tabs>
        <w:spacing w:before="240" w:after="60" w:line="480" w:lineRule="exact"/>
        <w:rPr>
          <w:rFonts w:ascii="宋体"/>
          <w:b/>
          <w:color w:val="000000" w:themeColor="text1"/>
          <w:szCs w:val="21"/>
          <w:highlight w:val="none"/>
          <w14:textFill>
            <w14:solidFill>
              <w14:schemeClr w14:val="tx1"/>
            </w14:solidFill>
          </w14:textFill>
        </w:rPr>
      </w:pPr>
      <w:bookmarkStart w:id="1665" w:name="_Toc28361"/>
      <w:r>
        <w:rPr>
          <w:rFonts w:hint="eastAsia" w:ascii="宋体"/>
          <w:b/>
          <w:color w:val="000000" w:themeColor="text1"/>
          <w:szCs w:val="21"/>
          <w:highlight w:val="none"/>
          <w14:textFill>
            <w14:solidFill>
              <w14:schemeClr w14:val="tx1"/>
            </w14:solidFill>
          </w14:textFill>
        </w:rPr>
        <w:t>评审项目投标资料表</w:t>
      </w:r>
      <w:bookmarkEnd w:id="1664"/>
      <w:bookmarkEnd w:id="1665"/>
    </w:p>
    <w:p>
      <w:pPr>
        <w:jc w:val="center"/>
        <w:rPr>
          <w:rFonts w:ascii="宋体" w:hAnsi="宋体" w:eastAsia="黑体"/>
          <w:b/>
          <w:color w:val="000000" w:themeColor="text1"/>
          <w:kern w:val="44"/>
          <w:szCs w:val="21"/>
          <w:highlight w:val="none"/>
          <w14:textFill>
            <w14:solidFill>
              <w14:schemeClr w14:val="tx1"/>
            </w14:solidFill>
          </w14:textFill>
        </w:rPr>
      </w:pPr>
    </w:p>
    <w:tbl>
      <w:tblPr>
        <w:tblStyle w:val="46"/>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pPr>
              <w:pStyle w:val="306"/>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评审分项</w:t>
            </w:r>
          </w:p>
        </w:tc>
        <w:tc>
          <w:tcPr>
            <w:tcW w:w="5202" w:type="dxa"/>
            <w:vAlign w:val="center"/>
          </w:tcPr>
          <w:p>
            <w:pPr>
              <w:pStyle w:val="306"/>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评审细则</w:t>
            </w:r>
          </w:p>
        </w:tc>
        <w:tc>
          <w:tcPr>
            <w:tcW w:w="2300" w:type="dxa"/>
            <w:vAlign w:val="center"/>
          </w:tcPr>
          <w:p>
            <w:pPr>
              <w:pStyle w:val="306"/>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pPr>
              <w:pStyle w:val="240"/>
              <w:jc w:val="both"/>
              <w:rPr>
                <w:rFonts w:ascii="宋体" w:hAnsi="宋体" w:eastAsia="宋体" w:cs="Times New Roman"/>
                <w:color w:val="000000" w:themeColor="text1"/>
                <w:sz w:val="2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pPr>
              <w:pStyle w:val="32"/>
              <w:ind w:left="420" w:firstLine="420"/>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bl>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bookmarkEnd w:id="1332"/>
    <w:bookmarkEnd w:id="1333"/>
    <w:bookmarkEnd w:id="1334"/>
    <w:bookmarkEnd w:id="1335"/>
    <w:bookmarkEnd w:id="1336"/>
    <w:p>
      <w:pPr>
        <w:tabs>
          <w:tab w:val="center" w:pos="4483"/>
        </w:tabs>
        <w:rPr>
          <w:rFonts w:ascii="宋体" w:hAnsi="宋体"/>
          <w:bCs/>
          <w:color w:val="000000" w:themeColor="text1"/>
          <w:szCs w:val="21"/>
          <w:highlight w:val="none"/>
          <w14:textFill>
            <w14:solidFill>
              <w14:schemeClr w14:val="tx1"/>
            </w14:solidFill>
          </w14:textFill>
        </w:rPr>
      </w:pPr>
      <w:bookmarkStart w:id="1666" w:name="_Toc458262638"/>
      <w:bookmarkStart w:id="1667" w:name="_Toc480021081"/>
      <w:bookmarkStart w:id="1668" w:name="_Toc6397150"/>
      <w:bookmarkStart w:id="1669" w:name="_Toc480010736"/>
      <w:bookmarkStart w:id="1670" w:name="_Toc500861026"/>
      <w:bookmarkStart w:id="1671" w:name="_Toc491658679"/>
      <w:bookmarkStart w:id="1672" w:name="_Toc454701405"/>
      <w:bookmarkStart w:id="1673" w:name="_Toc6727971"/>
      <w:bookmarkStart w:id="1674" w:name="_Toc467236768"/>
      <w:bookmarkStart w:id="1675" w:name="_Toc468157564"/>
      <w:bookmarkStart w:id="1676" w:name="_Toc479991610"/>
      <w:bookmarkStart w:id="1677" w:name="_Toc480020285"/>
      <w:bookmarkStart w:id="1678" w:name="_Toc468606057"/>
      <w:bookmarkStart w:id="1679" w:name="_Toc467987851"/>
    </w:p>
    <w:p>
      <w:pPr>
        <w:pStyle w:val="4"/>
        <w:numPr>
          <w:ilvl w:val="0"/>
          <w:numId w:val="0"/>
        </w:numPr>
        <w:rPr>
          <w:color w:val="000000" w:themeColor="text1"/>
          <w:highlight w:val="none"/>
          <w14:textFill>
            <w14:solidFill>
              <w14:schemeClr w14:val="tx1"/>
            </w14:solidFill>
          </w14:textFill>
        </w:rPr>
      </w:pPr>
      <w:bookmarkStart w:id="1680" w:name="_Toc13455"/>
      <w:bookmarkStart w:id="1681" w:name="_Toc19410"/>
      <w:r>
        <w:rPr>
          <w:rFonts w:hint="eastAsia"/>
          <w:color w:val="000000" w:themeColor="text1"/>
          <w:highlight w:val="none"/>
          <w14:textFill>
            <w14:solidFill>
              <w14:schemeClr w14:val="tx1"/>
            </w14:solidFill>
          </w14:textFill>
        </w:rPr>
        <w:t>（一）法定代表人（负责人）证明书</w:t>
      </w:r>
      <w:bookmarkEnd w:id="1680"/>
      <w:bookmarkEnd w:id="1681"/>
    </w:p>
    <w:p>
      <w:pPr>
        <w:pStyle w:val="2"/>
        <w:rPr>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投标人名称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，为法定代表人（负责人），特此证明。</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spacing w:line="560" w:lineRule="exact"/>
        <w:ind w:firstLine="420" w:firstLineChars="200"/>
        <w:rPr>
          <w:rFonts w:ascii="宋体" w:hAnsi="宋体"/>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pPr>
        <w:spacing w:line="480" w:lineRule="exact"/>
        <w:ind w:firstLine="420" w:firstLineChars="200"/>
        <w:rPr>
          <w:rFonts w:ascii="宋体" w:hAnsi="宋体"/>
          <w:color w:val="000000" w:themeColor="text1"/>
          <w:highlight w:val="none"/>
          <w14:textFill>
            <w14:solidFill>
              <w14:schemeClr w14:val="tx1"/>
            </w14:solidFill>
          </w14:textFill>
        </w:rPr>
      </w:pP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pPr>
        <w:spacing w:line="480" w:lineRule="exact"/>
        <w:ind w:firstLine="420" w:firstLineChars="200"/>
        <w:rPr>
          <w:rFonts w:ascii="宋体" w:hAnsi="宋体"/>
          <w:color w:val="000000" w:themeColor="text1"/>
          <w:highlight w:val="none"/>
          <w14:textFill>
            <w14:solidFill>
              <w14:schemeClr w14:val="tx1"/>
            </w14:solidFill>
          </w14:textFill>
        </w:rPr>
      </w:pPr>
    </w:p>
    <w:p>
      <w:pPr>
        <w:pStyle w:val="2"/>
        <w:rPr>
          <w:rFonts w:hAnsi="宋体"/>
          <w:color w:val="000000" w:themeColor="text1"/>
          <w:sz w:val="21"/>
          <w:highlight w:val="none"/>
          <w14:textFill>
            <w14:solidFill>
              <w14:schemeClr w14:val="tx1"/>
            </w14:solidFill>
          </w14:textFill>
        </w:rPr>
      </w:pPr>
    </w:p>
    <w:p>
      <w:pPr>
        <w:pStyle w:val="2"/>
        <w:rPr>
          <w:color w:val="000000" w:themeColor="text1"/>
          <w:highlight w:val="none"/>
          <w14:textFill>
            <w14:solidFill>
              <w14:schemeClr w14:val="tx1"/>
            </w14:solidFill>
          </w14:textFill>
        </w:rPr>
        <w:sectPr>
          <w:footerReference r:id="rId12" w:type="first"/>
          <w:footerReference r:id="rId11" w:type="default"/>
          <w:pgSz w:w="11906" w:h="16838"/>
          <w:pgMar w:top="1474" w:right="1418" w:bottom="1474" w:left="1418" w:header="851" w:footer="851" w:gutter="0"/>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866775</wp:posOffset>
                </wp:positionH>
                <wp:positionV relativeFrom="paragraph">
                  <wp:posOffset>346710</wp:posOffset>
                </wp:positionV>
                <wp:extent cx="3474085" cy="1722755"/>
                <wp:effectExtent l="4445" t="4445" r="7620" b="6350"/>
                <wp:wrapNone/>
                <wp:docPr id="3" name="自选图形 2"/>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a:effectLst/>
                      </wps:spPr>
                      <wps:txbx>
                        <w:txbxContent>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68.25pt;margin-top:27.3pt;height:135.65pt;width:273.55pt;z-index:251660288;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6YT0S2AAA&#10;AAoBAAAPAAAAAAAAAAEAIAAAACIAAABkcnMvZG93bnJldi54bWxQSwECFAAUAAAACACHTuJAzuWu&#10;NVcCAACkBAAADgAAAAAAAAABACAAAAAnAQAAZHJzL2Uyb0RvYy54bWxQSwUGAAAAAAYABgBZAQAA&#10;8AUAAAAA&#10;">
                <v:fill on="t" focussize="0,0"/>
                <v:stroke color="#000000" miterlimit="8" joinstyle="miter"/>
                <v:imagedata o:title=""/>
                <o:lock v:ext="edit" aspectratio="f"/>
                <v:textbox>
                  <w:txbxContent>
                    <w:p/>
                    <w:p/>
                    <w:p>
                      <w:pPr>
                        <w:jc w:val="center"/>
                      </w:pPr>
                      <w:r>
                        <w:rPr>
                          <w:rFonts w:hint="eastAsia"/>
                        </w:rPr>
                        <w:t>身份证正反面复印件</w:t>
                      </w:r>
                    </w:p>
                  </w:txbxContent>
                </v:textbox>
              </v:shape>
            </w:pict>
          </mc:Fallback>
        </mc:AlternateContent>
      </w:r>
    </w:p>
    <w:p>
      <w:pPr>
        <w:pStyle w:val="4"/>
        <w:numPr>
          <w:ilvl w:val="0"/>
          <w:numId w:val="0"/>
        </w:numPr>
        <w:rPr>
          <w:color w:val="000000" w:themeColor="text1"/>
          <w:highlight w:val="none"/>
          <w14:textFill>
            <w14:solidFill>
              <w14:schemeClr w14:val="tx1"/>
            </w14:solidFill>
          </w14:textFill>
        </w:rPr>
      </w:pPr>
      <w:bookmarkStart w:id="1682" w:name="_Toc20251"/>
      <w:bookmarkStart w:id="1683" w:name="_Toc27194"/>
      <w:r>
        <w:rPr>
          <w:rFonts w:hint="eastAsia"/>
          <w:color w:val="000000" w:themeColor="text1"/>
          <w:highlight w:val="none"/>
          <w14:textFill>
            <w14:solidFill>
              <w14:schemeClr w14:val="tx1"/>
            </w14:solidFill>
          </w14:textFill>
        </w:rPr>
        <w:t>（二）法定代表人（负责人）授权书</w:t>
      </w:r>
      <w:bookmarkEnd w:id="1682"/>
      <w:bookmarkEnd w:id="1683"/>
    </w:p>
    <w:p>
      <w:pPr>
        <w:spacing w:line="360" w:lineRule="auto"/>
        <w:ind w:firstLine="420" w:firstLineChars="200"/>
        <w:rPr>
          <w:rFonts w:ascii="宋体" w:hAnsi="宋体"/>
          <w:bCs/>
          <w:color w:val="000000" w:themeColor="text1"/>
          <w:kern w:val="0"/>
          <w:highlight w:val="none"/>
          <w14:textFill>
            <w14:solidFill>
              <w14:schemeClr w14:val="tx1"/>
            </w14:solidFill>
          </w14:textFill>
        </w:rPr>
      </w:pPr>
    </w:p>
    <w:p>
      <w:pPr>
        <w:spacing w:line="360" w:lineRule="auto"/>
        <w:ind w:firstLine="420" w:firstLineChars="200"/>
        <w:rPr>
          <w:color w:val="000000" w:themeColor="text1"/>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（单位法定代表人（负责人）姓名）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的法定代表人（负责人），现授权委托</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w:t>
      </w:r>
      <w:r>
        <w:rPr>
          <w:rFonts w:hint="eastAsia" w:ascii="宋体" w:hAnsi="宋体"/>
          <w:bCs/>
          <w:color w:val="000000" w:themeColor="text1"/>
          <w:kern w:val="0"/>
          <w:highlight w:val="none"/>
          <w:lang w:eastAsia="zh-CN"/>
          <w14:textFill>
            <w14:solidFill>
              <w14:schemeClr w14:val="tx1"/>
            </w14:solidFill>
          </w14:textFill>
        </w:rPr>
        <w:t>广东业信招标有限公司</w:t>
      </w:r>
      <w:r>
        <w:rPr>
          <w:rFonts w:hint="eastAsia" w:ascii="宋体" w:hAnsi="宋体"/>
          <w:bCs/>
          <w:color w:val="000000" w:themeColor="text1"/>
          <w:kern w:val="0"/>
          <w:highlight w:val="none"/>
          <w14:textFill>
            <w14:solidFill>
              <w14:schemeClr w14:val="tx1"/>
            </w14:solidFill>
          </w14:textFill>
        </w:rPr>
        <w:t>组织的</w:t>
      </w:r>
      <w:r>
        <w:rPr>
          <w:rFonts w:hint="eastAsia"/>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招标（</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w:t>
      </w:r>
      <w:r>
        <w:rPr>
          <w:rFonts w:hint="eastAsia" w:ascii="宋体" w:hAnsi="宋体"/>
          <w:bCs/>
          <w:color w:val="000000" w:themeColor="text1"/>
          <w:kern w:val="0"/>
          <w:highlight w:val="none"/>
          <w:u w:val="single"/>
          <w14:textFill>
            <w14:solidFill>
              <w14:schemeClr w14:val="tx1"/>
            </w14:solidFill>
          </w14:textFill>
        </w:rPr>
        <w:t xml:space="preserve">   </w:t>
      </w:r>
      <w:r>
        <w:rPr>
          <w:rFonts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性别：</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年龄：</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职务：</w:t>
      </w:r>
      <w:r>
        <w:rPr>
          <w:rFonts w:hint="eastAsia" w:ascii="宋体" w:hAnsi="宋体"/>
          <w:bCs/>
          <w:color w:val="000000" w:themeColor="text1"/>
          <w:kern w:val="0"/>
          <w:highlight w:val="none"/>
          <w:u w:val="single"/>
          <w14:textFill>
            <w14:solidFill>
              <w14:schemeClr w14:val="tx1"/>
            </w14:solidFill>
          </w14:textFill>
        </w:rPr>
        <w:t xml:space="preserve">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投标人：</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法定代表人（负责人）：</w:t>
      </w:r>
      <w:r>
        <w:rPr>
          <w:rFonts w:hint="eastAsia" w:ascii="宋体" w:hAnsi="宋体"/>
          <w:bCs/>
          <w:color w:val="000000" w:themeColor="text1"/>
          <w:kern w:val="0"/>
          <w:highlight w:val="none"/>
          <w:u w:val="single"/>
          <w14:textFill>
            <w14:solidFill>
              <w14:schemeClr w14:val="tx1"/>
            </w14:solidFill>
          </w14:textFill>
        </w:rPr>
        <w:t xml:space="preserve">    （签字或盖章）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-635</wp:posOffset>
                </wp:positionV>
                <wp:extent cx="3502660" cy="1748155"/>
                <wp:effectExtent l="4445" t="4445" r="17145" b="19050"/>
                <wp:wrapNone/>
                <wp:docPr id="2" name="自选图形 3"/>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a:effectLst/>
                      </wps:spPr>
                      <wps:txbx>
                        <w:txbxContent>
                          <w:p/>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3" o:spid="_x0000_s1026" o:spt="176" type="#_x0000_t176" style="position:absolute;left:0pt;margin-left:99.75pt;margin-top:-0.05pt;height:137.65pt;width:275.8pt;z-index:251659264;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j2AqQ1wAA&#10;AAkBAAAPAAAAAAAAAAEAIAAAACIAAABkcnMvZG93bnJldi54bWxQSwECFAAUAAAACACHTuJAsPvz&#10;qFgCAACkBAAADgAAAAAAAAABACAAAAAmAQAAZHJzL2Uyb0RvYy54bWxQSwUGAAAAAAYABgBZAQAA&#10;8AUAAAAA&#10;">
                <v:fill on="t" focussize="0,0"/>
                <v:stroke color="#000000" miterlimit="8" joinstyle="miter"/>
                <v:imagedata o:title=""/>
                <o:lock v:ext="edit" aspectratio="f"/>
                <v:textbox>
                  <w:txbxContent>
                    <w:p/>
                    <w:p/>
                    <w:p/>
                    <w:p>
                      <w:pPr>
                        <w:jc w:val="center"/>
                      </w:pPr>
                      <w:r>
                        <w:rPr>
                          <w:rFonts w:hint="eastAsia"/>
                        </w:rPr>
                        <w:t>身份证正反面复印件</w:t>
                      </w:r>
                    </w:p>
                  </w:txbxContent>
                </v:textbox>
              </v:shape>
            </w:pict>
          </mc:Fallback>
        </mc:AlternateConten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sectPr>
          <w:footerReference r:id="rId13" w:type="default"/>
          <w:pgSz w:w="11906" w:h="16838"/>
          <w:pgMar w:top="1418" w:right="1474" w:bottom="1418" w:left="1474" w:header="851" w:footer="851" w:gutter="0"/>
          <w:cols w:space="720" w:num="1"/>
          <w:titlePg/>
          <w:docGrid w:linePitch="312" w:charSpace="0"/>
        </w:sectPr>
      </w:pPr>
    </w:p>
    <w:p>
      <w:pPr>
        <w:pStyle w:val="4"/>
        <w:numPr>
          <w:ilvl w:val="0"/>
          <w:numId w:val="0"/>
        </w:numPr>
        <w:rPr>
          <w:color w:val="000000" w:themeColor="text1"/>
          <w:highlight w:val="none"/>
          <w14:textFill>
            <w14:solidFill>
              <w14:schemeClr w14:val="tx1"/>
            </w14:solidFill>
          </w14:textFill>
        </w:rPr>
      </w:pPr>
      <w:bookmarkStart w:id="1684" w:name="_Toc333238655"/>
      <w:bookmarkStart w:id="1685" w:name="_Toc342312464"/>
      <w:bookmarkStart w:id="1686" w:name="_Toc331512922"/>
      <w:bookmarkStart w:id="1687" w:name="_Toc340672890"/>
      <w:bookmarkStart w:id="1688" w:name="_Toc342398151"/>
      <w:bookmarkStart w:id="1689" w:name="_Toc333237699"/>
      <w:bookmarkStart w:id="1690" w:name="_Toc342296782"/>
      <w:bookmarkStart w:id="1691" w:name="_Toc350756471"/>
      <w:bookmarkStart w:id="1692" w:name="_Toc332206730"/>
      <w:bookmarkStart w:id="1693" w:name="_Toc343248439"/>
      <w:bookmarkStart w:id="1694" w:name="_Toc339362321"/>
      <w:bookmarkStart w:id="1695" w:name="_Toc333237810"/>
      <w:bookmarkStart w:id="1696" w:name="_Toc343247121"/>
      <w:bookmarkStart w:id="1697" w:name="_Toc342060396"/>
      <w:bookmarkStart w:id="1698" w:name="_Toc333935708"/>
      <w:bookmarkStart w:id="1699" w:name="_Toc337632379"/>
      <w:bookmarkStart w:id="1700" w:name="_Toc365985199"/>
      <w:bookmarkStart w:id="1701" w:name="_Toc333935367"/>
      <w:bookmarkStart w:id="1702" w:name="_Toc339020116"/>
      <w:bookmarkStart w:id="1703" w:name="_Toc330460007"/>
      <w:bookmarkStart w:id="1704" w:name="_Toc339441108"/>
      <w:bookmarkStart w:id="1705" w:name="_Toc343612941"/>
      <w:bookmarkStart w:id="1706" w:name="_Toc336681956"/>
      <w:bookmarkStart w:id="1707" w:name="_Toc12287"/>
      <w:bookmarkStart w:id="1708" w:name="_Toc340507463"/>
      <w:bookmarkStart w:id="1709" w:name="_Toc331684063"/>
      <w:bookmarkStart w:id="1710" w:name="_Toc345312618"/>
      <w:bookmarkStart w:id="1711" w:name="_Toc339020036"/>
      <w:bookmarkStart w:id="1712" w:name="_Toc339019910"/>
      <w:bookmarkStart w:id="1713" w:name="_Toc340677091"/>
      <w:bookmarkStart w:id="1714" w:name="_Toc339020254"/>
      <w:bookmarkStart w:id="1715" w:name="_Toc366072550"/>
      <w:bookmarkStart w:id="1716" w:name="_Toc336681601"/>
      <w:bookmarkStart w:id="1717" w:name="_Toc365967093"/>
      <w:bookmarkStart w:id="1718" w:name="_Toc332270368"/>
      <w:bookmarkStart w:id="1719" w:name="_Toc341348361"/>
      <w:bookmarkStart w:id="1720" w:name="_Toc350438770"/>
      <w:r>
        <w:rPr>
          <w:rFonts w:hint="eastAsia"/>
          <w:color w:val="000000" w:themeColor="text1"/>
          <w:highlight w:val="none"/>
          <w14:textFill>
            <w14:solidFill>
              <w14:schemeClr w14:val="tx1"/>
            </w14:solidFill>
          </w14:textFill>
        </w:rPr>
        <w:t>附件一：投标</w:t>
      </w:r>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r>
        <w:rPr>
          <w:rFonts w:hint="eastAsia"/>
          <w:color w:val="000000" w:themeColor="text1"/>
          <w:highlight w:val="none"/>
          <w14:textFill>
            <w14:solidFill>
              <w14:schemeClr w14:val="tx1"/>
            </w14:solidFill>
          </w14:textFill>
        </w:rPr>
        <w:t>函</w:t>
      </w:r>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p>
    <w:p>
      <w:pPr>
        <w:widowControl/>
        <w:spacing w:line="400" w:lineRule="exact"/>
        <w:jc w:val="left"/>
        <w:rPr>
          <w:rFonts w:ascii="宋体" w:hAnsi="宋体" w:cs="宋体"/>
          <w:b/>
          <w:color w:val="000000" w:themeColor="text1"/>
          <w:kern w:val="0"/>
          <w:sz w:val="24"/>
          <w:highlight w:val="none"/>
          <w:u w:val="single"/>
          <w14:textFill>
            <w14:solidFill>
              <w14:schemeClr w14:val="tx1"/>
            </w14:solidFill>
          </w14:textFill>
        </w:rPr>
      </w:pPr>
      <w:r>
        <w:rPr>
          <w:rFonts w:ascii="宋体" w:hAnsi="宋体"/>
          <w:b/>
          <w:bCs/>
          <w:color w:val="000000" w:themeColor="text1"/>
          <w:highlight w:val="none"/>
          <w14:textFill>
            <w14:solidFill>
              <w14:schemeClr w14:val="tx1"/>
            </w14:solidFill>
          </w14:textFill>
        </w:rPr>
        <w:t>致</w:t>
      </w:r>
      <w:r>
        <w:rPr>
          <w:rFonts w:ascii="宋体" w:hAnsi="宋体"/>
          <w:b/>
          <w:bCs/>
          <w:color w:val="000000" w:themeColor="text1"/>
          <w:highlight w:val="none"/>
          <w:u w:val="single"/>
          <w14:textFill>
            <w14:solidFill>
              <w14:schemeClr w14:val="tx1"/>
            </w14:solidFill>
          </w14:textFill>
        </w:rPr>
        <w:t>（采购人</w:t>
      </w:r>
      <w:r>
        <w:rPr>
          <w:rFonts w:hint="eastAsia" w:ascii="宋体" w:hAnsi="宋体"/>
          <w:b/>
          <w:bCs/>
          <w:color w:val="000000" w:themeColor="text1"/>
          <w:highlight w:val="none"/>
          <w:u w:val="single"/>
          <w14:textFill>
            <w14:solidFill>
              <w14:schemeClr w14:val="tx1"/>
            </w14:solidFill>
          </w14:textFill>
        </w:rPr>
        <w:t>名称</w:t>
      </w:r>
      <w:r>
        <w:rPr>
          <w:rFonts w:ascii="宋体" w:hAnsi="宋体"/>
          <w:b/>
          <w:bCs/>
          <w:color w:val="000000" w:themeColor="text1"/>
          <w:highlight w:val="none"/>
          <w:u w:val="single"/>
          <w14:textFill>
            <w14:solidFill>
              <w14:schemeClr w14:val="tx1"/>
            </w14:solidFill>
          </w14:textFill>
        </w:rPr>
        <w:t>）           </w:t>
      </w:r>
      <w:r>
        <w:rPr>
          <w:rFonts w:ascii="宋体" w:hAnsi="宋体" w:cs="宋体"/>
          <w:b/>
          <w:color w:val="000000" w:themeColor="text1"/>
          <w:kern w:val="0"/>
          <w:sz w:val="24"/>
          <w:highlight w:val="none"/>
          <w14:textFill>
            <w14:solidFill>
              <w14:schemeClr w14:val="tx1"/>
            </w14:solidFill>
          </w14:textFill>
        </w:rPr>
        <w:t xml:space="preserve">： </w:t>
      </w:r>
    </w:p>
    <w:p>
      <w:pPr>
        <w:adjustRightInd w:val="0"/>
        <w:snapToGrid w:val="0"/>
        <w:spacing w:line="400" w:lineRule="exact"/>
        <w:ind w:firstLine="420"/>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根据贵方就</w:t>
      </w:r>
      <w:r>
        <w:rPr>
          <w:rFonts w:hint="eastAsia" w:hAnsi="宋体" w:cs="宋体"/>
          <w:b/>
          <w:color w:val="000000" w:themeColor="text1"/>
          <w:szCs w:val="21"/>
          <w:highlight w:val="none"/>
          <w:u w:val="single"/>
          <w14:textFill>
            <w14:solidFill>
              <w14:schemeClr w14:val="tx1"/>
            </w14:solidFill>
          </w14:textFill>
        </w:rPr>
        <w:t>项目名称</w:t>
      </w:r>
      <w:r>
        <w:rPr>
          <w:rFonts w:hint="eastAsia" w:ascii="宋体" w:hAnsi="宋体" w:cs="宋体"/>
          <w:b/>
          <w:color w:val="000000" w:themeColor="text1"/>
          <w:szCs w:val="21"/>
          <w:highlight w:val="none"/>
          <w:u w:val="single"/>
          <w14:textFill>
            <w14:solidFill>
              <w14:schemeClr w14:val="tx1"/>
            </w14:solidFill>
          </w14:textFill>
        </w:rPr>
        <w:t xml:space="preserve">，由投标人填写    </w:t>
      </w:r>
      <w:r>
        <w:rPr>
          <w:rFonts w:hint="eastAsia" w:ascii="宋体" w:hAnsi="宋体"/>
          <w:b/>
          <w:bCs/>
          <w:color w:val="000000" w:themeColor="text1"/>
          <w:highlight w:val="none"/>
          <w14:textFill>
            <w14:solidFill>
              <w14:schemeClr w14:val="tx1"/>
            </w14:solidFill>
          </w14:textFill>
        </w:rPr>
        <w:t>的投标邀请（项目编号: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），我方正式响应投标并提交投标文件</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份正本和</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份副本，</w:t>
      </w:r>
      <w:r>
        <w:rPr>
          <w:rFonts w:hint="eastAsia" w:ascii="宋体" w:hAnsi="宋体"/>
          <w:b/>
          <w:color w:val="000000" w:themeColor="text1"/>
          <w:kern w:val="0"/>
          <w:szCs w:val="21"/>
          <w:highlight w:val="none"/>
          <w14:textFill>
            <w14:solidFill>
              <w14:schemeClr w14:val="tx1"/>
            </w14:solidFill>
          </w14:textFill>
        </w:rPr>
        <w:t>电子文件</w:t>
      </w:r>
      <w:r>
        <w:rPr>
          <w:rFonts w:hint="eastAsia" w:ascii="宋体" w:hAnsi="宋体"/>
          <w:b/>
          <w:color w:val="000000" w:themeColor="text1"/>
          <w:kern w:val="0"/>
          <w:szCs w:val="21"/>
          <w:highlight w:val="none"/>
          <w:u w:val="single"/>
          <w14:textFill>
            <w14:solidFill>
              <w14:schemeClr w14:val="tx1"/>
            </w14:solidFill>
          </w14:textFill>
        </w:rPr>
        <w:t xml:space="preserve">    </w:t>
      </w:r>
      <w:r>
        <w:rPr>
          <w:rFonts w:hint="eastAsia" w:ascii="宋体" w:hAnsi="宋体"/>
          <w:b/>
          <w:color w:val="000000" w:themeColor="text1"/>
          <w:kern w:val="0"/>
          <w:szCs w:val="2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w:t>
      </w:r>
    </w:p>
    <w:p>
      <w:pPr>
        <w:widowControl/>
        <w:tabs>
          <w:tab w:val="left" w:pos="840"/>
        </w:tabs>
        <w:adjustRightInd w:val="0"/>
        <w:snapToGrid w:val="0"/>
        <w:rPr>
          <w:rFonts w:ascii="宋体" w:hAnsi="宋体"/>
          <w:b/>
          <w:bCs/>
          <w:color w:val="000000" w:themeColor="text1"/>
          <w:highlight w:val="none"/>
          <w14:textFill>
            <w14:solidFill>
              <w14:schemeClr w14:val="tx1"/>
            </w14:solidFill>
          </w14:textFill>
        </w:rPr>
      </w:pPr>
    </w:p>
    <w:p>
      <w:pPr>
        <w:widowControl/>
        <w:tabs>
          <w:tab w:val="left" w:pos="502"/>
        </w:tabs>
        <w:adjustRightInd w:val="0"/>
        <w:snapToGrid w:val="0"/>
        <w:spacing w:line="360" w:lineRule="auto"/>
        <w:ind w:left="374" w:leftChars="177" w:hanging="2" w:hangingChars="1"/>
        <w:rPr>
          <w:rFonts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以</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形式提交的投标保证金，金额为大写</w:t>
      </w:r>
      <w:r>
        <w:rPr>
          <w:rFonts w:hint="eastAsia" w:ascii="宋体"/>
          <w:b/>
          <w:color w:val="000000" w:themeColor="text1"/>
          <w:highlight w:val="none"/>
          <w14:textFill>
            <w14:solidFill>
              <w14:schemeClr w14:val="tx1"/>
            </w14:solidFill>
          </w14:textFill>
        </w:rPr>
        <w:t>人民币</w:t>
      </w:r>
      <w:r>
        <w:rPr>
          <w:rFonts w:hint="eastAsia" w:ascii="宋体"/>
          <w:b/>
          <w:color w:val="000000" w:themeColor="text1"/>
          <w:highlight w:val="none"/>
          <w:u w:val="single"/>
          <w14:textFill>
            <w14:solidFill>
              <w14:schemeClr w14:val="tx1"/>
            </w14:solidFill>
          </w14:textFill>
        </w:rPr>
        <w:t xml:space="preserve">             </w:t>
      </w:r>
      <w:r>
        <w:rPr>
          <w:rFonts w:hint="eastAsia" w:ascii="宋体"/>
          <w:b/>
          <w:color w:val="000000" w:themeColor="text1"/>
          <w:highlight w:val="none"/>
          <w14:textFill>
            <w14:solidFill>
              <w14:schemeClr w14:val="tx1"/>
            </w14:solidFill>
          </w14:textFill>
        </w:rPr>
        <w:t>（</w:t>
      </w:r>
      <w:r>
        <w:rPr>
          <w:rFonts w:hint="eastAsia" w:ascii="宋体"/>
          <w:b/>
          <w:bCs/>
          <w:color w:val="000000" w:themeColor="text1"/>
          <w:highlight w:val="none"/>
          <w14:textFill>
            <w14:solidFill>
              <w14:schemeClr w14:val="tx1"/>
            </w14:solidFill>
          </w14:textFill>
        </w:rPr>
        <w:t>￥</w:t>
      </w:r>
      <w:r>
        <w:rPr>
          <w:rFonts w:hint="eastAsia"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w:t>
      </w:r>
    </w:p>
    <w:p>
      <w:pPr>
        <w:widowControl/>
        <w:tabs>
          <w:tab w:val="left" w:pos="502"/>
        </w:tabs>
        <w:adjustRightInd w:val="0"/>
        <w:snapToGrid w:val="0"/>
        <w:spacing w:line="360" w:lineRule="auto"/>
        <w:ind w:left="374" w:leftChars="177" w:hanging="2" w:hangingChars="1"/>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据此函，签字代表宣布同意如下：</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本次投标所报内容完全按照招标文件要求填报，所有内容都是真实、准确的。</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投标人将按招标文件的规定履行全部合同责任和义务。</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投标人已详细审查全部招标文件，包括修改文件（如有的话）以及全部参考资料和有关附件。我们完全理解并同意放弃对这方面有不明及误解的权利。</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本次投标自开标日起有效期为90天。</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如果在规定的开标时间后，投标人在投标有效期内撤回投标文件，投标保证金将被贵</w:t>
      </w:r>
      <w:r>
        <w:rPr>
          <w:rFonts w:hint="eastAsia" w:ascii="宋体" w:hAnsi="宋体"/>
          <w:color w:val="000000" w:themeColor="text1"/>
          <w:szCs w:val="21"/>
          <w:highlight w:val="none"/>
          <w14:textFill>
            <w14:solidFill>
              <w14:schemeClr w14:val="tx1"/>
            </w14:solidFill>
          </w14:textFill>
        </w:rPr>
        <w:t>方</w:t>
      </w:r>
      <w:r>
        <w:rPr>
          <w:rFonts w:hint="eastAsia" w:ascii="宋体" w:hAnsi="宋体"/>
          <w:bCs/>
          <w:color w:val="000000" w:themeColor="text1"/>
          <w:highlight w:val="none"/>
          <w14:textFill>
            <w14:solidFill>
              <w14:schemeClr w14:val="tx1"/>
            </w14:solidFill>
          </w14:textFill>
        </w:rPr>
        <w:t>不予退还。</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投标人同意提供按照贵方可能要求与其投标有关的一切数据或资料，完全理解贵方不一定接受最低价的投标或收到的任何投标。</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与本投标有关的一切正式往来通讯请寄至投标文件封面指定地址、联系方式。</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23"/>
        <w:spacing w:line="400" w:lineRule="exac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注：本投标函为投标人响应本次招标项目的郑重承诺，投标人不得改动且必须满足。</w:t>
      </w:r>
    </w:p>
    <w:p>
      <w:pPr>
        <w:pStyle w:val="23"/>
        <w:spacing w:line="400" w:lineRule="exact"/>
        <w:rPr>
          <w:rFonts w:hAnsi="宋体"/>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bookmarkStart w:id="1721" w:name="_Hlt16935467"/>
      <w:bookmarkEnd w:id="1721"/>
      <w:bookmarkStart w:id="1722" w:name="_Toc333237811"/>
      <w:bookmarkStart w:id="1723" w:name="_Toc366072551"/>
      <w:bookmarkStart w:id="1724" w:name="_Toc332270369"/>
      <w:bookmarkStart w:id="1725" w:name="_Toc336681957"/>
      <w:bookmarkStart w:id="1726" w:name="_Toc339362322"/>
      <w:bookmarkStart w:id="1727" w:name="_Toc343247122"/>
      <w:bookmarkStart w:id="1728" w:name="_Toc343612942"/>
      <w:bookmarkStart w:id="1729" w:name="_Toc330460008"/>
      <w:bookmarkStart w:id="1730" w:name="_Toc365985200"/>
      <w:bookmarkStart w:id="1731" w:name="_Toc339020117"/>
      <w:bookmarkStart w:id="1732" w:name="_Toc365967094"/>
      <w:bookmarkStart w:id="1733" w:name="_Toc333935709"/>
      <w:bookmarkStart w:id="1734" w:name="_Toc332206731"/>
      <w:bookmarkStart w:id="1735" w:name="_Toc350756472"/>
      <w:bookmarkStart w:id="1736" w:name="_Toc337632380"/>
      <w:bookmarkStart w:id="1737" w:name="_Toc342312465"/>
      <w:bookmarkStart w:id="1738" w:name="_Toc339019911"/>
      <w:bookmarkStart w:id="1739" w:name="_Toc333238656"/>
      <w:bookmarkStart w:id="1740" w:name="_Toc339441109"/>
      <w:bookmarkStart w:id="1741" w:name="_Toc341348362"/>
      <w:bookmarkStart w:id="1742" w:name="_Toc78816017"/>
      <w:bookmarkStart w:id="1743" w:name="_Toc336681602"/>
      <w:bookmarkStart w:id="1744" w:name="_Toc340507464"/>
      <w:bookmarkStart w:id="1745" w:name="_Toc342296783"/>
      <w:bookmarkStart w:id="1746" w:name="_Toc333237700"/>
      <w:bookmarkStart w:id="1747" w:name="_Toc339020255"/>
      <w:bookmarkStart w:id="1748" w:name="_Toc343248440"/>
      <w:bookmarkStart w:id="1749" w:name="_Toc339020037"/>
      <w:bookmarkStart w:id="1750" w:name="_Toc331512923"/>
      <w:bookmarkStart w:id="1751" w:name="_Toc331684064"/>
      <w:bookmarkStart w:id="1752" w:name="_Toc333935368"/>
      <w:bookmarkStart w:id="1753" w:name="_Toc342060397"/>
      <w:bookmarkStart w:id="1754" w:name="_Toc340677092"/>
      <w:bookmarkStart w:id="1755" w:name="_Toc340672891"/>
      <w:bookmarkStart w:id="1756" w:name="_Toc345312619"/>
      <w:bookmarkStart w:id="1757" w:name="_Toc342398152"/>
      <w:bookmarkStart w:id="1758" w:name="_Toc350438771"/>
      <w:r>
        <w:rPr>
          <w:rFonts w:hint="eastAsia"/>
          <w:color w:val="000000" w:themeColor="text1"/>
          <w:highlight w:val="none"/>
          <w14:textFill>
            <w14:solidFill>
              <w14:schemeClr w14:val="tx1"/>
            </w14:solidFill>
          </w14:textFill>
        </w:rPr>
        <w:br w:type="page"/>
      </w:r>
    </w:p>
    <w:p>
      <w:pPr>
        <w:pStyle w:val="4"/>
        <w:numPr>
          <w:ilvl w:val="0"/>
          <w:numId w:val="0"/>
        </w:numPr>
        <w:spacing w:line="400" w:lineRule="exact"/>
        <w:rPr>
          <w:color w:val="000000" w:themeColor="text1"/>
          <w:highlight w:val="none"/>
          <w14:textFill>
            <w14:solidFill>
              <w14:schemeClr w14:val="tx1"/>
            </w14:solidFill>
          </w14:textFill>
        </w:rPr>
      </w:pPr>
      <w:bookmarkStart w:id="1759" w:name="_Toc24392"/>
      <w:r>
        <w:rPr>
          <w:rFonts w:hint="eastAsia"/>
          <w:color w:val="000000" w:themeColor="text1"/>
          <w:highlight w:val="none"/>
          <w14:textFill>
            <w14:solidFill>
              <w14:schemeClr w14:val="tx1"/>
            </w14:solidFill>
          </w14:textFill>
        </w:rPr>
        <w:t>附件二：开标一览表</w:t>
      </w:r>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6"/>
        <w:tblW w:w="9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4"/>
        <w:gridCol w:w="2850"/>
        <w:gridCol w:w="1881"/>
        <w:gridCol w:w="1896"/>
        <w:gridCol w:w="10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654"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tc>
        <w:tc>
          <w:tcPr>
            <w:tcW w:w="2850"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1881" w:type="dxa"/>
            <w:vAlign w:val="center"/>
          </w:tcPr>
          <w:p>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服务期</w:t>
            </w:r>
          </w:p>
        </w:tc>
        <w:tc>
          <w:tcPr>
            <w:tcW w:w="1896" w:type="dxa"/>
            <w:vAlign w:val="center"/>
          </w:tcPr>
          <w:p>
            <w:pPr>
              <w:spacing w:line="360" w:lineRule="auto"/>
              <w:jc w:val="center"/>
              <w:rPr>
                <w:rFonts w:hint="default" w:ascii="宋体" w:hAnsi="宋体" w:eastAsia="宋体"/>
                <w:bCs/>
                <w:color w:val="000000" w:themeColor="text1"/>
                <w:highlight w:val="none"/>
                <w:lang w:val="en-US" w:eastAsia="zh-CN"/>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优先选取包组顺序</w:t>
            </w:r>
          </w:p>
        </w:tc>
        <w:tc>
          <w:tcPr>
            <w:tcW w:w="1062" w:type="dxa"/>
            <w:vAlign w:val="center"/>
          </w:tcPr>
          <w:p>
            <w:pPr>
              <w:spacing w:line="360" w:lineRule="auto"/>
              <w:jc w:val="center"/>
              <w:rPr>
                <w:rFonts w:hint="default" w:ascii="宋体" w:hAnsi="宋体"/>
                <w:bCs/>
                <w:color w:val="000000" w:themeColor="text1"/>
                <w:highlight w:val="none"/>
                <w:lang w:val="en-US" w:eastAsia="zh-CN"/>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654"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850"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1881" w:type="dxa"/>
            <w:vAlign w:val="center"/>
          </w:tcPr>
          <w:p>
            <w:pPr>
              <w:topLinePunct/>
              <w:jc w:val="left"/>
              <w:rPr>
                <w:rFonts w:ascii="宋体" w:hAnsi="宋体"/>
                <w:bCs/>
                <w:color w:val="000000" w:themeColor="text1"/>
                <w:highlight w:val="none"/>
                <w:u w:val="single"/>
                <w14:textFill>
                  <w14:solidFill>
                    <w14:schemeClr w14:val="tx1"/>
                  </w14:solidFill>
                </w14:textFill>
              </w:rPr>
            </w:pPr>
          </w:p>
        </w:tc>
        <w:tc>
          <w:tcPr>
            <w:tcW w:w="1896" w:type="dxa"/>
            <w:vAlign w:val="center"/>
          </w:tcPr>
          <w:p>
            <w:pPr>
              <w:numPr>
                <w:ilvl w:val="0"/>
                <w:numId w:val="0"/>
              </w:numPr>
              <w:rPr>
                <w:rFonts w:hint="default" w:ascii="宋体" w:hAnsi="宋体"/>
                <w:bCs/>
                <w:color w:val="000000" w:themeColor="text1"/>
                <w:highlight w:val="none"/>
                <w:lang w:val="en-US" w:eastAsia="zh-CN"/>
                <w14:textFill>
                  <w14:solidFill>
                    <w14:schemeClr w14:val="tx1"/>
                  </w14:solidFill>
                </w14:textFill>
              </w:rPr>
            </w:pPr>
            <w:r>
              <w:rPr>
                <w:rFonts w:hint="eastAsia" w:ascii="宋体" w:hAnsi="宋体"/>
                <w:bCs/>
                <w:color w:val="000000" w:themeColor="text1"/>
                <w:highlight w:val="none"/>
                <w:u w:val="none"/>
                <w:lang w:val="en-US" w:eastAsia="zh-CN"/>
                <w14:textFill>
                  <w14:solidFill>
                    <w14:schemeClr w14:val="tx1"/>
                  </w14:solidFill>
                </w14:textFill>
              </w:rPr>
              <w:t>1.</w:t>
            </w:r>
            <w:r>
              <w:rPr>
                <w:rFonts w:hint="eastAsia" w:ascii="宋体" w:hAnsi="宋体"/>
                <w:bCs/>
                <w:color w:val="000000" w:themeColor="text1"/>
                <w:highlight w:val="none"/>
                <w:u w:val="single"/>
                <w:lang w:val="en-US" w:eastAsia="zh-CN"/>
                <w14:textFill>
                  <w14:solidFill>
                    <w14:schemeClr w14:val="tx1"/>
                  </w14:solidFill>
                </w14:textFill>
              </w:rPr>
              <w:t xml:space="preserve">    </w:t>
            </w:r>
            <w:r>
              <w:rPr>
                <w:rFonts w:hint="eastAsia" w:ascii="宋体" w:hAnsi="宋体"/>
                <w:bCs/>
                <w:color w:val="000000" w:themeColor="text1"/>
                <w:highlight w:val="none"/>
                <w:lang w:val="en-US" w:eastAsia="zh-CN"/>
                <w14:textFill>
                  <w14:solidFill>
                    <w14:schemeClr w14:val="tx1"/>
                  </w14:solidFill>
                </w14:textFill>
              </w:rPr>
              <w:t>包组</w:t>
            </w:r>
          </w:p>
          <w:p>
            <w:pPr>
              <w:rPr>
                <w:rFonts w:hint="eastAsia" w:ascii="宋体" w:hAnsi="宋体"/>
                <w:bCs/>
                <w:color w:val="000000" w:themeColor="text1"/>
                <w:highlight w:val="none"/>
                <w:lang w:val="en-US" w:eastAsia="zh-CN"/>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2.</w:t>
            </w:r>
            <w:r>
              <w:rPr>
                <w:rFonts w:hint="eastAsia" w:ascii="宋体" w:hAnsi="宋体"/>
                <w:bCs/>
                <w:color w:val="000000" w:themeColor="text1"/>
                <w:highlight w:val="none"/>
                <w:u w:val="single"/>
                <w:lang w:val="en-US" w:eastAsia="zh-CN"/>
                <w14:textFill>
                  <w14:solidFill>
                    <w14:schemeClr w14:val="tx1"/>
                  </w14:solidFill>
                </w14:textFill>
              </w:rPr>
              <w:t xml:space="preserve">    </w:t>
            </w:r>
            <w:r>
              <w:rPr>
                <w:rFonts w:hint="eastAsia" w:ascii="宋体" w:hAnsi="宋体"/>
                <w:bCs/>
                <w:color w:val="000000" w:themeColor="text1"/>
                <w:highlight w:val="none"/>
                <w:lang w:val="en-US" w:eastAsia="zh-CN"/>
                <w14:textFill>
                  <w14:solidFill>
                    <w14:schemeClr w14:val="tx1"/>
                  </w14:solidFill>
                </w14:textFill>
              </w:rPr>
              <w:t>包组</w:t>
            </w:r>
          </w:p>
          <w:p>
            <w:pPr>
              <w:rPr>
                <w:rFonts w:hint="eastAsia" w:ascii="宋体" w:hAnsi="宋体"/>
                <w:bCs/>
                <w:color w:val="000000" w:themeColor="text1"/>
                <w:highlight w:val="none"/>
                <w:lang w:val="en-US" w:eastAsia="zh-CN"/>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3.</w:t>
            </w:r>
            <w:r>
              <w:rPr>
                <w:rFonts w:hint="eastAsia" w:ascii="宋体" w:hAnsi="宋体"/>
                <w:bCs/>
                <w:color w:val="000000" w:themeColor="text1"/>
                <w:highlight w:val="none"/>
                <w:u w:val="single"/>
                <w:lang w:val="en-US" w:eastAsia="zh-CN"/>
                <w14:textFill>
                  <w14:solidFill>
                    <w14:schemeClr w14:val="tx1"/>
                  </w14:solidFill>
                </w14:textFill>
              </w:rPr>
              <w:t xml:space="preserve">    </w:t>
            </w:r>
            <w:r>
              <w:rPr>
                <w:rFonts w:hint="eastAsia" w:ascii="宋体" w:hAnsi="宋体"/>
                <w:bCs/>
                <w:color w:val="000000" w:themeColor="text1"/>
                <w:highlight w:val="none"/>
                <w:lang w:val="en-US" w:eastAsia="zh-CN"/>
                <w14:textFill>
                  <w14:solidFill>
                    <w14:schemeClr w14:val="tx1"/>
                  </w14:solidFill>
                </w14:textFill>
              </w:rPr>
              <w:t>包组</w:t>
            </w:r>
          </w:p>
          <w:p>
            <w:pPr>
              <w:rPr>
                <w:rFonts w:hint="default" w:ascii="宋体" w:hAnsi="宋体" w:eastAsia="宋体"/>
                <w:bCs/>
                <w:color w:val="000000" w:themeColor="text1"/>
                <w:highlight w:val="none"/>
                <w:lang w:val="en-US" w:eastAsia="zh-CN"/>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4.</w:t>
            </w:r>
            <w:r>
              <w:rPr>
                <w:rFonts w:hint="eastAsia" w:ascii="宋体" w:hAnsi="宋体"/>
                <w:bCs/>
                <w:color w:val="000000" w:themeColor="text1"/>
                <w:highlight w:val="none"/>
                <w:u w:val="single"/>
                <w:lang w:val="en-US" w:eastAsia="zh-CN"/>
                <w14:textFill>
                  <w14:solidFill>
                    <w14:schemeClr w14:val="tx1"/>
                  </w14:solidFill>
                </w14:textFill>
              </w:rPr>
              <w:t xml:space="preserve">    </w:t>
            </w:r>
            <w:r>
              <w:rPr>
                <w:rFonts w:hint="eastAsia" w:ascii="宋体" w:hAnsi="宋体"/>
                <w:bCs/>
                <w:color w:val="000000" w:themeColor="text1"/>
                <w:highlight w:val="none"/>
                <w:lang w:val="en-US" w:eastAsia="zh-CN"/>
                <w14:textFill>
                  <w14:solidFill>
                    <w14:schemeClr w14:val="tx1"/>
                  </w14:solidFill>
                </w14:textFill>
              </w:rPr>
              <w:t>包组</w:t>
            </w:r>
          </w:p>
        </w:tc>
        <w:tc>
          <w:tcPr>
            <w:tcW w:w="1062" w:type="dxa"/>
            <w:vAlign w:val="center"/>
          </w:tcPr>
          <w:p>
            <w:pPr>
              <w:rPr>
                <w:rFonts w:ascii="宋体" w:hAnsi="宋体"/>
                <w:bCs/>
                <w:color w:val="000000" w:themeColor="text1"/>
                <w:highlight w:val="none"/>
                <w14:textFill>
                  <w14:solidFill>
                    <w14:schemeClr w14:val="tx1"/>
                  </w14:solidFill>
                </w14:textFill>
              </w:rPr>
            </w:pPr>
          </w:p>
        </w:tc>
      </w:tr>
    </w:tbl>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投标人填写此表时不得改变表格的形式。</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如果投标人认为有应当说明而本表中无相应栏目的内容，请在“备注”栏中添加说明。</w:t>
      </w:r>
    </w:p>
    <w:p>
      <w:pPr>
        <w:numPr>
          <w:ilvl w:val="0"/>
          <w:numId w:val="4"/>
        </w:numPr>
        <w:tabs>
          <w:tab w:val="left" w:pos="1365"/>
        </w:tabs>
        <w:spacing w:line="360" w:lineRule="auto"/>
        <w:rPr>
          <w:rFonts w:hint="default" w:ascii="宋体" w:hAnsi="宋体"/>
          <w:b/>
          <w:bCs/>
          <w:color w:val="000000" w:themeColor="text1"/>
          <w:highlight w:val="none"/>
          <w:lang w:val="en-US" w:eastAsia="zh-CN"/>
          <w14:textFill>
            <w14:solidFill>
              <w14:schemeClr w14:val="tx1"/>
            </w14:solidFill>
          </w14:textFill>
        </w:rPr>
      </w:pPr>
      <w:r>
        <w:rPr>
          <w:rFonts w:hint="eastAsia" w:ascii="宋体" w:hAnsi="宋体"/>
          <w:b/>
          <w:bCs/>
          <w:color w:val="000000" w:themeColor="text1"/>
          <w:highlight w:val="none"/>
          <w:lang w:val="en-US" w:eastAsia="zh-CN"/>
          <w14:textFill>
            <w14:solidFill>
              <w14:schemeClr w14:val="tx1"/>
            </w14:solidFill>
          </w14:textFill>
        </w:rPr>
        <w:t>优先选取包组顺序必须填写，否则作无效投标处理。</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投标人应将 “开标一览表”（加盖公章并由法定代表人（负责人）或其授权代理人签字），一份单独密封于一信封内，一份装订入投标文件正本。</w:t>
      </w:r>
    </w:p>
    <w:p>
      <w:pPr>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pStyle w:val="4"/>
        <w:numPr>
          <w:ilvl w:val="0"/>
          <w:numId w:val="0"/>
        </w:numPr>
        <w:spacing w:line="400" w:lineRule="exact"/>
        <w:rPr>
          <w:color w:val="000000" w:themeColor="text1"/>
          <w:highlight w:val="none"/>
          <w14:textFill>
            <w14:solidFill>
              <w14:schemeClr w14:val="tx1"/>
            </w14:solidFill>
          </w14:textFill>
        </w:rPr>
      </w:pPr>
      <w:bookmarkStart w:id="1760" w:name="_Toc333238657"/>
      <w:bookmarkStart w:id="1761" w:name="_Toc350756473"/>
      <w:bookmarkStart w:id="1762" w:name="_Toc340677093"/>
      <w:bookmarkStart w:id="1763" w:name="_Toc341348363"/>
      <w:bookmarkStart w:id="1764" w:name="_Toc337632381"/>
      <w:bookmarkStart w:id="1765" w:name="_Toc332270370"/>
      <w:bookmarkStart w:id="1766" w:name="_Toc342312466"/>
      <w:bookmarkStart w:id="1767" w:name="_Toc340672892"/>
      <w:bookmarkStart w:id="1768" w:name="_Toc339362323"/>
      <w:bookmarkStart w:id="1769" w:name="_Toc342398153"/>
      <w:bookmarkStart w:id="1770" w:name="_Toc345312620"/>
      <w:bookmarkStart w:id="1771" w:name="_Toc343612943"/>
      <w:bookmarkStart w:id="1772" w:name="_Toc339020256"/>
      <w:bookmarkStart w:id="1773" w:name="_Toc331512924"/>
      <w:bookmarkStart w:id="1774" w:name="_Toc336681958"/>
      <w:bookmarkStart w:id="1775" w:name="_Toc342296784"/>
      <w:bookmarkStart w:id="1776" w:name="_Toc333935710"/>
      <w:bookmarkStart w:id="1777" w:name="_Toc333237812"/>
      <w:bookmarkStart w:id="1778" w:name="_Toc339441110"/>
      <w:bookmarkStart w:id="1779" w:name="_Toc336681603"/>
      <w:bookmarkStart w:id="1780" w:name="_Toc365967095"/>
      <w:bookmarkStart w:id="1781" w:name="_Toc340507465"/>
      <w:bookmarkStart w:id="1782" w:name="_Toc332206732"/>
      <w:bookmarkStart w:id="1783" w:name="_Toc333237701"/>
      <w:bookmarkStart w:id="1784" w:name="_Toc333935369"/>
      <w:bookmarkStart w:id="1785" w:name="_Toc330460009"/>
      <w:bookmarkStart w:id="1786" w:name="_Toc339020038"/>
      <w:bookmarkStart w:id="1787" w:name="_Toc365985201"/>
      <w:bookmarkStart w:id="1788" w:name="_Toc343247123"/>
      <w:bookmarkStart w:id="1789" w:name="_Toc339020118"/>
      <w:bookmarkStart w:id="1790" w:name="_Toc339019912"/>
      <w:bookmarkStart w:id="1791" w:name="_Toc350438772"/>
      <w:bookmarkStart w:id="1792" w:name="_Toc366072552"/>
      <w:bookmarkStart w:id="1793" w:name="_Toc343248441"/>
      <w:bookmarkStart w:id="1794" w:name="_Toc331684065"/>
      <w:bookmarkStart w:id="1795" w:name="_Toc342060398"/>
      <w:bookmarkStart w:id="1796" w:name="_Toc25857"/>
      <w:r>
        <w:rPr>
          <w:rFonts w:hint="eastAsia"/>
          <w:color w:val="000000" w:themeColor="text1"/>
          <w:highlight w:val="none"/>
          <w14:textFill>
            <w14:solidFill>
              <w14:schemeClr w14:val="tx1"/>
            </w14:solidFill>
          </w14:textFill>
        </w:rPr>
        <w:t>附件三：</w:t>
      </w:r>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Start w:id="1797" w:name="_Toc332270371"/>
      <w:bookmarkStart w:id="1798" w:name="_Toc333935370"/>
      <w:bookmarkStart w:id="1799" w:name="_Toc342312467"/>
      <w:bookmarkStart w:id="1800" w:name="_Toc330460010"/>
      <w:bookmarkStart w:id="1801" w:name="_Toc342060399"/>
      <w:bookmarkStart w:id="1802" w:name="_Toc339020039"/>
      <w:bookmarkStart w:id="1803" w:name="_Toc340677094"/>
      <w:bookmarkStart w:id="1804" w:name="_Toc365985202"/>
      <w:bookmarkStart w:id="1805" w:name="_Toc332206733"/>
      <w:bookmarkStart w:id="1806" w:name="_Toc336681604"/>
      <w:bookmarkStart w:id="1807" w:name="_Toc333935711"/>
      <w:bookmarkStart w:id="1808" w:name="_Toc340507466"/>
      <w:bookmarkStart w:id="1809" w:name="_Toc336681959"/>
      <w:bookmarkStart w:id="1810" w:name="_Toc331684066"/>
      <w:bookmarkStart w:id="1811" w:name="_Toc337632382"/>
      <w:bookmarkStart w:id="1812" w:name="_Toc343247124"/>
      <w:bookmarkStart w:id="1813" w:name="_Toc333238658"/>
      <w:bookmarkStart w:id="1814" w:name="_Toc333237702"/>
      <w:bookmarkStart w:id="1815" w:name="_Toc343248442"/>
      <w:bookmarkStart w:id="1816" w:name="_Toc339362324"/>
      <w:bookmarkStart w:id="1817" w:name="_Toc340672893"/>
      <w:bookmarkStart w:id="1818" w:name="_Toc342398154"/>
      <w:bookmarkStart w:id="1819" w:name="_Toc339020257"/>
      <w:bookmarkStart w:id="1820" w:name="_Toc365967096"/>
      <w:bookmarkStart w:id="1821" w:name="_Toc333237813"/>
      <w:bookmarkStart w:id="1822" w:name="_Toc350438773"/>
      <w:bookmarkStart w:id="1823" w:name="_Toc366072553"/>
      <w:bookmarkStart w:id="1824" w:name="_Toc339019913"/>
      <w:bookmarkStart w:id="1825" w:name="_Toc342296785"/>
      <w:bookmarkStart w:id="1826" w:name="_Toc350756474"/>
      <w:bookmarkStart w:id="1827" w:name="_Toc331512925"/>
      <w:bookmarkStart w:id="1828" w:name="_Toc345312621"/>
      <w:bookmarkStart w:id="1829" w:name="_Toc343612944"/>
      <w:bookmarkStart w:id="1830" w:name="_Toc339441111"/>
      <w:bookmarkStart w:id="1831" w:name="_Toc341348364"/>
      <w:bookmarkStart w:id="1832" w:name="_Toc339020119"/>
      <w:r>
        <w:rPr>
          <w:rFonts w:hint="eastAsia"/>
          <w:color w:val="000000" w:themeColor="text1"/>
          <w:highlight w:val="none"/>
          <w14:textFill>
            <w14:solidFill>
              <w14:schemeClr w14:val="tx1"/>
            </w14:solidFill>
          </w14:textFill>
        </w:rPr>
        <w:t>商务条款偏离一览表</w:t>
      </w:r>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6"/>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2）对招标文件中商务条款按上列格式逐条说明。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投标人声明：表中未列全的商务条款，我方均表示完全响应招标文件商务条款的所有要求。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sectPr>
          <w:footerReference r:id="rId14" w:type="default"/>
          <w:pgSz w:w="11906" w:h="16838"/>
          <w:pgMar w:top="1418" w:right="1474" w:bottom="1418" w:left="1474" w:header="851" w:footer="851" w:gutter="0"/>
          <w:cols w:space="720" w:num="1"/>
          <w:titlePg/>
          <w:docGrid w:linePitch="312" w:charSpace="0"/>
        </w:sectPr>
      </w:pPr>
    </w:p>
    <w:p>
      <w:pPr>
        <w:pStyle w:val="4"/>
        <w:numPr>
          <w:ilvl w:val="0"/>
          <w:numId w:val="0"/>
        </w:numPr>
        <w:spacing w:line="400" w:lineRule="exact"/>
        <w:rPr>
          <w:color w:val="000000" w:themeColor="text1"/>
          <w:highlight w:val="none"/>
          <w14:textFill>
            <w14:solidFill>
              <w14:schemeClr w14:val="tx1"/>
            </w14:solidFill>
          </w14:textFill>
        </w:rPr>
      </w:pPr>
      <w:bookmarkStart w:id="1833" w:name="_Toc15561"/>
      <w:bookmarkStart w:id="1834" w:name="_Toc366072554"/>
      <w:bookmarkStart w:id="1835" w:name="_Toc339020120"/>
      <w:bookmarkStart w:id="1836" w:name="_Toc339020040"/>
      <w:bookmarkStart w:id="1837" w:name="_Toc340677095"/>
      <w:bookmarkStart w:id="1838" w:name="_Toc336681605"/>
      <w:bookmarkStart w:id="1839" w:name="_Toc350756475"/>
      <w:bookmarkStart w:id="1840" w:name="_Toc342398155"/>
      <w:bookmarkStart w:id="1841" w:name="_Toc333935371"/>
      <w:bookmarkStart w:id="1842" w:name="_Toc336681960"/>
      <w:bookmarkStart w:id="1843" w:name="_Toc365985203"/>
      <w:bookmarkStart w:id="1844" w:name="_Toc350438774"/>
      <w:bookmarkStart w:id="1845" w:name="_Toc342060400"/>
      <w:bookmarkStart w:id="1846" w:name="_Toc332270372"/>
      <w:bookmarkStart w:id="1847" w:name="_Toc333237703"/>
      <w:bookmarkStart w:id="1848" w:name="_Toc331684067"/>
      <w:bookmarkStart w:id="1849" w:name="_Toc342296786"/>
      <w:bookmarkStart w:id="1850" w:name="_Toc342312468"/>
      <w:bookmarkStart w:id="1851" w:name="_Toc339441112"/>
      <w:bookmarkStart w:id="1852" w:name="_Toc333238659"/>
      <w:bookmarkStart w:id="1853" w:name="_Toc339362325"/>
      <w:bookmarkStart w:id="1854" w:name="_Toc340507467"/>
      <w:bookmarkStart w:id="1855" w:name="_Toc343612945"/>
      <w:bookmarkStart w:id="1856" w:name="_Toc343248443"/>
      <w:bookmarkStart w:id="1857" w:name="_Toc341348365"/>
      <w:bookmarkStart w:id="1858" w:name="_Toc343247125"/>
      <w:bookmarkStart w:id="1859" w:name="_Toc331512926"/>
      <w:bookmarkStart w:id="1860" w:name="_Toc339020258"/>
      <w:bookmarkStart w:id="1861" w:name="_Toc332206734"/>
      <w:bookmarkStart w:id="1862" w:name="_Toc340672894"/>
      <w:bookmarkStart w:id="1863" w:name="_Toc330460011"/>
      <w:bookmarkStart w:id="1864" w:name="_Toc333237814"/>
      <w:bookmarkStart w:id="1865" w:name="_Toc365967097"/>
      <w:bookmarkStart w:id="1866" w:name="_Toc337632383"/>
      <w:bookmarkStart w:id="1867" w:name="_Toc333935712"/>
      <w:bookmarkStart w:id="1868" w:name="_Toc339019914"/>
      <w:bookmarkStart w:id="1869" w:name="_Toc345312622"/>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四</w:t>
      </w:r>
      <w:r>
        <w:rPr>
          <w:rFonts w:hint="eastAsia"/>
          <w:color w:val="000000" w:themeColor="text1"/>
          <w:highlight w:val="none"/>
          <w14:textFill>
            <w14:solidFill>
              <w14:schemeClr w14:val="tx1"/>
            </w14:solidFill>
          </w14:textFill>
        </w:rPr>
        <w:t>：技术条款偏离一览表</w:t>
      </w:r>
      <w:bookmarkEnd w:id="1833"/>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6"/>
        <w:tblW w:w="9271" w:type="dxa"/>
        <w:jc w:val="center"/>
        <w:tblLayout w:type="fixed"/>
        <w:tblCellMar>
          <w:top w:w="0" w:type="dxa"/>
          <w:left w:w="54" w:type="dxa"/>
          <w:bottom w:w="0" w:type="dxa"/>
          <w:right w:w="54" w:type="dxa"/>
        </w:tblCellMar>
      </w:tblPr>
      <w:tblGrid>
        <w:gridCol w:w="661"/>
        <w:gridCol w:w="1116"/>
        <w:gridCol w:w="2845"/>
        <w:gridCol w:w="3190"/>
        <w:gridCol w:w="850"/>
        <w:gridCol w:w="609"/>
      </w:tblGrid>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2）对招标文件中技术条款按上列格式逐条说明。</w:t>
      </w:r>
    </w:p>
    <w:p>
      <w:pPr>
        <w:adjustRightInd w:val="0"/>
        <w:snapToGrid w:val="0"/>
        <w:spacing w:line="360" w:lineRule="auto"/>
        <w:ind w:firstLine="630" w:firstLineChars="300"/>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投标人声明：表中未列全的技术条款，我方均表示完全响应招标文件技术条款的所有要求。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p>
      <w:pPr>
        <w:pStyle w:val="4"/>
        <w:numPr>
          <w:ilvl w:val="1"/>
          <w:numId w:val="0"/>
        </w:numPr>
        <w:spacing w:line="400" w:lineRule="exact"/>
        <w:rPr>
          <w:color w:val="000000" w:themeColor="text1"/>
          <w:highlight w:val="none"/>
          <w14:textFill>
            <w14:solidFill>
              <w14:schemeClr w14:val="tx1"/>
            </w14:solidFill>
          </w14:textFill>
        </w:rPr>
        <w:sectPr>
          <w:pgSz w:w="11906" w:h="16838"/>
          <w:pgMar w:top="1474" w:right="1418" w:bottom="1474" w:left="1418" w:header="851" w:footer="850" w:gutter="0"/>
          <w:cols w:space="0" w:num="1"/>
          <w:titlePg/>
          <w:docGrid w:linePitch="312" w:charSpace="0"/>
        </w:sectPr>
      </w:pPr>
      <w:bookmarkStart w:id="1870" w:name="_Toc336681609"/>
      <w:bookmarkStart w:id="1871" w:name="_Toc339019918"/>
      <w:bookmarkStart w:id="1872" w:name="_Toc343247129"/>
      <w:bookmarkStart w:id="1873" w:name="_Toc343612949"/>
      <w:bookmarkStart w:id="1874" w:name="_Toc336681964"/>
      <w:bookmarkStart w:id="1875" w:name="_Toc331684071"/>
      <w:bookmarkStart w:id="1876" w:name="_Toc343248447"/>
      <w:bookmarkStart w:id="1877" w:name="_Toc365967104"/>
      <w:bookmarkStart w:id="1878" w:name="_Toc345312626"/>
      <w:bookmarkStart w:id="1879" w:name="_Toc341348369"/>
      <w:bookmarkStart w:id="1880" w:name="_Toc340677099"/>
      <w:bookmarkStart w:id="1881" w:name="_Toc366072561"/>
      <w:bookmarkStart w:id="1882" w:name="_Toc342060404"/>
      <w:bookmarkStart w:id="1883" w:name="_Toc342312472"/>
      <w:bookmarkStart w:id="1884" w:name="_Toc339441116"/>
      <w:bookmarkStart w:id="1885" w:name="_Toc339020262"/>
      <w:bookmarkStart w:id="1886" w:name="_Toc339020124"/>
      <w:bookmarkStart w:id="1887" w:name="_Toc342398159"/>
      <w:bookmarkStart w:id="1888" w:name="_Toc432695228"/>
      <w:bookmarkStart w:id="1889" w:name="_Toc332270376"/>
      <w:bookmarkStart w:id="1890" w:name="_Toc331512930"/>
      <w:bookmarkStart w:id="1891" w:name="_Toc332206738"/>
      <w:bookmarkStart w:id="1892" w:name="_Toc350756479"/>
      <w:bookmarkStart w:id="1893" w:name="_Toc333935375"/>
      <w:bookmarkStart w:id="1894" w:name="_Toc333238663"/>
      <w:bookmarkStart w:id="1895" w:name="_Toc340507471"/>
      <w:bookmarkStart w:id="1896" w:name="_Toc339362329"/>
      <w:bookmarkStart w:id="1897" w:name="_Toc330460015"/>
      <w:bookmarkStart w:id="1898" w:name="_Toc340672898"/>
      <w:bookmarkStart w:id="1899" w:name="_Toc333237707"/>
      <w:bookmarkStart w:id="1900" w:name="_Toc337632387"/>
      <w:bookmarkStart w:id="1901" w:name="_Toc333237818"/>
      <w:bookmarkStart w:id="1902" w:name="_Toc342296790"/>
      <w:bookmarkStart w:id="1903" w:name="_Toc350438778"/>
      <w:bookmarkStart w:id="1904" w:name="_Toc339020044"/>
      <w:bookmarkStart w:id="1905" w:name="_Toc333935716"/>
      <w:bookmarkStart w:id="1906" w:name="_Toc365985210"/>
    </w:p>
    <w:p>
      <w:pPr>
        <w:pStyle w:val="4"/>
        <w:numPr>
          <w:ilvl w:val="1"/>
          <w:numId w:val="0"/>
        </w:numPr>
        <w:spacing w:line="400" w:lineRule="exact"/>
        <w:rPr>
          <w:color w:val="000000" w:themeColor="text1"/>
          <w:highlight w:val="none"/>
          <w14:textFill>
            <w14:solidFill>
              <w14:schemeClr w14:val="tx1"/>
            </w14:solidFill>
          </w14:textFill>
        </w:rPr>
      </w:pPr>
      <w:bookmarkStart w:id="1907" w:name="_Toc20367"/>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五</w:t>
      </w:r>
      <w:r>
        <w:rPr>
          <w:rFonts w:hint="eastAsia"/>
          <w:color w:val="000000" w:themeColor="text1"/>
          <w:highlight w:val="none"/>
          <w14:textFill>
            <w14:solidFill>
              <w14:schemeClr w14:val="tx1"/>
            </w14:solidFill>
          </w14:textFill>
        </w:rPr>
        <w:t>：同类业绩一览表</w:t>
      </w:r>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tbl>
      <w:tblPr>
        <w:tblStyle w:val="46"/>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中标金额（元）</w:t>
            </w:r>
          </w:p>
        </w:tc>
        <w:tc>
          <w:tcPr>
            <w:tcW w:w="1233"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bl>
    <w:p>
      <w:pPr>
        <w:pStyle w:val="2"/>
        <w:snapToGrid w:val="0"/>
        <w:spacing w:line="360" w:lineRule="auto"/>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注：如本表格式内容不能满足需要，投标人可自行划表填写，但必须体现以上内容。</w:t>
      </w:r>
    </w:p>
    <w:p>
      <w:pPr>
        <w:pStyle w:val="2"/>
        <w:snapToGrid w:val="0"/>
        <w:spacing w:line="360" w:lineRule="auto"/>
        <w:rPr>
          <w:rFonts w:hAnsi="宋体"/>
          <w:bCs/>
          <w:color w:val="000000" w:themeColor="text1"/>
          <w:sz w:val="21"/>
          <w:highlight w:val="none"/>
          <w14:textFill>
            <w14:solidFill>
              <w14:schemeClr w14:val="tx1"/>
            </w14:solidFill>
          </w14:textFill>
        </w:rPr>
      </w:pPr>
    </w:p>
    <w:p>
      <w:pPr>
        <w:pStyle w:val="2"/>
        <w:snapToGrid w:val="0"/>
        <w:spacing w:line="360" w:lineRule="auto"/>
        <w:rPr>
          <w:rFonts w:hAnsi="宋体"/>
          <w:bCs/>
          <w:color w:val="000000" w:themeColor="text1"/>
          <w:sz w:val="21"/>
          <w:highlight w:val="none"/>
          <w14:textFill>
            <w14:solidFill>
              <w14:schemeClr w14:val="tx1"/>
            </w14:solidFill>
          </w14:textFill>
        </w:rPr>
      </w:pPr>
    </w:p>
    <w:p>
      <w:pPr>
        <w:pStyle w:val="2"/>
        <w:snapToGrid w:val="0"/>
        <w:spacing w:line="360" w:lineRule="auto"/>
        <w:rPr>
          <w:rFonts w:hAnsi="宋体"/>
          <w:bCs/>
          <w:color w:val="000000" w:themeColor="text1"/>
          <w:sz w:val="21"/>
          <w:highlight w:val="none"/>
          <w14:textFill>
            <w14:solidFill>
              <w14:schemeClr w14:val="tx1"/>
            </w14:solidFill>
          </w14:textFill>
        </w:rPr>
      </w:pPr>
    </w:p>
    <w:p>
      <w:pPr>
        <w:pStyle w:val="2"/>
        <w:snapToGrid w:val="0"/>
        <w:spacing w:line="360" w:lineRule="auto"/>
        <w:rPr>
          <w:rFonts w:hAnsi="宋体"/>
          <w:bCs/>
          <w:color w:val="000000" w:themeColor="text1"/>
          <w:sz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4"/>
        <w:numPr>
          <w:ilvl w:val="1"/>
          <w:numId w:val="0"/>
        </w:numPr>
        <w:jc w:val="both"/>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4"/>
        <w:numPr>
          <w:ilvl w:val="0"/>
          <w:numId w:val="0"/>
        </w:numPr>
        <w:spacing w:line="400" w:lineRule="exact"/>
        <w:rPr>
          <w:rFonts w:hAnsi="黑体" w:cs="黑体"/>
          <w:color w:val="000000" w:themeColor="text1"/>
          <w:highlight w:val="none"/>
          <w14:textFill>
            <w14:solidFill>
              <w14:schemeClr w14:val="tx1"/>
            </w14:solidFill>
          </w14:textFill>
        </w:rPr>
      </w:pPr>
      <w:bookmarkStart w:id="1908" w:name="_Toc430771089"/>
      <w:bookmarkStart w:id="1909" w:name="_Toc432682754"/>
      <w:bookmarkStart w:id="1910" w:name="_Toc432695229"/>
      <w:bookmarkStart w:id="1911" w:name="_Toc2576"/>
      <w:bookmarkStart w:id="1912" w:name="_Toc342296791"/>
      <w:bookmarkStart w:id="1913" w:name="_Toc339020045"/>
      <w:bookmarkStart w:id="1914" w:name="_Toc333238664"/>
      <w:bookmarkStart w:id="1915" w:name="_Toc336681610"/>
      <w:bookmarkStart w:id="1916" w:name="_Toc339362330"/>
      <w:bookmarkStart w:id="1917" w:name="_Toc330460016"/>
      <w:bookmarkStart w:id="1918" w:name="_Toc337632388"/>
      <w:bookmarkStart w:id="1919" w:name="_Toc339019919"/>
      <w:bookmarkStart w:id="1920" w:name="_Toc350438779"/>
      <w:bookmarkStart w:id="1921" w:name="_Toc366072562"/>
      <w:bookmarkStart w:id="1922" w:name="_Toc342398160"/>
      <w:bookmarkStart w:id="1923" w:name="_Toc339020125"/>
      <w:bookmarkStart w:id="1924" w:name="_Toc331684072"/>
      <w:bookmarkStart w:id="1925" w:name="_Toc340677100"/>
      <w:bookmarkStart w:id="1926" w:name="_Toc341348370"/>
      <w:bookmarkStart w:id="1927" w:name="_Toc365985211"/>
      <w:bookmarkStart w:id="1928" w:name="_Toc339441117"/>
      <w:bookmarkStart w:id="1929" w:name="_Toc332206739"/>
      <w:bookmarkStart w:id="1930" w:name="_Toc339020263"/>
      <w:bookmarkStart w:id="1931" w:name="_Toc340672899"/>
      <w:bookmarkStart w:id="1932" w:name="_Toc350756480"/>
      <w:bookmarkStart w:id="1933" w:name="_Toc340507472"/>
      <w:bookmarkStart w:id="1934" w:name="_Toc102451601"/>
      <w:bookmarkStart w:id="1935" w:name="_Toc342312473"/>
      <w:bookmarkStart w:id="1936" w:name="_Toc333237819"/>
      <w:bookmarkStart w:id="1937" w:name="_Toc331512931"/>
      <w:bookmarkStart w:id="1938" w:name="_Toc336681965"/>
      <w:bookmarkStart w:id="1939" w:name="_Toc342060405"/>
      <w:bookmarkStart w:id="1940" w:name="_Toc343612950"/>
      <w:bookmarkStart w:id="1941" w:name="_Toc343248448"/>
      <w:bookmarkStart w:id="1942" w:name="_Toc345312627"/>
      <w:bookmarkStart w:id="1943" w:name="_Toc332270377"/>
      <w:bookmarkStart w:id="1944" w:name="_Toc333237708"/>
      <w:bookmarkStart w:id="1945" w:name="_Toc333935376"/>
      <w:bookmarkStart w:id="1946" w:name="_Toc343247130"/>
      <w:bookmarkStart w:id="1947" w:name="_Toc333935717"/>
      <w:bookmarkStart w:id="1948" w:name="_Toc365967105"/>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六</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中小微企业声明函</w:t>
      </w:r>
      <w:bookmarkEnd w:id="1908"/>
      <w:bookmarkEnd w:id="1909"/>
      <w:bookmarkEnd w:id="1910"/>
      <w:bookmarkEnd w:id="1911"/>
    </w:p>
    <w:p>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spacing w:line="440" w:lineRule="exact"/>
        <w:rPr>
          <w:rFonts w:ascii="宋体"/>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日</w:t>
      </w:r>
    </w:p>
    <w:p>
      <w:pPr>
        <w:spacing w:line="440" w:lineRule="exact"/>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p>
      <w:pPr>
        <w:pStyle w:val="4"/>
        <w:keepLines w:val="0"/>
        <w:numPr>
          <w:ilvl w:val="0"/>
          <w:numId w:val="0"/>
        </w:numPr>
        <w:tabs>
          <w:tab w:val="left" w:pos="851"/>
        </w:tabs>
        <w:spacing w:before="0" w:after="0" w:line="360" w:lineRule="auto"/>
        <w:rPr>
          <w:rFonts w:ascii="宋体" w:eastAsia="宋体"/>
          <w:color w:val="000000" w:themeColor="text1"/>
          <w:szCs w:val="21"/>
          <w:highlight w:val="none"/>
          <w14:textFill>
            <w14:solidFill>
              <w14:schemeClr w14:val="tx1"/>
            </w14:solidFill>
          </w14:textFill>
        </w:rPr>
      </w:pPr>
      <w:bookmarkStart w:id="1949" w:name="_Toc32373"/>
      <w:bookmarkStart w:id="1950" w:name="_Toc32385"/>
      <w:bookmarkStart w:id="1951" w:name="_Toc434832511"/>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七</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残疾人福利性单位声明函</w:t>
      </w:r>
      <w:bookmarkEnd w:id="1949"/>
      <w:bookmarkEnd w:id="1950"/>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pPr>
        <w:spacing w:line="360" w:lineRule="auto"/>
        <w:jc w:val="center"/>
        <w:rPr>
          <w:rFonts w:ascii="宋体" w:hAnsi="宋体"/>
          <w:b/>
          <w:color w:val="000000" w:themeColor="text1"/>
          <w:sz w:val="24"/>
          <w:highlight w:val="none"/>
          <w14:textFill>
            <w14:solidFill>
              <w14:schemeClr w14:val="tx1"/>
            </w14:solidFill>
          </w14:textFill>
        </w:rPr>
      </w:pPr>
    </w:p>
    <w:p>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投标人名称（公章）：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pPr>
        <w:pStyle w:val="2"/>
        <w:spacing w:line="360" w:lineRule="auto"/>
        <w:ind w:firstLine="0"/>
        <w:rPr>
          <w:rFonts w:hAnsi="宋体" w:cs="宋体"/>
          <w:color w:val="000000" w:themeColor="text1"/>
          <w:kern w:val="2"/>
          <w:sz w:val="21"/>
          <w:szCs w:val="24"/>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日期：</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年</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月</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日</w:t>
      </w: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4"/>
        <w:numPr>
          <w:ilvl w:val="1"/>
          <w:numId w:val="0"/>
        </w:numPr>
        <w:spacing w:line="400" w:lineRule="exact"/>
        <w:rPr>
          <w:color w:val="000000" w:themeColor="text1"/>
          <w:highlight w:val="none"/>
          <w14:textFill>
            <w14:solidFill>
              <w14:schemeClr w14:val="tx1"/>
            </w14:solidFill>
          </w14:textFill>
        </w:rPr>
      </w:pPr>
      <w:bookmarkStart w:id="1952" w:name="_Toc432695230"/>
      <w:bookmarkStart w:id="1953" w:name="_Toc9858"/>
      <w:bookmarkStart w:id="1954" w:name="_Toc5"/>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八</w:t>
      </w:r>
      <w:r>
        <w:rPr>
          <w:rFonts w:hint="eastAsia"/>
          <w:color w:val="000000" w:themeColor="text1"/>
          <w:highlight w:val="none"/>
          <w14:textFill>
            <w14:solidFill>
              <w14:schemeClr w14:val="tx1"/>
            </w14:solidFill>
          </w14:textFill>
        </w:rPr>
        <w:t>：中标服务费承诺</w:t>
      </w:r>
      <w:bookmarkEnd w:id="1952"/>
      <w:bookmarkEnd w:id="1953"/>
      <w:bookmarkEnd w:id="1954"/>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lang w:eastAsia="zh-CN"/>
          <w14:textFill>
            <w14:solidFill>
              <w14:schemeClr w14:val="tx1"/>
            </w14:solidFill>
          </w14:textFill>
        </w:rPr>
        <w:t>广东业信招标有限公司</w:t>
      </w:r>
      <w:r>
        <w:rPr>
          <w:rFonts w:hint="eastAsia" w:ascii="宋体" w:hAnsi="宋体"/>
          <w:color w:val="000000" w:themeColor="text1"/>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针对贵方组织的（项目名称：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）招标（项目编号: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），我方承诺：</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 若我方中标，将严格遵照本项目招标文件的规定向代理采购机构缴纳中标服务费。</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14:textFill>
            <w14:solidFill>
              <w14:schemeClr w14:val="tx1"/>
            </w14:solidFill>
          </w14:textFill>
        </w:rPr>
        <w:t>方</w:t>
      </w:r>
      <w:r>
        <w:rPr>
          <w:rFonts w:hint="eastAsia" w:ascii="宋体" w:hAnsi="宋体"/>
          <w:color w:val="000000" w:themeColor="text1"/>
          <w:highlight w:val="none"/>
          <w14:textFill>
            <w14:solidFill>
              <w14:schemeClr w14:val="tx1"/>
            </w14:solidFill>
          </w14:textFill>
        </w:rPr>
        <w:t>有权不予退还我方的投标保证金并重新确定中标结果，</w:t>
      </w:r>
      <w:r>
        <w:rPr>
          <w:rFonts w:hint="eastAsia" w:ascii="宋体"/>
          <w:color w:val="000000" w:themeColor="text1"/>
          <w:highlight w:val="none"/>
          <w14:textFill>
            <w14:solidFill>
              <w14:schemeClr w14:val="tx1"/>
            </w14:solidFill>
          </w14:textFill>
        </w:rPr>
        <w:t>我方对此无任何异议。</w:t>
      </w:r>
    </w:p>
    <w:p>
      <w:pPr>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440" w:lineRule="exact"/>
        <w:ind w:firstLine="420" w:firstLineChars="200"/>
        <w:rPr>
          <w:rFonts w:ascii="宋体" w:hAns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4"/>
        <w:numPr>
          <w:ilvl w:val="1"/>
          <w:numId w:val="0"/>
        </w:numPr>
        <w:spacing w:line="400" w:lineRule="exact"/>
        <w:rPr>
          <w:color w:val="000000" w:themeColor="text1"/>
          <w:highlight w:val="none"/>
          <w14:textFill>
            <w14:solidFill>
              <w14:schemeClr w14:val="tx1"/>
            </w14:solidFill>
          </w14:textFill>
        </w:rPr>
      </w:pPr>
      <w:bookmarkStart w:id="1955" w:name="_Toc326065622"/>
      <w:bookmarkStart w:id="1956" w:name="_Toc339020126"/>
      <w:bookmarkStart w:id="1957" w:name="_Toc342312474"/>
      <w:bookmarkStart w:id="1958" w:name="_Toc331512932"/>
      <w:bookmarkStart w:id="1959" w:name="_Toc337632389"/>
      <w:bookmarkStart w:id="1960" w:name="_Toc343247131"/>
      <w:bookmarkStart w:id="1961" w:name="_Toc16098"/>
      <w:bookmarkStart w:id="1962" w:name="_Toc366072563"/>
      <w:bookmarkStart w:id="1963" w:name="_Toc341348371"/>
      <w:bookmarkStart w:id="1964" w:name="_Toc365985212"/>
      <w:bookmarkStart w:id="1965" w:name="_Toc336681966"/>
      <w:bookmarkStart w:id="1966" w:name="_Toc339362331"/>
      <w:bookmarkStart w:id="1967" w:name="_Toc345312628"/>
      <w:bookmarkStart w:id="1968" w:name="_Toc340677101"/>
      <w:bookmarkStart w:id="1969" w:name="_Toc336681611"/>
      <w:bookmarkStart w:id="1970" w:name="_Toc339441118"/>
      <w:bookmarkStart w:id="1971" w:name="_Toc333237820"/>
      <w:bookmarkStart w:id="1972" w:name="_Toc342398161"/>
      <w:bookmarkStart w:id="1973" w:name="_Toc332206740"/>
      <w:bookmarkStart w:id="1974" w:name="_Toc339019920"/>
      <w:bookmarkStart w:id="1975" w:name="_Toc333237709"/>
      <w:bookmarkStart w:id="1976" w:name="_Toc340507473"/>
      <w:bookmarkStart w:id="1977" w:name="_Toc432695231"/>
      <w:bookmarkStart w:id="1978" w:name="_Toc333935718"/>
      <w:bookmarkStart w:id="1979" w:name="_Toc339020046"/>
      <w:bookmarkStart w:id="1980" w:name="_Toc343612951"/>
      <w:bookmarkStart w:id="1981" w:name="_Toc333935377"/>
      <w:bookmarkStart w:id="1982" w:name="_Toc365967106"/>
      <w:bookmarkStart w:id="1983" w:name="_Toc342060406"/>
      <w:bookmarkStart w:id="1984" w:name="_Toc342296792"/>
      <w:bookmarkStart w:id="1985" w:name="_Toc340672900"/>
      <w:bookmarkStart w:id="1986" w:name="_Toc350438780"/>
      <w:bookmarkStart w:id="1987" w:name="_Toc333238665"/>
      <w:bookmarkStart w:id="1988" w:name="_Toc350756481"/>
      <w:bookmarkStart w:id="1989" w:name="_Toc332270378"/>
      <w:bookmarkStart w:id="1990" w:name="_Toc343248449"/>
      <w:bookmarkStart w:id="1991" w:name="_Toc330460017"/>
      <w:bookmarkStart w:id="1992" w:name="_Toc331684073"/>
      <w:bookmarkStart w:id="1993" w:name="_Toc339020264"/>
      <w:bookmarkStart w:id="1994" w:name="_Toc10463"/>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九</w:t>
      </w:r>
      <w:r>
        <w:rPr>
          <w:rFonts w:hint="eastAsia"/>
          <w:color w:val="000000" w:themeColor="text1"/>
          <w:highlight w:val="none"/>
          <w14:textFill>
            <w14:solidFill>
              <w14:schemeClr w14:val="tx1"/>
            </w14:solidFill>
          </w14:textFill>
        </w:rPr>
        <w:t>：</w:t>
      </w:r>
      <w:bookmarkEnd w:id="1955"/>
      <w:r>
        <w:rPr>
          <w:rFonts w:hint="eastAsia"/>
          <w:color w:val="000000" w:themeColor="text1"/>
          <w:highlight w:val="none"/>
          <w14:textFill>
            <w14:solidFill>
              <w14:schemeClr w14:val="tx1"/>
            </w14:solidFill>
          </w14:textFill>
        </w:rPr>
        <w:t>投标人提交的其它商务和技术资料</w:t>
      </w:r>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p>
    <w:p>
      <w:pPr>
        <w:pStyle w:val="2"/>
        <w:spacing w:line="360" w:lineRule="auto"/>
        <w:rPr>
          <w:rFonts w:hAnsi="宋体"/>
          <w:bCs/>
          <w:color w:val="000000" w:themeColor="text1"/>
          <w:sz w:val="21"/>
          <w:highlight w:val="none"/>
          <w14:textFill>
            <w14:solidFill>
              <w14:schemeClr w14:val="tx1"/>
            </w14:solidFill>
          </w14:textFill>
        </w:rPr>
      </w:pP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本节无格式要求，投标人可根据自身实际情况以及招标文件评分细则规定的详细评审内容和应当提供的证明材料进行编制。</w:t>
      </w: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一、</w:t>
      </w:r>
      <w:r>
        <w:rPr>
          <w:rFonts w:hAnsi="宋体"/>
          <w:bCs/>
          <w:color w:val="000000" w:themeColor="text1"/>
          <w:sz w:val="21"/>
          <w:highlight w:val="none"/>
          <w14:textFill>
            <w14:solidFill>
              <w14:schemeClr w14:val="tx1"/>
            </w14:solidFill>
          </w14:textFill>
        </w:rPr>
        <w:t>...</w:t>
      </w: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二、</w:t>
      </w:r>
      <w:r>
        <w:rPr>
          <w:rFonts w:hAnsi="宋体"/>
          <w:bCs/>
          <w:color w:val="000000" w:themeColor="text1"/>
          <w:sz w:val="21"/>
          <w:highlight w:val="none"/>
          <w14:textFill>
            <w14:solidFill>
              <w14:schemeClr w14:val="tx1"/>
            </w14:solidFill>
          </w14:textFill>
        </w:rPr>
        <w:t>...</w:t>
      </w: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三、</w:t>
      </w:r>
      <w:r>
        <w:rPr>
          <w:rFonts w:hAnsi="宋体"/>
          <w:bCs/>
          <w:color w:val="000000" w:themeColor="text1"/>
          <w:sz w:val="21"/>
          <w:highlight w:val="none"/>
          <w14:textFill>
            <w14:solidFill>
              <w14:schemeClr w14:val="tx1"/>
            </w14:solidFill>
          </w14:textFill>
        </w:rPr>
        <w:t>...</w:t>
      </w: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四、</w:t>
      </w:r>
      <w:r>
        <w:rPr>
          <w:rFonts w:hAnsi="宋体"/>
          <w:bCs/>
          <w:color w:val="000000" w:themeColor="text1"/>
          <w:sz w:val="21"/>
          <w:highlight w:val="none"/>
          <w14:textFill>
            <w14:solidFill>
              <w14:schemeClr w14:val="tx1"/>
            </w14:solidFill>
          </w14:textFill>
        </w:rPr>
        <w:t>...</w:t>
      </w: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2"/>
        <w:spacing w:line="360" w:lineRule="auto"/>
        <w:rPr>
          <w:color w:val="000000" w:themeColor="text1"/>
          <w:highlight w:val="none"/>
          <w14:textFill>
            <w14:solidFill>
              <w14:schemeClr w14:val="tx1"/>
            </w14:solidFill>
          </w14:textFill>
        </w:rPr>
      </w:pPr>
    </w:p>
    <w:p>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（投标人认为本节无须提交的，应注明“本节空白”字样）。</w:t>
      </w: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4"/>
        <w:numPr>
          <w:ilvl w:val="0"/>
          <w:numId w:val="0"/>
        </w:numPr>
        <w:rPr>
          <w:color w:val="000000" w:themeColor="text1"/>
          <w:sz w:val="52"/>
          <w:highlight w:val="none"/>
          <w14:textFill>
            <w14:solidFill>
              <w14:schemeClr w14:val="tx1"/>
            </w14:solidFill>
          </w14:textFill>
        </w:rPr>
      </w:pPr>
      <w:bookmarkStart w:id="1995" w:name="_Toc456888293"/>
      <w:bookmarkStart w:id="1996" w:name="_Toc456887842"/>
      <w:bookmarkStart w:id="1997" w:name="_Toc22588"/>
      <w:r>
        <w:rPr>
          <w:rFonts w:hint="eastAsia"/>
          <w:color w:val="000000" w:themeColor="text1"/>
          <w:sz w:val="52"/>
          <w:highlight w:val="none"/>
          <w14:textFill>
            <w14:solidFill>
              <w14:schemeClr w14:val="tx1"/>
            </w14:solidFill>
          </w14:textFill>
        </w:rPr>
        <w:t>其 他 格 式</w:t>
      </w:r>
      <w:bookmarkEnd w:id="1951"/>
      <w:bookmarkEnd w:id="1995"/>
      <w:bookmarkEnd w:id="1996"/>
      <w:bookmarkEnd w:id="1997"/>
    </w:p>
    <w:p>
      <w:pPr>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pStyle w:val="5"/>
        <w:numPr>
          <w:ilvl w:val="0"/>
          <w:numId w:val="0"/>
        </w:numPr>
        <w:spacing w:afterLines="50"/>
        <w:jc w:val="center"/>
        <w:rPr>
          <w:rFonts w:ascii="宋体" w:hAnsi="宋体" w:eastAsia="宋体"/>
          <w:b/>
          <w:color w:val="000000" w:themeColor="text1"/>
          <w:sz w:val="28"/>
          <w:highlight w:val="none"/>
          <w14:textFill>
            <w14:solidFill>
              <w14:schemeClr w14:val="tx1"/>
            </w14:solidFill>
          </w14:textFill>
        </w:rPr>
      </w:pPr>
      <w:bookmarkStart w:id="1998" w:name="_Toc456888294"/>
      <w:bookmarkStart w:id="1999" w:name="_Toc456887843"/>
      <w:bookmarkStart w:id="2000" w:name="_Toc27084"/>
      <w:r>
        <w:rPr>
          <w:rFonts w:hint="eastAsia" w:ascii="宋体" w:hAnsi="宋体" w:eastAsia="宋体"/>
          <w:b/>
          <w:color w:val="000000" w:themeColor="text1"/>
          <w:sz w:val="28"/>
          <w:highlight w:val="none"/>
          <w14:textFill>
            <w14:solidFill>
              <w14:schemeClr w14:val="tx1"/>
            </w14:solidFill>
          </w14:textFill>
        </w:rPr>
        <w:t>投标保证金退付书</w:t>
      </w:r>
      <w:bookmarkEnd w:id="1998"/>
      <w:bookmarkEnd w:id="1999"/>
      <w:bookmarkEnd w:id="2000"/>
    </w:p>
    <w:p>
      <w:pPr>
        <w:pStyle w:val="2"/>
        <w:rPr>
          <w:color w:val="000000" w:themeColor="text1"/>
          <w:highlight w:val="none"/>
          <w14:textFill>
            <w14:solidFill>
              <w14:schemeClr w14:val="tx1"/>
            </w14:solidFill>
          </w14:textFill>
        </w:rPr>
      </w:pPr>
    </w:p>
    <w:p>
      <w:pPr>
        <w:spacing w:line="288" w:lineRule="auto"/>
        <w:rPr>
          <w:rFonts w:hint="eastAsia" w:ascii="宋体" w:hAnsi="宋体" w:eastAsia="宋体"/>
          <w:b/>
          <w:color w:val="000000" w:themeColor="text1"/>
          <w:szCs w:val="21"/>
          <w:highlight w:val="none"/>
          <w:lang w:eastAsia="zh-CN"/>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致：</w:t>
      </w:r>
      <w:r>
        <w:rPr>
          <w:rFonts w:hint="eastAsia" w:ascii="宋体" w:hAnsi="宋体"/>
          <w:b/>
          <w:color w:val="000000" w:themeColor="text1"/>
          <w:szCs w:val="21"/>
          <w:highlight w:val="none"/>
          <w:lang w:eastAsia="zh-CN"/>
          <w14:textFill>
            <w14:solidFill>
              <w14:schemeClr w14:val="tx1"/>
            </w14:solidFill>
          </w14:textFill>
        </w:rPr>
        <w:t>广东业信招标有限公司</w:t>
      </w:r>
    </w:p>
    <w:p>
      <w:pPr>
        <w:spacing w:line="288"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本公司为本项目的投标已提交了足额投标保证金，请贵方在符合退还条件时请代划入下列账户：</w:t>
      </w:r>
    </w:p>
    <w:tbl>
      <w:tblPr>
        <w:tblStyle w:val="46"/>
        <w:tblW w:w="9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2836"/>
        <w:gridCol w:w="1498"/>
        <w:gridCol w:w="1481"/>
        <w:gridCol w:w="3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项目名称</w:t>
            </w:r>
          </w:p>
        </w:tc>
        <w:tc>
          <w:tcPr>
            <w:tcW w:w="6095" w:type="dxa"/>
            <w:gridSpan w:val="3"/>
          </w:tcPr>
          <w:p>
            <w:pPr>
              <w:ind w:right="206" w:rightChars="98"/>
              <w:rPr>
                <w:rStyle w:val="303"/>
                <w:rFonts w:ascii="宋体" w:hAnsi="宋体"/>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项目编号</w:t>
            </w:r>
          </w:p>
        </w:tc>
        <w:tc>
          <w:tcPr>
            <w:tcW w:w="6095" w:type="dxa"/>
            <w:gridSpan w:val="3"/>
          </w:tcPr>
          <w:p>
            <w:pPr>
              <w:ind w:right="206" w:rightChars="98"/>
              <w:rPr>
                <w:rStyle w:val="303"/>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restart"/>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收款单位</w:t>
            </w:r>
          </w:p>
        </w:tc>
        <w:tc>
          <w:tcPr>
            <w:tcW w:w="2836" w:type="dxa"/>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收款单位名称</w:t>
            </w:r>
          </w:p>
        </w:tc>
        <w:tc>
          <w:tcPr>
            <w:tcW w:w="6095" w:type="dxa"/>
            <w:gridSpan w:val="3"/>
          </w:tcPr>
          <w:p>
            <w:pPr>
              <w:ind w:right="206" w:rightChars="98"/>
              <w:jc w:val="center"/>
              <w:rPr>
                <w:rStyle w:val="303"/>
                <w:color w:val="000000" w:themeColor="text1"/>
                <w:spacing w:val="10"/>
                <w:sz w:val="21"/>
                <w:szCs w:val="21"/>
                <w:highlight w:val="none"/>
                <w:u w:val="single"/>
                <w:lang w:val="zh-CN"/>
                <w14:textFill>
                  <w14:solidFill>
                    <w14:schemeClr w14:val="tx1"/>
                  </w14:solidFill>
                </w14:textFill>
              </w:rPr>
            </w:pPr>
            <w:r>
              <w:rPr>
                <w:rStyle w:val="303"/>
                <w:color w:val="000000" w:themeColor="text1"/>
                <w:spacing w:val="10"/>
                <w:sz w:val="21"/>
                <w:szCs w:val="21"/>
                <w:highlight w:val="none"/>
                <w:u w:val="single"/>
                <w:lang w:val="zh-CN"/>
                <w14:textFill>
                  <w14:solidFill>
                    <w14:schemeClr w14:val="tx1"/>
                  </w14:solidFill>
                </w14:textFill>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收款单位地址</w:t>
            </w:r>
          </w:p>
        </w:tc>
        <w:tc>
          <w:tcPr>
            <w:tcW w:w="6095" w:type="dxa"/>
            <w:gridSpan w:val="3"/>
          </w:tcPr>
          <w:p>
            <w:pPr>
              <w:ind w:right="206" w:rightChars="98"/>
              <w:jc w:val="center"/>
              <w:rPr>
                <w:rStyle w:val="303"/>
                <w:color w:val="000000" w:themeColor="text1"/>
                <w:spacing w:val="10"/>
                <w:sz w:val="21"/>
                <w:szCs w:val="21"/>
                <w:highlight w:val="none"/>
                <w:lang w:val="zh-CN"/>
                <w14:textFill>
                  <w14:solidFill>
                    <w14:schemeClr w14:val="tx1"/>
                  </w14:solidFill>
                </w14:textFill>
              </w:rPr>
            </w:pPr>
            <w:r>
              <w:rPr>
                <w:rStyle w:val="303"/>
                <w:color w:val="000000" w:themeColor="text1"/>
                <w:spacing w:val="10"/>
                <w:sz w:val="21"/>
                <w:szCs w:val="21"/>
                <w:highlight w:val="none"/>
                <w:u w:val="single"/>
                <w:lang w:val="zh-CN"/>
                <w14:textFill>
                  <w14:solidFill>
                    <w14:schemeClr w14:val="tx1"/>
                  </w14:solidFill>
                </w14:textFill>
              </w:rPr>
              <w:t>（投标人地址）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开户银行</w:t>
            </w:r>
            <w:r>
              <w:rPr>
                <w:rStyle w:val="303"/>
                <w:color w:val="000000" w:themeColor="text1"/>
                <w:spacing w:val="10"/>
                <w:sz w:val="21"/>
                <w:szCs w:val="21"/>
                <w:highlight w:val="none"/>
                <w:lang w:val="zh-CN"/>
                <w14:textFill>
                  <w14:solidFill>
                    <w14:schemeClr w14:val="tx1"/>
                  </w14:solidFill>
                </w14:textFill>
              </w:rPr>
              <w:t>（含汇入地点）</w:t>
            </w:r>
          </w:p>
        </w:tc>
        <w:tc>
          <w:tcPr>
            <w:tcW w:w="6095" w:type="dxa"/>
            <w:gridSpan w:val="3"/>
            <w:vAlign w:val="center"/>
          </w:tcPr>
          <w:p>
            <w:pPr>
              <w:ind w:right="206" w:rightChars="98" w:firstLine="460" w:firstLineChars="200"/>
              <w:rPr>
                <w:rStyle w:val="303"/>
                <w:color w:val="000000" w:themeColor="text1"/>
                <w:spacing w:val="10"/>
                <w:sz w:val="21"/>
                <w:szCs w:val="21"/>
                <w:highlight w:val="none"/>
                <w:lang w:val="zh-CN"/>
                <w14:textFill>
                  <w14:solidFill>
                    <w14:schemeClr w14:val="tx1"/>
                  </w14:solidFill>
                </w14:textFill>
              </w:rPr>
            </w:pPr>
            <w:r>
              <w:rPr>
                <w:rStyle w:val="303"/>
                <w:color w:val="000000" w:themeColor="text1"/>
                <w:spacing w:val="10"/>
                <w:sz w:val="21"/>
                <w:szCs w:val="21"/>
                <w:highlight w:val="none"/>
                <w:lang w:val="zh-CN"/>
                <w14:textFill>
                  <w14:solidFill>
                    <w14:schemeClr w14:val="tx1"/>
                  </w14:solidFill>
                </w14:textFill>
              </w:rPr>
              <w:t xml:space="preserve">省    市（县）      银行       支行（分理处）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银行账号</w:t>
            </w:r>
          </w:p>
        </w:tc>
        <w:tc>
          <w:tcPr>
            <w:tcW w:w="6095" w:type="dxa"/>
            <w:gridSpan w:val="3"/>
          </w:tcPr>
          <w:p>
            <w:pPr>
              <w:ind w:right="206" w:rightChars="98"/>
              <w:jc w:val="center"/>
              <w:rPr>
                <w:rStyle w:val="303"/>
                <w:color w:val="000000" w:themeColor="text1"/>
                <w:spacing w:val="10"/>
                <w:sz w:val="21"/>
                <w:szCs w:val="21"/>
                <w:highlight w:val="none"/>
                <w:u w:val="single"/>
                <w:lang w:val="zh-CN"/>
                <w14:textFill>
                  <w14:solidFill>
                    <w14:schemeClr w14:val="tx1"/>
                  </w14:solidFill>
                </w14:textFill>
              </w:rPr>
            </w:pPr>
            <w:r>
              <w:rPr>
                <w:rStyle w:val="303"/>
                <w:color w:val="000000" w:themeColor="text1"/>
                <w:spacing w:val="10"/>
                <w:sz w:val="21"/>
                <w:szCs w:val="21"/>
                <w:highlight w:val="none"/>
                <w:u w:val="single"/>
                <w:lang w:val="zh-CN"/>
                <w14:textFill>
                  <w14:solidFill>
                    <w14:schemeClr w14:val="tx1"/>
                  </w14:solidFill>
                </w14:textFill>
              </w:rPr>
              <w:t>（投标人对公银行账号）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总金额（投标保证金）</w:t>
            </w:r>
          </w:p>
        </w:tc>
        <w:tc>
          <w:tcPr>
            <w:tcW w:w="6095" w:type="dxa"/>
            <w:gridSpan w:val="3"/>
            <w:vAlign w:val="center"/>
          </w:tcPr>
          <w:p>
            <w:pPr>
              <w:ind w:right="206" w:rightChars="98"/>
              <w:jc w:val="center"/>
              <w:rPr>
                <w:rStyle w:val="303"/>
                <w:color w:val="000000" w:themeColor="text1"/>
                <w:spacing w:val="10"/>
                <w:sz w:val="21"/>
                <w:szCs w:val="21"/>
                <w:highlight w:val="none"/>
                <w:lang w:val="zh-CN"/>
                <w14:textFill>
                  <w14:solidFill>
                    <w14:schemeClr w14:val="tx1"/>
                  </w14:solidFill>
                </w14:textFill>
              </w:rPr>
            </w:pPr>
            <w:r>
              <w:rPr>
                <w:color w:val="000000" w:themeColor="text1"/>
                <w:szCs w:val="21"/>
                <w:highlight w:val="none"/>
                <w:shd w:val="clear" w:color="auto" w:fill="FFFFFF"/>
                <w14:textFill>
                  <w14:solidFill>
                    <w14:schemeClr w14:val="tx1"/>
                  </w14:solidFill>
                </w14:textFill>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Merge w:val="restart"/>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财务联系人</w:t>
            </w:r>
          </w:p>
        </w:tc>
        <w:tc>
          <w:tcPr>
            <w:tcW w:w="1498" w:type="dxa"/>
            <w:vMerge w:val="restart"/>
            <w:vAlign w:val="center"/>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1481" w:type="dxa"/>
            <w:vAlign w:val="center"/>
          </w:tcPr>
          <w:p>
            <w:pPr>
              <w:ind w:right="206" w:rightChars="98"/>
              <w:jc w:val="center"/>
              <w:rPr>
                <w:rStyle w:val="303"/>
                <w:color w:val="000000" w:themeColor="text1"/>
                <w:spacing w:val="10"/>
                <w:sz w:val="21"/>
                <w:szCs w:val="21"/>
                <w:highlight w:val="none"/>
                <w:lang w:val="zh-CN"/>
                <w14:textFill>
                  <w14:solidFill>
                    <w14:schemeClr w14:val="tx1"/>
                  </w14:solidFill>
                </w14:textFill>
              </w:rPr>
            </w:pPr>
            <w:r>
              <w:rPr>
                <w:rStyle w:val="303"/>
                <w:color w:val="000000" w:themeColor="text1"/>
                <w:spacing w:val="10"/>
                <w:sz w:val="21"/>
                <w:szCs w:val="21"/>
                <w:highlight w:val="none"/>
                <w:lang w:val="zh-CN"/>
                <w14:textFill>
                  <w14:solidFill>
                    <w14:schemeClr w14:val="tx1"/>
                  </w14:solidFill>
                </w14:textFill>
              </w:rPr>
              <w:t>联系电话</w:t>
            </w:r>
          </w:p>
        </w:tc>
        <w:tc>
          <w:tcPr>
            <w:tcW w:w="3116" w:type="dxa"/>
            <w:vAlign w:val="center"/>
          </w:tcPr>
          <w:p>
            <w:pPr>
              <w:ind w:right="206" w:rightChars="98"/>
              <w:rPr>
                <w:rStyle w:val="303"/>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Merge w:val="continue"/>
          </w:tcPr>
          <w:p>
            <w:pPr>
              <w:ind w:right="206" w:rightChars="98"/>
              <w:jc w:val="center"/>
              <w:rPr>
                <w:rStyle w:val="303"/>
                <w:b/>
                <w:color w:val="000000" w:themeColor="text1"/>
                <w:spacing w:val="10"/>
                <w:sz w:val="21"/>
                <w:szCs w:val="21"/>
                <w:highlight w:val="none"/>
                <w:lang w:val="zh-CN"/>
                <w14:textFill>
                  <w14:solidFill>
                    <w14:schemeClr w14:val="tx1"/>
                  </w14:solidFill>
                </w14:textFill>
              </w:rPr>
            </w:pPr>
          </w:p>
        </w:tc>
        <w:tc>
          <w:tcPr>
            <w:tcW w:w="1498" w:type="dxa"/>
            <w:vMerge w:val="continue"/>
            <w:vAlign w:val="center"/>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1481" w:type="dxa"/>
            <w:vAlign w:val="center"/>
          </w:tcPr>
          <w:p>
            <w:pPr>
              <w:ind w:right="206" w:rightChars="98"/>
              <w:jc w:val="center"/>
              <w:rPr>
                <w:rStyle w:val="303"/>
                <w:color w:val="000000" w:themeColor="text1"/>
                <w:spacing w:val="10"/>
                <w:sz w:val="21"/>
                <w:szCs w:val="21"/>
                <w:highlight w:val="none"/>
                <w:lang w:val="zh-CN"/>
                <w14:textFill>
                  <w14:solidFill>
                    <w14:schemeClr w14:val="tx1"/>
                  </w14:solidFill>
                </w14:textFill>
              </w:rPr>
            </w:pPr>
            <w:r>
              <w:rPr>
                <w:rStyle w:val="303"/>
                <w:color w:val="000000" w:themeColor="text1"/>
                <w:spacing w:val="10"/>
                <w:sz w:val="21"/>
                <w:szCs w:val="21"/>
                <w:highlight w:val="none"/>
                <w:lang w:val="zh-CN"/>
                <w14:textFill>
                  <w14:solidFill>
                    <w14:schemeClr w14:val="tx1"/>
                  </w14:solidFill>
                </w14:textFill>
              </w:rPr>
              <w:t>传真</w:t>
            </w:r>
          </w:p>
        </w:tc>
        <w:tc>
          <w:tcPr>
            <w:tcW w:w="3116" w:type="dxa"/>
            <w:vAlign w:val="center"/>
          </w:tcPr>
          <w:p>
            <w:pPr>
              <w:ind w:right="206" w:rightChars="98"/>
              <w:rPr>
                <w:rStyle w:val="303"/>
                <w:color w:val="000000" w:themeColor="text1"/>
                <w:spacing w:val="10"/>
                <w:sz w:val="21"/>
                <w:szCs w:val="21"/>
                <w:highlight w:val="none"/>
                <w:lang w:val="zh-CN"/>
                <w14:textFill>
                  <w14:solidFill>
                    <w14:schemeClr w14:val="tx1"/>
                  </w14:solidFill>
                </w14:textFill>
              </w:rPr>
            </w:pPr>
          </w:p>
        </w:tc>
      </w:tr>
    </w:tbl>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注：保证金退还账户必须为对公账户。</w:t>
      </w:r>
    </w:p>
    <w:tbl>
      <w:tblPr>
        <w:tblStyle w:val="46"/>
        <w:tblW w:w="9174" w:type="dxa"/>
        <w:jc w:val="center"/>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9174"/>
      </w:tblGrid>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4761" w:hRule="atLeast"/>
          <w:jc w:val="center"/>
        </w:trPr>
        <w:tc>
          <w:tcPr>
            <w:tcW w:w="9174" w:type="dxa"/>
            <w:shd w:val="clear" w:color="auto" w:fill="auto"/>
            <w:vAlign w:val="center"/>
          </w:tcPr>
          <w:p>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投标保证金银行汇款单复印件</w:t>
            </w:r>
          </w:p>
          <w:p>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（请投标投标人在此处贴上）</w:t>
            </w:r>
          </w:p>
        </w:tc>
      </w:tr>
    </w:tbl>
    <w:p>
      <w:pPr>
        <w:rPr>
          <w:rFonts w:ascii="宋体" w:hAnsi="宋体"/>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注：本退付书须放入唱标信封内，勿装订在投标文件内。</w:t>
      </w:r>
    </w:p>
    <w:p>
      <w:pPr>
        <w:rPr>
          <w:rFonts w:ascii="宋体" w:hAnsi="宋体"/>
          <w:b/>
          <w:color w:val="000000" w:themeColor="text1"/>
          <w:szCs w:val="21"/>
          <w:highlight w:val="none"/>
          <w14:textFill>
            <w14:solidFill>
              <w14:schemeClr w14:val="tx1"/>
            </w14:solidFill>
          </w14:textFill>
        </w:rPr>
      </w:pPr>
    </w:p>
    <w:p>
      <w:pPr>
        <w:jc w:val="center"/>
        <w:rPr>
          <w:rFonts w:hint="eastAsia"/>
          <w:b/>
          <w:bCs/>
          <w:color w:val="000000" w:themeColor="text1"/>
          <w:sz w:val="44"/>
          <w:szCs w:val="44"/>
          <w:highlight w:val="none"/>
          <w14:textFill>
            <w14:solidFill>
              <w14:schemeClr w14:val="tx1"/>
            </w14:solidFill>
          </w14:textFill>
        </w:rPr>
      </w:pPr>
    </w:p>
    <w:p>
      <w:pPr>
        <w:jc w:val="center"/>
        <w:rPr>
          <w:rFonts w:hint="eastAsia"/>
          <w:b/>
          <w:bCs/>
          <w:color w:val="000000" w:themeColor="text1"/>
          <w:szCs w:val="21"/>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购买标书登记表</w:t>
      </w:r>
    </w:p>
    <w:p>
      <w:pPr>
        <w:jc w:val="center"/>
        <w:rPr>
          <w:rFonts w:hint="eastAsia"/>
          <w:color w:val="000000" w:themeColor="text1"/>
          <w:szCs w:val="21"/>
          <w:highlight w:val="none"/>
          <w14:textFill>
            <w14:solidFill>
              <w14:schemeClr w14:val="tx1"/>
            </w14:solidFill>
          </w14:textFill>
        </w:rPr>
      </w:pPr>
    </w:p>
    <w:tbl>
      <w:tblPr>
        <w:tblStyle w:val="46"/>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bl>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pPr>
        <w:pStyle w:val="41"/>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pPr>
        <w:pStyle w:val="41"/>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pStyle w:val="41"/>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pPr>
        <w:pStyle w:val="41"/>
        <w:spacing w:before="0" w:beforeAutospacing="0" w:after="0" w:afterAutospacing="0" w:line="360" w:lineRule="auto"/>
        <w:jc w:val="center"/>
        <w:rPr>
          <w:rStyle w:val="49"/>
          <w:rFonts w:cs="Times New Roman"/>
          <w:color w:val="000000" w:themeColor="text1"/>
          <w:highlight w:val="none"/>
          <w14:textFill>
            <w14:solidFill>
              <w14:schemeClr w14:val="tx1"/>
            </w14:solidFill>
          </w14:textFill>
        </w:rPr>
      </w:pPr>
      <w:r>
        <w:rPr>
          <w:rStyle w:val="49"/>
          <w:rFonts w:hint="eastAsia" w:cs="Times New Roman"/>
          <w:b w:val="0"/>
          <w:color w:val="000000" w:themeColor="text1"/>
          <w:highlight w:val="none"/>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广东业信招标有限公司</w:t>
      </w: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pPr>
        <w:pStyle w:val="41"/>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pPr>
        <w:pStyle w:val="41"/>
        <w:spacing w:before="0" w:beforeAutospacing="0" w:after="0" w:afterAutospacing="0" w:line="360" w:lineRule="auto"/>
        <w:jc w:val="center"/>
        <w:rPr>
          <w:rStyle w:val="49"/>
          <w:rFonts w:cs="Times New Roman"/>
          <w:color w:val="000000" w:themeColor="text1"/>
          <w:highlight w:val="none"/>
          <w14:textFill>
            <w14:solidFill>
              <w14:schemeClr w14:val="tx1"/>
            </w14:solidFill>
          </w14:textFill>
        </w:rPr>
      </w:pPr>
      <w:r>
        <w:rPr>
          <w:rStyle w:val="49"/>
          <w:rFonts w:hint="eastAsia" w:cs="Times New Roman"/>
          <w:b w:val="0"/>
          <w:color w:val="000000" w:themeColor="text1"/>
          <w:highlight w:val="none"/>
          <w14:textFill>
            <w14:solidFill>
              <w14:schemeClr w14:val="tx1"/>
            </w14:solidFill>
          </w14:textFill>
        </w:rPr>
        <w:t>质疑函</w:t>
      </w:r>
    </w:p>
    <w:p>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snapToGrid w:val="0"/>
        <w:spacing w:line="360" w:lineRule="auto"/>
        <w:ind w:right="960"/>
        <w:rPr>
          <w:rFonts w:ascii="宋体" w:hAnsi="宋体"/>
          <w:color w:val="000000" w:themeColor="text1"/>
          <w:sz w:val="24"/>
          <w:highlight w:val="none"/>
          <w14:textFill>
            <w14:solidFill>
              <w14:schemeClr w14:val="tx1"/>
            </w14:solidFill>
          </w14:textFill>
        </w:rPr>
      </w:pPr>
    </w:p>
    <w:p>
      <w:pPr>
        <w:spacing w:line="360" w:lineRule="auto"/>
        <w:jc w:val="left"/>
        <w:rPr>
          <w:rFonts w:ascii="仿宋_GB2312" w:hAnsi="仿宋" w:eastAsia="仿宋_GB2312"/>
          <w:color w:val="000000" w:themeColor="text1"/>
          <w:sz w:val="24"/>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p>
    <w:sectPr>
      <w:pgSz w:w="11906" w:h="16838"/>
      <w:pgMar w:top="1418" w:right="1474" w:bottom="1418" w:left="1474"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roman"/>
    <w:pitch w:val="default"/>
    <w:sig w:usb0="00000000" w:usb1="00000000" w:usb2="00000000" w:usb3="00000000" w:csb0="00000000"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OMBFXO+Univers-Light">
    <w:altName w:val="宋体"/>
    <w:panose1 w:val="00000000000000000000"/>
    <w:charset w:val="86"/>
    <w:family w:val="swiss"/>
    <w:pitch w:val="default"/>
    <w:sig w:usb0="00000000" w:usb1="00000000" w:usb2="0000001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50"/>
      </w:rPr>
    </w:pPr>
    <w:r>
      <w:fldChar w:fldCharType="begin"/>
    </w:r>
    <w:r>
      <w:rPr>
        <w:rStyle w:val="50"/>
      </w:rPr>
      <w:instrText xml:space="preserve">PAGE  </w:instrText>
    </w:r>
    <w:r>
      <w:fldChar w:fldCharType="end"/>
    </w:r>
  </w:p>
  <w:p>
    <w:pPr>
      <w:pStyle w:val="2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34</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34</w:t>
    </w:r>
    <w:r>
      <w:rPr>
        <w:kern w:val="0"/>
        <w:szCs w:val="21"/>
      </w:rPr>
      <w:fldChar w:fldCharType="end"/>
    </w:r>
    <w:r>
      <w:rPr>
        <w:rFonts w:hint="eastAsia"/>
        <w:kern w:val="0"/>
        <w:szCs w:val="21"/>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left="420" w:firstLine="42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46</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41</w:t>
    </w:r>
    <w:r>
      <w:rPr>
        <w:kern w:val="0"/>
        <w:szCs w:val="21"/>
      </w:rPr>
      <w:fldChar w:fldCharType="end"/>
    </w:r>
    <w:r>
      <w:rPr>
        <w:rFonts w:hint="eastAsia"/>
        <w:kern w:val="0"/>
        <w:szCs w:val="21"/>
      </w:rPr>
      <w:t>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61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BAD372"/>
    <w:multiLevelType w:val="singleLevel"/>
    <w:tmpl w:val="9BBAD372"/>
    <w:lvl w:ilvl="0" w:tentative="0">
      <w:start w:val="1"/>
      <w:numFmt w:val="decimal"/>
      <w:lvlText w:val="%1."/>
      <w:lvlJc w:val="left"/>
      <w:pPr>
        <w:ind w:left="425" w:hanging="425"/>
      </w:pPr>
      <w:rPr>
        <w:rFonts w:hint="default"/>
      </w:rPr>
    </w:lvl>
  </w:abstractNum>
  <w:abstractNum w:abstractNumId="1">
    <w:nsid w:val="AB31DD7B"/>
    <w:multiLevelType w:val="singleLevel"/>
    <w:tmpl w:val="AB31DD7B"/>
    <w:lvl w:ilvl="0" w:tentative="0">
      <w:start w:val="3"/>
      <w:numFmt w:val="decimal"/>
      <w:suff w:val="nothing"/>
      <w:lvlText w:val="%1、"/>
      <w:lvlJc w:val="left"/>
    </w:lvl>
  </w:abstractNum>
  <w:abstractNum w:abstractNumId="2">
    <w:nsid w:val="B19E681B"/>
    <w:multiLevelType w:val="singleLevel"/>
    <w:tmpl w:val="B19E681B"/>
    <w:lvl w:ilvl="0" w:tentative="0">
      <w:start w:val="1"/>
      <w:numFmt w:val="decimal"/>
      <w:lvlText w:val="%1."/>
      <w:lvlJc w:val="left"/>
      <w:pPr>
        <w:ind w:left="425" w:hanging="425"/>
      </w:pPr>
      <w:rPr>
        <w:rFonts w:hint="default"/>
      </w:rPr>
    </w:lvl>
  </w:abstractNum>
  <w:abstractNum w:abstractNumId="3">
    <w:nsid w:val="00000003"/>
    <w:multiLevelType w:val="multilevel"/>
    <w:tmpl w:val="00000003"/>
    <w:lvl w:ilvl="0" w:tentative="0">
      <w:start w:val="1"/>
      <w:numFmt w:val="decimal"/>
      <w:pStyle w:val="298"/>
      <w:lvlText w:val="%1. "/>
      <w:lvlJc w:val="left"/>
      <w:pPr>
        <w:tabs>
          <w:tab w:val="left" w:pos="981"/>
        </w:tabs>
        <w:ind w:left="981" w:hanging="419"/>
      </w:pPr>
    </w:lvl>
    <w:lvl w:ilvl="1" w:tentative="0">
      <w:start w:val="1"/>
      <w:numFmt w:val="upperLetter"/>
      <w:pStyle w:val="287"/>
      <w:lvlText w:val="%2. "/>
      <w:lvlJc w:val="left"/>
      <w:pPr>
        <w:tabs>
          <w:tab w:val="left" w:pos="1191"/>
        </w:tabs>
        <w:ind w:left="1191" w:hanging="420"/>
      </w:pPr>
    </w:lvl>
    <w:lvl w:ilvl="2" w:tentative="0">
      <w:start w:val="1"/>
      <w:numFmt w:val="lowerLetter"/>
      <w:pStyle w:val="296"/>
      <w:lvlText w:val="%3. "/>
      <w:lvlJc w:val="left"/>
      <w:pPr>
        <w:tabs>
          <w:tab w:val="left" w:pos="1401"/>
        </w:tabs>
        <w:ind w:left="1401" w:hanging="420"/>
      </w:pPr>
    </w:lvl>
    <w:lvl w:ilvl="3" w:tentative="0">
      <w:start w:val="1"/>
      <w:numFmt w:val="lowerLetter"/>
      <w:pStyle w:val="154"/>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4">
    <w:nsid w:val="00000008"/>
    <w:multiLevelType w:val="multilevel"/>
    <w:tmpl w:val="00000008"/>
    <w:lvl w:ilvl="0" w:tentative="0">
      <w:start w:val="1"/>
      <w:numFmt w:val="decimal"/>
      <w:pStyle w:val="269"/>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6">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288"/>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7">
    <w:nsid w:val="0000000F"/>
    <w:multiLevelType w:val="multilevel"/>
    <w:tmpl w:val="0000000F"/>
    <w:lvl w:ilvl="0" w:tentative="0">
      <w:start w:val="1"/>
      <w:numFmt w:val="bullet"/>
      <w:pStyle w:val="163"/>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2"/>
    <w:multiLevelType w:val="singleLevel"/>
    <w:tmpl w:val="00000012"/>
    <w:lvl w:ilvl="0" w:tentative="0">
      <w:start w:val="1"/>
      <w:numFmt w:val="decimal"/>
      <w:pStyle w:val="276"/>
      <w:lvlText w:val="%1."/>
      <w:lvlJc w:val="left"/>
      <w:pPr>
        <w:tabs>
          <w:tab w:val="left" w:pos="1200"/>
        </w:tabs>
        <w:ind w:left="1200" w:hanging="360"/>
      </w:pPr>
    </w:lvl>
  </w:abstractNum>
  <w:abstractNum w:abstractNumId="9">
    <w:nsid w:val="00000014"/>
    <w:multiLevelType w:val="singleLevel"/>
    <w:tmpl w:val="00000014"/>
    <w:lvl w:ilvl="0" w:tentative="0">
      <w:start w:val="1"/>
      <w:numFmt w:val="decimal"/>
      <w:pStyle w:val="212"/>
      <w:lvlText w:val="%1."/>
      <w:lvlJc w:val="left"/>
      <w:pPr>
        <w:tabs>
          <w:tab w:val="left" w:pos="1620"/>
        </w:tabs>
        <w:ind w:left="1620" w:hanging="360"/>
      </w:pPr>
    </w:lvl>
  </w:abstractNum>
  <w:abstractNum w:abstractNumId="10">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17"/>
    <w:multiLevelType w:val="singleLevel"/>
    <w:tmpl w:val="00000017"/>
    <w:lvl w:ilvl="0" w:tentative="0">
      <w:start w:val="1"/>
      <w:numFmt w:val="bullet"/>
      <w:pStyle w:val="262"/>
      <w:lvlText w:val=""/>
      <w:lvlJc w:val="left"/>
      <w:pPr>
        <w:tabs>
          <w:tab w:val="left" w:pos="360"/>
        </w:tabs>
        <w:ind w:left="360" w:hanging="360"/>
      </w:pPr>
      <w:rPr>
        <w:rFonts w:hint="default" w:ascii="Wingdings" w:hAnsi="Wingdings"/>
      </w:rPr>
    </w:lvl>
  </w:abstractNum>
  <w:abstractNum w:abstractNumId="12">
    <w:nsid w:val="00000018"/>
    <w:multiLevelType w:val="multilevel"/>
    <w:tmpl w:val="00000018"/>
    <w:lvl w:ilvl="0" w:tentative="0">
      <w:start w:val="2"/>
      <w:numFmt w:val="decimal"/>
      <w:pStyle w:val="257"/>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3">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78"/>
      <w:suff w:val="space"/>
      <w:lvlText w:val="%1.%2.%3"/>
      <w:lvlJc w:val="left"/>
      <w:pPr>
        <w:tabs>
          <w:tab w:val="left" w:pos="1418"/>
        </w:tabs>
        <w:ind w:left="0" w:firstLine="0"/>
      </w:pPr>
    </w:lvl>
    <w:lvl w:ilvl="3" w:tentative="0">
      <w:start w:val="1"/>
      <w:numFmt w:val="decimal"/>
      <w:pStyle w:val="295"/>
      <w:suff w:val="space"/>
      <w:lvlText w:val="%1.%2.%3.%4"/>
      <w:lvlJc w:val="left"/>
      <w:pPr>
        <w:tabs>
          <w:tab w:val="left" w:pos="1984"/>
        </w:tabs>
        <w:ind w:left="0" w:firstLine="0"/>
      </w:pPr>
    </w:lvl>
    <w:lvl w:ilvl="4" w:tentative="0">
      <w:start w:val="1"/>
      <w:numFmt w:val="decimal"/>
      <w:pStyle w:val="291"/>
      <w:suff w:val="space"/>
      <w:lvlText w:val="%1.%2.%3.%4.%5"/>
      <w:lvlJc w:val="left"/>
      <w:pPr>
        <w:tabs>
          <w:tab w:val="left" w:pos="2551"/>
        </w:tabs>
        <w:ind w:left="0" w:firstLine="0"/>
      </w:pPr>
    </w:lvl>
    <w:lvl w:ilvl="5" w:tentative="0">
      <w:start w:val="1"/>
      <w:numFmt w:val="decimal"/>
      <w:pStyle w:val="195"/>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4">
    <w:nsid w:val="0000001C"/>
    <w:multiLevelType w:val="singleLevel"/>
    <w:tmpl w:val="0000001C"/>
    <w:lvl w:ilvl="0" w:tentative="0">
      <w:start w:val="1"/>
      <w:numFmt w:val="decimal"/>
      <w:pStyle w:val="25"/>
      <w:lvlText w:val="%1."/>
      <w:lvlJc w:val="left"/>
      <w:pPr>
        <w:tabs>
          <w:tab w:val="left" w:pos="425"/>
        </w:tabs>
        <w:ind w:left="425" w:hanging="425"/>
      </w:pPr>
      <w:rPr>
        <w:rFonts w:hint="eastAsia"/>
      </w:rPr>
    </w:lvl>
  </w:abstractNum>
  <w:abstractNum w:abstractNumId="15">
    <w:nsid w:val="0000001D"/>
    <w:multiLevelType w:val="multilevel"/>
    <w:tmpl w:val="0000001D"/>
    <w:lvl w:ilvl="0" w:tentative="0">
      <w:start w:val="1"/>
      <w:numFmt w:val="decimal"/>
      <w:pStyle w:val="197"/>
      <w:lvlText w:val="%1)"/>
      <w:lvlJc w:val="left"/>
      <w:pPr>
        <w:tabs>
          <w:tab w:val="left" w:pos="420"/>
        </w:tabs>
        <w:ind w:left="420" w:hanging="420"/>
      </w:pPr>
    </w:lvl>
    <w:lvl w:ilvl="1" w:tentative="0">
      <w:start w:val="1"/>
      <w:numFmt w:val="lowerLetter"/>
      <w:pStyle w:val="122"/>
      <w:lvlText w:val="%2)"/>
      <w:lvlJc w:val="left"/>
      <w:pPr>
        <w:tabs>
          <w:tab w:val="left" w:pos="840"/>
        </w:tabs>
        <w:ind w:left="840" w:hanging="420"/>
      </w:pPr>
    </w:lvl>
    <w:lvl w:ilvl="2" w:tentative="0">
      <w:start w:val="1"/>
      <w:numFmt w:val="lowerRoman"/>
      <w:pStyle w:val="121"/>
      <w:lvlText w:val="%3."/>
      <w:lvlJc w:val="right"/>
      <w:pPr>
        <w:tabs>
          <w:tab w:val="left" w:pos="1260"/>
        </w:tabs>
        <w:ind w:left="1260" w:hanging="420"/>
      </w:pPr>
    </w:lvl>
    <w:lvl w:ilvl="3" w:tentative="0">
      <w:start w:val="1"/>
      <w:numFmt w:val="decimal"/>
      <w:pStyle w:val="186"/>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00000022"/>
    <w:multiLevelType w:val="singleLevel"/>
    <w:tmpl w:val="00000022"/>
    <w:lvl w:ilvl="0" w:tentative="0">
      <w:start w:val="1"/>
      <w:numFmt w:val="decimal"/>
      <w:pStyle w:val="267"/>
      <w:lvlText w:val="%1."/>
      <w:lvlJc w:val="left"/>
      <w:pPr>
        <w:tabs>
          <w:tab w:val="left" w:pos="1145"/>
        </w:tabs>
        <w:ind w:left="902" w:hanging="477"/>
      </w:pPr>
      <w:rPr>
        <w:rFonts w:hint="eastAsia"/>
      </w:rPr>
    </w:lvl>
  </w:abstractNum>
  <w:abstractNum w:abstractNumId="18">
    <w:nsid w:val="00000024"/>
    <w:multiLevelType w:val="singleLevel"/>
    <w:tmpl w:val="00000024"/>
    <w:lvl w:ilvl="0" w:tentative="0">
      <w:start w:val="1"/>
      <w:numFmt w:val="bullet"/>
      <w:pStyle w:val="19"/>
      <w:lvlText w:val=""/>
      <w:lvlJc w:val="left"/>
      <w:pPr>
        <w:tabs>
          <w:tab w:val="left" w:pos="780"/>
        </w:tabs>
        <w:ind w:left="780" w:hanging="360"/>
      </w:pPr>
      <w:rPr>
        <w:rFonts w:hint="default" w:ascii="Wingdings" w:hAnsi="Wingdings"/>
      </w:rPr>
    </w:lvl>
  </w:abstractNum>
  <w:abstractNum w:abstractNumId="19">
    <w:nsid w:val="00000025"/>
    <w:multiLevelType w:val="multilevel"/>
    <w:tmpl w:val="00000025"/>
    <w:lvl w:ilvl="0" w:tentative="0">
      <w:start w:val="1"/>
      <w:numFmt w:val="decimal"/>
      <w:pStyle w:val="20"/>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0">
    <w:nsid w:val="00000026"/>
    <w:multiLevelType w:val="singleLevel"/>
    <w:tmpl w:val="00000026"/>
    <w:lvl w:ilvl="0" w:tentative="0">
      <w:start w:val="1"/>
      <w:numFmt w:val="decimal"/>
      <w:pStyle w:val="240"/>
      <w:lvlText w:val="%1."/>
      <w:lvlJc w:val="left"/>
      <w:pPr>
        <w:tabs>
          <w:tab w:val="left" w:pos="360"/>
        </w:tabs>
        <w:ind w:left="360" w:hanging="360"/>
      </w:pPr>
    </w:lvl>
  </w:abstractNum>
  <w:abstractNum w:abstractNumId="21">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2">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3">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4">
    <w:nsid w:val="0000002B"/>
    <w:multiLevelType w:val="multilevel"/>
    <w:tmpl w:val="0000002B"/>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pStyle w:val="5"/>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5">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88"/>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00000030"/>
    <w:multiLevelType w:val="singleLevel"/>
    <w:tmpl w:val="00000030"/>
    <w:lvl w:ilvl="0" w:tentative="0">
      <w:start w:val="1"/>
      <w:numFmt w:val="decimal"/>
      <w:pStyle w:val="248"/>
      <w:lvlText w:val="%1."/>
      <w:lvlJc w:val="left"/>
      <w:pPr>
        <w:tabs>
          <w:tab w:val="left" w:pos="2040"/>
        </w:tabs>
        <w:ind w:left="2040" w:hanging="360"/>
      </w:pPr>
    </w:lvl>
  </w:abstractNum>
  <w:abstractNum w:abstractNumId="27">
    <w:nsid w:val="00000032"/>
    <w:multiLevelType w:val="singleLevel"/>
    <w:tmpl w:val="00000032"/>
    <w:lvl w:ilvl="0" w:tentative="0">
      <w:start w:val="1"/>
      <w:numFmt w:val="bullet"/>
      <w:pStyle w:val="231"/>
      <w:lvlText w:val=""/>
      <w:lvlJc w:val="left"/>
      <w:pPr>
        <w:tabs>
          <w:tab w:val="left" w:pos="2040"/>
        </w:tabs>
        <w:ind w:left="2040" w:hanging="360"/>
      </w:pPr>
      <w:rPr>
        <w:rFonts w:hint="default" w:ascii="Wingdings" w:hAnsi="Wingdings"/>
      </w:rPr>
    </w:lvl>
  </w:abstractNum>
  <w:abstractNum w:abstractNumId="28">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00000034"/>
    <w:multiLevelType w:val="multilevel"/>
    <w:tmpl w:val="00000034"/>
    <w:lvl w:ilvl="0" w:tentative="0">
      <w:start w:val="1"/>
      <w:numFmt w:val="decimal"/>
      <w:pStyle w:val="138"/>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30">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328FCD01"/>
    <w:multiLevelType w:val="singleLevel"/>
    <w:tmpl w:val="328FCD01"/>
    <w:lvl w:ilvl="0" w:tentative="0">
      <w:start w:val="1"/>
      <w:numFmt w:val="decimal"/>
      <w:suff w:val="space"/>
      <w:lvlText w:val="%1、"/>
      <w:lvlJc w:val="left"/>
      <w:pPr>
        <w:ind w:left="105" w:leftChars="0" w:firstLine="0" w:firstLineChars="0"/>
      </w:pPr>
    </w:lvl>
  </w:abstractNum>
  <w:abstractNum w:abstractNumId="33">
    <w:nsid w:val="42CD84B7"/>
    <w:multiLevelType w:val="singleLevel"/>
    <w:tmpl w:val="42CD84B7"/>
    <w:lvl w:ilvl="0" w:tentative="0">
      <w:start w:val="1"/>
      <w:numFmt w:val="decimal"/>
      <w:lvlText w:val="%1."/>
      <w:lvlJc w:val="left"/>
      <w:pPr>
        <w:ind w:left="425" w:hanging="425"/>
      </w:pPr>
      <w:rPr>
        <w:rFonts w:hint="default"/>
      </w:rPr>
    </w:lvl>
  </w:abstractNum>
  <w:abstractNum w:abstractNumId="34">
    <w:nsid w:val="73A55017"/>
    <w:multiLevelType w:val="multilevel"/>
    <w:tmpl w:val="73A55017"/>
    <w:lvl w:ilvl="0" w:tentative="0">
      <w:start w:val="1"/>
      <w:numFmt w:val="decimal"/>
      <w:lvlText w:val="%1."/>
      <w:lvlJc w:val="left"/>
      <w:pPr>
        <w:tabs>
          <w:tab w:val="left" w:pos="840"/>
        </w:tabs>
        <w:ind w:left="840" w:hanging="420"/>
      </w:pPr>
      <w:rPr>
        <w:b w:val="0"/>
      </w:rPr>
    </w:lvl>
    <w:lvl w:ilvl="1" w:tentative="0">
      <w:start w:val="1"/>
      <w:numFmt w:val="lowerLetter"/>
      <w:lvlText w:val="%2)"/>
      <w:lvlJc w:val="left"/>
      <w:pPr>
        <w:tabs>
          <w:tab w:val="left" w:pos="1009"/>
        </w:tabs>
        <w:ind w:left="1009" w:hanging="420"/>
      </w:pPr>
    </w:lvl>
    <w:lvl w:ilvl="2" w:tentative="0">
      <w:start w:val="1"/>
      <w:numFmt w:val="lowerRoman"/>
      <w:lvlText w:val="%3."/>
      <w:lvlJc w:val="right"/>
      <w:pPr>
        <w:tabs>
          <w:tab w:val="left" w:pos="1429"/>
        </w:tabs>
        <w:ind w:left="1429" w:hanging="420"/>
      </w:pPr>
    </w:lvl>
    <w:lvl w:ilvl="3" w:tentative="0">
      <w:start w:val="1"/>
      <w:numFmt w:val="decimal"/>
      <w:lvlText w:val="%4."/>
      <w:lvlJc w:val="left"/>
      <w:pPr>
        <w:tabs>
          <w:tab w:val="left" w:pos="1849"/>
        </w:tabs>
        <w:ind w:left="1849" w:hanging="420"/>
      </w:pPr>
    </w:lvl>
    <w:lvl w:ilvl="4" w:tentative="0">
      <w:start w:val="1"/>
      <w:numFmt w:val="lowerLetter"/>
      <w:lvlText w:val="%5)"/>
      <w:lvlJc w:val="left"/>
      <w:pPr>
        <w:tabs>
          <w:tab w:val="left" w:pos="2269"/>
        </w:tabs>
        <w:ind w:left="2269" w:hanging="420"/>
      </w:pPr>
    </w:lvl>
    <w:lvl w:ilvl="5" w:tentative="0">
      <w:start w:val="1"/>
      <w:numFmt w:val="lowerRoman"/>
      <w:lvlText w:val="%6."/>
      <w:lvlJc w:val="right"/>
      <w:pPr>
        <w:tabs>
          <w:tab w:val="left" w:pos="2689"/>
        </w:tabs>
        <w:ind w:left="2689" w:hanging="420"/>
      </w:pPr>
    </w:lvl>
    <w:lvl w:ilvl="6" w:tentative="0">
      <w:start w:val="1"/>
      <w:numFmt w:val="decimal"/>
      <w:lvlText w:val="%7."/>
      <w:lvlJc w:val="left"/>
      <w:pPr>
        <w:tabs>
          <w:tab w:val="left" w:pos="3109"/>
        </w:tabs>
        <w:ind w:left="3109" w:hanging="420"/>
      </w:pPr>
    </w:lvl>
    <w:lvl w:ilvl="7" w:tentative="0">
      <w:start w:val="1"/>
      <w:numFmt w:val="lowerLetter"/>
      <w:lvlText w:val="%8)"/>
      <w:lvlJc w:val="left"/>
      <w:pPr>
        <w:tabs>
          <w:tab w:val="left" w:pos="3529"/>
        </w:tabs>
        <w:ind w:left="3529" w:hanging="420"/>
      </w:pPr>
    </w:lvl>
    <w:lvl w:ilvl="8" w:tentative="0">
      <w:start w:val="1"/>
      <w:numFmt w:val="lowerRoman"/>
      <w:lvlText w:val="%9."/>
      <w:lvlJc w:val="right"/>
      <w:pPr>
        <w:tabs>
          <w:tab w:val="left" w:pos="3949"/>
        </w:tabs>
        <w:ind w:left="3949" w:hanging="420"/>
      </w:pPr>
    </w:lvl>
  </w:abstractNum>
  <w:num w:numId="1">
    <w:abstractNumId w:val="24"/>
  </w:num>
  <w:num w:numId="2">
    <w:abstractNumId w:val="18"/>
  </w:num>
  <w:num w:numId="3">
    <w:abstractNumId w:val="19"/>
  </w:num>
  <w:num w:numId="4">
    <w:abstractNumId w:val="14"/>
  </w:num>
  <w:num w:numId="5">
    <w:abstractNumId w:val="15"/>
  </w:num>
  <w:num w:numId="6">
    <w:abstractNumId w:val="29"/>
  </w:num>
  <w:num w:numId="7">
    <w:abstractNumId w:val="3"/>
  </w:num>
  <w:num w:numId="8">
    <w:abstractNumId w:val="7"/>
  </w:num>
  <w:num w:numId="9">
    <w:abstractNumId w:val="25"/>
  </w:num>
  <w:num w:numId="10">
    <w:abstractNumId w:val="13"/>
  </w:num>
  <w:num w:numId="11">
    <w:abstractNumId w:val="9"/>
  </w:num>
  <w:num w:numId="12">
    <w:abstractNumId w:val="27"/>
  </w:num>
  <w:num w:numId="13">
    <w:abstractNumId w:val="20"/>
  </w:num>
  <w:num w:numId="14">
    <w:abstractNumId w:val="26"/>
  </w:num>
  <w:num w:numId="15">
    <w:abstractNumId w:val="12"/>
  </w:num>
  <w:num w:numId="16">
    <w:abstractNumId w:val="11"/>
  </w:num>
  <w:num w:numId="17">
    <w:abstractNumId w:val="17"/>
  </w:num>
  <w:num w:numId="18">
    <w:abstractNumId w:val="4"/>
  </w:num>
  <w:num w:numId="19">
    <w:abstractNumId w:val="8"/>
  </w:num>
  <w:num w:numId="20">
    <w:abstractNumId w:val="6"/>
  </w:num>
  <w:num w:numId="21">
    <w:abstractNumId w:val="31"/>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num>
  <w:num w:numId="24">
    <w:abstractNumId w:val="1"/>
  </w:num>
  <w:num w:numId="25">
    <w:abstractNumId w:val="16"/>
  </w:num>
  <w:num w:numId="26">
    <w:abstractNumId w:val="21"/>
  </w:num>
  <w:num w:numId="27">
    <w:abstractNumId w:val="22"/>
  </w:num>
  <w:num w:numId="28">
    <w:abstractNumId w:val="5"/>
  </w:num>
  <w:num w:numId="29">
    <w:abstractNumId w:val="10"/>
  </w:num>
  <w:num w:numId="30">
    <w:abstractNumId w:val="23"/>
    <w:lvlOverride w:ilvl="0">
      <w:startOverride w:val="1"/>
    </w:lvlOverride>
  </w:num>
  <w:num w:numId="31">
    <w:abstractNumId w:val="32"/>
  </w:num>
  <w:num w:numId="32">
    <w:abstractNumId w:val="2"/>
  </w:num>
  <w:num w:numId="33">
    <w:abstractNumId w:val="0"/>
  </w:num>
  <w:num w:numId="34">
    <w:abstractNumId w:val="33"/>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0"/>
  <w:drawingGridHorizontalSpacing w:val="97"/>
  <w:drawingGridVerticalSpacing w:val="1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hODA0MGJlYjkwYzhjNWY3NDVmZDZhNTM4ODVlZmIifQ=="/>
  </w:docVars>
  <w:rsids>
    <w:rsidRoot w:val="00172A27"/>
    <w:rsid w:val="00003B05"/>
    <w:rsid w:val="000052D9"/>
    <w:rsid w:val="00015360"/>
    <w:rsid w:val="000223F0"/>
    <w:rsid w:val="0002770C"/>
    <w:rsid w:val="000368F5"/>
    <w:rsid w:val="00041189"/>
    <w:rsid w:val="00046854"/>
    <w:rsid w:val="00047340"/>
    <w:rsid w:val="00066033"/>
    <w:rsid w:val="00067AC4"/>
    <w:rsid w:val="00067ECB"/>
    <w:rsid w:val="000743D3"/>
    <w:rsid w:val="0007641A"/>
    <w:rsid w:val="00080179"/>
    <w:rsid w:val="000938C9"/>
    <w:rsid w:val="000978EF"/>
    <w:rsid w:val="000A039F"/>
    <w:rsid w:val="000A0A09"/>
    <w:rsid w:val="000B0241"/>
    <w:rsid w:val="000B2EEF"/>
    <w:rsid w:val="000C0ABB"/>
    <w:rsid w:val="000C67C1"/>
    <w:rsid w:val="000C7A8F"/>
    <w:rsid w:val="000D294B"/>
    <w:rsid w:val="000D49EF"/>
    <w:rsid w:val="000D749E"/>
    <w:rsid w:val="000E708A"/>
    <w:rsid w:val="000F0496"/>
    <w:rsid w:val="000F12BD"/>
    <w:rsid w:val="000F1462"/>
    <w:rsid w:val="000F4863"/>
    <w:rsid w:val="000F6CB2"/>
    <w:rsid w:val="00103331"/>
    <w:rsid w:val="00103D8A"/>
    <w:rsid w:val="00104DF4"/>
    <w:rsid w:val="001132A7"/>
    <w:rsid w:val="00131274"/>
    <w:rsid w:val="00136F13"/>
    <w:rsid w:val="00141126"/>
    <w:rsid w:val="001415F8"/>
    <w:rsid w:val="0014238E"/>
    <w:rsid w:val="00142879"/>
    <w:rsid w:val="00144654"/>
    <w:rsid w:val="001455C2"/>
    <w:rsid w:val="00152A42"/>
    <w:rsid w:val="00152A51"/>
    <w:rsid w:val="00157B21"/>
    <w:rsid w:val="001678A2"/>
    <w:rsid w:val="001719FB"/>
    <w:rsid w:val="00172A27"/>
    <w:rsid w:val="00172D89"/>
    <w:rsid w:val="00173C4A"/>
    <w:rsid w:val="00174343"/>
    <w:rsid w:val="00175262"/>
    <w:rsid w:val="00180723"/>
    <w:rsid w:val="00185B40"/>
    <w:rsid w:val="00196CF5"/>
    <w:rsid w:val="001A009C"/>
    <w:rsid w:val="001A1320"/>
    <w:rsid w:val="001A1E62"/>
    <w:rsid w:val="001A2B19"/>
    <w:rsid w:val="001A6B52"/>
    <w:rsid w:val="001B3B29"/>
    <w:rsid w:val="001C21FC"/>
    <w:rsid w:val="001C7913"/>
    <w:rsid w:val="001D1A9E"/>
    <w:rsid w:val="001D1EDD"/>
    <w:rsid w:val="001E62E6"/>
    <w:rsid w:val="001E6CB4"/>
    <w:rsid w:val="001F1984"/>
    <w:rsid w:val="001F45DA"/>
    <w:rsid w:val="001F7AA4"/>
    <w:rsid w:val="00200D1A"/>
    <w:rsid w:val="002174DD"/>
    <w:rsid w:val="00222E14"/>
    <w:rsid w:val="00224528"/>
    <w:rsid w:val="00231E86"/>
    <w:rsid w:val="00233B0A"/>
    <w:rsid w:val="002343C6"/>
    <w:rsid w:val="00236DF1"/>
    <w:rsid w:val="002371B9"/>
    <w:rsid w:val="00241309"/>
    <w:rsid w:val="00244BC6"/>
    <w:rsid w:val="00254EF1"/>
    <w:rsid w:val="0026429E"/>
    <w:rsid w:val="002653A2"/>
    <w:rsid w:val="002728EB"/>
    <w:rsid w:val="002736C2"/>
    <w:rsid w:val="00283FCA"/>
    <w:rsid w:val="0029220B"/>
    <w:rsid w:val="00292350"/>
    <w:rsid w:val="0029515B"/>
    <w:rsid w:val="00296186"/>
    <w:rsid w:val="00296876"/>
    <w:rsid w:val="002A3338"/>
    <w:rsid w:val="002A7806"/>
    <w:rsid w:val="002B17A9"/>
    <w:rsid w:val="002B2330"/>
    <w:rsid w:val="002B3328"/>
    <w:rsid w:val="002C148C"/>
    <w:rsid w:val="002C3110"/>
    <w:rsid w:val="002C6F4E"/>
    <w:rsid w:val="002C793B"/>
    <w:rsid w:val="002D2534"/>
    <w:rsid w:val="002D2A19"/>
    <w:rsid w:val="002D6028"/>
    <w:rsid w:val="002E37F9"/>
    <w:rsid w:val="002E46CC"/>
    <w:rsid w:val="002E657F"/>
    <w:rsid w:val="002F06C5"/>
    <w:rsid w:val="002F28AD"/>
    <w:rsid w:val="002F3501"/>
    <w:rsid w:val="003075DB"/>
    <w:rsid w:val="00316F55"/>
    <w:rsid w:val="00317779"/>
    <w:rsid w:val="00323287"/>
    <w:rsid w:val="00323D30"/>
    <w:rsid w:val="00332364"/>
    <w:rsid w:val="003343EF"/>
    <w:rsid w:val="00341B62"/>
    <w:rsid w:val="00341B88"/>
    <w:rsid w:val="003447DD"/>
    <w:rsid w:val="00345D3F"/>
    <w:rsid w:val="00350832"/>
    <w:rsid w:val="00350F28"/>
    <w:rsid w:val="00352DD1"/>
    <w:rsid w:val="0035636F"/>
    <w:rsid w:val="0035749B"/>
    <w:rsid w:val="00357A26"/>
    <w:rsid w:val="00360D70"/>
    <w:rsid w:val="0036653C"/>
    <w:rsid w:val="00367278"/>
    <w:rsid w:val="00367BFA"/>
    <w:rsid w:val="00371E5B"/>
    <w:rsid w:val="00373328"/>
    <w:rsid w:val="00374404"/>
    <w:rsid w:val="00375BD3"/>
    <w:rsid w:val="003829D1"/>
    <w:rsid w:val="00382B28"/>
    <w:rsid w:val="003836E2"/>
    <w:rsid w:val="00385884"/>
    <w:rsid w:val="00385997"/>
    <w:rsid w:val="00386C66"/>
    <w:rsid w:val="003A09AC"/>
    <w:rsid w:val="003A1636"/>
    <w:rsid w:val="003B10A8"/>
    <w:rsid w:val="003B6B67"/>
    <w:rsid w:val="003B7D06"/>
    <w:rsid w:val="003C049F"/>
    <w:rsid w:val="003C7C33"/>
    <w:rsid w:val="003D1CD9"/>
    <w:rsid w:val="003D231E"/>
    <w:rsid w:val="003E18ED"/>
    <w:rsid w:val="003E1FEE"/>
    <w:rsid w:val="003E3C12"/>
    <w:rsid w:val="003E7C44"/>
    <w:rsid w:val="003F259F"/>
    <w:rsid w:val="004011D2"/>
    <w:rsid w:val="004042CA"/>
    <w:rsid w:val="0041199C"/>
    <w:rsid w:val="00415FCB"/>
    <w:rsid w:val="00421DC0"/>
    <w:rsid w:val="00422A83"/>
    <w:rsid w:val="00424808"/>
    <w:rsid w:val="00426D6B"/>
    <w:rsid w:val="004347BA"/>
    <w:rsid w:val="004359A2"/>
    <w:rsid w:val="00435A0F"/>
    <w:rsid w:val="0043657C"/>
    <w:rsid w:val="00437DA4"/>
    <w:rsid w:val="00451871"/>
    <w:rsid w:val="0047226C"/>
    <w:rsid w:val="0048094A"/>
    <w:rsid w:val="00482FBA"/>
    <w:rsid w:val="004836B1"/>
    <w:rsid w:val="00484719"/>
    <w:rsid w:val="00487D39"/>
    <w:rsid w:val="00494327"/>
    <w:rsid w:val="00496389"/>
    <w:rsid w:val="004965F4"/>
    <w:rsid w:val="004A0E7E"/>
    <w:rsid w:val="004B1B71"/>
    <w:rsid w:val="004B305E"/>
    <w:rsid w:val="004B6CC7"/>
    <w:rsid w:val="004C3399"/>
    <w:rsid w:val="004C5D32"/>
    <w:rsid w:val="004C74B7"/>
    <w:rsid w:val="004D16D1"/>
    <w:rsid w:val="004D4D85"/>
    <w:rsid w:val="004E12D5"/>
    <w:rsid w:val="004E1F63"/>
    <w:rsid w:val="004E414B"/>
    <w:rsid w:val="004E4917"/>
    <w:rsid w:val="004F0573"/>
    <w:rsid w:val="004F63D2"/>
    <w:rsid w:val="004F6568"/>
    <w:rsid w:val="00505CA0"/>
    <w:rsid w:val="00506686"/>
    <w:rsid w:val="005112E7"/>
    <w:rsid w:val="00512CF4"/>
    <w:rsid w:val="00514E9F"/>
    <w:rsid w:val="005153DA"/>
    <w:rsid w:val="00517966"/>
    <w:rsid w:val="00520174"/>
    <w:rsid w:val="00521A28"/>
    <w:rsid w:val="0053176A"/>
    <w:rsid w:val="005326B0"/>
    <w:rsid w:val="00533ACA"/>
    <w:rsid w:val="005406F9"/>
    <w:rsid w:val="005413FC"/>
    <w:rsid w:val="00541771"/>
    <w:rsid w:val="005423D7"/>
    <w:rsid w:val="00543E27"/>
    <w:rsid w:val="005565E6"/>
    <w:rsid w:val="0056107E"/>
    <w:rsid w:val="005634D4"/>
    <w:rsid w:val="00567BFA"/>
    <w:rsid w:val="00571B49"/>
    <w:rsid w:val="00572009"/>
    <w:rsid w:val="00576292"/>
    <w:rsid w:val="00582643"/>
    <w:rsid w:val="00584E4C"/>
    <w:rsid w:val="0058718C"/>
    <w:rsid w:val="0059219B"/>
    <w:rsid w:val="00592864"/>
    <w:rsid w:val="005956A3"/>
    <w:rsid w:val="0059669C"/>
    <w:rsid w:val="005A12D2"/>
    <w:rsid w:val="005B10EB"/>
    <w:rsid w:val="005B47C6"/>
    <w:rsid w:val="005B6392"/>
    <w:rsid w:val="005C67D9"/>
    <w:rsid w:val="005C77EA"/>
    <w:rsid w:val="005D17E5"/>
    <w:rsid w:val="005D1F87"/>
    <w:rsid w:val="005D3EE6"/>
    <w:rsid w:val="005D5525"/>
    <w:rsid w:val="005D585E"/>
    <w:rsid w:val="005D6181"/>
    <w:rsid w:val="005E4D21"/>
    <w:rsid w:val="005F1C16"/>
    <w:rsid w:val="00603A24"/>
    <w:rsid w:val="00606A11"/>
    <w:rsid w:val="00607456"/>
    <w:rsid w:val="0060796A"/>
    <w:rsid w:val="00611F0D"/>
    <w:rsid w:val="00622068"/>
    <w:rsid w:val="006230AF"/>
    <w:rsid w:val="00623A72"/>
    <w:rsid w:val="00626828"/>
    <w:rsid w:val="006309F1"/>
    <w:rsid w:val="0063398F"/>
    <w:rsid w:val="006369F9"/>
    <w:rsid w:val="006427AB"/>
    <w:rsid w:val="00644DE2"/>
    <w:rsid w:val="006477FE"/>
    <w:rsid w:val="00651D5E"/>
    <w:rsid w:val="00653301"/>
    <w:rsid w:val="006557BE"/>
    <w:rsid w:val="006616AA"/>
    <w:rsid w:val="00661E8F"/>
    <w:rsid w:val="00663C2F"/>
    <w:rsid w:val="00683071"/>
    <w:rsid w:val="00685513"/>
    <w:rsid w:val="00686280"/>
    <w:rsid w:val="00691E83"/>
    <w:rsid w:val="00696638"/>
    <w:rsid w:val="00696BD4"/>
    <w:rsid w:val="006A4AAC"/>
    <w:rsid w:val="006A6C76"/>
    <w:rsid w:val="006B276B"/>
    <w:rsid w:val="006D13B7"/>
    <w:rsid w:val="006D2E99"/>
    <w:rsid w:val="006D5BC4"/>
    <w:rsid w:val="006D6A1F"/>
    <w:rsid w:val="006D7FDA"/>
    <w:rsid w:val="006E4E46"/>
    <w:rsid w:val="006E7B66"/>
    <w:rsid w:val="006F278F"/>
    <w:rsid w:val="006F598C"/>
    <w:rsid w:val="007009DE"/>
    <w:rsid w:val="00701B68"/>
    <w:rsid w:val="00701C47"/>
    <w:rsid w:val="00704A4B"/>
    <w:rsid w:val="00705106"/>
    <w:rsid w:val="0070651B"/>
    <w:rsid w:val="007112D2"/>
    <w:rsid w:val="007277BB"/>
    <w:rsid w:val="007334F3"/>
    <w:rsid w:val="00742F10"/>
    <w:rsid w:val="00743123"/>
    <w:rsid w:val="0074368D"/>
    <w:rsid w:val="007534DA"/>
    <w:rsid w:val="00760C58"/>
    <w:rsid w:val="007616C8"/>
    <w:rsid w:val="00765755"/>
    <w:rsid w:val="007762BC"/>
    <w:rsid w:val="00776512"/>
    <w:rsid w:val="007805ED"/>
    <w:rsid w:val="0078080D"/>
    <w:rsid w:val="00781579"/>
    <w:rsid w:val="007840D5"/>
    <w:rsid w:val="007852AD"/>
    <w:rsid w:val="00796079"/>
    <w:rsid w:val="007A593B"/>
    <w:rsid w:val="007B3412"/>
    <w:rsid w:val="007B3C7E"/>
    <w:rsid w:val="007B401E"/>
    <w:rsid w:val="007B6C3A"/>
    <w:rsid w:val="007C3209"/>
    <w:rsid w:val="007C342F"/>
    <w:rsid w:val="007C4127"/>
    <w:rsid w:val="007C506E"/>
    <w:rsid w:val="007D2A76"/>
    <w:rsid w:val="007E0552"/>
    <w:rsid w:val="007E37A6"/>
    <w:rsid w:val="007E5DBF"/>
    <w:rsid w:val="007E731F"/>
    <w:rsid w:val="007F2FA3"/>
    <w:rsid w:val="007F7113"/>
    <w:rsid w:val="008063D7"/>
    <w:rsid w:val="008108DD"/>
    <w:rsid w:val="00811DC4"/>
    <w:rsid w:val="008173F0"/>
    <w:rsid w:val="00821322"/>
    <w:rsid w:val="00826B98"/>
    <w:rsid w:val="00826D1E"/>
    <w:rsid w:val="00840885"/>
    <w:rsid w:val="008420E8"/>
    <w:rsid w:val="00842424"/>
    <w:rsid w:val="00842A15"/>
    <w:rsid w:val="00843128"/>
    <w:rsid w:val="00852562"/>
    <w:rsid w:val="00856B28"/>
    <w:rsid w:val="00857026"/>
    <w:rsid w:val="008608E8"/>
    <w:rsid w:val="00865F63"/>
    <w:rsid w:val="008665B6"/>
    <w:rsid w:val="0087060A"/>
    <w:rsid w:val="00871866"/>
    <w:rsid w:val="00871E97"/>
    <w:rsid w:val="00872215"/>
    <w:rsid w:val="008770AD"/>
    <w:rsid w:val="0088740E"/>
    <w:rsid w:val="008926C4"/>
    <w:rsid w:val="00892AB1"/>
    <w:rsid w:val="00892C34"/>
    <w:rsid w:val="0089429B"/>
    <w:rsid w:val="00896241"/>
    <w:rsid w:val="008975DC"/>
    <w:rsid w:val="008A198B"/>
    <w:rsid w:val="008A4F10"/>
    <w:rsid w:val="008C44FE"/>
    <w:rsid w:val="008D7042"/>
    <w:rsid w:val="008E028B"/>
    <w:rsid w:val="008E1F1E"/>
    <w:rsid w:val="008E344E"/>
    <w:rsid w:val="008E733F"/>
    <w:rsid w:val="008E781B"/>
    <w:rsid w:val="008F7D8C"/>
    <w:rsid w:val="0090353C"/>
    <w:rsid w:val="00904496"/>
    <w:rsid w:val="00905E02"/>
    <w:rsid w:val="00910B9E"/>
    <w:rsid w:val="00913500"/>
    <w:rsid w:val="0091538C"/>
    <w:rsid w:val="00916B13"/>
    <w:rsid w:val="00920F50"/>
    <w:rsid w:val="00924BFF"/>
    <w:rsid w:val="0092635B"/>
    <w:rsid w:val="00932175"/>
    <w:rsid w:val="00932ADF"/>
    <w:rsid w:val="0093391D"/>
    <w:rsid w:val="00934149"/>
    <w:rsid w:val="00934E62"/>
    <w:rsid w:val="0093503D"/>
    <w:rsid w:val="00941379"/>
    <w:rsid w:val="00941AF6"/>
    <w:rsid w:val="00960DDC"/>
    <w:rsid w:val="00963924"/>
    <w:rsid w:val="00963F4E"/>
    <w:rsid w:val="00971ED1"/>
    <w:rsid w:val="0097401D"/>
    <w:rsid w:val="00974DD4"/>
    <w:rsid w:val="009758F8"/>
    <w:rsid w:val="009862A2"/>
    <w:rsid w:val="00987787"/>
    <w:rsid w:val="00990A54"/>
    <w:rsid w:val="009A3074"/>
    <w:rsid w:val="009A3AC1"/>
    <w:rsid w:val="009A40C8"/>
    <w:rsid w:val="009A6C70"/>
    <w:rsid w:val="009A6DA2"/>
    <w:rsid w:val="009A733A"/>
    <w:rsid w:val="009B5CE8"/>
    <w:rsid w:val="009C26B5"/>
    <w:rsid w:val="009C7061"/>
    <w:rsid w:val="009D07D0"/>
    <w:rsid w:val="009D4DCB"/>
    <w:rsid w:val="009D58BB"/>
    <w:rsid w:val="009D72CA"/>
    <w:rsid w:val="009E3455"/>
    <w:rsid w:val="009E5931"/>
    <w:rsid w:val="009F4A9B"/>
    <w:rsid w:val="009F5024"/>
    <w:rsid w:val="009F7E7C"/>
    <w:rsid w:val="00A04822"/>
    <w:rsid w:val="00A10A80"/>
    <w:rsid w:val="00A1433B"/>
    <w:rsid w:val="00A14E5F"/>
    <w:rsid w:val="00A362FE"/>
    <w:rsid w:val="00A450BF"/>
    <w:rsid w:val="00A55C04"/>
    <w:rsid w:val="00A571F4"/>
    <w:rsid w:val="00A61440"/>
    <w:rsid w:val="00A61555"/>
    <w:rsid w:val="00A65DBC"/>
    <w:rsid w:val="00A81720"/>
    <w:rsid w:val="00A84947"/>
    <w:rsid w:val="00A86E67"/>
    <w:rsid w:val="00A90445"/>
    <w:rsid w:val="00A91AF4"/>
    <w:rsid w:val="00A93906"/>
    <w:rsid w:val="00A94BF5"/>
    <w:rsid w:val="00A979AD"/>
    <w:rsid w:val="00AA3188"/>
    <w:rsid w:val="00AA62B8"/>
    <w:rsid w:val="00AB1675"/>
    <w:rsid w:val="00AB1BDF"/>
    <w:rsid w:val="00AB40D1"/>
    <w:rsid w:val="00AB4104"/>
    <w:rsid w:val="00AB712E"/>
    <w:rsid w:val="00AB7303"/>
    <w:rsid w:val="00AC1FD0"/>
    <w:rsid w:val="00AC3DD5"/>
    <w:rsid w:val="00AC4F7B"/>
    <w:rsid w:val="00AC6ABD"/>
    <w:rsid w:val="00AC77E0"/>
    <w:rsid w:val="00AD4407"/>
    <w:rsid w:val="00AD4FF9"/>
    <w:rsid w:val="00AD6124"/>
    <w:rsid w:val="00AE048E"/>
    <w:rsid w:val="00AE131C"/>
    <w:rsid w:val="00AE3E84"/>
    <w:rsid w:val="00AE44E9"/>
    <w:rsid w:val="00AF174B"/>
    <w:rsid w:val="00AF6340"/>
    <w:rsid w:val="00B010F3"/>
    <w:rsid w:val="00B03C5D"/>
    <w:rsid w:val="00B05C9C"/>
    <w:rsid w:val="00B07504"/>
    <w:rsid w:val="00B13B7B"/>
    <w:rsid w:val="00B14F17"/>
    <w:rsid w:val="00B1662A"/>
    <w:rsid w:val="00B17ACB"/>
    <w:rsid w:val="00B2038A"/>
    <w:rsid w:val="00B329D0"/>
    <w:rsid w:val="00B347B5"/>
    <w:rsid w:val="00B3509C"/>
    <w:rsid w:val="00B3648E"/>
    <w:rsid w:val="00B44FC6"/>
    <w:rsid w:val="00B5001E"/>
    <w:rsid w:val="00B53058"/>
    <w:rsid w:val="00B5601A"/>
    <w:rsid w:val="00B6304D"/>
    <w:rsid w:val="00B634E9"/>
    <w:rsid w:val="00B64917"/>
    <w:rsid w:val="00B9576C"/>
    <w:rsid w:val="00BA10AD"/>
    <w:rsid w:val="00BA358E"/>
    <w:rsid w:val="00BA4468"/>
    <w:rsid w:val="00BA70C3"/>
    <w:rsid w:val="00BA78AA"/>
    <w:rsid w:val="00BA7B80"/>
    <w:rsid w:val="00BB505F"/>
    <w:rsid w:val="00BD058C"/>
    <w:rsid w:val="00BD17DD"/>
    <w:rsid w:val="00BD2E36"/>
    <w:rsid w:val="00BE4262"/>
    <w:rsid w:val="00BF4067"/>
    <w:rsid w:val="00C01D79"/>
    <w:rsid w:val="00C03239"/>
    <w:rsid w:val="00C03E3A"/>
    <w:rsid w:val="00C13B2E"/>
    <w:rsid w:val="00C16BE4"/>
    <w:rsid w:val="00C26386"/>
    <w:rsid w:val="00C30B61"/>
    <w:rsid w:val="00C346FA"/>
    <w:rsid w:val="00C34D29"/>
    <w:rsid w:val="00C446E8"/>
    <w:rsid w:val="00C45C09"/>
    <w:rsid w:val="00C51AFD"/>
    <w:rsid w:val="00C57265"/>
    <w:rsid w:val="00C644AA"/>
    <w:rsid w:val="00C70B26"/>
    <w:rsid w:val="00C71BDC"/>
    <w:rsid w:val="00C873F0"/>
    <w:rsid w:val="00C87A57"/>
    <w:rsid w:val="00C91933"/>
    <w:rsid w:val="00CA2782"/>
    <w:rsid w:val="00CA7EA6"/>
    <w:rsid w:val="00CB1335"/>
    <w:rsid w:val="00CB6107"/>
    <w:rsid w:val="00CB6B9B"/>
    <w:rsid w:val="00CB765F"/>
    <w:rsid w:val="00CC00F8"/>
    <w:rsid w:val="00CC3B44"/>
    <w:rsid w:val="00CC5500"/>
    <w:rsid w:val="00CC6994"/>
    <w:rsid w:val="00CD39BA"/>
    <w:rsid w:val="00CD5BBC"/>
    <w:rsid w:val="00CD64D0"/>
    <w:rsid w:val="00CE29BD"/>
    <w:rsid w:val="00CF0750"/>
    <w:rsid w:val="00CF2979"/>
    <w:rsid w:val="00CF2A91"/>
    <w:rsid w:val="00CF388E"/>
    <w:rsid w:val="00D00088"/>
    <w:rsid w:val="00D025BA"/>
    <w:rsid w:val="00D076BF"/>
    <w:rsid w:val="00D11334"/>
    <w:rsid w:val="00D12BA6"/>
    <w:rsid w:val="00D15826"/>
    <w:rsid w:val="00D23BE9"/>
    <w:rsid w:val="00D25EB6"/>
    <w:rsid w:val="00D306E6"/>
    <w:rsid w:val="00D41911"/>
    <w:rsid w:val="00D464C0"/>
    <w:rsid w:val="00D50233"/>
    <w:rsid w:val="00D51E1A"/>
    <w:rsid w:val="00D523B9"/>
    <w:rsid w:val="00D56FBD"/>
    <w:rsid w:val="00D57417"/>
    <w:rsid w:val="00D63028"/>
    <w:rsid w:val="00D7671C"/>
    <w:rsid w:val="00D81A9D"/>
    <w:rsid w:val="00D833B5"/>
    <w:rsid w:val="00D85061"/>
    <w:rsid w:val="00D91652"/>
    <w:rsid w:val="00D92C21"/>
    <w:rsid w:val="00D94904"/>
    <w:rsid w:val="00DA46AF"/>
    <w:rsid w:val="00DA59A2"/>
    <w:rsid w:val="00DA6AF9"/>
    <w:rsid w:val="00DB268C"/>
    <w:rsid w:val="00DC46E1"/>
    <w:rsid w:val="00DC5DD2"/>
    <w:rsid w:val="00DD0756"/>
    <w:rsid w:val="00DD0ADD"/>
    <w:rsid w:val="00DE37C6"/>
    <w:rsid w:val="00DE3DDA"/>
    <w:rsid w:val="00DE5542"/>
    <w:rsid w:val="00DF04C4"/>
    <w:rsid w:val="00DF3603"/>
    <w:rsid w:val="00DF3F8C"/>
    <w:rsid w:val="00DF5377"/>
    <w:rsid w:val="00E00FAF"/>
    <w:rsid w:val="00E0363F"/>
    <w:rsid w:val="00E05092"/>
    <w:rsid w:val="00E1053C"/>
    <w:rsid w:val="00E13351"/>
    <w:rsid w:val="00E1681B"/>
    <w:rsid w:val="00E176CC"/>
    <w:rsid w:val="00E22D6A"/>
    <w:rsid w:val="00E24879"/>
    <w:rsid w:val="00E3672B"/>
    <w:rsid w:val="00E375B5"/>
    <w:rsid w:val="00E43DD3"/>
    <w:rsid w:val="00E61739"/>
    <w:rsid w:val="00E83804"/>
    <w:rsid w:val="00E86F3B"/>
    <w:rsid w:val="00E876D3"/>
    <w:rsid w:val="00E93F00"/>
    <w:rsid w:val="00EA275D"/>
    <w:rsid w:val="00EA534D"/>
    <w:rsid w:val="00EB045C"/>
    <w:rsid w:val="00EB0E49"/>
    <w:rsid w:val="00EB7CE5"/>
    <w:rsid w:val="00EC5210"/>
    <w:rsid w:val="00ED1E0E"/>
    <w:rsid w:val="00ED2A6D"/>
    <w:rsid w:val="00ED7288"/>
    <w:rsid w:val="00ED7BE5"/>
    <w:rsid w:val="00ED7E23"/>
    <w:rsid w:val="00EE7C90"/>
    <w:rsid w:val="00EF7706"/>
    <w:rsid w:val="00F01099"/>
    <w:rsid w:val="00F06984"/>
    <w:rsid w:val="00F07DB4"/>
    <w:rsid w:val="00F15D62"/>
    <w:rsid w:val="00F2148B"/>
    <w:rsid w:val="00F2587A"/>
    <w:rsid w:val="00F26D67"/>
    <w:rsid w:val="00F27CC1"/>
    <w:rsid w:val="00F310A4"/>
    <w:rsid w:val="00F4024B"/>
    <w:rsid w:val="00F443B3"/>
    <w:rsid w:val="00F448EC"/>
    <w:rsid w:val="00F467F0"/>
    <w:rsid w:val="00F47154"/>
    <w:rsid w:val="00F51DFF"/>
    <w:rsid w:val="00F52EFC"/>
    <w:rsid w:val="00F54D60"/>
    <w:rsid w:val="00F54E2F"/>
    <w:rsid w:val="00F607CF"/>
    <w:rsid w:val="00F66757"/>
    <w:rsid w:val="00F7590A"/>
    <w:rsid w:val="00F77CD1"/>
    <w:rsid w:val="00F827C8"/>
    <w:rsid w:val="00F83805"/>
    <w:rsid w:val="00F90451"/>
    <w:rsid w:val="00F91FDB"/>
    <w:rsid w:val="00F946A5"/>
    <w:rsid w:val="00F95399"/>
    <w:rsid w:val="00F95C03"/>
    <w:rsid w:val="00FA4AE2"/>
    <w:rsid w:val="00FA6208"/>
    <w:rsid w:val="00FB1069"/>
    <w:rsid w:val="00FB23D0"/>
    <w:rsid w:val="00FB32C8"/>
    <w:rsid w:val="00FC2ADD"/>
    <w:rsid w:val="00FC2F34"/>
    <w:rsid w:val="00FD5B53"/>
    <w:rsid w:val="00FD6A70"/>
    <w:rsid w:val="00FE27BB"/>
    <w:rsid w:val="00FF0185"/>
    <w:rsid w:val="00FF1B9A"/>
    <w:rsid w:val="00FF3C10"/>
    <w:rsid w:val="011F60EE"/>
    <w:rsid w:val="01AC475F"/>
    <w:rsid w:val="01FB3F68"/>
    <w:rsid w:val="022975EC"/>
    <w:rsid w:val="0237621C"/>
    <w:rsid w:val="02C92423"/>
    <w:rsid w:val="039102E6"/>
    <w:rsid w:val="03C54999"/>
    <w:rsid w:val="052F2A11"/>
    <w:rsid w:val="05583529"/>
    <w:rsid w:val="05D70B75"/>
    <w:rsid w:val="0663620A"/>
    <w:rsid w:val="0671533F"/>
    <w:rsid w:val="067A7B4A"/>
    <w:rsid w:val="06EE550F"/>
    <w:rsid w:val="082C721F"/>
    <w:rsid w:val="08680198"/>
    <w:rsid w:val="0957472D"/>
    <w:rsid w:val="096C7482"/>
    <w:rsid w:val="0AFF69E2"/>
    <w:rsid w:val="0B07085C"/>
    <w:rsid w:val="0B5C2951"/>
    <w:rsid w:val="0B664CB3"/>
    <w:rsid w:val="0BCA4A38"/>
    <w:rsid w:val="0C4B5C57"/>
    <w:rsid w:val="0CAA7B05"/>
    <w:rsid w:val="0CEC5E68"/>
    <w:rsid w:val="0F23766A"/>
    <w:rsid w:val="0F2B26EE"/>
    <w:rsid w:val="0F621C2B"/>
    <w:rsid w:val="0F7457E9"/>
    <w:rsid w:val="0FCA12E5"/>
    <w:rsid w:val="106C2D6C"/>
    <w:rsid w:val="10865B08"/>
    <w:rsid w:val="10A641ED"/>
    <w:rsid w:val="113B1BFC"/>
    <w:rsid w:val="121D7C31"/>
    <w:rsid w:val="12493A00"/>
    <w:rsid w:val="12922832"/>
    <w:rsid w:val="144162BD"/>
    <w:rsid w:val="14720225"/>
    <w:rsid w:val="14B6708E"/>
    <w:rsid w:val="16E13197"/>
    <w:rsid w:val="16EF3DAF"/>
    <w:rsid w:val="17356861"/>
    <w:rsid w:val="17F04282"/>
    <w:rsid w:val="190F4D4A"/>
    <w:rsid w:val="1910625E"/>
    <w:rsid w:val="191A1081"/>
    <w:rsid w:val="19AB1C63"/>
    <w:rsid w:val="1BA9401F"/>
    <w:rsid w:val="1C3660D4"/>
    <w:rsid w:val="1CD57563"/>
    <w:rsid w:val="1D9D51F3"/>
    <w:rsid w:val="1DA029F5"/>
    <w:rsid w:val="1EA81EBA"/>
    <w:rsid w:val="1F390158"/>
    <w:rsid w:val="1F5B1A41"/>
    <w:rsid w:val="1F883071"/>
    <w:rsid w:val="201B3E66"/>
    <w:rsid w:val="20424C81"/>
    <w:rsid w:val="20BF76DA"/>
    <w:rsid w:val="21151D88"/>
    <w:rsid w:val="211B629E"/>
    <w:rsid w:val="21451B35"/>
    <w:rsid w:val="215A240F"/>
    <w:rsid w:val="22410012"/>
    <w:rsid w:val="2299090F"/>
    <w:rsid w:val="22AA3E2A"/>
    <w:rsid w:val="22D121EA"/>
    <w:rsid w:val="22F34EA8"/>
    <w:rsid w:val="234E53B2"/>
    <w:rsid w:val="23B56C14"/>
    <w:rsid w:val="24743B45"/>
    <w:rsid w:val="24917A57"/>
    <w:rsid w:val="25063961"/>
    <w:rsid w:val="25CE197B"/>
    <w:rsid w:val="25F4209D"/>
    <w:rsid w:val="264B1E3E"/>
    <w:rsid w:val="267D4EFC"/>
    <w:rsid w:val="27740528"/>
    <w:rsid w:val="289457E1"/>
    <w:rsid w:val="28A808C6"/>
    <w:rsid w:val="28B13B05"/>
    <w:rsid w:val="29E55A72"/>
    <w:rsid w:val="2A4A6DB4"/>
    <w:rsid w:val="2A515672"/>
    <w:rsid w:val="2AB90BF0"/>
    <w:rsid w:val="2B591092"/>
    <w:rsid w:val="2B8678B6"/>
    <w:rsid w:val="2BE61149"/>
    <w:rsid w:val="2C4651AC"/>
    <w:rsid w:val="2D7A5523"/>
    <w:rsid w:val="2DE24C54"/>
    <w:rsid w:val="2E9848D4"/>
    <w:rsid w:val="2EF81506"/>
    <w:rsid w:val="2F0D6640"/>
    <w:rsid w:val="304F232A"/>
    <w:rsid w:val="305F1B4D"/>
    <w:rsid w:val="312850D7"/>
    <w:rsid w:val="313A661D"/>
    <w:rsid w:val="317E4255"/>
    <w:rsid w:val="325B455A"/>
    <w:rsid w:val="32660792"/>
    <w:rsid w:val="32755858"/>
    <w:rsid w:val="329D3D2E"/>
    <w:rsid w:val="34E45C3F"/>
    <w:rsid w:val="34F54159"/>
    <w:rsid w:val="367D6465"/>
    <w:rsid w:val="36897F35"/>
    <w:rsid w:val="36A068D5"/>
    <w:rsid w:val="36DD37CC"/>
    <w:rsid w:val="3775446F"/>
    <w:rsid w:val="387B329C"/>
    <w:rsid w:val="388D4973"/>
    <w:rsid w:val="39145CDA"/>
    <w:rsid w:val="39EE72DC"/>
    <w:rsid w:val="3A064DE8"/>
    <w:rsid w:val="3A28273B"/>
    <w:rsid w:val="3A7061B9"/>
    <w:rsid w:val="3AB35BB0"/>
    <w:rsid w:val="3B8C53ED"/>
    <w:rsid w:val="3C8317E7"/>
    <w:rsid w:val="3CD25455"/>
    <w:rsid w:val="3D2D673D"/>
    <w:rsid w:val="3DB80C2A"/>
    <w:rsid w:val="3DCE530E"/>
    <w:rsid w:val="3E8D24D8"/>
    <w:rsid w:val="3F1D5ACA"/>
    <w:rsid w:val="3F293BFA"/>
    <w:rsid w:val="42360234"/>
    <w:rsid w:val="42EE1DC6"/>
    <w:rsid w:val="43677073"/>
    <w:rsid w:val="43926C4B"/>
    <w:rsid w:val="43F24C47"/>
    <w:rsid w:val="451B08D2"/>
    <w:rsid w:val="458F470E"/>
    <w:rsid w:val="45F03CF3"/>
    <w:rsid w:val="460D74FE"/>
    <w:rsid w:val="46244F73"/>
    <w:rsid w:val="468E4E6D"/>
    <w:rsid w:val="46E57413"/>
    <w:rsid w:val="478C6222"/>
    <w:rsid w:val="47931784"/>
    <w:rsid w:val="47B03BA9"/>
    <w:rsid w:val="49026E10"/>
    <w:rsid w:val="49862C8F"/>
    <w:rsid w:val="49AC02A6"/>
    <w:rsid w:val="4A0B4034"/>
    <w:rsid w:val="4A2E02C6"/>
    <w:rsid w:val="4ACA0315"/>
    <w:rsid w:val="4B057649"/>
    <w:rsid w:val="4B9425A7"/>
    <w:rsid w:val="4B9E1DB9"/>
    <w:rsid w:val="4C7310AD"/>
    <w:rsid w:val="4D842037"/>
    <w:rsid w:val="4D9B2F7F"/>
    <w:rsid w:val="4E9534A4"/>
    <w:rsid w:val="4F22110D"/>
    <w:rsid w:val="4F3912D1"/>
    <w:rsid w:val="50086B0C"/>
    <w:rsid w:val="52267A1D"/>
    <w:rsid w:val="537F56AD"/>
    <w:rsid w:val="54022FBD"/>
    <w:rsid w:val="54660E4D"/>
    <w:rsid w:val="54810BF1"/>
    <w:rsid w:val="550024AC"/>
    <w:rsid w:val="55365DED"/>
    <w:rsid w:val="570016CA"/>
    <w:rsid w:val="5768620E"/>
    <w:rsid w:val="57C8287A"/>
    <w:rsid w:val="58256A7C"/>
    <w:rsid w:val="589647C1"/>
    <w:rsid w:val="59174A94"/>
    <w:rsid w:val="59337A15"/>
    <w:rsid w:val="59857735"/>
    <w:rsid w:val="5AAB6294"/>
    <w:rsid w:val="5ADB76FE"/>
    <w:rsid w:val="5B3A2A97"/>
    <w:rsid w:val="5C260263"/>
    <w:rsid w:val="5C6D5D5D"/>
    <w:rsid w:val="5C8759E7"/>
    <w:rsid w:val="5CDA262A"/>
    <w:rsid w:val="5CEC7289"/>
    <w:rsid w:val="5CFE4BFC"/>
    <w:rsid w:val="5D2C1646"/>
    <w:rsid w:val="5D886622"/>
    <w:rsid w:val="5E156CD0"/>
    <w:rsid w:val="5E400EED"/>
    <w:rsid w:val="5E8048B9"/>
    <w:rsid w:val="5E93433C"/>
    <w:rsid w:val="5EA6727F"/>
    <w:rsid w:val="5EF77271"/>
    <w:rsid w:val="5FB83662"/>
    <w:rsid w:val="60AE2B4F"/>
    <w:rsid w:val="620344FC"/>
    <w:rsid w:val="62A25746"/>
    <w:rsid w:val="62E81A95"/>
    <w:rsid w:val="63AA3E84"/>
    <w:rsid w:val="643C3ECA"/>
    <w:rsid w:val="645529A9"/>
    <w:rsid w:val="64862C2B"/>
    <w:rsid w:val="64875507"/>
    <w:rsid w:val="64F10C32"/>
    <w:rsid w:val="6552795A"/>
    <w:rsid w:val="65D0211A"/>
    <w:rsid w:val="65E240AB"/>
    <w:rsid w:val="660404C6"/>
    <w:rsid w:val="66176FA2"/>
    <w:rsid w:val="6661072D"/>
    <w:rsid w:val="672A6364"/>
    <w:rsid w:val="68615F66"/>
    <w:rsid w:val="68C63810"/>
    <w:rsid w:val="69321B2D"/>
    <w:rsid w:val="6949237B"/>
    <w:rsid w:val="69E92CFF"/>
    <w:rsid w:val="6A8B3BD0"/>
    <w:rsid w:val="6B230C32"/>
    <w:rsid w:val="6B4B5941"/>
    <w:rsid w:val="6C186F7E"/>
    <w:rsid w:val="6C5400C1"/>
    <w:rsid w:val="6C750DAF"/>
    <w:rsid w:val="6E015061"/>
    <w:rsid w:val="70025E46"/>
    <w:rsid w:val="70447B0B"/>
    <w:rsid w:val="70A97C9F"/>
    <w:rsid w:val="70FA4B39"/>
    <w:rsid w:val="715E7281"/>
    <w:rsid w:val="72394572"/>
    <w:rsid w:val="73110955"/>
    <w:rsid w:val="735A1441"/>
    <w:rsid w:val="74B90B53"/>
    <w:rsid w:val="74EA0887"/>
    <w:rsid w:val="75E16295"/>
    <w:rsid w:val="75F265F9"/>
    <w:rsid w:val="775C1F10"/>
    <w:rsid w:val="78144598"/>
    <w:rsid w:val="78AC69EC"/>
    <w:rsid w:val="793067AF"/>
    <w:rsid w:val="7ACD6C80"/>
    <w:rsid w:val="7B6F7850"/>
    <w:rsid w:val="7BA336EB"/>
    <w:rsid w:val="7BD32074"/>
    <w:rsid w:val="7BE349AD"/>
    <w:rsid w:val="7BE5390A"/>
    <w:rsid w:val="7C027415"/>
    <w:rsid w:val="7CF03A0A"/>
    <w:rsid w:val="7E440AC9"/>
    <w:rsid w:val="7F6C6E1F"/>
    <w:rsid w:val="7FCC29A3"/>
    <w:rsid w:val="7FD67C6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qFormat="1" w:unhideWhenUsed="0" w:uiPriority="59"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0"/>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4">
    <w:name w:val="heading 2"/>
    <w:basedOn w:val="1"/>
    <w:next w:val="2"/>
    <w:link w:val="102"/>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5">
    <w:name w:val="heading 3"/>
    <w:basedOn w:val="1"/>
    <w:next w:val="2"/>
    <w:link w:val="119"/>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6">
    <w:name w:val="heading 4"/>
    <w:basedOn w:val="1"/>
    <w:next w:val="2"/>
    <w:link w:val="93"/>
    <w:qFormat/>
    <w:uiPriority w:val="0"/>
    <w:pPr>
      <w:keepNext/>
      <w:keepLines/>
      <w:spacing w:before="280" w:after="290" w:line="376" w:lineRule="auto"/>
      <w:outlineLvl w:val="3"/>
    </w:pPr>
    <w:rPr>
      <w:rFonts w:ascii="Arial" w:hAnsi="Arial" w:eastAsia="黑体"/>
      <w:b/>
      <w:sz w:val="28"/>
      <w:szCs w:val="20"/>
    </w:rPr>
  </w:style>
  <w:style w:type="paragraph" w:styleId="7">
    <w:name w:val="heading 5"/>
    <w:basedOn w:val="1"/>
    <w:next w:val="2"/>
    <w:link w:val="106"/>
    <w:qFormat/>
    <w:uiPriority w:val="0"/>
    <w:pPr>
      <w:keepNext/>
      <w:keepLines/>
      <w:spacing w:before="280" w:after="290" w:line="376" w:lineRule="auto"/>
      <w:outlineLvl w:val="4"/>
    </w:pPr>
    <w:rPr>
      <w:b/>
      <w:sz w:val="28"/>
      <w:szCs w:val="20"/>
    </w:rPr>
  </w:style>
  <w:style w:type="paragraph" w:styleId="8">
    <w:name w:val="heading 6"/>
    <w:basedOn w:val="1"/>
    <w:next w:val="2"/>
    <w:link w:val="91"/>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2"/>
    <w:link w:val="111"/>
    <w:qFormat/>
    <w:uiPriority w:val="0"/>
    <w:pPr>
      <w:keepNext/>
      <w:keepLines/>
      <w:spacing w:before="240" w:after="64" w:line="320" w:lineRule="auto"/>
      <w:outlineLvl w:val="6"/>
    </w:pPr>
    <w:rPr>
      <w:b/>
      <w:sz w:val="24"/>
      <w:szCs w:val="20"/>
    </w:rPr>
  </w:style>
  <w:style w:type="paragraph" w:styleId="10">
    <w:name w:val="heading 8"/>
    <w:basedOn w:val="1"/>
    <w:next w:val="2"/>
    <w:link w:val="98"/>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2"/>
    <w:link w:val="90"/>
    <w:qFormat/>
    <w:uiPriority w:val="0"/>
    <w:pPr>
      <w:keepNext/>
      <w:keepLines/>
      <w:spacing w:before="240" w:after="64" w:line="320" w:lineRule="auto"/>
      <w:outlineLvl w:val="8"/>
    </w:pPr>
    <w:rPr>
      <w:rFonts w:ascii="Arial" w:hAnsi="Arial" w:eastAsia="黑体"/>
      <w:szCs w:val="20"/>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113"/>
    <w:qFormat/>
    <w:uiPriority w:val="0"/>
    <w:pPr>
      <w:autoSpaceDE w:val="0"/>
      <w:autoSpaceDN w:val="0"/>
      <w:adjustRightInd w:val="0"/>
      <w:ind w:firstLine="420"/>
      <w:jc w:val="left"/>
      <w:textAlignment w:val="baseline"/>
    </w:pPr>
    <w:rPr>
      <w:rFonts w:ascii="宋体"/>
      <w:kern w:val="0"/>
      <w:sz w:val="34"/>
      <w:szCs w:val="20"/>
    </w:rPr>
  </w:style>
  <w:style w:type="paragraph" w:styleId="12">
    <w:name w:val="toc 7"/>
    <w:basedOn w:val="1"/>
    <w:next w:val="1"/>
    <w:qFormat/>
    <w:uiPriority w:val="0"/>
    <w:pPr>
      <w:ind w:left="1200" w:leftChars="1200"/>
    </w:pPr>
    <w:rPr>
      <w:rFonts w:ascii="Calibri" w:hAnsi="Calibri"/>
      <w:szCs w:val="22"/>
    </w:rPr>
  </w:style>
  <w:style w:type="paragraph" w:styleId="13">
    <w:name w:val="caption"/>
    <w:basedOn w:val="1"/>
    <w:next w:val="1"/>
    <w:qFormat/>
    <w:uiPriority w:val="0"/>
    <w:pPr>
      <w:spacing w:line="360" w:lineRule="auto"/>
    </w:pPr>
    <w:rPr>
      <w:rFonts w:ascii="Arial" w:hAnsi="Arial" w:eastAsia="黑体" w:cs="Arial"/>
      <w:sz w:val="20"/>
      <w:szCs w:val="20"/>
    </w:rPr>
  </w:style>
  <w:style w:type="paragraph" w:styleId="14">
    <w:name w:val="List Bullet"/>
    <w:basedOn w:val="1"/>
    <w:qFormat/>
    <w:uiPriority w:val="0"/>
    <w:pPr>
      <w:tabs>
        <w:tab w:val="left" w:pos="360"/>
        <w:tab w:val="left" w:pos="1320"/>
      </w:tabs>
      <w:spacing w:line="360" w:lineRule="auto"/>
      <w:ind w:left="1320" w:hanging="420"/>
    </w:pPr>
    <w:rPr>
      <w:sz w:val="24"/>
    </w:rPr>
  </w:style>
  <w:style w:type="paragraph" w:styleId="15">
    <w:name w:val="Document Map"/>
    <w:basedOn w:val="1"/>
    <w:qFormat/>
    <w:uiPriority w:val="0"/>
    <w:pPr>
      <w:shd w:val="clear" w:color="auto" w:fill="000080"/>
    </w:pPr>
  </w:style>
  <w:style w:type="paragraph" w:styleId="16">
    <w:name w:val="annotation text"/>
    <w:basedOn w:val="1"/>
    <w:link w:val="131"/>
    <w:qFormat/>
    <w:uiPriority w:val="0"/>
    <w:pPr>
      <w:spacing w:line="360" w:lineRule="auto"/>
      <w:jc w:val="left"/>
    </w:pPr>
    <w:rPr>
      <w:sz w:val="24"/>
    </w:rPr>
  </w:style>
  <w:style w:type="paragraph" w:styleId="17">
    <w:name w:val="Body Text"/>
    <w:basedOn w:val="1"/>
    <w:link w:val="76"/>
    <w:qFormat/>
    <w:uiPriority w:val="0"/>
    <w:pPr>
      <w:spacing w:after="120"/>
    </w:pPr>
  </w:style>
  <w:style w:type="paragraph" w:styleId="18">
    <w:name w:val="Body Text Indent"/>
    <w:basedOn w:val="1"/>
    <w:link w:val="123"/>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19">
    <w:name w:val="List Bullet 2"/>
    <w:basedOn w:val="1"/>
    <w:qFormat/>
    <w:uiPriority w:val="0"/>
    <w:pPr>
      <w:numPr>
        <w:ilvl w:val="0"/>
        <w:numId w:val="2"/>
      </w:numPr>
    </w:pPr>
  </w:style>
  <w:style w:type="paragraph" w:styleId="20">
    <w:name w:val="HTML Address"/>
    <w:basedOn w:val="1"/>
    <w:link w:val="129"/>
    <w:qFormat/>
    <w:uiPriority w:val="0"/>
    <w:pPr>
      <w:numPr>
        <w:ilvl w:val="0"/>
        <w:numId w:val="3"/>
      </w:numPr>
      <w:tabs>
        <w:tab w:val="clear" w:pos="432"/>
      </w:tabs>
      <w:ind w:left="0" w:firstLine="0"/>
    </w:pPr>
    <w:rPr>
      <w:i/>
    </w:rPr>
  </w:style>
  <w:style w:type="paragraph" w:styleId="21">
    <w:name w:val="toc 5"/>
    <w:basedOn w:val="1"/>
    <w:next w:val="1"/>
    <w:qFormat/>
    <w:uiPriority w:val="0"/>
    <w:pPr>
      <w:ind w:left="800" w:leftChars="800"/>
    </w:pPr>
    <w:rPr>
      <w:rFonts w:ascii="Calibri" w:hAnsi="Calibri"/>
      <w:szCs w:val="22"/>
    </w:rPr>
  </w:style>
  <w:style w:type="paragraph" w:styleId="22">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3">
    <w:name w:val="Plain Text"/>
    <w:basedOn w:val="1"/>
    <w:link w:val="74"/>
    <w:qFormat/>
    <w:uiPriority w:val="0"/>
    <w:rPr>
      <w:rFonts w:ascii="宋体" w:hAnsi="Courier New"/>
      <w:szCs w:val="20"/>
    </w:rPr>
  </w:style>
  <w:style w:type="paragraph" w:styleId="24">
    <w:name w:val="toc 8"/>
    <w:basedOn w:val="1"/>
    <w:next w:val="1"/>
    <w:qFormat/>
    <w:uiPriority w:val="0"/>
    <w:pPr>
      <w:ind w:left="1400" w:leftChars="1400"/>
    </w:pPr>
    <w:rPr>
      <w:rFonts w:ascii="Calibri" w:hAnsi="Calibri"/>
      <w:szCs w:val="22"/>
    </w:rPr>
  </w:style>
  <w:style w:type="paragraph" w:styleId="25">
    <w:name w:val="Date"/>
    <w:basedOn w:val="1"/>
    <w:next w:val="1"/>
    <w:link w:val="63"/>
    <w:qFormat/>
    <w:uiPriority w:val="0"/>
    <w:pPr>
      <w:numPr>
        <w:ilvl w:val="0"/>
        <w:numId w:val="4"/>
      </w:numPr>
      <w:ind w:left="100" w:leftChars="2500"/>
    </w:pPr>
  </w:style>
  <w:style w:type="paragraph" w:styleId="26">
    <w:name w:val="Body Text Indent 2"/>
    <w:basedOn w:val="1"/>
    <w:link w:val="71"/>
    <w:qFormat/>
    <w:uiPriority w:val="0"/>
    <w:pPr>
      <w:spacing w:line="480" w:lineRule="exact"/>
      <w:ind w:left="810" w:firstLine="675"/>
    </w:pPr>
    <w:rPr>
      <w:rFonts w:eastAsia="仿宋_GB2312"/>
      <w:sz w:val="30"/>
      <w:szCs w:val="20"/>
    </w:rPr>
  </w:style>
  <w:style w:type="paragraph" w:styleId="27">
    <w:name w:val="Balloon Text"/>
    <w:basedOn w:val="1"/>
    <w:link w:val="86"/>
    <w:qFormat/>
    <w:uiPriority w:val="0"/>
    <w:rPr>
      <w:sz w:val="18"/>
      <w:szCs w:val="18"/>
    </w:rPr>
  </w:style>
  <w:style w:type="paragraph" w:styleId="28">
    <w:name w:val="footer"/>
    <w:basedOn w:val="1"/>
    <w:link w:val="132"/>
    <w:qFormat/>
    <w:uiPriority w:val="0"/>
    <w:pPr>
      <w:tabs>
        <w:tab w:val="center" w:pos="4153"/>
        <w:tab w:val="right" w:pos="8306"/>
      </w:tabs>
      <w:snapToGrid w:val="0"/>
      <w:jc w:val="left"/>
    </w:pPr>
    <w:rPr>
      <w:sz w:val="18"/>
      <w:szCs w:val="20"/>
    </w:rPr>
  </w:style>
  <w:style w:type="paragraph" w:styleId="29">
    <w:name w:val="header"/>
    <w:basedOn w:val="1"/>
    <w:link w:val="124"/>
    <w:qFormat/>
    <w:uiPriority w:val="99"/>
    <w:pPr>
      <w:pBdr>
        <w:bottom w:val="single" w:color="auto" w:sz="6" w:space="1"/>
      </w:pBdr>
      <w:tabs>
        <w:tab w:val="center" w:pos="4153"/>
        <w:tab w:val="right" w:pos="8306"/>
      </w:tabs>
      <w:snapToGrid w:val="0"/>
      <w:jc w:val="center"/>
    </w:pPr>
    <w:rPr>
      <w:sz w:val="18"/>
      <w:szCs w:val="20"/>
    </w:rPr>
  </w:style>
  <w:style w:type="paragraph" w:styleId="30">
    <w:name w:val="toc 1"/>
    <w:basedOn w:val="1"/>
    <w:next w:val="1"/>
    <w:qFormat/>
    <w:uiPriority w:val="39"/>
    <w:pPr>
      <w:tabs>
        <w:tab w:val="right" w:leader="dot" w:pos="8949"/>
      </w:tabs>
      <w:spacing w:before="120" w:after="120"/>
      <w:jc w:val="left"/>
    </w:pPr>
    <w:rPr>
      <w:b/>
      <w:bCs/>
      <w:caps/>
      <w:szCs w:val="21"/>
    </w:rPr>
  </w:style>
  <w:style w:type="paragraph" w:styleId="31">
    <w:name w:val="toc 4"/>
    <w:basedOn w:val="1"/>
    <w:next w:val="1"/>
    <w:qFormat/>
    <w:uiPriority w:val="0"/>
    <w:pPr>
      <w:ind w:left="600" w:leftChars="600"/>
    </w:pPr>
    <w:rPr>
      <w:rFonts w:ascii="Calibri" w:hAnsi="Calibri"/>
      <w:szCs w:val="22"/>
    </w:rPr>
  </w:style>
  <w:style w:type="paragraph" w:styleId="32">
    <w:name w:val="index heading"/>
    <w:basedOn w:val="1"/>
    <w:next w:val="33"/>
    <w:qFormat/>
    <w:uiPriority w:val="0"/>
    <w:rPr>
      <w:szCs w:val="20"/>
    </w:rPr>
  </w:style>
  <w:style w:type="paragraph" w:styleId="33">
    <w:name w:val="index 1"/>
    <w:basedOn w:val="1"/>
    <w:next w:val="1"/>
    <w:qFormat/>
    <w:uiPriority w:val="0"/>
  </w:style>
  <w:style w:type="paragraph" w:styleId="34">
    <w:name w:val="List"/>
    <w:basedOn w:val="1"/>
    <w:qFormat/>
    <w:uiPriority w:val="0"/>
    <w:pPr>
      <w:ind w:left="200" w:hanging="200" w:hangingChars="200"/>
    </w:pPr>
  </w:style>
  <w:style w:type="paragraph" w:styleId="35">
    <w:name w:val="toc 6"/>
    <w:basedOn w:val="1"/>
    <w:next w:val="1"/>
    <w:qFormat/>
    <w:uiPriority w:val="0"/>
    <w:pPr>
      <w:ind w:left="1000" w:leftChars="1000"/>
    </w:pPr>
    <w:rPr>
      <w:rFonts w:ascii="Calibri" w:hAnsi="Calibri"/>
      <w:szCs w:val="22"/>
    </w:rPr>
  </w:style>
  <w:style w:type="paragraph" w:styleId="36">
    <w:name w:val="Body Text Indent 3"/>
    <w:basedOn w:val="1"/>
    <w:link w:val="72"/>
    <w:qFormat/>
    <w:uiPriority w:val="0"/>
    <w:pPr>
      <w:widowControl/>
      <w:tabs>
        <w:tab w:val="left" w:pos="502"/>
      </w:tabs>
      <w:adjustRightInd w:val="0"/>
      <w:snapToGrid w:val="0"/>
      <w:spacing w:line="360" w:lineRule="auto"/>
      <w:ind w:left="540" w:leftChars="257"/>
    </w:pPr>
    <w:rPr>
      <w:rFonts w:ascii="宋体" w:hAnsi="宋体"/>
    </w:rPr>
  </w:style>
  <w:style w:type="paragraph" w:styleId="37">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38">
    <w:name w:val="toc 9"/>
    <w:basedOn w:val="1"/>
    <w:next w:val="1"/>
    <w:qFormat/>
    <w:uiPriority w:val="0"/>
    <w:pPr>
      <w:ind w:left="1600" w:leftChars="1600"/>
    </w:pPr>
    <w:rPr>
      <w:rFonts w:ascii="Calibri" w:hAnsi="Calibri"/>
      <w:szCs w:val="22"/>
    </w:rPr>
  </w:style>
  <w:style w:type="paragraph" w:styleId="39">
    <w:name w:val="Body Text 2"/>
    <w:basedOn w:val="1"/>
    <w:link w:val="101"/>
    <w:qFormat/>
    <w:uiPriority w:val="0"/>
    <w:pPr>
      <w:spacing w:line="360" w:lineRule="auto"/>
    </w:pPr>
    <w:rPr>
      <w:rFonts w:ascii="仿宋_GB2312" w:eastAsia="仿宋_GB2312"/>
      <w:sz w:val="32"/>
    </w:rPr>
  </w:style>
  <w:style w:type="paragraph" w:styleId="40">
    <w:name w:val="HTML Preformatted"/>
    <w:basedOn w:val="1"/>
    <w:link w:val="13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2">
    <w:name w:val="index 2"/>
    <w:basedOn w:val="1"/>
    <w:next w:val="1"/>
    <w:qFormat/>
    <w:uiPriority w:val="0"/>
    <w:pPr>
      <w:ind w:left="420" w:hanging="210"/>
      <w:jc w:val="left"/>
    </w:pPr>
    <w:rPr>
      <w:sz w:val="20"/>
      <w:szCs w:val="20"/>
    </w:rPr>
  </w:style>
  <w:style w:type="paragraph" w:styleId="43">
    <w:name w:val="Title"/>
    <w:basedOn w:val="1"/>
    <w:next w:val="1"/>
    <w:link w:val="125"/>
    <w:qFormat/>
    <w:uiPriority w:val="0"/>
    <w:pPr>
      <w:spacing w:before="240" w:after="60"/>
      <w:jc w:val="center"/>
      <w:outlineLvl w:val="0"/>
    </w:pPr>
    <w:rPr>
      <w:rFonts w:ascii="Cambria" w:hAnsi="Cambria"/>
      <w:b/>
      <w:bCs/>
      <w:sz w:val="32"/>
      <w:szCs w:val="32"/>
    </w:rPr>
  </w:style>
  <w:style w:type="paragraph" w:styleId="44">
    <w:name w:val="Body Text First Indent"/>
    <w:basedOn w:val="17"/>
    <w:link w:val="133"/>
    <w:qFormat/>
    <w:uiPriority w:val="0"/>
    <w:pPr>
      <w:ind w:firstLine="100" w:firstLineChars="100"/>
    </w:pPr>
    <w:rPr>
      <w:rFonts w:ascii="Calibri" w:hAnsi="Calibri"/>
      <w:szCs w:val="22"/>
    </w:rPr>
  </w:style>
  <w:style w:type="paragraph" w:styleId="45">
    <w:name w:val="Body Text First Indent 2"/>
    <w:basedOn w:val="18"/>
    <w:link w:val="60"/>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47">
    <w:name w:val="Table Grid"/>
    <w:basedOn w:val="46"/>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22"/>
    <w:rPr>
      <w:b/>
      <w:bCs/>
    </w:rPr>
  </w:style>
  <w:style w:type="character" w:styleId="50">
    <w:name w:val="page number"/>
    <w:basedOn w:val="48"/>
    <w:qFormat/>
    <w:uiPriority w:val="0"/>
  </w:style>
  <w:style w:type="character" w:styleId="51">
    <w:name w:val="Emphasis"/>
    <w:qFormat/>
    <w:uiPriority w:val="20"/>
    <w:rPr>
      <w:i/>
      <w:iCs/>
    </w:rPr>
  </w:style>
  <w:style w:type="character" w:styleId="52">
    <w:name w:val="Hyperlink"/>
    <w:qFormat/>
    <w:uiPriority w:val="99"/>
    <w:rPr>
      <w:color w:val="0000FF"/>
      <w:u w:val="single"/>
    </w:rPr>
  </w:style>
  <w:style w:type="character" w:styleId="53">
    <w:name w:val="annotation reference"/>
    <w:qFormat/>
    <w:uiPriority w:val="0"/>
    <w:rPr>
      <w:sz w:val="21"/>
      <w:szCs w:val="21"/>
    </w:rPr>
  </w:style>
  <w:style w:type="paragraph" w:customStyle="1" w:styleId="54">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character" w:customStyle="1" w:styleId="55">
    <w:name w:val="标题 1 Char Char"/>
    <w:qFormat/>
    <w:uiPriority w:val="0"/>
    <w:rPr>
      <w:rFonts w:eastAsia="宋体"/>
      <w:b/>
      <w:bCs/>
      <w:kern w:val="44"/>
      <w:sz w:val="44"/>
      <w:szCs w:val="44"/>
      <w:lang w:val="en-US" w:eastAsia="zh-CN" w:bidi="ar-SA"/>
    </w:rPr>
  </w:style>
  <w:style w:type="character" w:customStyle="1" w:styleId="56">
    <w:name w:val="标题 4 Char Char"/>
    <w:qFormat/>
    <w:uiPriority w:val="0"/>
    <w:rPr>
      <w:rFonts w:ascii="Arial" w:hAnsi="Arial" w:eastAsia="黑体"/>
      <w:b/>
      <w:bCs/>
      <w:kern w:val="2"/>
      <w:sz w:val="28"/>
      <w:szCs w:val="28"/>
      <w:lang w:val="en-US" w:eastAsia="zh-CN" w:bidi="ar-SA"/>
    </w:rPr>
  </w:style>
  <w:style w:type="character" w:customStyle="1" w:styleId="57">
    <w:name w:val="font11"/>
    <w:basedOn w:val="48"/>
    <w:qFormat/>
    <w:uiPriority w:val="0"/>
    <w:rPr>
      <w:rFonts w:hint="eastAsia" w:ascii="宋体" w:hAnsi="宋体" w:eastAsia="宋体"/>
      <w:color w:val="000000"/>
      <w:sz w:val="24"/>
      <w:szCs w:val="24"/>
      <w:u w:val="none"/>
    </w:rPr>
  </w:style>
  <w:style w:type="character" w:customStyle="1" w:styleId="58">
    <w:name w:val="标题 5 Char Char"/>
    <w:qFormat/>
    <w:uiPriority w:val="0"/>
    <w:rPr>
      <w:rFonts w:eastAsia="宋体"/>
      <w:b/>
      <w:bCs/>
      <w:kern w:val="2"/>
      <w:sz w:val="28"/>
      <w:szCs w:val="28"/>
      <w:lang w:val="en-US" w:eastAsia="zh-CN" w:bidi="ar-SA"/>
    </w:rPr>
  </w:style>
  <w:style w:type="character" w:customStyle="1" w:styleId="59">
    <w:name w:val="ca-5"/>
    <w:basedOn w:val="48"/>
    <w:qFormat/>
    <w:uiPriority w:val="0"/>
  </w:style>
  <w:style w:type="character" w:customStyle="1" w:styleId="60">
    <w:name w:val="正文首行缩进 2 Char"/>
    <w:link w:val="45"/>
    <w:qFormat/>
    <w:uiPriority w:val="0"/>
    <w:rPr>
      <w:rFonts w:ascii="Calibri" w:hAnsi="Calibri" w:eastAsia="仿宋_GB2312"/>
      <w:kern w:val="2"/>
      <w:sz w:val="21"/>
      <w:szCs w:val="22"/>
      <w:lang w:val="en-US" w:eastAsia="zh-CN" w:bidi="ar-SA"/>
    </w:rPr>
  </w:style>
  <w:style w:type="character" w:customStyle="1" w:styleId="61">
    <w:name w:val="已访问的超链接1"/>
    <w:qFormat/>
    <w:uiPriority w:val="0"/>
    <w:rPr>
      <w:color w:val="800080"/>
      <w:u w:val="single"/>
    </w:rPr>
  </w:style>
  <w:style w:type="character" w:customStyle="1" w:styleId="62">
    <w:name w:val="正文首行缩进 Char Char"/>
    <w:qFormat/>
    <w:uiPriority w:val="0"/>
    <w:rPr>
      <w:rFonts w:eastAsia="仿宋_GB2312"/>
      <w:kern w:val="2"/>
      <w:sz w:val="28"/>
      <w:szCs w:val="24"/>
      <w:lang w:bidi="ar-SA"/>
    </w:rPr>
  </w:style>
  <w:style w:type="character" w:customStyle="1" w:styleId="63">
    <w:name w:val="日期 Char"/>
    <w:link w:val="25"/>
    <w:qFormat/>
    <w:uiPriority w:val="0"/>
    <w:rPr>
      <w:kern w:val="2"/>
      <w:sz w:val="21"/>
      <w:szCs w:val="24"/>
    </w:rPr>
  </w:style>
  <w:style w:type="character" w:customStyle="1" w:styleId="64">
    <w:name w:val="正文文本缩进 3 Char Char"/>
    <w:qFormat/>
    <w:uiPriority w:val="0"/>
    <w:rPr>
      <w:kern w:val="2"/>
      <w:sz w:val="16"/>
      <w:szCs w:val="16"/>
      <w:lang w:bidi="ar-SA"/>
    </w:rPr>
  </w:style>
  <w:style w:type="character" w:customStyle="1" w:styleId="65">
    <w:name w:val="文档正文 Char1"/>
    <w:link w:val="66"/>
    <w:qFormat/>
    <w:uiPriority w:val="0"/>
    <w:rPr>
      <w:rFonts w:ascii="Arial Narrow" w:hAnsi="Arial Narrow"/>
      <w:sz w:val="24"/>
      <w:szCs w:val="24"/>
      <w:lang w:val="en-US" w:eastAsia="zh-CN" w:bidi="ar-SA"/>
    </w:rPr>
  </w:style>
  <w:style w:type="paragraph" w:customStyle="1" w:styleId="66">
    <w:name w:val="文档正文"/>
    <w:link w:val="65"/>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7">
    <w:name w:val="正文文本 Char Char"/>
    <w:qFormat/>
    <w:uiPriority w:val="0"/>
    <w:rPr>
      <w:rFonts w:eastAsia="宋体"/>
      <w:kern w:val="2"/>
      <w:sz w:val="21"/>
      <w:szCs w:val="24"/>
      <w:lang w:val="en-US" w:eastAsia="zh-CN" w:bidi="ar-SA"/>
    </w:rPr>
  </w:style>
  <w:style w:type="character" w:customStyle="1" w:styleId="68">
    <w:name w:val="样式 样式 宋体 小四 行距: 1.5 倍行距 + ˎ̥ 黑色 Char Char"/>
    <w:link w:val="69"/>
    <w:qFormat/>
    <w:uiPriority w:val="0"/>
    <w:rPr>
      <w:rFonts w:ascii="Calibri" w:hAnsi="Calibri" w:eastAsia="仿宋_GB2312"/>
      <w:kern w:val="2"/>
      <w:sz w:val="21"/>
      <w:szCs w:val="22"/>
      <w:lang w:val="en-US" w:eastAsia="zh-CN" w:bidi="ar-SA"/>
    </w:rPr>
  </w:style>
  <w:style w:type="paragraph" w:customStyle="1" w:styleId="69">
    <w:name w:val="样式 样式 宋体 小四 行距: 1.5 倍行距 + ˎ̥ 黑色"/>
    <w:basedOn w:val="45"/>
    <w:link w:val="68"/>
    <w:qFormat/>
    <w:uiPriority w:val="0"/>
  </w:style>
  <w:style w:type="character" w:customStyle="1" w:styleId="70">
    <w:name w:val="style71"/>
    <w:qFormat/>
    <w:uiPriority w:val="0"/>
    <w:rPr>
      <w:sz w:val="21"/>
      <w:szCs w:val="21"/>
    </w:rPr>
  </w:style>
  <w:style w:type="character" w:customStyle="1" w:styleId="71">
    <w:name w:val="正文文本缩进 2 Char"/>
    <w:link w:val="26"/>
    <w:qFormat/>
    <w:uiPriority w:val="0"/>
    <w:rPr>
      <w:rFonts w:eastAsia="仿宋_GB2312"/>
      <w:kern w:val="2"/>
      <w:sz w:val="30"/>
      <w:lang w:val="en-US" w:eastAsia="zh-CN" w:bidi="ar-SA"/>
    </w:rPr>
  </w:style>
  <w:style w:type="character" w:customStyle="1" w:styleId="72">
    <w:name w:val="正文文本缩进 3 Char"/>
    <w:link w:val="36"/>
    <w:qFormat/>
    <w:uiPriority w:val="0"/>
    <w:rPr>
      <w:rFonts w:ascii="宋体" w:hAnsi="宋体" w:eastAsia="宋体"/>
      <w:kern w:val="2"/>
      <w:sz w:val="21"/>
      <w:szCs w:val="24"/>
      <w:lang w:val="en-US" w:eastAsia="zh-CN" w:bidi="ar-SA"/>
    </w:rPr>
  </w:style>
  <w:style w:type="character" w:customStyle="1" w:styleId="73">
    <w:name w:val="ca-9"/>
    <w:basedOn w:val="48"/>
    <w:qFormat/>
    <w:uiPriority w:val="0"/>
  </w:style>
  <w:style w:type="character" w:customStyle="1" w:styleId="74">
    <w:name w:val="纯文本 Char"/>
    <w:link w:val="23"/>
    <w:qFormat/>
    <w:uiPriority w:val="0"/>
    <w:rPr>
      <w:rFonts w:ascii="宋体" w:hAnsi="Courier New" w:eastAsia="宋体"/>
      <w:kern w:val="2"/>
      <w:sz w:val="21"/>
      <w:lang w:val="en-US" w:eastAsia="zh-CN" w:bidi="ar-SA"/>
    </w:rPr>
  </w:style>
  <w:style w:type="character" w:customStyle="1" w:styleId="75">
    <w:name w:val="页脚 Char Char"/>
    <w:qFormat/>
    <w:uiPriority w:val="0"/>
    <w:rPr>
      <w:rFonts w:eastAsia="宋体"/>
      <w:sz w:val="18"/>
      <w:szCs w:val="18"/>
      <w:lang w:bidi="ar-SA"/>
    </w:rPr>
  </w:style>
  <w:style w:type="character" w:customStyle="1" w:styleId="76">
    <w:name w:val="正文文本 Char"/>
    <w:link w:val="17"/>
    <w:qFormat/>
    <w:uiPriority w:val="0"/>
    <w:rPr>
      <w:rFonts w:eastAsia="宋体"/>
      <w:kern w:val="2"/>
      <w:sz w:val="21"/>
      <w:szCs w:val="24"/>
      <w:lang w:val="en-US" w:eastAsia="zh-CN" w:bidi="ar-SA"/>
    </w:rPr>
  </w:style>
  <w:style w:type="character" w:customStyle="1" w:styleId="77">
    <w:name w:val="标题 2 Char Char"/>
    <w:qFormat/>
    <w:uiPriority w:val="0"/>
    <w:rPr>
      <w:rFonts w:ascii="Cambria" w:hAnsi="Cambria" w:eastAsia="宋体"/>
      <w:b/>
      <w:bCs/>
      <w:kern w:val="2"/>
      <w:sz w:val="32"/>
      <w:szCs w:val="32"/>
      <w:lang w:val="en-US" w:eastAsia="zh-CN" w:bidi="ar-SA"/>
    </w:rPr>
  </w:style>
  <w:style w:type="character" w:customStyle="1" w:styleId="78">
    <w:name w:val="标题 1 1 Char"/>
    <w:qFormat/>
    <w:uiPriority w:val="0"/>
    <w:rPr>
      <w:rFonts w:ascii="黑体" w:eastAsia="黑体"/>
      <w:bCs/>
      <w:kern w:val="44"/>
      <w:sz w:val="24"/>
      <w:lang w:val="en-US" w:eastAsia="zh-CN" w:bidi="ar-SA"/>
    </w:rPr>
  </w:style>
  <w:style w:type="character" w:customStyle="1" w:styleId="79">
    <w:name w:val="Char Char14"/>
    <w:qFormat/>
    <w:uiPriority w:val="0"/>
    <w:rPr>
      <w:rFonts w:ascii="宋体" w:eastAsia="宋体"/>
      <w:sz w:val="34"/>
      <w:lang w:val="en-US" w:eastAsia="zh-CN" w:bidi="ar-SA"/>
    </w:rPr>
  </w:style>
  <w:style w:type="character" w:customStyle="1" w:styleId="80">
    <w:name w:val="content"/>
    <w:qFormat/>
    <w:uiPriority w:val="0"/>
  </w:style>
  <w:style w:type="character" w:customStyle="1" w:styleId="81">
    <w:name w:val="Char Char5"/>
    <w:qFormat/>
    <w:uiPriority w:val="0"/>
    <w:rPr>
      <w:rFonts w:eastAsia="宋体"/>
      <w:kern w:val="2"/>
      <w:sz w:val="18"/>
      <w:lang w:val="en-US" w:eastAsia="zh-CN" w:bidi="ar-SA"/>
    </w:rPr>
  </w:style>
  <w:style w:type="character" w:customStyle="1" w:styleId="82">
    <w:name w:val="c_666"/>
    <w:basedOn w:val="48"/>
    <w:qFormat/>
    <w:uiPriority w:val="0"/>
  </w:style>
  <w:style w:type="character" w:customStyle="1" w:styleId="83">
    <w:name w:val="ALT+Z Char"/>
    <w:qFormat/>
    <w:uiPriority w:val="0"/>
    <w:rPr>
      <w:rFonts w:ascii="宋体"/>
      <w:sz w:val="34"/>
    </w:rPr>
  </w:style>
  <w:style w:type="character" w:customStyle="1" w:styleId="84">
    <w:name w:val="正文（缩进） Char Char"/>
    <w:link w:val="85"/>
    <w:qFormat/>
    <w:uiPriority w:val="0"/>
    <w:rPr>
      <w:rFonts w:eastAsia="宋体"/>
      <w:kern w:val="2"/>
      <w:sz w:val="24"/>
      <w:szCs w:val="24"/>
      <w:lang w:val="en-US" w:eastAsia="zh-CN" w:bidi="ar-SA"/>
    </w:rPr>
  </w:style>
  <w:style w:type="paragraph" w:customStyle="1" w:styleId="85">
    <w:name w:val="正文（缩进）"/>
    <w:basedOn w:val="1"/>
    <w:link w:val="84"/>
    <w:qFormat/>
    <w:uiPriority w:val="0"/>
    <w:pPr>
      <w:spacing w:beforeLines="50" w:afterLines="50" w:line="360" w:lineRule="auto"/>
      <w:ind w:firstLine="480" w:firstLineChars="200"/>
    </w:pPr>
    <w:rPr>
      <w:sz w:val="24"/>
    </w:rPr>
  </w:style>
  <w:style w:type="character" w:customStyle="1" w:styleId="86">
    <w:name w:val="批注框文本 Char"/>
    <w:link w:val="27"/>
    <w:qFormat/>
    <w:uiPriority w:val="0"/>
    <w:rPr>
      <w:rFonts w:eastAsia="宋体"/>
      <w:kern w:val="2"/>
      <w:sz w:val="18"/>
      <w:szCs w:val="18"/>
      <w:lang w:val="en-US" w:eastAsia="zh-CN" w:bidi="ar-SA"/>
    </w:rPr>
  </w:style>
  <w:style w:type="character" w:customStyle="1" w:styleId="87">
    <w:name w:val="表格内容"/>
    <w:qFormat/>
    <w:uiPriority w:val="0"/>
    <w:rPr>
      <w:sz w:val="24"/>
    </w:rPr>
  </w:style>
  <w:style w:type="character" w:customStyle="1" w:styleId="88">
    <w:name w:val="ca-8"/>
    <w:basedOn w:val="48"/>
    <w:qFormat/>
    <w:uiPriority w:val="0"/>
  </w:style>
  <w:style w:type="character" w:customStyle="1" w:styleId="89">
    <w:name w:val="不明显参考1"/>
    <w:qFormat/>
    <w:uiPriority w:val="0"/>
    <w:rPr>
      <w:smallCaps/>
      <w:color w:val="C0504D"/>
      <w:u w:val="single"/>
    </w:rPr>
  </w:style>
  <w:style w:type="character" w:customStyle="1" w:styleId="90">
    <w:name w:val="标题 9 Char"/>
    <w:link w:val="11"/>
    <w:qFormat/>
    <w:uiPriority w:val="0"/>
    <w:rPr>
      <w:rFonts w:ascii="Arial" w:hAnsi="Arial" w:eastAsia="黑体"/>
      <w:kern w:val="2"/>
      <w:sz w:val="21"/>
      <w:lang w:val="en-US" w:eastAsia="zh-CN" w:bidi="ar-SA"/>
    </w:rPr>
  </w:style>
  <w:style w:type="character" w:customStyle="1" w:styleId="91">
    <w:name w:val="标题 6 Char"/>
    <w:link w:val="8"/>
    <w:qFormat/>
    <w:uiPriority w:val="0"/>
    <w:rPr>
      <w:rFonts w:ascii="Arial" w:hAnsi="Arial" w:eastAsia="黑体"/>
      <w:b/>
      <w:kern w:val="2"/>
      <w:sz w:val="24"/>
      <w:lang w:val="en-US" w:eastAsia="zh-CN" w:bidi="ar-SA"/>
    </w:rPr>
  </w:style>
  <w:style w:type="character" w:customStyle="1" w:styleId="92">
    <w:name w:val="ca-10"/>
    <w:basedOn w:val="48"/>
    <w:qFormat/>
    <w:uiPriority w:val="0"/>
  </w:style>
  <w:style w:type="character" w:customStyle="1" w:styleId="93">
    <w:name w:val="标题 4 Char"/>
    <w:link w:val="6"/>
    <w:qFormat/>
    <w:uiPriority w:val="0"/>
    <w:rPr>
      <w:rFonts w:ascii="Arial" w:hAnsi="Arial" w:eastAsia="黑体"/>
      <w:b/>
      <w:kern w:val="2"/>
      <w:sz w:val="28"/>
      <w:lang w:val="en-US" w:eastAsia="zh-CN" w:bidi="ar-SA"/>
    </w:rPr>
  </w:style>
  <w:style w:type="character" w:customStyle="1" w:styleId="94">
    <w:name w:val="批注文字 Char Char"/>
    <w:qFormat/>
    <w:uiPriority w:val="0"/>
    <w:rPr>
      <w:kern w:val="2"/>
      <w:sz w:val="21"/>
      <w:lang w:bidi="ar-SA"/>
    </w:rPr>
  </w:style>
  <w:style w:type="character" w:customStyle="1" w:styleId="95">
    <w:name w:val="style18"/>
    <w:qFormat/>
    <w:uiPriority w:val="0"/>
  </w:style>
  <w:style w:type="character" w:customStyle="1" w:styleId="96">
    <w:name w:val="font21"/>
    <w:basedOn w:val="48"/>
    <w:qFormat/>
    <w:uiPriority w:val="0"/>
    <w:rPr>
      <w:rFonts w:hint="default" w:ascii="Arial" w:hAnsi="Arial" w:cs="Arial"/>
      <w:color w:val="000000"/>
      <w:sz w:val="24"/>
      <w:szCs w:val="24"/>
      <w:u w:val="none"/>
    </w:rPr>
  </w:style>
  <w:style w:type="character" w:customStyle="1" w:styleId="97">
    <w:name w:val="ca-11"/>
    <w:basedOn w:val="48"/>
    <w:qFormat/>
    <w:uiPriority w:val="0"/>
  </w:style>
  <w:style w:type="character" w:customStyle="1" w:styleId="98">
    <w:name w:val="标题 8 Char"/>
    <w:link w:val="10"/>
    <w:qFormat/>
    <w:uiPriority w:val="0"/>
    <w:rPr>
      <w:rFonts w:ascii="Arial" w:hAnsi="Arial" w:eastAsia="黑体"/>
      <w:kern w:val="2"/>
      <w:sz w:val="24"/>
      <w:lang w:val="en-US" w:eastAsia="zh-CN" w:bidi="ar-SA"/>
    </w:rPr>
  </w:style>
  <w:style w:type="character" w:customStyle="1" w:styleId="99">
    <w:name w:val="类目1 Char Char"/>
    <w:link w:val="100"/>
    <w:qFormat/>
    <w:uiPriority w:val="0"/>
    <w:rPr>
      <w:b/>
      <w:color w:val="17365D"/>
      <w:kern w:val="2"/>
      <w:sz w:val="28"/>
      <w:szCs w:val="28"/>
      <w:lang w:bidi="ar-SA"/>
    </w:rPr>
  </w:style>
  <w:style w:type="paragraph" w:customStyle="1" w:styleId="100">
    <w:name w:val="类目1"/>
    <w:basedOn w:val="1"/>
    <w:link w:val="99"/>
    <w:qFormat/>
    <w:uiPriority w:val="0"/>
    <w:pPr>
      <w:adjustRightInd w:val="0"/>
      <w:snapToGrid w:val="0"/>
      <w:spacing w:line="220" w:lineRule="atLeast"/>
    </w:pPr>
    <w:rPr>
      <w:b/>
      <w:color w:val="17365D"/>
      <w:sz w:val="28"/>
      <w:szCs w:val="28"/>
    </w:rPr>
  </w:style>
  <w:style w:type="character" w:customStyle="1" w:styleId="101">
    <w:name w:val="正文文本 2 Char"/>
    <w:link w:val="39"/>
    <w:qFormat/>
    <w:uiPriority w:val="0"/>
    <w:rPr>
      <w:rFonts w:ascii="仿宋_GB2312" w:eastAsia="仿宋_GB2312"/>
      <w:kern w:val="2"/>
      <w:sz w:val="32"/>
      <w:szCs w:val="24"/>
      <w:lang w:val="en-US" w:eastAsia="zh-CN" w:bidi="ar-SA"/>
    </w:rPr>
  </w:style>
  <w:style w:type="character" w:customStyle="1" w:styleId="102">
    <w:name w:val="标题 2 Char"/>
    <w:link w:val="4"/>
    <w:qFormat/>
    <w:uiPriority w:val="0"/>
    <w:rPr>
      <w:rFonts w:ascii="黑体" w:hAnsi="宋体" w:eastAsia="黑体"/>
      <w:bCs/>
      <w:kern w:val="44"/>
      <w:sz w:val="21"/>
      <w:szCs w:val="24"/>
    </w:rPr>
  </w:style>
  <w:style w:type="character" w:customStyle="1" w:styleId="103">
    <w:name w:val="lineitems1"/>
    <w:qFormat/>
    <w:uiPriority w:val="0"/>
    <w:rPr>
      <w:sz w:val="17"/>
      <w:szCs w:val="17"/>
    </w:rPr>
  </w:style>
  <w:style w:type="character" w:customStyle="1" w:styleId="104">
    <w:name w:val="题注 Char1"/>
    <w:qFormat/>
    <w:uiPriority w:val="0"/>
    <w:rPr>
      <w:rFonts w:ascii="Arial" w:hAnsi="Arial" w:eastAsia="宋体" w:cs="Arial"/>
      <w:kern w:val="2"/>
      <w:lang w:val="en-US" w:eastAsia="zh-CN" w:bidi="ar-SA"/>
    </w:rPr>
  </w:style>
  <w:style w:type="character" w:customStyle="1" w:styleId="105">
    <w:name w:val="标题 3 Char Char"/>
    <w:qFormat/>
    <w:uiPriority w:val="0"/>
    <w:rPr>
      <w:rFonts w:eastAsia="宋体"/>
      <w:b/>
      <w:bCs/>
      <w:kern w:val="2"/>
      <w:sz w:val="32"/>
      <w:szCs w:val="32"/>
      <w:lang w:val="en-US" w:eastAsia="zh-CN" w:bidi="ar-SA"/>
    </w:rPr>
  </w:style>
  <w:style w:type="character" w:customStyle="1" w:styleId="106">
    <w:name w:val="标题 5 Char"/>
    <w:link w:val="7"/>
    <w:qFormat/>
    <w:uiPriority w:val="0"/>
    <w:rPr>
      <w:rFonts w:eastAsia="宋体"/>
      <w:b/>
      <w:kern w:val="2"/>
      <w:sz w:val="28"/>
      <w:lang w:val="en-US" w:eastAsia="zh-CN" w:bidi="ar-SA"/>
    </w:rPr>
  </w:style>
  <w:style w:type="character" w:customStyle="1" w:styleId="107">
    <w:name w:val="p12"/>
    <w:basedOn w:val="48"/>
    <w:qFormat/>
    <w:uiPriority w:val="0"/>
  </w:style>
  <w:style w:type="character" w:customStyle="1" w:styleId="108">
    <w:name w:val="正文缩进 Char2"/>
    <w:link w:val="109"/>
    <w:qFormat/>
    <w:uiPriority w:val="0"/>
    <w:rPr>
      <w:rFonts w:ascii="宋体" w:eastAsia="宋体"/>
      <w:sz w:val="34"/>
      <w:lang w:bidi="ar-SA"/>
    </w:rPr>
  </w:style>
  <w:style w:type="paragraph" w:customStyle="1" w:styleId="109">
    <w:name w:val="Normal Indent1"/>
    <w:basedOn w:val="1"/>
    <w:link w:val="108"/>
    <w:qFormat/>
    <w:uiPriority w:val="0"/>
    <w:pPr>
      <w:autoSpaceDE w:val="0"/>
      <w:autoSpaceDN w:val="0"/>
      <w:adjustRightInd w:val="0"/>
      <w:ind w:firstLine="420"/>
      <w:jc w:val="left"/>
      <w:textAlignment w:val="baseline"/>
    </w:pPr>
    <w:rPr>
      <w:rFonts w:ascii="宋体"/>
      <w:kern w:val="0"/>
      <w:sz w:val="34"/>
      <w:szCs w:val="20"/>
    </w:rPr>
  </w:style>
  <w:style w:type="character" w:customStyle="1" w:styleId="110">
    <w:name w:val="标题 9 Char Char"/>
    <w:qFormat/>
    <w:uiPriority w:val="0"/>
    <w:rPr>
      <w:rFonts w:ascii="Arial" w:hAnsi="Arial" w:eastAsia="黑体"/>
      <w:kern w:val="2"/>
      <w:sz w:val="21"/>
      <w:szCs w:val="21"/>
      <w:lang w:val="en-US" w:eastAsia="zh-CN" w:bidi="ar-SA"/>
    </w:rPr>
  </w:style>
  <w:style w:type="character" w:customStyle="1" w:styleId="111">
    <w:name w:val="标题 7 Char"/>
    <w:link w:val="9"/>
    <w:qFormat/>
    <w:uiPriority w:val="0"/>
    <w:rPr>
      <w:rFonts w:eastAsia="宋体"/>
      <w:b/>
      <w:kern w:val="2"/>
      <w:sz w:val="24"/>
      <w:lang w:val="en-US" w:eastAsia="zh-CN" w:bidi="ar-SA"/>
    </w:rPr>
  </w:style>
  <w:style w:type="character" w:customStyle="1" w:styleId="112">
    <w:name w:val="flname7"/>
    <w:basedOn w:val="48"/>
    <w:qFormat/>
    <w:uiPriority w:val="0"/>
  </w:style>
  <w:style w:type="character" w:customStyle="1" w:styleId="113">
    <w:name w:val="正文缩进 Char"/>
    <w:link w:val="2"/>
    <w:qFormat/>
    <w:uiPriority w:val="0"/>
    <w:rPr>
      <w:rFonts w:ascii="宋体" w:eastAsia="宋体"/>
      <w:sz w:val="34"/>
      <w:lang w:val="en-US" w:eastAsia="zh-CN" w:bidi="ar-SA"/>
    </w:rPr>
  </w:style>
  <w:style w:type="character" w:customStyle="1" w:styleId="114">
    <w:name w:val="样式5 Char Char"/>
    <w:link w:val="115"/>
    <w:qFormat/>
    <w:uiPriority w:val="0"/>
    <w:rPr>
      <w:rFonts w:ascii="宋体" w:hAnsi="宋体" w:eastAsia="宋体" w:cs="Arial"/>
      <w:b/>
      <w:kern w:val="2"/>
      <w:sz w:val="24"/>
      <w:szCs w:val="24"/>
      <w:lang w:val="en-US" w:eastAsia="zh-CN" w:bidi="ar-SA"/>
    </w:rPr>
  </w:style>
  <w:style w:type="paragraph" w:customStyle="1" w:styleId="115">
    <w:name w:val="样式5"/>
    <w:basedOn w:val="1"/>
    <w:link w:val="114"/>
    <w:qFormat/>
    <w:uiPriority w:val="0"/>
    <w:pPr>
      <w:spacing w:line="400" w:lineRule="exact"/>
      <w:ind w:left="482"/>
    </w:pPr>
    <w:rPr>
      <w:rFonts w:ascii="宋体" w:hAnsi="宋体" w:cs="Arial"/>
      <w:b/>
      <w:sz w:val="24"/>
    </w:rPr>
  </w:style>
  <w:style w:type="character" w:customStyle="1" w:styleId="116">
    <w:name w:val="text1"/>
    <w:qFormat/>
    <w:uiPriority w:val="0"/>
    <w:rPr>
      <w:sz w:val="20"/>
      <w:szCs w:val="20"/>
    </w:rPr>
  </w:style>
  <w:style w:type="character" w:customStyle="1" w:styleId="117">
    <w:name w:val="样式2"/>
    <w:qFormat/>
    <w:uiPriority w:val="0"/>
    <w:rPr>
      <w:rFonts w:eastAsia="华文楷体"/>
      <w:b/>
      <w:sz w:val="32"/>
    </w:rPr>
  </w:style>
  <w:style w:type="character" w:customStyle="1" w:styleId="118">
    <w:name w:val="页眉 Char Char"/>
    <w:qFormat/>
    <w:uiPriority w:val="0"/>
    <w:rPr>
      <w:rFonts w:eastAsia="宋体"/>
      <w:sz w:val="18"/>
      <w:szCs w:val="18"/>
      <w:lang w:bidi="ar-SA"/>
    </w:rPr>
  </w:style>
  <w:style w:type="character" w:customStyle="1" w:styleId="119">
    <w:name w:val="标题 3 Char"/>
    <w:link w:val="5"/>
    <w:qFormat/>
    <w:uiPriority w:val="0"/>
    <w:rPr>
      <w:rFonts w:ascii="黑体" w:eastAsia="黑体"/>
      <w:bCs/>
      <w:color w:val="000000"/>
      <w:kern w:val="2"/>
      <w:sz w:val="21"/>
      <w:szCs w:val="24"/>
    </w:rPr>
  </w:style>
  <w:style w:type="character" w:customStyle="1" w:styleId="120">
    <w:name w:val="书籍标题3 Char1"/>
    <w:link w:val="121"/>
    <w:qFormat/>
    <w:uiPriority w:val="0"/>
    <w:rPr>
      <w:b/>
      <w:bCs/>
      <w:spacing w:val="20"/>
      <w:kern w:val="2"/>
      <w:sz w:val="28"/>
      <w:szCs w:val="28"/>
    </w:rPr>
  </w:style>
  <w:style w:type="paragraph" w:customStyle="1" w:styleId="121">
    <w:name w:val="书籍标题3"/>
    <w:basedOn w:val="122"/>
    <w:link w:val="120"/>
    <w:qFormat/>
    <w:uiPriority w:val="0"/>
    <w:pPr>
      <w:numPr>
        <w:ilvl w:val="2"/>
      </w:numPr>
      <w:tabs>
        <w:tab w:val="left" w:pos="840"/>
      </w:tabs>
      <w:outlineLvl w:val="2"/>
    </w:pPr>
    <w:rPr>
      <w:rFonts w:cs="Times New Roman"/>
      <w:sz w:val="28"/>
      <w:szCs w:val="28"/>
    </w:rPr>
  </w:style>
  <w:style w:type="paragraph" w:customStyle="1" w:styleId="122">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23">
    <w:name w:val="正文文本缩进 Char"/>
    <w:link w:val="18"/>
    <w:qFormat/>
    <w:uiPriority w:val="0"/>
    <w:rPr>
      <w:rFonts w:ascii="仿宋_GB2312" w:eastAsia="仿宋_GB2312"/>
      <w:sz w:val="28"/>
      <w:lang w:val="en-US" w:eastAsia="zh-CN" w:bidi="ar-SA"/>
    </w:rPr>
  </w:style>
  <w:style w:type="character" w:customStyle="1" w:styleId="124">
    <w:name w:val="页眉 Char"/>
    <w:link w:val="29"/>
    <w:qFormat/>
    <w:uiPriority w:val="99"/>
    <w:rPr>
      <w:rFonts w:eastAsia="宋体"/>
      <w:kern w:val="2"/>
      <w:sz w:val="18"/>
      <w:lang w:val="en-US" w:eastAsia="zh-CN" w:bidi="ar-SA"/>
    </w:rPr>
  </w:style>
  <w:style w:type="character" w:customStyle="1" w:styleId="125">
    <w:name w:val="标题 Char"/>
    <w:link w:val="43"/>
    <w:qFormat/>
    <w:uiPriority w:val="0"/>
    <w:rPr>
      <w:rFonts w:ascii="Cambria" w:hAnsi="Cambria"/>
      <w:b/>
      <w:bCs/>
      <w:kern w:val="2"/>
      <w:sz w:val="32"/>
      <w:szCs w:val="32"/>
    </w:rPr>
  </w:style>
  <w:style w:type="character" w:customStyle="1" w:styleId="126">
    <w:name w:val="标题 8 Char Char"/>
    <w:qFormat/>
    <w:uiPriority w:val="0"/>
    <w:rPr>
      <w:rFonts w:ascii="Arial" w:hAnsi="Arial" w:eastAsia="黑体"/>
      <w:kern w:val="2"/>
      <w:sz w:val="24"/>
      <w:szCs w:val="24"/>
      <w:lang w:val="en-US" w:eastAsia="zh-CN" w:bidi="ar-SA"/>
    </w:rPr>
  </w:style>
  <w:style w:type="character" w:customStyle="1" w:styleId="127">
    <w:name w:val="正文文本缩进 2 Char Char"/>
    <w:qFormat/>
    <w:uiPriority w:val="0"/>
    <w:rPr>
      <w:rFonts w:eastAsia="仿宋_GB2312"/>
      <w:sz w:val="30"/>
      <w:lang w:bidi="ar-SA"/>
    </w:rPr>
  </w:style>
  <w:style w:type="character" w:customStyle="1" w:styleId="128">
    <w:name w:val="标题 7 Char Char"/>
    <w:qFormat/>
    <w:uiPriority w:val="0"/>
    <w:rPr>
      <w:rFonts w:eastAsia="宋体"/>
      <w:b/>
      <w:bCs/>
      <w:kern w:val="2"/>
      <w:sz w:val="24"/>
      <w:szCs w:val="24"/>
      <w:lang w:val="en-US" w:eastAsia="zh-CN" w:bidi="ar-SA"/>
    </w:rPr>
  </w:style>
  <w:style w:type="character" w:customStyle="1" w:styleId="129">
    <w:name w:val="HTML 地址 Char"/>
    <w:link w:val="20"/>
    <w:qFormat/>
    <w:uiPriority w:val="0"/>
    <w:rPr>
      <w:i/>
      <w:kern w:val="2"/>
      <w:sz w:val="21"/>
      <w:szCs w:val="24"/>
    </w:rPr>
  </w:style>
  <w:style w:type="character" w:customStyle="1" w:styleId="130">
    <w:name w:val="标题 1 Char"/>
    <w:link w:val="3"/>
    <w:qFormat/>
    <w:uiPriority w:val="0"/>
    <w:rPr>
      <w:rFonts w:ascii="黑体" w:eastAsia="黑体"/>
      <w:bCs/>
      <w:kern w:val="44"/>
      <w:sz w:val="24"/>
      <w:szCs w:val="24"/>
    </w:rPr>
  </w:style>
  <w:style w:type="character" w:customStyle="1" w:styleId="131">
    <w:name w:val="批注文字 Char"/>
    <w:link w:val="16"/>
    <w:qFormat/>
    <w:uiPriority w:val="0"/>
    <w:rPr>
      <w:kern w:val="2"/>
      <w:sz w:val="24"/>
      <w:szCs w:val="24"/>
    </w:rPr>
  </w:style>
  <w:style w:type="character" w:customStyle="1" w:styleId="132">
    <w:name w:val="页脚 Char"/>
    <w:link w:val="28"/>
    <w:qFormat/>
    <w:uiPriority w:val="0"/>
    <w:rPr>
      <w:rFonts w:eastAsia="宋体"/>
      <w:kern w:val="2"/>
      <w:sz w:val="18"/>
      <w:lang w:val="en-US" w:eastAsia="zh-CN" w:bidi="ar-SA"/>
    </w:rPr>
  </w:style>
  <w:style w:type="character" w:customStyle="1" w:styleId="133">
    <w:name w:val="正文首行缩进 Char"/>
    <w:link w:val="44"/>
    <w:qFormat/>
    <w:uiPriority w:val="0"/>
    <w:rPr>
      <w:rFonts w:ascii="Calibri" w:hAnsi="Calibri" w:eastAsia="宋体"/>
      <w:kern w:val="2"/>
      <w:sz w:val="21"/>
      <w:szCs w:val="22"/>
      <w:lang w:val="en-US" w:eastAsia="zh-CN" w:bidi="ar-SA"/>
    </w:rPr>
  </w:style>
  <w:style w:type="character" w:customStyle="1" w:styleId="134">
    <w:name w:val="纯文本 Char Char"/>
    <w:qFormat/>
    <w:uiPriority w:val="0"/>
    <w:rPr>
      <w:rFonts w:ascii="宋体" w:hAnsi="Courier New"/>
      <w:kern w:val="2"/>
      <w:sz w:val="21"/>
      <w:lang w:bidi="ar-SA"/>
    </w:rPr>
  </w:style>
  <w:style w:type="character" w:customStyle="1" w:styleId="135">
    <w:name w:val="HTML 预设格式 Char"/>
    <w:link w:val="40"/>
    <w:qFormat/>
    <w:uiPriority w:val="0"/>
    <w:rPr>
      <w:rFonts w:ascii="黑体" w:hAnsi="Courier New" w:eastAsia="黑体" w:cs="Courier New"/>
      <w:kern w:val="2"/>
      <w:sz w:val="21"/>
      <w:szCs w:val="24"/>
      <w:lang w:val="en-US" w:eastAsia="zh-CN" w:bidi="ar-SA"/>
    </w:rPr>
  </w:style>
  <w:style w:type="character" w:customStyle="1" w:styleId="136">
    <w:name w:val="标题 6 Char Char"/>
    <w:qFormat/>
    <w:uiPriority w:val="0"/>
    <w:rPr>
      <w:rFonts w:ascii="Arial" w:hAnsi="Arial" w:eastAsia="黑体"/>
      <w:b/>
      <w:bCs/>
      <w:kern w:val="2"/>
      <w:sz w:val="24"/>
      <w:szCs w:val="24"/>
      <w:lang w:val="en-US" w:eastAsia="zh-CN" w:bidi="ar-SA"/>
    </w:rPr>
  </w:style>
  <w:style w:type="character" w:customStyle="1" w:styleId="137">
    <w:name w:val="细目1 Char Char"/>
    <w:link w:val="138"/>
    <w:qFormat/>
    <w:uiPriority w:val="0"/>
    <w:rPr>
      <w:b/>
      <w:color w:val="215868"/>
      <w:kern w:val="2"/>
      <w:sz w:val="24"/>
      <w:szCs w:val="24"/>
    </w:rPr>
  </w:style>
  <w:style w:type="paragraph" w:customStyle="1" w:styleId="138">
    <w:name w:val="细目1"/>
    <w:basedOn w:val="1"/>
    <w:link w:val="137"/>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39">
    <w:name w:val="Char Char9"/>
    <w:qFormat/>
    <w:uiPriority w:val="0"/>
    <w:rPr>
      <w:rFonts w:ascii="宋体" w:hAnsi="Courier New" w:eastAsia="宋体"/>
      <w:kern w:val="2"/>
      <w:sz w:val="21"/>
      <w:lang w:val="en-US" w:eastAsia="zh-CN" w:bidi="ar-SA"/>
    </w:rPr>
  </w:style>
  <w:style w:type="character" w:customStyle="1" w:styleId="140">
    <w:name w:val="apple-converted-space"/>
    <w:qFormat/>
    <w:uiPriority w:val="0"/>
    <w:rPr>
      <w:rFonts w:cs="Times New Roman"/>
    </w:rPr>
  </w:style>
  <w:style w:type="paragraph" w:customStyle="1" w:styleId="141">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2">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3">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4">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5">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6">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47">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48">
    <w:name w:val="TOC 标题1"/>
    <w:basedOn w:val="3"/>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49">
    <w:name w:val="默认段落字体 Para Char Char Char Char Char Char Char Char Char Char"/>
    <w:basedOn w:val="1"/>
    <w:qFormat/>
    <w:uiPriority w:val="0"/>
    <w:rPr>
      <w:rFonts w:ascii="Tahoma" w:hAnsi="Tahoma"/>
      <w:sz w:val="24"/>
      <w:szCs w:val="20"/>
    </w:rPr>
  </w:style>
  <w:style w:type="paragraph" w:customStyle="1" w:styleId="150">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1">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2">
    <w:name w:val="字元 字元"/>
    <w:basedOn w:val="1"/>
    <w:qFormat/>
    <w:uiPriority w:val="0"/>
    <w:pPr>
      <w:spacing w:line="360" w:lineRule="auto"/>
      <w:ind w:firstLine="200" w:firstLineChars="200"/>
    </w:pPr>
    <w:rPr>
      <w:rFonts w:ascii="宋体" w:hAnsi="宋体" w:cs="宋体"/>
      <w:sz w:val="24"/>
    </w:rPr>
  </w:style>
  <w:style w:type="paragraph" w:customStyle="1" w:styleId="15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4">
    <w:name w:val="正文序号 4"/>
    <w:basedOn w:val="1"/>
    <w:qFormat/>
    <w:uiPriority w:val="0"/>
    <w:pPr>
      <w:numPr>
        <w:ilvl w:val="3"/>
        <w:numId w:val="7"/>
      </w:numPr>
      <w:tabs>
        <w:tab w:val="left" w:pos="1469"/>
      </w:tabs>
      <w:spacing w:before="60"/>
    </w:pPr>
  </w:style>
  <w:style w:type="paragraph" w:customStyle="1" w:styleId="155">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6">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7">
    <w:name w:val="Char3"/>
    <w:basedOn w:val="1"/>
    <w:qFormat/>
    <w:uiPriority w:val="0"/>
  </w:style>
  <w:style w:type="paragraph" w:customStyle="1" w:styleId="158">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59">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Char28"/>
    <w:basedOn w:val="1"/>
    <w:qFormat/>
    <w:uiPriority w:val="0"/>
    <w:pPr>
      <w:adjustRightInd w:val="0"/>
      <w:spacing w:line="360" w:lineRule="auto"/>
    </w:pPr>
  </w:style>
  <w:style w:type="paragraph" w:customStyle="1" w:styleId="161">
    <w:name w:val="pa-14"/>
    <w:basedOn w:val="1"/>
    <w:qFormat/>
    <w:uiPriority w:val="0"/>
    <w:pPr>
      <w:widowControl/>
      <w:spacing w:before="150" w:after="150"/>
      <w:jc w:val="left"/>
    </w:pPr>
    <w:rPr>
      <w:rFonts w:ascii="宋体" w:hAnsi="宋体" w:cs="宋体"/>
      <w:kern w:val="0"/>
      <w:sz w:val="24"/>
    </w:rPr>
  </w:style>
  <w:style w:type="paragraph" w:customStyle="1" w:styleId="162">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3">
    <w:name w:val="Item List in Table"/>
    <w:basedOn w:val="1"/>
    <w:qFormat/>
    <w:uiPriority w:val="0"/>
    <w:pPr>
      <w:numPr>
        <w:ilvl w:val="0"/>
        <w:numId w:val="8"/>
      </w:numPr>
      <w:jc w:val="left"/>
    </w:pPr>
  </w:style>
  <w:style w:type="paragraph" w:customStyle="1" w:styleId="164">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5">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6">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7">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68">
    <w:name w:val="默认段落字体 Para Char"/>
    <w:basedOn w:val="1"/>
    <w:qFormat/>
    <w:uiPriority w:val="0"/>
    <w:rPr>
      <w:rFonts w:ascii="Tahoma" w:hAnsi="Tahoma"/>
      <w:sz w:val="24"/>
      <w:szCs w:val="20"/>
    </w:rPr>
  </w:style>
  <w:style w:type="paragraph" w:customStyle="1" w:styleId="169">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0">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1">
    <w:name w:val="样式 正文缩进 + 首行缩进:  2 字符"/>
    <w:basedOn w:val="2"/>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2">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3">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5">
    <w:name w:val="p0"/>
    <w:basedOn w:val="1"/>
    <w:qFormat/>
    <w:uiPriority w:val="0"/>
    <w:pPr>
      <w:widowControl/>
    </w:pPr>
    <w:rPr>
      <w:kern w:val="0"/>
      <w:szCs w:val="21"/>
    </w:rPr>
  </w:style>
  <w:style w:type="paragraph" w:customStyle="1" w:styleId="176">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7">
    <w:name w:val="默认段落字体 Para Char Char Char1 Char"/>
    <w:basedOn w:val="45"/>
    <w:qFormat/>
    <w:uiPriority w:val="0"/>
  </w:style>
  <w:style w:type="paragraph" w:customStyle="1" w:styleId="178">
    <w:name w:val="Char1"/>
    <w:basedOn w:val="1"/>
    <w:qFormat/>
    <w:uiPriority w:val="0"/>
    <w:pPr>
      <w:widowControl/>
      <w:spacing w:line="400" w:lineRule="exact"/>
      <w:jc w:val="center"/>
    </w:pPr>
    <w:rPr>
      <w:rFonts w:ascii="Verdana" w:hAnsi="Verdana"/>
      <w:kern w:val="0"/>
      <w:szCs w:val="20"/>
      <w:lang w:eastAsia="en-US"/>
    </w:rPr>
  </w:style>
  <w:style w:type="paragraph" w:customStyle="1" w:styleId="179">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0">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1">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2">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3">
    <w:name w:val="列出段落1"/>
    <w:basedOn w:val="1"/>
    <w:qFormat/>
    <w:uiPriority w:val="0"/>
    <w:pPr>
      <w:ind w:firstLine="200" w:firstLineChars="200"/>
    </w:pPr>
    <w:rPr>
      <w:rFonts w:ascii="Calibri" w:hAnsi="Calibri"/>
      <w:szCs w:val="22"/>
    </w:rPr>
  </w:style>
  <w:style w:type="paragraph" w:customStyle="1" w:styleId="184">
    <w:name w:val="缺省文本"/>
    <w:basedOn w:val="1"/>
    <w:qFormat/>
    <w:uiPriority w:val="0"/>
    <w:pPr>
      <w:autoSpaceDE w:val="0"/>
      <w:autoSpaceDN w:val="0"/>
      <w:adjustRightInd w:val="0"/>
      <w:jc w:val="left"/>
    </w:pPr>
    <w:rPr>
      <w:kern w:val="0"/>
      <w:sz w:val="24"/>
    </w:rPr>
  </w:style>
  <w:style w:type="paragraph" w:customStyle="1" w:styleId="185">
    <w:name w:val="Char Char Char Char Char Char Char Char Char"/>
    <w:basedOn w:val="1"/>
    <w:qFormat/>
    <w:uiPriority w:val="0"/>
    <w:rPr>
      <w:sz w:val="28"/>
    </w:rPr>
  </w:style>
  <w:style w:type="paragraph" w:customStyle="1" w:styleId="186">
    <w:name w:val="书籍标题4"/>
    <w:basedOn w:val="121"/>
    <w:next w:val="1"/>
    <w:qFormat/>
    <w:uiPriority w:val="0"/>
    <w:pPr>
      <w:numPr>
        <w:ilvl w:val="3"/>
      </w:numPr>
      <w:tabs>
        <w:tab w:val="left" w:pos="2160"/>
      </w:tabs>
      <w:ind w:left="2160"/>
      <w:outlineLvl w:val="3"/>
    </w:pPr>
    <w:rPr>
      <w:sz w:val="24"/>
      <w:szCs w:val="24"/>
      <w:lang w:val="zh-CN"/>
    </w:rPr>
  </w:style>
  <w:style w:type="paragraph" w:customStyle="1" w:styleId="18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88">
    <w:name w:val="样式 书籍标题3 + Arial 段前: 1 行 段后: 1 行"/>
    <w:basedOn w:val="121"/>
    <w:qFormat/>
    <w:uiPriority w:val="0"/>
    <w:pPr>
      <w:numPr>
        <w:ilvl w:val="1"/>
        <w:numId w:val="9"/>
      </w:numPr>
      <w:spacing w:beforeLines="0" w:afterLines="0"/>
    </w:pPr>
    <w:rPr>
      <w:rFonts w:ascii="Arial" w:hAnsi="Arial" w:cs="宋体"/>
      <w:b w:val="0"/>
      <w:bCs w:val="0"/>
    </w:rPr>
  </w:style>
  <w:style w:type="paragraph" w:customStyle="1" w:styleId="189">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0">
    <w:name w:val="Char Char Char Char Char Char"/>
    <w:basedOn w:val="1"/>
    <w:qFormat/>
    <w:uiPriority w:val="0"/>
    <w:pPr>
      <w:widowControl/>
      <w:spacing w:after="160" w:line="240" w:lineRule="exact"/>
      <w:jc w:val="left"/>
    </w:pPr>
    <w:rPr>
      <w:sz w:val="32"/>
      <w:szCs w:val="20"/>
    </w:rPr>
  </w:style>
  <w:style w:type="paragraph" w:customStyle="1" w:styleId="191">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2">
    <w:name w:val="List Paragraph"/>
    <w:basedOn w:val="1"/>
    <w:qFormat/>
    <w:uiPriority w:val="0"/>
    <w:pPr>
      <w:ind w:firstLine="420" w:firstLineChars="200"/>
    </w:pPr>
  </w:style>
  <w:style w:type="paragraph" w:customStyle="1" w:styleId="193">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4">
    <w:name w:val="Char1 Char Char Char"/>
    <w:basedOn w:val="1"/>
    <w:qFormat/>
    <w:uiPriority w:val="0"/>
    <w:pPr>
      <w:ind w:left="1365" w:hanging="360"/>
    </w:pPr>
    <w:rPr>
      <w:sz w:val="24"/>
    </w:rPr>
  </w:style>
  <w:style w:type="paragraph" w:customStyle="1" w:styleId="195">
    <w:name w:val="MM Topic 6"/>
    <w:basedOn w:val="8"/>
    <w:qFormat/>
    <w:uiPriority w:val="0"/>
    <w:pPr>
      <w:numPr>
        <w:ilvl w:val="5"/>
        <w:numId w:val="10"/>
      </w:numPr>
      <w:tabs>
        <w:tab w:val="left" w:pos="425"/>
        <w:tab w:val="clear" w:pos="3260"/>
      </w:tabs>
      <w:spacing w:line="319" w:lineRule="auto"/>
    </w:pPr>
    <w:rPr>
      <w:bCs/>
      <w:szCs w:val="24"/>
    </w:rPr>
  </w:style>
  <w:style w:type="paragraph" w:customStyle="1" w:styleId="196">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7">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198">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9">
    <w:name w:val="样式 标题 4Alt+41.1.1.1 Heading 4bulletblbbH44h4H41h41H42... Char"/>
    <w:basedOn w:val="6"/>
    <w:qFormat/>
    <w:uiPriority w:val="0"/>
    <w:pPr>
      <w:tabs>
        <w:tab w:val="left" w:pos="1914"/>
      </w:tabs>
      <w:spacing w:before="120" w:after="120"/>
      <w:ind w:left="1914" w:hanging="864"/>
    </w:pPr>
    <w:rPr>
      <w:rFonts w:ascii="宋体" w:hAnsi="宋体"/>
      <w:bCs/>
      <w:color w:val="000000"/>
      <w:szCs w:val="28"/>
    </w:rPr>
  </w:style>
  <w:style w:type="paragraph" w:customStyle="1" w:styleId="200">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1">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2">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3">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4">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5">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6">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7">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08">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09">
    <w:name w:val="特点标题"/>
    <w:basedOn w:val="1"/>
    <w:next w:val="36"/>
    <w:qFormat/>
    <w:uiPriority w:val="0"/>
    <w:pPr>
      <w:adjustRightInd w:val="0"/>
      <w:spacing w:line="360" w:lineRule="auto"/>
      <w:ind w:firstLine="482"/>
      <w:textAlignment w:val="baseline"/>
    </w:pPr>
    <w:rPr>
      <w:rFonts w:ascii="宋体" w:hAnsi="宋体"/>
      <w:kern w:val="0"/>
      <w:sz w:val="24"/>
    </w:rPr>
  </w:style>
  <w:style w:type="paragraph" w:customStyle="1" w:styleId="210">
    <w:name w:val="pa-13"/>
    <w:basedOn w:val="1"/>
    <w:qFormat/>
    <w:uiPriority w:val="0"/>
    <w:pPr>
      <w:widowControl/>
      <w:spacing w:before="150" w:after="150"/>
      <w:jc w:val="left"/>
    </w:pPr>
    <w:rPr>
      <w:rFonts w:ascii="宋体" w:hAnsi="宋体" w:cs="宋体"/>
      <w:kern w:val="0"/>
      <w:sz w:val="24"/>
    </w:rPr>
  </w:style>
  <w:style w:type="paragraph" w:customStyle="1" w:styleId="211">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2">
    <w:name w:val="MM Topic 1"/>
    <w:basedOn w:val="3"/>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3">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4">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6">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7">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1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19">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0">
    <w:name w:val="样式 标题 3"/>
    <w:basedOn w:val="5"/>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1">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2">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3">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4">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5">
    <w:name w:val="Char1 Char Char Char1"/>
    <w:basedOn w:val="1"/>
    <w:qFormat/>
    <w:uiPriority w:val="0"/>
    <w:pPr>
      <w:tabs>
        <w:tab w:val="left" w:pos="425"/>
      </w:tabs>
      <w:ind w:left="425" w:hanging="425"/>
    </w:pPr>
    <w:rPr>
      <w:sz w:val="24"/>
    </w:rPr>
  </w:style>
  <w:style w:type="paragraph" w:customStyle="1" w:styleId="22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7">
    <w:name w:val="Char"/>
    <w:basedOn w:val="1"/>
    <w:qFormat/>
    <w:uiPriority w:val="0"/>
    <w:pPr>
      <w:tabs>
        <w:tab w:val="left" w:pos="1365"/>
      </w:tabs>
      <w:ind w:left="1365" w:hanging="360"/>
    </w:pPr>
    <w:rPr>
      <w:sz w:val="24"/>
    </w:rPr>
  </w:style>
  <w:style w:type="paragraph" w:customStyle="1" w:styleId="228">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29">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0">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1">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2">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4">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5">
    <w:name w:val="样式1"/>
    <w:next w:val="15"/>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6">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7">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38">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39">
    <w:name w:val="Char Char Char Char Char Char Char Char Char1"/>
    <w:basedOn w:val="1"/>
    <w:qFormat/>
    <w:uiPriority w:val="0"/>
    <w:pPr>
      <w:widowControl/>
      <w:spacing w:after="160" w:line="240" w:lineRule="exact"/>
      <w:jc w:val="left"/>
    </w:pPr>
  </w:style>
  <w:style w:type="paragraph" w:customStyle="1" w:styleId="240">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3">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4">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5">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6">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7">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8">
    <w:name w:val="MM Topic 2"/>
    <w:basedOn w:val="4"/>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49">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0">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1">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2">
    <w:name w:val="font6"/>
    <w:basedOn w:val="1"/>
    <w:qFormat/>
    <w:uiPriority w:val="0"/>
    <w:pPr>
      <w:widowControl/>
      <w:spacing w:before="100" w:beforeAutospacing="1" w:after="100" w:afterAutospacing="1"/>
      <w:jc w:val="left"/>
    </w:pPr>
    <w:rPr>
      <w:kern w:val="0"/>
      <w:sz w:val="24"/>
    </w:rPr>
  </w:style>
  <w:style w:type="paragraph" w:customStyle="1" w:styleId="253">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4">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5">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6">
    <w:name w:val="样式 首行缩进:  0.85 厘米"/>
    <w:basedOn w:val="1"/>
    <w:qFormat/>
    <w:uiPriority w:val="0"/>
    <w:pPr>
      <w:spacing w:line="360" w:lineRule="auto"/>
      <w:ind w:firstLine="200" w:firstLineChars="200"/>
    </w:pPr>
    <w:rPr>
      <w:rFonts w:cs="宋体"/>
      <w:sz w:val="24"/>
      <w:szCs w:val="20"/>
    </w:rPr>
  </w:style>
  <w:style w:type="paragraph" w:customStyle="1" w:styleId="257">
    <w:name w:val="列举"/>
    <w:basedOn w:val="1"/>
    <w:qFormat/>
    <w:uiPriority w:val="0"/>
    <w:pPr>
      <w:numPr>
        <w:ilvl w:val="0"/>
        <w:numId w:val="15"/>
      </w:numPr>
      <w:spacing w:line="360" w:lineRule="auto"/>
    </w:pPr>
    <w:rPr>
      <w:rFonts w:ascii="宋体"/>
    </w:rPr>
  </w:style>
  <w:style w:type="paragraph" w:customStyle="1" w:styleId="258">
    <w:name w:val="正文1"/>
    <w:basedOn w:val="1"/>
    <w:qFormat/>
    <w:uiPriority w:val="0"/>
    <w:pPr>
      <w:spacing w:line="360" w:lineRule="auto"/>
    </w:pPr>
    <w:rPr>
      <w:rFonts w:ascii="宋体" w:hAnsi="宋体"/>
      <w:sz w:val="24"/>
    </w:rPr>
  </w:style>
  <w:style w:type="paragraph" w:customStyle="1" w:styleId="259">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0">
    <w:name w:val="正文缩进2字符"/>
    <w:basedOn w:val="44"/>
    <w:qFormat/>
    <w:uiPriority w:val="0"/>
    <w:pPr>
      <w:spacing w:after="0" w:line="360" w:lineRule="auto"/>
      <w:ind w:firstLine="200" w:firstLineChars="200"/>
    </w:pPr>
    <w:rPr>
      <w:sz w:val="24"/>
      <w:szCs w:val="24"/>
    </w:rPr>
  </w:style>
  <w:style w:type="paragraph" w:customStyle="1" w:styleId="261">
    <w:name w:val="font8"/>
    <w:basedOn w:val="1"/>
    <w:qFormat/>
    <w:uiPriority w:val="0"/>
    <w:pPr>
      <w:widowControl/>
      <w:spacing w:before="100" w:beforeAutospacing="1" w:after="100" w:afterAutospacing="1"/>
      <w:jc w:val="left"/>
    </w:pPr>
    <w:rPr>
      <w:kern w:val="0"/>
      <w:sz w:val="20"/>
      <w:szCs w:val="20"/>
    </w:rPr>
  </w:style>
  <w:style w:type="paragraph" w:customStyle="1" w:styleId="262">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3">
    <w:name w:val="pa-3"/>
    <w:basedOn w:val="1"/>
    <w:qFormat/>
    <w:uiPriority w:val="0"/>
    <w:pPr>
      <w:widowControl/>
      <w:spacing w:before="150" w:after="150"/>
      <w:jc w:val="left"/>
    </w:pPr>
    <w:rPr>
      <w:rFonts w:ascii="宋体" w:hAnsi="宋体" w:cs="宋体"/>
      <w:kern w:val="0"/>
      <w:sz w:val="24"/>
    </w:rPr>
  </w:style>
  <w:style w:type="paragraph" w:customStyle="1" w:styleId="264">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5">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6">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7">
    <w:name w:val="列表数字1"/>
    <w:next w:val="44"/>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68">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69">
    <w:name w:val="加点标题"/>
    <w:basedOn w:val="1"/>
    <w:qFormat/>
    <w:uiPriority w:val="0"/>
    <w:pPr>
      <w:numPr>
        <w:ilvl w:val="0"/>
        <w:numId w:val="18"/>
      </w:numPr>
      <w:spacing w:line="360" w:lineRule="auto"/>
    </w:pPr>
    <w:rPr>
      <w:sz w:val="24"/>
    </w:rPr>
  </w:style>
  <w:style w:type="paragraph" w:customStyle="1" w:styleId="270">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1">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2">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3">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4">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5">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6">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7">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8">
    <w:name w:val="MM Topic 3"/>
    <w:basedOn w:val="5"/>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79">
    <w:name w:val="列出段落2"/>
    <w:basedOn w:val="1"/>
    <w:qFormat/>
    <w:uiPriority w:val="0"/>
    <w:pPr>
      <w:ind w:firstLine="420" w:firstLineChars="200"/>
    </w:pPr>
  </w:style>
  <w:style w:type="paragraph" w:customStyle="1" w:styleId="280">
    <w:name w:val="font15"/>
    <w:basedOn w:val="1"/>
    <w:qFormat/>
    <w:uiPriority w:val="0"/>
    <w:pPr>
      <w:widowControl/>
      <w:spacing w:before="100" w:beforeAutospacing="1" w:after="100" w:afterAutospacing="1"/>
      <w:jc w:val="left"/>
    </w:pPr>
    <w:rPr>
      <w:kern w:val="0"/>
      <w:sz w:val="20"/>
      <w:szCs w:val="20"/>
    </w:rPr>
  </w:style>
  <w:style w:type="paragraph" w:customStyle="1" w:styleId="281">
    <w:name w:val="pa-15"/>
    <w:basedOn w:val="1"/>
    <w:qFormat/>
    <w:uiPriority w:val="0"/>
    <w:pPr>
      <w:widowControl/>
      <w:spacing w:before="150" w:after="150"/>
      <w:jc w:val="left"/>
    </w:pPr>
    <w:rPr>
      <w:rFonts w:ascii="宋体" w:hAnsi="宋体" w:cs="宋体"/>
      <w:kern w:val="0"/>
      <w:sz w:val="24"/>
    </w:rPr>
  </w:style>
  <w:style w:type="paragraph" w:customStyle="1" w:styleId="282">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4">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5">
    <w:name w:val="Char Char3 Char Char"/>
    <w:basedOn w:val="1"/>
    <w:qFormat/>
    <w:uiPriority w:val="0"/>
    <w:pPr>
      <w:spacing w:line="360" w:lineRule="auto"/>
      <w:ind w:firstLine="200" w:firstLineChars="200"/>
    </w:pPr>
    <w:rPr>
      <w:rFonts w:ascii="宋体" w:hAnsi="宋体" w:cs="宋体"/>
      <w:sz w:val="24"/>
    </w:rPr>
  </w:style>
  <w:style w:type="paragraph" w:customStyle="1" w:styleId="286">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7">
    <w:name w:val="正文序号 2"/>
    <w:basedOn w:val="1"/>
    <w:qFormat/>
    <w:uiPriority w:val="0"/>
    <w:pPr>
      <w:numPr>
        <w:ilvl w:val="1"/>
        <w:numId w:val="7"/>
      </w:numPr>
      <w:tabs>
        <w:tab w:val="left" w:pos="1049"/>
      </w:tabs>
      <w:spacing w:before="60"/>
    </w:pPr>
  </w:style>
  <w:style w:type="paragraph" w:customStyle="1" w:styleId="288">
    <w:name w:val="样式 样式 标题 4Alt+41.1.1.1 Heading 4bulletblbbH44h4H41h41H42... + 自动..."/>
    <w:basedOn w:val="199"/>
    <w:qFormat/>
    <w:uiPriority w:val="0"/>
    <w:pPr>
      <w:numPr>
        <w:ilvl w:val="3"/>
        <w:numId w:val="20"/>
      </w:numPr>
      <w:tabs>
        <w:tab w:val="clear" w:pos="1914"/>
      </w:tabs>
    </w:pPr>
    <w:rPr>
      <w:color w:val="auto"/>
    </w:rPr>
  </w:style>
  <w:style w:type="paragraph" w:styleId="289">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0">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1">
    <w:name w:val="MM Topic 5"/>
    <w:basedOn w:val="7"/>
    <w:qFormat/>
    <w:uiPriority w:val="0"/>
    <w:pPr>
      <w:numPr>
        <w:ilvl w:val="4"/>
        <w:numId w:val="10"/>
      </w:numPr>
      <w:tabs>
        <w:tab w:val="left" w:pos="425"/>
        <w:tab w:val="clear" w:pos="2551"/>
      </w:tabs>
    </w:pPr>
    <w:rPr>
      <w:bCs/>
      <w:szCs w:val="28"/>
    </w:rPr>
  </w:style>
  <w:style w:type="paragraph" w:customStyle="1" w:styleId="292">
    <w:name w:val="正文文本样式"/>
    <w:basedOn w:val="1"/>
    <w:qFormat/>
    <w:uiPriority w:val="0"/>
    <w:pPr>
      <w:spacing w:line="360" w:lineRule="auto"/>
      <w:ind w:firstLine="482"/>
    </w:pPr>
    <w:rPr>
      <w:rFonts w:cs="宋体"/>
      <w:sz w:val="24"/>
      <w:szCs w:val="20"/>
    </w:rPr>
  </w:style>
  <w:style w:type="paragraph" w:customStyle="1" w:styleId="293">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4">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5">
    <w:name w:val="MM Topic 4"/>
    <w:basedOn w:val="6"/>
    <w:qFormat/>
    <w:uiPriority w:val="0"/>
    <w:pPr>
      <w:numPr>
        <w:ilvl w:val="3"/>
        <w:numId w:val="10"/>
      </w:numPr>
      <w:tabs>
        <w:tab w:val="left" w:pos="425"/>
        <w:tab w:val="clear" w:pos="1984"/>
      </w:tabs>
    </w:pPr>
    <w:rPr>
      <w:bCs/>
      <w:szCs w:val="28"/>
    </w:rPr>
  </w:style>
  <w:style w:type="paragraph" w:customStyle="1" w:styleId="296">
    <w:name w:val="正文序号 3"/>
    <w:basedOn w:val="1"/>
    <w:qFormat/>
    <w:uiPriority w:val="0"/>
    <w:pPr>
      <w:numPr>
        <w:ilvl w:val="2"/>
        <w:numId w:val="7"/>
      </w:numPr>
      <w:tabs>
        <w:tab w:val="left" w:pos="1259"/>
      </w:tabs>
      <w:spacing w:before="60"/>
    </w:pPr>
  </w:style>
  <w:style w:type="paragraph" w:customStyle="1" w:styleId="297">
    <w:name w:val="Char2"/>
    <w:basedOn w:val="1"/>
    <w:qFormat/>
    <w:uiPriority w:val="0"/>
    <w:pPr>
      <w:tabs>
        <w:tab w:val="left" w:pos="425"/>
      </w:tabs>
      <w:ind w:left="425" w:hanging="425"/>
    </w:pPr>
    <w:rPr>
      <w:sz w:val="24"/>
    </w:rPr>
  </w:style>
  <w:style w:type="paragraph" w:customStyle="1" w:styleId="298">
    <w:name w:val="正文序号 1"/>
    <w:basedOn w:val="1"/>
    <w:qFormat/>
    <w:uiPriority w:val="0"/>
    <w:pPr>
      <w:numPr>
        <w:ilvl w:val="0"/>
        <w:numId w:val="7"/>
      </w:numPr>
      <w:tabs>
        <w:tab w:val="left" w:pos="839"/>
      </w:tabs>
      <w:spacing w:before="60"/>
    </w:pPr>
  </w:style>
  <w:style w:type="paragraph" w:customStyle="1" w:styleId="299">
    <w:name w:val="字元 字元1"/>
    <w:basedOn w:val="1"/>
    <w:qFormat/>
    <w:uiPriority w:val="0"/>
    <w:pPr>
      <w:spacing w:line="360" w:lineRule="auto"/>
      <w:ind w:firstLine="200" w:firstLineChars="200"/>
    </w:pPr>
    <w:rPr>
      <w:rFonts w:ascii="宋体" w:hAnsi="宋体" w:cs="宋体"/>
      <w:sz w:val="24"/>
    </w:rPr>
  </w:style>
  <w:style w:type="paragraph" w:customStyle="1" w:styleId="300">
    <w:name w:val="font12"/>
    <w:basedOn w:val="1"/>
    <w:qFormat/>
    <w:uiPriority w:val="0"/>
    <w:pPr>
      <w:widowControl/>
      <w:spacing w:before="100" w:beforeAutospacing="1" w:after="100" w:afterAutospacing="1"/>
      <w:jc w:val="left"/>
    </w:pPr>
    <w:rPr>
      <w:kern w:val="0"/>
      <w:sz w:val="22"/>
      <w:szCs w:val="22"/>
    </w:rPr>
  </w:style>
  <w:style w:type="paragraph" w:customStyle="1" w:styleId="301">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2">
    <w:name w:val="标题 1 Char2"/>
    <w:qFormat/>
    <w:uiPriority w:val="0"/>
    <w:rPr>
      <w:rFonts w:ascii="黑体" w:eastAsia="黑体"/>
      <w:bCs/>
      <w:kern w:val="44"/>
      <w:sz w:val="24"/>
      <w:szCs w:val="24"/>
    </w:rPr>
  </w:style>
  <w:style w:type="character" w:customStyle="1" w:styleId="303">
    <w:name w:val="Font Style17"/>
    <w:qFormat/>
    <w:uiPriority w:val="0"/>
    <w:rPr>
      <w:rFonts w:ascii="黑体" w:eastAsia="黑体" w:cs="黑体"/>
      <w:sz w:val="28"/>
      <w:szCs w:val="28"/>
    </w:rPr>
  </w:style>
  <w:style w:type="character" w:styleId="304">
    <w:name w:val="Placeholder Text"/>
    <w:basedOn w:val="48"/>
    <w:semiHidden/>
    <w:qFormat/>
    <w:uiPriority w:val="99"/>
    <w:rPr>
      <w:color w:val="808080"/>
    </w:rPr>
  </w:style>
  <w:style w:type="character" w:customStyle="1" w:styleId="305">
    <w:name w:val="正文缩进 Char3"/>
    <w:qFormat/>
    <w:uiPriority w:val="0"/>
    <w:rPr>
      <w:rFonts w:ascii="宋体" w:eastAsia="宋体"/>
      <w:sz w:val="34"/>
      <w:lang w:val="en-US" w:eastAsia="zh-CN" w:bidi="ar-SA"/>
    </w:rPr>
  </w:style>
  <w:style w:type="paragraph" w:customStyle="1" w:styleId="306">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character" w:customStyle="1" w:styleId="307">
    <w:name w:val="font01"/>
    <w:basedOn w:val="48"/>
    <w:qFormat/>
    <w:uiPriority w:val="0"/>
    <w:rPr>
      <w:rFonts w:hint="eastAsia" w:ascii="宋体" w:hAnsi="宋体" w:eastAsia="宋体" w:cs="宋体"/>
      <w:b/>
      <w:color w:val="000000"/>
      <w:sz w:val="20"/>
      <w:szCs w:val="20"/>
      <w:u w:val="none"/>
    </w:rPr>
  </w:style>
  <w:style w:type="character" w:customStyle="1" w:styleId="308">
    <w:name w:val="font41"/>
    <w:basedOn w:val="48"/>
    <w:qFormat/>
    <w:uiPriority w:val="0"/>
    <w:rPr>
      <w:rFonts w:hint="eastAsia" w:ascii="宋体" w:hAnsi="宋体" w:eastAsia="宋体" w:cs="宋体"/>
      <w:color w:val="000000"/>
      <w:sz w:val="20"/>
      <w:szCs w:val="20"/>
      <w:u w:val="none"/>
    </w:rPr>
  </w:style>
  <w:style w:type="character" w:customStyle="1" w:styleId="309">
    <w:name w:val="font61"/>
    <w:basedOn w:val="48"/>
    <w:qFormat/>
    <w:uiPriority w:val="0"/>
    <w:rPr>
      <w:rFonts w:hint="eastAsia" w:ascii="宋体" w:hAnsi="宋体" w:eastAsia="宋体" w:cs="宋体"/>
      <w:color w:val="000000"/>
      <w:sz w:val="20"/>
      <w:szCs w:val="20"/>
      <w:u w:val="none"/>
    </w:rPr>
  </w:style>
  <w:style w:type="character" w:customStyle="1" w:styleId="310">
    <w:name w:val="font31"/>
    <w:basedOn w:val="48"/>
    <w:qFormat/>
    <w:uiPriority w:val="0"/>
    <w:rPr>
      <w:rFonts w:hint="eastAsia" w:ascii="宋体" w:hAnsi="宋体" w:eastAsia="宋体" w:cs="宋体"/>
      <w:b/>
      <w:color w:val="000000"/>
      <w:sz w:val="20"/>
      <w:szCs w:val="20"/>
      <w:u w:val="none"/>
    </w:rPr>
  </w:style>
  <w:style w:type="character" w:customStyle="1" w:styleId="311">
    <w:name w:val="font51"/>
    <w:basedOn w:val="4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60</Pages>
  <Words>27064</Words>
  <Characters>28439</Characters>
  <Lines>286</Lines>
  <Paragraphs>80</Paragraphs>
  <TotalTime>69</TotalTime>
  <ScaleCrop>false</ScaleCrop>
  <LinksUpToDate>false</LinksUpToDate>
  <CharactersWithSpaces>33150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2017-11-22T01:06:00Z</dcterms:created>
  <dc:creator>杨佳佳</dc:creator>
  <cp:lastModifiedBy>Administrator</cp:lastModifiedBy>
  <cp:lastPrinted>2023-11-07T08:19:00Z</cp:lastPrinted>
  <dcterms:modified xsi:type="dcterms:W3CDTF">2023-11-28T11:01:22Z</dcterms:modified>
  <dc:title>货物公开招标</dc:title>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26EC757059534CA9AEEB9A8757A90DCE</vt:lpwstr>
  </property>
</Properties>
</file>