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widowControl/>
        <w:adjustRightInd w:val="0"/>
        <w:snapToGrid w:val="0"/>
        <w:spacing w:line="360" w:lineRule="auto"/>
        <w:jc w:val="left"/>
        <w:rPr>
          <w:rFonts w:hAnsi="宋体"/>
          <w:bCs/>
          <w:color w:val="auto"/>
          <w:sz w:val="32"/>
          <w:highlight w:val="none"/>
        </w:rPr>
      </w:pPr>
      <w:r>
        <w:rPr>
          <w:rFonts w:hint="eastAsia" w:ascii="黑体" w:eastAsia="黑体"/>
          <w:bCs/>
          <w:color w:val="auto"/>
          <w:sz w:val="32"/>
          <w:highlight w:val="none"/>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1"/>
                    <a:stretch>
                      <a:fillRect/>
                    </a:stretch>
                  </pic:blipFill>
                  <pic:spPr>
                    <a:xfrm>
                      <a:off x="0" y="0"/>
                      <a:ext cx="2265680" cy="400685"/>
                    </a:xfrm>
                    <a:prstGeom prst="rect">
                      <a:avLst/>
                    </a:prstGeom>
                  </pic:spPr>
                </pic:pic>
              </a:graphicData>
            </a:graphic>
          </wp:inline>
        </w:drawing>
      </w:r>
    </w:p>
    <w:p>
      <w:pPr>
        <w:pStyle w:val="22"/>
        <w:widowControl/>
        <w:adjustRightInd w:val="0"/>
        <w:snapToGrid w:val="0"/>
        <w:spacing w:line="360" w:lineRule="auto"/>
        <w:jc w:val="center"/>
        <w:rPr>
          <w:rFonts w:hAnsi="宋体"/>
          <w:bCs/>
          <w:color w:val="auto"/>
          <w:sz w:val="52"/>
          <w:szCs w:val="52"/>
          <w:highlight w:val="none"/>
        </w:rPr>
      </w:pPr>
    </w:p>
    <w:p>
      <w:pPr>
        <w:pStyle w:val="22"/>
        <w:widowControl/>
        <w:adjustRightInd w:val="0"/>
        <w:snapToGrid w:val="0"/>
        <w:spacing w:line="360" w:lineRule="auto"/>
        <w:jc w:val="center"/>
        <w:rPr>
          <w:rFonts w:hAnsi="宋体"/>
          <w:b/>
          <w:bCs/>
          <w:color w:val="auto"/>
          <w:sz w:val="52"/>
          <w:szCs w:val="52"/>
          <w:highlight w:val="none"/>
        </w:rPr>
      </w:pPr>
      <w:r>
        <w:rPr>
          <w:rFonts w:hint="eastAsia" w:hAnsi="宋体"/>
          <w:b/>
          <w:bCs/>
          <w:color w:val="auto"/>
          <w:sz w:val="52"/>
          <w:szCs w:val="52"/>
          <w:highlight w:val="none"/>
        </w:rPr>
        <w:t>竞争性谈判</w:t>
      </w:r>
    </w:p>
    <w:p>
      <w:pPr>
        <w:pStyle w:val="22"/>
        <w:widowControl/>
        <w:adjustRightInd w:val="0"/>
        <w:snapToGrid w:val="0"/>
        <w:spacing w:line="360" w:lineRule="auto"/>
        <w:jc w:val="center"/>
        <w:rPr>
          <w:rFonts w:hAnsi="宋体"/>
          <w:bCs/>
          <w:color w:val="auto"/>
          <w:sz w:val="72"/>
          <w:szCs w:val="72"/>
          <w:highlight w:val="none"/>
        </w:rPr>
      </w:pPr>
    </w:p>
    <w:p>
      <w:pPr>
        <w:pStyle w:val="22"/>
        <w:widowControl/>
        <w:adjustRightInd w:val="0"/>
        <w:snapToGrid w:val="0"/>
        <w:spacing w:line="360" w:lineRule="auto"/>
        <w:jc w:val="center"/>
        <w:rPr>
          <w:rFonts w:ascii="黑体" w:hAnsi="黑体" w:eastAsia="黑体"/>
          <w:b/>
          <w:bCs/>
          <w:color w:val="auto"/>
          <w:sz w:val="36"/>
          <w:highlight w:val="none"/>
        </w:rPr>
      </w:pPr>
      <w:r>
        <w:rPr>
          <w:rFonts w:hint="eastAsia" w:ascii="黑体" w:hAnsi="黑体" w:eastAsia="黑体"/>
          <w:b/>
          <w:bCs/>
          <w:color w:val="auto"/>
          <w:sz w:val="72"/>
          <w:highlight w:val="none"/>
        </w:rPr>
        <w:t>谈  判  文  件</w:t>
      </w:r>
    </w:p>
    <w:p>
      <w:pPr>
        <w:pStyle w:val="22"/>
        <w:widowControl/>
        <w:adjustRightInd w:val="0"/>
        <w:snapToGrid w:val="0"/>
        <w:spacing w:line="360" w:lineRule="auto"/>
        <w:jc w:val="center"/>
        <w:rPr>
          <w:rFonts w:hAnsi="宋体"/>
          <w:bCs/>
          <w:color w:val="auto"/>
          <w:sz w:val="52"/>
          <w:szCs w:val="52"/>
          <w:highlight w:val="none"/>
        </w:rPr>
      </w:pPr>
    </w:p>
    <w:p>
      <w:pPr>
        <w:pStyle w:val="22"/>
        <w:widowControl/>
        <w:adjustRightInd w:val="0"/>
        <w:snapToGrid w:val="0"/>
        <w:spacing w:line="360" w:lineRule="auto"/>
        <w:jc w:val="center"/>
        <w:rPr>
          <w:rFonts w:hAnsi="宋体"/>
          <w:bCs/>
          <w:color w:val="auto"/>
          <w:sz w:val="52"/>
          <w:szCs w:val="52"/>
          <w:highlight w:val="none"/>
        </w:rPr>
      </w:pPr>
    </w:p>
    <w:p>
      <w:pPr>
        <w:pStyle w:val="22"/>
        <w:widowControl/>
        <w:adjustRightInd w:val="0"/>
        <w:snapToGrid w:val="0"/>
        <w:spacing w:line="360" w:lineRule="auto"/>
        <w:jc w:val="center"/>
        <w:rPr>
          <w:rFonts w:hAnsi="宋体"/>
          <w:bCs/>
          <w:color w:val="auto"/>
          <w:sz w:val="52"/>
          <w:szCs w:val="52"/>
          <w:highlight w:val="none"/>
        </w:rPr>
      </w:pPr>
    </w:p>
    <w:p>
      <w:pPr>
        <w:pStyle w:val="22"/>
        <w:widowControl/>
        <w:adjustRightInd w:val="0"/>
        <w:snapToGrid w:val="0"/>
        <w:spacing w:line="360" w:lineRule="auto"/>
        <w:jc w:val="center"/>
        <w:rPr>
          <w:rFonts w:hAnsi="宋体"/>
          <w:bCs/>
          <w:color w:val="auto"/>
          <w:sz w:val="52"/>
          <w:szCs w:val="52"/>
          <w:highlight w:val="none"/>
        </w:rPr>
      </w:pPr>
    </w:p>
    <w:p>
      <w:pPr>
        <w:pStyle w:val="22"/>
        <w:widowControl/>
        <w:adjustRightInd w:val="0"/>
        <w:snapToGrid w:val="0"/>
        <w:spacing w:line="360" w:lineRule="auto"/>
        <w:rPr>
          <w:rFonts w:hAnsi="宋体"/>
          <w:bCs/>
          <w:color w:val="auto"/>
          <w:sz w:val="52"/>
          <w:szCs w:val="52"/>
          <w:highlight w:val="none"/>
        </w:rPr>
      </w:pPr>
    </w:p>
    <w:tbl>
      <w:tblPr>
        <w:tblStyle w:val="42"/>
        <w:tblW w:w="7572" w:type="dxa"/>
        <w:jc w:val="center"/>
        <w:tblLayout w:type="fixed"/>
        <w:tblCellMar>
          <w:top w:w="0" w:type="dxa"/>
          <w:left w:w="108" w:type="dxa"/>
          <w:bottom w:w="0" w:type="dxa"/>
          <w:right w:w="108" w:type="dxa"/>
        </w:tblCellMar>
      </w:tblPr>
      <w:tblGrid>
        <w:gridCol w:w="1951"/>
        <w:gridCol w:w="284"/>
        <w:gridCol w:w="5337"/>
      </w:tblGrid>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项目编号</w:t>
            </w:r>
          </w:p>
        </w:tc>
        <w:tc>
          <w:tcPr>
            <w:tcW w:w="284" w:type="dxa"/>
          </w:tcPr>
          <w:p>
            <w:pPr>
              <w:pStyle w:val="22"/>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5337" w:type="dxa"/>
            <w:vAlign w:val="center"/>
          </w:tcPr>
          <w:p>
            <w:pPr>
              <w:pStyle w:val="22"/>
              <w:widowControl/>
              <w:adjustRightInd w:val="0"/>
              <w:snapToGrid w:val="0"/>
              <w:spacing w:line="360" w:lineRule="auto"/>
              <w:jc w:val="left"/>
              <w:rPr>
                <w:rFonts w:hint="eastAsia" w:hAnsi="宋体" w:eastAsia="宋体"/>
                <w:b/>
                <w:bCs/>
                <w:color w:val="auto"/>
                <w:sz w:val="28"/>
                <w:szCs w:val="28"/>
                <w:highlight w:val="none"/>
                <w:lang w:eastAsia="zh-CN"/>
              </w:rPr>
            </w:pPr>
            <w:r>
              <w:rPr>
                <w:rFonts w:hint="eastAsia" w:hAnsi="宋体"/>
                <w:b/>
                <w:color w:val="auto"/>
                <w:sz w:val="28"/>
                <w:szCs w:val="28"/>
                <w:highlight w:val="none"/>
                <w:lang w:eastAsia="zh-CN"/>
              </w:rPr>
              <w:t>YXZB-20231115</w:t>
            </w:r>
          </w:p>
        </w:tc>
      </w:tr>
      <w:tr>
        <w:tblPrEx>
          <w:tblCellMar>
            <w:top w:w="0" w:type="dxa"/>
            <w:left w:w="108" w:type="dxa"/>
            <w:bottom w:w="0" w:type="dxa"/>
            <w:right w:w="108" w:type="dxa"/>
          </w:tblCellMar>
        </w:tblPrEx>
        <w:trPr>
          <w:trHeight w:val="77" w:hRule="atLeast"/>
          <w:jc w:val="center"/>
        </w:trPr>
        <w:tc>
          <w:tcPr>
            <w:tcW w:w="1951" w:type="dxa"/>
          </w:tcPr>
          <w:p>
            <w:pPr>
              <w:pStyle w:val="22"/>
              <w:widowControl/>
              <w:adjustRightInd w:val="0"/>
              <w:snapToGrid w:val="0"/>
              <w:spacing w:line="360" w:lineRule="auto"/>
              <w:jc w:val="center"/>
              <w:rPr>
                <w:rFonts w:hAnsi="宋体"/>
                <w:b/>
                <w:bCs/>
                <w:color w:val="auto"/>
                <w:sz w:val="28"/>
                <w:szCs w:val="28"/>
                <w:highlight w:val="none"/>
              </w:rPr>
            </w:pPr>
            <w:r>
              <w:rPr>
                <w:rFonts w:hint="eastAsia" w:hAnsi="宋体"/>
                <w:b/>
                <w:bCs/>
                <w:color w:val="auto"/>
                <w:sz w:val="28"/>
                <w:szCs w:val="28"/>
                <w:highlight w:val="none"/>
              </w:rPr>
              <w:t>项 目 名 称</w:t>
            </w:r>
          </w:p>
        </w:tc>
        <w:tc>
          <w:tcPr>
            <w:tcW w:w="284" w:type="dxa"/>
          </w:tcPr>
          <w:p>
            <w:pPr>
              <w:pStyle w:val="22"/>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5337" w:type="dxa"/>
            <w:vAlign w:val="center"/>
          </w:tcPr>
          <w:p>
            <w:pPr>
              <w:pStyle w:val="22"/>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color w:val="auto"/>
                <w:sz w:val="28"/>
                <w:szCs w:val="28"/>
                <w:highlight w:val="none"/>
                <w:lang w:eastAsia="zh-CN"/>
              </w:rPr>
              <w:t>数字化外呼及短信触达客服项目（一期）</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采购人</w:t>
            </w:r>
          </w:p>
        </w:tc>
        <w:tc>
          <w:tcPr>
            <w:tcW w:w="284" w:type="dxa"/>
          </w:tcPr>
          <w:p>
            <w:pPr>
              <w:pStyle w:val="22"/>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5337" w:type="dxa"/>
            <w:vAlign w:val="center"/>
          </w:tcPr>
          <w:p>
            <w:pPr>
              <w:pStyle w:val="22"/>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深圳市飞信文达科技有限责任公司</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auto"/>
                <w:sz w:val="28"/>
                <w:szCs w:val="28"/>
                <w:highlight w:val="none"/>
              </w:rPr>
            </w:pPr>
            <w:r>
              <w:rPr>
                <w:rFonts w:hint="eastAsia" w:hAnsi="宋体"/>
                <w:b/>
                <w:color w:val="auto"/>
                <w:sz w:val="28"/>
                <w:szCs w:val="28"/>
                <w:highlight w:val="none"/>
              </w:rPr>
              <w:t>采购代理机构</w:t>
            </w:r>
          </w:p>
        </w:tc>
        <w:tc>
          <w:tcPr>
            <w:tcW w:w="284" w:type="dxa"/>
          </w:tcPr>
          <w:p>
            <w:pPr>
              <w:pStyle w:val="22"/>
              <w:widowControl/>
              <w:adjustRightInd w:val="0"/>
              <w:snapToGrid w:val="0"/>
              <w:spacing w:line="360" w:lineRule="auto"/>
              <w:jc w:val="left"/>
              <w:rPr>
                <w:rFonts w:hAnsi="宋体"/>
                <w:b/>
                <w:color w:val="auto"/>
                <w:sz w:val="28"/>
                <w:szCs w:val="28"/>
                <w:highlight w:val="none"/>
              </w:rPr>
            </w:pPr>
            <w:r>
              <w:rPr>
                <w:rFonts w:hint="eastAsia" w:hAnsi="宋体"/>
                <w:b/>
                <w:color w:val="auto"/>
                <w:sz w:val="28"/>
                <w:szCs w:val="28"/>
                <w:highlight w:val="none"/>
              </w:rPr>
              <w:t>：</w:t>
            </w:r>
          </w:p>
        </w:tc>
        <w:tc>
          <w:tcPr>
            <w:tcW w:w="5337" w:type="dxa"/>
            <w:vAlign w:val="center"/>
          </w:tcPr>
          <w:p>
            <w:pPr>
              <w:pStyle w:val="22"/>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广东业信招标有限公司</w:t>
            </w:r>
          </w:p>
        </w:tc>
      </w:tr>
    </w:tbl>
    <w:p>
      <w:pPr>
        <w:pStyle w:val="22"/>
        <w:widowControl/>
        <w:adjustRightInd w:val="0"/>
        <w:snapToGrid w:val="0"/>
        <w:spacing w:line="360" w:lineRule="auto"/>
        <w:jc w:val="center"/>
        <w:rPr>
          <w:rFonts w:hAnsi="宋体"/>
          <w:bCs/>
          <w:color w:val="auto"/>
          <w:sz w:val="24"/>
          <w:szCs w:val="24"/>
          <w:highlight w:val="none"/>
        </w:rPr>
      </w:pPr>
    </w:p>
    <w:p>
      <w:pPr>
        <w:pStyle w:val="22"/>
        <w:widowControl/>
        <w:adjustRightInd w:val="0"/>
        <w:snapToGrid w:val="0"/>
        <w:spacing w:line="360" w:lineRule="auto"/>
        <w:jc w:val="center"/>
        <w:rPr>
          <w:rFonts w:hAnsi="宋体"/>
          <w:b/>
          <w:bCs/>
          <w:color w:val="auto"/>
          <w:sz w:val="24"/>
          <w:szCs w:val="24"/>
          <w:highlight w:val="none"/>
        </w:rPr>
      </w:pPr>
      <w:r>
        <w:rPr>
          <w:rFonts w:hint="eastAsia" w:hAnsi="宋体"/>
          <w:b/>
          <w:bCs/>
          <w:color w:val="auto"/>
          <w:sz w:val="24"/>
          <w:szCs w:val="24"/>
          <w:highlight w:val="none"/>
        </w:rPr>
        <w:t>二○</w:t>
      </w:r>
      <w:r>
        <w:rPr>
          <w:rFonts w:hint="eastAsia" w:hAnsi="宋体"/>
          <w:b/>
          <w:bCs/>
          <w:color w:val="auto"/>
          <w:sz w:val="24"/>
          <w:szCs w:val="24"/>
          <w:highlight w:val="none"/>
          <w:lang w:val="en-US" w:eastAsia="zh-CN"/>
        </w:rPr>
        <w:t>二三</w:t>
      </w:r>
      <w:r>
        <w:rPr>
          <w:rFonts w:hint="eastAsia" w:hAnsi="宋体"/>
          <w:b/>
          <w:bCs/>
          <w:color w:val="auto"/>
          <w:sz w:val="24"/>
          <w:szCs w:val="24"/>
          <w:highlight w:val="none"/>
        </w:rPr>
        <w:t>年</w:t>
      </w:r>
      <w:r>
        <w:rPr>
          <w:rFonts w:hint="eastAsia" w:hAnsi="宋体"/>
          <w:b/>
          <w:bCs/>
          <w:color w:val="auto"/>
          <w:sz w:val="24"/>
          <w:szCs w:val="24"/>
          <w:highlight w:val="none"/>
          <w:lang w:val="en-US" w:eastAsia="zh-CN"/>
        </w:rPr>
        <w:t>十一</w:t>
      </w:r>
      <w:r>
        <w:rPr>
          <w:rFonts w:hint="eastAsia" w:hAnsi="宋体"/>
          <w:b/>
          <w:bCs/>
          <w:color w:val="auto"/>
          <w:sz w:val="24"/>
          <w:szCs w:val="24"/>
          <w:highlight w:val="none"/>
        </w:rPr>
        <w:t>月</w:t>
      </w:r>
    </w:p>
    <w:p>
      <w:pPr>
        <w:spacing w:beforeLines="50" w:afterLines="50" w:line="360" w:lineRule="auto"/>
        <w:jc w:val="center"/>
        <w:rPr>
          <w:rFonts w:ascii="宋体" w:hAnsi="宋体"/>
          <w:b/>
          <w:color w:val="auto"/>
          <w:sz w:val="36"/>
          <w:highlight w:val="none"/>
        </w:rPr>
      </w:pPr>
      <w:r>
        <w:rPr>
          <w:rFonts w:hint="eastAsia" w:ascii="宋体" w:hAnsi="宋体"/>
          <w:b/>
          <w:color w:val="auto"/>
          <w:sz w:val="36"/>
          <w:highlight w:val="none"/>
        </w:rPr>
        <w:t>温馨提示：特别注意事项</w:t>
      </w:r>
    </w:p>
    <w:p>
      <w:pPr>
        <w:numPr>
          <w:ilvl w:val="0"/>
          <w:numId w:val="6"/>
        </w:numPr>
        <w:spacing w:line="480" w:lineRule="exact"/>
        <w:ind w:left="709" w:hanging="709"/>
        <w:rPr>
          <w:rFonts w:ascii="宋体" w:hAnsi="宋体"/>
          <w:color w:val="auto"/>
          <w:szCs w:val="21"/>
          <w:highlight w:val="none"/>
        </w:rPr>
      </w:pPr>
      <w:r>
        <w:rPr>
          <w:rFonts w:ascii="宋体" w:hAnsi="宋体"/>
          <w:color w:val="auto"/>
          <w:szCs w:val="21"/>
          <w:highlight w:val="none"/>
        </w:rPr>
        <w:t>请供应商特别留意谈判文件上注明的投标截止和开标时间，逾期送达或邮寄送达的谈判文件</w:t>
      </w:r>
      <w:r>
        <w:rPr>
          <w:rFonts w:hint="eastAsia" w:ascii="宋体" w:hAnsi="宋体"/>
          <w:color w:val="auto"/>
          <w:szCs w:val="21"/>
          <w:highlight w:val="none"/>
        </w:rPr>
        <w:t>，招标采购单位</w:t>
      </w:r>
      <w:r>
        <w:rPr>
          <w:rFonts w:ascii="宋体" w:hAnsi="宋体"/>
          <w:color w:val="auto"/>
          <w:szCs w:val="21"/>
          <w:highlight w:val="none"/>
        </w:rPr>
        <w:t>恕不接收。因此，请供应商适当提前到达</w:t>
      </w:r>
      <w:r>
        <w:rPr>
          <w:rFonts w:hint="eastAsia" w:ascii="宋体" w:hAnsi="宋体"/>
          <w:color w:val="auto"/>
          <w:szCs w:val="21"/>
          <w:highlight w:val="none"/>
        </w:rPr>
        <w:t>开标</w:t>
      </w:r>
      <w:r>
        <w:rPr>
          <w:rFonts w:hint="eastAsia" w:ascii="宋体" w:hAnsi="宋体"/>
          <w:color w:val="auto"/>
          <w:szCs w:val="21"/>
          <w:highlight w:val="none"/>
          <w:lang w:val="en-US" w:eastAsia="zh-CN"/>
        </w:rPr>
        <w:t>现场</w:t>
      </w:r>
      <w:r>
        <w:rPr>
          <w:rFonts w:ascii="宋体" w:hAnsi="宋体"/>
          <w:color w:val="auto"/>
          <w:szCs w:val="21"/>
          <w:highlight w:val="none"/>
        </w:rPr>
        <w:t>。</w:t>
      </w:r>
    </w:p>
    <w:p>
      <w:pPr>
        <w:numPr>
          <w:ilvl w:val="0"/>
          <w:numId w:val="6"/>
        </w:numPr>
        <w:spacing w:line="480" w:lineRule="exact"/>
        <w:ind w:left="709" w:hanging="709"/>
        <w:rPr>
          <w:rFonts w:ascii="宋体" w:hAnsi="宋体"/>
          <w:b/>
          <w:color w:val="auto"/>
          <w:szCs w:val="21"/>
          <w:highlight w:val="none"/>
          <w:u w:val="single"/>
        </w:rPr>
      </w:pPr>
      <w:r>
        <w:rPr>
          <w:rFonts w:hint="eastAsia" w:ascii="宋体" w:hAnsi="宋体"/>
          <w:b/>
          <w:color w:val="auto"/>
          <w:szCs w:val="21"/>
          <w:highlight w:val="none"/>
          <w:u w:val="single"/>
        </w:rPr>
        <w:t>参与投标且尚未在广东省政府采购网登记注册的供应商，应在报名成功后登录广东省政府采购网进行注册，注册过程中如有任何疑问，可咨询广东省政府采购网技术部。</w:t>
      </w:r>
    </w:p>
    <w:p>
      <w:pPr>
        <w:numPr>
          <w:ilvl w:val="0"/>
          <w:numId w:val="6"/>
        </w:numPr>
        <w:spacing w:line="480" w:lineRule="exact"/>
        <w:ind w:left="709" w:hanging="709"/>
        <w:rPr>
          <w:rFonts w:ascii="宋体" w:hAnsi="宋体"/>
          <w:color w:val="auto"/>
          <w:szCs w:val="21"/>
          <w:highlight w:val="none"/>
        </w:rPr>
      </w:pPr>
      <w:r>
        <w:rPr>
          <w:rFonts w:ascii="宋体" w:hAnsi="宋体"/>
          <w:b/>
          <w:color w:val="auto"/>
          <w:szCs w:val="21"/>
          <w:highlight w:val="none"/>
          <w:u w:val="single"/>
        </w:rPr>
        <w:t>谈判文件中标有“★”的</w:t>
      </w:r>
      <w:r>
        <w:rPr>
          <w:rFonts w:hint="eastAsia" w:ascii="宋体" w:hAnsi="宋体"/>
          <w:b/>
          <w:color w:val="auto"/>
          <w:szCs w:val="21"/>
          <w:highlight w:val="none"/>
          <w:u w:val="single"/>
        </w:rPr>
        <w:t>条款</w:t>
      </w:r>
      <w:r>
        <w:rPr>
          <w:rFonts w:ascii="宋体" w:hAnsi="宋体"/>
          <w:b/>
          <w:color w:val="auto"/>
          <w:szCs w:val="21"/>
          <w:highlight w:val="none"/>
          <w:u w:val="single"/>
        </w:rPr>
        <w:t>，</w:t>
      </w:r>
      <w:r>
        <w:rPr>
          <w:rFonts w:hint="eastAsia" w:ascii="宋体" w:hAnsi="宋体"/>
          <w:b/>
          <w:color w:val="auto"/>
          <w:szCs w:val="21"/>
          <w:highlight w:val="none"/>
          <w:u w:val="single"/>
        </w:rPr>
        <w:t>供应商</w:t>
      </w:r>
      <w:r>
        <w:rPr>
          <w:rFonts w:ascii="宋体" w:hAnsi="宋体"/>
          <w:b/>
          <w:color w:val="auto"/>
          <w:szCs w:val="21"/>
          <w:highlight w:val="none"/>
          <w:u w:val="single"/>
        </w:rPr>
        <w:t>必须一一响应</w:t>
      </w:r>
      <w:r>
        <w:rPr>
          <w:rFonts w:ascii="宋体" w:hAnsi="宋体"/>
          <w:color w:val="auto"/>
          <w:szCs w:val="21"/>
          <w:highlight w:val="none"/>
        </w:rPr>
        <w:t>。</w:t>
      </w:r>
      <w:r>
        <w:rPr>
          <w:rFonts w:ascii="宋体" w:hAnsi="宋体"/>
          <w:b/>
          <w:color w:val="auto"/>
          <w:szCs w:val="21"/>
          <w:highlight w:val="none"/>
          <w:u w:val="single"/>
        </w:rPr>
        <w:t>若有一项带“★”的指标要求未响应或不满足，</w:t>
      </w:r>
      <w:r>
        <w:rPr>
          <w:rFonts w:hint="eastAsia" w:ascii="宋体" w:hAnsi="宋体"/>
          <w:b/>
          <w:color w:val="auto"/>
          <w:szCs w:val="21"/>
          <w:highlight w:val="none"/>
          <w:u w:val="single"/>
        </w:rPr>
        <w:t>其投标</w:t>
      </w:r>
      <w:r>
        <w:rPr>
          <w:rFonts w:ascii="宋体" w:hAnsi="宋体"/>
          <w:b/>
          <w:color w:val="auto"/>
          <w:szCs w:val="21"/>
          <w:highlight w:val="none"/>
          <w:u w:val="single"/>
        </w:rPr>
        <w:t>将按无效投标处理。</w:t>
      </w:r>
    </w:p>
    <w:p>
      <w:pPr>
        <w:numPr>
          <w:ilvl w:val="0"/>
          <w:numId w:val="6"/>
        </w:numPr>
        <w:spacing w:line="480" w:lineRule="exact"/>
        <w:ind w:left="709" w:hanging="709"/>
        <w:rPr>
          <w:rFonts w:ascii="宋体" w:hAnsi="宋体"/>
          <w:color w:val="auto"/>
          <w:szCs w:val="21"/>
          <w:highlight w:val="none"/>
        </w:rPr>
      </w:pPr>
      <w:r>
        <w:rPr>
          <w:rFonts w:ascii="宋体" w:hAnsi="宋体"/>
          <w:color w:val="auto"/>
          <w:szCs w:val="21"/>
          <w:highlight w:val="none"/>
        </w:rPr>
        <w:t>请仔细检查《投标函》、</w:t>
      </w:r>
      <w:r>
        <w:rPr>
          <w:rFonts w:hint="eastAsia" w:ascii="宋体" w:hAnsi="宋体"/>
          <w:color w:val="auto"/>
          <w:szCs w:val="21"/>
          <w:highlight w:val="none"/>
        </w:rPr>
        <w:t>《法定代表人（负责人）证明书》、</w:t>
      </w:r>
      <w:r>
        <w:rPr>
          <w:rFonts w:ascii="宋体" w:hAnsi="宋体"/>
          <w:color w:val="auto"/>
          <w:szCs w:val="21"/>
          <w:highlight w:val="none"/>
        </w:rPr>
        <w:t>《</w:t>
      </w:r>
      <w:r>
        <w:rPr>
          <w:rFonts w:hint="eastAsia" w:ascii="宋体" w:hAnsi="宋体"/>
          <w:color w:val="auto"/>
          <w:szCs w:val="21"/>
          <w:highlight w:val="none"/>
        </w:rPr>
        <w:t>法定代表人（负责人）</w:t>
      </w:r>
      <w:r>
        <w:rPr>
          <w:rFonts w:ascii="宋体" w:hAnsi="宋体"/>
          <w:color w:val="auto"/>
          <w:szCs w:val="21"/>
          <w:highlight w:val="none"/>
        </w:rPr>
        <w:t>授权书》等重要格式文件是否有按要求盖公章或签名</w:t>
      </w:r>
      <w:r>
        <w:rPr>
          <w:rFonts w:hint="eastAsia" w:ascii="宋体" w:hAnsi="宋体" w:cs="Tahoma"/>
          <w:bCs/>
          <w:color w:val="auto"/>
          <w:szCs w:val="21"/>
          <w:highlight w:val="none"/>
        </w:rPr>
        <w:t>。</w:t>
      </w:r>
    </w:p>
    <w:p>
      <w:pPr>
        <w:numPr>
          <w:ilvl w:val="0"/>
          <w:numId w:val="6"/>
        </w:numPr>
        <w:spacing w:line="480" w:lineRule="exact"/>
        <w:ind w:left="709" w:hanging="709"/>
        <w:rPr>
          <w:rFonts w:ascii="宋体" w:hAnsi="宋体"/>
          <w:color w:val="auto"/>
          <w:szCs w:val="21"/>
          <w:highlight w:val="none"/>
        </w:rPr>
      </w:pPr>
      <w:r>
        <w:rPr>
          <w:rFonts w:hint="eastAsia" w:ascii="宋体" w:hAnsi="宋体"/>
          <w:color w:val="auto"/>
          <w:szCs w:val="21"/>
          <w:highlight w:val="none"/>
        </w:rPr>
        <w:t>投标人为中型、小型、微型企业的，请提交《中小微企业声明函》（详情见《政府采购促进中小企业发展暂行办法》）。</w:t>
      </w:r>
    </w:p>
    <w:p>
      <w:pPr>
        <w:numPr>
          <w:ilvl w:val="0"/>
          <w:numId w:val="6"/>
        </w:numPr>
        <w:spacing w:line="480" w:lineRule="exact"/>
        <w:ind w:left="709" w:hanging="709"/>
        <w:rPr>
          <w:rFonts w:ascii="宋体" w:hAnsi="宋体"/>
          <w:color w:val="auto"/>
          <w:szCs w:val="21"/>
          <w:highlight w:val="none"/>
        </w:rPr>
      </w:pPr>
      <w:r>
        <w:rPr>
          <w:rFonts w:ascii="宋体" w:hAnsi="宋体"/>
          <w:color w:val="auto"/>
          <w:szCs w:val="21"/>
          <w:highlight w:val="none"/>
        </w:rPr>
        <w:t>建议将谈判文件按</w:t>
      </w:r>
      <w:r>
        <w:rPr>
          <w:rFonts w:hint="eastAsia" w:ascii="宋体" w:hAnsi="宋体"/>
          <w:color w:val="auto"/>
          <w:szCs w:val="21"/>
          <w:highlight w:val="none"/>
        </w:rPr>
        <w:t>目录格式</w:t>
      </w:r>
      <w:r>
        <w:rPr>
          <w:rFonts w:ascii="宋体" w:hAnsi="宋体"/>
          <w:color w:val="auto"/>
          <w:szCs w:val="21"/>
          <w:highlight w:val="none"/>
        </w:rPr>
        <w:t>顺序编制页码。</w:t>
      </w:r>
    </w:p>
    <w:p>
      <w:pPr>
        <w:numPr>
          <w:ilvl w:val="0"/>
          <w:numId w:val="6"/>
        </w:numPr>
        <w:spacing w:line="480" w:lineRule="exact"/>
        <w:ind w:left="709" w:hanging="709"/>
        <w:rPr>
          <w:rFonts w:ascii="宋体" w:hAnsi="宋体"/>
          <w:color w:val="auto"/>
          <w:szCs w:val="21"/>
          <w:highlight w:val="none"/>
        </w:rPr>
      </w:pPr>
      <w:r>
        <w:rPr>
          <w:rFonts w:hint="eastAsia" w:ascii="宋体" w:hAnsi="宋体"/>
          <w:color w:val="auto"/>
          <w:szCs w:val="21"/>
          <w:highlight w:val="none"/>
        </w:rPr>
        <w:t>分公司作为投标人的，需提供具有法人资格的总公司的营业执照副本复印件及授权书。</w:t>
      </w:r>
    </w:p>
    <w:p>
      <w:pPr>
        <w:numPr>
          <w:ilvl w:val="0"/>
          <w:numId w:val="6"/>
        </w:numPr>
        <w:spacing w:line="480" w:lineRule="exact"/>
        <w:ind w:left="709" w:hanging="709"/>
        <w:rPr>
          <w:rFonts w:ascii="宋体" w:hAnsi="宋体" w:cs="仿宋_GB2312"/>
          <w:b/>
          <w:bCs/>
          <w:color w:val="auto"/>
          <w:szCs w:val="21"/>
          <w:highlight w:val="none"/>
          <w:lang w:val="zh-CN"/>
        </w:rPr>
      </w:pPr>
      <w:r>
        <w:rPr>
          <w:rFonts w:hint="eastAsia" w:ascii="宋体" w:hAnsi="宋体"/>
          <w:b/>
          <w:color w:val="auto"/>
          <w:szCs w:val="21"/>
          <w:highlight w:val="none"/>
        </w:rPr>
        <w:t>投标人请注意区分投标保证金及招标代理服务费收款</w:t>
      </w:r>
      <w:r>
        <w:rPr>
          <w:rFonts w:hint="eastAsia" w:ascii="宋体" w:hAnsi="宋体"/>
          <w:b/>
          <w:color w:val="auto"/>
          <w:highlight w:val="none"/>
        </w:rPr>
        <w:t>账号</w:t>
      </w:r>
      <w:r>
        <w:rPr>
          <w:rFonts w:hint="eastAsia" w:ascii="宋体" w:hAnsi="宋体"/>
          <w:b/>
          <w:color w:val="auto"/>
          <w:szCs w:val="21"/>
          <w:highlight w:val="none"/>
        </w:rPr>
        <w:t>的区别</w:t>
      </w:r>
      <w:r>
        <w:rPr>
          <w:rFonts w:hint="eastAsia" w:ascii="宋体" w:hAnsi="宋体"/>
          <w:color w:val="auto"/>
          <w:szCs w:val="21"/>
          <w:highlight w:val="none"/>
        </w:rPr>
        <w:t>，务必将保证金谈判文件的要求缴纳，招标代理服务费存入谈判文件指定的服务费账户。切勿将款项转错账户，以免影响采购活动。</w:t>
      </w:r>
    </w:p>
    <w:p>
      <w:pPr>
        <w:numPr>
          <w:ilvl w:val="0"/>
          <w:numId w:val="6"/>
        </w:numPr>
        <w:spacing w:line="480" w:lineRule="exact"/>
        <w:ind w:left="709" w:hanging="709"/>
        <w:rPr>
          <w:rFonts w:ascii="宋体" w:hAnsi="宋体" w:cs="仿宋_GB2312"/>
          <w:b/>
          <w:bCs/>
          <w:color w:val="auto"/>
          <w:szCs w:val="21"/>
          <w:highlight w:val="none"/>
          <w:lang w:val="zh-CN"/>
        </w:rPr>
      </w:pPr>
      <w:r>
        <w:rPr>
          <w:rFonts w:hint="eastAsia" w:ascii="宋体" w:hAnsi="宋体"/>
          <w:color w:val="auto"/>
          <w:szCs w:val="21"/>
          <w:highlight w:val="none"/>
        </w:rPr>
        <w:t>我司</w:t>
      </w:r>
      <w:r>
        <w:rPr>
          <w:rFonts w:ascii="宋体" w:hAnsi="宋体"/>
          <w:color w:val="auto"/>
          <w:szCs w:val="21"/>
          <w:highlight w:val="none"/>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auto"/>
          <w:szCs w:val="21"/>
          <w:highlight w:val="none"/>
        </w:rPr>
        <w:t>不同</w:t>
      </w:r>
      <w:r>
        <w:rPr>
          <w:rFonts w:ascii="宋体" w:hAnsi="宋体"/>
          <w:color w:val="auto"/>
          <w:szCs w:val="21"/>
          <w:highlight w:val="none"/>
        </w:rPr>
        <w:t>投标</w:t>
      </w:r>
      <w:r>
        <w:rPr>
          <w:rFonts w:hint="eastAsia" w:ascii="宋体" w:hAnsi="宋体"/>
          <w:color w:val="auto"/>
          <w:szCs w:val="21"/>
          <w:highlight w:val="none"/>
        </w:rPr>
        <w:t>方案</w:t>
      </w:r>
      <w:r>
        <w:rPr>
          <w:rFonts w:ascii="宋体" w:hAnsi="宋体"/>
          <w:color w:val="auto"/>
          <w:szCs w:val="21"/>
          <w:highlight w:val="none"/>
        </w:rPr>
        <w:t>的，</w:t>
      </w:r>
      <w:r>
        <w:rPr>
          <w:rFonts w:hint="eastAsia" w:ascii="宋体" w:hAnsi="宋体"/>
          <w:color w:val="auto"/>
          <w:szCs w:val="21"/>
          <w:highlight w:val="none"/>
        </w:rPr>
        <w:t>谈判小组</w:t>
      </w:r>
      <w:r>
        <w:rPr>
          <w:rFonts w:ascii="宋体" w:hAnsi="宋体"/>
          <w:color w:val="auto"/>
          <w:szCs w:val="21"/>
          <w:highlight w:val="none"/>
        </w:rPr>
        <w:t>将</w:t>
      </w:r>
      <w:r>
        <w:rPr>
          <w:rFonts w:hint="eastAsia" w:ascii="宋体" w:hAnsi="宋体"/>
          <w:color w:val="auto"/>
          <w:szCs w:val="21"/>
          <w:highlight w:val="none"/>
        </w:rPr>
        <w:t>对其投标</w:t>
      </w:r>
      <w:r>
        <w:rPr>
          <w:rFonts w:ascii="宋体" w:hAnsi="宋体"/>
          <w:color w:val="auto"/>
          <w:szCs w:val="21"/>
          <w:highlight w:val="none"/>
        </w:rPr>
        <w:t>按无效投标处理</w:t>
      </w:r>
      <w:r>
        <w:rPr>
          <w:rFonts w:hint="eastAsia" w:ascii="宋体" w:hAnsi="宋体"/>
          <w:color w:val="auto"/>
          <w:szCs w:val="21"/>
          <w:highlight w:val="none"/>
        </w:rPr>
        <w:t>（如有特殊要求的除外）。</w:t>
      </w:r>
    </w:p>
    <w:p>
      <w:pPr>
        <w:pStyle w:val="22"/>
        <w:widowControl/>
        <w:adjustRightInd w:val="0"/>
        <w:snapToGrid w:val="0"/>
        <w:spacing w:line="480" w:lineRule="exact"/>
        <w:jc w:val="center"/>
        <w:rPr>
          <w:rFonts w:hAnsi="宋体"/>
          <w:bCs/>
          <w:color w:val="auto"/>
          <w:sz w:val="24"/>
          <w:szCs w:val="24"/>
          <w:highlight w:val="none"/>
        </w:rPr>
      </w:pPr>
      <w:r>
        <w:rPr>
          <w:rFonts w:hint="eastAsia" w:hAnsi="宋体" w:cs="仿宋_GB2312"/>
          <w:b/>
          <w:bCs/>
          <w:color w:val="auto"/>
          <w:highlight w:val="none"/>
          <w:lang w:val="zh-CN"/>
        </w:rPr>
        <w:t>（本提示内容非谈判文件的组成部分，仅为善意提醒。如有不一致，以谈判文件为准。）</w:t>
      </w:r>
    </w:p>
    <w:p>
      <w:pPr>
        <w:pStyle w:val="22"/>
        <w:widowControl/>
        <w:adjustRightInd w:val="0"/>
        <w:snapToGrid w:val="0"/>
        <w:spacing w:line="360" w:lineRule="auto"/>
        <w:rPr>
          <w:rFonts w:hAnsi="宋体"/>
          <w:bCs/>
          <w:color w:val="auto"/>
          <w:sz w:val="24"/>
          <w:szCs w:val="24"/>
          <w:highlight w:val="none"/>
        </w:rPr>
        <w:sectPr>
          <w:footerReference r:id="rId6" w:type="first"/>
          <w:headerReference r:id="rId3" w:type="default"/>
          <w:footerReference r:id="rId4" w:type="default"/>
          <w:footerReference r:id="rId5" w:type="even"/>
          <w:pgSz w:w="11907" w:h="16840"/>
          <w:pgMar w:top="1247" w:right="1247" w:bottom="1247" w:left="1247" w:header="851" w:footer="851" w:gutter="0"/>
          <w:cols w:space="720" w:num="1"/>
          <w:docGrid w:linePitch="380" w:charSpace="-5735"/>
        </w:sectPr>
      </w:pPr>
    </w:p>
    <w:p>
      <w:pPr>
        <w:pStyle w:val="36"/>
        <w:jc w:val="center"/>
        <w:rPr>
          <w:rFonts w:ascii="宋体"/>
          <w:color w:val="auto"/>
          <w:highlight w:val="none"/>
        </w:rPr>
      </w:pPr>
      <w:r>
        <w:rPr>
          <w:rFonts w:hint="eastAsia" w:ascii="宋体"/>
          <w:color w:val="auto"/>
          <w:highlight w:val="none"/>
        </w:rPr>
        <w:t>目     录</w:t>
      </w:r>
    </w:p>
    <w:p>
      <w:pPr>
        <w:pStyle w:val="36"/>
        <w:bidi w:val="0"/>
      </w:pPr>
      <w:r>
        <w:fldChar w:fldCharType="begin"/>
      </w:r>
      <w:r>
        <w:instrText xml:space="preserve"> TOC \o "1-3" \h \z \u </w:instrText>
      </w:r>
      <w:r>
        <w:fldChar w:fldCharType="separate"/>
      </w:r>
      <w:r>
        <w:fldChar w:fldCharType="begin"/>
      </w:r>
      <w:r>
        <w:instrText xml:space="preserve"> HYPERLINK \l _Toc13381 </w:instrText>
      </w:r>
      <w:r>
        <w:fldChar w:fldCharType="separate"/>
      </w:r>
      <w:r>
        <w:rPr>
          <w:rFonts w:hint="eastAsia"/>
        </w:rPr>
        <w:t>第一部分  竞争性谈判邀请书</w:t>
      </w:r>
      <w:r>
        <w:tab/>
      </w:r>
      <w:r>
        <w:fldChar w:fldCharType="begin"/>
      </w:r>
      <w:r>
        <w:instrText xml:space="preserve"> PAGEREF _Toc13381 \h </w:instrText>
      </w:r>
      <w:r>
        <w:fldChar w:fldCharType="separate"/>
      </w:r>
      <w:r>
        <w:t>4</w:t>
      </w:r>
      <w:r>
        <w:fldChar w:fldCharType="end"/>
      </w:r>
      <w:r>
        <w:fldChar w:fldCharType="end"/>
      </w:r>
    </w:p>
    <w:p>
      <w:pPr>
        <w:pStyle w:val="36"/>
        <w:bidi w:val="0"/>
      </w:pPr>
      <w:r>
        <w:fldChar w:fldCharType="begin"/>
      </w:r>
      <w:r>
        <w:instrText xml:space="preserve"> HYPERLINK \l _Toc13130 </w:instrText>
      </w:r>
      <w:r>
        <w:fldChar w:fldCharType="separate"/>
      </w:r>
      <w:r>
        <w:rPr>
          <w:rFonts w:hint="eastAsia"/>
        </w:rPr>
        <w:t>第二部分  采购项目内容</w:t>
      </w:r>
      <w:r>
        <w:tab/>
      </w:r>
      <w:r>
        <w:fldChar w:fldCharType="begin"/>
      </w:r>
      <w:r>
        <w:instrText xml:space="preserve"> PAGEREF _Toc13130 \h </w:instrText>
      </w:r>
      <w:r>
        <w:fldChar w:fldCharType="separate"/>
      </w:r>
      <w:r>
        <w:t>6</w:t>
      </w:r>
      <w:r>
        <w:fldChar w:fldCharType="end"/>
      </w:r>
      <w:r>
        <w:fldChar w:fldCharType="end"/>
      </w:r>
    </w:p>
    <w:p>
      <w:pPr>
        <w:pStyle w:val="36"/>
        <w:bidi w:val="0"/>
      </w:pPr>
      <w:r>
        <w:fldChar w:fldCharType="begin"/>
      </w:r>
      <w:r>
        <w:instrText xml:space="preserve"> HYPERLINK \l _Toc19795 </w:instrText>
      </w:r>
      <w:r>
        <w:fldChar w:fldCharType="separate"/>
      </w:r>
      <w:r>
        <w:rPr>
          <w:rFonts w:hint="eastAsia"/>
        </w:rPr>
        <w:t>项目编号：</w:t>
      </w:r>
      <w:r>
        <w:rPr>
          <w:rFonts w:hint="eastAsia"/>
          <w:lang w:eastAsia="zh-CN"/>
        </w:rPr>
        <w:t>YXZB-20231115</w:t>
      </w:r>
      <w:r>
        <w:tab/>
      </w:r>
      <w:r>
        <w:fldChar w:fldCharType="begin"/>
      </w:r>
      <w:r>
        <w:instrText xml:space="preserve"> PAGEREF _Toc19795 \h </w:instrText>
      </w:r>
      <w:r>
        <w:fldChar w:fldCharType="separate"/>
      </w:r>
      <w:r>
        <w:t>6</w:t>
      </w:r>
      <w:r>
        <w:fldChar w:fldCharType="end"/>
      </w:r>
      <w:r>
        <w:fldChar w:fldCharType="end"/>
      </w:r>
    </w:p>
    <w:p>
      <w:pPr>
        <w:pStyle w:val="36"/>
        <w:bidi w:val="0"/>
      </w:pPr>
      <w:r>
        <w:fldChar w:fldCharType="begin"/>
      </w:r>
      <w:r>
        <w:instrText xml:space="preserve"> HYPERLINK \l _Toc609 </w:instrText>
      </w:r>
      <w:r>
        <w:fldChar w:fldCharType="separate"/>
      </w:r>
      <w:r>
        <w:rPr>
          <w:rFonts w:hint="eastAsia"/>
        </w:rPr>
        <w:t>项目名称：</w:t>
      </w:r>
      <w:r>
        <w:rPr>
          <w:rFonts w:hint="eastAsia"/>
          <w:lang w:eastAsia="zh-CN"/>
        </w:rPr>
        <w:t>数字化外呼及短信触达客服项目（一期）</w:t>
      </w:r>
      <w:r>
        <w:tab/>
      </w:r>
      <w:r>
        <w:fldChar w:fldCharType="begin"/>
      </w:r>
      <w:r>
        <w:instrText xml:space="preserve"> PAGEREF _Toc609 \h </w:instrText>
      </w:r>
      <w:r>
        <w:fldChar w:fldCharType="separate"/>
      </w:r>
      <w:r>
        <w:t>6</w:t>
      </w:r>
      <w:r>
        <w:fldChar w:fldCharType="end"/>
      </w:r>
      <w:r>
        <w:fldChar w:fldCharType="end"/>
      </w:r>
    </w:p>
    <w:p>
      <w:pPr>
        <w:pStyle w:val="36"/>
        <w:bidi w:val="0"/>
      </w:pPr>
      <w:r>
        <w:fldChar w:fldCharType="begin"/>
      </w:r>
      <w:r>
        <w:instrText xml:space="preserve"> HYPERLINK \l _Toc16487 </w:instrText>
      </w:r>
      <w:r>
        <w:fldChar w:fldCharType="separate"/>
      </w:r>
      <w:r>
        <w:t xml:space="preserve">A  </w:t>
      </w:r>
      <w:r>
        <w:rPr>
          <w:rFonts w:hint="eastAsia"/>
        </w:rPr>
        <w:t>商务要求</w:t>
      </w:r>
      <w:r>
        <w:tab/>
      </w:r>
      <w:r>
        <w:fldChar w:fldCharType="begin"/>
      </w:r>
      <w:r>
        <w:instrText xml:space="preserve"> PAGEREF _Toc16487 \h </w:instrText>
      </w:r>
      <w:r>
        <w:fldChar w:fldCharType="separate"/>
      </w:r>
      <w:r>
        <w:t>6</w:t>
      </w:r>
      <w:r>
        <w:fldChar w:fldCharType="end"/>
      </w:r>
      <w:r>
        <w:fldChar w:fldCharType="end"/>
      </w:r>
    </w:p>
    <w:p>
      <w:pPr>
        <w:pStyle w:val="36"/>
        <w:bidi w:val="0"/>
      </w:pPr>
      <w:r>
        <w:fldChar w:fldCharType="begin"/>
      </w:r>
      <w:r>
        <w:instrText xml:space="preserve"> HYPERLINK \l _Toc31407 </w:instrText>
      </w:r>
      <w:r>
        <w:fldChar w:fldCharType="separate"/>
      </w:r>
      <w:r>
        <w:rPr>
          <w:rFonts w:hint="eastAsia"/>
        </w:rPr>
        <w:t>B  技术要求</w:t>
      </w:r>
      <w:r>
        <w:tab/>
      </w:r>
      <w:r>
        <w:fldChar w:fldCharType="begin"/>
      </w:r>
      <w:r>
        <w:instrText xml:space="preserve"> PAGEREF _Toc31407 \h </w:instrText>
      </w:r>
      <w:r>
        <w:fldChar w:fldCharType="separate"/>
      </w:r>
      <w:r>
        <w:t>9</w:t>
      </w:r>
      <w:r>
        <w:fldChar w:fldCharType="end"/>
      </w:r>
      <w:r>
        <w:fldChar w:fldCharType="end"/>
      </w:r>
    </w:p>
    <w:p>
      <w:pPr>
        <w:pStyle w:val="36"/>
        <w:bidi w:val="0"/>
      </w:pPr>
      <w:r>
        <w:fldChar w:fldCharType="begin"/>
      </w:r>
      <w:r>
        <w:instrText xml:space="preserve"> HYPERLINK \l _Toc2812 </w:instrText>
      </w:r>
      <w:r>
        <w:fldChar w:fldCharType="separate"/>
      </w:r>
      <w:r>
        <w:rPr>
          <w:rFonts w:hint="eastAsia"/>
        </w:rPr>
        <w:t>第三部分 报价须知</w:t>
      </w:r>
      <w:r>
        <w:tab/>
      </w:r>
      <w:r>
        <w:fldChar w:fldCharType="begin"/>
      </w:r>
      <w:r>
        <w:instrText xml:space="preserve"> PAGEREF _Toc2812 \h </w:instrText>
      </w:r>
      <w:r>
        <w:fldChar w:fldCharType="separate"/>
      </w:r>
      <w:r>
        <w:t>10</w:t>
      </w:r>
      <w:r>
        <w:fldChar w:fldCharType="end"/>
      </w:r>
      <w:r>
        <w:fldChar w:fldCharType="end"/>
      </w:r>
    </w:p>
    <w:p>
      <w:pPr>
        <w:pStyle w:val="36"/>
        <w:bidi w:val="0"/>
      </w:pPr>
      <w:r>
        <w:fldChar w:fldCharType="begin"/>
      </w:r>
      <w:r>
        <w:instrText xml:space="preserve"> HYPERLINK \l _Toc2074 </w:instrText>
      </w:r>
      <w:r>
        <w:fldChar w:fldCharType="separate"/>
      </w:r>
      <w:r>
        <w:rPr>
          <w:rFonts w:hint="eastAsia"/>
        </w:rPr>
        <w:t>投标人须知前附表</w:t>
      </w:r>
      <w:r>
        <w:tab/>
      </w:r>
      <w:r>
        <w:fldChar w:fldCharType="begin"/>
      </w:r>
      <w:r>
        <w:instrText xml:space="preserve"> PAGEREF _Toc2074 \h </w:instrText>
      </w:r>
      <w:r>
        <w:fldChar w:fldCharType="separate"/>
      </w:r>
      <w:r>
        <w:t>10</w:t>
      </w:r>
      <w:r>
        <w:fldChar w:fldCharType="end"/>
      </w:r>
      <w:r>
        <w:fldChar w:fldCharType="end"/>
      </w:r>
    </w:p>
    <w:p>
      <w:pPr>
        <w:pStyle w:val="36"/>
        <w:bidi w:val="0"/>
      </w:pPr>
      <w:r>
        <w:fldChar w:fldCharType="begin"/>
      </w:r>
      <w:r>
        <w:instrText xml:space="preserve"> HYPERLINK \l _Toc1124 </w:instrText>
      </w:r>
      <w:r>
        <w:fldChar w:fldCharType="separate"/>
      </w:r>
      <w:r>
        <w:t>1</w:t>
      </w:r>
      <w:r>
        <w:rPr>
          <w:rFonts w:hint="eastAsia"/>
        </w:rPr>
        <w:tab/>
      </w:r>
      <w:r>
        <w:rPr>
          <w:rFonts w:hint="eastAsia"/>
        </w:rPr>
        <w:t>适用范围和资金来源</w:t>
      </w:r>
      <w:r>
        <w:tab/>
      </w:r>
      <w:r>
        <w:fldChar w:fldCharType="begin"/>
      </w:r>
      <w:r>
        <w:instrText xml:space="preserve"> PAGEREF _Toc1124 \h </w:instrText>
      </w:r>
      <w:r>
        <w:fldChar w:fldCharType="separate"/>
      </w:r>
      <w:r>
        <w:t>11</w:t>
      </w:r>
      <w:r>
        <w:fldChar w:fldCharType="end"/>
      </w:r>
      <w:r>
        <w:fldChar w:fldCharType="end"/>
      </w:r>
    </w:p>
    <w:p>
      <w:pPr>
        <w:pStyle w:val="36"/>
        <w:bidi w:val="0"/>
      </w:pPr>
      <w:r>
        <w:fldChar w:fldCharType="begin"/>
      </w:r>
      <w:r>
        <w:instrText xml:space="preserve"> HYPERLINK \l _Toc31623 </w:instrText>
      </w:r>
      <w:r>
        <w:fldChar w:fldCharType="separate"/>
      </w:r>
      <w:r>
        <w:t>2</w:t>
      </w:r>
      <w:r>
        <w:rPr>
          <w:rFonts w:hint="eastAsia"/>
        </w:rPr>
        <w:tab/>
      </w:r>
      <w:r>
        <w:rPr>
          <w:rFonts w:hint="eastAsia"/>
        </w:rPr>
        <w:t>定义</w:t>
      </w:r>
      <w:r>
        <w:tab/>
      </w:r>
      <w:r>
        <w:fldChar w:fldCharType="begin"/>
      </w:r>
      <w:r>
        <w:instrText xml:space="preserve"> PAGEREF _Toc31623 \h </w:instrText>
      </w:r>
      <w:r>
        <w:fldChar w:fldCharType="separate"/>
      </w:r>
      <w:r>
        <w:t>11</w:t>
      </w:r>
      <w:r>
        <w:fldChar w:fldCharType="end"/>
      </w:r>
      <w:r>
        <w:fldChar w:fldCharType="end"/>
      </w:r>
    </w:p>
    <w:p>
      <w:pPr>
        <w:pStyle w:val="36"/>
        <w:bidi w:val="0"/>
      </w:pPr>
      <w:r>
        <w:fldChar w:fldCharType="begin"/>
      </w:r>
      <w:r>
        <w:instrText xml:space="preserve"> HYPERLINK \l _Toc15691 </w:instrText>
      </w:r>
      <w:r>
        <w:fldChar w:fldCharType="separate"/>
      </w:r>
      <w:r>
        <w:t>3</w:t>
      </w:r>
      <w:r>
        <w:rPr>
          <w:rFonts w:hint="eastAsia"/>
        </w:rPr>
        <w:tab/>
      </w:r>
      <w:r>
        <w:rPr>
          <w:rFonts w:hint="eastAsia"/>
        </w:rPr>
        <w:t>合格的供应商</w:t>
      </w:r>
      <w:r>
        <w:tab/>
      </w:r>
      <w:r>
        <w:fldChar w:fldCharType="begin"/>
      </w:r>
      <w:r>
        <w:instrText xml:space="preserve"> PAGEREF _Toc15691 \h </w:instrText>
      </w:r>
      <w:r>
        <w:fldChar w:fldCharType="separate"/>
      </w:r>
      <w:r>
        <w:t>11</w:t>
      </w:r>
      <w:r>
        <w:fldChar w:fldCharType="end"/>
      </w:r>
      <w:r>
        <w:fldChar w:fldCharType="end"/>
      </w:r>
    </w:p>
    <w:p>
      <w:pPr>
        <w:pStyle w:val="36"/>
        <w:bidi w:val="0"/>
      </w:pPr>
      <w:r>
        <w:fldChar w:fldCharType="begin"/>
      </w:r>
      <w:r>
        <w:instrText xml:space="preserve"> HYPERLINK \l _Toc231 </w:instrText>
      </w:r>
      <w:r>
        <w:fldChar w:fldCharType="separate"/>
      </w:r>
      <w:r>
        <w:t>4</w:t>
      </w:r>
      <w:r>
        <w:rPr>
          <w:rFonts w:hint="eastAsia"/>
        </w:rPr>
        <w:tab/>
      </w:r>
      <w:r>
        <w:rPr>
          <w:rFonts w:hint="eastAsia"/>
        </w:rPr>
        <w:t>谈判费用</w:t>
      </w:r>
      <w:r>
        <w:tab/>
      </w:r>
      <w:r>
        <w:fldChar w:fldCharType="begin"/>
      </w:r>
      <w:r>
        <w:instrText xml:space="preserve"> PAGEREF _Toc231 \h </w:instrText>
      </w:r>
      <w:r>
        <w:fldChar w:fldCharType="separate"/>
      </w:r>
      <w:r>
        <w:t>11</w:t>
      </w:r>
      <w:r>
        <w:fldChar w:fldCharType="end"/>
      </w:r>
      <w:r>
        <w:fldChar w:fldCharType="end"/>
      </w:r>
    </w:p>
    <w:p>
      <w:pPr>
        <w:pStyle w:val="36"/>
        <w:bidi w:val="0"/>
      </w:pPr>
      <w:r>
        <w:fldChar w:fldCharType="begin"/>
      </w:r>
      <w:r>
        <w:instrText xml:space="preserve"> HYPERLINK \l _Toc24583 </w:instrText>
      </w:r>
      <w:r>
        <w:fldChar w:fldCharType="separate"/>
      </w:r>
      <w:r>
        <w:rPr>
          <w:rFonts w:hint="eastAsia"/>
        </w:rPr>
        <w:t>Ｂ谈判文件说明</w:t>
      </w:r>
      <w:r>
        <w:tab/>
      </w:r>
      <w:r>
        <w:fldChar w:fldCharType="begin"/>
      </w:r>
      <w:r>
        <w:instrText xml:space="preserve"> PAGEREF _Toc24583 \h </w:instrText>
      </w:r>
      <w:r>
        <w:fldChar w:fldCharType="separate"/>
      </w:r>
      <w:r>
        <w:t>12</w:t>
      </w:r>
      <w:r>
        <w:fldChar w:fldCharType="end"/>
      </w:r>
      <w:r>
        <w:fldChar w:fldCharType="end"/>
      </w:r>
    </w:p>
    <w:p>
      <w:pPr>
        <w:pStyle w:val="36"/>
        <w:bidi w:val="0"/>
      </w:pPr>
      <w:r>
        <w:fldChar w:fldCharType="begin"/>
      </w:r>
      <w:r>
        <w:instrText xml:space="preserve"> HYPERLINK \l _Toc14013 </w:instrText>
      </w:r>
      <w:r>
        <w:fldChar w:fldCharType="separate"/>
      </w:r>
      <w:r>
        <w:t>5</w:t>
      </w:r>
      <w:r>
        <w:rPr>
          <w:rFonts w:hint="eastAsia"/>
        </w:rPr>
        <w:tab/>
      </w:r>
      <w:r>
        <w:rPr>
          <w:rFonts w:hint="eastAsia"/>
        </w:rPr>
        <w:t>谈判文件的构成</w:t>
      </w:r>
      <w:r>
        <w:tab/>
      </w:r>
      <w:r>
        <w:fldChar w:fldCharType="begin"/>
      </w:r>
      <w:r>
        <w:instrText xml:space="preserve"> PAGEREF _Toc14013 \h </w:instrText>
      </w:r>
      <w:r>
        <w:fldChar w:fldCharType="separate"/>
      </w:r>
      <w:r>
        <w:t>12</w:t>
      </w:r>
      <w:r>
        <w:fldChar w:fldCharType="end"/>
      </w:r>
      <w:r>
        <w:fldChar w:fldCharType="end"/>
      </w:r>
    </w:p>
    <w:p>
      <w:pPr>
        <w:pStyle w:val="36"/>
        <w:bidi w:val="0"/>
      </w:pPr>
      <w:r>
        <w:fldChar w:fldCharType="begin"/>
      </w:r>
      <w:r>
        <w:instrText xml:space="preserve"> HYPERLINK \l _Toc16524 </w:instrText>
      </w:r>
      <w:r>
        <w:fldChar w:fldCharType="separate"/>
      </w:r>
      <w:r>
        <w:t>6</w:t>
      </w:r>
      <w:r>
        <w:rPr>
          <w:rFonts w:hint="eastAsia"/>
        </w:rPr>
        <w:tab/>
      </w:r>
      <w:r>
        <w:rPr>
          <w:rFonts w:hint="eastAsia"/>
        </w:rPr>
        <w:t>谈判文件的澄清</w:t>
      </w:r>
      <w:r>
        <w:tab/>
      </w:r>
      <w:r>
        <w:fldChar w:fldCharType="begin"/>
      </w:r>
      <w:r>
        <w:instrText xml:space="preserve"> PAGEREF _Toc16524 \h </w:instrText>
      </w:r>
      <w:r>
        <w:fldChar w:fldCharType="separate"/>
      </w:r>
      <w:r>
        <w:t>12</w:t>
      </w:r>
      <w:r>
        <w:fldChar w:fldCharType="end"/>
      </w:r>
      <w:r>
        <w:fldChar w:fldCharType="end"/>
      </w:r>
    </w:p>
    <w:p>
      <w:pPr>
        <w:pStyle w:val="36"/>
        <w:bidi w:val="0"/>
      </w:pPr>
      <w:r>
        <w:fldChar w:fldCharType="begin"/>
      </w:r>
      <w:r>
        <w:instrText xml:space="preserve"> HYPERLINK \l _Toc31418 </w:instrText>
      </w:r>
      <w:r>
        <w:fldChar w:fldCharType="separate"/>
      </w:r>
      <w:r>
        <w:t>7</w:t>
      </w:r>
      <w:r>
        <w:rPr>
          <w:rFonts w:hint="eastAsia"/>
        </w:rPr>
        <w:tab/>
      </w:r>
      <w:r>
        <w:rPr>
          <w:rFonts w:hint="eastAsia"/>
        </w:rPr>
        <w:t>谈判文件的修改</w:t>
      </w:r>
      <w:r>
        <w:tab/>
      </w:r>
      <w:r>
        <w:fldChar w:fldCharType="begin"/>
      </w:r>
      <w:r>
        <w:instrText xml:space="preserve"> PAGEREF _Toc31418 \h </w:instrText>
      </w:r>
      <w:r>
        <w:fldChar w:fldCharType="separate"/>
      </w:r>
      <w:r>
        <w:t>12</w:t>
      </w:r>
      <w:r>
        <w:fldChar w:fldCharType="end"/>
      </w:r>
      <w:r>
        <w:fldChar w:fldCharType="end"/>
      </w:r>
    </w:p>
    <w:p>
      <w:pPr>
        <w:pStyle w:val="36"/>
        <w:bidi w:val="0"/>
      </w:pPr>
      <w:r>
        <w:fldChar w:fldCharType="begin"/>
      </w:r>
      <w:r>
        <w:instrText xml:space="preserve"> HYPERLINK \l _Toc270 </w:instrText>
      </w:r>
      <w:r>
        <w:fldChar w:fldCharType="separate"/>
      </w:r>
      <w:r>
        <w:rPr>
          <w:rFonts w:hint="eastAsia"/>
        </w:rPr>
        <w:t>Ｃ谈判文件的编制</w:t>
      </w:r>
      <w:r>
        <w:tab/>
      </w:r>
      <w:r>
        <w:fldChar w:fldCharType="begin"/>
      </w:r>
      <w:r>
        <w:instrText xml:space="preserve"> PAGEREF _Toc270 \h </w:instrText>
      </w:r>
      <w:r>
        <w:fldChar w:fldCharType="separate"/>
      </w:r>
      <w:r>
        <w:t>13</w:t>
      </w:r>
      <w:r>
        <w:fldChar w:fldCharType="end"/>
      </w:r>
      <w:r>
        <w:fldChar w:fldCharType="end"/>
      </w:r>
    </w:p>
    <w:p>
      <w:pPr>
        <w:pStyle w:val="36"/>
        <w:bidi w:val="0"/>
      </w:pPr>
      <w:r>
        <w:fldChar w:fldCharType="begin"/>
      </w:r>
      <w:r>
        <w:instrText xml:space="preserve"> HYPERLINK \l _Toc23656 </w:instrText>
      </w:r>
      <w:r>
        <w:fldChar w:fldCharType="separate"/>
      </w:r>
      <w:r>
        <w:rPr>
          <w:rFonts w:hint="eastAsia"/>
        </w:rPr>
        <w:t>8</w:t>
      </w:r>
      <w:r>
        <w:rPr>
          <w:rFonts w:hint="eastAsia"/>
        </w:rPr>
        <w:tab/>
      </w:r>
      <w:r>
        <w:rPr>
          <w:rFonts w:hint="eastAsia"/>
        </w:rPr>
        <w:t>要求</w:t>
      </w:r>
      <w:r>
        <w:tab/>
      </w:r>
      <w:r>
        <w:fldChar w:fldCharType="begin"/>
      </w:r>
      <w:r>
        <w:instrText xml:space="preserve"> PAGEREF _Toc23656 \h </w:instrText>
      </w:r>
      <w:r>
        <w:fldChar w:fldCharType="separate"/>
      </w:r>
      <w:r>
        <w:t>13</w:t>
      </w:r>
      <w:r>
        <w:fldChar w:fldCharType="end"/>
      </w:r>
      <w:r>
        <w:fldChar w:fldCharType="end"/>
      </w:r>
    </w:p>
    <w:p>
      <w:pPr>
        <w:pStyle w:val="36"/>
        <w:bidi w:val="0"/>
      </w:pPr>
      <w:r>
        <w:fldChar w:fldCharType="begin"/>
      </w:r>
      <w:r>
        <w:instrText xml:space="preserve"> HYPERLINK \l _Toc6285 </w:instrText>
      </w:r>
      <w:r>
        <w:fldChar w:fldCharType="separate"/>
      </w:r>
      <w:r>
        <w:t>9</w:t>
      </w:r>
      <w:r>
        <w:rPr>
          <w:rFonts w:hint="eastAsia"/>
        </w:rPr>
        <w:tab/>
      </w:r>
      <w:r>
        <w:rPr>
          <w:rFonts w:hint="eastAsia"/>
        </w:rPr>
        <w:t>投标语言及计量单位</w:t>
      </w:r>
      <w:r>
        <w:tab/>
      </w:r>
      <w:r>
        <w:fldChar w:fldCharType="begin"/>
      </w:r>
      <w:r>
        <w:instrText xml:space="preserve"> PAGEREF _Toc6285 \h </w:instrText>
      </w:r>
      <w:r>
        <w:fldChar w:fldCharType="separate"/>
      </w:r>
      <w:r>
        <w:t>13</w:t>
      </w:r>
      <w:r>
        <w:fldChar w:fldCharType="end"/>
      </w:r>
      <w:r>
        <w:fldChar w:fldCharType="end"/>
      </w:r>
    </w:p>
    <w:p>
      <w:pPr>
        <w:pStyle w:val="36"/>
        <w:bidi w:val="0"/>
      </w:pPr>
      <w:r>
        <w:fldChar w:fldCharType="begin"/>
      </w:r>
      <w:r>
        <w:instrText xml:space="preserve"> HYPERLINK \l _Toc28151 </w:instrText>
      </w:r>
      <w:r>
        <w:fldChar w:fldCharType="separate"/>
      </w:r>
      <w:r>
        <w:t>10</w:t>
      </w:r>
      <w:r>
        <w:rPr>
          <w:rFonts w:hint="eastAsia"/>
        </w:rPr>
        <w:tab/>
      </w:r>
      <w:r>
        <w:rPr>
          <w:rFonts w:hint="eastAsia"/>
        </w:rPr>
        <w:t>谈判文件的构成</w:t>
      </w:r>
      <w:r>
        <w:tab/>
      </w:r>
      <w:r>
        <w:fldChar w:fldCharType="begin"/>
      </w:r>
      <w:r>
        <w:instrText xml:space="preserve"> PAGEREF _Toc28151 \h </w:instrText>
      </w:r>
      <w:r>
        <w:fldChar w:fldCharType="separate"/>
      </w:r>
      <w:r>
        <w:t>13</w:t>
      </w:r>
      <w:r>
        <w:fldChar w:fldCharType="end"/>
      </w:r>
      <w:r>
        <w:fldChar w:fldCharType="end"/>
      </w:r>
    </w:p>
    <w:p>
      <w:pPr>
        <w:pStyle w:val="36"/>
        <w:bidi w:val="0"/>
      </w:pPr>
      <w:r>
        <w:fldChar w:fldCharType="begin"/>
      </w:r>
      <w:r>
        <w:instrText xml:space="preserve"> HYPERLINK \l _Toc13021 </w:instrText>
      </w:r>
      <w:r>
        <w:fldChar w:fldCharType="separate"/>
      </w:r>
      <w:r>
        <w:t>11</w:t>
      </w:r>
      <w:r>
        <w:rPr>
          <w:rFonts w:hint="eastAsia"/>
        </w:rPr>
        <w:tab/>
      </w:r>
      <w:r>
        <w:rPr>
          <w:rFonts w:hint="eastAsia"/>
        </w:rPr>
        <w:t>谈判响应文件格式</w:t>
      </w:r>
      <w:r>
        <w:tab/>
      </w:r>
      <w:r>
        <w:fldChar w:fldCharType="begin"/>
      </w:r>
      <w:r>
        <w:instrText xml:space="preserve"> PAGEREF _Toc13021 \h </w:instrText>
      </w:r>
      <w:r>
        <w:fldChar w:fldCharType="separate"/>
      </w:r>
      <w:r>
        <w:t>13</w:t>
      </w:r>
      <w:r>
        <w:fldChar w:fldCharType="end"/>
      </w:r>
      <w:r>
        <w:fldChar w:fldCharType="end"/>
      </w:r>
    </w:p>
    <w:p>
      <w:pPr>
        <w:pStyle w:val="36"/>
        <w:bidi w:val="0"/>
      </w:pPr>
      <w:r>
        <w:fldChar w:fldCharType="begin"/>
      </w:r>
      <w:r>
        <w:instrText xml:space="preserve"> HYPERLINK \l _Toc11434 </w:instrText>
      </w:r>
      <w:r>
        <w:fldChar w:fldCharType="separate"/>
      </w:r>
      <w:r>
        <w:rPr>
          <w:rFonts w:hint="eastAsia"/>
        </w:rPr>
        <w:t>12</w:t>
      </w:r>
      <w:r>
        <w:rPr>
          <w:rFonts w:hint="eastAsia"/>
        </w:rPr>
        <w:tab/>
      </w:r>
      <w:r>
        <w:rPr>
          <w:rFonts w:hint="eastAsia"/>
        </w:rPr>
        <w:t>资格证明文件</w:t>
      </w:r>
      <w:r>
        <w:tab/>
      </w:r>
      <w:r>
        <w:fldChar w:fldCharType="begin"/>
      </w:r>
      <w:r>
        <w:instrText xml:space="preserve"> PAGEREF _Toc11434 \h </w:instrText>
      </w:r>
      <w:r>
        <w:fldChar w:fldCharType="separate"/>
      </w:r>
      <w:r>
        <w:t>13</w:t>
      </w:r>
      <w:r>
        <w:fldChar w:fldCharType="end"/>
      </w:r>
      <w:r>
        <w:fldChar w:fldCharType="end"/>
      </w:r>
    </w:p>
    <w:p>
      <w:pPr>
        <w:pStyle w:val="36"/>
        <w:bidi w:val="0"/>
      </w:pPr>
      <w:r>
        <w:fldChar w:fldCharType="begin"/>
      </w:r>
      <w:r>
        <w:instrText xml:space="preserve"> HYPERLINK \l _Toc24052 </w:instrText>
      </w:r>
      <w:r>
        <w:fldChar w:fldCharType="separate"/>
      </w:r>
      <w:r>
        <w:rPr>
          <w:rFonts w:hint="eastAsia"/>
        </w:rPr>
        <w:t>13</w:t>
      </w:r>
      <w:r>
        <w:rPr>
          <w:rFonts w:hint="eastAsia"/>
        </w:rPr>
        <w:tab/>
      </w:r>
      <w:r>
        <w:rPr>
          <w:rFonts w:hint="eastAsia"/>
        </w:rPr>
        <w:t>货物和服务的证明文件</w:t>
      </w:r>
      <w:r>
        <w:tab/>
      </w:r>
      <w:r>
        <w:fldChar w:fldCharType="begin"/>
      </w:r>
      <w:r>
        <w:instrText xml:space="preserve"> PAGEREF _Toc24052 \h </w:instrText>
      </w:r>
      <w:r>
        <w:fldChar w:fldCharType="separate"/>
      </w:r>
      <w:r>
        <w:t>14</w:t>
      </w:r>
      <w:r>
        <w:fldChar w:fldCharType="end"/>
      </w:r>
      <w:r>
        <w:fldChar w:fldCharType="end"/>
      </w:r>
    </w:p>
    <w:p>
      <w:pPr>
        <w:pStyle w:val="36"/>
        <w:bidi w:val="0"/>
      </w:pPr>
      <w:r>
        <w:fldChar w:fldCharType="begin"/>
      </w:r>
      <w:r>
        <w:instrText xml:space="preserve"> HYPERLINK \l _Toc17784 </w:instrText>
      </w:r>
      <w:r>
        <w:fldChar w:fldCharType="separate"/>
      </w:r>
      <w:r>
        <w:t>14</w:t>
      </w:r>
      <w:r>
        <w:rPr>
          <w:rFonts w:hint="eastAsia"/>
        </w:rPr>
        <w:tab/>
      </w:r>
      <w:r>
        <w:rPr>
          <w:rFonts w:hint="eastAsia"/>
        </w:rPr>
        <w:t>投报价格与报价货币</w:t>
      </w:r>
      <w:r>
        <w:tab/>
      </w:r>
      <w:r>
        <w:fldChar w:fldCharType="begin"/>
      </w:r>
      <w:r>
        <w:instrText xml:space="preserve"> PAGEREF _Toc17784 \h </w:instrText>
      </w:r>
      <w:r>
        <w:fldChar w:fldCharType="separate"/>
      </w:r>
      <w:r>
        <w:t>14</w:t>
      </w:r>
      <w:r>
        <w:fldChar w:fldCharType="end"/>
      </w:r>
      <w:r>
        <w:fldChar w:fldCharType="end"/>
      </w:r>
    </w:p>
    <w:p>
      <w:pPr>
        <w:pStyle w:val="36"/>
        <w:bidi w:val="0"/>
      </w:pPr>
      <w:r>
        <w:fldChar w:fldCharType="begin"/>
      </w:r>
      <w:r>
        <w:instrText xml:space="preserve"> HYPERLINK \l _Toc22132 </w:instrText>
      </w:r>
      <w:r>
        <w:fldChar w:fldCharType="separate"/>
      </w:r>
      <w:r>
        <w:t>15</w:t>
      </w:r>
      <w:r>
        <w:rPr>
          <w:rFonts w:hint="eastAsia"/>
        </w:rPr>
        <w:tab/>
      </w:r>
      <w:r>
        <w:rPr>
          <w:rFonts w:hint="eastAsia"/>
        </w:rPr>
        <w:t>谈判保证金</w:t>
      </w:r>
      <w:r>
        <w:tab/>
      </w:r>
      <w:r>
        <w:fldChar w:fldCharType="begin"/>
      </w:r>
      <w:r>
        <w:instrText xml:space="preserve"> PAGEREF _Toc22132 \h </w:instrText>
      </w:r>
      <w:r>
        <w:fldChar w:fldCharType="separate"/>
      </w:r>
      <w:r>
        <w:t>14</w:t>
      </w:r>
      <w:r>
        <w:fldChar w:fldCharType="end"/>
      </w:r>
      <w:r>
        <w:fldChar w:fldCharType="end"/>
      </w:r>
    </w:p>
    <w:p>
      <w:pPr>
        <w:pStyle w:val="36"/>
        <w:bidi w:val="0"/>
      </w:pPr>
      <w:r>
        <w:fldChar w:fldCharType="begin"/>
      </w:r>
      <w:r>
        <w:instrText xml:space="preserve"> HYPERLINK \l _Toc24535 </w:instrText>
      </w:r>
      <w:r>
        <w:fldChar w:fldCharType="separate"/>
      </w:r>
      <w:r>
        <w:t>16</w:t>
      </w:r>
      <w:r>
        <w:rPr>
          <w:rFonts w:hint="eastAsia"/>
        </w:rPr>
        <w:tab/>
      </w:r>
      <w:r>
        <w:rPr>
          <w:rFonts w:hint="eastAsia"/>
        </w:rPr>
        <w:t>谈判有效期</w:t>
      </w:r>
      <w:r>
        <w:tab/>
      </w:r>
      <w:r>
        <w:fldChar w:fldCharType="begin"/>
      </w:r>
      <w:r>
        <w:instrText xml:space="preserve"> PAGEREF _Toc24535 \h </w:instrText>
      </w:r>
      <w:r>
        <w:fldChar w:fldCharType="separate"/>
      </w:r>
      <w:r>
        <w:t>15</w:t>
      </w:r>
      <w:r>
        <w:fldChar w:fldCharType="end"/>
      </w:r>
      <w:r>
        <w:fldChar w:fldCharType="end"/>
      </w:r>
    </w:p>
    <w:p>
      <w:pPr>
        <w:pStyle w:val="36"/>
        <w:bidi w:val="0"/>
      </w:pPr>
      <w:r>
        <w:fldChar w:fldCharType="begin"/>
      </w:r>
      <w:r>
        <w:instrText xml:space="preserve"> HYPERLINK \l _Toc5589 </w:instrText>
      </w:r>
      <w:r>
        <w:fldChar w:fldCharType="separate"/>
      </w:r>
      <w:r>
        <w:t>17</w:t>
      </w:r>
      <w:r>
        <w:rPr>
          <w:rFonts w:hint="eastAsia"/>
        </w:rPr>
        <w:tab/>
      </w:r>
      <w:r>
        <w:rPr>
          <w:rFonts w:hint="eastAsia"/>
        </w:rPr>
        <w:t>谈判响应文件的签署及规定</w:t>
      </w:r>
      <w:r>
        <w:tab/>
      </w:r>
      <w:r>
        <w:fldChar w:fldCharType="begin"/>
      </w:r>
      <w:r>
        <w:instrText xml:space="preserve"> PAGEREF _Toc5589 \h </w:instrText>
      </w:r>
      <w:r>
        <w:fldChar w:fldCharType="separate"/>
      </w:r>
      <w:r>
        <w:t>15</w:t>
      </w:r>
      <w:r>
        <w:fldChar w:fldCharType="end"/>
      </w:r>
      <w:r>
        <w:fldChar w:fldCharType="end"/>
      </w:r>
    </w:p>
    <w:p>
      <w:pPr>
        <w:pStyle w:val="36"/>
        <w:bidi w:val="0"/>
      </w:pPr>
      <w:r>
        <w:fldChar w:fldCharType="begin"/>
      </w:r>
      <w:r>
        <w:instrText xml:space="preserve"> HYPERLINK \l _Toc10196 </w:instrText>
      </w:r>
      <w:r>
        <w:fldChar w:fldCharType="separate"/>
      </w:r>
      <w:r>
        <w:rPr>
          <w:rFonts w:hint="eastAsia"/>
        </w:rPr>
        <w:t>Ｄ谈判响应文件的递交</w:t>
      </w:r>
      <w:r>
        <w:tab/>
      </w:r>
      <w:r>
        <w:fldChar w:fldCharType="begin"/>
      </w:r>
      <w:r>
        <w:instrText xml:space="preserve"> PAGEREF _Toc10196 \h </w:instrText>
      </w:r>
      <w:r>
        <w:fldChar w:fldCharType="separate"/>
      </w:r>
      <w:r>
        <w:t>15</w:t>
      </w:r>
      <w:r>
        <w:fldChar w:fldCharType="end"/>
      </w:r>
      <w:r>
        <w:fldChar w:fldCharType="end"/>
      </w:r>
    </w:p>
    <w:p>
      <w:pPr>
        <w:pStyle w:val="36"/>
        <w:bidi w:val="0"/>
      </w:pPr>
      <w:r>
        <w:fldChar w:fldCharType="begin"/>
      </w:r>
      <w:r>
        <w:instrText xml:space="preserve"> HYPERLINK \l _Toc5791 </w:instrText>
      </w:r>
      <w:r>
        <w:fldChar w:fldCharType="separate"/>
      </w:r>
      <w:r>
        <w:t>18</w:t>
      </w:r>
      <w:r>
        <w:rPr>
          <w:rFonts w:hint="eastAsia"/>
        </w:rPr>
        <w:tab/>
      </w:r>
      <w:r>
        <w:rPr>
          <w:rFonts w:hint="eastAsia"/>
        </w:rPr>
        <w:t>谈判响应文件的密封和标记</w:t>
      </w:r>
      <w:r>
        <w:tab/>
      </w:r>
      <w:r>
        <w:fldChar w:fldCharType="begin"/>
      </w:r>
      <w:r>
        <w:instrText xml:space="preserve"> PAGEREF _Toc5791 \h </w:instrText>
      </w:r>
      <w:r>
        <w:fldChar w:fldCharType="separate"/>
      </w:r>
      <w:r>
        <w:t>15</w:t>
      </w:r>
      <w:r>
        <w:fldChar w:fldCharType="end"/>
      </w:r>
      <w:r>
        <w:fldChar w:fldCharType="end"/>
      </w:r>
    </w:p>
    <w:p>
      <w:pPr>
        <w:pStyle w:val="36"/>
        <w:bidi w:val="0"/>
      </w:pPr>
      <w:r>
        <w:fldChar w:fldCharType="begin"/>
      </w:r>
      <w:r>
        <w:instrText xml:space="preserve"> HYPERLINK \l _Toc23002 </w:instrText>
      </w:r>
      <w:r>
        <w:fldChar w:fldCharType="separate"/>
      </w:r>
      <w:r>
        <w:rPr>
          <w:rFonts w:hint="eastAsia"/>
        </w:rPr>
        <w:t>19</w:t>
      </w:r>
      <w:r>
        <w:rPr>
          <w:rFonts w:hint="eastAsia"/>
        </w:rPr>
        <w:tab/>
      </w:r>
      <w:r>
        <w:rPr>
          <w:rFonts w:hint="eastAsia"/>
        </w:rPr>
        <w:t>递交谈判响应文件的时间、地点及截止时间</w:t>
      </w:r>
      <w:r>
        <w:tab/>
      </w:r>
      <w:r>
        <w:fldChar w:fldCharType="begin"/>
      </w:r>
      <w:r>
        <w:instrText xml:space="preserve"> PAGEREF _Toc23002 \h </w:instrText>
      </w:r>
      <w:r>
        <w:fldChar w:fldCharType="separate"/>
      </w:r>
      <w:r>
        <w:t>15</w:t>
      </w:r>
      <w:r>
        <w:fldChar w:fldCharType="end"/>
      </w:r>
      <w:r>
        <w:fldChar w:fldCharType="end"/>
      </w:r>
    </w:p>
    <w:p>
      <w:pPr>
        <w:pStyle w:val="36"/>
        <w:bidi w:val="0"/>
      </w:pPr>
      <w:r>
        <w:fldChar w:fldCharType="begin"/>
      </w:r>
      <w:r>
        <w:instrText xml:space="preserve"> HYPERLINK \l _Toc10116 </w:instrText>
      </w:r>
      <w:r>
        <w:fldChar w:fldCharType="separate"/>
      </w:r>
      <w:r>
        <w:t>20</w:t>
      </w:r>
      <w:r>
        <w:rPr>
          <w:rFonts w:hint="eastAsia"/>
        </w:rPr>
        <w:tab/>
      </w:r>
      <w:r>
        <w:rPr>
          <w:rFonts w:hint="eastAsia"/>
        </w:rPr>
        <w:t>迟交的谈判响应文件</w:t>
      </w:r>
      <w:r>
        <w:tab/>
      </w:r>
      <w:r>
        <w:fldChar w:fldCharType="begin"/>
      </w:r>
      <w:r>
        <w:instrText xml:space="preserve"> PAGEREF _Toc10116 \h </w:instrText>
      </w:r>
      <w:r>
        <w:fldChar w:fldCharType="separate"/>
      </w:r>
      <w:r>
        <w:t>16</w:t>
      </w:r>
      <w:r>
        <w:fldChar w:fldCharType="end"/>
      </w:r>
      <w:r>
        <w:fldChar w:fldCharType="end"/>
      </w:r>
    </w:p>
    <w:p>
      <w:pPr>
        <w:pStyle w:val="36"/>
        <w:bidi w:val="0"/>
      </w:pPr>
      <w:r>
        <w:fldChar w:fldCharType="begin"/>
      </w:r>
      <w:r>
        <w:instrText xml:space="preserve"> HYPERLINK \l _Toc26081 </w:instrText>
      </w:r>
      <w:r>
        <w:fldChar w:fldCharType="separate"/>
      </w:r>
      <w:r>
        <w:t>21</w:t>
      </w:r>
      <w:r>
        <w:rPr>
          <w:rFonts w:hint="eastAsia"/>
        </w:rPr>
        <w:tab/>
      </w:r>
      <w:r>
        <w:rPr>
          <w:rFonts w:hint="eastAsia"/>
        </w:rPr>
        <w:t>谈判响应文件的修改和撤回</w:t>
      </w:r>
      <w:r>
        <w:tab/>
      </w:r>
      <w:r>
        <w:fldChar w:fldCharType="begin"/>
      </w:r>
      <w:r>
        <w:instrText xml:space="preserve"> PAGEREF _Toc26081 \h </w:instrText>
      </w:r>
      <w:r>
        <w:fldChar w:fldCharType="separate"/>
      </w:r>
      <w:r>
        <w:t>16</w:t>
      </w:r>
      <w:r>
        <w:fldChar w:fldCharType="end"/>
      </w:r>
      <w:r>
        <w:fldChar w:fldCharType="end"/>
      </w:r>
    </w:p>
    <w:p>
      <w:pPr>
        <w:pStyle w:val="36"/>
        <w:bidi w:val="0"/>
      </w:pPr>
      <w:r>
        <w:fldChar w:fldCharType="begin"/>
      </w:r>
      <w:r>
        <w:instrText xml:space="preserve"> HYPERLINK \l _Toc11372 </w:instrText>
      </w:r>
      <w:r>
        <w:fldChar w:fldCharType="separate"/>
      </w:r>
      <w:r>
        <w:rPr>
          <w:rFonts w:hint="eastAsia"/>
        </w:rPr>
        <w:t>Ｅ竞争性谈判采购程序</w:t>
      </w:r>
      <w:r>
        <w:tab/>
      </w:r>
      <w:r>
        <w:fldChar w:fldCharType="begin"/>
      </w:r>
      <w:r>
        <w:instrText xml:space="preserve"> PAGEREF _Toc11372 \h </w:instrText>
      </w:r>
      <w:r>
        <w:fldChar w:fldCharType="separate"/>
      </w:r>
      <w:r>
        <w:t>16</w:t>
      </w:r>
      <w:r>
        <w:fldChar w:fldCharType="end"/>
      </w:r>
      <w:r>
        <w:fldChar w:fldCharType="end"/>
      </w:r>
    </w:p>
    <w:p>
      <w:pPr>
        <w:pStyle w:val="36"/>
        <w:bidi w:val="0"/>
      </w:pPr>
      <w:r>
        <w:fldChar w:fldCharType="begin"/>
      </w:r>
      <w:r>
        <w:instrText xml:space="preserve"> HYPERLINK \l _Toc11477 </w:instrText>
      </w:r>
      <w:r>
        <w:fldChar w:fldCharType="separate"/>
      </w:r>
      <w:r>
        <w:t>22</w:t>
      </w:r>
      <w:r>
        <w:rPr>
          <w:rFonts w:hint="eastAsia"/>
        </w:rPr>
        <w:tab/>
      </w:r>
      <w:r>
        <w:rPr>
          <w:rFonts w:hint="eastAsia"/>
        </w:rPr>
        <w:t>接收谈判响应文件</w:t>
      </w:r>
      <w:r>
        <w:tab/>
      </w:r>
      <w:r>
        <w:fldChar w:fldCharType="begin"/>
      </w:r>
      <w:r>
        <w:instrText xml:space="preserve"> PAGEREF _Toc11477 \h </w:instrText>
      </w:r>
      <w:r>
        <w:fldChar w:fldCharType="separate"/>
      </w:r>
      <w:r>
        <w:t>16</w:t>
      </w:r>
      <w:r>
        <w:fldChar w:fldCharType="end"/>
      </w:r>
      <w:r>
        <w:fldChar w:fldCharType="end"/>
      </w:r>
    </w:p>
    <w:p>
      <w:pPr>
        <w:pStyle w:val="36"/>
        <w:bidi w:val="0"/>
      </w:pPr>
      <w:r>
        <w:fldChar w:fldCharType="begin"/>
      </w:r>
      <w:r>
        <w:instrText xml:space="preserve"> HYPERLINK \l _Toc25768 </w:instrText>
      </w:r>
      <w:r>
        <w:fldChar w:fldCharType="separate"/>
      </w:r>
      <w:r>
        <w:t>23</w:t>
      </w:r>
      <w:r>
        <w:rPr>
          <w:rFonts w:hint="eastAsia"/>
        </w:rPr>
        <w:tab/>
      </w:r>
      <w:r>
        <w:rPr>
          <w:rFonts w:hint="eastAsia"/>
        </w:rPr>
        <w:t>谈判小组</w:t>
      </w:r>
      <w:r>
        <w:tab/>
      </w:r>
      <w:r>
        <w:fldChar w:fldCharType="begin"/>
      </w:r>
      <w:r>
        <w:instrText xml:space="preserve"> PAGEREF _Toc25768 \h </w:instrText>
      </w:r>
      <w:r>
        <w:fldChar w:fldCharType="separate"/>
      </w:r>
      <w:r>
        <w:t>16</w:t>
      </w:r>
      <w:r>
        <w:fldChar w:fldCharType="end"/>
      </w:r>
      <w:r>
        <w:fldChar w:fldCharType="end"/>
      </w:r>
    </w:p>
    <w:p>
      <w:pPr>
        <w:pStyle w:val="36"/>
        <w:bidi w:val="0"/>
      </w:pPr>
      <w:r>
        <w:fldChar w:fldCharType="begin"/>
      </w:r>
      <w:r>
        <w:instrText xml:space="preserve"> HYPERLINK \l _Toc12919 </w:instrText>
      </w:r>
      <w:r>
        <w:fldChar w:fldCharType="separate"/>
      </w:r>
      <w:r>
        <w:t>2</w:t>
      </w:r>
      <w:r>
        <w:rPr>
          <w:rFonts w:hint="eastAsia"/>
        </w:rPr>
        <w:t>4</w:t>
      </w:r>
      <w:r>
        <w:rPr>
          <w:rFonts w:hint="eastAsia"/>
        </w:rPr>
        <w:tab/>
      </w:r>
      <w:r>
        <w:rPr>
          <w:rFonts w:hint="eastAsia"/>
        </w:rPr>
        <w:t>对谈判响应文件的初审</w:t>
      </w:r>
      <w:r>
        <w:tab/>
      </w:r>
      <w:r>
        <w:fldChar w:fldCharType="begin"/>
      </w:r>
      <w:r>
        <w:instrText xml:space="preserve"> PAGEREF _Toc12919 \h </w:instrText>
      </w:r>
      <w:r>
        <w:fldChar w:fldCharType="separate"/>
      </w:r>
      <w:r>
        <w:t>16</w:t>
      </w:r>
      <w:r>
        <w:fldChar w:fldCharType="end"/>
      </w:r>
      <w:r>
        <w:fldChar w:fldCharType="end"/>
      </w:r>
    </w:p>
    <w:p>
      <w:pPr>
        <w:pStyle w:val="36"/>
        <w:bidi w:val="0"/>
      </w:pPr>
      <w:r>
        <w:fldChar w:fldCharType="begin"/>
      </w:r>
      <w:r>
        <w:instrText xml:space="preserve"> HYPERLINK \l _Toc18402 </w:instrText>
      </w:r>
      <w:r>
        <w:fldChar w:fldCharType="separate"/>
      </w:r>
      <w:r>
        <w:rPr>
          <w:rFonts w:hint="eastAsia"/>
        </w:rPr>
        <w:t>25</w:t>
      </w:r>
      <w:r>
        <w:rPr>
          <w:rFonts w:hint="eastAsia"/>
        </w:rPr>
        <w:tab/>
      </w:r>
      <w:r>
        <w:rPr>
          <w:rFonts w:hint="eastAsia"/>
        </w:rPr>
        <w:t>谈判报价的审核</w:t>
      </w:r>
      <w:r>
        <w:tab/>
      </w:r>
      <w:r>
        <w:fldChar w:fldCharType="begin"/>
      </w:r>
      <w:r>
        <w:instrText xml:space="preserve"> PAGEREF _Toc18402 \h </w:instrText>
      </w:r>
      <w:r>
        <w:fldChar w:fldCharType="separate"/>
      </w:r>
      <w:r>
        <w:t>17</w:t>
      </w:r>
      <w:r>
        <w:fldChar w:fldCharType="end"/>
      </w:r>
      <w:r>
        <w:fldChar w:fldCharType="end"/>
      </w:r>
    </w:p>
    <w:p>
      <w:pPr>
        <w:pStyle w:val="36"/>
        <w:bidi w:val="0"/>
      </w:pPr>
      <w:r>
        <w:fldChar w:fldCharType="begin"/>
      </w:r>
      <w:r>
        <w:instrText xml:space="preserve"> HYPERLINK \l _Toc12040 </w:instrText>
      </w:r>
      <w:r>
        <w:fldChar w:fldCharType="separate"/>
      </w:r>
      <w:r>
        <w:t>2</w:t>
      </w:r>
      <w:r>
        <w:rPr>
          <w:rFonts w:hint="eastAsia"/>
        </w:rPr>
        <w:t>6</w:t>
      </w:r>
      <w:r>
        <w:rPr>
          <w:rFonts w:hint="eastAsia"/>
        </w:rPr>
        <w:tab/>
      </w:r>
      <w:r>
        <w:rPr>
          <w:rFonts w:hint="eastAsia"/>
        </w:rPr>
        <w:t>谈判</w:t>
      </w:r>
      <w:r>
        <w:tab/>
      </w:r>
      <w:r>
        <w:fldChar w:fldCharType="begin"/>
      </w:r>
      <w:r>
        <w:instrText xml:space="preserve"> PAGEREF _Toc12040 \h </w:instrText>
      </w:r>
      <w:r>
        <w:fldChar w:fldCharType="separate"/>
      </w:r>
      <w:r>
        <w:t>17</w:t>
      </w:r>
      <w:r>
        <w:fldChar w:fldCharType="end"/>
      </w:r>
      <w:r>
        <w:fldChar w:fldCharType="end"/>
      </w:r>
    </w:p>
    <w:p>
      <w:pPr>
        <w:pStyle w:val="36"/>
        <w:bidi w:val="0"/>
      </w:pPr>
      <w:r>
        <w:fldChar w:fldCharType="begin"/>
      </w:r>
      <w:r>
        <w:instrText xml:space="preserve"> HYPERLINK \l _Toc22417 </w:instrText>
      </w:r>
      <w:r>
        <w:fldChar w:fldCharType="separate"/>
      </w:r>
      <w:r>
        <w:t>27</w:t>
      </w:r>
      <w:r>
        <w:rPr>
          <w:rFonts w:hint="eastAsia"/>
        </w:rPr>
        <w:tab/>
      </w:r>
      <w:r>
        <w:rPr>
          <w:rFonts w:hint="eastAsia"/>
        </w:rPr>
        <w:t>评审原则</w:t>
      </w:r>
      <w:r>
        <w:tab/>
      </w:r>
      <w:r>
        <w:fldChar w:fldCharType="begin"/>
      </w:r>
      <w:r>
        <w:instrText xml:space="preserve"> PAGEREF _Toc22417 \h </w:instrText>
      </w:r>
      <w:r>
        <w:fldChar w:fldCharType="separate"/>
      </w:r>
      <w:r>
        <w:t>17</w:t>
      </w:r>
      <w:r>
        <w:fldChar w:fldCharType="end"/>
      </w:r>
      <w:r>
        <w:fldChar w:fldCharType="end"/>
      </w:r>
    </w:p>
    <w:p>
      <w:pPr>
        <w:pStyle w:val="36"/>
        <w:bidi w:val="0"/>
      </w:pPr>
      <w:r>
        <w:fldChar w:fldCharType="begin"/>
      </w:r>
      <w:r>
        <w:instrText xml:space="preserve"> HYPERLINK \l _Toc1911 </w:instrText>
      </w:r>
      <w:r>
        <w:fldChar w:fldCharType="separate"/>
      </w:r>
      <w:r>
        <w:t>28</w:t>
      </w:r>
      <w:r>
        <w:rPr>
          <w:rFonts w:hint="eastAsia"/>
        </w:rPr>
        <w:tab/>
      </w:r>
      <w:r>
        <w:rPr>
          <w:rFonts w:hint="eastAsia"/>
        </w:rPr>
        <w:t>评审办法</w:t>
      </w:r>
      <w:r>
        <w:tab/>
      </w:r>
      <w:r>
        <w:fldChar w:fldCharType="begin"/>
      </w:r>
      <w:r>
        <w:instrText xml:space="preserve"> PAGEREF _Toc1911 \h </w:instrText>
      </w:r>
      <w:r>
        <w:fldChar w:fldCharType="separate"/>
      </w:r>
      <w:r>
        <w:t>17</w:t>
      </w:r>
      <w:r>
        <w:fldChar w:fldCharType="end"/>
      </w:r>
      <w:r>
        <w:fldChar w:fldCharType="end"/>
      </w:r>
    </w:p>
    <w:p>
      <w:pPr>
        <w:pStyle w:val="36"/>
        <w:bidi w:val="0"/>
      </w:pPr>
      <w:r>
        <w:fldChar w:fldCharType="begin"/>
      </w:r>
      <w:r>
        <w:instrText xml:space="preserve"> HYPERLINK \l _Toc28912 </w:instrText>
      </w:r>
      <w:r>
        <w:fldChar w:fldCharType="separate"/>
      </w:r>
      <w:r>
        <w:rPr>
          <w:rFonts w:hint="eastAsia"/>
        </w:rPr>
        <w:t>29</w:t>
      </w:r>
      <w:r>
        <w:rPr>
          <w:rFonts w:hint="eastAsia"/>
        </w:rPr>
        <w:tab/>
      </w:r>
      <w:r>
        <w:rPr>
          <w:rFonts w:hint="eastAsia"/>
        </w:rPr>
        <w:t>评审注意事项</w:t>
      </w:r>
      <w:r>
        <w:tab/>
      </w:r>
      <w:r>
        <w:fldChar w:fldCharType="begin"/>
      </w:r>
      <w:r>
        <w:instrText xml:space="preserve"> PAGEREF _Toc28912 \h </w:instrText>
      </w:r>
      <w:r>
        <w:fldChar w:fldCharType="separate"/>
      </w:r>
      <w:r>
        <w:t>17</w:t>
      </w:r>
      <w:r>
        <w:fldChar w:fldCharType="end"/>
      </w:r>
      <w:r>
        <w:fldChar w:fldCharType="end"/>
      </w:r>
    </w:p>
    <w:p>
      <w:pPr>
        <w:pStyle w:val="36"/>
        <w:bidi w:val="0"/>
      </w:pPr>
      <w:r>
        <w:fldChar w:fldCharType="begin"/>
      </w:r>
      <w:r>
        <w:instrText xml:space="preserve"> HYPERLINK \l _Toc10228 </w:instrText>
      </w:r>
      <w:r>
        <w:fldChar w:fldCharType="separate"/>
      </w:r>
      <w:r>
        <w:rPr>
          <w:rFonts w:hint="eastAsia"/>
        </w:rPr>
        <w:t>30</w:t>
      </w:r>
      <w:r>
        <w:rPr>
          <w:rFonts w:hint="eastAsia"/>
        </w:rPr>
        <w:tab/>
      </w:r>
      <w:r>
        <w:rPr>
          <w:rFonts w:hint="eastAsia"/>
        </w:rPr>
        <w:t>发布成交结果公告和发放成交通知书</w:t>
      </w:r>
      <w:r>
        <w:tab/>
      </w:r>
      <w:r>
        <w:fldChar w:fldCharType="begin"/>
      </w:r>
      <w:r>
        <w:instrText xml:space="preserve"> PAGEREF _Toc10228 \h </w:instrText>
      </w:r>
      <w:r>
        <w:fldChar w:fldCharType="separate"/>
      </w:r>
      <w:r>
        <w:t>18</w:t>
      </w:r>
      <w:r>
        <w:fldChar w:fldCharType="end"/>
      </w:r>
      <w:r>
        <w:fldChar w:fldCharType="end"/>
      </w:r>
    </w:p>
    <w:p>
      <w:pPr>
        <w:pStyle w:val="36"/>
        <w:bidi w:val="0"/>
      </w:pPr>
      <w:r>
        <w:fldChar w:fldCharType="begin"/>
      </w:r>
      <w:r>
        <w:instrText xml:space="preserve"> HYPERLINK \l _Toc19404 </w:instrText>
      </w:r>
      <w:r>
        <w:fldChar w:fldCharType="separate"/>
      </w:r>
      <w:r>
        <w:rPr>
          <w:rFonts w:hint="eastAsia"/>
        </w:rPr>
        <w:t>31     投标供应商对成交结果的质疑、投诉</w:t>
      </w:r>
      <w:r>
        <w:tab/>
      </w:r>
      <w:r>
        <w:fldChar w:fldCharType="begin"/>
      </w:r>
      <w:r>
        <w:instrText xml:space="preserve"> PAGEREF _Toc19404 \h </w:instrText>
      </w:r>
      <w:r>
        <w:fldChar w:fldCharType="separate"/>
      </w:r>
      <w:r>
        <w:t>18</w:t>
      </w:r>
      <w:r>
        <w:fldChar w:fldCharType="end"/>
      </w:r>
      <w:r>
        <w:fldChar w:fldCharType="end"/>
      </w:r>
    </w:p>
    <w:p>
      <w:pPr>
        <w:pStyle w:val="36"/>
        <w:bidi w:val="0"/>
      </w:pPr>
      <w:r>
        <w:fldChar w:fldCharType="begin"/>
      </w:r>
      <w:r>
        <w:instrText xml:space="preserve"> HYPERLINK \l _Toc23564 </w:instrText>
      </w:r>
      <w:r>
        <w:fldChar w:fldCharType="separate"/>
      </w:r>
      <w:r>
        <w:rPr>
          <w:rFonts w:hint="eastAsia"/>
        </w:rPr>
        <w:t>Ｆ  授予合同</w:t>
      </w:r>
      <w:r>
        <w:tab/>
      </w:r>
      <w:r>
        <w:fldChar w:fldCharType="begin"/>
      </w:r>
      <w:r>
        <w:instrText xml:space="preserve"> PAGEREF _Toc23564 \h </w:instrText>
      </w:r>
      <w:r>
        <w:fldChar w:fldCharType="separate"/>
      </w:r>
      <w:r>
        <w:t>18</w:t>
      </w:r>
      <w:r>
        <w:fldChar w:fldCharType="end"/>
      </w:r>
      <w:r>
        <w:fldChar w:fldCharType="end"/>
      </w:r>
    </w:p>
    <w:p>
      <w:pPr>
        <w:pStyle w:val="36"/>
        <w:bidi w:val="0"/>
      </w:pPr>
      <w:r>
        <w:fldChar w:fldCharType="begin"/>
      </w:r>
      <w:r>
        <w:instrText xml:space="preserve"> HYPERLINK \l _Toc29860 </w:instrText>
      </w:r>
      <w:r>
        <w:fldChar w:fldCharType="separate"/>
      </w:r>
      <w:r>
        <w:rPr>
          <w:rFonts w:hint="eastAsia"/>
        </w:rPr>
        <w:t>32     接受和拒绝投标的权利</w:t>
      </w:r>
      <w:r>
        <w:tab/>
      </w:r>
      <w:r>
        <w:fldChar w:fldCharType="begin"/>
      </w:r>
      <w:r>
        <w:instrText xml:space="preserve"> PAGEREF _Toc29860 \h </w:instrText>
      </w:r>
      <w:r>
        <w:fldChar w:fldCharType="separate"/>
      </w:r>
      <w:r>
        <w:t>18</w:t>
      </w:r>
      <w:r>
        <w:fldChar w:fldCharType="end"/>
      </w:r>
      <w:r>
        <w:fldChar w:fldCharType="end"/>
      </w:r>
    </w:p>
    <w:p>
      <w:pPr>
        <w:pStyle w:val="36"/>
        <w:bidi w:val="0"/>
      </w:pPr>
      <w:r>
        <w:fldChar w:fldCharType="begin"/>
      </w:r>
      <w:r>
        <w:instrText xml:space="preserve"> HYPERLINK \l _Toc22720 </w:instrText>
      </w:r>
      <w:r>
        <w:fldChar w:fldCharType="separate"/>
      </w:r>
      <w:r>
        <w:rPr>
          <w:rFonts w:hint="eastAsia"/>
        </w:rPr>
        <w:t>33</w:t>
      </w:r>
      <w:r>
        <w:rPr>
          <w:rFonts w:hint="eastAsia"/>
        </w:rPr>
        <w:tab/>
      </w:r>
      <w:r>
        <w:rPr>
          <w:rFonts w:hint="eastAsia"/>
        </w:rPr>
        <w:t xml:space="preserve">   合同授予标准</w:t>
      </w:r>
      <w:r>
        <w:tab/>
      </w:r>
      <w:r>
        <w:fldChar w:fldCharType="begin"/>
      </w:r>
      <w:r>
        <w:instrText xml:space="preserve"> PAGEREF _Toc22720 \h </w:instrText>
      </w:r>
      <w:r>
        <w:fldChar w:fldCharType="separate"/>
      </w:r>
      <w:r>
        <w:t>18</w:t>
      </w:r>
      <w:r>
        <w:fldChar w:fldCharType="end"/>
      </w:r>
      <w:r>
        <w:fldChar w:fldCharType="end"/>
      </w:r>
    </w:p>
    <w:p>
      <w:pPr>
        <w:pStyle w:val="36"/>
        <w:bidi w:val="0"/>
      </w:pPr>
      <w:r>
        <w:fldChar w:fldCharType="begin"/>
      </w:r>
      <w:r>
        <w:instrText xml:space="preserve"> HYPERLINK \l _Toc17652 </w:instrText>
      </w:r>
      <w:r>
        <w:fldChar w:fldCharType="separate"/>
      </w:r>
      <w:r>
        <w:rPr>
          <w:rFonts w:hint="eastAsia"/>
        </w:rPr>
        <w:t>34</w:t>
      </w:r>
      <w:r>
        <w:rPr>
          <w:rFonts w:hint="eastAsia"/>
        </w:rPr>
        <w:tab/>
      </w:r>
      <w:r>
        <w:rPr>
          <w:rFonts w:hint="eastAsia"/>
        </w:rPr>
        <w:t xml:space="preserve">   签订合同</w:t>
      </w:r>
      <w:r>
        <w:tab/>
      </w:r>
      <w:r>
        <w:fldChar w:fldCharType="begin"/>
      </w:r>
      <w:r>
        <w:instrText xml:space="preserve"> PAGEREF _Toc17652 \h </w:instrText>
      </w:r>
      <w:r>
        <w:fldChar w:fldCharType="separate"/>
      </w:r>
      <w:r>
        <w:t>19</w:t>
      </w:r>
      <w:r>
        <w:fldChar w:fldCharType="end"/>
      </w:r>
      <w:r>
        <w:fldChar w:fldCharType="end"/>
      </w:r>
    </w:p>
    <w:p>
      <w:pPr>
        <w:pStyle w:val="36"/>
        <w:bidi w:val="0"/>
      </w:pPr>
      <w:r>
        <w:fldChar w:fldCharType="begin"/>
      </w:r>
      <w:r>
        <w:instrText xml:space="preserve"> HYPERLINK \l _Toc4145 </w:instrText>
      </w:r>
      <w:r>
        <w:fldChar w:fldCharType="separate"/>
      </w:r>
      <w:r>
        <w:t>G</w:t>
      </w:r>
      <w:r>
        <w:rPr>
          <w:rFonts w:hint="eastAsia"/>
        </w:rPr>
        <w:t>、政府采购政策</w:t>
      </w:r>
      <w:r>
        <w:tab/>
      </w:r>
      <w:r>
        <w:fldChar w:fldCharType="begin"/>
      </w:r>
      <w:r>
        <w:instrText xml:space="preserve"> PAGEREF _Toc4145 \h </w:instrText>
      </w:r>
      <w:r>
        <w:fldChar w:fldCharType="separate"/>
      </w:r>
      <w:r>
        <w:t>20</w:t>
      </w:r>
      <w:r>
        <w:fldChar w:fldCharType="end"/>
      </w:r>
      <w:r>
        <w:fldChar w:fldCharType="end"/>
      </w:r>
    </w:p>
    <w:p>
      <w:pPr>
        <w:pStyle w:val="36"/>
        <w:bidi w:val="0"/>
      </w:pPr>
      <w:r>
        <w:fldChar w:fldCharType="begin"/>
      </w:r>
      <w:r>
        <w:instrText xml:space="preserve"> HYPERLINK \l _Toc12958 </w:instrText>
      </w:r>
      <w:r>
        <w:fldChar w:fldCharType="separate"/>
      </w:r>
      <w:r>
        <w:rPr>
          <w:rFonts w:hint="eastAsia"/>
        </w:rPr>
        <w:t>第四部分  合同书格式（参考范本）</w:t>
      </w:r>
      <w:r>
        <w:tab/>
      </w:r>
      <w:r>
        <w:fldChar w:fldCharType="begin"/>
      </w:r>
      <w:r>
        <w:instrText xml:space="preserve"> PAGEREF _Toc12958 \h </w:instrText>
      </w:r>
      <w:r>
        <w:fldChar w:fldCharType="separate"/>
      </w:r>
      <w:r>
        <w:t>22</w:t>
      </w:r>
      <w:r>
        <w:fldChar w:fldCharType="end"/>
      </w:r>
      <w:r>
        <w:fldChar w:fldCharType="end"/>
      </w:r>
    </w:p>
    <w:p>
      <w:pPr>
        <w:pStyle w:val="36"/>
        <w:bidi w:val="0"/>
      </w:pPr>
      <w:r>
        <w:fldChar w:fldCharType="begin"/>
      </w:r>
      <w:r>
        <w:instrText xml:space="preserve"> HYPERLINK \l _Toc25563 </w:instrText>
      </w:r>
      <w:r>
        <w:fldChar w:fldCharType="separate"/>
      </w:r>
      <w:r>
        <w:rPr>
          <w:rFonts w:hint="eastAsia"/>
        </w:rPr>
        <w:t>第五部分  谈判文件格式</w:t>
      </w:r>
      <w:r>
        <w:tab/>
      </w:r>
      <w:r>
        <w:fldChar w:fldCharType="begin"/>
      </w:r>
      <w:r>
        <w:instrText xml:space="preserve"> PAGEREF _Toc25563 \h </w:instrText>
      </w:r>
      <w:r>
        <w:fldChar w:fldCharType="separate"/>
      </w:r>
      <w:r>
        <w:t>25</w:t>
      </w:r>
      <w:r>
        <w:fldChar w:fldCharType="end"/>
      </w:r>
      <w:r>
        <w:fldChar w:fldCharType="end"/>
      </w:r>
    </w:p>
    <w:p>
      <w:pPr>
        <w:pStyle w:val="36"/>
        <w:bidi w:val="0"/>
      </w:pPr>
      <w:r>
        <w:fldChar w:fldCharType="begin"/>
      </w:r>
      <w:r>
        <w:instrText xml:space="preserve"> HYPERLINK \l _Toc22474 </w:instrText>
      </w:r>
      <w:r>
        <w:fldChar w:fldCharType="separate"/>
      </w:r>
      <w:r>
        <w:rPr>
          <w:rFonts w:hint="eastAsia"/>
        </w:rPr>
        <w:t>封面格式</w:t>
      </w:r>
      <w:r>
        <w:tab/>
      </w:r>
      <w:r>
        <w:fldChar w:fldCharType="begin"/>
      </w:r>
      <w:r>
        <w:instrText xml:space="preserve"> PAGEREF _Toc22474 \h </w:instrText>
      </w:r>
      <w:r>
        <w:fldChar w:fldCharType="separate"/>
      </w:r>
      <w:r>
        <w:t>25</w:t>
      </w:r>
      <w:r>
        <w:fldChar w:fldCharType="end"/>
      </w:r>
      <w:r>
        <w:fldChar w:fldCharType="end"/>
      </w:r>
    </w:p>
    <w:p>
      <w:pPr>
        <w:pStyle w:val="36"/>
        <w:bidi w:val="0"/>
      </w:pPr>
      <w:r>
        <w:fldChar w:fldCharType="begin"/>
      </w:r>
      <w:r>
        <w:instrText xml:space="preserve"> HYPERLINK \l _Toc12660 </w:instrText>
      </w:r>
      <w:r>
        <w:fldChar w:fldCharType="separate"/>
      </w:r>
      <w:r>
        <w:rPr>
          <w:rFonts w:hint="eastAsia"/>
        </w:rPr>
        <w:t>第一章  资格性/符合性自查表</w:t>
      </w:r>
      <w:r>
        <w:tab/>
      </w:r>
      <w:r>
        <w:fldChar w:fldCharType="begin"/>
      </w:r>
      <w:r>
        <w:instrText xml:space="preserve"> PAGEREF _Toc12660 \h </w:instrText>
      </w:r>
      <w:r>
        <w:fldChar w:fldCharType="separate"/>
      </w:r>
      <w:r>
        <w:t>26</w:t>
      </w:r>
      <w:r>
        <w:fldChar w:fldCharType="end"/>
      </w:r>
      <w:r>
        <w:fldChar w:fldCharType="end"/>
      </w:r>
    </w:p>
    <w:p>
      <w:pPr>
        <w:pStyle w:val="36"/>
        <w:bidi w:val="0"/>
      </w:pPr>
      <w:r>
        <w:fldChar w:fldCharType="begin"/>
      </w:r>
      <w:r>
        <w:instrText xml:space="preserve"> HYPERLINK \l _Toc24259 </w:instrText>
      </w:r>
      <w:r>
        <w:fldChar w:fldCharType="separate"/>
      </w:r>
      <w:r>
        <w:rPr>
          <w:rFonts w:hint="eastAsia"/>
        </w:rPr>
        <w:t>（一）无重大违法记录声明函</w:t>
      </w:r>
      <w:r>
        <w:tab/>
      </w:r>
      <w:r>
        <w:fldChar w:fldCharType="begin"/>
      </w:r>
      <w:r>
        <w:instrText xml:space="preserve"> PAGEREF _Toc24259 \h </w:instrText>
      </w:r>
      <w:r>
        <w:fldChar w:fldCharType="separate"/>
      </w:r>
      <w:r>
        <w:t>27</w:t>
      </w:r>
      <w:r>
        <w:fldChar w:fldCharType="end"/>
      </w:r>
      <w:r>
        <w:fldChar w:fldCharType="end"/>
      </w:r>
    </w:p>
    <w:p>
      <w:pPr>
        <w:pStyle w:val="36"/>
        <w:bidi w:val="0"/>
      </w:pPr>
      <w:r>
        <w:fldChar w:fldCharType="begin"/>
      </w:r>
      <w:r>
        <w:instrText xml:space="preserve"> HYPERLINK \l _Toc22499 </w:instrText>
      </w:r>
      <w:r>
        <w:fldChar w:fldCharType="separate"/>
      </w:r>
      <w:r>
        <w:rPr>
          <w:rFonts w:hint="eastAsia"/>
        </w:rPr>
        <w:t>（二）法定代表人（负责人）证明书</w:t>
      </w:r>
      <w:r>
        <w:tab/>
      </w:r>
      <w:r>
        <w:fldChar w:fldCharType="begin"/>
      </w:r>
      <w:r>
        <w:instrText xml:space="preserve"> PAGEREF _Toc22499 \h </w:instrText>
      </w:r>
      <w:r>
        <w:fldChar w:fldCharType="separate"/>
      </w:r>
      <w:r>
        <w:t>28</w:t>
      </w:r>
      <w:r>
        <w:fldChar w:fldCharType="end"/>
      </w:r>
      <w:r>
        <w:fldChar w:fldCharType="end"/>
      </w:r>
    </w:p>
    <w:p>
      <w:pPr>
        <w:pStyle w:val="36"/>
        <w:bidi w:val="0"/>
      </w:pPr>
      <w:r>
        <w:fldChar w:fldCharType="begin"/>
      </w:r>
      <w:r>
        <w:instrText xml:space="preserve"> HYPERLINK \l _Toc6536 </w:instrText>
      </w:r>
      <w:r>
        <w:fldChar w:fldCharType="separate"/>
      </w:r>
      <w:r>
        <w:rPr>
          <w:rFonts w:hint="eastAsia"/>
        </w:rPr>
        <w:t>（三）法定代表人（负责人）授权书</w:t>
      </w:r>
      <w:r>
        <w:tab/>
      </w:r>
      <w:r>
        <w:fldChar w:fldCharType="begin"/>
      </w:r>
      <w:r>
        <w:instrText xml:space="preserve"> PAGEREF _Toc6536 \h </w:instrText>
      </w:r>
      <w:r>
        <w:fldChar w:fldCharType="separate"/>
      </w:r>
      <w:r>
        <w:t>29</w:t>
      </w:r>
      <w:r>
        <w:fldChar w:fldCharType="end"/>
      </w:r>
      <w:r>
        <w:fldChar w:fldCharType="end"/>
      </w:r>
    </w:p>
    <w:p>
      <w:pPr>
        <w:pStyle w:val="36"/>
        <w:bidi w:val="0"/>
      </w:pPr>
      <w:r>
        <w:fldChar w:fldCharType="begin"/>
      </w:r>
      <w:r>
        <w:instrText xml:space="preserve"> HYPERLINK \l _Toc31993 </w:instrText>
      </w:r>
      <w:r>
        <w:fldChar w:fldCharType="separate"/>
      </w:r>
      <w:r>
        <w:rPr>
          <w:rFonts w:hint="eastAsia"/>
        </w:rPr>
        <w:t>（四）资格审查文件要求提交的其它有效证明文件</w:t>
      </w:r>
      <w:r>
        <w:tab/>
      </w:r>
      <w:r>
        <w:fldChar w:fldCharType="begin"/>
      </w:r>
      <w:r>
        <w:instrText xml:space="preserve"> PAGEREF _Toc31993 \h </w:instrText>
      </w:r>
      <w:r>
        <w:fldChar w:fldCharType="separate"/>
      </w:r>
      <w:r>
        <w:t>30</w:t>
      </w:r>
      <w:r>
        <w:fldChar w:fldCharType="end"/>
      </w:r>
      <w:r>
        <w:fldChar w:fldCharType="end"/>
      </w:r>
    </w:p>
    <w:p>
      <w:pPr>
        <w:pStyle w:val="36"/>
        <w:bidi w:val="0"/>
      </w:pPr>
      <w:r>
        <w:fldChar w:fldCharType="begin"/>
      </w:r>
      <w:r>
        <w:instrText xml:space="preserve"> HYPERLINK \l _Toc2870 </w:instrText>
      </w:r>
      <w:r>
        <w:fldChar w:fldCharType="separate"/>
      </w:r>
      <w:r>
        <w:rPr>
          <w:rFonts w:hint="eastAsia"/>
        </w:rPr>
        <w:t>第二章  谈判响应文件商务及技术部分</w:t>
      </w:r>
      <w:r>
        <w:tab/>
      </w:r>
      <w:r>
        <w:fldChar w:fldCharType="begin"/>
      </w:r>
      <w:r>
        <w:instrText xml:space="preserve"> PAGEREF _Toc2870 \h </w:instrText>
      </w:r>
      <w:r>
        <w:fldChar w:fldCharType="separate"/>
      </w:r>
      <w:r>
        <w:t>31</w:t>
      </w:r>
      <w:r>
        <w:fldChar w:fldCharType="end"/>
      </w:r>
      <w:r>
        <w:fldChar w:fldCharType="end"/>
      </w:r>
    </w:p>
    <w:p>
      <w:pPr>
        <w:pStyle w:val="36"/>
        <w:bidi w:val="0"/>
      </w:pPr>
      <w:r>
        <w:fldChar w:fldCharType="begin"/>
      </w:r>
      <w:r>
        <w:instrText xml:space="preserve"> HYPERLINK \l _Toc25030 </w:instrText>
      </w:r>
      <w:r>
        <w:fldChar w:fldCharType="separate"/>
      </w:r>
      <w:r>
        <w:rPr>
          <w:rFonts w:hint="eastAsia"/>
        </w:rPr>
        <w:t>附件一：谈判响应函</w:t>
      </w:r>
      <w:r>
        <w:tab/>
      </w:r>
      <w:r>
        <w:fldChar w:fldCharType="begin"/>
      </w:r>
      <w:r>
        <w:instrText xml:space="preserve"> PAGEREF _Toc25030 \h </w:instrText>
      </w:r>
      <w:r>
        <w:fldChar w:fldCharType="separate"/>
      </w:r>
      <w:r>
        <w:t>31</w:t>
      </w:r>
      <w:r>
        <w:fldChar w:fldCharType="end"/>
      </w:r>
      <w:r>
        <w:fldChar w:fldCharType="end"/>
      </w:r>
    </w:p>
    <w:p>
      <w:pPr>
        <w:pStyle w:val="36"/>
        <w:bidi w:val="0"/>
      </w:pPr>
      <w:r>
        <w:fldChar w:fldCharType="begin"/>
      </w:r>
      <w:r>
        <w:instrText xml:space="preserve"> HYPERLINK \l _Toc6515 </w:instrText>
      </w:r>
      <w:r>
        <w:fldChar w:fldCharType="separate"/>
      </w:r>
      <w:r>
        <w:rPr>
          <w:rFonts w:hint="eastAsia"/>
        </w:rPr>
        <w:t>附件二：第一次报价一览表</w:t>
      </w:r>
      <w:r>
        <w:tab/>
      </w:r>
      <w:r>
        <w:fldChar w:fldCharType="begin"/>
      </w:r>
      <w:r>
        <w:instrText xml:space="preserve"> PAGEREF _Toc6515 \h </w:instrText>
      </w:r>
      <w:r>
        <w:fldChar w:fldCharType="separate"/>
      </w:r>
      <w:r>
        <w:t>32</w:t>
      </w:r>
      <w:r>
        <w:fldChar w:fldCharType="end"/>
      </w:r>
      <w:r>
        <w:fldChar w:fldCharType="end"/>
      </w:r>
    </w:p>
    <w:p>
      <w:pPr>
        <w:pStyle w:val="36"/>
        <w:bidi w:val="0"/>
      </w:pPr>
      <w:r>
        <w:fldChar w:fldCharType="begin"/>
      </w:r>
      <w:r>
        <w:instrText xml:space="preserve"> HYPERLINK \l _Toc17089 </w:instrText>
      </w:r>
      <w:r>
        <w:fldChar w:fldCharType="separate"/>
      </w:r>
      <w:r>
        <w:rPr>
          <w:rFonts w:hint="eastAsia"/>
        </w:rPr>
        <w:t>附件三：谈判分项报价</w:t>
      </w:r>
      <w:r>
        <w:t>表</w:t>
      </w:r>
      <w:r>
        <w:tab/>
      </w:r>
      <w:r>
        <w:fldChar w:fldCharType="begin"/>
      </w:r>
      <w:r>
        <w:instrText xml:space="preserve"> PAGEREF _Toc17089 \h </w:instrText>
      </w:r>
      <w:r>
        <w:fldChar w:fldCharType="separate"/>
      </w:r>
      <w:r>
        <w:t>33</w:t>
      </w:r>
      <w:r>
        <w:fldChar w:fldCharType="end"/>
      </w:r>
      <w:r>
        <w:fldChar w:fldCharType="end"/>
      </w:r>
    </w:p>
    <w:p>
      <w:pPr>
        <w:pStyle w:val="36"/>
        <w:bidi w:val="0"/>
      </w:pPr>
      <w:r>
        <w:fldChar w:fldCharType="begin"/>
      </w:r>
      <w:r>
        <w:instrText xml:space="preserve"> HYPERLINK \l _Toc3716 </w:instrText>
      </w:r>
      <w:r>
        <w:fldChar w:fldCharType="separate"/>
      </w:r>
      <w:r>
        <w:rPr>
          <w:rFonts w:hint="eastAsia"/>
        </w:rPr>
        <w:t>附件四：商务条款偏离一览表</w:t>
      </w:r>
      <w:r>
        <w:tab/>
      </w:r>
      <w:r>
        <w:fldChar w:fldCharType="begin"/>
      </w:r>
      <w:r>
        <w:instrText xml:space="preserve"> PAGEREF _Toc3716 \h </w:instrText>
      </w:r>
      <w:r>
        <w:fldChar w:fldCharType="separate"/>
      </w:r>
      <w:r>
        <w:t>34</w:t>
      </w:r>
      <w:r>
        <w:fldChar w:fldCharType="end"/>
      </w:r>
      <w:r>
        <w:fldChar w:fldCharType="end"/>
      </w:r>
    </w:p>
    <w:p>
      <w:pPr>
        <w:pStyle w:val="36"/>
        <w:bidi w:val="0"/>
      </w:pPr>
      <w:r>
        <w:fldChar w:fldCharType="begin"/>
      </w:r>
      <w:r>
        <w:instrText xml:space="preserve"> HYPERLINK \l _Toc27175 </w:instrText>
      </w:r>
      <w:r>
        <w:fldChar w:fldCharType="separate"/>
      </w:r>
      <w:r>
        <w:rPr>
          <w:rFonts w:hint="eastAsia"/>
        </w:rPr>
        <w:t>附件五：技术条款偏离一览表</w:t>
      </w:r>
      <w:r>
        <w:tab/>
      </w:r>
      <w:r>
        <w:fldChar w:fldCharType="begin"/>
      </w:r>
      <w:r>
        <w:instrText xml:space="preserve"> PAGEREF _Toc27175 \h </w:instrText>
      </w:r>
      <w:r>
        <w:fldChar w:fldCharType="separate"/>
      </w:r>
      <w:r>
        <w:t>35</w:t>
      </w:r>
      <w:r>
        <w:fldChar w:fldCharType="end"/>
      </w:r>
      <w:r>
        <w:fldChar w:fldCharType="end"/>
      </w:r>
    </w:p>
    <w:p>
      <w:pPr>
        <w:pStyle w:val="36"/>
        <w:bidi w:val="0"/>
      </w:pPr>
      <w:r>
        <w:fldChar w:fldCharType="begin"/>
      </w:r>
      <w:r>
        <w:instrText xml:space="preserve"> HYPERLINK \l _Toc6320 </w:instrText>
      </w:r>
      <w:r>
        <w:fldChar w:fldCharType="separate"/>
      </w:r>
      <w:r>
        <w:rPr>
          <w:rFonts w:hint="eastAsia"/>
        </w:rPr>
        <w:t>附件六：同类业绩一览表</w:t>
      </w:r>
      <w:r>
        <w:tab/>
      </w:r>
      <w:r>
        <w:fldChar w:fldCharType="begin"/>
      </w:r>
      <w:r>
        <w:instrText xml:space="preserve"> PAGEREF _Toc6320 \h </w:instrText>
      </w:r>
      <w:r>
        <w:fldChar w:fldCharType="separate"/>
      </w:r>
      <w:r>
        <w:t>36</w:t>
      </w:r>
      <w:r>
        <w:fldChar w:fldCharType="end"/>
      </w:r>
      <w:r>
        <w:fldChar w:fldCharType="end"/>
      </w:r>
    </w:p>
    <w:p>
      <w:pPr>
        <w:pStyle w:val="36"/>
        <w:bidi w:val="0"/>
      </w:pPr>
      <w:r>
        <w:fldChar w:fldCharType="begin"/>
      </w:r>
      <w:r>
        <w:instrText xml:space="preserve"> HYPERLINK \l _Toc3628 </w:instrText>
      </w:r>
      <w:r>
        <w:fldChar w:fldCharType="separate"/>
      </w:r>
      <w:r>
        <w:rPr>
          <w:rFonts w:hint="eastAsia"/>
        </w:rPr>
        <w:t>附件七：中小微企业声明函</w:t>
      </w:r>
      <w:r>
        <w:tab/>
      </w:r>
      <w:r>
        <w:fldChar w:fldCharType="begin"/>
      </w:r>
      <w:r>
        <w:instrText xml:space="preserve"> PAGEREF _Toc3628 \h </w:instrText>
      </w:r>
      <w:r>
        <w:fldChar w:fldCharType="separate"/>
      </w:r>
      <w:r>
        <w:t>37</w:t>
      </w:r>
      <w:r>
        <w:fldChar w:fldCharType="end"/>
      </w:r>
      <w:r>
        <w:fldChar w:fldCharType="end"/>
      </w:r>
    </w:p>
    <w:p>
      <w:pPr>
        <w:pStyle w:val="36"/>
        <w:bidi w:val="0"/>
      </w:pPr>
      <w:r>
        <w:fldChar w:fldCharType="begin"/>
      </w:r>
      <w:r>
        <w:instrText xml:space="preserve"> HYPERLINK \l _Toc6686 </w:instrText>
      </w:r>
      <w:r>
        <w:fldChar w:fldCharType="separate"/>
      </w:r>
      <w:r>
        <w:rPr>
          <w:rFonts w:hint="eastAsia"/>
        </w:rPr>
        <w:t>附件八：残疾人福利性单位声明函</w:t>
      </w:r>
      <w:r>
        <w:tab/>
      </w:r>
      <w:r>
        <w:fldChar w:fldCharType="begin"/>
      </w:r>
      <w:r>
        <w:instrText xml:space="preserve"> PAGEREF _Toc6686 \h </w:instrText>
      </w:r>
      <w:r>
        <w:fldChar w:fldCharType="separate"/>
      </w:r>
      <w:r>
        <w:t>38</w:t>
      </w:r>
      <w:r>
        <w:fldChar w:fldCharType="end"/>
      </w:r>
      <w:r>
        <w:fldChar w:fldCharType="end"/>
      </w:r>
    </w:p>
    <w:p>
      <w:pPr>
        <w:pStyle w:val="36"/>
        <w:bidi w:val="0"/>
      </w:pPr>
      <w:r>
        <w:fldChar w:fldCharType="begin"/>
      </w:r>
      <w:r>
        <w:instrText xml:space="preserve"> HYPERLINK \l _Toc8707 </w:instrText>
      </w:r>
      <w:r>
        <w:fldChar w:fldCharType="separate"/>
      </w:r>
      <w:r>
        <w:rPr>
          <w:rFonts w:hint="eastAsia"/>
        </w:rPr>
        <w:t>附件九：成交服务费承诺</w:t>
      </w:r>
      <w:r>
        <w:tab/>
      </w:r>
      <w:r>
        <w:fldChar w:fldCharType="begin"/>
      </w:r>
      <w:r>
        <w:instrText xml:space="preserve"> PAGEREF _Toc8707 \h </w:instrText>
      </w:r>
      <w:r>
        <w:fldChar w:fldCharType="separate"/>
      </w:r>
      <w:r>
        <w:t>39</w:t>
      </w:r>
      <w:r>
        <w:fldChar w:fldCharType="end"/>
      </w:r>
      <w:r>
        <w:fldChar w:fldCharType="end"/>
      </w:r>
    </w:p>
    <w:p>
      <w:pPr>
        <w:pStyle w:val="36"/>
        <w:bidi w:val="0"/>
      </w:pPr>
      <w:r>
        <w:fldChar w:fldCharType="begin"/>
      </w:r>
      <w:r>
        <w:instrText xml:space="preserve"> HYPERLINK \l _Toc29784 </w:instrText>
      </w:r>
      <w:r>
        <w:fldChar w:fldCharType="separate"/>
      </w:r>
      <w:r>
        <w:rPr>
          <w:rFonts w:hint="eastAsia"/>
        </w:rPr>
        <w:t>附件十：谈判供应商提交的其他资料</w:t>
      </w:r>
      <w:r>
        <w:tab/>
      </w:r>
      <w:r>
        <w:fldChar w:fldCharType="begin"/>
      </w:r>
      <w:r>
        <w:instrText xml:space="preserve"> PAGEREF _Toc29784 \h </w:instrText>
      </w:r>
      <w:r>
        <w:fldChar w:fldCharType="separate"/>
      </w:r>
      <w:r>
        <w:t>40</w:t>
      </w:r>
      <w:r>
        <w:fldChar w:fldCharType="end"/>
      </w:r>
      <w:r>
        <w:fldChar w:fldCharType="end"/>
      </w:r>
    </w:p>
    <w:p>
      <w:pPr>
        <w:pStyle w:val="36"/>
        <w:bidi w:val="0"/>
      </w:pPr>
      <w:r>
        <w:fldChar w:fldCharType="begin"/>
      </w:r>
      <w:r>
        <w:instrText xml:space="preserve"> HYPERLINK \l _Toc14269 </w:instrText>
      </w:r>
      <w:r>
        <w:fldChar w:fldCharType="separate"/>
      </w:r>
      <w:r>
        <w:rPr>
          <w:rFonts w:hint="eastAsia"/>
        </w:rPr>
        <w:t>其 他 格 式</w:t>
      </w:r>
      <w:r>
        <w:tab/>
      </w:r>
      <w:r>
        <w:fldChar w:fldCharType="begin"/>
      </w:r>
      <w:r>
        <w:instrText xml:space="preserve"> PAGEREF _Toc14269 \h </w:instrText>
      </w:r>
      <w:r>
        <w:fldChar w:fldCharType="separate"/>
      </w:r>
      <w:r>
        <w:t>41</w:t>
      </w:r>
      <w:r>
        <w:fldChar w:fldCharType="end"/>
      </w:r>
      <w:r>
        <w:fldChar w:fldCharType="end"/>
      </w:r>
    </w:p>
    <w:p>
      <w:pPr>
        <w:pStyle w:val="36"/>
        <w:bidi w:val="0"/>
        <w:jc w:val="center"/>
        <w:rPr>
          <w:color w:val="auto"/>
          <w:highlight w:val="none"/>
        </w:rPr>
      </w:pPr>
      <w:r>
        <w:fldChar w:fldCharType="end"/>
      </w:r>
    </w:p>
    <w:p>
      <w:pPr>
        <w:pStyle w:val="4"/>
        <w:numPr>
          <w:ilvl w:val="0"/>
          <w:numId w:val="0"/>
        </w:numPr>
        <w:autoSpaceDE w:val="0"/>
        <w:autoSpaceDN w:val="0"/>
        <w:adjustRightInd w:val="0"/>
        <w:snapToGrid w:val="0"/>
        <w:spacing w:beforeLines="100" w:after="0" w:line="360" w:lineRule="auto"/>
        <w:jc w:val="center"/>
        <w:textAlignment w:val="baseline"/>
        <w:rPr>
          <w:rFonts w:ascii="宋体" w:hAnsi="宋体"/>
          <w:color w:val="auto"/>
          <w:sz w:val="21"/>
          <w:szCs w:val="21"/>
          <w:highlight w:val="none"/>
        </w:rPr>
      </w:pPr>
      <w:bookmarkStart w:id="0" w:name="_Toc452826425"/>
      <w:bookmarkStart w:id="1" w:name="_Toc13381"/>
      <w:bookmarkStart w:id="2" w:name="_Toc351987964"/>
      <w:bookmarkStart w:id="3" w:name="_Toc351987768"/>
      <w:bookmarkStart w:id="4" w:name="_Toc351990145"/>
      <w:bookmarkStart w:id="5" w:name="_Toc351988709"/>
      <w:bookmarkStart w:id="6" w:name="_Toc369180022"/>
      <w:bookmarkStart w:id="7" w:name="_Toc353522392"/>
      <w:bookmarkStart w:id="8" w:name="_Toc357151175"/>
      <w:r>
        <w:rPr>
          <w:rFonts w:hint="eastAsia" w:ascii="宋体" w:hAnsi="宋体"/>
          <w:color w:val="auto"/>
          <w:sz w:val="21"/>
          <w:szCs w:val="21"/>
          <w:highlight w:val="none"/>
        </w:rPr>
        <w:t>第一部分  竞争性谈判邀请书</w:t>
      </w:r>
      <w:bookmarkEnd w:id="0"/>
      <w:bookmarkEnd w:id="1"/>
    </w:p>
    <w:p>
      <w:pPr>
        <w:rPr>
          <w:color w:val="auto"/>
          <w:highlight w:val="none"/>
        </w:rPr>
      </w:pPr>
    </w:p>
    <w:p>
      <w:pPr>
        <w:spacing w:line="360" w:lineRule="auto"/>
        <w:ind w:left="178" w:leftChars="85" w:firstLine="420" w:firstLineChars="200"/>
        <w:rPr>
          <w:rFonts w:ascii="宋体" w:hAnsi="宋体"/>
          <w:color w:val="auto"/>
          <w:szCs w:val="21"/>
          <w:highlight w:val="none"/>
        </w:rPr>
      </w:pPr>
      <w:r>
        <w:rPr>
          <w:rFonts w:hint="eastAsia" w:ascii="宋体" w:hAnsi="宋体"/>
          <w:color w:val="auto"/>
          <w:szCs w:val="21"/>
          <w:highlight w:val="none"/>
          <w:lang w:eastAsia="zh-CN"/>
        </w:rPr>
        <w:t>广东业信招标有限公司</w:t>
      </w:r>
      <w:r>
        <w:rPr>
          <w:rFonts w:hint="eastAsia" w:ascii="宋体" w:hAnsi="宋体"/>
          <w:color w:val="auto"/>
          <w:szCs w:val="21"/>
          <w:highlight w:val="none"/>
        </w:rPr>
        <w:t>受</w:t>
      </w:r>
      <w:r>
        <w:rPr>
          <w:rFonts w:hint="eastAsia" w:ascii="宋体" w:hAnsi="宋体"/>
          <w:color w:val="auto"/>
          <w:szCs w:val="21"/>
          <w:highlight w:val="none"/>
          <w:u w:val="single"/>
          <w:lang w:eastAsia="zh-CN"/>
        </w:rPr>
        <w:t>深圳市飞信文达科技有限责任公司</w:t>
      </w:r>
      <w:r>
        <w:rPr>
          <w:rFonts w:hint="eastAsia" w:ascii="宋体" w:hAnsi="宋体"/>
          <w:color w:val="auto"/>
          <w:szCs w:val="21"/>
          <w:highlight w:val="none"/>
        </w:rPr>
        <w:t>的委托，拟对</w:t>
      </w:r>
      <w:r>
        <w:rPr>
          <w:rFonts w:hint="eastAsia" w:ascii="宋体" w:hAnsi="宋体"/>
          <w:color w:val="auto"/>
          <w:szCs w:val="21"/>
          <w:highlight w:val="none"/>
          <w:u w:val="single"/>
          <w:lang w:eastAsia="zh-CN"/>
        </w:rPr>
        <w:t>数字化外呼及短信触达客服项目（一期）</w:t>
      </w:r>
      <w:r>
        <w:rPr>
          <w:rFonts w:hint="eastAsia" w:ascii="宋体" w:hAnsi="宋体"/>
          <w:color w:val="auto"/>
          <w:highlight w:val="none"/>
        </w:rPr>
        <w:t>接受合格的国内供应商提交密封报价,</w:t>
      </w:r>
      <w:r>
        <w:rPr>
          <w:rFonts w:hint="eastAsia" w:ascii="宋体" w:hAnsi="宋体"/>
          <w:color w:val="auto"/>
          <w:szCs w:val="21"/>
          <w:highlight w:val="none"/>
          <w:lang w:val="zh-CN"/>
        </w:rPr>
        <w:t xml:space="preserve"> 欢迎符合资格条件</w:t>
      </w:r>
      <w:r>
        <w:rPr>
          <w:rFonts w:hint="eastAsia" w:ascii="宋体" w:hAnsi="宋体"/>
          <w:color w:val="auto"/>
          <w:szCs w:val="21"/>
          <w:highlight w:val="none"/>
        </w:rPr>
        <w:t>的供应商参加。</w:t>
      </w:r>
      <w:r>
        <w:rPr>
          <w:rFonts w:hint="eastAsia" w:ascii="宋体" w:hAnsi="宋体"/>
          <w:color w:val="auto"/>
          <w:highlight w:val="none"/>
        </w:rPr>
        <w:t>有关事项如下：</w:t>
      </w:r>
    </w:p>
    <w:p>
      <w:pPr>
        <w:widowControl/>
        <w:tabs>
          <w:tab w:val="left" w:pos="502"/>
        </w:tabs>
        <w:adjustRightInd w:val="0"/>
        <w:snapToGrid w:val="0"/>
        <w:spacing w:line="360" w:lineRule="auto"/>
        <w:rPr>
          <w:rFonts w:ascii="宋体" w:hAnsi="宋体" w:cs="Tahoma"/>
          <w:b/>
          <w:bCs/>
          <w:color w:val="auto"/>
          <w:szCs w:val="21"/>
          <w:highlight w:val="none"/>
        </w:rPr>
      </w:pPr>
      <w:r>
        <w:rPr>
          <w:rFonts w:hint="eastAsia" w:ascii="宋体" w:hAnsi="宋体" w:cs="Tahoma"/>
          <w:b/>
          <w:bCs/>
          <w:color w:val="auto"/>
          <w:szCs w:val="21"/>
          <w:highlight w:val="none"/>
        </w:rPr>
        <w:t>一、</w:t>
      </w:r>
      <w:r>
        <w:rPr>
          <w:rFonts w:ascii="宋体" w:hAnsi="宋体"/>
          <w:b/>
          <w:color w:val="auto"/>
          <w:highlight w:val="none"/>
        </w:rPr>
        <w:t>投标人</w:t>
      </w:r>
      <w:r>
        <w:rPr>
          <w:rFonts w:hint="eastAsia" w:ascii="宋体" w:hAnsi="宋体" w:cs="Tahoma"/>
          <w:b/>
          <w:bCs/>
          <w:color w:val="auto"/>
          <w:szCs w:val="21"/>
          <w:highlight w:val="none"/>
        </w:rPr>
        <w:t>投标资格要求</w:t>
      </w:r>
    </w:p>
    <w:p>
      <w:pPr>
        <w:spacing w:line="360" w:lineRule="auto"/>
        <w:ind w:firstLine="210" w:firstLineChars="100"/>
        <w:rPr>
          <w:rFonts w:ascii="宋体" w:hAnsi="宋体"/>
          <w:color w:val="auto"/>
          <w:highlight w:val="none"/>
        </w:rPr>
      </w:pPr>
      <w:r>
        <w:rPr>
          <w:rFonts w:ascii="宋体" w:hAnsi="宋体"/>
          <w:color w:val="auto"/>
          <w:highlight w:val="none"/>
        </w:rPr>
        <w:t>1.投标人应具备《中华人民共和国政府采购法》第二十二条规定的条件</w:t>
      </w:r>
      <w:r>
        <w:rPr>
          <w:rFonts w:hint="eastAsia" w:ascii="宋体" w:hAnsi="宋体"/>
          <w:color w:val="auto"/>
          <w:highlight w:val="none"/>
        </w:rPr>
        <w:t>：</w:t>
      </w:r>
    </w:p>
    <w:p>
      <w:pPr>
        <w:tabs>
          <w:tab w:val="left" w:pos="8042"/>
        </w:tabs>
        <w:spacing w:line="360" w:lineRule="auto"/>
        <w:ind w:left="420" w:leftChars="200"/>
        <w:rPr>
          <w:rFonts w:ascii="宋体" w:hAnsi="宋体"/>
          <w:color w:val="auto"/>
          <w:highlight w:val="none"/>
        </w:rPr>
      </w:pPr>
      <w:r>
        <w:rPr>
          <w:rFonts w:ascii="宋体" w:hAnsi="宋体"/>
          <w:color w:val="auto"/>
          <w:highlight w:val="none"/>
        </w:rPr>
        <w:t>1）具有独立承担民事责任的能力；</w:t>
      </w:r>
      <w:r>
        <w:rPr>
          <w:rFonts w:ascii="宋体" w:hAnsi="宋体"/>
          <w:color w:val="auto"/>
          <w:highlight w:val="none"/>
        </w:rPr>
        <w:tab/>
      </w:r>
      <w:r>
        <w:rPr>
          <w:rFonts w:ascii="宋体" w:hAnsi="宋体"/>
          <w:color w:val="auto"/>
          <w:highlight w:val="none"/>
        </w:rPr>
        <w:br w:type="textWrapping"/>
      </w:r>
      <w:r>
        <w:rPr>
          <w:rFonts w:ascii="宋体" w:hAnsi="宋体"/>
          <w:color w:val="auto"/>
          <w:highlight w:val="none"/>
        </w:rPr>
        <w:t>2）具有良好的商业信誉和健全的财务会计制度；</w:t>
      </w:r>
      <w:r>
        <w:rPr>
          <w:rFonts w:ascii="宋体" w:hAnsi="宋体"/>
          <w:color w:val="auto"/>
          <w:highlight w:val="none"/>
        </w:rPr>
        <w:br w:type="textWrapping"/>
      </w:r>
      <w:r>
        <w:rPr>
          <w:rFonts w:ascii="宋体" w:hAnsi="宋体"/>
          <w:color w:val="auto"/>
          <w:highlight w:val="none"/>
        </w:rPr>
        <w:t>3）具有履行合同所必需的设备和专业技术能力；</w:t>
      </w:r>
      <w:r>
        <w:rPr>
          <w:rFonts w:ascii="宋体" w:hAnsi="宋体"/>
          <w:color w:val="auto"/>
          <w:highlight w:val="none"/>
        </w:rPr>
        <w:br w:type="textWrapping"/>
      </w:r>
      <w:r>
        <w:rPr>
          <w:rFonts w:ascii="宋体" w:hAnsi="宋体"/>
          <w:color w:val="auto"/>
          <w:highlight w:val="none"/>
        </w:rPr>
        <w:t>4）有依法缴纳税收和社会保障资金的良好记录；</w:t>
      </w:r>
      <w:r>
        <w:rPr>
          <w:rFonts w:ascii="宋体" w:hAnsi="宋体"/>
          <w:color w:val="auto"/>
          <w:highlight w:val="none"/>
        </w:rPr>
        <w:br w:type="textWrapping"/>
      </w:r>
      <w:r>
        <w:rPr>
          <w:rFonts w:ascii="宋体" w:hAnsi="宋体"/>
          <w:color w:val="auto"/>
          <w:highlight w:val="none"/>
        </w:rPr>
        <w:t>5）参加政府采购活动前三年内，在经营活动中没有重大违法记录；</w:t>
      </w:r>
      <w:r>
        <w:rPr>
          <w:rFonts w:ascii="宋体" w:hAnsi="宋体"/>
          <w:color w:val="auto"/>
          <w:highlight w:val="none"/>
        </w:rPr>
        <w:br w:type="textWrapping"/>
      </w:r>
      <w:r>
        <w:rPr>
          <w:rFonts w:ascii="宋体" w:hAnsi="宋体"/>
          <w:color w:val="auto"/>
          <w:highlight w:val="none"/>
        </w:rPr>
        <w:t>6）法律、行政法规规定的其他条件。</w:t>
      </w:r>
    </w:p>
    <w:p>
      <w:pPr>
        <w:widowControl/>
        <w:tabs>
          <w:tab w:val="left" w:pos="735"/>
        </w:tabs>
        <w:adjustRightInd w:val="0"/>
        <w:snapToGrid w:val="0"/>
        <w:spacing w:line="360" w:lineRule="auto"/>
        <w:ind w:firstLine="210" w:firstLineChars="100"/>
        <w:rPr>
          <w:rFonts w:ascii="宋体" w:hAnsi="宋体"/>
          <w:color w:val="auto"/>
          <w:highlight w:val="none"/>
        </w:rPr>
      </w:pPr>
      <w:r>
        <w:rPr>
          <w:rFonts w:hint="eastAsia" w:ascii="宋体" w:hAnsi="宋体"/>
          <w:color w:val="auto"/>
          <w:szCs w:val="21"/>
          <w:highlight w:val="none"/>
        </w:rPr>
        <w:t>2.</w:t>
      </w:r>
      <w:r>
        <w:rPr>
          <w:rFonts w:ascii="宋体" w:hAnsi="宋体"/>
          <w:color w:val="auto"/>
          <w:highlight w:val="none"/>
        </w:rPr>
        <w:t>本项目不接受联合体投标；</w:t>
      </w:r>
    </w:p>
    <w:p>
      <w:pPr>
        <w:spacing w:line="360" w:lineRule="auto"/>
        <w:ind w:firstLine="210" w:firstLineChars="100"/>
        <w:rPr>
          <w:rFonts w:ascii="宋体" w:hAnsi="宋体"/>
          <w:color w:val="auto"/>
          <w:highlight w:val="none"/>
        </w:rPr>
      </w:pPr>
      <w:r>
        <w:rPr>
          <w:rFonts w:hint="eastAsia" w:ascii="宋体" w:hAnsi="宋体"/>
          <w:color w:val="auto"/>
          <w:highlight w:val="none"/>
          <w:lang w:val="en-US" w:eastAsia="zh-CN"/>
        </w:rPr>
        <w:t>3</w:t>
      </w:r>
      <w:r>
        <w:rPr>
          <w:rFonts w:hint="eastAsia" w:ascii="宋体" w:hAnsi="宋体"/>
          <w:color w:val="auto"/>
          <w:highlight w:val="none"/>
        </w:rPr>
        <w:t>.投标人</w:t>
      </w:r>
      <w:r>
        <w:rPr>
          <w:rFonts w:hint="eastAsia" w:hAnsi="宋体"/>
          <w:color w:val="auto"/>
          <w:szCs w:val="21"/>
          <w:highlight w:val="none"/>
        </w:rPr>
        <w:t>须</w:t>
      </w:r>
      <w:r>
        <w:rPr>
          <w:rFonts w:hint="eastAsia" w:hAnsi="宋体" w:cs="宋体"/>
          <w:color w:val="auto"/>
          <w:szCs w:val="21"/>
          <w:highlight w:val="none"/>
        </w:rPr>
        <w:t>在招标代理机构登记并购买谈判文件。</w:t>
      </w:r>
    </w:p>
    <w:p>
      <w:pPr>
        <w:widowControl/>
        <w:tabs>
          <w:tab w:val="left" w:pos="502"/>
        </w:tabs>
        <w:adjustRightInd w:val="0"/>
        <w:snapToGrid w:val="0"/>
        <w:spacing w:line="360" w:lineRule="auto"/>
        <w:rPr>
          <w:rFonts w:ascii="宋体" w:hAnsi="宋体"/>
          <w:bCs/>
          <w:color w:val="auto"/>
          <w:szCs w:val="21"/>
          <w:highlight w:val="none"/>
        </w:rPr>
      </w:pPr>
      <w:r>
        <w:rPr>
          <w:rFonts w:hint="eastAsia" w:ascii="宋体" w:hAnsi="宋体" w:cs="Arial"/>
          <w:b/>
          <w:bCs/>
          <w:color w:val="auto"/>
          <w:highlight w:val="none"/>
        </w:rPr>
        <w:t>二、谈判</w:t>
      </w:r>
      <w:r>
        <w:rPr>
          <w:rFonts w:hint="eastAsia" w:ascii="宋体" w:hAnsi="宋体" w:cs="Tahoma"/>
          <w:b/>
          <w:bCs/>
          <w:color w:val="auto"/>
          <w:highlight w:val="none"/>
        </w:rPr>
        <w:t>项目的名称、用途、数量、简要技术要求或者</w:t>
      </w:r>
      <w:r>
        <w:rPr>
          <w:rFonts w:hint="eastAsia" w:ascii="宋体" w:hAnsi="宋体" w:cs="Arial"/>
          <w:b/>
          <w:bCs/>
          <w:color w:val="auto"/>
          <w:highlight w:val="none"/>
        </w:rPr>
        <w:t>谈判</w:t>
      </w:r>
      <w:r>
        <w:rPr>
          <w:rFonts w:hint="eastAsia" w:ascii="宋体" w:hAnsi="宋体" w:cs="Tahoma"/>
          <w:b/>
          <w:bCs/>
          <w:color w:val="auto"/>
          <w:highlight w:val="none"/>
        </w:rPr>
        <w:t xml:space="preserve">项目的性质 </w:t>
      </w:r>
    </w:p>
    <w:p>
      <w:pPr>
        <w:widowControl/>
        <w:adjustRightInd w:val="0"/>
        <w:snapToGrid w:val="0"/>
        <w:spacing w:line="360" w:lineRule="auto"/>
        <w:ind w:firstLine="210" w:firstLineChars="100"/>
        <w:rPr>
          <w:rFonts w:hint="eastAsia" w:ascii="宋体" w:hAnsi="宋体" w:eastAsia="宋体"/>
          <w:bCs/>
          <w:color w:val="auto"/>
          <w:szCs w:val="21"/>
          <w:highlight w:val="none"/>
          <w:lang w:eastAsia="zh-CN"/>
        </w:rPr>
      </w:pPr>
      <w:r>
        <w:rPr>
          <w:rFonts w:hint="eastAsia" w:ascii="宋体" w:hAnsi="宋体"/>
          <w:bCs/>
          <w:color w:val="auto"/>
          <w:szCs w:val="21"/>
          <w:highlight w:val="none"/>
        </w:rPr>
        <w:t>1．谈判项目编号：</w:t>
      </w:r>
      <w:r>
        <w:rPr>
          <w:rFonts w:hint="eastAsia" w:ascii="宋体" w:hAnsi="宋体"/>
          <w:b/>
          <w:bCs/>
          <w:color w:val="auto"/>
          <w:szCs w:val="21"/>
          <w:highlight w:val="none"/>
          <w:lang w:eastAsia="zh-CN"/>
        </w:rPr>
        <w:t>YXZB-20231115</w:t>
      </w:r>
    </w:p>
    <w:p>
      <w:pPr>
        <w:widowControl/>
        <w:adjustRightInd w:val="0"/>
        <w:snapToGrid w:val="0"/>
        <w:spacing w:line="360" w:lineRule="auto"/>
        <w:rPr>
          <w:rFonts w:hint="eastAsia" w:ascii="宋体" w:hAnsi="宋体" w:eastAsia="宋体"/>
          <w:bCs/>
          <w:color w:val="auto"/>
          <w:szCs w:val="21"/>
          <w:highlight w:val="none"/>
          <w:lang w:eastAsia="zh-CN"/>
        </w:rPr>
      </w:pPr>
      <w:r>
        <w:rPr>
          <w:rFonts w:hint="eastAsia" w:ascii="宋体" w:hAnsi="宋体"/>
          <w:bCs/>
          <w:color w:val="auto"/>
          <w:szCs w:val="21"/>
          <w:highlight w:val="none"/>
        </w:rPr>
        <w:t xml:space="preserve">  2．谈判项目名称：</w:t>
      </w:r>
      <w:r>
        <w:rPr>
          <w:rFonts w:hint="eastAsia" w:ascii="宋体" w:hAnsi="宋体"/>
          <w:bCs/>
          <w:color w:val="auto"/>
          <w:szCs w:val="21"/>
          <w:highlight w:val="none"/>
          <w:lang w:eastAsia="zh-CN"/>
        </w:rPr>
        <w:t>数字化外呼及短信触达客服项目（一期）</w:t>
      </w:r>
    </w:p>
    <w:p>
      <w:pPr>
        <w:widowControl/>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 xml:space="preserve">  3．采购预算：人民币3920000.00元（超出该上限的报价将作为无效报价处理）。</w:t>
      </w:r>
    </w:p>
    <w:p>
      <w:pPr>
        <w:widowControl/>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 xml:space="preserve">  4．数  量：一项</w:t>
      </w:r>
    </w:p>
    <w:p>
      <w:pPr>
        <w:widowControl/>
        <w:adjustRightInd w:val="0"/>
        <w:snapToGrid w:val="0"/>
        <w:spacing w:line="360" w:lineRule="auto"/>
        <w:ind w:left="525" w:hanging="525" w:hangingChars="250"/>
        <w:rPr>
          <w:rFonts w:ascii="宋体" w:hAnsi="宋体"/>
          <w:bCs/>
          <w:color w:val="auto"/>
          <w:szCs w:val="21"/>
          <w:highlight w:val="none"/>
        </w:rPr>
      </w:pPr>
      <w:r>
        <w:rPr>
          <w:rFonts w:hint="eastAsia" w:ascii="宋体" w:hAnsi="宋体"/>
          <w:color w:val="auto"/>
          <w:szCs w:val="21"/>
          <w:highlight w:val="none"/>
        </w:rPr>
        <w:t xml:space="preserve">  5．</w:t>
      </w:r>
      <w:r>
        <w:rPr>
          <w:rFonts w:hint="eastAsia" w:ascii="宋体" w:hAnsi="宋体" w:eastAsia="宋体" w:cs="宋体"/>
          <w:color w:val="auto"/>
          <w:sz w:val="21"/>
          <w:szCs w:val="21"/>
          <w:highlight w:val="none"/>
          <w:lang w:val="en-US" w:eastAsia="zh-CN"/>
        </w:rPr>
        <w:t>项目周期：1年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（超出该</w:t>
      </w:r>
      <w:r>
        <w:rPr>
          <w:rFonts w:hint="eastAsia" w:ascii="宋体" w:hAnsi="宋体" w:cs="宋体"/>
          <w:color w:val="auto"/>
          <w:szCs w:val="21"/>
          <w:highlight w:val="none"/>
          <w:lang w:eastAsia="zh-CN"/>
        </w:rPr>
        <w:t>项目周期</w:t>
      </w:r>
      <w:r>
        <w:rPr>
          <w:rFonts w:hint="eastAsia" w:ascii="宋体" w:hAnsi="宋体" w:eastAsia="宋体" w:cs="宋体"/>
          <w:color w:val="auto"/>
          <w:szCs w:val="21"/>
          <w:highlight w:val="none"/>
          <w:lang w:eastAsia="zh-CN"/>
        </w:rPr>
        <w:t>将作为无效投标处理）</w:t>
      </w:r>
    </w:p>
    <w:p>
      <w:pPr>
        <w:adjustRightInd w:val="0"/>
        <w:snapToGrid w:val="0"/>
        <w:spacing w:line="360" w:lineRule="auto"/>
        <w:rPr>
          <w:rFonts w:ascii="宋体" w:hAnsi="宋体" w:cs="Tahoma"/>
          <w:iCs/>
          <w:color w:val="auto"/>
          <w:kern w:val="28"/>
          <w:szCs w:val="21"/>
          <w:highlight w:val="none"/>
        </w:rPr>
      </w:pPr>
      <w:r>
        <w:rPr>
          <w:rFonts w:hint="eastAsia" w:ascii="宋体" w:hAnsi="宋体" w:cs="Tahoma"/>
          <w:iCs/>
          <w:color w:val="auto"/>
          <w:kern w:val="28"/>
          <w:szCs w:val="21"/>
          <w:highlight w:val="none"/>
        </w:rPr>
        <w:t xml:space="preserve">  6．谈判项目的性质：竞争性谈判</w:t>
      </w:r>
    </w:p>
    <w:p>
      <w:pPr>
        <w:adjustRightInd w:val="0"/>
        <w:snapToGrid w:val="0"/>
        <w:spacing w:line="360" w:lineRule="auto"/>
        <w:rPr>
          <w:rFonts w:ascii="宋体" w:hAnsi="宋体" w:cs="Tahoma"/>
          <w:b/>
          <w:bCs/>
          <w:color w:val="auto"/>
          <w:szCs w:val="21"/>
          <w:highlight w:val="none"/>
        </w:rPr>
      </w:pPr>
      <w:r>
        <w:rPr>
          <w:rFonts w:hint="eastAsia" w:ascii="宋体" w:hAnsi="宋体" w:cs="Tahoma"/>
          <w:iCs/>
          <w:color w:val="auto"/>
          <w:kern w:val="28"/>
          <w:szCs w:val="21"/>
          <w:highlight w:val="none"/>
        </w:rPr>
        <w:t>三、</w:t>
      </w:r>
      <w:r>
        <w:rPr>
          <w:rFonts w:hint="eastAsia" w:ascii="宋体" w:hAnsi="宋体" w:cs="Tahoma"/>
          <w:b/>
          <w:bCs/>
          <w:color w:val="auto"/>
          <w:szCs w:val="21"/>
          <w:highlight w:val="none"/>
        </w:rPr>
        <w:t>获取谈判文件的时间、地点、方式及谈判文件售价</w:t>
      </w:r>
    </w:p>
    <w:p>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1．谈判文件公示时间：</w:t>
      </w:r>
      <w:r>
        <w:rPr>
          <w:rFonts w:hint="eastAsia" w:ascii="宋体" w:hAnsi="宋体" w:eastAsia="宋体" w:cs="Times New Roman"/>
          <w:color w:val="auto"/>
          <w:kern w:val="2"/>
          <w:sz w:val="21"/>
          <w:szCs w:val="21"/>
          <w:highlight w:val="none"/>
          <w:lang w:val="en-US" w:eastAsia="zh-CN" w:bidi="ar-SA"/>
        </w:rPr>
        <w:t>2023年11月20日</w:t>
      </w:r>
      <w:r>
        <w:rPr>
          <w:rFonts w:hint="eastAsia" w:ascii="宋体" w:hAnsi="宋体"/>
          <w:color w:val="auto"/>
          <w:szCs w:val="21"/>
          <w:highlight w:val="none"/>
        </w:rPr>
        <w:t>至</w:t>
      </w:r>
      <w:r>
        <w:rPr>
          <w:rFonts w:hint="eastAsia" w:ascii="宋体" w:hAnsi="宋体" w:eastAsia="宋体" w:cs="Times New Roman"/>
          <w:color w:val="auto"/>
          <w:kern w:val="2"/>
          <w:sz w:val="21"/>
          <w:szCs w:val="21"/>
          <w:highlight w:val="none"/>
          <w:lang w:val="en-US" w:eastAsia="zh-CN" w:bidi="ar-SA"/>
        </w:rPr>
        <w:t>2023年11月23日</w:t>
      </w:r>
      <w:r>
        <w:rPr>
          <w:rFonts w:hint="eastAsia" w:ascii="宋体" w:hAnsi="宋体"/>
          <w:color w:val="auto"/>
          <w:szCs w:val="21"/>
          <w:highlight w:val="none"/>
        </w:rPr>
        <w:t>。</w:t>
      </w:r>
    </w:p>
    <w:p>
      <w:pPr>
        <w:spacing w:line="360" w:lineRule="auto"/>
        <w:ind w:left="525" w:leftChars="100" w:hanging="315" w:hangingChars="150"/>
        <w:rPr>
          <w:rFonts w:ascii="宋体" w:hAnsi="宋体"/>
          <w:color w:val="auto"/>
          <w:szCs w:val="21"/>
          <w:highlight w:val="none"/>
        </w:rPr>
      </w:pPr>
      <w:r>
        <w:rPr>
          <w:rFonts w:hint="eastAsia" w:ascii="宋体" w:hAnsi="宋体"/>
          <w:bCs/>
          <w:color w:val="auto"/>
          <w:highlight w:val="none"/>
        </w:rPr>
        <w:t>2．</w:t>
      </w:r>
      <w:r>
        <w:rPr>
          <w:rFonts w:ascii="宋体" w:hAnsi="宋体"/>
          <w:bCs/>
          <w:color w:val="auto"/>
          <w:highlight w:val="none"/>
        </w:rPr>
        <w:t>根据《广东省实施〈中华人民共和国政府采购法〉办法》规定，投标人认为政府采购文件的内容损害其权益</w:t>
      </w:r>
      <w:r>
        <w:rPr>
          <w:rFonts w:ascii="宋体" w:hAnsi="宋体" w:cs="宋体"/>
          <w:color w:val="auto"/>
          <w:kern w:val="0"/>
          <w:szCs w:val="21"/>
          <w:highlight w:val="none"/>
        </w:rPr>
        <w:t>的，可以在公示期间或者自期满之日起七个工作日内以书面形式向采购人或</w:t>
      </w:r>
      <w:r>
        <w:rPr>
          <w:rFonts w:hint="eastAsia" w:ascii="宋体" w:hAnsi="宋体" w:cs="宋体"/>
          <w:color w:val="auto"/>
          <w:kern w:val="0"/>
          <w:szCs w:val="21"/>
          <w:highlight w:val="none"/>
        </w:rPr>
        <w:t>代理采购机构</w:t>
      </w:r>
      <w:r>
        <w:rPr>
          <w:rFonts w:ascii="宋体" w:hAnsi="宋体" w:cs="宋体"/>
          <w:color w:val="auto"/>
          <w:kern w:val="0"/>
          <w:szCs w:val="21"/>
          <w:highlight w:val="none"/>
        </w:rPr>
        <w:t>提出质疑。质疑函应当</w:t>
      </w:r>
      <w:r>
        <w:rPr>
          <w:rFonts w:hint="eastAsia" w:ascii="宋体" w:hAnsi="宋体" w:cs="宋体"/>
          <w:color w:val="auto"/>
          <w:kern w:val="0"/>
          <w:szCs w:val="21"/>
          <w:highlight w:val="none"/>
        </w:rPr>
        <w:t>由</w:t>
      </w:r>
      <w:r>
        <w:rPr>
          <w:rFonts w:ascii="宋体" w:hAnsi="宋体" w:cs="宋体"/>
          <w:color w:val="auto"/>
          <w:kern w:val="0"/>
          <w:szCs w:val="21"/>
          <w:highlight w:val="none"/>
        </w:rPr>
        <w:t>质疑</w:t>
      </w:r>
      <w:r>
        <w:rPr>
          <w:rFonts w:hint="eastAsia" w:ascii="宋体" w:hAnsi="宋体" w:cs="宋体"/>
          <w:color w:val="auto"/>
          <w:kern w:val="0"/>
          <w:szCs w:val="21"/>
          <w:highlight w:val="none"/>
        </w:rPr>
        <w:t>投标人的</w:t>
      </w:r>
      <w:r>
        <w:rPr>
          <w:rFonts w:ascii="宋体" w:hAnsi="宋体" w:cs="宋体"/>
          <w:color w:val="auto"/>
          <w:kern w:val="0"/>
          <w:szCs w:val="21"/>
          <w:highlight w:val="none"/>
        </w:rPr>
        <w:t>法定代表人或主要负责人签字并加盖</w:t>
      </w:r>
      <w:r>
        <w:rPr>
          <w:rFonts w:hint="eastAsia" w:ascii="宋体" w:hAnsi="宋体" w:cs="宋体"/>
          <w:color w:val="auto"/>
          <w:kern w:val="0"/>
          <w:szCs w:val="21"/>
          <w:highlight w:val="none"/>
        </w:rPr>
        <w:t>单位</w:t>
      </w:r>
      <w:r>
        <w:rPr>
          <w:rFonts w:ascii="宋体" w:hAnsi="宋体" w:cs="宋体"/>
          <w:color w:val="auto"/>
          <w:kern w:val="0"/>
          <w:szCs w:val="21"/>
          <w:highlight w:val="none"/>
        </w:rPr>
        <w:t>公章</w:t>
      </w:r>
      <w:r>
        <w:rPr>
          <w:rFonts w:hint="eastAsia" w:ascii="宋体" w:hAnsi="宋体" w:cs="宋体"/>
          <w:color w:val="auto"/>
          <w:kern w:val="0"/>
          <w:szCs w:val="21"/>
          <w:highlight w:val="none"/>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auto"/>
          <w:kern w:val="0"/>
          <w:szCs w:val="21"/>
          <w:highlight w:val="none"/>
        </w:rPr>
        <w:t>采购人或</w:t>
      </w:r>
      <w:r>
        <w:rPr>
          <w:rFonts w:hint="eastAsia" w:ascii="宋体" w:hAnsi="宋体" w:cs="宋体"/>
          <w:color w:val="auto"/>
          <w:kern w:val="0"/>
          <w:szCs w:val="21"/>
          <w:highlight w:val="none"/>
        </w:rPr>
        <w:t>代理采购机构可不予作答。</w:t>
      </w:r>
    </w:p>
    <w:p>
      <w:pPr>
        <w:spacing w:line="360" w:lineRule="auto"/>
        <w:ind w:left="420" w:leftChars="100" w:hanging="210" w:hangingChars="100"/>
        <w:rPr>
          <w:rFonts w:ascii="宋体" w:hAnsi="宋体"/>
          <w:color w:val="auto"/>
          <w:szCs w:val="21"/>
          <w:highlight w:val="none"/>
        </w:rPr>
      </w:pPr>
      <w:r>
        <w:rPr>
          <w:rFonts w:hint="eastAsia" w:ascii="宋体" w:hAnsi="宋体"/>
          <w:color w:val="auto"/>
          <w:szCs w:val="21"/>
          <w:highlight w:val="none"/>
        </w:rPr>
        <w:t>3．获取谈判文件时间及下载：</w:t>
      </w:r>
      <w:r>
        <w:rPr>
          <w:rFonts w:hint="eastAsia" w:ascii="宋体" w:hAnsi="宋体" w:eastAsia="宋体" w:cs="Times New Roman"/>
          <w:color w:val="auto"/>
          <w:kern w:val="2"/>
          <w:sz w:val="21"/>
          <w:szCs w:val="21"/>
          <w:highlight w:val="none"/>
          <w:lang w:val="en-US" w:eastAsia="zh-CN" w:bidi="ar-SA"/>
        </w:rPr>
        <w:t>2023年11月20日</w:t>
      </w:r>
      <w:r>
        <w:rPr>
          <w:rFonts w:hint="eastAsia" w:ascii="宋体" w:hAnsi="宋体"/>
          <w:color w:val="auto"/>
          <w:szCs w:val="21"/>
          <w:highlight w:val="none"/>
        </w:rPr>
        <w:t>至</w:t>
      </w:r>
      <w:r>
        <w:rPr>
          <w:rFonts w:hint="eastAsia" w:ascii="宋体" w:hAnsi="宋体" w:eastAsia="宋体" w:cs="Times New Roman"/>
          <w:color w:val="auto"/>
          <w:kern w:val="2"/>
          <w:sz w:val="21"/>
          <w:szCs w:val="21"/>
          <w:highlight w:val="none"/>
          <w:lang w:val="en-US" w:eastAsia="zh-CN" w:bidi="ar-SA"/>
        </w:rPr>
        <w:t>2023年11月23日</w:t>
      </w:r>
      <w:r>
        <w:rPr>
          <w:rFonts w:hint="eastAsia" w:ascii="宋体" w:hAnsi="宋体"/>
          <w:color w:val="auto"/>
          <w:szCs w:val="21"/>
          <w:highlight w:val="none"/>
        </w:rPr>
        <w:t>，</w:t>
      </w:r>
      <w:r>
        <w:rPr>
          <w:rFonts w:hint="eastAsia" w:ascii="宋体" w:hAnsi="宋体"/>
          <w:bCs/>
          <w:color w:val="auto"/>
          <w:highlight w:val="none"/>
        </w:rPr>
        <w:t>上午9:00～12:00，下午2:30～5:30</w:t>
      </w:r>
      <w:r>
        <w:rPr>
          <w:rFonts w:hint="eastAsia" w:ascii="宋体" w:hAnsi="宋体"/>
          <w:color w:val="auto"/>
          <w:szCs w:val="21"/>
          <w:highlight w:val="none"/>
        </w:rPr>
        <w:t>（节假日除外）（北京时间）。</w:t>
      </w:r>
    </w:p>
    <w:p>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4．获取谈判文件地点：</w:t>
      </w:r>
      <w:r>
        <w:rPr>
          <w:rFonts w:hint="eastAsia" w:ascii="宋体" w:hAnsi="宋体"/>
          <w:color w:val="auto"/>
          <w:szCs w:val="21"/>
          <w:highlight w:val="none"/>
          <w:lang w:eastAsia="zh-CN"/>
        </w:rPr>
        <w:t>阳江市江城区猫山四街33号A座2楼</w:t>
      </w:r>
      <w:r>
        <w:rPr>
          <w:rFonts w:hint="eastAsia" w:ascii="宋体" w:hAnsi="宋体" w:cs="宋体"/>
          <w:color w:val="auto"/>
          <w:szCs w:val="21"/>
          <w:highlight w:val="none"/>
          <w:lang w:val="en-US" w:eastAsia="zh-CN"/>
        </w:rPr>
        <w:t>205室</w:t>
      </w:r>
      <w:r>
        <w:rPr>
          <w:rFonts w:hint="eastAsia" w:ascii="宋体" w:hAnsi="宋体"/>
          <w:color w:val="auto"/>
          <w:szCs w:val="21"/>
          <w:highlight w:val="none"/>
        </w:rPr>
        <w:t>。</w:t>
      </w:r>
    </w:p>
    <w:p>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5．谈判文件售价：谈判文件每套人民币150元，售后不退。</w:t>
      </w:r>
    </w:p>
    <w:p>
      <w:pPr>
        <w:spacing w:line="360" w:lineRule="auto"/>
        <w:ind w:left="283" w:leftChars="-1" w:hanging="285" w:hangingChars="136"/>
        <w:rPr>
          <w:rFonts w:ascii="宋体" w:hAnsi="宋体"/>
          <w:color w:val="auto"/>
          <w:szCs w:val="21"/>
          <w:highlight w:val="none"/>
        </w:rPr>
      </w:pPr>
      <w:r>
        <w:rPr>
          <w:rFonts w:hint="eastAsia" w:ascii="宋体" w:hAnsi="宋体"/>
          <w:color w:val="auto"/>
          <w:szCs w:val="21"/>
          <w:highlight w:val="none"/>
        </w:rPr>
        <w:t xml:space="preserve">  6．</w:t>
      </w:r>
      <w:r>
        <w:rPr>
          <w:rFonts w:hint="eastAsia" w:ascii="宋体" w:hAnsi="宋体"/>
          <w:bCs/>
          <w:color w:val="auto"/>
          <w:highlight w:val="none"/>
        </w:rPr>
        <w:t>谈判文件获取方式：现场发售</w:t>
      </w:r>
      <w:r>
        <w:rPr>
          <w:rFonts w:hint="eastAsia" w:ascii="宋体" w:hAnsi="宋体"/>
          <w:color w:val="auto"/>
          <w:szCs w:val="21"/>
          <w:highlight w:val="none"/>
        </w:rPr>
        <w:t>。</w:t>
      </w:r>
    </w:p>
    <w:p>
      <w:pPr>
        <w:widowControl/>
        <w:tabs>
          <w:tab w:val="left" w:pos="735"/>
        </w:tabs>
        <w:adjustRightInd w:val="0"/>
        <w:snapToGrid w:val="0"/>
        <w:spacing w:line="360" w:lineRule="auto"/>
        <w:ind w:left="420" w:leftChars="100" w:hanging="210" w:hangingChars="100"/>
        <w:rPr>
          <w:rFonts w:ascii="宋体" w:hAnsi="宋体"/>
          <w:bCs/>
          <w:color w:val="auto"/>
          <w:szCs w:val="21"/>
          <w:highlight w:val="none"/>
        </w:rPr>
      </w:pPr>
      <w:r>
        <w:rPr>
          <w:rFonts w:hint="eastAsia" w:ascii="宋体" w:hAnsi="宋体"/>
          <w:color w:val="auto"/>
          <w:szCs w:val="21"/>
          <w:highlight w:val="none"/>
        </w:rPr>
        <w:t>7．</w:t>
      </w:r>
      <w:r>
        <w:rPr>
          <w:rFonts w:hint="eastAsia" w:ascii="宋体" w:hAnsi="宋体"/>
          <w:bCs/>
          <w:color w:val="auto"/>
          <w:szCs w:val="21"/>
          <w:highlight w:val="none"/>
        </w:rPr>
        <w:t>购买谈判文件必须携带:</w:t>
      </w:r>
    </w:p>
    <w:p>
      <w:pPr>
        <w:widowControl/>
        <w:tabs>
          <w:tab w:val="left" w:pos="735"/>
        </w:tabs>
        <w:adjustRightInd w:val="0"/>
        <w:snapToGrid w:val="0"/>
        <w:spacing w:line="360" w:lineRule="auto"/>
        <w:ind w:left="659" w:leftChars="164" w:hanging="315" w:hangingChars="150"/>
        <w:rPr>
          <w:rFonts w:ascii="宋体" w:hAnsi="宋体"/>
          <w:bCs/>
          <w:color w:val="auto"/>
          <w:highlight w:val="none"/>
        </w:rPr>
      </w:pPr>
      <w:r>
        <w:rPr>
          <w:rFonts w:hint="eastAsia" w:ascii="宋体" w:hAnsi="宋体"/>
          <w:bCs/>
          <w:color w:val="auto"/>
          <w:szCs w:val="21"/>
          <w:highlight w:val="none"/>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b/>
          <w:bCs/>
          <w:color w:val="auto"/>
          <w:highlight w:val="none"/>
        </w:rPr>
        <w:t>报名时投标单位的资料与以上报名条件不符合、不齐全、复印件不清晰或未盖红色公章的将不予受理</w:t>
      </w:r>
      <w:r>
        <w:rPr>
          <w:rFonts w:hint="eastAsia" w:ascii="宋体" w:hAnsi="宋体"/>
          <w:bCs/>
          <w:color w:val="auto"/>
          <w:highlight w:val="none"/>
        </w:rPr>
        <w:t>。</w:t>
      </w:r>
    </w:p>
    <w:p>
      <w:pPr>
        <w:widowControl/>
        <w:tabs>
          <w:tab w:val="left" w:pos="735"/>
        </w:tabs>
        <w:adjustRightInd w:val="0"/>
        <w:snapToGrid w:val="0"/>
        <w:spacing w:line="360" w:lineRule="auto"/>
        <w:ind w:left="660" w:leftChars="164" w:hanging="316" w:hangingChars="150"/>
        <w:rPr>
          <w:rFonts w:ascii="宋体" w:hAnsi="宋体"/>
          <w:color w:val="auto"/>
          <w:szCs w:val="21"/>
          <w:highlight w:val="none"/>
        </w:rPr>
      </w:pPr>
      <w:r>
        <w:rPr>
          <w:rFonts w:hint="eastAsia" w:ascii="宋体" w:hAnsi="宋体"/>
          <w:b/>
          <w:bCs/>
          <w:color w:val="auto"/>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spacing w:line="360" w:lineRule="auto"/>
        <w:ind w:left="421" w:leftChars="100" w:hanging="211" w:hangingChars="100"/>
        <w:rPr>
          <w:rFonts w:ascii="宋体" w:hAnsi="宋体" w:cs="Tahoma"/>
          <w:b/>
          <w:bCs/>
          <w:color w:val="auto"/>
          <w:szCs w:val="21"/>
          <w:highlight w:val="none"/>
        </w:rPr>
      </w:pPr>
      <w:r>
        <w:rPr>
          <w:rFonts w:hint="eastAsia" w:ascii="宋体" w:hAnsi="宋体" w:cs="Tahoma"/>
          <w:b/>
          <w:bCs/>
          <w:color w:val="auto"/>
          <w:szCs w:val="21"/>
          <w:highlight w:val="none"/>
        </w:rPr>
        <w:t>四、报价截止时间、开标时间及地点</w:t>
      </w:r>
    </w:p>
    <w:p>
      <w:pPr>
        <w:widowControl/>
        <w:spacing w:line="360" w:lineRule="auto"/>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Tahoma"/>
          <w:color w:val="auto"/>
          <w:highlight w:val="none"/>
        </w:rPr>
        <w:t>递交谈判响应文件</w:t>
      </w:r>
      <w:r>
        <w:rPr>
          <w:rFonts w:hint="eastAsia" w:ascii="宋体" w:hAnsi="宋体" w:cs="宋体"/>
          <w:color w:val="auto"/>
          <w:kern w:val="0"/>
          <w:szCs w:val="21"/>
          <w:highlight w:val="none"/>
        </w:rPr>
        <w:t>时间：</w:t>
      </w:r>
      <w:r>
        <w:rPr>
          <w:rFonts w:hint="eastAsia" w:ascii="宋体" w:hAnsi="宋体" w:eastAsia="宋体" w:cs="Times New Roman"/>
          <w:color w:val="auto"/>
          <w:kern w:val="2"/>
          <w:sz w:val="21"/>
          <w:szCs w:val="21"/>
          <w:highlight w:val="none"/>
          <w:lang w:val="en-US" w:eastAsia="zh-CN" w:bidi="ar-SA"/>
        </w:rPr>
        <w:t>2023年11月27日</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0-</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0 (北京时间)。</w:t>
      </w:r>
    </w:p>
    <w:p>
      <w:pPr>
        <w:widowControl/>
        <w:spacing w:line="360" w:lineRule="auto"/>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Tahoma"/>
          <w:color w:val="auto"/>
          <w:highlight w:val="none"/>
        </w:rPr>
        <w:t>递交谈判响应文件</w:t>
      </w:r>
      <w:r>
        <w:rPr>
          <w:rFonts w:hint="eastAsia" w:ascii="宋体" w:hAnsi="宋体" w:cs="宋体"/>
          <w:color w:val="auto"/>
          <w:kern w:val="0"/>
          <w:szCs w:val="21"/>
          <w:highlight w:val="none"/>
        </w:rPr>
        <w:t>地点：</w:t>
      </w:r>
      <w:r>
        <w:rPr>
          <w:rFonts w:hint="eastAsia" w:ascii="宋体" w:hAnsi="宋体"/>
          <w:color w:val="auto"/>
          <w:szCs w:val="21"/>
          <w:highlight w:val="none"/>
          <w:lang w:eastAsia="zh-CN"/>
        </w:rPr>
        <w:t>阳江市江城区猫山四街33号A座2楼</w:t>
      </w:r>
      <w:r>
        <w:rPr>
          <w:rFonts w:hint="eastAsia" w:ascii="宋体" w:hAnsi="宋体"/>
          <w:color w:val="auto"/>
          <w:szCs w:val="21"/>
          <w:highlight w:val="none"/>
          <w:lang w:val="en-US" w:eastAsia="zh-CN"/>
        </w:rPr>
        <w:t>201</w:t>
      </w:r>
      <w:r>
        <w:rPr>
          <w:rFonts w:hint="eastAsia" w:ascii="宋体" w:hAnsi="宋体"/>
          <w:color w:val="auto"/>
          <w:szCs w:val="21"/>
          <w:highlight w:val="none"/>
        </w:rPr>
        <w:t>开标室</w:t>
      </w:r>
      <w:r>
        <w:rPr>
          <w:rFonts w:hint="eastAsia" w:ascii="宋体" w:hAnsi="宋体" w:cs="宋体"/>
          <w:color w:val="auto"/>
          <w:kern w:val="0"/>
          <w:szCs w:val="21"/>
          <w:highlight w:val="none"/>
        </w:rPr>
        <w:t>。</w:t>
      </w:r>
    </w:p>
    <w:p>
      <w:pPr>
        <w:widowControl/>
        <w:spacing w:line="360" w:lineRule="auto"/>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Tahoma"/>
          <w:color w:val="auto"/>
          <w:highlight w:val="none"/>
        </w:rPr>
        <w:t>报价截止时间（递交谈判响应文件截止时间）</w:t>
      </w:r>
      <w:r>
        <w:rPr>
          <w:rFonts w:hint="eastAsia" w:ascii="宋体" w:hAnsi="宋体" w:cs="宋体"/>
          <w:color w:val="auto"/>
          <w:kern w:val="0"/>
          <w:szCs w:val="21"/>
          <w:highlight w:val="none"/>
        </w:rPr>
        <w:t>：</w:t>
      </w:r>
      <w:r>
        <w:rPr>
          <w:rFonts w:hint="eastAsia" w:ascii="宋体" w:hAnsi="宋体" w:eastAsia="宋体" w:cs="Times New Roman"/>
          <w:color w:val="auto"/>
          <w:kern w:val="2"/>
          <w:sz w:val="21"/>
          <w:szCs w:val="21"/>
          <w:highlight w:val="none"/>
          <w:lang w:val="en-US" w:eastAsia="zh-CN" w:bidi="ar-SA"/>
        </w:rPr>
        <w:t>2023年11月27日</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0(北京时间)。</w:t>
      </w:r>
    </w:p>
    <w:p>
      <w:pPr>
        <w:widowControl/>
        <w:spacing w:line="360" w:lineRule="auto"/>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Tahoma"/>
          <w:color w:val="auto"/>
          <w:highlight w:val="none"/>
        </w:rPr>
        <w:t>谈判开始时间</w:t>
      </w:r>
      <w:r>
        <w:rPr>
          <w:rFonts w:hint="eastAsia" w:ascii="宋体" w:hAnsi="宋体" w:cs="宋体"/>
          <w:color w:val="auto"/>
          <w:kern w:val="0"/>
          <w:szCs w:val="21"/>
          <w:highlight w:val="none"/>
        </w:rPr>
        <w:t>：</w:t>
      </w:r>
      <w:r>
        <w:rPr>
          <w:rFonts w:hint="eastAsia" w:ascii="宋体" w:hAnsi="宋体" w:eastAsia="宋体" w:cs="Times New Roman"/>
          <w:color w:val="auto"/>
          <w:kern w:val="2"/>
          <w:sz w:val="21"/>
          <w:szCs w:val="21"/>
          <w:highlight w:val="none"/>
          <w:lang w:val="en-US" w:eastAsia="zh-CN" w:bidi="ar-SA"/>
        </w:rPr>
        <w:t>2023年11月27日</w:t>
      </w:r>
      <w:r>
        <w:rPr>
          <w:rFonts w:hint="eastAsia" w:ascii="宋体" w:hAnsi="宋体" w:cs="宋体"/>
          <w:color w:val="auto"/>
          <w:kern w:val="0"/>
          <w:szCs w:val="21"/>
          <w:highlight w:val="none"/>
        </w:rPr>
        <w:t> </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0(北京时间)。</w:t>
      </w:r>
    </w:p>
    <w:p>
      <w:pPr>
        <w:widowControl/>
        <w:spacing w:line="360" w:lineRule="auto"/>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5．</w:t>
      </w:r>
      <w:r>
        <w:rPr>
          <w:rFonts w:hint="eastAsia" w:ascii="宋体" w:hAnsi="宋体" w:cs="Tahoma"/>
          <w:color w:val="auto"/>
          <w:highlight w:val="none"/>
        </w:rPr>
        <w:t>谈判</w:t>
      </w:r>
      <w:r>
        <w:rPr>
          <w:rFonts w:hint="eastAsia" w:ascii="宋体" w:hAnsi="宋体" w:cs="宋体"/>
          <w:color w:val="auto"/>
          <w:kern w:val="0"/>
          <w:szCs w:val="21"/>
          <w:highlight w:val="none"/>
        </w:rPr>
        <w:t>地点：</w:t>
      </w:r>
      <w:r>
        <w:rPr>
          <w:rFonts w:hint="eastAsia" w:ascii="宋体" w:hAnsi="宋体"/>
          <w:color w:val="auto"/>
          <w:szCs w:val="21"/>
          <w:highlight w:val="none"/>
          <w:lang w:eastAsia="zh-CN"/>
        </w:rPr>
        <w:t>阳江市江城区猫山四街33号A座2楼</w:t>
      </w:r>
      <w:r>
        <w:rPr>
          <w:rFonts w:hint="eastAsia" w:ascii="宋体" w:hAnsi="宋体"/>
          <w:color w:val="auto"/>
          <w:szCs w:val="21"/>
          <w:highlight w:val="none"/>
          <w:lang w:val="en-US" w:eastAsia="zh-CN"/>
        </w:rPr>
        <w:t>202</w:t>
      </w:r>
      <w:r>
        <w:rPr>
          <w:rFonts w:hint="eastAsia" w:ascii="宋体" w:hAnsi="宋体"/>
          <w:color w:val="auto"/>
          <w:szCs w:val="21"/>
          <w:highlight w:val="none"/>
        </w:rPr>
        <w:t>评标室</w:t>
      </w:r>
      <w:r>
        <w:rPr>
          <w:rFonts w:hint="eastAsia" w:ascii="宋体" w:hAnsi="宋体" w:cs="宋体"/>
          <w:color w:val="auto"/>
          <w:kern w:val="0"/>
          <w:szCs w:val="21"/>
          <w:highlight w:val="none"/>
        </w:rPr>
        <w:t>。</w:t>
      </w:r>
    </w:p>
    <w:p>
      <w:pPr>
        <w:widowControl/>
        <w:tabs>
          <w:tab w:val="left" w:pos="502"/>
        </w:tabs>
        <w:adjustRightInd w:val="0"/>
        <w:snapToGrid w:val="0"/>
        <w:spacing w:line="360" w:lineRule="auto"/>
        <w:rPr>
          <w:rFonts w:ascii="宋体" w:hAnsi="宋体" w:cs="Tahoma"/>
          <w:b/>
          <w:bCs/>
          <w:color w:val="auto"/>
          <w:szCs w:val="21"/>
          <w:highlight w:val="none"/>
        </w:rPr>
      </w:pPr>
      <w:r>
        <w:rPr>
          <w:rFonts w:hint="eastAsia" w:ascii="宋体" w:hAnsi="宋体" w:cs="Tahoma"/>
          <w:b/>
          <w:bCs/>
          <w:color w:val="auto"/>
          <w:szCs w:val="21"/>
          <w:highlight w:val="none"/>
        </w:rPr>
        <w:t>五、采购人、代理采购机构的名称、地址和联系方式</w:t>
      </w:r>
    </w:p>
    <w:p>
      <w:pPr>
        <w:widowControl/>
        <w:tabs>
          <w:tab w:val="left" w:pos="502"/>
        </w:tabs>
        <w:adjustRightInd w:val="0"/>
        <w:snapToGrid w:val="0"/>
        <w:spacing w:line="360" w:lineRule="auto"/>
        <w:ind w:firstLine="210" w:firstLineChars="100"/>
        <w:rPr>
          <w:rFonts w:ascii="宋体" w:hAnsi="宋体" w:cs="Tahoma"/>
          <w:color w:val="auto"/>
          <w:szCs w:val="21"/>
          <w:highlight w:val="none"/>
        </w:rPr>
      </w:pPr>
      <w:r>
        <w:rPr>
          <w:rFonts w:hint="eastAsia" w:ascii="宋体" w:hAnsi="宋体" w:cs="Tahoma"/>
          <w:color w:val="auto"/>
          <w:szCs w:val="21"/>
          <w:highlight w:val="none"/>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名  称：</w:t>
      </w:r>
      <w:r>
        <w:rPr>
          <w:rFonts w:hint="eastAsia" w:ascii="宋体" w:hAnsi="宋体"/>
          <w:color w:val="auto"/>
          <w:szCs w:val="21"/>
          <w:highlight w:val="none"/>
          <w:lang w:eastAsia="zh-CN"/>
        </w:rPr>
        <w:t>深圳市飞信文达科技有限责任公司</w:t>
      </w:r>
    </w:p>
    <w:p>
      <w:pPr>
        <w:tabs>
          <w:tab w:val="left" w:pos="735"/>
          <w:tab w:val="left" w:pos="4680"/>
        </w:tabs>
        <w:adjustRightInd w:val="0"/>
        <w:snapToGrid w:val="0"/>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联系人：</w:t>
      </w:r>
      <w:r>
        <w:rPr>
          <w:rFonts w:hint="eastAsia" w:ascii="宋体" w:hAnsi="宋体"/>
          <w:color w:val="auto"/>
          <w:szCs w:val="21"/>
          <w:highlight w:val="none"/>
          <w:lang w:val="en-US" w:eastAsia="zh-CN"/>
        </w:rPr>
        <w:t>金勇</w:t>
      </w:r>
    </w:p>
    <w:p>
      <w:pPr>
        <w:spacing w:line="360" w:lineRule="auto"/>
        <w:ind w:firstLine="420" w:firstLineChars="200"/>
        <w:rPr>
          <w:rFonts w:hint="default" w:ascii="宋体" w:hAnsi="宋体" w:eastAsia="宋体" w:cs="Tahoma"/>
          <w:color w:val="auto"/>
          <w:szCs w:val="21"/>
          <w:highlight w:val="none"/>
          <w:lang w:val="en-US" w:eastAsia="zh-CN"/>
        </w:rPr>
      </w:pPr>
      <w:r>
        <w:rPr>
          <w:rFonts w:hint="eastAsia" w:ascii="宋体" w:hAnsi="宋体"/>
          <w:color w:val="auto"/>
          <w:szCs w:val="21"/>
          <w:highlight w:val="none"/>
        </w:rPr>
        <w:t>联系电话：</w:t>
      </w:r>
      <w:r>
        <w:rPr>
          <w:rFonts w:hint="eastAsia" w:ascii="宋体" w:hAnsi="宋体"/>
          <w:color w:val="auto"/>
          <w:szCs w:val="21"/>
          <w:highlight w:val="none"/>
          <w:lang w:val="en-US" w:eastAsia="zh-CN"/>
        </w:rPr>
        <w:t>15323870606</w:t>
      </w:r>
    </w:p>
    <w:p>
      <w:pPr>
        <w:widowControl/>
        <w:tabs>
          <w:tab w:val="left" w:pos="502"/>
        </w:tabs>
        <w:adjustRightInd w:val="0"/>
        <w:snapToGrid w:val="0"/>
        <w:spacing w:line="360" w:lineRule="auto"/>
        <w:ind w:firstLine="210" w:firstLineChars="100"/>
        <w:rPr>
          <w:rFonts w:ascii="宋体" w:hAnsi="宋体"/>
          <w:color w:val="auto"/>
          <w:szCs w:val="21"/>
          <w:highlight w:val="none"/>
        </w:rPr>
      </w:pPr>
      <w:r>
        <w:rPr>
          <w:rFonts w:hint="eastAsia" w:ascii="宋体" w:hAnsi="宋体" w:cs="Tahoma"/>
          <w:color w:val="auto"/>
          <w:szCs w:val="21"/>
          <w:highlight w:val="none"/>
        </w:rPr>
        <w:t>2.代理采购机构联系方式：</w:t>
      </w:r>
      <w:r>
        <w:rPr>
          <w:rFonts w:hint="eastAsia" w:ascii="宋体" w:hAnsi="宋体"/>
          <w:color w:val="auto"/>
          <w:szCs w:val="21"/>
          <w:highlight w:val="none"/>
          <w:lang w:val="zh-CN"/>
        </w:rPr>
        <w:t>　　　　　　　</w:t>
      </w:r>
    </w:p>
    <w:p>
      <w:pPr>
        <w:tabs>
          <w:tab w:val="left" w:pos="735"/>
          <w:tab w:val="left" w:pos="4680"/>
        </w:tabs>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olor w:val="auto"/>
          <w:szCs w:val="21"/>
          <w:highlight w:val="none"/>
          <w:lang w:eastAsia="zh-CN"/>
        </w:rPr>
        <w:t>广东业信招标有限公司</w:t>
      </w:r>
      <w:r>
        <w:rPr>
          <w:rFonts w:hint="eastAsia" w:ascii="宋体" w:hAnsi="宋体"/>
          <w:color w:val="auto"/>
          <w:szCs w:val="21"/>
          <w:highlight w:val="none"/>
        </w:rPr>
        <w:t xml:space="preserve">   </w:t>
      </w:r>
    </w:p>
    <w:p>
      <w:pPr>
        <w:tabs>
          <w:tab w:val="left" w:pos="735"/>
          <w:tab w:val="left" w:pos="4680"/>
        </w:tabs>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lang w:val="en-US" w:eastAsia="zh-CN"/>
        </w:rPr>
        <w:t>谢小姐</w:t>
      </w:r>
      <w:r>
        <w:rPr>
          <w:rFonts w:hint="eastAsia" w:ascii="宋体" w:hAnsi="宋体"/>
          <w:color w:val="auto"/>
          <w:szCs w:val="21"/>
          <w:highlight w:val="none"/>
        </w:rPr>
        <w:t>　　　　</w:t>
      </w:r>
    </w:p>
    <w:p>
      <w:pPr>
        <w:tabs>
          <w:tab w:val="left" w:pos="735"/>
          <w:tab w:val="left" w:pos="4680"/>
        </w:tabs>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电话：0662-</w:t>
      </w:r>
      <w:r>
        <w:rPr>
          <w:rFonts w:hint="eastAsia" w:ascii="宋体" w:hAnsi="宋体" w:cs="Tahoma"/>
          <w:color w:val="auto"/>
          <w:highlight w:val="none"/>
        </w:rPr>
        <w:t>3167266</w:t>
      </w:r>
      <w:r>
        <w:rPr>
          <w:rFonts w:hint="eastAsia" w:ascii="宋体" w:hAnsi="宋体"/>
          <w:color w:val="auto"/>
          <w:szCs w:val="21"/>
          <w:highlight w:val="none"/>
        </w:rPr>
        <w:t xml:space="preserve">                 </w:t>
      </w:r>
    </w:p>
    <w:p>
      <w:pPr>
        <w:tabs>
          <w:tab w:val="left" w:pos="735"/>
          <w:tab w:val="left" w:pos="4680"/>
        </w:tabs>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传真：0662-2669666　　　　　</w:t>
      </w:r>
    </w:p>
    <w:p>
      <w:pPr>
        <w:tabs>
          <w:tab w:val="left" w:pos="735"/>
          <w:tab w:val="left" w:pos="4680"/>
        </w:tabs>
        <w:adjustRightInd w:val="0"/>
        <w:snapToGrid w:val="0"/>
        <w:spacing w:line="360" w:lineRule="auto"/>
        <w:ind w:firstLine="420" w:firstLineChars="200"/>
        <w:rPr>
          <w:rFonts w:ascii="宋体" w:hAnsi="宋体"/>
          <w:color w:val="auto"/>
          <w:szCs w:val="21"/>
          <w:highlight w:val="none"/>
          <w:lang w:val="zh-CN"/>
        </w:rPr>
      </w:pPr>
      <w:r>
        <w:rPr>
          <w:rFonts w:hint="eastAsia" w:ascii="宋体" w:hAnsi="宋体"/>
          <w:color w:val="auto"/>
          <w:szCs w:val="21"/>
          <w:highlight w:val="none"/>
        </w:rPr>
        <w:t>联系地址：</w:t>
      </w:r>
      <w:r>
        <w:rPr>
          <w:rFonts w:hint="eastAsia" w:ascii="宋体" w:hAnsi="宋体"/>
          <w:color w:val="auto"/>
          <w:szCs w:val="21"/>
          <w:highlight w:val="none"/>
          <w:lang w:eastAsia="zh-CN"/>
        </w:rPr>
        <w:t>阳江市江城区猫山四街33号A座2楼</w:t>
      </w:r>
      <w:r>
        <w:rPr>
          <w:rFonts w:hint="eastAsia" w:ascii="宋体" w:hAnsi="宋体"/>
          <w:color w:val="auto"/>
          <w:szCs w:val="21"/>
          <w:highlight w:val="none"/>
        </w:rPr>
        <w:t>　</w:t>
      </w:r>
      <w:r>
        <w:rPr>
          <w:rFonts w:hint="eastAsia" w:ascii="宋体" w:hAnsi="宋体"/>
          <w:color w:val="auto"/>
          <w:szCs w:val="21"/>
          <w:highlight w:val="none"/>
          <w:lang w:val="zh-CN"/>
        </w:rPr>
        <w:t>　　　　　　</w:t>
      </w:r>
    </w:p>
    <w:p>
      <w:pPr>
        <w:widowControl/>
        <w:tabs>
          <w:tab w:val="left" w:pos="502"/>
        </w:tabs>
        <w:adjustRightInd w:val="0"/>
        <w:snapToGrid w:val="0"/>
        <w:spacing w:line="360" w:lineRule="auto"/>
        <w:ind w:firstLine="420" w:firstLineChars="200"/>
        <w:rPr>
          <w:rFonts w:ascii="宋体" w:hAnsi="宋体" w:cs="Tahoma"/>
          <w:b/>
          <w:bCs/>
          <w:color w:val="auto"/>
          <w:szCs w:val="21"/>
          <w:highlight w:val="none"/>
        </w:rPr>
      </w:pPr>
      <w:r>
        <w:rPr>
          <w:rFonts w:hint="eastAsia" w:ascii="宋体" w:hAnsi="宋体"/>
          <w:color w:val="auto"/>
          <w:szCs w:val="21"/>
          <w:highlight w:val="none"/>
        </w:rPr>
        <w:t>网址：</w:t>
      </w:r>
      <w:r>
        <w:rPr>
          <w:rFonts w:ascii="宋体" w:hAnsi="宋体"/>
          <w:color w:val="auto"/>
          <w:szCs w:val="21"/>
          <w:highlight w:val="none"/>
        </w:rPr>
        <w:t>http://www.yjcg.cc</w:t>
      </w:r>
    </w:p>
    <w:p>
      <w:pPr>
        <w:spacing w:line="360" w:lineRule="auto"/>
        <w:ind w:firstLine="3255" w:firstLineChars="1550"/>
        <w:rPr>
          <w:rFonts w:ascii="宋体" w:hAnsi="宋体"/>
          <w:color w:val="auto"/>
          <w:szCs w:val="21"/>
          <w:highlight w:val="none"/>
        </w:rPr>
      </w:pPr>
      <w:bookmarkStart w:id="9" w:name="_Toc353522387"/>
      <w:bookmarkStart w:id="10" w:name="_Toc351987959"/>
      <w:bookmarkStart w:id="11" w:name="_Toc351985908"/>
      <w:bookmarkStart w:id="12" w:name="_Toc351986013"/>
      <w:bookmarkStart w:id="13" w:name="_Toc351990140"/>
      <w:bookmarkStart w:id="14" w:name="_Toc351986193"/>
      <w:bookmarkStart w:id="15" w:name="_Toc369180017"/>
      <w:bookmarkStart w:id="16" w:name="_Toc357151163"/>
      <w:bookmarkStart w:id="17" w:name="_Toc351988704"/>
      <w:bookmarkStart w:id="18" w:name="_Toc329242667"/>
      <w:bookmarkStart w:id="19" w:name="_Toc351987763"/>
    </w:p>
    <w:p>
      <w:pPr>
        <w:spacing w:line="360" w:lineRule="auto"/>
        <w:ind w:firstLine="3255" w:firstLineChars="1550"/>
        <w:jc w:val="right"/>
        <w:rPr>
          <w:rFonts w:ascii="宋体" w:hAnsi="宋体"/>
          <w:color w:val="auto"/>
          <w:szCs w:val="21"/>
          <w:highlight w:val="none"/>
        </w:rPr>
      </w:pPr>
      <w:r>
        <w:rPr>
          <w:rFonts w:hint="eastAsia" w:ascii="宋体" w:hAnsi="宋体"/>
          <w:color w:val="auto"/>
          <w:szCs w:val="21"/>
          <w:highlight w:val="none"/>
          <w:lang w:eastAsia="zh-CN"/>
        </w:rPr>
        <w:t>广东业信招标有限公司</w:t>
      </w:r>
      <w:r>
        <w:rPr>
          <w:rFonts w:hint="eastAsia" w:ascii="宋体" w:hAnsi="宋体"/>
          <w:color w:val="auto"/>
          <w:szCs w:val="21"/>
          <w:highlight w:val="none"/>
        </w:rPr>
        <w:t xml:space="preserve">  </w:t>
      </w:r>
    </w:p>
    <w:p>
      <w:pPr>
        <w:spacing w:line="360" w:lineRule="auto"/>
        <w:ind w:left="6615" w:leftChars="2450" w:hanging="1470" w:hangingChars="700"/>
        <w:jc w:val="right"/>
        <w:rPr>
          <w:rFonts w:ascii="宋体" w:hAnsi="宋体"/>
          <w:color w:val="auto"/>
          <w:highlight w:val="none"/>
        </w:rPr>
      </w:pPr>
      <w:bookmarkStart w:id="252" w:name="_GoBack"/>
      <w:bookmarkEnd w:id="252"/>
      <w:r>
        <w:rPr>
          <w:rFonts w:hint="eastAsia" w:ascii="宋体" w:hAnsi="宋体" w:eastAsia="宋体" w:cs="Times New Roman"/>
          <w:color w:val="auto"/>
          <w:kern w:val="2"/>
          <w:sz w:val="21"/>
          <w:szCs w:val="21"/>
          <w:highlight w:val="none"/>
          <w:lang w:val="en-US" w:eastAsia="zh-CN" w:bidi="ar-SA"/>
        </w:rPr>
        <w:t>2023年11月20日</w:t>
      </w:r>
    </w:p>
    <w:p>
      <w:pPr>
        <w:pStyle w:val="4"/>
        <w:numPr>
          <w:ilvl w:val="0"/>
          <w:numId w:val="0"/>
        </w:numPr>
        <w:autoSpaceDE w:val="0"/>
        <w:autoSpaceDN w:val="0"/>
        <w:adjustRightInd w:val="0"/>
        <w:snapToGrid w:val="0"/>
        <w:spacing w:beforeLines="100" w:after="0" w:line="360" w:lineRule="auto"/>
        <w:jc w:val="center"/>
        <w:textAlignment w:val="baseline"/>
        <w:rPr>
          <w:rFonts w:ascii="宋体" w:hAnsi="宋体"/>
          <w:color w:val="auto"/>
          <w:sz w:val="21"/>
          <w:szCs w:val="21"/>
          <w:highlight w:val="none"/>
        </w:rPr>
      </w:pPr>
      <w:bookmarkStart w:id="20" w:name="_Toc452826426"/>
      <w:bookmarkStart w:id="21" w:name="_Toc13130"/>
      <w:r>
        <w:rPr>
          <w:rFonts w:hint="eastAsia" w:ascii="宋体" w:hAnsi="宋体"/>
          <w:color w:val="auto"/>
          <w:sz w:val="21"/>
          <w:szCs w:val="21"/>
          <w:highlight w:val="none"/>
        </w:rPr>
        <w:t>第二部分  采购项目内容</w:t>
      </w:r>
      <w:bookmarkEnd w:id="9"/>
      <w:bookmarkEnd w:id="10"/>
      <w:bookmarkEnd w:id="11"/>
      <w:bookmarkEnd w:id="12"/>
      <w:bookmarkEnd w:id="13"/>
      <w:bookmarkEnd w:id="14"/>
      <w:bookmarkEnd w:id="15"/>
      <w:bookmarkEnd w:id="16"/>
      <w:bookmarkEnd w:id="17"/>
      <w:bookmarkEnd w:id="18"/>
      <w:bookmarkEnd w:id="19"/>
      <w:bookmarkEnd w:id="20"/>
      <w:bookmarkEnd w:id="21"/>
      <w:bookmarkStart w:id="22" w:name="_Toc75570886"/>
    </w:p>
    <w:p>
      <w:pPr>
        <w:pStyle w:val="4"/>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auto"/>
          <w:sz w:val="21"/>
          <w:szCs w:val="21"/>
          <w:highlight w:val="none"/>
          <w:lang w:eastAsia="zh-CN"/>
        </w:rPr>
      </w:pPr>
      <w:bookmarkStart w:id="23" w:name="_Toc351990141"/>
      <w:bookmarkStart w:id="24" w:name="_Toc329242668"/>
      <w:bookmarkStart w:id="25" w:name="_Toc452826427"/>
      <w:bookmarkStart w:id="26" w:name="_Toc351986014"/>
      <w:bookmarkStart w:id="27" w:name="_Toc353522388"/>
      <w:bookmarkStart w:id="28" w:name="_Toc369180018"/>
      <w:bookmarkStart w:id="29" w:name="_Toc357151164"/>
      <w:bookmarkStart w:id="30" w:name="_Toc351985909"/>
      <w:bookmarkStart w:id="31" w:name="_Toc351987764"/>
      <w:bookmarkStart w:id="32" w:name="_Toc351987960"/>
      <w:bookmarkStart w:id="33" w:name="_Toc351988705"/>
      <w:bookmarkStart w:id="34" w:name="_Toc351986194"/>
      <w:bookmarkStart w:id="35" w:name="_Toc19795"/>
      <w:r>
        <w:rPr>
          <w:rFonts w:hint="eastAsia" w:ascii="宋体" w:hAnsi="宋体"/>
          <w:color w:val="auto"/>
          <w:sz w:val="21"/>
          <w:szCs w:val="21"/>
          <w:highlight w:val="none"/>
        </w:rPr>
        <w:t>项目编号：</w:t>
      </w:r>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olor w:val="auto"/>
          <w:sz w:val="21"/>
          <w:szCs w:val="21"/>
          <w:highlight w:val="none"/>
          <w:u w:val="single"/>
          <w:lang w:eastAsia="zh-CN"/>
        </w:rPr>
        <w:t>YXZB-20231115</w:t>
      </w:r>
      <w:bookmarkEnd w:id="35"/>
    </w:p>
    <w:p>
      <w:pPr>
        <w:pStyle w:val="5"/>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auto"/>
          <w:kern w:val="44"/>
          <w:sz w:val="21"/>
          <w:szCs w:val="21"/>
          <w:highlight w:val="none"/>
          <w:lang w:eastAsia="zh-CN"/>
        </w:rPr>
      </w:pPr>
      <w:bookmarkStart w:id="36" w:name="_Toc357151165"/>
      <w:bookmarkStart w:id="37" w:name="_Toc353522389"/>
      <w:bookmarkStart w:id="38" w:name="_Toc351987765"/>
      <w:bookmarkStart w:id="39" w:name="_Toc351990142"/>
      <w:bookmarkStart w:id="40" w:name="_Toc351986015"/>
      <w:bookmarkStart w:id="41" w:name="_Toc351988706"/>
      <w:bookmarkStart w:id="42" w:name="_Toc452826428"/>
      <w:bookmarkStart w:id="43" w:name="_Toc369180019"/>
      <w:bookmarkStart w:id="44" w:name="_Toc351986195"/>
      <w:bookmarkStart w:id="45" w:name="_Toc329242669"/>
      <w:bookmarkStart w:id="46" w:name="_Toc351987961"/>
      <w:bookmarkStart w:id="47" w:name="_Toc351985910"/>
      <w:bookmarkStart w:id="48" w:name="_Toc609"/>
      <w:r>
        <w:rPr>
          <w:rFonts w:hint="eastAsia" w:ascii="宋体" w:hAnsi="宋体" w:eastAsia="宋体"/>
          <w:color w:val="auto"/>
          <w:kern w:val="44"/>
          <w:sz w:val="21"/>
          <w:szCs w:val="21"/>
          <w:highlight w:val="none"/>
        </w:rPr>
        <w:t>项目名称：</w:t>
      </w:r>
      <w:bookmarkEnd w:id="36"/>
      <w:bookmarkEnd w:id="37"/>
      <w:bookmarkEnd w:id="38"/>
      <w:bookmarkEnd w:id="39"/>
      <w:bookmarkEnd w:id="40"/>
      <w:bookmarkEnd w:id="41"/>
      <w:bookmarkEnd w:id="42"/>
      <w:bookmarkEnd w:id="43"/>
      <w:bookmarkEnd w:id="44"/>
      <w:bookmarkEnd w:id="45"/>
      <w:bookmarkEnd w:id="46"/>
      <w:bookmarkEnd w:id="47"/>
      <w:r>
        <w:rPr>
          <w:rFonts w:hint="eastAsia" w:ascii="宋体" w:hAnsi="宋体" w:eastAsia="宋体"/>
          <w:color w:val="auto"/>
          <w:kern w:val="44"/>
          <w:sz w:val="21"/>
          <w:szCs w:val="21"/>
          <w:highlight w:val="none"/>
          <w:u w:val="single"/>
          <w:lang w:eastAsia="zh-CN"/>
        </w:rPr>
        <w:t>数字化外呼及短信触达客服项目（一期）</w:t>
      </w:r>
      <w:bookmarkEnd w:id="48"/>
    </w:p>
    <w:p>
      <w:pPr>
        <w:pStyle w:val="5"/>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auto"/>
          <w:kern w:val="0"/>
          <w:sz w:val="21"/>
          <w:szCs w:val="21"/>
          <w:highlight w:val="none"/>
        </w:rPr>
      </w:pPr>
      <w:bookmarkStart w:id="49" w:name="_Toc351988707"/>
      <w:bookmarkStart w:id="50" w:name="_Toc329242670"/>
      <w:bookmarkStart w:id="51" w:name="_Toc351985911"/>
      <w:bookmarkStart w:id="52" w:name="_Toc351986016"/>
      <w:bookmarkStart w:id="53" w:name="_Toc16487"/>
      <w:bookmarkStart w:id="54" w:name="_Toc452826429"/>
      <w:bookmarkStart w:id="55" w:name="_Toc369180020"/>
      <w:bookmarkStart w:id="56" w:name="_Toc351987962"/>
      <w:bookmarkStart w:id="57" w:name="_Toc357151166"/>
      <w:bookmarkStart w:id="58" w:name="_Toc351990143"/>
      <w:bookmarkStart w:id="59" w:name="_Toc351987766"/>
      <w:bookmarkStart w:id="60" w:name="_Toc353522390"/>
      <w:bookmarkStart w:id="61" w:name="_Toc351986196"/>
      <w:r>
        <w:rPr>
          <w:rFonts w:ascii="宋体" w:hAnsi="宋体" w:eastAsia="宋体"/>
          <w:color w:val="auto"/>
          <w:kern w:val="0"/>
          <w:sz w:val="21"/>
          <w:szCs w:val="21"/>
          <w:highlight w:val="none"/>
        </w:rPr>
        <w:t xml:space="preserve">A  </w:t>
      </w:r>
      <w:r>
        <w:rPr>
          <w:rFonts w:hint="eastAsia" w:ascii="宋体" w:hAnsi="宋体" w:eastAsia="宋体"/>
          <w:color w:val="auto"/>
          <w:kern w:val="0"/>
          <w:sz w:val="21"/>
          <w:szCs w:val="21"/>
          <w:highlight w:val="none"/>
        </w:rPr>
        <w:t>商务要求</w:t>
      </w:r>
      <w:bookmarkEnd w:id="22"/>
      <w:bookmarkEnd w:id="49"/>
      <w:bookmarkEnd w:id="50"/>
      <w:bookmarkEnd w:id="51"/>
      <w:bookmarkEnd w:id="52"/>
      <w:bookmarkEnd w:id="53"/>
      <w:bookmarkEnd w:id="54"/>
      <w:bookmarkEnd w:id="55"/>
      <w:bookmarkEnd w:id="56"/>
      <w:bookmarkEnd w:id="57"/>
      <w:bookmarkEnd w:id="58"/>
      <w:bookmarkEnd w:id="59"/>
      <w:bookmarkEnd w:id="60"/>
      <w:bookmarkEnd w:id="61"/>
    </w:p>
    <w:tbl>
      <w:tblPr>
        <w:tblStyle w:val="4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auto"/>
                <w:highlight w:val="none"/>
              </w:rPr>
            </w:pPr>
            <w:bookmarkStart w:id="62" w:name="_Toc351986017"/>
            <w:bookmarkStart w:id="63" w:name="_Toc351986197"/>
            <w:bookmarkStart w:id="64" w:name="_Toc329242671"/>
            <w:bookmarkStart w:id="65" w:name="_Toc351987767"/>
            <w:bookmarkStart w:id="66" w:name="_Toc369180021"/>
            <w:bookmarkStart w:id="67" w:name="_Toc351990144"/>
            <w:bookmarkStart w:id="68" w:name="_Toc452826430"/>
            <w:bookmarkStart w:id="69" w:name="_Toc353522391"/>
            <w:bookmarkStart w:id="70" w:name="_Toc351987963"/>
            <w:bookmarkStart w:id="71" w:name="_Toc351985912"/>
            <w:bookmarkStart w:id="72" w:name="_Toc357151167"/>
            <w:bookmarkStart w:id="73" w:name="_Toc351988708"/>
            <w:r>
              <w:rPr>
                <w:rFonts w:hint="eastAsia" w:ascii="宋体" w:hAnsi="宋体" w:eastAsia="宋体" w:cs="宋体"/>
                <w:color w:val="auto"/>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w:t>
            </w:r>
          </w:p>
        </w:tc>
        <w:tc>
          <w:tcPr>
            <w:tcW w:w="626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投标人投标资格要求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lang w:eastAsia="zh-CN"/>
              </w:rPr>
            </w:pPr>
            <w:r>
              <w:rPr>
                <w:rFonts w:hint="eastAsia" w:ascii="宋体" w:hAnsi="宋体" w:cs="宋体"/>
                <w:b/>
                <w:color w:val="auto"/>
                <w:highlight w:val="none"/>
                <w:lang w:eastAsia="zh-CN"/>
              </w:rPr>
              <w:t>项目周期</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投标报价包括</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rPr>
            </w:pPr>
            <w:r>
              <w:rPr>
                <w:rFonts w:hint="eastAsia" w:ascii="宋体" w:hAnsi="宋体"/>
                <w:sz w:val="21"/>
                <w:szCs w:val="21"/>
                <w:lang w:val="en-US" w:eastAsia="zh-CN"/>
              </w:rPr>
              <w:t>包括完成本项目的一切费用</w:t>
            </w:r>
            <w:r>
              <w:rPr>
                <w:rFonts w:hint="eastAsia" w:ascii="宋体" w:hAnsi="宋体"/>
                <w:sz w:val="21"/>
                <w:szCs w:val="21"/>
              </w:rPr>
              <w:t>，采购人不再支付任何费用。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合同签订要求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rPr>
            </w:pPr>
            <w:r>
              <w:rPr>
                <w:rFonts w:hint="eastAsia" w:ascii="宋体" w:hAnsi="宋体"/>
                <w:sz w:val="21"/>
                <w:szCs w:val="21"/>
              </w:rPr>
              <w:t>采购合同由成交供应商凭《成交通知书》与采购人双方签订，签订时间为《成交通知书》发出之日起30日内。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rPr>
            </w:pPr>
            <w:r>
              <w:rPr>
                <w:rFonts w:hint="eastAsia" w:ascii="宋体" w:hAnsi="宋体" w:cs="宋体"/>
                <w:b/>
                <w:color w:val="auto"/>
                <w:highlight w:val="none"/>
                <w:lang w:val="en-US" w:eastAsia="zh-CN"/>
              </w:rPr>
              <w:t>服务</w:t>
            </w:r>
            <w:r>
              <w:rPr>
                <w:rFonts w:hint="eastAsia" w:ascii="宋体" w:hAnsi="宋体" w:eastAsia="宋体" w:cs="宋体"/>
                <w:b/>
                <w:color w:val="auto"/>
                <w:highlight w:val="none"/>
              </w:rPr>
              <w:t>地点</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付款方式</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采购人按照协议内容进行服务订购，订购周期内每月产生费用，</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供应商按照采购人订购情况在次月提供账单给采购人，采购人依据账单金额向</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供应商一次性全额付款。</w:t>
            </w:r>
          </w:p>
          <w:p>
            <w:pPr>
              <w:spacing w:line="320" w:lineRule="exact"/>
              <w:rPr>
                <w:rFonts w:hint="eastAsia" w:ascii="宋体" w:hAnsi="宋体" w:eastAsia="宋体" w:cs="宋体"/>
                <w:color w:val="auto"/>
                <w:highlight w:val="none"/>
              </w:rPr>
            </w:pPr>
            <w:r>
              <w:rPr>
                <w:rFonts w:hint="eastAsia" w:ascii="宋体" w:hAnsi="宋体" w:eastAsia="宋体" w:cs="宋体"/>
                <w:color w:val="auto"/>
                <w:highlight w:val="none"/>
              </w:rPr>
              <w:t>2.以下费用均为含税价格，其中语音专线服务税率9%，异网短信服务税率6%，国家税率发生变化的，从其规定。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项目验收要求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1.本项目验收应在采购人和成交供应商双方共同参与的情况下按照国家、地方以及有关规定、规范进行。</w:t>
            </w:r>
          </w:p>
          <w:p>
            <w:pPr>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验收时如发现所交付的服务不符合响应文件规定的情形者，采购人应作出详尽的现场记录，或由采购人和成交供应商双方签署备忘录，此现场记录或者备忘录可用作补充、缺失和更换损坏部件的有效证据，由此产生的有关费用由成交供应商承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售后服务要求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1.服务内容</w:t>
            </w:r>
          </w:p>
          <w:p>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（1）在项目运维阶段，成交供应商需提供不少于1名技术人员的保障运维。</w:t>
            </w:r>
          </w:p>
          <w:p>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（2）提供7*24小时的系统故障响应，并在12小时内完成应急故障处理。</w:t>
            </w:r>
          </w:p>
          <w:p>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（3）紧急故障备用应急服务。当业务系统出现整机崩溃、宕机等紧急故障时，且在短时间内无法修复，提供性能相当的备用系统顶替故障系统，保障业务的顺利流转。</w:t>
            </w:r>
          </w:p>
          <w:p>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（4）数据库优化。根据数据库数据量增长情况，定期开展数据库性能优化。</w:t>
            </w:r>
          </w:p>
          <w:p>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（5）备份数据恢复。在出现系统数据丢失、错误等原因导致系统无法使用的情况，提供备份数据恢复服务，并在1个小时内完成。</w:t>
            </w:r>
          </w:p>
          <w:p>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2.服务形式</w:t>
            </w:r>
          </w:p>
          <w:p>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在保修期内所有的检查、维护、故障排除等工作均免费，服务内容包括：</w:t>
            </w:r>
          </w:p>
          <w:p>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（1）总部电话技术支持：无论何时，成交供应商工程师对建设单位提出的问题、疑难提供7*24小时的技术支持；</w:t>
            </w:r>
          </w:p>
          <w:p>
            <w:pPr>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（2）系统故障解决：成交供应商工程师将尽快地解决故障，质保期内的故障，30分钟响应，在2小时内完成修复一般性故障，24小时内修复重大故障，保证系统尽快恢复正常运行。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项目人员安排要求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成交供应商必须具有良好信誉和相关实力的技术队伍，应指定项目负责人，人员不得随意更换，项目负责人的更换应征得采购人同意。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投标保证金</w:t>
            </w:r>
          </w:p>
          <w:p>
            <w:pPr>
              <w:spacing w:line="300" w:lineRule="exact"/>
              <w:jc w:val="center"/>
              <w:rPr>
                <w:rFonts w:ascii="宋体" w:hAnsi="宋体"/>
                <w:color w:val="auto"/>
                <w:szCs w:val="21"/>
                <w:highlight w:val="none"/>
              </w:rPr>
            </w:pPr>
            <w:r>
              <w:rPr>
                <w:rFonts w:hint="eastAsia" w:ascii="宋体" w:hAnsi="宋体"/>
                <w:color w:val="auto"/>
                <w:szCs w:val="21"/>
                <w:highlight w:val="none"/>
              </w:rPr>
              <w:t>（应当以支票、汇票、本票或者金融机构、担保机构出具的保函等非现金</w:t>
            </w:r>
          </w:p>
          <w:p>
            <w:pPr>
              <w:spacing w:line="300" w:lineRule="exact"/>
              <w:jc w:val="center"/>
              <w:rPr>
                <w:rFonts w:ascii="宋体" w:hAnsi="宋体"/>
                <w:color w:val="auto"/>
                <w:szCs w:val="21"/>
                <w:highlight w:val="none"/>
              </w:rPr>
            </w:pPr>
            <w:r>
              <w:rPr>
                <w:rFonts w:hint="eastAsia" w:ascii="宋体" w:hAnsi="宋体"/>
                <w:color w:val="auto"/>
                <w:szCs w:val="21"/>
                <w:highlight w:val="none"/>
              </w:rPr>
              <w:t>形式提交）。</w:t>
            </w:r>
          </w:p>
          <w:p>
            <w:pPr>
              <w:spacing w:line="300" w:lineRule="exact"/>
              <w:jc w:val="center"/>
              <w:rPr>
                <w:rFonts w:hint="eastAsia" w:ascii="宋体" w:hAnsi="宋体" w:eastAsia="宋体" w:cs="宋体"/>
                <w:color w:val="auto"/>
                <w:szCs w:val="21"/>
                <w:highlight w:val="none"/>
              </w:rPr>
            </w:pPr>
            <w:r>
              <w:rPr>
                <w:rFonts w:hint="eastAsia" w:ascii="宋体"/>
                <w:b/>
                <w:color w:val="auto"/>
                <w:highlight w:val="none"/>
              </w:rPr>
              <w:t>提交主体：必须以投标人自身名义提交，</w:t>
            </w:r>
            <w:r>
              <w:rPr>
                <w:rFonts w:hint="eastAsia" w:ascii="宋体" w:hAnsi="宋体"/>
                <w:color w:val="auto"/>
                <w:szCs w:val="21"/>
                <w:highlight w:val="none"/>
              </w:rPr>
              <w:t>应注明“</w:t>
            </w:r>
            <w:r>
              <w:rPr>
                <w:rFonts w:ascii="宋体" w:hAnsi="宋体"/>
                <w:b/>
                <w:color w:val="auto"/>
                <w:szCs w:val="21"/>
                <w:highlight w:val="none"/>
              </w:rPr>
              <w:t>（</w:t>
            </w:r>
            <w:r>
              <w:rPr>
                <w:rFonts w:hint="eastAsia" w:ascii="宋体" w:hAnsi="宋体"/>
                <w:b/>
                <w:color w:val="auto"/>
                <w:szCs w:val="21"/>
                <w:highlight w:val="none"/>
              </w:rPr>
              <w:t>项目编号）投标保证金</w:t>
            </w:r>
            <w:r>
              <w:rPr>
                <w:rFonts w:hint="eastAsia" w:ascii="宋体" w:hAnsi="宋体"/>
                <w:color w:val="auto"/>
                <w:szCs w:val="21"/>
                <w:highlight w:val="none"/>
              </w:rPr>
              <w:t>”。</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成交服务费</w:t>
            </w:r>
          </w:p>
          <w:p>
            <w:pPr>
              <w:spacing w:line="300" w:lineRule="exact"/>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收费标准：</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auto"/>
                <w:szCs w:val="21"/>
                <w:highlight w:val="none"/>
              </w:rPr>
            </w:pPr>
            <w:r>
              <w:rPr>
                <w:rFonts w:hint="eastAsia" w:ascii="宋体" w:hAnsi="宋体"/>
                <w:bCs/>
                <w:color w:val="auto"/>
                <w:szCs w:val="21"/>
                <w:highlight w:val="none"/>
                <w:lang w:val="en-US" w:eastAsia="zh-CN"/>
              </w:rPr>
              <w:t>参考</w:t>
            </w:r>
            <w:r>
              <w:rPr>
                <w:rFonts w:hint="eastAsia" w:ascii="宋体" w:hAnsi="宋体"/>
                <w:bCs/>
                <w:color w:val="auto"/>
                <w:szCs w:val="21"/>
                <w:highlight w:val="none"/>
              </w:rPr>
              <w:t>发改价格[2011]534号文的规定</w:t>
            </w:r>
            <w:r>
              <w:rPr>
                <w:rFonts w:hint="eastAsia" w:ascii="宋体" w:hAnsi="宋体"/>
                <w:color w:val="auto"/>
                <w:szCs w:val="21"/>
                <w:highlight w:val="none"/>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auto"/>
                <w:szCs w:val="21"/>
                <w:highlight w:val="none"/>
                <w:lang w:eastAsia="zh-CN"/>
              </w:rPr>
            </w:pPr>
            <w:r>
              <w:rPr>
                <w:rFonts w:hint="eastAsia" w:ascii="宋体" w:hAnsi="宋体" w:eastAsia="宋体" w:cs="宋体"/>
                <w:b/>
                <w:bCs/>
                <w:color w:val="auto"/>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auto"/>
                <w:szCs w:val="21"/>
                <w:highlight w:val="none"/>
                <w:lang w:eastAsia="zh-CN"/>
              </w:rPr>
            </w:pPr>
            <w:r>
              <w:rPr>
                <w:rFonts w:hint="eastAsia" w:ascii="宋体" w:hAnsi="宋体" w:eastAsia="宋体" w:cs="宋体"/>
                <w:b/>
                <w:bCs/>
                <w:color w:val="auto"/>
                <w:szCs w:val="21"/>
                <w:highlight w:val="none"/>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auto"/>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中国农业银行股份有限公司阳江</w:t>
            </w:r>
            <w:r>
              <w:rPr>
                <w:rFonts w:hint="eastAsia" w:ascii="宋体" w:hAnsi="宋体" w:eastAsia="宋体" w:cs="宋体"/>
                <w:b/>
                <w:bCs/>
                <w:color w:val="auto"/>
                <w:szCs w:val="21"/>
                <w:highlight w:val="none"/>
                <w:lang w:val="en-US" w:eastAsia="zh-CN"/>
              </w:rPr>
              <w:t>江城</w:t>
            </w:r>
            <w:r>
              <w:rPr>
                <w:rFonts w:hint="eastAsia" w:ascii="宋体" w:hAnsi="宋体" w:eastAsia="宋体" w:cs="宋体"/>
                <w:b/>
                <w:bCs/>
                <w:color w:val="auto"/>
                <w:szCs w:val="21"/>
                <w:highlight w:val="none"/>
              </w:rPr>
              <w:t>支行</w:t>
            </w:r>
          </w:p>
        </w:tc>
      </w:tr>
    </w:tbl>
    <w:p>
      <w:pPr>
        <w:rPr>
          <w:rFonts w:hint="eastAsia" w:ascii="宋体" w:hAnsi="宋体" w:eastAsia="宋体"/>
          <w:color w:val="auto"/>
          <w:kern w:val="0"/>
          <w:sz w:val="21"/>
          <w:szCs w:val="21"/>
          <w:highlight w:val="none"/>
        </w:rPr>
      </w:pPr>
      <w:r>
        <w:rPr>
          <w:rFonts w:hint="eastAsia" w:ascii="宋体" w:hAnsi="宋体" w:eastAsia="宋体"/>
          <w:color w:val="auto"/>
          <w:kern w:val="0"/>
          <w:sz w:val="21"/>
          <w:szCs w:val="21"/>
          <w:highlight w:val="none"/>
        </w:rPr>
        <w:br w:type="page"/>
      </w:r>
    </w:p>
    <w:p>
      <w:pPr>
        <w:pStyle w:val="5"/>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auto"/>
          <w:kern w:val="0"/>
          <w:sz w:val="21"/>
          <w:szCs w:val="21"/>
          <w:highlight w:val="none"/>
        </w:rPr>
      </w:pPr>
      <w:bookmarkStart w:id="74" w:name="_Toc31407"/>
      <w:r>
        <w:rPr>
          <w:rFonts w:hint="eastAsia" w:ascii="宋体" w:hAnsi="宋体" w:eastAsia="宋体"/>
          <w:color w:val="auto"/>
          <w:kern w:val="0"/>
          <w:sz w:val="21"/>
          <w:szCs w:val="21"/>
          <w:highlight w:val="none"/>
        </w:rPr>
        <w:t>B  技术要求</w:t>
      </w:r>
      <w:bookmarkEnd w:id="62"/>
      <w:bookmarkEnd w:id="63"/>
      <w:bookmarkEnd w:id="64"/>
      <w:bookmarkEnd w:id="65"/>
      <w:bookmarkEnd w:id="66"/>
      <w:bookmarkEnd w:id="67"/>
      <w:bookmarkEnd w:id="68"/>
      <w:bookmarkEnd w:id="69"/>
      <w:bookmarkEnd w:id="70"/>
      <w:bookmarkEnd w:id="71"/>
      <w:bookmarkEnd w:id="72"/>
      <w:bookmarkEnd w:id="73"/>
      <w:bookmarkEnd w:id="74"/>
    </w:p>
    <w:p>
      <w:pPr>
        <w:rPr>
          <w:color w:val="auto"/>
          <w:highlight w:val="none"/>
        </w:rPr>
      </w:pPr>
    </w:p>
    <w:p>
      <w:pPr>
        <w:spacing w:line="360" w:lineRule="auto"/>
        <w:ind w:firstLine="422" w:firstLineChars="200"/>
        <w:rPr>
          <w:rFonts w:ascii="宋体" w:hAnsi="宋体"/>
          <w:b/>
          <w:bCs/>
        </w:rPr>
      </w:pPr>
      <w:r>
        <w:rPr>
          <w:rFonts w:hint="eastAsia" w:ascii="宋体" w:hAnsi="宋体"/>
          <w:b/>
          <w:bCs/>
        </w:rPr>
        <w:t>一、背景</w:t>
      </w:r>
    </w:p>
    <w:p>
      <w:pPr>
        <w:spacing w:line="360" w:lineRule="auto"/>
        <w:ind w:firstLine="420" w:firstLineChars="200"/>
        <w:rPr>
          <w:rFonts w:ascii="宋体" w:hAnsi="宋体"/>
        </w:rPr>
      </w:pPr>
      <w:r>
        <w:rPr>
          <w:rFonts w:hint="eastAsia" w:ascii="宋体" w:hAnsi="宋体"/>
        </w:rPr>
        <w:t>一直以来，企业品牌的宣传、产品的推广很大程度上是依靠企业员工的面对面点对点进行销售，企业每年在通信方面投入大量资金和人力成本。随着互联网时代的到来，传统的沟通方式已经拖累了企业的发展。深圳市飞信文达科技有限责任公司为开展客户服务维护及拉新活动，特此开展数字化外呼及短信触达客服项目，项目主要需求如下：</w:t>
      </w:r>
    </w:p>
    <w:p>
      <w:pPr>
        <w:spacing w:line="360" w:lineRule="auto"/>
        <w:ind w:firstLine="420" w:firstLineChars="200"/>
        <w:rPr>
          <w:rFonts w:ascii="宋体" w:hAnsi="宋体"/>
        </w:rPr>
      </w:pPr>
      <w:r>
        <w:rPr>
          <w:rFonts w:hint="eastAsia" w:ascii="宋体" w:hAnsi="宋体"/>
        </w:rPr>
        <w:t>（一）语音专线，用于开展语音外呼客户服务。</w:t>
      </w:r>
    </w:p>
    <w:p>
      <w:pPr>
        <w:spacing w:line="360" w:lineRule="auto"/>
        <w:ind w:firstLine="420" w:firstLineChars="200"/>
        <w:rPr>
          <w:rFonts w:ascii="宋体" w:hAnsi="宋体"/>
        </w:rPr>
      </w:pPr>
      <w:r>
        <w:rPr>
          <w:rFonts w:hint="eastAsia" w:ascii="宋体" w:hAnsi="宋体"/>
        </w:rPr>
        <w:t>（二）异网短信，用于开展短信客户提醒。</w:t>
      </w:r>
    </w:p>
    <w:p>
      <w:pPr>
        <w:numPr>
          <w:ilvl w:val="0"/>
          <w:numId w:val="7"/>
        </w:numPr>
        <w:spacing w:line="360" w:lineRule="auto"/>
        <w:ind w:firstLine="422" w:firstLineChars="200"/>
        <w:rPr>
          <w:rFonts w:ascii="宋体" w:hAnsi="宋体"/>
          <w:b/>
          <w:bCs/>
        </w:rPr>
      </w:pPr>
      <w:r>
        <w:rPr>
          <w:rFonts w:hint="eastAsia" w:ascii="宋体" w:hAnsi="宋体"/>
          <w:b/>
          <w:bCs/>
        </w:rPr>
        <w:t>建设需求</w:t>
      </w:r>
    </w:p>
    <w:p>
      <w:pPr>
        <w:pStyle w:val="3"/>
        <w:spacing w:after="0" w:line="360" w:lineRule="auto"/>
        <w:ind w:firstLine="420" w:firstLineChars="200"/>
        <w:rPr>
          <w:rFonts w:ascii="宋体" w:hAnsi="宋体"/>
        </w:rPr>
      </w:pPr>
      <w:r>
        <w:rPr>
          <w:rFonts w:hint="eastAsia" w:ascii="宋体" w:hAnsi="宋体"/>
        </w:rPr>
        <w:t>（一）语音专线服务：开通一条语音专线用于客服通知。统一外呼号码，提升企业的品牌形象，可独立通话通道，能够实现高速数据传输，提高客户服务质量。</w:t>
      </w:r>
    </w:p>
    <w:p>
      <w:pPr>
        <w:pStyle w:val="3"/>
        <w:spacing w:after="0" w:line="360" w:lineRule="auto"/>
        <w:ind w:firstLine="420" w:firstLineChars="200"/>
        <w:rPr>
          <w:rFonts w:ascii="宋体" w:hAnsi="宋体"/>
        </w:rPr>
      </w:pPr>
      <w:r>
        <w:rPr>
          <w:rFonts w:hint="eastAsia" w:ascii="宋体" w:hAnsi="宋体"/>
        </w:rPr>
        <w:t>（二）异网短信服务：提供支持AP对接能力、支持信息发送能力、支持短信管理功能、支持资料库管理功能、支持信息发送日志查询功能、支持信息发送审核功能、支持数统计功能、支持通道管理功能的异网融合通信服务。</w:t>
      </w:r>
    </w:p>
    <w:p>
      <w:pPr>
        <w:pStyle w:val="3"/>
        <w:spacing w:after="0" w:line="360" w:lineRule="auto"/>
        <w:ind w:firstLine="420" w:firstLineChars="200"/>
        <w:rPr>
          <w:rFonts w:ascii="宋体" w:hAnsi="宋体"/>
        </w:rPr>
      </w:pPr>
      <w:r>
        <w:rPr>
          <w:rFonts w:hint="eastAsia" w:ascii="宋体" w:hAnsi="宋体"/>
        </w:rPr>
        <w:t>建设内容：发送服务功能性要求包括：</w:t>
      </w:r>
    </w:p>
    <w:p>
      <w:pPr>
        <w:pStyle w:val="3"/>
        <w:spacing w:after="0" w:line="360" w:lineRule="auto"/>
        <w:ind w:firstLine="420" w:firstLineChars="200"/>
        <w:rPr>
          <w:rFonts w:ascii="宋体" w:hAnsi="宋体"/>
        </w:rPr>
      </w:pPr>
      <w:r>
        <w:rPr>
          <w:rFonts w:hint="eastAsia" w:ascii="宋体" w:hAnsi="宋体"/>
        </w:rPr>
        <w:t>1、具备较强的系统能力。平台具备较强的通用性、开放性、实时性、可靠性，可以与各种软件系统进行无缝高效相连，将各种应用软件产生的动态信息通过手机短信实时发送、接收。</w:t>
      </w:r>
    </w:p>
    <w:p>
      <w:pPr>
        <w:pStyle w:val="3"/>
        <w:spacing w:after="0" w:line="360" w:lineRule="auto"/>
        <w:ind w:firstLine="420" w:firstLineChars="200"/>
        <w:rPr>
          <w:rFonts w:ascii="宋体" w:hAnsi="宋体"/>
        </w:rPr>
      </w:pPr>
      <w:r>
        <w:rPr>
          <w:rFonts w:hint="eastAsia" w:ascii="宋体" w:hAnsi="宋体"/>
        </w:rPr>
        <w:t>2、具备多种运营商接入的短信网关。支持中国联通、中国电信全国推送具备使用对应的标准协议接入及扩展、具备对运营商进行参数设置的功能、具备对运营商进行管理的功能。</w:t>
      </w:r>
    </w:p>
    <w:p>
      <w:pPr>
        <w:pStyle w:val="3"/>
        <w:spacing w:after="0" w:line="360" w:lineRule="auto"/>
        <w:ind w:firstLine="420" w:firstLineChars="200"/>
        <w:rPr>
          <w:rFonts w:ascii="宋体" w:hAnsi="宋体"/>
        </w:rPr>
      </w:pPr>
      <w:r>
        <w:rPr>
          <w:rFonts w:hint="eastAsia" w:ascii="宋体" w:hAnsi="宋体"/>
        </w:rPr>
        <w:t>3、信息推送服务支持模板批量导入、手工添加群发手机号码。“发送内容”可以手工输入编辑或是选择模板。最大可支持50万个手机号码，支持定时短信的发送；支持信息审核。</w:t>
      </w:r>
    </w:p>
    <w:p>
      <w:pPr>
        <w:pStyle w:val="3"/>
        <w:spacing w:after="0" w:line="360" w:lineRule="auto"/>
        <w:ind w:firstLine="420" w:firstLineChars="200"/>
        <w:rPr>
          <w:rFonts w:ascii="宋体" w:hAnsi="宋体"/>
        </w:rPr>
      </w:pPr>
      <w:r>
        <w:rPr>
          <w:rFonts w:hint="eastAsia" w:ascii="宋体" w:hAnsi="宋体"/>
        </w:rPr>
        <w:t>4、信息推送服务支持补发。通过条件查询，查看信息发送的实时记录和历史记录以及信息批次的详情发送情况，对于发送失败的信息进行自动补发一次或者手动补发。</w:t>
      </w:r>
    </w:p>
    <w:p>
      <w:pPr>
        <w:pStyle w:val="3"/>
        <w:spacing w:after="0" w:line="360" w:lineRule="auto"/>
        <w:ind w:firstLine="420" w:firstLineChars="200"/>
        <w:rPr>
          <w:rFonts w:ascii="宋体" w:hAnsi="宋体"/>
        </w:rPr>
      </w:pPr>
      <w:r>
        <w:rPr>
          <w:rFonts w:hint="eastAsia" w:ascii="宋体" w:hAnsi="宋体"/>
        </w:rPr>
        <w:t>5、信息推送服务支持模板。提供信息模板查询、新增、修改、删除等功能，支持通用静态模板、通用动态模板、智能抓取模板、移动财务模板。</w:t>
      </w:r>
    </w:p>
    <w:p>
      <w:pPr>
        <w:pStyle w:val="3"/>
        <w:spacing w:after="0" w:line="360" w:lineRule="auto"/>
        <w:ind w:firstLine="420" w:firstLineChars="200"/>
        <w:rPr>
          <w:rFonts w:ascii="宋体" w:hAnsi="宋体"/>
        </w:rPr>
      </w:pPr>
      <w:r>
        <w:rPr>
          <w:rFonts w:hint="eastAsia" w:ascii="宋体" w:hAnsi="宋体"/>
        </w:rPr>
        <w:t>6、信息推送服务支持审核及状态查询。要求必备信息内容审核机制（如一审、二审），及黑名单管控机制；通过条件查询，查看信息的一审、二审状态。</w:t>
      </w:r>
    </w:p>
    <w:p>
      <w:pPr>
        <w:pStyle w:val="3"/>
        <w:spacing w:after="0" w:line="360" w:lineRule="auto"/>
        <w:ind w:firstLine="420" w:firstLineChars="200"/>
        <w:rPr>
          <w:rFonts w:ascii="宋体" w:hAnsi="宋体"/>
        </w:rPr>
      </w:pPr>
      <w:r>
        <w:rPr>
          <w:rFonts w:hint="eastAsia" w:ascii="宋体" w:hAnsi="宋体"/>
        </w:rPr>
        <w:t>7、信息推送服务支持发送任务查询。通过条件查询，查看企业信息模块内所有提交的信息状态，包括查看任务发送状态，发送信息审批的审批意见，待批信息的撤销操作等。</w:t>
      </w:r>
    </w:p>
    <w:p>
      <w:pPr>
        <w:pStyle w:val="3"/>
        <w:spacing w:after="0" w:line="360" w:lineRule="auto"/>
        <w:ind w:firstLine="420" w:firstLineChars="200"/>
        <w:rPr>
          <w:rFonts w:ascii="宋体" w:hAnsi="宋体"/>
        </w:rPr>
      </w:pPr>
      <w:r>
        <w:rPr>
          <w:rFonts w:hint="eastAsia" w:ascii="宋体" w:hAnsi="宋体"/>
        </w:rPr>
        <w:t>8、信息推送服务支持发送任务统计，按条件对不同操作员中所有下行信息进行统计、汇总。</w:t>
      </w:r>
    </w:p>
    <w:p>
      <w:pPr>
        <w:pStyle w:val="3"/>
        <w:spacing w:after="0" w:line="360" w:lineRule="auto"/>
        <w:ind w:firstLine="420" w:firstLineChars="200"/>
        <w:rPr>
          <w:rFonts w:ascii="宋体" w:hAnsi="宋体"/>
        </w:rPr>
      </w:pPr>
      <w:r>
        <w:rPr>
          <w:rFonts w:hint="eastAsia" w:ascii="宋体" w:hAnsi="宋体"/>
        </w:rPr>
        <w:t>9、信息推送服务支持上行记录查询，平台接收到的所有手机回复上来的信息记录，按条件进行查询、查看、统计。</w:t>
      </w:r>
    </w:p>
    <w:p>
      <w:pPr>
        <w:pStyle w:val="3"/>
        <w:spacing w:after="0" w:line="360" w:lineRule="auto"/>
        <w:ind w:firstLine="420" w:firstLineChars="200"/>
        <w:rPr>
          <w:rFonts w:ascii="宋体" w:hAnsi="宋体"/>
          <w:kern w:val="0"/>
          <w:sz w:val="18"/>
          <w:szCs w:val="18"/>
        </w:rPr>
      </w:pPr>
      <w:r>
        <w:rPr>
          <w:rFonts w:hint="eastAsia" w:ascii="宋体" w:hAnsi="宋体"/>
        </w:rPr>
        <w:t>10、信息推送服务支持下行记录查询，平台发送的所有信息记录，按条件进行查询、查看、统计。</w:t>
      </w:r>
    </w:p>
    <w:p>
      <w:pPr>
        <w:rPr>
          <w:rFonts w:ascii="宋体" w:hAnsi="宋体"/>
          <w:color w:val="auto"/>
          <w:szCs w:val="21"/>
          <w:highlight w:val="none"/>
          <w:lang w:val="zh-CN"/>
        </w:rPr>
      </w:pPr>
    </w:p>
    <w:p>
      <w:pPr>
        <w:rPr>
          <w:rFonts w:hint="eastAsia" w:ascii="宋体" w:hAnsi="宋体" w:eastAsia="宋体"/>
          <w:color w:val="auto"/>
          <w:kern w:val="0"/>
          <w:sz w:val="21"/>
          <w:szCs w:val="21"/>
          <w:highlight w:val="none"/>
        </w:rPr>
      </w:pPr>
      <w:r>
        <w:rPr>
          <w:rFonts w:hint="eastAsia" w:ascii="宋体" w:hAnsi="宋体" w:eastAsia="宋体"/>
          <w:color w:val="auto"/>
          <w:kern w:val="0"/>
          <w:sz w:val="21"/>
          <w:szCs w:val="21"/>
          <w:highlight w:val="none"/>
        </w:rPr>
        <w:br w:type="page"/>
      </w:r>
    </w:p>
    <w:p>
      <w:pPr>
        <w:pStyle w:val="5"/>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auto"/>
          <w:kern w:val="0"/>
          <w:sz w:val="21"/>
          <w:szCs w:val="21"/>
          <w:highlight w:val="none"/>
        </w:rPr>
      </w:pPr>
      <w:bookmarkStart w:id="75" w:name="_Toc2812"/>
      <w:r>
        <w:rPr>
          <w:rFonts w:hint="eastAsia" w:ascii="宋体" w:hAnsi="宋体" w:eastAsia="宋体"/>
          <w:color w:val="auto"/>
          <w:kern w:val="0"/>
          <w:sz w:val="21"/>
          <w:szCs w:val="21"/>
          <w:highlight w:val="none"/>
        </w:rPr>
        <w:t>第三部分 报价须知</w:t>
      </w:r>
      <w:bookmarkEnd w:id="75"/>
    </w:p>
    <w:p>
      <w:pPr>
        <w:pStyle w:val="5"/>
        <w:numPr>
          <w:ilvl w:val="1"/>
          <w:numId w:val="0"/>
        </w:numPr>
        <w:spacing w:line="360" w:lineRule="auto"/>
        <w:jc w:val="center"/>
        <w:rPr>
          <w:rFonts w:ascii="宋体" w:hAnsi="宋体" w:eastAsia="宋体"/>
          <w:color w:val="auto"/>
          <w:sz w:val="21"/>
          <w:szCs w:val="21"/>
          <w:highlight w:val="none"/>
        </w:rPr>
      </w:pPr>
      <w:bookmarkStart w:id="76" w:name="_Toc2074"/>
      <w:bookmarkStart w:id="77" w:name="_Toc434832495"/>
      <w:r>
        <w:rPr>
          <w:rFonts w:hint="eastAsia" w:ascii="宋体" w:hAnsi="宋体" w:eastAsia="宋体"/>
          <w:color w:val="auto"/>
          <w:sz w:val="21"/>
          <w:szCs w:val="21"/>
          <w:highlight w:val="none"/>
        </w:rPr>
        <w:t>投标人须知前附表</w:t>
      </w:r>
      <w:bookmarkEnd w:id="76"/>
      <w:bookmarkEnd w:id="77"/>
    </w:p>
    <w:tbl>
      <w:tblPr>
        <w:tblStyle w:val="42"/>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auto"/>
                <w:szCs w:val="21"/>
                <w:highlight w:val="none"/>
              </w:rPr>
            </w:pPr>
            <w:r>
              <w:rPr>
                <w:rFonts w:hint="eastAsia" w:ascii="宋体" w:hAnsi="宋体"/>
                <w:b/>
                <w:color w:val="auto"/>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auto"/>
                <w:szCs w:val="21"/>
                <w:highlight w:val="none"/>
              </w:rPr>
            </w:pPr>
            <w:r>
              <w:rPr>
                <w:rFonts w:hint="eastAsia" w:ascii="宋体" w:hAnsi="宋体"/>
                <w:b/>
                <w:color w:val="auto"/>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auto"/>
                <w:szCs w:val="21"/>
                <w:highlight w:val="none"/>
              </w:rPr>
            </w:pPr>
            <w:r>
              <w:rPr>
                <w:rFonts w:hint="eastAsia" w:ascii="宋体" w:hAnsi="宋体"/>
                <w:b/>
                <w:color w:val="auto"/>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Cs w:val="21"/>
                <w:highlight w:val="none"/>
                <w:lang w:val="en-GB"/>
              </w:rPr>
            </w:pPr>
            <w:r>
              <w:rPr>
                <w:rFonts w:hint="eastAsia"/>
                <w:color w:val="auto"/>
                <w:highlight w:val="none"/>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Cs w:val="21"/>
                <w:highlight w:val="none"/>
              </w:rPr>
            </w:pPr>
            <w:r>
              <w:rPr>
                <w:rFonts w:hint="eastAsia" w:ascii="宋体"/>
                <w:bCs/>
                <w:color w:val="auto"/>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auto"/>
                <w:highlight w:val="none"/>
              </w:rPr>
              <w:t>专家数量共</w:t>
            </w:r>
            <w:r>
              <w:rPr>
                <w:rFonts w:ascii="宋体"/>
                <w:b/>
                <w:bCs/>
                <w:color w:val="auto"/>
                <w:highlight w:val="none"/>
                <w:u w:val="single"/>
              </w:rPr>
              <w:t>3</w:t>
            </w:r>
            <w:r>
              <w:rPr>
                <w:rFonts w:hint="eastAsia" w:ascii="宋体"/>
                <w:b/>
                <w:bCs/>
                <w:color w:val="auto"/>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auto"/>
                <w:szCs w:val="21"/>
                <w:highlight w:val="none"/>
              </w:rPr>
            </w:pPr>
            <w:r>
              <w:rPr>
                <w:rFonts w:hint="eastAsia" w:ascii="宋体" w:hAnsi="宋体"/>
                <w:b/>
                <w:color w:val="auto"/>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auto"/>
                <w:szCs w:val="21"/>
                <w:highlight w:val="none"/>
              </w:rPr>
            </w:pPr>
            <w:r>
              <w:rPr>
                <w:rFonts w:hint="eastAsia" w:ascii="宋体"/>
                <w:bCs/>
                <w:color w:val="auto"/>
                <w:highlight w:val="none"/>
              </w:rPr>
              <w:t>投标人在每一份谈判文件上明确标明 “正本”或“副本”。将正本及副本分别</w:t>
            </w:r>
            <w:r>
              <w:rPr>
                <w:rFonts w:hint="eastAsia" w:ascii="宋体" w:hAnsi="宋体"/>
                <w:bCs/>
                <w:color w:val="auto"/>
                <w:highlight w:val="none"/>
              </w:rPr>
              <w:t>密封在不透明的外层封装中，</w:t>
            </w:r>
            <w:r>
              <w:rPr>
                <w:rFonts w:hint="eastAsia"/>
                <w:color w:val="auto"/>
                <w:szCs w:val="21"/>
                <w:highlight w:val="none"/>
              </w:rPr>
              <w:t>封面需按谈判文件封面格式要求标注并加盖公章。电子文件单独密封</w:t>
            </w:r>
            <w:r>
              <w:rPr>
                <w:rFonts w:hint="eastAsia" w:ascii="宋体" w:hAnsi="宋体"/>
                <w:bCs/>
                <w:color w:val="auto"/>
                <w:szCs w:val="21"/>
                <w:highlight w:val="none"/>
              </w:rPr>
              <w:t>不透明的外层封装中</w:t>
            </w:r>
            <w:r>
              <w:rPr>
                <w:rFonts w:hint="eastAsia"/>
                <w:color w:val="auto"/>
                <w:szCs w:val="21"/>
                <w:highlight w:val="none"/>
              </w:rPr>
              <w:t>，在封面上注明“（公司名称）投标电子版”，</w:t>
            </w:r>
            <w:r>
              <w:rPr>
                <w:color w:val="auto"/>
                <w:szCs w:val="21"/>
                <w:highlight w:val="none"/>
              </w:rPr>
              <w:t>所有</w:t>
            </w:r>
            <w:r>
              <w:rPr>
                <w:rFonts w:hint="eastAsia"/>
                <w:color w:val="auto"/>
                <w:szCs w:val="21"/>
                <w:highlight w:val="none"/>
              </w:rPr>
              <w:t>谈判</w:t>
            </w:r>
            <w:r>
              <w:rPr>
                <w:color w:val="auto"/>
                <w:szCs w:val="21"/>
                <w:highlight w:val="none"/>
              </w:rPr>
              <w:t>文件密封袋的封口处应加盖投标人</w:t>
            </w:r>
            <w:r>
              <w:rPr>
                <w:rFonts w:hint="eastAsia"/>
                <w:color w:val="auto"/>
                <w:szCs w:val="21"/>
                <w:highlight w:val="none"/>
              </w:rPr>
              <w:t>公章或密封章。</w:t>
            </w:r>
          </w:p>
          <w:p>
            <w:pPr>
              <w:spacing w:line="360" w:lineRule="exact"/>
              <w:jc w:val="left"/>
              <w:rPr>
                <w:rFonts w:ascii="宋体" w:hAnsi="宋体"/>
                <w:b/>
                <w:color w:val="auto"/>
                <w:szCs w:val="21"/>
                <w:highlight w:val="none"/>
                <w:shd w:val="pct10" w:color="auto" w:fill="FFFFFF"/>
              </w:rPr>
            </w:pPr>
            <w:r>
              <w:rPr>
                <w:rFonts w:hint="eastAsia"/>
                <w:b/>
                <w:color w:val="auto"/>
                <w:szCs w:val="21"/>
                <w:highlight w:val="none"/>
              </w:rPr>
              <w:t>正本</w:t>
            </w:r>
            <w:r>
              <w:rPr>
                <w:rFonts w:hint="eastAsia" w:ascii="宋体"/>
                <w:b/>
                <w:bCs/>
                <w:color w:val="auto"/>
                <w:highlight w:val="none"/>
                <w:u w:val="single"/>
              </w:rPr>
              <w:t>1</w:t>
            </w:r>
            <w:r>
              <w:rPr>
                <w:rFonts w:hint="eastAsia" w:ascii="宋体"/>
                <w:b/>
                <w:bCs/>
                <w:color w:val="auto"/>
                <w:highlight w:val="none"/>
              </w:rPr>
              <w:t>份,</w:t>
            </w:r>
            <w:r>
              <w:rPr>
                <w:rFonts w:hint="eastAsia" w:ascii="宋体" w:hAnsi="宋体"/>
                <w:b/>
                <w:bCs/>
                <w:color w:val="auto"/>
                <w:highlight w:val="none"/>
              </w:rPr>
              <w:t xml:space="preserve"> 副本</w:t>
            </w:r>
            <w:r>
              <w:rPr>
                <w:rFonts w:ascii="宋体" w:hAnsi="宋体"/>
                <w:b/>
                <w:bCs/>
                <w:color w:val="auto"/>
                <w:highlight w:val="none"/>
                <w:u w:val="single"/>
              </w:rPr>
              <w:t>2</w:t>
            </w:r>
            <w:r>
              <w:rPr>
                <w:rFonts w:hint="eastAsia" w:ascii="宋体" w:hAnsi="宋体"/>
                <w:b/>
                <w:bCs/>
                <w:color w:val="auto"/>
                <w:highlight w:val="none"/>
              </w:rPr>
              <w:t>份,</w:t>
            </w:r>
            <w:r>
              <w:rPr>
                <w:rFonts w:hint="eastAsia"/>
                <w:b/>
                <w:color w:val="auto"/>
                <w:szCs w:val="21"/>
                <w:highlight w:val="none"/>
              </w:rPr>
              <w:t>电子文件</w:t>
            </w:r>
            <w:r>
              <w:rPr>
                <w:rFonts w:hint="eastAsia" w:ascii="宋体"/>
                <w:b/>
                <w:bCs/>
                <w:color w:val="auto"/>
                <w:highlight w:val="none"/>
                <w:u w:val="single"/>
              </w:rPr>
              <w:t>1</w:t>
            </w:r>
            <w:r>
              <w:rPr>
                <w:rFonts w:hint="eastAsia" w:ascii="宋体"/>
                <w:b/>
                <w:bCs/>
                <w:color w:val="auto"/>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auto"/>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auto"/>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auto"/>
                <w:highlight w:val="none"/>
              </w:rPr>
            </w:pPr>
            <w:r>
              <w:rPr>
                <w:rFonts w:hint="eastAsia"/>
                <w:color w:val="auto"/>
                <w:highlight w:val="none"/>
              </w:rPr>
              <w:t>为了方便唱标，投标人在递交谈判文件的同时，向代理采购机构提交包含“第一次报价一览表”、“分项报价表”、</w:t>
            </w:r>
            <w:r>
              <w:rPr>
                <w:rFonts w:hint="eastAsia" w:ascii="宋体" w:hAnsi="宋体"/>
                <w:color w:val="auto"/>
                <w:szCs w:val="21"/>
                <w:highlight w:val="none"/>
              </w:rPr>
              <w:t>“法定代表人（负责人）证明书”</w:t>
            </w:r>
            <w:r>
              <w:rPr>
                <w:rFonts w:hint="eastAsia"/>
                <w:color w:val="auto"/>
                <w:highlight w:val="none"/>
              </w:rPr>
              <w:t>和</w:t>
            </w:r>
            <w:r>
              <w:rPr>
                <w:rFonts w:hint="eastAsia" w:ascii="宋体" w:hAnsi="宋体"/>
                <w:color w:val="auto"/>
                <w:szCs w:val="21"/>
                <w:highlight w:val="none"/>
              </w:rPr>
              <w:t>“法定代表人（负责人）</w:t>
            </w:r>
            <w:r>
              <w:rPr>
                <w:rFonts w:ascii="宋体" w:hAnsi="宋体"/>
                <w:color w:val="auto"/>
                <w:szCs w:val="21"/>
                <w:highlight w:val="none"/>
              </w:rPr>
              <w:t>授权书</w:t>
            </w:r>
            <w:r>
              <w:rPr>
                <w:rFonts w:hint="eastAsia" w:ascii="宋体" w:hAnsi="宋体"/>
                <w:color w:val="auto"/>
                <w:szCs w:val="21"/>
                <w:highlight w:val="none"/>
              </w:rPr>
              <w:t>”</w:t>
            </w:r>
            <w:r>
              <w:rPr>
                <w:rFonts w:hint="eastAsia"/>
                <w:color w:val="auto"/>
                <w:highlight w:val="none"/>
              </w:rPr>
              <w:t>的密封袋，</w:t>
            </w:r>
            <w:r>
              <w:rPr>
                <w:rFonts w:hint="eastAsia"/>
                <w:color w:val="auto"/>
                <w:szCs w:val="21"/>
                <w:highlight w:val="none"/>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auto"/>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auto"/>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auto"/>
                <w:highlight w:val="none"/>
              </w:rPr>
            </w:pPr>
            <w:r>
              <w:rPr>
                <w:rFonts w:hint="eastAsia" w:ascii="宋体"/>
                <w:bCs/>
                <w:color w:val="auto"/>
                <w:highlight w:val="none"/>
              </w:rPr>
              <w:t>每一密封信封上均注明“于</w:t>
            </w:r>
            <w:r>
              <w:rPr>
                <w:rFonts w:hint="eastAsia" w:ascii="宋体"/>
                <w:bCs/>
                <w:color w:val="auto"/>
                <w:highlight w:val="none"/>
                <w:u w:val="single"/>
              </w:rPr>
              <w:t xml:space="preserve">     （谈判截止时间）   </w:t>
            </w:r>
            <w:r>
              <w:rPr>
                <w:rFonts w:hint="eastAsia" w:ascii="宋体"/>
                <w:bCs/>
                <w:color w:val="auto"/>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auto"/>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auto"/>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auto"/>
                <w:highlight w:val="none"/>
              </w:rPr>
            </w:pPr>
            <w:r>
              <w:rPr>
                <w:rFonts w:hint="eastAsia" w:ascii="宋体"/>
                <w:bCs/>
                <w:color w:val="auto"/>
                <w:highlight w:val="none"/>
              </w:rPr>
              <w:t>投标人未按上述规定对谈判文件进行密封和加写标记，</w:t>
            </w:r>
            <w:r>
              <w:rPr>
                <w:rFonts w:hint="eastAsia" w:ascii="宋体" w:hAnsi="宋体"/>
                <w:color w:val="auto"/>
                <w:highlight w:val="none"/>
              </w:rPr>
              <w:t>代理采购机构有权予以拒收，并退回给投标人。电报、电话、传真</w:t>
            </w:r>
            <w:r>
              <w:rPr>
                <w:rFonts w:hint="eastAsia" w:ascii="宋体"/>
                <w:bCs/>
                <w:color w:val="auto"/>
                <w:highlight w:val="none"/>
              </w:rPr>
              <w:t>等非纸质形式</w:t>
            </w:r>
            <w:r>
              <w:rPr>
                <w:rFonts w:hint="eastAsia" w:ascii="宋体" w:hAnsi="宋体"/>
                <w:color w:val="auto"/>
                <w:highlight w:val="none"/>
              </w:rPr>
              <w:t>的投标概不接受</w:t>
            </w:r>
            <w:r>
              <w:rPr>
                <w:rFonts w:hint="eastAsia" w:ascii="宋体"/>
                <w:bCs/>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auto"/>
                <w:szCs w:val="21"/>
                <w:highlight w:val="none"/>
              </w:rPr>
            </w:pPr>
            <w:r>
              <w:rPr>
                <w:rFonts w:hint="eastAsia" w:ascii="宋体" w:hAnsi="宋体"/>
                <w:b/>
                <w:color w:val="auto"/>
                <w:szCs w:val="21"/>
                <w:highlight w:val="none"/>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auto"/>
                <w:szCs w:val="21"/>
                <w:highlight w:val="none"/>
              </w:rPr>
            </w:pPr>
            <w:r>
              <w:rPr>
                <w:rFonts w:hint="eastAsia" w:ascii="宋体" w:hAnsi="宋体"/>
                <w:color w:val="auto"/>
                <w:szCs w:val="21"/>
                <w:highlight w:val="none"/>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9"/>
              <w:tabs>
                <w:tab w:val="left" w:pos="26"/>
              </w:tabs>
              <w:ind w:left="26" w:firstLine="0"/>
              <w:rPr>
                <w:bCs/>
                <w:color w:val="auto"/>
                <w:highlight w:val="none"/>
              </w:rPr>
            </w:pPr>
            <w:r>
              <w:rPr>
                <w:rFonts w:hint="eastAsia"/>
                <w:b/>
                <w:color w:val="auto"/>
                <w:szCs w:val="21"/>
                <w:highlight w:val="none"/>
              </w:rPr>
              <w:t>谈判文件中打“★”号条款必须实质性响应，负偏离（不满足要求）将导致谈判无效。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auto"/>
                <w:szCs w:val="21"/>
                <w:highlight w:val="none"/>
              </w:rPr>
            </w:pPr>
            <w:r>
              <w:rPr>
                <w:rFonts w:ascii="宋体" w:hAnsi="宋体"/>
                <w:b/>
                <w:color w:val="auto"/>
                <w:szCs w:val="21"/>
                <w:highlight w:val="none"/>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auto"/>
                <w:szCs w:val="21"/>
                <w:highlight w:val="none"/>
              </w:rPr>
            </w:pPr>
            <w:r>
              <w:rPr>
                <w:rFonts w:hint="eastAsia" w:ascii="宋体" w:hAnsi="宋体"/>
                <w:color w:val="auto"/>
                <w:szCs w:val="21"/>
                <w:highlight w:val="none"/>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ascii="宋体" w:hAnsi="宋体"/>
                <w:color w:val="auto"/>
                <w:szCs w:val="21"/>
                <w:highlight w:val="none"/>
              </w:rPr>
            </w:pPr>
            <w:r>
              <w:rPr>
                <w:rFonts w:hint="eastAsia" w:ascii="宋体" w:hAnsi="宋体"/>
                <w:color w:val="auto"/>
                <w:szCs w:val="21"/>
                <w:highlight w:val="none"/>
                <w:lang w:eastAsia="zh-CN"/>
              </w:rPr>
              <w:t>广东业信招标有限公司</w:t>
            </w:r>
            <w:r>
              <w:rPr>
                <w:rFonts w:hint="eastAsia" w:ascii="宋体" w:hAnsi="宋体"/>
                <w:color w:val="auto"/>
                <w:szCs w:val="21"/>
                <w:highlight w:val="none"/>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Cs w:val="21"/>
                <w:highlight w:val="none"/>
              </w:rPr>
            </w:pPr>
            <w:r>
              <w:rPr>
                <w:color w:val="auto"/>
                <w:highlight w:val="none"/>
              </w:rPr>
              <w:fldChar w:fldCharType="begin"/>
            </w:r>
            <w:r>
              <w:rPr>
                <w:color w:val="auto"/>
                <w:highlight w:val="none"/>
              </w:rPr>
              <w:instrText xml:space="preserve"> HYPERLINK "http://www.gdgpo.gov.cn" </w:instrText>
            </w:r>
            <w:r>
              <w:rPr>
                <w:color w:val="auto"/>
                <w:highlight w:val="none"/>
              </w:rPr>
              <w:fldChar w:fldCharType="separate"/>
            </w:r>
            <w:r>
              <w:rPr>
                <w:rFonts w:ascii="宋体" w:hAnsi="宋体"/>
                <w:color w:val="auto"/>
                <w:szCs w:val="21"/>
                <w:highlight w:val="none"/>
              </w:rPr>
              <w:t>http://www.gdgpo.</w:t>
            </w:r>
            <w:r>
              <w:rPr>
                <w:rFonts w:hint="eastAsia" w:ascii="宋体" w:hAnsi="宋体"/>
                <w:color w:val="auto"/>
                <w:szCs w:val="21"/>
                <w:highlight w:val="none"/>
                <w:lang w:val="en-US" w:eastAsia="zh-CN"/>
              </w:rPr>
              <w:t>com.</w:t>
            </w:r>
            <w:r>
              <w:rPr>
                <w:rFonts w:ascii="宋体" w:hAnsi="宋体"/>
                <w:color w:val="auto"/>
                <w:szCs w:val="21"/>
                <w:highlight w:val="none"/>
              </w:rPr>
              <w:t>cn</w:t>
            </w:r>
            <w:r>
              <w:rPr>
                <w:rFonts w:ascii="宋体" w:hAnsi="宋体"/>
                <w:color w:val="auto"/>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left"/>
              <w:rPr>
                <w:rFonts w:ascii="宋体" w:hAnsi="宋体"/>
                <w:b/>
                <w:color w:val="auto"/>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auto"/>
                <w:szCs w:val="21"/>
                <w:highlight w:val="none"/>
              </w:rPr>
            </w:pPr>
          </w:p>
        </w:tc>
        <w:tc>
          <w:tcPr>
            <w:tcW w:w="3147" w:type="dxa"/>
            <w:vMerge w:val="continue"/>
            <w:tcBorders>
              <w:left w:val="single" w:color="auto" w:sz="4" w:space="0"/>
              <w:bottom w:val="single" w:color="auto" w:sz="4" w:space="0"/>
              <w:right w:val="single" w:color="auto" w:sz="4" w:space="0"/>
            </w:tcBorders>
            <w:vAlign w:val="center"/>
          </w:tcPr>
          <w:p>
            <w:pPr>
              <w:spacing w:line="360" w:lineRule="exact"/>
              <w:rPr>
                <w:rFonts w:ascii="宋体" w:hAnsi="宋体"/>
                <w:color w:val="auto"/>
                <w:szCs w:val="21"/>
                <w:highlight w:val="none"/>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Cs w:val="21"/>
                <w:highlight w:val="none"/>
              </w:rPr>
            </w:pPr>
            <w:r>
              <w:rPr>
                <w:rFonts w:hint="eastAsia" w:ascii="宋体" w:hAnsi="宋体"/>
                <w:color w:val="auto"/>
                <w:szCs w:val="21"/>
                <w:highlight w:val="none"/>
              </w:rPr>
              <w:t>http://www.yjcg.cc</w:t>
            </w:r>
          </w:p>
        </w:tc>
      </w:tr>
    </w:tbl>
    <w:p>
      <w:pPr>
        <w:rPr>
          <w:color w:val="auto"/>
          <w:highlight w:val="none"/>
        </w:rPr>
      </w:pPr>
    </w:p>
    <w:bookmarkEnd w:id="2"/>
    <w:bookmarkEnd w:id="3"/>
    <w:bookmarkEnd w:id="4"/>
    <w:bookmarkEnd w:id="5"/>
    <w:bookmarkEnd w:id="6"/>
    <w:bookmarkEnd w:id="7"/>
    <w:bookmarkEnd w:id="8"/>
    <w:p>
      <w:pPr>
        <w:spacing w:line="360" w:lineRule="auto"/>
        <w:rPr>
          <w:rFonts w:ascii="宋体" w:hAnsi="宋体"/>
          <w:b/>
          <w:color w:val="auto"/>
          <w:szCs w:val="21"/>
          <w:highlight w:val="none"/>
        </w:rPr>
      </w:pPr>
      <w:bookmarkStart w:id="78" w:name="_Toc367780303"/>
    </w:p>
    <w:p>
      <w:pPr>
        <w:spacing w:line="360" w:lineRule="auto"/>
        <w:rPr>
          <w:rFonts w:ascii="宋体" w:hAnsi="宋体"/>
          <w:b/>
          <w:color w:val="auto"/>
          <w:szCs w:val="21"/>
          <w:highlight w:val="none"/>
        </w:rPr>
      </w:pPr>
    </w:p>
    <w:p>
      <w:pPr>
        <w:spacing w:line="360" w:lineRule="auto"/>
        <w:rPr>
          <w:rFonts w:ascii="宋体" w:hAnsi="宋体"/>
          <w:b/>
          <w:color w:val="auto"/>
          <w:szCs w:val="21"/>
          <w:highlight w:val="none"/>
        </w:rPr>
      </w:pPr>
    </w:p>
    <w:p>
      <w:pPr>
        <w:spacing w:line="360" w:lineRule="auto"/>
        <w:rPr>
          <w:rFonts w:ascii="宋体" w:hAnsi="宋体"/>
          <w:b/>
          <w:color w:val="auto"/>
          <w:szCs w:val="21"/>
          <w:highlight w:val="none"/>
        </w:rPr>
      </w:pPr>
    </w:p>
    <w:p>
      <w:pPr>
        <w:spacing w:line="360" w:lineRule="auto"/>
        <w:rPr>
          <w:rFonts w:ascii="宋体" w:hAnsi="宋体"/>
          <w:b/>
          <w:color w:val="auto"/>
          <w:szCs w:val="21"/>
          <w:highlight w:val="none"/>
        </w:rPr>
      </w:pPr>
    </w:p>
    <w:p>
      <w:pPr>
        <w:spacing w:line="360" w:lineRule="auto"/>
        <w:rPr>
          <w:rFonts w:ascii="宋体" w:hAnsi="宋体"/>
          <w:b/>
          <w:color w:val="auto"/>
          <w:szCs w:val="21"/>
          <w:highlight w:val="none"/>
        </w:rPr>
      </w:pPr>
    </w:p>
    <w:p>
      <w:pPr>
        <w:spacing w:line="360" w:lineRule="auto"/>
        <w:rPr>
          <w:rFonts w:ascii="宋体" w:hAnsi="宋体"/>
          <w:b/>
          <w:color w:val="auto"/>
          <w:szCs w:val="21"/>
          <w:highlight w:val="none"/>
        </w:rPr>
      </w:pPr>
    </w:p>
    <w:p>
      <w:pPr>
        <w:spacing w:line="360" w:lineRule="auto"/>
        <w:rPr>
          <w:rFonts w:ascii="宋体" w:hAnsi="宋体"/>
          <w:b/>
          <w:color w:val="auto"/>
          <w:szCs w:val="21"/>
          <w:highlight w:val="none"/>
        </w:rPr>
      </w:pPr>
    </w:p>
    <w:p>
      <w:pPr>
        <w:spacing w:line="360" w:lineRule="auto"/>
        <w:rPr>
          <w:rFonts w:ascii="宋体" w:hAnsi="宋体"/>
          <w:b/>
          <w:color w:val="auto"/>
          <w:szCs w:val="21"/>
          <w:highlight w:val="none"/>
        </w:rPr>
      </w:pPr>
    </w:p>
    <w:p>
      <w:pPr>
        <w:rPr>
          <w:rFonts w:hint="eastAsia" w:ascii="宋体" w:hAnsi="宋体"/>
          <w:b/>
          <w:color w:val="auto"/>
          <w:szCs w:val="21"/>
          <w:highlight w:val="none"/>
        </w:rPr>
      </w:pPr>
      <w:r>
        <w:rPr>
          <w:rFonts w:hint="eastAsia" w:ascii="宋体" w:hAnsi="宋体"/>
          <w:b/>
          <w:color w:val="auto"/>
          <w:szCs w:val="21"/>
          <w:highlight w:val="none"/>
        </w:rPr>
        <w:br w:type="page"/>
      </w:r>
    </w:p>
    <w:p>
      <w:pPr>
        <w:spacing w:line="360" w:lineRule="auto"/>
        <w:rPr>
          <w:rFonts w:ascii="宋体" w:hAnsi="宋体"/>
          <w:b/>
          <w:color w:val="auto"/>
          <w:szCs w:val="21"/>
          <w:highlight w:val="none"/>
        </w:rPr>
      </w:pPr>
      <w:r>
        <w:rPr>
          <w:rFonts w:hint="eastAsia" w:ascii="宋体" w:hAnsi="宋体"/>
          <w:b/>
          <w:color w:val="auto"/>
          <w:szCs w:val="21"/>
          <w:highlight w:val="none"/>
        </w:rPr>
        <w:t>Ａ  说  明</w:t>
      </w:r>
      <w:bookmarkEnd w:id="78"/>
    </w:p>
    <w:p>
      <w:pPr>
        <w:pStyle w:val="6"/>
        <w:spacing w:line="360" w:lineRule="auto"/>
        <w:rPr>
          <w:rFonts w:ascii="宋体" w:hAnsi="宋体"/>
          <w:color w:val="auto"/>
          <w:sz w:val="21"/>
          <w:szCs w:val="21"/>
          <w:highlight w:val="none"/>
        </w:rPr>
      </w:pPr>
      <w:bookmarkStart w:id="79" w:name="_Toc367780304"/>
      <w:bookmarkStart w:id="80" w:name="_Toc1124"/>
      <w:r>
        <w:rPr>
          <w:rFonts w:ascii="宋体" w:hAnsi="宋体"/>
          <w:color w:val="auto"/>
          <w:sz w:val="21"/>
          <w:szCs w:val="21"/>
          <w:highlight w:val="none"/>
        </w:rPr>
        <w:t>1</w:t>
      </w:r>
      <w:r>
        <w:rPr>
          <w:rFonts w:hint="eastAsia" w:ascii="宋体" w:hAnsi="宋体"/>
          <w:color w:val="auto"/>
          <w:sz w:val="21"/>
          <w:szCs w:val="21"/>
          <w:highlight w:val="none"/>
        </w:rPr>
        <w:tab/>
      </w:r>
      <w:r>
        <w:rPr>
          <w:rFonts w:hint="eastAsia" w:ascii="宋体" w:hAnsi="宋体"/>
          <w:color w:val="auto"/>
          <w:sz w:val="21"/>
          <w:szCs w:val="21"/>
          <w:highlight w:val="none"/>
        </w:rPr>
        <w:t>适用范围和资金来源</w:t>
      </w:r>
      <w:bookmarkEnd w:id="79"/>
      <w:bookmarkEnd w:id="80"/>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1.1</w:t>
      </w:r>
      <w:r>
        <w:rPr>
          <w:rFonts w:hint="eastAsia" w:ascii="宋体" w:hAnsi="宋体"/>
          <w:bCs/>
          <w:color w:val="auto"/>
          <w:szCs w:val="21"/>
          <w:highlight w:val="none"/>
        </w:rPr>
        <w:tab/>
      </w:r>
      <w:r>
        <w:rPr>
          <w:rFonts w:hint="eastAsia" w:ascii="宋体" w:hAnsi="宋体"/>
          <w:bCs/>
          <w:color w:val="auto"/>
          <w:szCs w:val="21"/>
          <w:highlight w:val="none"/>
        </w:rPr>
        <w:t>本谈判文件仅适用于本次竞争性谈判邀请函中所叙述的</w:t>
      </w:r>
      <w:r>
        <w:rPr>
          <w:rFonts w:hint="eastAsia" w:ascii="宋体" w:hAnsi="宋体"/>
          <w:color w:val="auto"/>
          <w:szCs w:val="21"/>
          <w:highlight w:val="none"/>
          <w:lang w:eastAsia="zh-CN"/>
        </w:rPr>
        <w:t>数字化外呼及短信触达客服项目（一期）</w:t>
      </w:r>
      <w:r>
        <w:rPr>
          <w:rFonts w:hint="eastAsia" w:ascii="宋体" w:hAnsi="宋体"/>
          <w:bCs/>
          <w:color w:val="auto"/>
          <w:szCs w:val="21"/>
          <w:highlight w:val="none"/>
        </w:rPr>
        <w:t>。</w:t>
      </w:r>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1.2</w:t>
      </w:r>
      <w:r>
        <w:rPr>
          <w:rFonts w:hint="eastAsia" w:ascii="宋体" w:hAnsi="宋体"/>
          <w:bCs/>
          <w:color w:val="auto"/>
          <w:szCs w:val="21"/>
          <w:highlight w:val="none"/>
        </w:rPr>
        <w:tab/>
      </w:r>
      <w:r>
        <w:rPr>
          <w:rFonts w:hint="eastAsia" w:ascii="宋体" w:hAnsi="宋体"/>
          <w:bCs/>
          <w:color w:val="auto"/>
          <w:szCs w:val="21"/>
          <w:highlight w:val="none"/>
        </w:rPr>
        <w:t>本谈判文件有关条款由</w:t>
      </w:r>
      <w:r>
        <w:rPr>
          <w:rFonts w:hint="eastAsia" w:ascii="宋体" w:hAnsi="宋体" w:cs="Tahoma"/>
          <w:color w:val="auto"/>
          <w:szCs w:val="21"/>
          <w:highlight w:val="none"/>
        </w:rPr>
        <w:t>代理采购机构</w:t>
      </w:r>
      <w:r>
        <w:rPr>
          <w:rFonts w:hint="eastAsia" w:ascii="宋体" w:hAnsi="宋体"/>
          <w:bCs/>
          <w:color w:val="auto"/>
          <w:szCs w:val="21"/>
          <w:highlight w:val="none"/>
        </w:rPr>
        <w:t>负责解释。</w:t>
      </w:r>
    </w:p>
    <w:p>
      <w:pPr>
        <w:pStyle w:val="6"/>
        <w:spacing w:line="360" w:lineRule="auto"/>
        <w:rPr>
          <w:rFonts w:ascii="宋体" w:hAnsi="宋体"/>
          <w:color w:val="auto"/>
          <w:sz w:val="21"/>
          <w:szCs w:val="21"/>
          <w:highlight w:val="none"/>
        </w:rPr>
      </w:pPr>
      <w:bookmarkStart w:id="81" w:name="_Toc31623"/>
      <w:bookmarkStart w:id="82" w:name="_Toc367780305"/>
      <w:r>
        <w:rPr>
          <w:rFonts w:ascii="宋体" w:hAnsi="宋体"/>
          <w:color w:val="auto"/>
          <w:sz w:val="21"/>
          <w:szCs w:val="21"/>
          <w:highlight w:val="none"/>
        </w:rPr>
        <w:t>2</w:t>
      </w:r>
      <w:r>
        <w:rPr>
          <w:rFonts w:hint="eastAsia" w:ascii="宋体" w:hAnsi="宋体"/>
          <w:color w:val="auto"/>
          <w:sz w:val="21"/>
          <w:szCs w:val="21"/>
          <w:highlight w:val="none"/>
        </w:rPr>
        <w:tab/>
      </w:r>
      <w:r>
        <w:rPr>
          <w:rFonts w:hint="eastAsia" w:ascii="宋体" w:hAnsi="宋体"/>
          <w:color w:val="auto"/>
          <w:sz w:val="21"/>
          <w:szCs w:val="21"/>
          <w:highlight w:val="none"/>
        </w:rPr>
        <w:t>定义</w:t>
      </w:r>
      <w:bookmarkEnd w:id="81"/>
      <w:bookmarkEnd w:id="82"/>
    </w:p>
    <w:p>
      <w:pPr>
        <w:widowControl/>
        <w:numPr>
          <w:ilvl w:val="1"/>
          <w:numId w:val="8"/>
        </w:numPr>
        <w:tabs>
          <w:tab w:val="left" w:pos="753"/>
        </w:tabs>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“代理采购机构”系指</w:t>
      </w:r>
      <w:r>
        <w:rPr>
          <w:rFonts w:hint="eastAsia" w:ascii="宋体" w:hAnsi="宋体"/>
          <w:bCs/>
          <w:color w:val="auto"/>
          <w:szCs w:val="21"/>
          <w:highlight w:val="none"/>
          <w:lang w:eastAsia="zh-CN"/>
        </w:rPr>
        <w:t>广东业信招标有限公司</w:t>
      </w:r>
      <w:r>
        <w:rPr>
          <w:rFonts w:hint="eastAsia" w:ascii="宋体" w:hAnsi="宋体"/>
          <w:bCs/>
          <w:color w:val="auto"/>
          <w:szCs w:val="21"/>
          <w:highlight w:val="none"/>
        </w:rPr>
        <w:t>。</w:t>
      </w:r>
    </w:p>
    <w:p>
      <w:pPr>
        <w:widowControl/>
        <w:numPr>
          <w:ilvl w:val="1"/>
          <w:numId w:val="8"/>
        </w:numPr>
        <w:tabs>
          <w:tab w:val="left" w:pos="753"/>
        </w:tabs>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“供应商”系指符合谈判文件合格供应商资格要求，并按谈判文件规定提交谈判响应文件的供应商。</w:t>
      </w:r>
    </w:p>
    <w:p>
      <w:pPr>
        <w:widowControl/>
        <w:numPr>
          <w:ilvl w:val="1"/>
          <w:numId w:val="8"/>
        </w:numPr>
        <w:tabs>
          <w:tab w:val="left" w:pos="753"/>
        </w:tabs>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“采购人”系指</w:t>
      </w:r>
      <w:r>
        <w:rPr>
          <w:rFonts w:hint="eastAsia" w:ascii="宋体" w:hAnsi="宋体"/>
          <w:bCs/>
          <w:color w:val="auto"/>
          <w:szCs w:val="21"/>
          <w:highlight w:val="none"/>
          <w:lang w:eastAsia="zh-CN"/>
        </w:rPr>
        <w:t>深圳市飞信文达科技有限责任公司</w:t>
      </w:r>
      <w:r>
        <w:rPr>
          <w:rFonts w:hint="eastAsia" w:ascii="宋体" w:hAnsi="宋体"/>
          <w:bCs/>
          <w:color w:val="auto"/>
          <w:szCs w:val="21"/>
          <w:highlight w:val="none"/>
        </w:rPr>
        <w:t>，即项目采购用户方。</w:t>
      </w:r>
    </w:p>
    <w:p>
      <w:pPr>
        <w:widowControl/>
        <w:numPr>
          <w:ilvl w:val="1"/>
          <w:numId w:val="8"/>
        </w:numPr>
        <w:tabs>
          <w:tab w:val="left" w:pos="753"/>
        </w:tabs>
        <w:adjustRightInd w:val="0"/>
        <w:snapToGrid w:val="0"/>
        <w:spacing w:line="360" w:lineRule="auto"/>
        <w:rPr>
          <w:rFonts w:ascii="宋体" w:hAnsi="宋体"/>
          <w:bCs/>
          <w:color w:val="auto"/>
          <w:szCs w:val="21"/>
          <w:highlight w:val="none"/>
        </w:rPr>
      </w:pPr>
      <w:r>
        <w:rPr>
          <w:rFonts w:ascii="宋体" w:hAnsi="宋体"/>
          <w:bCs/>
          <w:color w:val="auto"/>
          <w:szCs w:val="21"/>
          <w:highlight w:val="none"/>
        </w:rPr>
        <w:t>“</w:t>
      </w:r>
      <w:r>
        <w:rPr>
          <w:rFonts w:hint="eastAsia" w:ascii="宋体" w:hAnsi="宋体"/>
          <w:bCs/>
          <w:color w:val="auto"/>
          <w:szCs w:val="21"/>
          <w:highlight w:val="none"/>
        </w:rPr>
        <w:t>货物</w:t>
      </w:r>
      <w:r>
        <w:rPr>
          <w:rFonts w:ascii="宋体" w:hAnsi="宋体"/>
          <w:bCs/>
          <w:color w:val="auto"/>
          <w:szCs w:val="21"/>
          <w:highlight w:val="none"/>
        </w:rPr>
        <w:t>”</w:t>
      </w:r>
      <w:r>
        <w:rPr>
          <w:rFonts w:hint="eastAsia" w:ascii="宋体" w:hAnsi="宋体"/>
          <w:bCs/>
          <w:color w:val="auto"/>
          <w:szCs w:val="21"/>
          <w:highlight w:val="none"/>
        </w:rPr>
        <w:t>系指投标供应商根据谈判文件规定，须向采购人提供的货物、材料、备品备件、工具、使用手册及有关技术资料等。</w:t>
      </w:r>
    </w:p>
    <w:p>
      <w:pPr>
        <w:widowControl/>
        <w:numPr>
          <w:ilvl w:val="1"/>
          <w:numId w:val="8"/>
        </w:numPr>
        <w:tabs>
          <w:tab w:val="left" w:pos="753"/>
        </w:tabs>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“服务”系指谈判文件规定卖方须承担与实施本项目有关的伴随服务，包括但不限于运输、设计、装卸、安装、调试、技术支持、售后服务等义务和合同中规定卖方应承担的其它义务。</w:t>
      </w:r>
    </w:p>
    <w:p>
      <w:pPr>
        <w:widowControl/>
        <w:numPr>
          <w:ilvl w:val="1"/>
          <w:numId w:val="8"/>
        </w:numPr>
        <w:tabs>
          <w:tab w:val="left" w:pos="753"/>
        </w:tabs>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 xml:space="preserve"> “天”是指日历天。</w:t>
      </w:r>
    </w:p>
    <w:p>
      <w:pPr>
        <w:widowControl/>
        <w:numPr>
          <w:ilvl w:val="1"/>
          <w:numId w:val="8"/>
        </w:numPr>
        <w:tabs>
          <w:tab w:val="left" w:pos="753"/>
        </w:tabs>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“工作日”系指国家规定除法定节假日以外的以日</w:t>
      </w:r>
      <w:r>
        <w:rPr>
          <w:rFonts w:ascii="宋体" w:hAnsi="宋体"/>
          <w:bCs/>
          <w:color w:val="auto"/>
          <w:szCs w:val="21"/>
          <w:highlight w:val="none"/>
        </w:rPr>
        <w:t>为计算单位的工作时间</w:t>
      </w:r>
      <w:r>
        <w:rPr>
          <w:rFonts w:hint="eastAsia" w:ascii="宋体" w:hAnsi="宋体"/>
          <w:bCs/>
          <w:color w:val="auto"/>
          <w:szCs w:val="21"/>
          <w:highlight w:val="none"/>
        </w:rPr>
        <w:t>。</w:t>
      </w:r>
    </w:p>
    <w:p>
      <w:pPr>
        <w:pStyle w:val="6"/>
        <w:spacing w:line="360" w:lineRule="auto"/>
        <w:rPr>
          <w:rFonts w:ascii="宋体" w:hAnsi="宋体"/>
          <w:color w:val="auto"/>
          <w:sz w:val="21"/>
          <w:szCs w:val="21"/>
          <w:highlight w:val="none"/>
        </w:rPr>
      </w:pPr>
      <w:bookmarkStart w:id="83" w:name="_Toc15691"/>
      <w:bookmarkStart w:id="84" w:name="_Toc367780306"/>
      <w:r>
        <w:rPr>
          <w:rFonts w:ascii="宋体" w:hAnsi="宋体"/>
          <w:color w:val="auto"/>
          <w:sz w:val="21"/>
          <w:szCs w:val="21"/>
          <w:highlight w:val="none"/>
        </w:rPr>
        <w:t>3</w:t>
      </w:r>
      <w:r>
        <w:rPr>
          <w:rFonts w:hint="eastAsia" w:ascii="宋体" w:hAnsi="宋体"/>
          <w:color w:val="auto"/>
          <w:sz w:val="21"/>
          <w:szCs w:val="21"/>
          <w:highlight w:val="none"/>
        </w:rPr>
        <w:tab/>
      </w:r>
      <w:r>
        <w:rPr>
          <w:rFonts w:hint="eastAsia" w:ascii="宋体" w:hAnsi="宋体"/>
          <w:color w:val="auto"/>
          <w:sz w:val="21"/>
          <w:szCs w:val="21"/>
          <w:highlight w:val="none"/>
        </w:rPr>
        <w:t>合格的供应商</w:t>
      </w:r>
      <w:bookmarkEnd w:id="83"/>
      <w:bookmarkEnd w:id="84"/>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3.1</w:t>
      </w:r>
      <w:r>
        <w:rPr>
          <w:rFonts w:hint="eastAsia" w:ascii="宋体" w:hAnsi="宋体"/>
          <w:bCs/>
          <w:color w:val="auto"/>
          <w:szCs w:val="21"/>
          <w:highlight w:val="none"/>
        </w:rPr>
        <w:tab/>
      </w:r>
      <w:r>
        <w:rPr>
          <w:rFonts w:hint="eastAsia" w:ascii="宋体" w:hAnsi="宋体"/>
          <w:bCs/>
          <w:color w:val="auto"/>
          <w:szCs w:val="21"/>
          <w:highlight w:val="none"/>
        </w:rPr>
        <w:tab/>
      </w:r>
      <w:r>
        <w:rPr>
          <w:rFonts w:hint="eastAsia" w:ascii="宋体" w:hAnsi="宋体"/>
          <w:bCs/>
          <w:color w:val="auto"/>
          <w:szCs w:val="21"/>
          <w:highlight w:val="none"/>
        </w:rPr>
        <w:t>凡具有供应能力，符合并承认和履行本谈判文件中各项规定者为合格的供应商。</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3.2</w:t>
      </w:r>
      <w:r>
        <w:rPr>
          <w:rFonts w:ascii="宋体" w:hAnsi="宋体"/>
          <w:bCs/>
          <w:color w:val="auto"/>
          <w:szCs w:val="21"/>
          <w:highlight w:val="none"/>
        </w:rPr>
        <w:tab/>
      </w:r>
      <w:r>
        <w:rPr>
          <w:rFonts w:hint="eastAsia" w:ascii="宋体" w:hAnsi="宋体"/>
          <w:bCs/>
          <w:color w:val="auto"/>
          <w:szCs w:val="21"/>
          <w:highlight w:val="none"/>
        </w:rPr>
        <w:tab/>
      </w:r>
      <w:r>
        <w:rPr>
          <w:rFonts w:hint="eastAsia" w:ascii="宋体" w:hAnsi="宋体"/>
          <w:bCs/>
          <w:color w:val="auto"/>
          <w:szCs w:val="21"/>
          <w:highlight w:val="none"/>
        </w:rPr>
        <w:t>供应商必须遵守国家有关规定和其他相关的法律、法规、规章、条例及谈判文件中的规定。</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3.3    </w:t>
      </w:r>
      <w:r>
        <w:rPr>
          <w:rFonts w:ascii="宋体" w:hAnsi="宋体"/>
          <w:bCs/>
          <w:color w:val="auto"/>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3.4     </w:t>
      </w:r>
      <w:r>
        <w:rPr>
          <w:rFonts w:ascii="宋体" w:hAnsi="宋体"/>
          <w:bCs/>
          <w:color w:val="auto"/>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3.5    </w:t>
      </w:r>
      <w:r>
        <w:rPr>
          <w:rFonts w:ascii="宋体" w:hAnsi="宋体"/>
          <w:bCs/>
          <w:color w:val="auto"/>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3.6    </w:t>
      </w:r>
      <w:r>
        <w:rPr>
          <w:rFonts w:ascii="宋体" w:hAnsi="宋体"/>
          <w:bCs/>
          <w:color w:val="auto"/>
          <w:szCs w:val="21"/>
          <w:highlight w:val="none"/>
        </w:rPr>
        <w:t>专门面向中小微企业采购的项目，只能由中小企业或微型企业参加。</w:t>
      </w:r>
    </w:p>
    <w:p>
      <w:pPr>
        <w:pStyle w:val="6"/>
        <w:spacing w:line="360" w:lineRule="auto"/>
        <w:rPr>
          <w:rFonts w:ascii="宋体" w:hAnsi="宋体"/>
          <w:color w:val="auto"/>
          <w:sz w:val="21"/>
          <w:szCs w:val="21"/>
          <w:highlight w:val="none"/>
        </w:rPr>
      </w:pPr>
      <w:bookmarkStart w:id="85" w:name="_Toc367780307"/>
      <w:bookmarkStart w:id="86" w:name="_Toc231"/>
      <w:r>
        <w:rPr>
          <w:rFonts w:ascii="宋体" w:hAnsi="宋体"/>
          <w:color w:val="auto"/>
          <w:sz w:val="21"/>
          <w:szCs w:val="21"/>
          <w:highlight w:val="none"/>
        </w:rPr>
        <w:t>4</w:t>
      </w:r>
      <w:r>
        <w:rPr>
          <w:rFonts w:hint="eastAsia" w:ascii="宋体" w:hAnsi="宋体"/>
          <w:color w:val="auto"/>
          <w:sz w:val="21"/>
          <w:szCs w:val="21"/>
          <w:highlight w:val="none"/>
        </w:rPr>
        <w:tab/>
      </w:r>
      <w:r>
        <w:rPr>
          <w:rFonts w:hint="eastAsia" w:ascii="宋体" w:hAnsi="宋体"/>
          <w:color w:val="auto"/>
          <w:sz w:val="21"/>
          <w:szCs w:val="21"/>
          <w:highlight w:val="none"/>
        </w:rPr>
        <w:t>谈判费用</w:t>
      </w:r>
      <w:bookmarkEnd w:id="85"/>
      <w:bookmarkEnd w:id="86"/>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4.1</w:t>
      </w:r>
      <w:r>
        <w:rPr>
          <w:rFonts w:hint="eastAsia" w:ascii="宋体" w:hAnsi="宋体"/>
          <w:bCs/>
          <w:color w:val="auto"/>
          <w:szCs w:val="21"/>
          <w:highlight w:val="none"/>
        </w:rPr>
        <w:tab/>
      </w:r>
      <w:r>
        <w:rPr>
          <w:rFonts w:hint="eastAsia" w:ascii="宋体" w:hAnsi="宋体"/>
          <w:bCs/>
          <w:color w:val="auto"/>
          <w:szCs w:val="21"/>
          <w:highlight w:val="none"/>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pPr>
        <w:pStyle w:val="5"/>
        <w:numPr>
          <w:ilvl w:val="1"/>
          <w:numId w:val="0"/>
        </w:numPr>
        <w:spacing w:before="240" w:after="240" w:line="360" w:lineRule="auto"/>
        <w:rPr>
          <w:rFonts w:ascii="宋体" w:hAnsi="宋体" w:eastAsia="宋体"/>
          <w:color w:val="auto"/>
          <w:sz w:val="21"/>
          <w:szCs w:val="21"/>
          <w:highlight w:val="none"/>
        </w:rPr>
      </w:pPr>
      <w:bookmarkStart w:id="87" w:name="_Toc367780308"/>
      <w:bookmarkStart w:id="88" w:name="_Toc24583"/>
      <w:r>
        <w:rPr>
          <w:rFonts w:hint="eastAsia" w:ascii="宋体" w:hAnsi="宋体" w:eastAsia="宋体"/>
          <w:color w:val="auto"/>
          <w:sz w:val="21"/>
          <w:szCs w:val="21"/>
          <w:highlight w:val="none"/>
        </w:rPr>
        <w:t>Ｂ谈判文件说明</w:t>
      </w:r>
      <w:bookmarkEnd w:id="87"/>
      <w:bookmarkEnd w:id="88"/>
    </w:p>
    <w:p>
      <w:pPr>
        <w:pStyle w:val="6"/>
        <w:spacing w:line="360" w:lineRule="auto"/>
        <w:rPr>
          <w:rFonts w:ascii="宋体" w:hAnsi="宋体"/>
          <w:color w:val="auto"/>
          <w:sz w:val="21"/>
          <w:szCs w:val="21"/>
          <w:highlight w:val="none"/>
        </w:rPr>
      </w:pPr>
      <w:bookmarkStart w:id="89" w:name="_Toc14013"/>
      <w:bookmarkStart w:id="90" w:name="_Toc367780309"/>
      <w:r>
        <w:rPr>
          <w:rFonts w:ascii="宋体" w:hAnsi="宋体"/>
          <w:color w:val="auto"/>
          <w:sz w:val="21"/>
          <w:szCs w:val="21"/>
          <w:highlight w:val="none"/>
        </w:rPr>
        <w:t>5</w:t>
      </w:r>
      <w:r>
        <w:rPr>
          <w:rFonts w:hint="eastAsia" w:ascii="宋体" w:hAnsi="宋体"/>
          <w:color w:val="auto"/>
          <w:sz w:val="21"/>
          <w:szCs w:val="21"/>
          <w:highlight w:val="none"/>
        </w:rPr>
        <w:tab/>
      </w:r>
      <w:r>
        <w:rPr>
          <w:rFonts w:hint="eastAsia" w:ascii="宋体" w:hAnsi="宋体"/>
          <w:color w:val="auto"/>
          <w:sz w:val="21"/>
          <w:szCs w:val="21"/>
          <w:highlight w:val="none"/>
        </w:rPr>
        <w:t>谈判文件的构成</w:t>
      </w:r>
      <w:bookmarkEnd w:id="89"/>
      <w:bookmarkEnd w:id="90"/>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5.1</w:t>
      </w:r>
      <w:r>
        <w:rPr>
          <w:rFonts w:ascii="宋体" w:hAnsi="宋体"/>
          <w:bCs/>
          <w:color w:val="auto"/>
          <w:szCs w:val="21"/>
          <w:highlight w:val="none"/>
        </w:rPr>
        <w:tab/>
      </w:r>
      <w:r>
        <w:rPr>
          <w:rFonts w:hint="eastAsia" w:ascii="宋体" w:hAnsi="宋体"/>
          <w:bCs/>
          <w:color w:val="auto"/>
          <w:szCs w:val="21"/>
          <w:highlight w:val="none"/>
        </w:rPr>
        <w:t>谈判文件用以阐明所需货物及服务、谈判程序、合同条款及相关附件。谈判文件由下述部分组成：</w:t>
      </w:r>
    </w:p>
    <w:p>
      <w:pPr>
        <w:widowControl/>
        <w:tabs>
          <w:tab w:val="left" w:pos="753"/>
        </w:tabs>
        <w:adjustRightInd w:val="0"/>
        <w:snapToGrid w:val="0"/>
        <w:spacing w:line="360" w:lineRule="auto"/>
        <w:ind w:left="1445" w:leftChars="448" w:hanging="504"/>
        <w:rPr>
          <w:rFonts w:ascii="宋体" w:hAnsi="宋体"/>
          <w:bCs/>
          <w:color w:val="auto"/>
          <w:szCs w:val="21"/>
          <w:highlight w:val="none"/>
        </w:rPr>
      </w:pPr>
      <w:r>
        <w:rPr>
          <w:rFonts w:hint="eastAsia" w:ascii="宋体" w:hAnsi="宋体"/>
          <w:bCs/>
          <w:color w:val="auto"/>
          <w:szCs w:val="21"/>
          <w:highlight w:val="none"/>
        </w:rPr>
        <w:t>第一部分  竞争性谈判邀请函</w:t>
      </w:r>
    </w:p>
    <w:p>
      <w:pPr>
        <w:widowControl/>
        <w:tabs>
          <w:tab w:val="left" w:pos="753"/>
        </w:tabs>
        <w:adjustRightInd w:val="0"/>
        <w:snapToGrid w:val="0"/>
        <w:spacing w:line="360" w:lineRule="auto"/>
        <w:ind w:left="1445" w:leftChars="448" w:hanging="504"/>
        <w:rPr>
          <w:rFonts w:ascii="宋体" w:hAnsi="宋体"/>
          <w:bCs/>
          <w:color w:val="auto"/>
          <w:szCs w:val="21"/>
          <w:highlight w:val="none"/>
        </w:rPr>
      </w:pPr>
      <w:r>
        <w:rPr>
          <w:rFonts w:hint="eastAsia" w:ascii="宋体" w:hAnsi="宋体"/>
          <w:bCs/>
          <w:color w:val="auto"/>
          <w:szCs w:val="21"/>
          <w:highlight w:val="none"/>
        </w:rPr>
        <w:t>第二部分  采购项目内容</w:t>
      </w:r>
    </w:p>
    <w:p>
      <w:pPr>
        <w:widowControl/>
        <w:tabs>
          <w:tab w:val="left" w:pos="753"/>
        </w:tabs>
        <w:adjustRightInd w:val="0"/>
        <w:snapToGrid w:val="0"/>
        <w:spacing w:line="360" w:lineRule="auto"/>
        <w:ind w:left="1445" w:leftChars="448" w:hanging="504"/>
        <w:rPr>
          <w:rFonts w:ascii="宋体" w:hAnsi="宋体"/>
          <w:bCs/>
          <w:color w:val="auto"/>
          <w:szCs w:val="21"/>
          <w:highlight w:val="none"/>
        </w:rPr>
      </w:pPr>
      <w:r>
        <w:rPr>
          <w:rFonts w:hint="eastAsia" w:ascii="宋体" w:hAnsi="宋体"/>
          <w:bCs/>
          <w:color w:val="auto"/>
          <w:szCs w:val="21"/>
          <w:highlight w:val="none"/>
        </w:rPr>
        <w:t>第三部分  报价须知</w:t>
      </w:r>
    </w:p>
    <w:p>
      <w:pPr>
        <w:widowControl/>
        <w:tabs>
          <w:tab w:val="left" w:pos="753"/>
        </w:tabs>
        <w:adjustRightInd w:val="0"/>
        <w:snapToGrid w:val="0"/>
        <w:spacing w:line="360" w:lineRule="auto"/>
        <w:ind w:left="1445" w:leftChars="448" w:hanging="504"/>
        <w:rPr>
          <w:rFonts w:ascii="宋体" w:hAnsi="宋体"/>
          <w:bCs/>
          <w:color w:val="auto"/>
          <w:szCs w:val="21"/>
          <w:highlight w:val="none"/>
        </w:rPr>
      </w:pPr>
      <w:r>
        <w:rPr>
          <w:rFonts w:hint="eastAsia" w:ascii="宋体" w:hAnsi="宋体"/>
          <w:bCs/>
          <w:color w:val="auto"/>
          <w:szCs w:val="21"/>
          <w:highlight w:val="none"/>
        </w:rPr>
        <w:t>第四部分  合同书格式（参考范本）</w:t>
      </w:r>
    </w:p>
    <w:p>
      <w:pPr>
        <w:widowControl/>
        <w:tabs>
          <w:tab w:val="left" w:pos="753"/>
        </w:tabs>
        <w:adjustRightInd w:val="0"/>
        <w:snapToGrid w:val="0"/>
        <w:spacing w:line="360" w:lineRule="auto"/>
        <w:ind w:left="1445" w:leftChars="448" w:hanging="504"/>
        <w:rPr>
          <w:rFonts w:ascii="宋体" w:hAnsi="宋体"/>
          <w:bCs/>
          <w:color w:val="auto"/>
          <w:szCs w:val="21"/>
          <w:highlight w:val="none"/>
        </w:rPr>
      </w:pPr>
      <w:r>
        <w:rPr>
          <w:rFonts w:hint="eastAsia" w:ascii="宋体" w:hAnsi="宋体"/>
          <w:bCs/>
          <w:color w:val="auto"/>
          <w:szCs w:val="21"/>
          <w:highlight w:val="none"/>
        </w:rPr>
        <w:t>第五部分  谈判文件格式</w:t>
      </w:r>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5.2</w:t>
      </w:r>
      <w:r>
        <w:rPr>
          <w:rFonts w:ascii="宋体" w:hAnsi="宋体"/>
          <w:bCs/>
          <w:color w:val="auto"/>
          <w:szCs w:val="21"/>
          <w:highlight w:val="none"/>
        </w:rPr>
        <w:tab/>
      </w:r>
      <w:r>
        <w:rPr>
          <w:rFonts w:hint="eastAsia" w:ascii="宋体" w:hAnsi="宋体"/>
          <w:bCs/>
          <w:color w:val="auto"/>
          <w:szCs w:val="21"/>
          <w:highlight w:val="none"/>
        </w:rPr>
        <w:t>谈判文件以中文编印。</w:t>
      </w:r>
    </w:p>
    <w:p>
      <w:pPr>
        <w:pStyle w:val="6"/>
        <w:spacing w:line="360" w:lineRule="auto"/>
        <w:rPr>
          <w:rFonts w:ascii="宋体" w:hAnsi="宋体"/>
          <w:color w:val="auto"/>
          <w:sz w:val="21"/>
          <w:szCs w:val="21"/>
          <w:highlight w:val="none"/>
        </w:rPr>
      </w:pPr>
      <w:bookmarkStart w:id="91" w:name="_Toc16524"/>
      <w:bookmarkStart w:id="92" w:name="_Toc367780310"/>
      <w:r>
        <w:rPr>
          <w:rFonts w:ascii="宋体" w:hAnsi="宋体"/>
          <w:color w:val="auto"/>
          <w:sz w:val="21"/>
          <w:szCs w:val="21"/>
          <w:highlight w:val="none"/>
        </w:rPr>
        <w:t>6</w:t>
      </w:r>
      <w:r>
        <w:rPr>
          <w:rFonts w:hint="eastAsia" w:ascii="宋体" w:hAnsi="宋体"/>
          <w:color w:val="auto"/>
          <w:sz w:val="21"/>
          <w:szCs w:val="21"/>
          <w:highlight w:val="none"/>
        </w:rPr>
        <w:tab/>
      </w:r>
      <w:r>
        <w:rPr>
          <w:rFonts w:hint="eastAsia" w:ascii="宋体" w:hAnsi="宋体"/>
          <w:color w:val="auto"/>
          <w:sz w:val="21"/>
          <w:szCs w:val="21"/>
          <w:highlight w:val="none"/>
        </w:rPr>
        <w:t>谈判文件的澄清</w:t>
      </w:r>
      <w:bookmarkEnd w:id="91"/>
      <w:bookmarkEnd w:id="92"/>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6.1</w:t>
      </w:r>
      <w:r>
        <w:rPr>
          <w:rFonts w:ascii="宋体" w:hAnsi="宋体"/>
          <w:bCs/>
          <w:color w:val="auto"/>
          <w:szCs w:val="21"/>
          <w:highlight w:val="none"/>
        </w:rPr>
        <w:tab/>
      </w:r>
      <w:r>
        <w:rPr>
          <w:rFonts w:hint="eastAsia" w:ascii="宋体" w:hAnsi="宋体"/>
          <w:bCs/>
          <w:color w:val="auto"/>
          <w:szCs w:val="21"/>
          <w:highlight w:val="none"/>
        </w:rPr>
        <w:t>澄清是指代理采购机构对谈判文件中的遗漏、词义表述不清或对比较复杂的事项进行说明，回答供应商提出的各种问题。</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auto"/>
          <w:szCs w:val="21"/>
          <w:highlight w:val="none"/>
        </w:rPr>
      </w:pPr>
      <w:r>
        <w:rPr>
          <w:rFonts w:hint="eastAsia" w:ascii="宋体" w:hAnsi="宋体"/>
          <w:bCs/>
          <w:color w:val="auto"/>
          <w:szCs w:val="21"/>
          <w:highlight w:val="none"/>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auto"/>
          <w:szCs w:val="21"/>
          <w:highlight w:val="none"/>
        </w:rPr>
      </w:pPr>
      <w:r>
        <w:rPr>
          <w:rFonts w:hint="eastAsia" w:ascii="宋体" w:hAnsi="宋体"/>
          <w:bCs/>
          <w:color w:val="auto"/>
          <w:szCs w:val="21"/>
          <w:highlight w:val="none"/>
        </w:rPr>
        <w:t>代理采购机构对澄清要求的书面答复是谈判文件的组成部分。</w:t>
      </w:r>
    </w:p>
    <w:p>
      <w:pPr>
        <w:pStyle w:val="6"/>
        <w:spacing w:line="360" w:lineRule="auto"/>
        <w:rPr>
          <w:rFonts w:ascii="宋体" w:hAnsi="宋体"/>
          <w:color w:val="auto"/>
          <w:sz w:val="21"/>
          <w:szCs w:val="21"/>
          <w:highlight w:val="none"/>
        </w:rPr>
      </w:pPr>
      <w:bookmarkStart w:id="93" w:name="_Toc367780311"/>
      <w:bookmarkStart w:id="94" w:name="_Toc31418"/>
      <w:r>
        <w:rPr>
          <w:rFonts w:ascii="宋体" w:hAnsi="宋体"/>
          <w:color w:val="auto"/>
          <w:sz w:val="21"/>
          <w:szCs w:val="21"/>
          <w:highlight w:val="none"/>
        </w:rPr>
        <w:t>7</w:t>
      </w:r>
      <w:r>
        <w:rPr>
          <w:rFonts w:hint="eastAsia" w:ascii="宋体" w:hAnsi="宋体"/>
          <w:color w:val="auto"/>
          <w:sz w:val="21"/>
          <w:szCs w:val="21"/>
          <w:highlight w:val="none"/>
        </w:rPr>
        <w:tab/>
      </w:r>
      <w:r>
        <w:rPr>
          <w:rFonts w:hint="eastAsia" w:ascii="宋体" w:hAnsi="宋体"/>
          <w:color w:val="auto"/>
          <w:sz w:val="21"/>
          <w:szCs w:val="21"/>
          <w:highlight w:val="none"/>
        </w:rPr>
        <w:t>谈判文件的修改</w:t>
      </w:r>
      <w:bookmarkEnd w:id="93"/>
      <w:bookmarkEnd w:id="94"/>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7.1</w:t>
      </w:r>
      <w:r>
        <w:rPr>
          <w:rFonts w:ascii="宋体" w:hAnsi="宋体"/>
          <w:bCs/>
          <w:color w:val="auto"/>
          <w:szCs w:val="21"/>
          <w:highlight w:val="none"/>
        </w:rPr>
        <w:tab/>
      </w:r>
      <w:r>
        <w:rPr>
          <w:rFonts w:hint="eastAsia" w:ascii="宋体" w:hAnsi="宋体"/>
          <w:bCs/>
          <w:color w:val="auto"/>
          <w:szCs w:val="21"/>
          <w:highlight w:val="none"/>
        </w:rPr>
        <w:t>在谈判截止日期前，代理采购机构可主动地或依据供应商要求澄清的问题而修改谈判文件，并以书面形式通知已购买谈判文件的每一供应商，供应商在收到该通知后应立即以传真或其他书面形式予以确认。</w:t>
      </w:r>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7.2</w:t>
      </w:r>
      <w:r>
        <w:rPr>
          <w:rFonts w:ascii="宋体" w:hAnsi="宋体"/>
          <w:bCs/>
          <w:color w:val="auto"/>
          <w:szCs w:val="21"/>
          <w:highlight w:val="none"/>
        </w:rPr>
        <w:tab/>
      </w:r>
      <w:r>
        <w:rPr>
          <w:rFonts w:hint="eastAsia" w:ascii="宋体" w:hAnsi="宋体"/>
          <w:bCs/>
          <w:color w:val="auto"/>
          <w:szCs w:val="21"/>
          <w:highlight w:val="none"/>
        </w:rPr>
        <w:t>为使供应商在准备谈判文件时有合理的时间考虑谈判文件的修改，代理采购机构可酌情推迟谈判时间，并以书面形式通知已购买谈判文件的每一供应商。</w:t>
      </w:r>
    </w:p>
    <w:p>
      <w:pPr>
        <w:widowControl/>
        <w:numPr>
          <w:ilvl w:val="1"/>
          <w:numId w:val="10"/>
        </w:numPr>
        <w:tabs>
          <w:tab w:val="left" w:pos="753"/>
          <w:tab w:val="clear" w:pos="360"/>
        </w:tabs>
        <w:adjustRightInd w:val="0"/>
        <w:snapToGrid w:val="0"/>
        <w:spacing w:line="360" w:lineRule="auto"/>
        <w:ind w:left="753" w:hanging="753"/>
        <w:rPr>
          <w:rFonts w:ascii="宋体" w:hAnsi="宋体"/>
          <w:bCs/>
          <w:color w:val="auto"/>
          <w:szCs w:val="21"/>
          <w:highlight w:val="none"/>
        </w:rPr>
      </w:pPr>
      <w:r>
        <w:rPr>
          <w:rFonts w:hint="eastAsia" w:ascii="宋体" w:hAnsi="宋体"/>
          <w:bCs/>
          <w:color w:val="auto"/>
          <w:szCs w:val="21"/>
          <w:highlight w:val="none"/>
        </w:rPr>
        <w:t>谈判文件的修改书将构成谈判文件的一部分，对供应商有约束力。</w:t>
      </w:r>
    </w:p>
    <w:p>
      <w:pPr>
        <w:pStyle w:val="5"/>
        <w:numPr>
          <w:ilvl w:val="1"/>
          <w:numId w:val="0"/>
        </w:numPr>
        <w:spacing w:before="240" w:after="240" w:line="360" w:lineRule="auto"/>
        <w:rPr>
          <w:rFonts w:ascii="宋体" w:hAnsi="宋体" w:eastAsia="宋体"/>
          <w:color w:val="auto"/>
          <w:sz w:val="21"/>
          <w:szCs w:val="21"/>
          <w:highlight w:val="none"/>
        </w:rPr>
      </w:pPr>
      <w:bookmarkStart w:id="95" w:name="_Toc367780312"/>
      <w:bookmarkStart w:id="96" w:name="_Toc270"/>
      <w:r>
        <w:rPr>
          <w:rFonts w:hint="eastAsia" w:ascii="宋体" w:hAnsi="宋体" w:eastAsia="宋体"/>
          <w:color w:val="auto"/>
          <w:sz w:val="21"/>
          <w:szCs w:val="21"/>
          <w:highlight w:val="none"/>
        </w:rPr>
        <w:t>Ｃ谈判文件的编制</w:t>
      </w:r>
      <w:bookmarkEnd w:id="95"/>
      <w:bookmarkEnd w:id="96"/>
    </w:p>
    <w:p>
      <w:pPr>
        <w:pStyle w:val="6"/>
        <w:spacing w:line="360" w:lineRule="auto"/>
        <w:rPr>
          <w:rFonts w:ascii="宋体" w:hAnsi="宋体"/>
          <w:color w:val="auto"/>
          <w:sz w:val="21"/>
          <w:szCs w:val="21"/>
          <w:highlight w:val="none"/>
        </w:rPr>
      </w:pPr>
      <w:bookmarkStart w:id="97" w:name="_Toc23656"/>
      <w:bookmarkStart w:id="98" w:name="_Toc367780313"/>
      <w:r>
        <w:rPr>
          <w:rFonts w:hint="eastAsia" w:ascii="宋体" w:hAnsi="宋体"/>
          <w:color w:val="auto"/>
          <w:sz w:val="21"/>
          <w:szCs w:val="21"/>
          <w:highlight w:val="none"/>
        </w:rPr>
        <w:t>8</w:t>
      </w:r>
      <w:r>
        <w:rPr>
          <w:rFonts w:hint="eastAsia" w:ascii="宋体" w:hAnsi="宋体"/>
          <w:color w:val="auto"/>
          <w:sz w:val="21"/>
          <w:szCs w:val="21"/>
          <w:highlight w:val="none"/>
        </w:rPr>
        <w:tab/>
      </w:r>
      <w:r>
        <w:rPr>
          <w:rFonts w:hint="eastAsia" w:ascii="宋体" w:hAnsi="宋体"/>
          <w:color w:val="auto"/>
          <w:sz w:val="21"/>
          <w:szCs w:val="21"/>
          <w:highlight w:val="none"/>
        </w:rPr>
        <w:t>要求</w:t>
      </w:r>
      <w:bookmarkEnd w:id="97"/>
      <w:bookmarkEnd w:id="98"/>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8.1</w:t>
      </w:r>
      <w:r>
        <w:rPr>
          <w:rFonts w:ascii="宋体" w:hAnsi="宋体"/>
          <w:bCs/>
          <w:color w:val="auto"/>
          <w:szCs w:val="21"/>
          <w:highlight w:val="none"/>
        </w:rPr>
        <w:tab/>
      </w:r>
      <w:r>
        <w:rPr>
          <w:rFonts w:hint="eastAsia" w:ascii="宋体" w:hAnsi="宋体"/>
          <w:bCs/>
          <w:color w:val="auto"/>
          <w:szCs w:val="21"/>
          <w:highlight w:val="none"/>
        </w:rPr>
        <w:t>供应商应仔细阅读谈判文件的所有内容，按谈判文件的要求编制谈判文件，并保证所提供的全部资料的真实性，以使其投标对谈判文件提出的要求和条件做出实质性响应，否则，其投标将被拒绝。</w:t>
      </w:r>
    </w:p>
    <w:p>
      <w:pPr>
        <w:pStyle w:val="6"/>
        <w:spacing w:line="360" w:lineRule="auto"/>
        <w:rPr>
          <w:rFonts w:ascii="宋体" w:hAnsi="宋体"/>
          <w:color w:val="auto"/>
          <w:sz w:val="21"/>
          <w:szCs w:val="21"/>
          <w:highlight w:val="none"/>
        </w:rPr>
      </w:pPr>
      <w:bookmarkStart w:id="99" w:name="_Toc367780314"/>
      <w:bookmarkStart w:id="100" w:name="_Toc6285"/>
      <w:r>
        <w:rPr>
          <w:rFonts w:ascii="宋体" w:hAnsi="宋体"/>
          <w:color w:val="auto"/>
          <w:sz w:val="21"/>
          <w:szCs w:val="21"/>
          <w:highlight w:val="none"/>
        </w:rPr>
        <w:t>9</w:t>
      </w:r>
      <w:r>
        <w:rPr>
          <w:rFonts w:hint="eastAsia" w:ascii="宋体" w:hAnsi="宋体"/>
          <w:color w:val="auto"/>
          <w:sz w:val="21"/>
          <w:szCs w:val="21"/>
          <w:highlight w:val="none"/>
        </w:rPr>
        <w:tab/>
      </w:r>
      <w:r>
        <w:rPr>
          <w:rFonts w:hint="eastAsia" w:ascii="宋体" w:hAnsi="宋体"/>
          <w:color w:val="auto"/>
          <w:sz w:val="21"/>
          <w:szCs w:val="21"/>
          <w:highlight w:val="none"/>
        </w:rPr>
        <w:t>投标语言及计量单位</w:t>
      </w:r>
      <w:bookmarkEnd w:id="99"/>
      <w:bookmarkEnd w:id="100"/>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9.1</w:t>
      </w:r>
      <w:r>
        <w:rPr>
          <w:rFonts w:ascii="宋体" w:hAnsi="宋体"/>
          <w:bCs/>
          <w:color w:val="auto"/>
          <w:szCs w:val="21"/>
          <w:highlight w:val="none"/>
        </w:rPr>
        <w:tab/>
      </w:r>
      <w:r>
        <w:rPr>
          <w:rFonts w:hint="eastAsia" w:ascii="宋体" w:hAnsi="宋体"/>
          <w:bCs/>
          <w:color w:val="auto"/>
          <w:szCs w:val="21"/>
          <w:highlight w:val="none"/>
        </w:rPr>
        <w:t>供应商提交的谈判文件（包括资格证明文件）以及供应商与代理采购机构就有关谈判的所有往来函电均应使用中文。供应商可以提交用其它语言打印的资料，但有关段落必须译成中文。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9.2</w:t>
      </w:r>
      <w:r>
        <w:rPr>
          <w:rFonts w:ascii="宋体" w:hAnsi="宋体"/>
          <w:bCs/>
          <w:color w:val="auto"/>
          <w:szCs w:val="21"/>
          <w:highlight w:val="none"/>
        </w:rPr>
        <w:tab/>
      </w:r>
      <w:r>
        <w:rPr>
          <w:rFonts w:hint="eastAsia" w:ascii="宋体" w:hAnsi="宋体"/>
          <w:bCs/>
          <w:color w:val="auto"/>
          <w:szCs w:val="21"/>
          <w:highlight w:val="none"/>
        </w:rPr>
        <w:t>除在谈判文件的技术规格中另有规定外，计量单位应使用中华人民共和国法定计量单位（国际单位制和国家选定的其他计量单位）。</w:t>
      </w:r>
    </w:p>
    <w:p>
      <w:pPr>
        <w:pStyle w:val="6"/>
        <w:spacing w:line="360" w:lineRule="auto"/>
        <w:rPr>
          <w:rFonts w:ascii="宋体" w:hAnsi="宋体"/>
          <w:color w:val="auto"/>
          <w:sz w:val="21"/>
          <w:szCs w:val="21"/>
          <w:highlight w:val="none"/>
        </w:rPr>
      </w:pPr>
      <w:bookmarkStart w:id="101" w:name="_Toc367780315"/>
      <w:bookmarkStart w:id="102" w:name="_Toc28151"/>
      <w:r>
        <w:rPr>
          <w:rFonts w:ascii="宋体" w:hAnsi="宋体"/>
          <w:color w:val="auto"/>
          <w:sz w:val="21"/>
          <w:szCs w:val="21"/>
          <w:highlight w:val="none"/>
        </w:rPr>
        <w:t>10</w:t>
      </w:r>
      <w:r>
        <w:rPr>
          <w:rFonts w:hint="eastAsia" w:ascii="宋体" w:hAnsi="宋体"/>
          <w:color w:val="auto"/>
          <w:sz w:val="21"/>
          <w:szCs w:val="21"/>
          <w:highlight w:val="none"/>
        </w:rPr>
        <w:tab/>
      </w:r>
      <w:r>
        <w:rPr>
          <w:rFonts w:hint="eastAsia" w:ascii="宋体" w:hAnsi="宋体"/>
          <w:color w:val="auto"/>
          <w:sz w:val="21"/>
          <w:szCs w:val="21"/>
          <w:highlight w:val="none"/>
        </w:rPr>
        <w:t>谈判文件的构成</w:t>
      </w:r>
      <w:bookmarkEnd w:id="101"/>
      <w:bookmarkEnd w:id="102"/>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10.1</w:t>
      </w:r>
      <w:r>
        <w:rPr>
          <w:rFonts w:ascii="宋体" w:hAnsi="宋体"/>
          <w:bCs/>
          <w:color w:val="auto"/>
          <w:szCs w:val="21"/>
          <w:highlight w:val="none"/>
        </w:rPr>
        <w:tab/>
      </w:r>
      <w:r>
        <w:rPr>
          <w:rFonts w:hint="eastAsia" w:ascii="宋体" w:hAnsi="宋体"/>
          <w:bCs/>
          <w:color w:val="auto"/>
          <w:szCs w:val="21"/>
          <w:highlight w:val="none"/>
        </w:rPr>
        <w:t>谈判文件包括：</w:t>
      </w:r>
    </w:p>
    <w:p>
      <w:pPr>
        <w:widowControl/>
        <w:numPr>
          <w:ilvl w:val="0"/>
          <w:numId w:val="11"/>
        </w:numPr>
        <w:adjustRightInd w:val="0"/>
        <w:snapToGrid w:val="0"/>
        <w:spacing w:line="360" w:lineRule="auto"/>
        <w:ind w:left="0" w:firstLine="840" w:firstLineChars="400"/>
        <w:rPr>
          <w:rFonts w:ascii="宋体" w:hAnsi="宋体"/>
          <w:bCs/>
          <w:color w:val="auto"/>
          <w:szCs w:val="21"/>
          <w:highlight w:val="none"/>
        </w:rPr>
      </w:pPr>
      <w:r>
        <w:rPr>
          <w:rFonts w:hint="eastAsia" w:ascii="宋体" w:hAnsi="宋体"/>
          <w:bCs/>
          <w:color w:val="auto"/>
          <w:szCs w:val="21"/>
          <w:highlight w:val="none"/>
        </w:rPr>
        <w:t>资格审查文件（含附件）</w:t>
      </w:r>
    </w:p>
    <w:p>
      <w:pPr>
        <w:widowControl/>
        <w:numPr>
          <w:ilvl w:val="0"/>
          <w:numId w:val="11"/>
        </w:numPr>
        <w:adjustRightInd w:val="0"/>
        <w:snapToGrid w:val="0"/>
        <w:spacing w:line="360" w:lineRule="auto"/>
        <w:ind w:left="0" w:firstLine="840" w:firstLineChars="400"/>
        <w:rPr>
          <w:rFonts w:ascii="宋体" w:hAnsi="宋体"/>
          <w:bCs/>
          <w:color w:val="auto"/>
          <w:szCs w:val="21"/>
          <w:highlight w:val="none"/>
        </w:rPr>
      </w:pPr>
      <w:r>
        <w:rPr>
          <w:rFonts w:hint="eastAsia" w:ascii="宋体" w:hAnsi="宋体"/>
          <w:bCs/>
          <w:color w:val="auto"/>
          <w:szCs w:val="21"/>
          <w:highlight w:val="none"/>
        </w:rPr>
        <w:t>谈判响应文件商务及技术部分</w:t>
      </w:r>
    </w:p>
    <w:p>
      <w:pPr>
        <w:widowControl/>
        <w:adjustRightInd w:val="0"/>
        <w:snapToGrid w:val="0"/>
        <w:spacing w:line="360" w:lineRule="auto"/>
        <w:ind w:left="565" w:leftChars="269" w:firstLine="315" w:firstLineChars="150"/>
        <w:jc w:val="left"/>
        <w:rPr>
          <w:rFonts w:ascii="宋体" w:hAnsi="宋体"/>
          <w:bCs/>
          <w:color w:val="auto"/>
          <w:szCs w:val="21"/>
          <w:highlight w:val="none"/>
        </w:rPr>
      </w:pPr>
      <w:r>
        <w:rPr>
          <w:rFonts w:hint="eastAsia" w:ascii="宋体" w:hAnsi="宋体"/>
          <w:bCs/>
          <w:color w:val="auto"/>
          <w:szCs w:val="21"/>
          <w:highlight w:val="none"/>
        </w:rPr>
        <w:t>上述文件及表格为供应商必须提交的文件，各供应商可以根据实际情况增加内容，但不得擅自减少有关内容。</w:t>
      </w:r>
    </w:p>
    <w:p>
      <w:pPr>
        <w:pStyle w:val="6"/>
        <w:spacing w:line="360" w:lineRule="auto"/>
        <w:rPr>
          <w:rFonts w:ascii="宋体" w:hAnsi="宋体"/>
          <w:color w:val="auto"/>
          <w:sz w:val="21"/>
          <w:szCs w:val="21"/>
          <w:highlight w:val="none"/>
        </w:rPr>
      </w:pPr>
      <w:bookmarkStart w:id="103" w:name="_Toc367780316"/>
      <w:bookmarkStart w:id="104" w:name="_Toc13021"/>
      <w:r>
        <w:rPr>
          <w:rFonts w:ascii="宋体" w:hAnsi="宋体"/>
          <w:color w:val="auto"/>
          <w:sz w:val="21"/>
          <w:szCs w:val="21"/>
          <w:highlight w:val="none"/>
        </w:rPr>
        <w:t>11</w:t>
      </w:r>
      <w:r>
        <w:rPr>
          <w:rFonts w:hint="eastAsia" w:ascii="宋体" w:hAnsi="宋体"/>
          <w:color w:val="auto"/>
          <w:sz w:val="21"/>
          <w:szCs w:val="21"/>
          <w:highlight w:val="none"/>
        </w:rPr>
        <w:tab/>
      </w:r>
      <w:r>
        <w:rPr>
          <w:rFonts w:hint="eastAsia" w:ascii="宋体" w:hAnsi="宋体"/>
          <w:color w:val="auto"/>
          <w:sz w:val="21"/>
          <w:szCs w:val="21"/>
          <w:highlight w:val="none"/>
        </w:rPr>
        <w:t>谈判响应文件格式</w:t>
      </w:r>
      <w:bookmarkEnd w:id="103"/>
      <w:bookmarkEnd w:id="104"/>
    </w:p>
    <w:p>
      <w:pPr>
        <w:tabs>
          <w:tab w:val="left" w:pos="753"/>
        </w:tabs>
        <w:adjustRightInd w:val="0"/>
        <w:snapToGrid w:val="0"/>
        <w:spacing w:line="360" w:lineRule="auto"/>
        <w:rPr>
          <w:rFonts w:ascii="宋体" w:hAnsi="宋体"/>
          <w:bCs/>
          <w:color w:val="auto"/>
          <w:szCs w:val="21"/>
          <w:highlight w:val="none"/>
        </w:rPr>
      </w:pPr>
      <w:r>
        <w:rPr>
          <w:rFonts w:ascii="宋体" w:hAnsi="宋体"/>
          <w:bCs/>
          <w:color w:val="auto"/>
          <w:szCs w:val="21"/>
          <w:highlight w:val="none"/>
        </w:rPr>
        <w:t>11.1</w:t>
      </w:r>
      <w:r>
        <w:rPr>
          <w:rFonts w:ascii="宋体" w:hAnsi="宋体"/>
          <w:bCs/>
          <w:color w:val="auto"/>
          <w:szCs w:val="21"/>
          <w:highlight w:val="none"/>
        </w:rPr>
        <w:tab/>
      </w:r>
      <w:r>
        <w:rPr>
          <w:rFonts w:hint="eastAsia" w:ascii="宋体" w:hAnsi="宋体"/>
          <w:bCs/>
          <w:color w:val="auto"/>
          <w:szCs w:val="21"/>
          <w:highlight w:val="none"/>
        </w:rPr>
        <w:t>供应商应按照谈判文件中提供的谈判响应文件格式编制谈判响应文件（详见第五部分）。</w:t>
      </w:r>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11.2 </w:t>
      </w:r>
      <w:r>
        <w:rPr>
          <w:rFonts w:hint="eastAsia" w:ascii="宋体" w:hAnsi="宋体"/>
          <w:bCs/>
          <w:color w:val="auto"/>
          <w:szCs w:val="21"/>
          <w:highlight w:val="none"/>
        </w:rPr>
        <w:tab/>
      </w:r>
      <w:r>
        <w:rPr>
          <w:rFonts w:hint="eastAsia" w:ascii="宋体" w:hAnsi="宋体"/>
          <w:bCs/>
          <w:color w:val="auto"/>
          <w:szCs w:val="21"/>
          <w:highlight w:val="none"/>
        </w:rPr>
        <w:tab/>
      </w:r>
      <w:r>
        <w:rPr>
          <w:rFonts w:hint="eastAsia" w:ascii="宋体" w:hAnsi="宋体"/>
          <w:bCs/>
          <w:color w:val="auto"/>
          <w:szCs w:val="21"/>
          <w:highlight w:val="none"/>
        </w:rPr>
        <w:t>供应商应完整地填写谈判文件提供的各种表格，若谈判为工程类或服务类项目的，谈判响应文件中涉及货物的技术参数等可不填写。</w:t>
      </w:r>
    </w:p>
    <w:p>
      <w:pPr>
        <w:pStyle w:val="6"/>
        <w:spacing w:line="360" w:lineRule="auto"/>
        <w:rPr>
          <w:rFonts w:ascii="宋体" w:hAnsi="宋体"/>
          <w:color w:val="auto"/>
          <w:sz w:val="21"/>
          <w:szCs w:val="21"/>
          <w:highlight w:val="none"/>
        </w:rPr>
      </w:pPr>
      <w:bookmarkStart w:id="105" w:name="_Toc367780317"/>
      <w:bookmarkStart w:id="106" w:name="_Toc11434"/>
      <w:r>
        <w:rPr>
          <w:rFonts w:hint="eastAsia" w:ascii="宋体" w:hAnsi="宋体"/>
          <w:color w:val="auto"/>
          <w:sz w:val="21"/>
          <w:szCs w:val="21"/>
          <w:highlight w:val="none"/>
        </w:rPr>
        <w:t>12</w:t>
      </w:r>
      <w:r>
        <w:rPr>
          <w:rFonts w:hint="eastAsia" w:ascii="宋体" w:hAnsi="宋体"/>
          <w:color w:val="auto"/>
          <w:sz w:val="21"/>
          <w:szCs w:val="21"/>
          <w:highlight w:val="none"/>
        </w:rPr>
        <w:tab/>
      </w:r>
      <w:r>
        <w:rPr>
          <w:rFonts w:hint="eastAsia" w:ascii="宋体" w:hAnsi="宋体"/>
          <w:color w:val="auto"/>
          <w:sz w:val="21"/>
          <w:szCs w:val="21"/>
          <w:highlight w:val="none"/>
        </w:rPr>
        <w:t>资格证明文件</w:t>
      </w:r>
      <w:bookmarkEnd w:id="105"/>
      <w:bookmarkEnd w:id="106"/>
    </w:p>
    <w:p>
      <w:pPr>
        <w:tabs>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12.1 </w:t>
      </w:r>
      <w:r>
        <w:rPr>
          <w:rFonts w:hint="eastAsia" w:ascii="宋体" w:hAnsi="宋体"/>
          <w:bCs/>
          <w:color w:val="auto"/>
          <w:szCs w:val="21"/>
          <w:highlight w:val="none"/>
        </w:rPr>
        <w:tab/>
      </w:r>
      <w:r>
        <w:rPr>
          <w:rFonts w:hint="eastAsia" w:ascii="宋体" w:hAnsi="宋体"/>
          <w:bCs/>
          <w:color w:val="auto"/>
          <w:szCs w:val="21"/>
          <w:highlight w:val="none"/>
        </w:rPr>
        <w:t>供应商应当提供的资格证明文件包括:</w:t>
      </w:r>
    </w:p>
    <w:p>
      <w:pPr>
        <w:tabs>
          <w:tab w:val="left" w:pos="753"/>
        </w:tabs>
        <w:adjustRightInd w:val="0"/>
        <w:snapToGrid w:val="0"/>
        <w:spacing w:line="360" w:lineRule="auto"/>
        <w:ind w:left="751" w:leftChars="350" w:hanging="16" w:hangingChars="8"/>
        <w:rPr>
          <w:rFonts w:ascii="宋体" w:hAnsi="宋体"/>
          <w:bCs/>
          <w:color w:val="auto"/>
          <w:szCs w:val="21"/>
          <w:highlight w:val="none"/>
        </w:rPr>
      </w:pPr>
      <w:r>
        <w:rPr>
          <w:rFonts w:hint="eastAsia" w:ascii="宋体" w:hAnsi="宋体"/>
          <w:bCs/>
          <w:color w:val="auto"/>
          <w:szCs w:val="21"/>
          <w:highlight w:val="none"/>
        </w:rPr>
        <w:t>1)营业执照副本复印件（加盖公章）；</w:t>
      </w:r>
    </w:p>
    <w:p>
      <w:pPr>
        <w:tabs>
          <w:tab w:val="left" w:pos="753"/>
          <w:tab w:val="left" w:pos="1113"/>
        </w:tabs>
        <w:adjustRightInd w:val="0"/>
        <w:snapToGrid w:val="0"/>
        <w:spacing w:line="360" w:lineRule="auto"/>
        <w:ind w:left="753"/>
        <w:rPr>
          <w:rFonts w:ascii="宋体" w:hAnsi="宋体"/>
          <w:bCs/>
          <w:color w:val="auto"/>
          <w:szCs w:val="21"/>
          <w:highlight w:val="none"/>
        </w:rPr>
      </w:pPr>
      <w:r>
        <w:rPr>
          <w:rFonts w:hint="eastAsia" w:ascii="宋体" w:hAnsi="宋体"/>
          <w:bCs/>
          <w:color w:val="auto"/>
          <w:szCs w:val="21"/>
          <w:highlight w:val="none"/>
        </w:rPr>
        <w:t>2)如果项目有特殊要求，供应商还应当提供商务要求中列明的其他资格证明文件。</w:t>
      </w:r>
    </w:p>
    <w:p>
      <w:pPr>
        <w:tabs>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12.2   供应商提交的资格证明文件应能够证明其有资格参加谈判，并说明被确定为成交供应商后的合同履行能力：</w:t>
      </w:r>
    </w:p>
    <w:p>
      <w:pPr>
        <w:tabs>
          <w:tab w:val="left" w:pos="753"/>
        </w:tabs>
        <w:adjustRightInd w:val="0"/>
        <w:snapToGrid w:val="0"/>
        <w:spacing w:line="360" w:lineRule="auto"/>
        <w:ind w:left="751" w:leftChars="350" w:hanging="16" w:hangingChars="8"/>
        <w:rPr>
          <w:rFonts w:ascii="宋体" w:hAnsi="宋体"/>
          <w:bCs/>
          <w:color w:val="auto"/>
          <w:szCs w:val="21"/>
          <w:highlight w:val="none"/>
        </w:rPr>
      </w:pPr>
      <w:r>
        <w:rPr>
          <w:rFonts w:hint="eastAsia" w:ascii="宋体" w:hAnsi="宋体"/>
          <w:bCs/>
          <w:color w:val="auto"/>
          <w:szCs w:val="21"/>
          <w:highlight w:val="none"/>
        </w:rPr>
        <w:t>1)供应商满足谈判文件商务要求中列出的资格要求；</w:t>
      </w:r>
    </w:p>
    <w:p>
      <w:pPr>
        <w:tabs>
          <w:tab w:val="left" w:pos="753"/>
        </w:tabs>
        <w:adjustRightInd w:val="0"/>
        <w:snapToGrid w:val="0"/>
        <w:spacing w:line="360" w:lineRule="auto"/>
        <w:ind w:left="751" w:leftChars="350" w:hanging="16" w:hangingChars="8"/>
        <w:rPr>
          <w:rFonts w:ascii="宋体" w:hAnsi="宋体"/>
          <w:bCs/>
          <w:color w:val="auto"/>
          <w:szCs w:val="21"/>
          <w:highlight w:val="none"/>
        </w:rPr>
      </w:pPr>
      <w:r>
        <w:rPr>
          <w:rFonts w:hint="eastAsia" w:ascii="宋体" w:hAnsi="宋体"/>
          <w:bCs/>
          <w:color w:val="auto"/>
          <w:szCs w:val="21"/>
          <w:highlight w:val="none"/>
        </w:rPr>
        <w:t>2)供应商已具备履行合同所需的财务、技术和服务能力；</w:t>
      </w:r>
    </w:p>
    <w:p>
      <w:pPr>
        <w:tabs>
          <w:tab w:val="left" w:pos="753"/>
        </w:tabs>
        <w:adjustRightInd w:val="0"/>
        <w:snapToGrid w:val="0"/>
        <w:spacing w:line="360" w:lineRule="auto"/>
        <w:ind w:left="751" w:leftChars="350" w:hanging="16" w:hangingChars="8"/>
        <w:rPr>
          <w:rFonts w:ascii="宋体" w:hAnsi="宋体"/>
          <w:bCs/>
          <w:color w:val="auto"/>
          <w:szCs w:val="21"/>
          <w:highlight w:val="none"/>
        </w:rPr>
      </w:pPr>
      <w:r>
        <w:rPr>
          <w:rFonts w:hint="eastAsia" w:ascii="宋体" w:hAnsi="宋体"/>
          <w:bCs/>
          <w:color w:val="auto"/>
          <w:szCs w:val="21"/>
          <w:highlight w:val="none"/>
        </w:rPr>
        <w:t>3)供应商有能力按谈判文件中合同条款和技术要求所规定履行的由卖方应履行的义务。</w:t>
      </w:r>
    </w:p>
    <w:p>
      <w:pPr>
        <w:numPr>
          <w:ilvl w:val="1"/>
          <w:numId w:val="12"/>
        </w:numPr>
        <w:adjustRightInd w:val="0"/>
        <w:snapToGrid w:val="0"/>
        <w:spacing w:line="360" w:lineRule="auto"/>
        <w:ind w:left="709" w:hanging="709"/>
        <w:rPr>
          <w:rFonts w:ascii="宋体" w:hAnsi="宋体"/>
          <w:bCs/>
          <w:color w:val="auto"/>
          <w:szCs w:val="21"/>
          <w:highlight w:val="none"/>
        </w:rPr>
      </w:pPr>
      <w:r>
        <w:rPr>
          <w:rFonts w:hint="eastAsia" w:ascii="宋体" w:hAnsi="宋体"/>
          <w:bCs/>
          <w:color w:val="auto"/>
          <w:szCs w:val="21"/>
          <w:highlight w:val="none"/>
        </w:rPr>
        <w:t>供应商提交的资格证明文件不齐全，由此造成的谈判被拒绝的后果由供应商自负。</w:t>
      </w:r>
    </w:p>
    <w:p>
      <w:pPr>
        <w:numPr>
          <w:ilvl w:val="1"/>
          <w:numId w:val="12"/>
        </w:numPr>
        <w:tabs>
          <w:tab w:val="left" w:pos="753"/>
        </w:tabs>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供应商对所提供的资格证明文件的真实性负全部责任。即使供应商提交的资格证明文件通过了</w:t>
      </w:r>
    </w:p>
    <w:p>
      <w:pPr>
        <w:tabs>
          <w:tab w:val="left" w:pos="753"/>
        </w:tabs>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 xml:space="preserve">       审核，在谈判过程中乃至定标后，如发现供应商所提供的资格证明文件不合法或不真实，代理</w:t>
      </w:r>
    </w:p>
    <w:p>
      <w:pPr>
        <w:tabs>
          <w:tab w:val="left" w:pos="753"/>
        </w:tabs>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 xml:space="preserve">       采购机构仍可追究供应商的法律责任。</w:t>
      </w:r>
    </w:p>
    <w:p>
      <w:pPr>
        <w:numPr>
          <w:ilvl w:val="1"/>
          <w:numId w:val="12"/>
        </w:numPr>
        <w:tabs>
          <w:tab w:val="left" w:pos="753"/>
        </w:tabs>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如果供应商为联合体，则联合体各方应分别提交资格文件，并提供联合体协议书，以一个供应</w:t>
      </w:r>
    </w:p>
    <w:p>
      <w:pPr>
        <w:tabs>
          <w:tab w:val="left" w:pos="753"/>
        </w:tabs>
        <w:adjustRightInd w:val="0"/>
        <w:snapToGrid w:val="0"/>
        <w:spacing w:line="360" w:lineRule="auto"/>
        <w:ind w:left="420"/>
        <w:rPr>
          <w:rFonts w:ascii="宋体" w:hAnsi="宋体"/>
          <w:bCs/>
          <w:color w:val="auto"/>
          <w:szCs w:val="21"/>
          <w:highlight w:val="none"/>
        </w:rPr>
      </w:pPr>
      <w:r>
        <w:rPr>
          <w:rFonts w:hint="eastAsia" w:ascii="宋体" w:hAnsi="宋体"/>
          <w:bCs/>
          <w:color w:val="auto"/>
          <w:szCs w:val="21"/>
          <w:highlight w:val="none"/>
        </w:rPr>
        <w:t xml:space="preserve">   商的身份参加谈判。联合体协议须明确各方的权利与义务。由同一专业的单位组成的联合体，</w:t>
      </w:r>
    </w:p>
    <w:p>
      <w:pPr>
        <w:tabs>
          <w:tab w:val="left" w:pos="753"/>
        </w:tabs>
        <w:adjustRightInd w:val="0"/>
        <w:snapToGrid w:val="0"/>
        <w:spacing w:line="360" w:lineRule="auto"/>
        <w:ind w:left="420"/>
        <w:rPr>
          <w:rFonts w:ascii="宋体" w:hAnsi="宋体"/>
          <w:bCs/>
          <w:color w:val="auto"/>
          <w:szCs w:val="21"/>
          <w:highlight w:val="none"/>
        </w:rPr>
      </w:pPr>
      <w:r>
        <w:rPr>
          <w:rFonts w:hint="eastAsia" w:ascii="宋体" w:hAnsi="宋体"/>
          <w:bCs/>
          <w:color w:val="auto"/>
          <w:szCs w:val="21"/>
          <w:highlight w:val="none"/>
        </w:rPr>
        <w:t xml:space="preserve">   按照资质等级较低的单位确定资质等级。联合体成交的联合体各方应当共同与采购人签订合同，</w:t>
      </w:r>
    </w:p>
    <w:p>
      <w:pPr>
        <w:tabs>
          <w:tab w:val="left" w:pos="753"/>
        </w:tabs>
        <w:adjustRightInd w:val="0"/>
        <w:snapToGrid w:val="0"/>
        <w:spacing w:line="360" w:lineRule="auto"/>
        <w:ind w:left="420"/>
        <w:rPr>
          <w:rFonts w:ascii="宋体" w:hAnsi="宋体"/>
          <w:bCs/>
          <w:color w:val="auto"/>
          <w:szCs w:val="21"/>
          <w:highlight w:val="none"/>
        </w:rPr>
      </w:pPr>
      <w:r>
        <w:rPr>
          <w:rFonts w:hint="eastAsia" w:ascii="宋体" w:hAnsi="宋体"/>
          <w:bCs/>
          <w:color w:val="auto"/>
          <w:szCs w:val="21"/>
          <w:highlight w:val="none"/>
        </w:rPr>
        <w:t xml:space="preserve">   就成交项目向采购人承担共同责任。</w:t>
      </w:r>
    </w:p>
    <w:p>
      <w:pPr>
        <w:pStyle w:val="6"/>
        <w:spacing w:line="360" w:lineRule="auto"/>
        <w:rPr>
          <w:rFonts w:ascii="宋体" w:hAnsi="宋体"/>
          <w:color w:val="auto"/>
          <w:sz w:val="21"/>
          <w:szCs w:val="21"/>
          <w:highlight w:val="none"/>
        </w:rPr>
      </w:pPr>
      <w:bookmarkStart w:id="107" w:name="_Toc367780318"/>
      <w:bookmarkStart w:id="108" w:name="_Toc24052"/>
      <w:r>
        <w:rPr>
          <w:rFonts w:hint="eastAsia" w:ascii="宋体" w:hAnsi="宋体"/>
          <w:color w:val="auto"/>
          <w:sz w:val="21"/>
          <w:szCs w:val="21"/>
          <w:highlight w:val="none"/>
        </w:rPr>
        <w:t>13</w:t>
      </w:r>
      <w:r>
        <w:rPr>
          <w:rFonts w:hint="eastAsia" w:ascii="宋体" w:hAnsi="宋体"/>
          <w:color w:val="auto"/>
          <w:sz w:val="21"/>
          <w:szCs w:val="21"/>
          <w:highlight w:val="none"/>
        </w:rPr>
        <w:tab/>
      </w:r>
      <w:r>
        <w:rPr>
          <w:rFonts w:hint="eastAsia" w:ascii="宋体" w:hAnsi="宋体"/>
          <w:color w:val="auto"/>
          <w:sz w:val="21"/>
          <w:szCs w:val="21"/>
          <w:highlight w:val="none"/>
        </w:rPr>
        <w:t>货物和服务的证明文件</w:t>
      </w:r>
      <w:bookmarkEnd w:id="107"/>
      <w:bookmarkEnd w:id="108"/>
    </w:p>
    <w:p>
      <w:pPr>
        <w:tabs>
          <w:tab w:val="left" w:pos="753"/>
        </w:tabs>
        <w:autoSpaceDE w:val="0"/>
        <w:autoSpaceDN w:val="0"/>
        <w:adjustRightInd w:val="0"/>
        <w:snapToGrid w:val="0"/>
        <w:spacing w:line="360" w:lineRule="auto"/>
        <w:ind w:left="751" w:leftChars="1" w:hanging="749" w:hangingChars="357"/>
        <w:rPr>
          <w:rFonts w:ascii="宋体" w:hAnsi="宋体"/>
          <w:bCs/>
          <w:color w:val="auto"/>
          <w:szCs w:val="21"/>
          <w:highlight w:val="none"/>
        </w:rPr>
      </w:pPr>
      <w:r>
        <w:rPr>
          <w:rFonts w:hint="eastAsia" w:ascii="宋体" w:hAnsi="宋体"/>
          <w:bCs/>
          <w:color w:val="auto"/>
          <w:szCs w:val="21"/>
          <w:highlight w:val="none"/>
        </w:rPr>
        <w:t>13.1</w:t>
      </w:r>
      <w:r>
        <w:rPr>
          <w:rFonts w:hint="eastAsia" w:ascii="宋体" w:hAnsi="宋体"/>
          <w:bCs/>
          <w:color w:val="auto"/>
          <w:szCs w:val="21"/>
          <w:highlight w:val="none"/>
        </w:rPr>
        <w:tab/>
      </w:r>
      <w:r>
        <w:rPr>
          <w:rFonts w:hint="eastAsia" w:ascii="宋体" w:hAnsi="宋体"/>
          <w:bCs/>
          <w:color w:val="auto"/>
          <w:szCs w:val="21"/>
          <w:highlight w:val="none"/>
        </w:rPr>
        <w:t>供应商应提交其拟供的合同项下的货物和服务的合格性符合谈判文件规定的证明文件，并作为其谈判文件的一部分。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auto"/>
          <w:szCs w:val="21"/>
          <w:highlight w:val="none"/>
        </w:rPr>
      </w:pPr>
      <w:r>
        <w:rPr>
          <w:rFonts w:hint="eastAsia" w:ascii="宋体" w:hAnsi="宋体"/>
          <w:bCs/>
          <w:color w:val="auto"/>
          <w:szCs w:val="21"/>
          <w:highlight w:val="none"/>
        </w:rPr>
        <w:t>13.2</w:t>
      </w:r>
      <w:r>
        <w:rPr>
          <w:rFonts w:hint="eastAsia" w:ascii="宋体" w:hAnsi="宋体"/>
          <w:bCs/>
          <w:color w:val="auto"/>
          <w:szCs w:val="21"/>
          <w:highlight w:val="none"/>
        </w:rPr>
        <w:tab/>
      </w:r>
      <w:r>
        <w:rPr>
          <w:rFonts w:hint="eastAsia" w:ascii="宋体" w:hAnsi="宋体"/>
          <w:bCs/>
          <w:color w:val="auto"/>
          <w:szCs w:val="21"/>
          <w:highlight w:val="none"/>
        </w:rPr>
        <w:t>货物合格性的证明文件包括但不限于授权代理证书、装运货物时出具的运输单据或发票等文件。</w:t>
      </w:r>
    </w:p>
    <w:p>
      <w:pPr>
        <w:tabs>
          <w:tab w:val="left" w:pos="753"/>
        </w:tabs>
        <w:autoSpaceDE w:val="0"/>
        <w:autoSpaceDN w:val="0"/>
        <w:adjustRightInd w:val="0"/>
        <w:snapToGrid w:val="0"/>
        <w:spacing w:line="360" w:lineRule="auto"/>
        <w:ind w:left="751" w:leftChars="1" w:hanging="749" w:hangingChars="357"/>
        <w:rPr>
          <w:rFonts w:ascii="宋体" w:hAnsi="宋体"/>
          <w:bCs/>
          <w:color w:val="auto"/>
          <w:szCs w:val="21"/>
          <w:highlight w:val="none"/>
        </w:rPr>
      </w:pPr>
      <w:r>
        <w:rPr>
          <w:rFonts w:hint="eastAsia" w:ascii="宋体" w:hAnsi="宋体"/>
          <w:bCs/>
          <w:color w:val="auto"/>
          <w:szCs w:val="21"/>
          <w:highlight w:val="none"/>
        </w:rPr>
        <w:t>13.3</w:t>
      </w:r>
      <w:r>
        <w:rPr>
          <w:rFonts w:hint="eastAsia" w:ascii="宋体" w:hAnsi="宋体"/>
          <w:bCs/>
          <w:color w:val="auto"/>
          <w:szCs w:val="21"/>
          <w:highlight w:val="none"/>
        </w:rPr>
        <w:tab/>
      </w:r>
      <w:r>
        <w:rPr>
          <w:rFonts w:hint="eastAsia" w:ascii="宋体" w:hAnsi="宋体"/>
          <w:bCs/>
          <w:color w:val="auto"/>
          <w:szCs w:val="21"/>
          <w:highlight w:val="none"/>
        </w:rPr>
        <w:t>供应商提交的货物和服务的证明审核通过后，将成为谈判的重要依据。如供应商提交的证明文件不齐全、不真实、不合法，其将承担被拒绝参加谈判的风险。</w:t>
      </w:r>
    </w:p>
    <w:p>
      <w:pPr>
        <w:pStyle w:val="6"/>
        <w:spacing w:line="360" w:lineRule="auto"/>
        <w:rPr>
          <w:rFonts w:ascii="宋体" w:hAnsi="宋体"/>
          <w:color w:val="auto"/>
          <w:sz w:val="21"/>
          <w:szCs w:val="21"/>
          <w:highlight w:val="none"/>
        </w:rPr>
      </w:pPr>
      <w:bookmarkStart w:id="109" w:name="_Toc367780319"/>
      <w:bookmarkStart w:id="110" w:name="_Toc17784"/>
      <w:r>
        <w:rPr>
          <w:rFonts w:ascii="宋体" w:hAnsi="宋体"/>
          <w:color w:val="auto"/>
          <w:sz w:val="21"/>
          <w:szCs w:val="21"/>
          <w:highlight w:val="none"/>
        </w:rPr>
        <w:t>14</w:t>
      </w:r>
      <w:r>
        <w:rPr>
          <w:rFonts w:hint="eastAsia" w:ascii="宋体" w:hAnsi="宋体"/>
          <w:color w:val="auto"/>
          <w:sz w:val="21"/>
          <w:szCs w:val="21"/>
          <w:highlight w:val="none"/>
        </w:rPr>
        <w:tab/>
      </w:r>
      <w:r>
        <w:rPr>
          <w:rFonts w:hint="eastAsia" w:ascii="宋体" w:hAnsi="宋体"/>
          <w:color w:val="auto"/>
          <w:sz w:val="21"/>
          <w:szCs w:val="21"/>
          <w:highlight w:val="none"/>
        </w:rPr>
        <w:t>投报价格与报价货币</w:t>
      </w:r>
      <w:bookmarkEnd w:id="109"/>
      <w:bookmarkEnd w:id="110"/>
    </w:p>
    <w:p>
      <w:pPr>
        <w:tabs>
          <w:tab w:val="left" w:pos="753"/>
        </w:tabs>
        <w:adjustRightInd w:val="0"/>
        <w:snapToGrid w:val="0"/>
        <w:spacing w:line="360" w:lineRule="auto"/>
        <w:ind w:left="752" w:hanging="751" w:hangingChars="358"/>
        <w:rPr>
          <w:rFonts w:ascii="宋体" w:hAnsi="宋体"/>
          <w:color w:val="auto"/>
          <w:szCs w:val="21"/>
          <w:highlight w:val="none"/>
        </w:rPr>
      </w:pPr>
      <w:r>
        <w:rPr>
          <w:rFonts w:hint="eastAsia" w:ascii="宋体" w:hAnsi="宋体"/>
          <w:color w:val="auto"/>
          <w:szCs w:val="21"/>
          <w:highlight w:val="none"/>
        </w:rPr>
        <w:t>14.1</w:t>
      </w:r>
      <w:r>
        <w:rPr>
          <w:rFonts w:hint="eastAsia" w:ascii="宋体" w:hAnsi="宋体"/>
          <w:color w:val="auto"/>
          <w:szCs w:val="21"/>
          <w:highlight w:val="none"/>
        </w:rPr>
        <w:tab/>
      </w:r>
      <w:r>
        <w:rPr>
          <w:rFonts w:hint="eastAsia" w:ascii="宋体" w:hAnsi="宋体"/>
          <w:color w:val="auto"/>
          <w:szCs w:val="21"/>
          <w:highlight w:val="none"/>
        </w:rPr>
        <w:t>投报价格应按谈判文件第一次报价一览表和最终报价表（谈判时提供）格式填写报价清单。</w:t>
      </w:r>
    </w:p>
    <w:p>
      <w:pPr>
        <w:tabs>
          <w:tab w:val="left" w:pos="753"/>
        </w:tabs>
        <w:adjustRightInd w:val="0"/>
        <w:snapToGrid w:val="0"/>
        <w:spacing w:line="360" w:lineRule="auto"/>
        <w:ind w:left="752" w:hanging="751" w:hangingChars="358"/>
        <w:rPr>
          <w:rFonts w:ascii="宋体" w:hAnsi="宋体"/>
          <w:color w:val="auto"/>
          <w:szCs w:val="21"/>
          <w:highlight w:val="none"/>
        </w:rPr>
      </w:pPr>
      <w:r>
        <w:rPr>
          <w:rFonts w:hint="eastAsia" w:ascii="宋体" w:hAnsi="宋体"/>
          <w:color w:val="auto"/>
          <w:szCs w:val="21"/>
          <w:highlight w:val="none"/>
        </w:rPr>
        <w:t>14.2</w:t>
      </w:r>
      <w:r>
        <w:rPr>
          <w:rFonts w:hint="eastAsia" w:ascii="宋体" w:hAnsi="宋体"/>
          <w:color w:val="auto"/>
          <w:szCs w:val="21"/>
          <w:highlight w:val="none"/>
        </w:rPr>
        <w:tab/>
      </w:r>
      <w:r>
        <w:rPr>
          <w:rFonts w:hint="eastAsia" w:ascii="宋体" w:hAnsi="宋体"/>
          <w:bCs/>
          <w:color w:val="auto"/>
          <w:szCs w:val="21"/>
          <w:highlight w:val="none"/>
        </w:rPr>
        <w:t>供应商所报总价</w:t>
      </w:r>
      <w:r>
        <w:rPr>
          <w:rFonts w:hint="eastAsia" w:ascii="宋体" w:hAnsi="宋体"/>
          <w:color w:val="auto"/>
          <w:szCs w:val="21"/>
          <w:highlight w:val="none"/>
        </w:rPr>
        <w:t>应为包括</w:t>
      </w:r>
      <w:r>
        <w:rPr>
          <w:rFonts w:hint="eastAsia" w:ascii="宋体" w:hAnsi="宋体" w:cs="Tahoma"/>
          <w:bCs/>
          <w:color w:val="auto"/>
          <w:szCs w:val="21"/>
          <w:highlight w:val="none"/>
        </w:rPr>
        <w:t>完成该项目发生的全部费用（包含高温补贴、岗位津贴、非正常工作时间工资等费用），合同期间内采购人不再另行支付任何费用。</w:t>
      </w:r>
    </w:p>
    <w:p>
      <w:pPr>
        <w:tabs>
          <w:tab w:val="left" w:pos="753"/>
        </w:tabs>
        <w:adjustRightInd w:val="0"/>
        <w:snapToGrid w:val="0"/>
        <w:spacing w:line="360" w:lineRule="auto"/>
        <w:ind w:left="752" w:hanging="751" w:hangingChars="358"/>
        <w:rPr>
          <w:rFonts w:ascii="宋体" w:hAnsi="宋体"/>
          <w:color w:val="auto"/>
          <w:szCs w:val="21"/>
          <w:highlight w:val="none"/>
        </w:rPr>
      </w:pPr>
      <w:r>
        <w:rPr>
          <w:rFonts w:hint="eastAsia" w:ascii="宋体" w:hAnsi="宋体"/>
          <w:color w:val="auto"/>
          <w:szCs w:val="21"/>
          <w:highlight w:val="none"/>
        </w:rPr>
        <w:t>14.3</w:t>
      </w:r>
      <w:r>
        <w:rPr>
          <w:rFonts w:hint="eastAsia" w:ascii="宋体" w:hAnsi="宋体"/>
          <w:color w:val="auto"/>
          <w:szCs w:val="21"/>
          <w:highlight w:val="none"/>
        </w:rPr>
        <w:tab/>
      </w:r>
      <w:r>
        <w:rPr>
          <w:rFonts w:hint="eastAsia" w:ascii="宋体" w:hAnsi="宋体"/>
          <w:color w:val="auto"/>
          <w:szCs w:val="21"/>
          <w:highlight w:val="none"/>
        </w:rPr>
        <w:tab/>
      </w:r>
      <w:r>
        <w:rPr>
          <w:rFonts w:hint="eastAsia" w:ascii="宋体" w:hAnsi="宋体"/>
          <w:color w:val="auto"/>
          <w:szCs w:val="21"/>
          <w:highlight w:val="none"/>
        </w:rPr>
        <w:t>报价的评审以最终报价为准；若大写和小写表示的金额之间有差异，则以大写金额为准，并对小写金额作相应的修正。</w:t>
      </w:r>
    </w:p>
    <w:p>
      <w:pPr>
        <w:tabs>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color w:val="auto"/>
          <w:szCs w:val="21"/>
          <w:highlight w:val="none"/>
        </w:rPr>
        <w:t xml:space="preserve">14.4   </w:t>
      </w:r>
      <w:r>
        <w:rPr>
          <w:rFonts w:hint="eastAsia" w:ascii="宋体" w:hAnsi="宋体"/>
          <w:bCs/>
          <w:color w:val="auto"/>
          <w:szCs w:val="21"/>
          <w:highlight w:val="none"/>
        </w:rPr>
        <w:t>投报价格一律用人民币填报。</w:t>
      </w:r>
    </w:p>
    <w:p>
      <w:pPr>
        <w:tabs>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14.5   供应商在谈判响应文件中如有任何遗漏，影响到谈判响应文件中规定的范围、质量、性能或限制了采购人的权利和供应商的义务，由此产生的费用由供应商负责。</w:t>
      </w:r>
    </w:p>
    <w:p>
      <w:pPr>
        <w:pStyle w:val="6"/>
        <w:spacing w:line="360" w:lineRule="auto"/>
        <w:rPr>
          <w:rFonts w:ascii="宋体" w:hAnsi="宋体"/>
          <w:color w:val="auto"/>
          <w:sz w:val="21"/>
          <w:szCs w:val="21"/>
          <w:highlight w:val="none"/>
        </w:rPr>
      </w:pPr>
      <w:bookmarkStart w:id="111" w:name="_Toc22132"/>
      <w:bookmarkStart w:id="112" w:name="_Toc367780320"/>
      <w:r>
        <w:rPr>
          <w:rFonts w:ascii="宋体" w:hAnsi="宋体"/>
          <w:color w:val="auto"/>
          <w:sz w:val="21"/>
          <w:szCs w:val="21"/>
          <w:highlight w:val="none"/>
        </w:rPr>
        <w:t>15</w:t>
      </w:r>
      <w:r>
        <w:rPr>
          <w:rFonts w:hint="eastAsia" w:ascii="宋体" w:hAnsi="宋体"/>
          <w:color w:val="auto"/>
          <w:sz w:val="21"/>
          <w:szCs w:val="21"/>
          <w:highlight w:val="none"/>
        </w:rPr>
        <w:tab/>
      </w:r>
      <w:r>
        <w:rPr>
          <w:rFonts w:hint="eastAsia" w:ascii="宋体" w:hAnsi="宋体"/>
          <w:color w:val="auto"/>
          <w:sz w:val="21"/>
          <w:szCs w:val="21"/>
          <w:highlight w:val="none"/>
        </w:rPr>
        <w:t>谈判保证金</w:t>
      </w:r>
      <w:bookmarkEnd w:id="111"/>
      <w:bookmarkEnd w:id="112"/>
    </w:p>
    <w:p>
      <w:pPr>
        <w:widowControl/>
        <w:numPr>
          <w:ilvl w:val="1"/>
          <w:numId w:val="13"/>
        </w:numPr>
        <w:tabs>
          <w:tab w:val="left" w:pos="753"/>
          <w:tab w:val="clear" w:pos="630"/>
        </w:tabs>
        <w:adjustRightInd w:val="0"/>
        <w:snapToGrid w:val="0"/>
        <w:spacing w:line="360" w:lineRule="auto"/>
        <w:ind w:left="753" w:hanging="753"/>
        <w:rPr>
          <w:rFonts w:ascii="宋体" w:hAnsi="宋体"/>
          <w:bCs/>
          <w:color w:val="auto"/>
          <w:szCs w:val="21"/>
          <w:highlight w:val="none"/>
        </w:rPr>
      </w:pPr>
      <w:r>
        <w:rPr>
          <w:rFonts w:hint="eastAsia" w:ascii="宋体" w:hAnsi="宋体"/>
          <w:bCs/>
          <w:color w:val="auto"/>
          <w:szCs w:val="21"/>
          <w:highlight w:val="none"/>
        </w:rPr>
        <w:t>谈判保证金为谈判响应文件的重要组成部分之一。</w:t>
      </w:r>
    </w:p>
    <w:p>
      <w:pPr>
        <w:widowControl/>
        <w:numPr>
          <w:ilvl w:val="1"/>
          <w:numId w:val="13"/>
        </w:numPr>
        <w:tabs>
          <w:tab w:val="left" w:pos="753"/>
          <w:tab w:val="clear" w:pos="630"/>
        </w:tabs>
        <w:adjustRightInd w:val="0"/>
        <w:snapToGrid w:val="0"/>
        <w:spacing w:line="360" w:lineRule="auto"/>
        <w:ind w:left="753" w:hanging="753"/>
        <w:rPr>
          <w:rFonts w:ascii="宋体" w:hAnsi="宋体"/>
          <w:bCs/>
          <w:color w:val="auto"/>
          <w:szCs w:val="21"/>
          <w:highlight w:val="none"/>
        </w:rPr>
      </w:pPr>
      <w:r>
        <w:rPr>
          <w:rFonts w:hint="eastAsia" w:ascii="宋体" w:hAnsi="宋体"/>
          <w:bCs/>
          <w:color w:val="auto"/>
          <w:szCs w:val="21"/>
          <w:highlight w:val="none"/>
        </w:rPr>
        <w:t>投标供应商在投标时应按照谈判文件商务要求中规定的形式和金额提交投标保证金。</w:t>
      </w:r>
    </w:p>
    <w:p>
      <w:pPr>
        <w:widowControl/>
        <w:numPr>
          <w:ilvl w:val="1"/>
          <w:numId w:val="13"/>
        </w:numPr>
        <w:tabs>
          <w:tab w:val="left" w:pos="753"/>
          <w:tab w:val="clear" w:pos="630"/>
        </w:tabs>
        <w:adjustRightInd w:val="0"/>
        <w:snapToGrid w:val="0"/>
        <w:spacing w:line="360" w:lineRule="auto"/>
        <w:ind w:left="753" w:hanging="753"/>
        <w:rPr>
          <w:rFonts w:ascii="宋体" w:hAnsi="宋体"/>
          <w:bCs/>
          <w:color w:val="auto"/>
          <w:szCs w:val="21"/>
          <w:highlight w:val="none"/>
        </w:rPr>
      </w:pPr>
      <w:r>
        <w:rPr>
          <w:rFonts w:hint="eastAsia" w:ascii="宋体" w:hAnsi="宋体"/>
          <w:bCs/>
          <w:color w:val="auto"/>
          <w:szCs w:val="21"/>
          <w:highlight w:val="none"/>
        </w:rPr>
        <w:t>凡未按本须知第15.2条规定提交有效谈判保证金的供应商将被拒绝参加谈判。</w:t>
      </w:r>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15.</w:t>
      </w:r>
      <w:r>
        <w:rPr>
          <w:rFonts w:hint="eastAsia" w:ascii="宋体" w:hAnsi="宋体"/>
          <w:bCs/>
          <w:color w:val="auto"/>
          <w:szCs w:val="21"/>
          <w:highlight w:val="none"/>
        </w:rPr>
        <w:t>4</w:t>
      </w:r>
      <w:r>
        <w:rPr>
          <w:rFonts w:ascii="宋体" w:hAnsi="宋体"/>
          <w:bCs/>
          <w:color w:val="auto"/>
          <w:szCs w:val="21"/>
          <w:highlight w:val="none"/>
        </w:rPr>
        <w:tab/>
      </w:r>
      <w:r>
        <w:rPr>
          <w:rFonts w:hint="eastAsia" w:ascii="宋体" w:hAnsi="宋体"/>
          <w:bCs/>
          <w:color w:val="auto"/>
          <w:szCs w:val="21"/>
          <w:highlight w:val="none"/>
        </w:rPr>
        <w:t>未成交的供应商的谈判保证金，采购代理机构</w:t>
      </w:r>
      <w:r>
        <w:rPr>
          <w:rFonts w:hint="eastAsia" w:ascii="宋体" w:hAnsi="宋体"/>
          <w:bCs/>
          <w:color w:val="auto"/>
          <w:highlight w:val="none"/>
        </w:rPr>
        <w:t>应当自成交通知书发出之日起5个工作日内无息退还。</w:t>
      </w:r>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15.</w:t>
      </w:r>
      <w:r>
        <w:rPr>
          <w:rFonts w:hint="eastAsia" w:ascii="宋体" w:hAnsi="宋体"/>
          <w:bCs/>
          <w:color w:val="auto"/>
          <w:szCs w:val="21"/>
          <w:highlight w:val="none"/>
        </w:rPr>
        <w:t>5</w:t>
      </w:r>
      <w:r>
        <w:rPr>
          <w:rFonts w:ascii="宋体" w:hAnsi="宋体"/>
          <w:bCs/>
          <w:color w:val="auto"/>
          <w:szCs w:val="21"/>
          <w:highlight w:val="none"/>
        </w:rPr>
        <w:tab/>
      </w:r>
      <w:r>
        <w:rPr>
          <w:rFonts w:hint="eastAsia" w:ascii="宋体" w:hAnsi="宋体"/>
          <w:bCs/>
          <w:color w:val="auto"/>
          <w:szCs w:val="21"/>
          <w:highlight w:val="none"/>
        </w:rPr>
        <w:t>成交供应商的谈判保证金</w:t>
      </w:r>
      <w:r>
        <w:rPr>
          <w:rFonts w:ascii="宋体" w:hAnsi="宋体"/>
          <w:bCs/>
          <w:color w:val="auto"/>
          <w:szCs w:val="21"/>
          <w:highlight w:val="none"/>
        </w:rPr>
        <w:t>，</w:t>
      </w:r>
      <w:r>
        <w:rPr>
          <w:rFonts w:hint="eastAsia" w:ascii="宋体" w:hAnsi="宋体"/>
          <w:bCs/>
          <w:color w:val="auto"/>
          <w:szCs w:val="21"/>
          <w:highlight w:val="none"/>
        </w:rPr>
        <w:t>在签订合同，缴纳采购代理服务费后</w:t>
      </w:r>
      <w:r>
        <w:rPr>
          <w:rFonts w:hint="eastAsia" w:ascii="宋体" w:hAnsi="宋体"/>
          <w:bCs/>
          <w:color w:val="auto"/>
          <w:highlight w:val="none"/>
        </w:rPr>
        <w:t>5个工作日内无息退</w:t>
      </w:r>
      <w:r>
        <w:rPr>
          <w:rFonts w:hint="eastAsia" w:ascii="宋体"/>
          <w:bCs/>
          <w:color w:val="auto"/>
          <w:highlight w:val="none"/>
        </w:rPr>
        <w:t>还。</w:t>
      </w:r>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15.</w:t>
      </w:r>
      <w:r>
        <w:rPr>
          <w:rFonts w:hint="eastAsia" w:ascii="宋体" w:hAnsi="宋体"/>
          <w:bCs/>
          <w:color w:val="auto"/>
          <w:szCs w:val="21"/>
          <w:highlight w:val="none"/>
        </w:rPr>
        <w:t>6</w:t>
      </w:r>
      <w:r>
        <w:rPr>
          <w:rFonts w:ascii="宋体" w:hAnsi="宋体"/>
          <w:bCs/>
          <w:color w:val="auto"/>
          <w:szCs w:val="21"/>
          <w:highlight w:val="none"/>
        </w:rPr>
        <w:tab/>
      </w:r>
      <w:r>
        <w:rPr>
          <w:rFonts w:hint="eastAsia" w:ascii="宋体" w:hAnsi="宋体"/>
          <w:bCs/>
          <w:color w:val="auto"/>
          <w:szCs w:val="21"/>
          <w:highlight w:val="none"/>
        </w:rPr>
        <w:t>谈判保证金用于保护本次谈判免遭因供应商的行为而蒙受的损失。发生以下情况之一，谈判保证金将被没收：</w:t>
      </w:r>
    </w:p>
    <w:p>
      <w:pPr>
        <w:widowControl/>
        <w:tabs>
          <w:tab w:val="left" w:pos="753"/>
          <w:tab w:val="left" w:pos="1255"/>
          <w:tab w:val="left" w:pos="1638"/>
        </w:tabs>
        <w:adjustRightInd w:val="0"/>
        <w:snapToGrid w:val="0"/>
        <w:spacing w:line="360" w:lineRule="auto"/>
        <w:ind w:firstLine="735" w:firstLineChars="350"/>
        <w:rPr>
          <w:rFonts w:ascii="宋体" w:hAnsi="宋体"/>
          <w:bCs/>
          <w:color w:val="auto"/>
          <w:szCs w:val="21"/>
          <w:highlight w:val="none"/>
        </w:rPr>
      </w:pPr>
      <w:r>
        <w:rPr>
          <w:rFonts w:hint="eastAsia" w:ascii="宋体" w:hAnsi="宋体"/>
          <w:bCs/>
          <w:color w:val="auto"/>
          <w:szCs w:val="21"/>
          <w:highlight w:val="none"/>
        </w:rPr>
        <w:t>1)供应商在谈判文件中规定的投标有效期内撤回其报价资料的；</w:t>
      </w:r>
    </w:p>
    <w:p>
      <w:pPr>
        <w:widowControl/>
        <w:tabs>
          <w:tab w:val="left" w:pos="753"/>
          <w:tab w:val="left" w:pos="1255"/>
          <w:tab w:val="left" w:pos="1638"/>
        </w:tabs>
        <w:adjustRightInd w:val="0"/>
        <w:snapToGrid w:val="0"/>
        <w:spacing w:line="360" w:lineRule="auto"/>
        <w:ind w:firstLine="735" w:firstLineChars="350"/>
        <w:rPr>
          <w:rFonts w:ascii="宋体" w:hAnsi="宋体"/>
          <w:bCs/>
          <w:color w:val="auto"/>
          <w:szCs w:val="21"/>
          <w:highlight w:val="none"/>
        </w:rPr>
      </w:pPr>
      <w:r>
        <w:rPr>
          <w:rFonts w:hint="eastAsia" w:ascii="宋体" w:hAnsi="宋体"/>
          <w:bCs/>
          <w:color w:val="auto"/>
          <w:szCs w:val="21"/>
          <w:highlight w:val="none"/>
        </w:rPr>
        <w:t>2)成交供应商未能按谈判文件的有关规定交纳采购代理服务费的；</w:t>
      </w:r>
    </w:p>
    <w:p>
      <w:pPr>
        <w:widowControl/>
        <w:tabs>
          <w:tab w:val="left" w:pos="753"/>
          <w:tab w:val="left" w:pos="1255"/>
          <w:tab w:val="left" w:pos="1638"/>
        </w:tabs>
        <w:adjustRightInd w:val="0"/>
        <w:snapToGrid w:val="0"/>
        <w:spacing w:line="360" w:lineRule="auto"/>
        <w:ind w:firstLine="735" w:firstLineChars="350"/>
        <w:rPr>
          <w:rFonts w:ascii="宋体" w:hAnsi="宋体"/>
          <w:bCs/>
          <w:color w:val="auto"/>
          <w:szCs w:val="21"/>
          <w:highlight w:val="none"/>
        </w:rPr>
      </w:pPr>
      <w:r>
        <w:rPr>
          <w:rFonts w:hint="eastAsia" w:ascii="宋体" w:hAnsi="宋体"/>
          <w:bCs/>
          <w:color w:val="auto"/>
          <w:szCs w:val="21"/>
          <w:highlight w:val="none"/>
        </w:rPr>
        <w:t>3)成交供应商未能按谈判文件的规定签订合同的；</w:t>
      </w:r>
    </w:p>
    <w:p>
      <w:pPr>
        <w:widowControl/>
        <w:tabs>
          <w:tab w:val="left" w:pos="753"/>
          <w:tab w:val="left" w:pos="1255"/>
          <w:tab w:val="left" w:pos="1638"/>
        </w:tabs>
        <w:adjustRightInd w:val="0"/>
        <w:snapToGrid w:val="0"/>
        <w:spacing w:line="360" w:lineRule="auto"/>
        <w:ind w:firstLine="735" w:firstLineChars="350"/>
        <w:rPr>
          <w:rFonts w:ascii="宋体" w:hAnsi="宋体"/>
          <w:bCs/>
          <w:color w:val="auto"/>
          <w:szCs w:val="21"/>
          <w:highlight w:val="none"/>
        </w:rPr>
      </w:pPr>
      <w:r>
        <w:rPr>
          <w:rFonts w:hint="eastAsia" w:ascii="宋体" w:hAnsi="宋体"/>
          <w:bCs/>
          <w:color w:val="auto"/>
          <w:szCs w:val="21"/>
          <w:highlight w:val="none"/>
        </w:rPr>
        <w:t>4)成交供应商以他人名义参加谈判或者以其他方式弄虚作假，骗取成交的。</w:t>
      </w:r>
    </w:p>
    <w:p>
      <w:pPr>
        <w:pStyle w:val="6"/>
        <w:spacing w:line="360" w:lineRule="auto"/>
        <w:rPr>
          <w:rFonts w:ascii="宋体" w:hAnsi="宋体"/>
          <w:color w:val="auto"/>
          <w:sz w:val="21"/>
          <w:szCs w:val="21"/>
          <w:highlight w:val="none"/>
        </w:rPr>
      </w:pPr>
      <w:bookmarkStart w:id="113" w:name="_Toc24535"/>
      <w:bookmarkStart w:id="114" w:name="_Toc367780321"/>
      <w:r>
        <w:rPr>
          <w:rFonts w:ascii="宋体" w:hAnsi="宋体"/>
          <w:color w:val="auto"/>
          <w:sz w:val="21"/>
          <w:szCs w:val="21"/>
          <w:highlight w:val="none"/>
        </w:rPr>
        <w:t>16</w:t>
      </w:r>
      <w:r>
        <w:rPr>
          <w:rFonts w:hint="eastAsia" w:ascii="宋体" w:hAnsi="宋体"/>
          <w:color w:val="auto"/>
          <w:sz w:val="21"/>
          <w:szCs w:val="21"/>
          <w:highlight w:val="none"/>
        </w:rPr>
        <w:tab/>
      </w:r>
      <w:r>
        <w:rPr>
          <w:rFonts w:hint="eastAsia" w:ascii="宋体" w:hAnsi="宋体"/>
          <w:color w:val="auto"/>
          <w:sz w:val="21"/>
          <w:szCs w:val="21"/>
          <w:highlight w:val="none"/>
        </w:rPr>
        <w:t>谈判有效期</w:t>
      </w:r>
      <w:bookmarkEnd w:id="113"/>
      <w:bookmarkEnd w:id="114"/>
    </w:p>
    <w:p>
      <w:pPr>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16.1</w:t>
      </w:r>
      <w:r>
        <w:rPr>
          <w:rFonts w:hint="eastAsia" w:ascii="宋体" w:hAnsi="宋体"/>
          <w:bCs/>
          <w:color w:val="auto"/>
          <w:szCs w:val="21"/>
          <w:highlight w:val="none"/>
        </w:rPr>
        <w:tab/>
      </w:r>
      <w:r>
        <w:rPr>
          <w:rFonts w:hint="eastAsia" w:ascii="宋体" w:hAnsi="宋体"/>
          <w:bCs/>
          <w:color w:val="auto"/>
          <w:szCs w:val="21"/>
          <w:highlight w:val="none"/>
        </w:rPr>
        <w:t>谈判有效期应从谈判之日起计算，本项目的投标有效期为90天。</w:t>
      </w:r>
    </w:p>
    <w:p>
      <w:pPr>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16.2</w:t>
      </w:r>
      <w:r>
        <w:rPr>
          <w:rFonts w:hint="eastAsia" w:ascii="宋体" w:hAnsi="宋体"/>
          <w:bCs/>
          <w:color w:val="auto"/>
          <w:szCs w:val="21"/>
          <w:highlight w:val="none"/>
        </w:rPr>
        <w:tab/>
      </w:r>
      <w:r>
        <w:rPr>
          <w:rFonts w:hint="eastAsia" w:ascii="宋体" w:hAnsi="宋体"/>
          <w:bCs/>
          <w:color w:val="auto"/>
          <w:szCs w:val="21"/>
          <w:highlight w:val="none"/>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pPr>
        <w:pStyle w:val="6"/>
        <w:spacing w:line="360" w:lineRule="auto"/>
        <w:rPr>
          <w:rFonts w:ascii="宋体" w:hAnsi="宋体"/>
          <w:color w:val="auto"/>
          <w:sz w:val="21"/>
          <w:szCs w:val="21"/>
          <w:highlight w:val="none"/>
        </w:rPr>
      </w:pPr>
      <w:bookmarkStart w:id="115" w:name="_Toc5589"/>
      <w:bookmarkStart w:id="116" w:name="_Toc367780322"/>
      <w:r>
        <w:rPr>
          <w:rFonts w:ascii="宋体" w:hAnsi="宋体"/>
          <w:color w:val="auto"/>
          <w:sz w:val="21"/>
          <w:szCs w:val="21"/>
          <w:highlight w:val="none"/>
        </w:rPr>
        <w:t>17</w:t>
      </w:r>
      <w:r>
        <w:rPr>
          <w:rFonts w:hint="eastAsia" w:ascii="宋体" w:hAnsi="宋体"/>
          <w:color w:val="auto"/>
          <w:sz w:val="21"/>
          <w:szCs w:val="21"/>
          <w:highlight w:val="none"/>
        </w:rPr>
        <w:tab/>
      </w:r>
      <w:r>
        <w:rPr>
          <w:rFonts w:hint="eastAsia" w:ascii="宋体" w:hAnsi="宋体"/>
          <w:color w:val="auto"/>
          <w:sz w:val="21"/>
          <w:szCs w:val="21"/>
          <w:highlight w:val="none"/>
        </w:rPr>
        <w:t>谈判响应文件的签署及规定</w:t>
      </w:r>
      <w:bookmarkEnd w:id="115"/>
      <w:bookmarkEnd w:id="116"/>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17.1</w:t>
      </w:r>
      <w:r>
        <w:rPr>
          <w:rFonts w:hint="eastAsia" w:ascii="宋体" w:hAnsi="宋体"/>
          <w:bCs/>
          <w:color w:val="auto"/>
          <w:szCs w:val="21"/>
          <w:highlight w:val="none"/>
        </w:rPr>
        <w:tab/>
      </w:r>
      <w:r>
        <w:rPr>
          <w:rFonts w:hint="eastAsia" w:ascii="宋体" w:hAnsi="宋体"/>
          <w:bCs/>
          <w:color w:val="auto"/>
          <w:szCs w:val="21"/>
          <w:highlight w:val="none"/>
        </w:rPr>
        <w:t>供应商应准备正本和副本，在每一份谈判响应文件上要明确标明“正本”或“副本”。如正本的内容和副本不符，以正本为准</w:t>
      </w:r>
      <w:r>
        <w:rPr>
          <w:rFonts w:hint="eastAsia" w:ascii="宋体"/>
          <w:bCs/>
          <w:color w:val="auto"/>
          <w:highlight w:val="none"/>
        </w:rPr>
        <w:t>（注：谈判文件副本可为正本的复印件）。</w:t>
      </w:r>
      <w:r>
        <w:rPr>
          <w:rFonts w:hint="eastAsia" w:ascii="宋体" w:hAnsi="宋体"/>
          <w:bCs/>
          <w:color w:val="auto"/>
          <w:highlight w:val="none"/>
        </w:rPr>
        <w:t>电子文件</w:t>
      </w:r>
      <w:r>
        <w:rPr>
          <w:rFonts w:hint="eastAsia" w:ascii="宋体" w:hAnsi="宋体"/>
          <w:color w:val="auto"/>
          <w:szCs w:val="21"/>
          <w:highlight w:val="none"/>
        </w:rPr>
        <w:t>只接受PDF格式的电子文件</w:t>
      </w:r>
      <w:r>
        <w:rPr>
          <w:rFonts w:hint="eastAsia"/>
          <w:color w:val="auto"/>
          <w:szCs w:val="21"/>
          <w:highlight w:val="none"/>
        </w:rPr>
        <w:t>（电子文件须单独密封，在封皮上注明“（公司名称）投标电子版”并加盖公章）。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17.2</w:t>
      </w:r>
      <w:r>
        <w:rPr>
          <w:rFonts w:hint="eastAsia" w:ascii="宋体" w:hAnsi="宋体"/>
          <w:bCs/>
          <w:color w:val="auto"/>
          <w:szCs w:val="21"/>
          <w:highlight w:val="none"/>
        </w:rPr>
        <w:tab/>
      </w:r>
      <w:r>
        <w:rPr>
          <w:rFonts w:hint="eastAsia" w:ascii="宋体" w:hAnsi="宋体"/>
          <w:bCs/>
          <w:color w:val="auto"/>
          <w:szCs w:val="21"/>
          <w:highlight w:val="none"/>
        </w:rPr>
        <w:t>谈判响应文件正本和副本均须打印或用不褪色书写工具书写，并由供应商的法定代表人（负责人）或经法定代表人（负责人）正式授权并对供应商有约束力的代表签字</w:t>
      </w:r>
      <w:r>
        <w:rPr>
          <w:rFonts w:hint="eastAsia" w:ascii="宋体"/>
          <w:bCs/>
          <w:color w:val="auto"/>
          <w:highlight w:val="none"/>
          <w:lang w:eastAsia="zh-CN"/>
        </w:rPr>
        <w:t>，并加盖公章、骑缝章</w:t>
      </w:r>
      <w:r>
        <w:rPr>
          <w:rFonts w:hint="eastAsia" w:ascii="宋体" w:hAnsi="宋体"/>
          <w:bCs/>
          <w:color w:val="auto"/>
          <w:szCs w:val="21"/>
          <w:highlight w:val="none"/>
        </w:rPr>
        <w:t>。供应商须将以书面形式出具的“法定代表人（负责人）授权委托书”附在谈判响应文件中。谈判响应文件的副本亦可采用正本的复印件。</w:t>
      </w:r>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17.3</w:t>
      </w:r>
      <w:r>
        <w:rPr>
          <w:rFonts w:hint="eastAsia" w:ascii="宋体" w:hAnsi="宋体"/>
          <w:bCs/>
          <w:color w:val="auto"/>
          <w:szCs w:val="21"/>
          <w:highlight w:val="none"/>
        </w:rPr>
        <w:tab/>
      </w:r>
      <w:r>
        <w:rPr>
          <w:rFonts w:hint="eastAsia" w:ascii="宋体" w:hAnsi="宋体"/>
          <w:bCs/>
          <w:color w:val="auto"/>
          <w:szCs w:val="21"/>
          <w:highlight w:val="none"/>
        </w:rPr>
        <w:t>除供应商对差错处做必要修改外，谈判响应文件中不许有行间插字、涂改或增删，如有修改错漏处，必须由签署谈判响应文件的人签字或盖章</w:t>
      </w:r>
      <w:r>
        <w:rPr>
          <w:rFonts w:hint="eastAsia" w:ascii="宋体"/>
          <w:bCs/>
          <w:color w:val="auto"/>
          <w:highlight w:val="none"/>
        </w:rPr>
        <w:t>并在修改错漏处加盖公章</w:t>
      </w:r>
      <w:r>
        <w:rPr>
          <w:rFonts w:hint="eastAsia" w:ascii="宋体" w:hAnsi="宋体"/>
          <w:bCs/>
          <w:color w:val="auto"/>
          <w:szCs w:val="21"/>
          <w:highlight w:val="none"/>
        </w:rPr>
        <w:t>，以示负责。</w:t>
      </w:r>
    </w:p>
    <w:p>
      <w:pPr>
        <w:pStyle w:val="5"/>
        <w:numPr>
          <w:ilvl w:val="1"/>
          <w:numId w:val="0"/>
        </w:numPr>
        <w:spacing w:before="240" w:after="240" w:line="360" w:lineRule="auto"/>
        <w:rPr>
          <w:rFonts w:ascii="宋体" w:hAnsi="宋体" w:eastAsia="宋体"/>
          <w:color w:val="auto"/>
          <w:sz w:val="21"/>
          <w:szCs w:val="21"/>
          <w:highlight w:val="none"/>
        </w:rPr>
      </w:pPr>
      <w:bookmarkStart w:id="117" w:name="_Toc367780323"/>
      <w:bookmarkStart w:id="118" w:name="_Toc10196"/>
      <w:r>
        <w:rPr>
          <w:rFonts w:hint="eastAsia" w:ascii="宋体" w:hAnsi="宋体" w:eastAsia="宋体"/>
          <w:color w:val="auto"/>
          <w:sz w:val="21"/>
          <w:szCs w:val="21"/>
          <w:highlight w:val="none"/>
        </w:rPr>
        <w:t>Ｄ谈判响应文件的递交</w:t>
      </w:r>
      <w:bookmarkEnd w:id="117"/>
      <w:bookmarkEnd w:id="118"/>
    </w:p>
    <w:p>
      <w:pPr>
        <w:pStyle w:val="6"/>
        <w:spacing w:line="360" w:lineRule="auto"/>
        <w:rPr>
          <w:rFonts w:ascii="宋体" w:hAnsi="宋体"/>
          <w:color w:val="auto"/>
          <w:sz w:val="21"/>
          <w:szCs w:val="21"/>
          <w:highlight w:val="none"/>
        </w:rPr>
      </w:pPr>
      <w:bookmarkStart w:id="119" w:name="_Toc5791"/>
      <w:bookmarkStart w:id="120" w:name="_Toc367780324"/>
      <w:r>
        <w:rPr>
          <w:rFonts w:ascii="宋体" w:hAnsi="宋体"/>
          <w:color w:val="auto"/>
          <w:sz w:val="21"/>
          <w:szCs w:val="21"/>
          <w:highlight w:val="none"/>
        </w:rPr>
        <w:t>18</w:t>
      </w:r>
      <w:r>
        <w:rPr>
          <w:rFonts w:hint="eastAsia" w:ascii="宋体" w:hAnsi="宋体"/>
          <w:color w:val="auto"/>
          <w:sz w:val="21"/>
          <w:szCs w:val="21"/>
          <w:highlight w:val="none"/>
        </w:rPr>
        <w:tab/>
      </w:r>
      <w:r>
        <w:rPr>
          <w:rFonts w:hint="eastAsia" w:ascii="宋体" w:hAnsi="宋体"/>
          <w:color w:val="auto"/>
          <w:sz w:val="21"/>
          <w:szCs w:val="21"/>
          <w:highlight w:val="none"/>
        </w:rPr>
        <w:t>谈判响应文件的密封和标记</w:t>
      </w:r>
      <w:bookmarkEnd w:id="119"/>
      <w:bookmarkEnd w:id="120"/>
    </w:p>
    <w:p>
      <w:pPr>
        <w:widowControl/>
        <w:tabs>
          <w:tab w:val="left" w:pos="251"/>
        </w:tabs>
        <w:adjustRightInd w:val="0"/>
        <w:snapToGrid w:val="0"/>
        <w:spacing w:line="360" w:lineRule="auto"/>
        <w:ind w:left="751" w:leftChars="1" w:hanging="749" w:hangingChars="357"/>
        <w:rPr>
          <w:rFonts w:ascii="宋体" w:hAnsi="宋体"/>
          <w:bCs/>
          <w:color w:val="auto"/>
          <w:szCs w:val="21"/>
          <w:highlight w:val="none"/>
        </w:rPr>
      </w:pPr>
      <w:r>
        <w:rPr>
          <w:rFonts w:hint="eastAsia"/>
          <w:color w:val="auto"/>
          <w:highlight w:val="none"/>
        </w:rPr>
        <w:tab/>
      </w:r>
      <w:r>
        <w:rPr>
          <w:rFonts w:hint="eastAsia" w:ascii="黑体" w:eastAsia="黑体"/>
          <w:bCs/>
          <w:color w:val="auto"/>
          <w:highlight w:val="none"/>
        </w:rPr>
        <w:t>详见第三部份《报价须知〈投标人须知前附表〉》</w:t>
      </w:r>
      <w:r>
        <w:rPr>
          <w:rFonts w:hint="eastAsia" w:ascii="宋体" w:hAnsi="宋体"/>
          <w:color w:val="auto"/>
          <w:szCs w:val="21"/>
          <w:highlight w:val="none"/>
        </w:rPr>
        <w:t>。</w:t>
      </w:r>
    </w:p>
    <w:p>
      <w:pPr>
        <w:pStyle w:val="6"/>
        <w:spacing w:line="360" w:lineRule="auto"/>
        <w:rPr>
          <w:rFonts w:ascii="宋体" w:hAnsi="宋体"/>
          <w:color w:val="auto"/>
          <w:sz w:val="21"/>
          <w:szCs w:val="21"/>
          <w:highlight w:val="none"/>
        </w:rPr>
      </w:pPr>
      <w:bookmarkStart w:id="121" w:name="_Toc367780325"/>
      <w:bookmarkStart w:id="122" w:name="_Toc23002"/>
      <w:r>
        <w:rPr>
          <w:rFonts w:hint="eastAsia" w:ascii="宋体" w:hAnsi="宋体"/>
          <w:color w:val="auto"/>
          <w:sz w:val="21"/>
          <w:szCs w:val="21"/>
          <w:highlight w:val="none"/>
        </w:rPr>
        <w:t>19</w:t>
      </w:r>
      <w:r>
        <w:rPr>
          <w:rFonts w:hint="eastAsia" w:ascii="宋体" w:hAnsi="宋体"/>
          <w:color w:val="auto"/>
          <w:sz w:val="21"/>
          <w:szCs w:val="21"/>
          <w:highlight w:val="none"/>
        </w:rPr>
        <w:tab/>
      </w:r>
      <w:r>
        <w:rPr>
          <w:rFonts w:hint="eastAsia" w:ascii="宋体" w:hAnsi="宋体"/>
          <w:color w:val="auto"/>
          <w:sz w:val="21"/>
          <w:szCs w:val="21"/>
          <w:highlight w:val="none"/>
        </w:rPr>
        <w:t>递交谈判响应文件的时间、地点及截止时间</w:t>
      </w:r>
      <w:bookmarkEnd w:id="121"/>
      <w:bookmarkEnd w:id="122"/>
    </w:p>
    <w:p>
      <w:pPr>
        <w:tabs>
          <w:tab w:val="left" w:pos="753"/>
        </w:tabs>
        <w:adjustRightInd w:val="0"/>
        <w:snapToGrid w:val="0"/>
        <w:spacing w:line="360" w:lineRule="auto"/>
        <w:ind w:left="751" w:leftChars="1" w:hanging="749" w:hangingChars="357"/>
        <w:rPr>
          <w:rFonts w:ascii="宋体" w:hAnsi="宋体"/>
          <w:bCs/>
          <w:color w:val="auto"/>
          <w:szCs w:val="21"/>
          <w:highlight w:val="none"/>
        </w:rPr>
      </w:pPr>
      <w:r>
        <w:rPr>
          <w:rFonts w:hint="eastAsia" w:ascii="宋体" w:hAnsi="宋体"/>
          <w:bCs/>
          <w:color w:val="auto"/>
          <w:szCs w:val="21"/>
          <w:highlight w:val="none"/>
        </w:rPr>
        <w:t>19.1</w:t>
      </w:r>
      <w:r>
        <w:rPr>
          <w:rFonts w:hint="eastAsia" w:ascii="宋体" w:hAnsi="宋体"/>
          <w:bCs/>
          <w:color w:val="auto"/>
          <w:szCs w:val="21"/>
          <w:highlight w:val="none"/>
        </w:rPr>
        <w:tab/>
      </w:r>
      <w:r>
        <w:rPr>
          <w:rFonts w:hint="eastAsia" w:ascii="宋体" w:hAnsi="宋体"/>
          <w:bCs/>
          <w:color w:val="auto"/>
          <w:szCs w:val="21"/>
          <w:highlight w:val="none"/>
        </w:rPr>
        <w:t>递交谈判响应文件的地点与谈判地点为同一地点；谈判响应文件接收截止时间与谈判开始时间为同一时间。</w:t>
      </w:r>
    </w:p>
    <w:p>
      <w:pPr>
        <w:tabs>
          <w:tab w:val="left" w:pos="753"/>
        </w:tabs>
        <w:adjustRightInd w:val="0"/>
        <w:snapToGrid w:val="0"/>
        <w:spacing w:line="360" w:lineRule="auto"/>
        <w:ind w:left="751" w:leftChars="1" w:hanging="749" w:hangingChars="357"/>
        <w:rPr>
          <w:rFonts w:ascii="宋体" w:hAnsi="宋体"/>
          <w:bCs/>
          <w:color w:val="auto"/>
          <w:szCs w:val="21"/>
          <w:highlight w:val="none"/>
        </w:rPr>
      </w:pPr>
      <w:r>
        <w:rPr>
          <w:rFonts w:hint="eastAsia" w:ascii="宋体" w:hAnsi="宋体"/>
          <w:bCs/>
          <w:color w:val="auto"/>
          <w:szCs w:val="21"/>
          <w:highlight w:val="none"/>
        </w:rPr>
        <w:t>19.2</w:t>
      </w:r>
      <w:r>
        <w:rPr>
          <w:rFonts w:hint="eastAsia" w:ascii="宋体" w:hAnsi="宋体"/>
          <w:bCs/>
          <w:color w:val="auto"/>
          <w:szCs w:val="21"/>
          <w:highlight w:val="none"/>
        </w:rPr>
        <w:tab/>
      </w:r>
      <w:r>
        <w:rPr>
          <w:rFonts w:hint="eastAsia" w:ascii="宋体" w:hAnsi="宋体"/>
          <w:bCs/>
          <w:color w:val="auto"/>
          <w:szCs w:val="21"/>
          <w:highlight w:val="none"/>
        </w:rPr>
        <w:t>代理采购机构于投标截止时间前30分钟开始接收谈判响应文件，并于谈判文件规定的谈判时间和谈判地点进行谈判。提前、逾期递交或递交不符合规定的谈判响应文件恕不接受。</w:t>
      </w:r>
    </w:p>
    <w:p>
      <w:pPr>
        <w:pStyle w:val="6"/>
        <w:spacing w:line="360" w:lineRule="auto"/>
        <w:rPr>
          <w:rFonts w:ascii="宋体" w:hAnsi="宋体"/>
          <w:color w:val="auto"/>
          <w:sz w:val="21"/>
          <w:szCs w:val="21"/>
          <w:highlight w:val="none"/>
        </w:rPr>
      </w:pPr>
      <w:bookmarkStart w:id="123" w:name="_Toc367780326"/>
      <w:bookmarkStart w:id="124" w:name="_Toc10116"/>
      <w:r>
        <w:rPr>
          <w:rFonts w:ascii="宋体" w:hAnsi="宋体"/>
          <w:color w:val="auto"/>
          <w:sz w:val="21"/>
          <w:szCs w:val="21"/>
          <w:highlight w:val="none"/>
        </w:rPr>
        <w:t>20</w:t>
      </w:r>
      <w:r>
        <w:rPr>
          <w:rFonts w:hint="eastAsia" w:ascii="宋体" w:hAnsi="宋体"/>
          <w:color w:val="auto"/>
          <w:sz w:val="21"/>
          <w:szCs w:val="21"/>
          <w:highlight w:val="none"/>
        </w:rPr>
        <w:tab/>
      </w:r>
      <w:r>
        <w:rPr>
          <w:rFonts w:hint="eastAsia" w:ascii="宋体" w:hAnsi="宋体"/>
          <w:color w:val="auto"/>
          <w:sz w:val="21"/>
          <w:szCs w:val="21"/>
          <w:highlight w:val="none"/>
        </w:rPr>
        <w:t>迟交的谈判响应文件</w:t>
      </w:r>
      <w:bookmarkEnd w:id="123"/>
      <w:bookmarkEnd w:id="124"/>
    </w:p>
    <w:p>
      <w:pPr>
        <w:widowControl/>
        <w:tabs>
          <w:tab w:val="left" w:pos="753"/>
        </w:tabs>
        <w:adjustRightInd w:val="0"/>
        <w:snapToGrid w:val="0"/>
        <w:spacing w:line="360" w:lineRule="auto"/>
        <w:ind w:left="751" w:leftChars="1" w:hanging="749" w:hangingChars="357"/>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0</w:t>
      </w:r>
      <w:r>
        <w:rPr>
          <w:rFonts w:ascii="宋体" w:hAnsi="宋体"/>
          <w:bCs/>
          <w:color w:val="auto"/>
          <w:szCs w:val="21"/>
          <w:highlight w:val="none"/>
        </w:rPr>
        <w:t>.1</w:t>
      </w:r>
      <w:r>
        <w:rPr>
          <w:rFonts w:hint="eastAsia" w:ascii="宋体" w:hAnsi="宋体"/>
          <w:bCs/>
          <w:color w:val="auto"/>
          <w:szCs w:val="21"/>
          <w:highlight w:val="none"/>
        </w:rPr>
        <w:tab/>
      </w:r>
      <w:r>
        <w:rPr>
          <w:rFonts w:hint="eastAsia" w:ascii="宋体" w:hAnsi="宋体"/>
          <w:bCs/>
          <w:color w:val="auto"/>
          <w:szCs w:val="21"/>
          <w:highlight w:val="none"/>
        </w:rPr>
        <w:t>代理采购机构将拒绝在谈判截止时间后送达的谈判响应文件。</w:t>
      </w:r>
    </w:p>
    <w:p>
      <w:pPr>
        <w:pStyle w:val="6"/>
        <w:spacing w:line="360" w:lineRule="auto"/>
        <w:rPr>
          <w:rFonts w:ascii="宋体" w:hAnsi="宋体"/>
          <w:color w:val="auto"/>
          <w:sz w:val="21"/>
          <w:szCs w:val="21"/>
          <w:highlight w:val="none"/>
        </w:rPr>
      </w:pPr>
      <w:bookmarkStart w:id="125" w:name="_Toc367780327"/>
      <w:bookmarkStart w:id="126" w:name="_Toc26081"/>
      <w:r>
        <w:rPr>
          <w:rFonts w:ascii="宋体" w:hAnsi="宋体"/>
          <w:color w:val="auto"/>
          <w:sz w:val="21"/>
          <w:szCs w:val="21"/>
          <w:highlight w:val="none"/>
        </w:rPr>
        <w:t>21</w:t>
      </w:r>
      <w:r>
        <w:rPr>
          <w:rFonts w:hint="eastAsia" w:ascii="宋体" w:hAnsi="宋体"/>
          <w:color w:val="auto"/>
          <w:sz w:val="21"/>
          <w:szCs w:val="21"/>
          <w:highlight w:val="none"/>
        </w:rPr>
        <w:tab/>
      </w:r>
      <w:r>
        <w:rPr>
          <w:rFonts w:hint="eastAsia" w:ascii="宋体" w:hAnsi="宋体"/>
          <w:color w:val="auto"/>
          <w:sz w:val="21"/>
          <w:szCs w:val="21"/>
          <w:highlight w:val="none"/>
        </w:rPr>
        <w:t>谈判响应文件的修改和撤回</w:t>
      </w:r>
      <w:bookmarkEnd w:id="125"/>
      <w:bookmarkEnd w:id="126"/>
    </w:p>
    <w:p>
      <w:pPr>
        <w:widowControl/>
        <w:tabs>
          <w:tab w:val="left" w:pos="753"/>
        </w:tabs>
        <w:adjustRightInd w:val="0"/>
        <w:snapToGrid w:val="0"/>
        <w:spacing w:line="360" w:lineRule="auto"/>
        <w:ind w:left="751" w:leftChars="1" w:hanging="749" w:hangingChars="357"/>
        <w:rPr>
          <w:rFonts w:ascii="宋体" w:hAnsi="宋体"/>
          <w:bCs/>
          <w:color w:val="auto"/>
          <w:szCs w:val="21"/>
          <w:highlight w:val="none"/>
        </w:rPr>
      </w:pPr>
      <w:r>
        <w:rPr>
          <w:rFonts w:ascii="宋体" w:hAnsi="宋体"/>
          <w:bCs/>
          <w:color w:val="auto"/>
          <w:szCs w:val="21"/>
          <w:highlight w:val="none"/>
        </w:rPr>
        <w:t>21.1</w:t>
      </w:r>
      <w:r>
        <w:rPr>
          <w:rFonts w:hint="eastAsia" w:ascii="宋体" w:hAnsi="宋体"/>
          <w:bCs/>
          <w:color w:val="auto"/>
          <w:szCs w:val="21"/>
          <w:highlight w:val="none"/>
        </w:rPr>
        <w:tab/>
      </w:r>
      <w:r>
        <w:rPr>
          <w:rFonts w:hint="eastAsia" w:ascii="宋体" w:hAnsi="宋体"/>
          <w:bCs/>
          <w:color w:val="auto"/>
          <w:szCs w:val="21"/>
          <w:highlight w:val="none"/>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pPr>
        <w:widowControl/>
        <w:tabs>
          <w:tab w:val="left" w:pos="753"/>
        </w:tabs>
        <w:adjustRightInd w:val="0"/>
        <w:snapToGrid w:val="0"/>
        <w:spacing w:line="360" w:lineRule="auto"/>
        <w:ind w:left="751" w:leftChars="1" w:hanging="749" w:hangingChars="357"/>
        <w:rPr>
          <w:rFonts w:ascii="宋体" w:hAnsi="宋体"/>
          <w:bCs/>
          <w:color w:val="auto"/>
          <w:szCs w:val="21"/>
          <w:highlight w:val="none"/>
        </w:rPr>
      </w:pPr>
      <w:r>
        <w:rPr>
          <w:rFonts w:ascii="宋体" w:hAnsi="宋体"/>
          <w:bCs/>
          <w:color w:val="auto"/>
          <w:szCs w:val="21"/>
          <w:highlight w:val="none"/>
        </w:rPr>
        <w:t>21.2</w:t>
      </w:r>
      <w:r>
        <w:rPr>
          <w:rFonts w:hint="eastAsia" w:ascii="宋体" w:hAnsi="宋体"/>
          <w:bCs/>
          <w:color w:val="auto"/>
          <w:szCs w:val="21"/>
          <w:highlight w:val="none"/>
        </w:rPr>
        <w:tab/>
      </w:r>
      <w:r>
        <w:rPr>
          <w:rFonts w:hint="eastAsia" w:ascii="宋体" w:hAnsi="宋体"/>
          <w:bCs/>
          <w:color w:val="auto"/>
          <w:szCs w:val="21"/>
          <w:highlight w:val="none"/>
        </w:rPr>
        <w:t>供应商对谈判响应文件修改的书面材料或撤销的通知应注明“修改谈判响应文件”或“撤销谈判”字样。</w:t>
      </w:r>
    </w:p>
    <w:p>
      <w:pPr>
        <w:widowControl/>
        <w:tabs>
          <w:tab w:val="left" w:pos="753"/>
        </w:tabs>
        <w:adjustRightInd w:val="0"/>
        <w:snapToGrid w:val="0"/>
        <w:spacing w:line="360" w:lineRule="auto"/>
        <w:ind w:left="751" w:leftChars="1" w:hanging="749" w:hangingChars="357"/>
        <w:rPr>
          <w:rFonts w:ascii="宋体" w:hAnsi="宋体"/>
          <w:bCs/>
          <w:color w:val="auto"/>
          <w:szCs w:val="21"/>
          <w:highlight w:val="none"/>
        </w:rPr>
      </w:pPr>
      <w:r>
        <w:rPr>
          <w:rFonts w:ascii="宋体" w:hAnsi="宋体"/>
          <w:bCs/>
          <w:color w:val="auto"/>
          <w:szCs w:val="21"/>
          <w:highlight w:val="none"/>
        </w:rPr>
        <w:t>21.3</w:t>
      </w:r>
      <w:r>
        <w:rPr>
          <w:rFonts w:hint="eastAsia" w:ascii="宋体" w:hAnsi="宋体"/>
          <w:bCs/>
          <w:color w:val="auto"/>
          <w:szCs w:val="21"/>
          <w:highlight w:val="none"/>
        </w:rPr>
        <w:tab/>
      </w:r>
      <w:r>
        <w:rPr>
          <w:rFonts w:hint="eastAsia" w:ascii="宋体" w:hAnsi="宋体"/>
          <w:bCs/>
          <w:color w:val="auto"/>
          <w:szCs w:val="21"/>
          <w:highlight w:val="none"/>
        </w:rPr>
        <w:t>从谈判截止时间至谈判有效期期满之前，供应商不得撤回其报价资料，否则代理采购机构将按规定没收其谈判保证金。</w:t>
      </w:r>
    </w:p>
    <w:p>
      <w:pPr>
        <w:pStyle w:val="5"/>
        <w:numPr>
          <w:ilvl w:val="1"/>
          <w:numId w:val="0"/>
        </w:numPr>
        <w:spacing w:before="240" w:after="240" w:line="360" w:lineRule="auto"/>
        <w:rPr>
          <w:rFonts w:ascii="宋体" w:hAnsi="宋体" w:eastAsia="宋体"/>
          <w:color w:val="auto"/>
          <w:sz w:val="21"/>
          <w:szCs w:val="21"/>
          <w:highlight w:val="none"/>
        </w:rPr>
      </w:pPr>
      <w:bookmarkStart w:id="127" w:name="_Toc11372"/>
      <w:bookmarkStart w:id="128" w:name="_Toc367780328"/>
      <w:r>
        <w:rPr>
          <w:rFonts w:hint="eastAsia" w:ascii="宋体" w:hAnsi="宋体" w:eastAsia="宋体"/>
          <w:color w:val="auto"/>
          <w:sz w:val="21"/>
          <w:szCs w:val="21"/>
          <w:highlight w:val="none"/>
        </w:rPr>
        <w:t>Ｅ竞争性谈判采购程序</w:t>
      </w:r>
      <w:bookmarkEnd w:id="127"/>
      <w:bookmarkEnd w:id="128"/>
    </w:p>
    <w:p>
      <w:pPr>
        <w:pStyle w:val="6"/>
        <w:spacing w:line="360" w:lineRule="auto"/>
        <w:rPr>
          <w:rFonts w:ascii="宋体" w:hAnsi="宋体"/>
          <w:color w:val="auto"/>
          <w:sz w:val="21"/>
          <w:szCs w:val="21"/>
          <w:highlight w:val="none"/>
        </w:rPr>
      </w:pPr>
      <w:bookmarkStart w:id="129" w:name="_Toc11477"/>
      <w:bookmarkStart w:id="130" w:name="_Toc367780329"/>
      <w:r>
        <w:rPr>
          <w:rFonts w:ascii="宋体" w:hAnsi="宋体"/>
          <w:color w:val="auto"/>
          <w:sz w:val="21"/>
          <w:szCs w:val="21"/>
          <w:highlight w:val="none"/>
        </w:rPr>
        <w:t>22</w:t>
      </w:r>
      <w:r>
        <w:rPr>
          <w:rFonts w:hint="eastAsia" w:ascii="宋体" w:hAnsi="宋体"/>
          <w:color w:val="auto"/>
          <w:sz w:val="21"/>
          <w:szCs w:val="21"/>
          <w:highlight w:val="none"/>
        </w:rPr>
        <w:tab/>
      </w:r>
      <w:r>
        <w:rPr>
          <w:rFonts w:hint="eastAsia" w:ascii="宋体" w:hAnsi="宋体"/>
          <w:color w:val="auto"/>
          <w:sz w:val="21"/>
          <w:szCs w:val="21"/>
          <w:highlight w:val="none"/>
        </w:rPr>
        <w:t>接收谈判响应文件</w:t>
      </w:r>
      <w:bookmarkEnd w:id="129"/>
      <w:bookmarkEnd w:id="130"/>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22.1</w:t>
      </w:r>
      <w:r>
        <w:rPr>
          <w:rFonts w:hint="eastAsia" w:ascii="宋体" w:hAnsi="宋体"/>
          <w:bCs/>
          <w:color w:val="auto"/>
          <w:szCs w:val="21"/>
          <w:highlight w:val="none"/>
        </w:rPr>
        <w:tab/>
      </w:r>
      <w:r>
        <w:rPr>
          <w:rFonts w:hint="eastAsia" w:ascii="宋体" w:hAnsi="宋体"/>
          <w:bCs/>
          <w:color w:val="auto"/>
          <w:szCs w:val="21"/>
          <w:highlight w:val="none"/>
        </w:rPr>
        <w:t>代理采购机构在谈判文件中规定的时间和地点公开接收谈判响应文件。</w:t>
      </w:r>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22.2</w:t>
      </w:r>
      <w:r>
        <w:rPr>
          <w:rFonts w:hint="eastAsia" w:ascii="宋体" w:hAnsi="宋体"/>
          <w:bCs/>
          <w:color w:val="auto"/>
          <w:szCs w:val="21"/>
          <w:highlight w:val="none"/>
        </w:rPr>
        <w:tab/>
      </w:r>
      <w:r>
        <w:rPr>
          <w:rFonts w:hint="eastAsia" w:ascii="宋体" w:hAnsi="宋体"/>
          <w:bCs/>
          <w:color w:val="auto"/>
          <w:szCs w:val="21"/>
          <w:highlight w:val="none"/>
        </w:rPr>
        <w:tab/>
      </w:r>
      <w:r>
        <w:rPr>
          <w:rFonts w:hint="eastAsia" w:ascii="宋体" w:hAnsi="宋体"/>
          <w:bCs/>
          <w:color w:val="auto"/>
          <w:szCs w:val="21"/>
          <w:highlight w:val="none"/>
        </w:rPr>
        <w:t>竞争性谈判的第一次投报价格不作公开唱标。</w:t>
      </w:r>
    </w:p>
    <w:p>
      <w:pPr>
        <w:pStyle w:val="6"/>
        <w:spacing w:line="360" w:lineRule="auto"/>
        <w:rPr>
          <w:rFonts w:ascii="宋体" w:hAnsi="宋体"/>
          <w:color w:val="auto"/>
          <w:sz w:val="21"/>
          <w:szCs w:val="21"/>
          <w:highlight w:val="none"/>
        </w:rPr>
      </w:pPr>
      <w:bookmarkStart w:id="131" w:name="_Toc25768"/>
      <w:bookmarkStart w:id="132" w:name="_Toc367780330"/>
      <w:r>
        <w:rPr>
          <w:rFonts w:ascii="宋体" w:hAnsi="宋体"/>
          <w:color w:val="auto"/>
          <w:sz w:val="21"/>
          <w:szCs w:val="21"/>
          <w:highlight w:val="none"/>
        </w:rPr>
        <w:t>23</w:t>
      </w:r>
      <w:r>
        <w:rPr>
          <w:rFonts w:hint="eastAsia" w:ascii="宋体" w:hAnsi="宋体"/>
          <w:color w:val="auto"/>
          <w:sz w:val="21"/>
          <w:szCs w:val="21"/>
          <w:highlight w:val="none"/>
        </w:rPr>
        <w:tab/>
      </w:r>
      <w:r>
        <w:rPr>
          <w:rFonts w:hint="eastAsia" w:ascii="宋体" w:hAnsi="宋体"/>
          <w:color w:val="auto"/>
          <w:sz w:val="21"/>
          <w:szCs w:val="21"/>
          <w:highlight w:val="none"/>
        </w:rPr>
        <w:t>谈判小组</w:t>
      </w:r>
      <w:bookmarkEnd w:id="131"/>
      <w:bookmarkEnd w:id="132"/>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23.1</w:t>
      </w:r>
      <w:r>
        <w:rPr>
          <w:rFonts w:hint="eastAsia" w:ascii="宋体" w:hAnsi="宋体"/>
          <w:bCs/>
          <w:color w:val="auto"/>
          <w:szCs w:val="21"/>
          <w:highlight w:val="none"/>
        </w:rPr>
        <w:tab/>
      </w:r>
      <w:r>
        <w:rPr>
          <w:rFonts w:hint="eastAsia" w:ascii="宋体" w:hAnsi="宋体"/>
          <w:bCs/>
          <w:color w:val="auto"/>
          <w:szCs w:val="21"/>
          <w:highlight w:val="none"/>
        </w:rPr>
        <w:t>谈判由代理采购机构依法组建的谈判小组:</w:t>
      </w:r>
      <w:r>
        <w:rPr>
          <w:rFonts w:hint="eastAsia" w:ascii="黑体" w:eastAsia="黑体"/>
          <w:bCs/>
          <w:color w:val="auto"/>
          <w:highlight w:val="none"/>
        </w:rPr>
        <w:t>详见第三部份《报价须知〈投标人须知前附表〉》</w:t>
      </w:r>
      <w:r>
        <w:rPr>
          <w:rFonts w:hint="eastAsia" w:ascii="宋体" w:hAnsi="宋体"/>
          <w:color w:val="auto"/>
          <w:szCs w:val="21"/>
          <w:highlight w:val="none"/>
        </w:rPr>
        <w:t>。</w:t>
      </w:r>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23.2</w:t>
      </w:r>
      <w:r>
        <w:rPr>
          <w:rFonts w:hint="eastAsia" w:ascii="宋体" w:hAnsi="宋体"/>
          <w:bCs/>
          <w:color w:val="auto"/>
          <w:szCs w:val="21"/>
          <w:highlight w:val="none"/>
        </w:rPr>
        <w:tab/>
      </w:r>
      <w:r>
        <w:rPr>
          <w:rFonts w:hint="eastAsia" w:ascii="宋体" w:hAnsi="宋体"/>
          <w:bCs/>
          <w:color w:val="auto"/>
          <w:szCs w:val="21"/>
          <w:highlight w:val="none"/>
        </w:rPr>
        <w:t>谈判小组专家由政府采购管理部门在专家库中，按照采购活动的特点和需要随机抽取产生。</w:t>
      </w:r>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23.3</w:t>
      </w:r>
      <w:r>
        <w:rPr>
          <w:rFonts w:hint="eastAsia" w:ascii="宋体" w:hAnsi="宋体"/>
          <w:bCs/>
          <w:color w:val="auto"/>
          <w:szCs w:val="21"/>
          <w:highlight w:val="none"/>
        </w:rPr>
        <w:tab/>
      </w:r>
      <w:r>
        <w:rPr>
          <w:rFonts w:hint="eastAsia" w:ascii="宋体" w:hAnsi="宋体"/>
          <w:bCs/>
          <w:color w:val="auto"/>
          <w:szCs w:val="21"/>
          <w:highlight w:val="none"/>
        </w:rPr>
        <w:t>谈判小组专家与供应商有利害关系的不能进入谈判小组，已经进入的将予以更换。谈判小组专家名单在确定成交供应商之前严格保密。</w:t>
      </w:r>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23.4</w:t>
      </w:r>
      <w:r>
        <w:rPr>
          <w:rFonts w:hint="eastAsia" w:ascii="宋体" w:hAnsi="宋体"/>
          <w:bCs/>
          <w:color w:val="auto"/>
          <w:szCs w:val="21"/>
          <w:highlight w:val="none"/>
        </w:rPr>
        <w:tab/>
      </w:r>
      <w:r>
        <w:rPr>
          <w:rFonts w:hint="eastAsia" w:ascii="宋体" w:hAnsi="宋体"/>
          <w:bCs/>
          <w:color w:val="auto"/>
          <w:szCs w:val="21"/>
          <w:highlight w:val="none"/>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pPr>
        <w:pStyle w:val="6"/>
        <w:spacing w:line="360" w:lineRule="auto"/>
        <w:rPr>
          <w:rFonts w:ascii="宋体" w:hAnsi="宋体"/>
          <w:color w:val="auto"/>
          <w:sz w:val="21"/>
          <w:szCs w:val="21"/>
          <w:highlight w:val="none"/>
        </w:rPr>
      </w:pPr>
      <w:bookmarkStart w:id="133" w:name="_Toc12919"/>
      <w:bookmarkStart w:id="134" w:name="_Toc367780331"/>
      <w:r>
        <w:rPr>
          <w:rFonts w:ascii="宋体" w:hAnsi="宋体"/>
          <w:color w:val="auto"/>
          <w:sz w:val="21"/>
          <w:szCs w:val="21"/>
          <w:highlight w:val="none"/>
        </w:rPr>
        <w:t>2</w:t>
      </w:r>
      <w:r>
        <w:rPr>
          <w:rFonts w:hint="eastAsia" w:ascii="宋体" w:hAnsi="宋体"/>
          <w:color w:val="auto"/>
          <w:sz w:val="21"/>
          <w:szCs w:val="21"/>
          <w:highlight w:val="none"/>
        </w:rPr>
        <w:t>4</w:t>
      </w:r>
      <w:r>
        <w:rPr>
          <w:rFonts w:hint="eastAsia" w:ascii="宋体" w:hAnsi="宋体"/>
          <w:color w:val="auto"/>
          <w:sz w:val="21"/>
          <w:szCs w:val="21"/>
          <w:highlight w:val="none"/>
        </w:rPr>
        <w:tab/>
      </w:r>
      <w:r>
        <w:rPr>
          <w:rFonts w:hint="eastAsia" w:ascii="宋体" w:hAnsi="宋体"/>
          <w:color w:val="auto"/>
          <w:sz w:val="21"/>
          <w:szCs w:val="21"/>
          <w:highlight w:val="none"/>
        </w:rPr>
        <w:t>对谈判响应文件的初审</w:t>
      </w:r>
      <w:bookmarkEnd w:id="133"/>
      <w:bookmarkEnd w:id="134"/>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24.1</w:t>
      </w:r>
      <w:r>
        <w:rPr>
          <w:rFonts w:hint="eastAsia" w:ascii="宋体" w:hAnsi="宋体"/>
          <w:bCs/>
          <w:color w:val="auto"/>
          <w:szCs w:val="21"/>
          <w:highlight w:val="none"/>
        </w:rPr>
        <w:tab/>
      </w:r>
      <w:r>
        <w:rPr>
          <w:rFonts w:hint="eastAsia" w:ascii="宋体" w:hAnsi="宋体"/>
          <w:bCs/>
          <w:color w:val="auto"/>
          <w:szCs w:val="21"/>
          <w:highlight w:val="none"/>
        </w:rPr>
        <w:t>代理采购机构将组织谈判小组审查谈判响应文件是否完整，有无明显的计算错误，文件签署是否合格，证明文件是否齐全，谈判响应文件的编排是否有序，要求的保证金是否已递交。</w:t>
      </w:r>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24.2</w:t>
      </w:r>
      <w:r>
        <w:rPr>
          <w:rFonts w:hint="eastAsia" w:ascii="宋体" w:hAnsi="宋体"/>
          <w:bCs/>
          <w:color w:val="auto"/>
          <w:szCs w:val="21"/>
          <w:highlight w:val="none"/>
        </w:rPr>
        <w:tab/>
      </w:r>
      <w:r>
        <w:rPr>
          <w:rFonts w:hint="eastAsia" w:ascii="宋体" w:hAnsi="宋体"/>
          <w:bCs/>
          <w:color w:val="auto"/>
          <w:szCs w:val="21"/>
          <w:highlight w:val="none"/>
        </w:rPr>
        <w:t>在对谈判响应文件进行详细评审之前，谈判小组将依据谈判文件中规定的合格供应商应提交的“资格审查文件”文件是否通过符合性审查。如果确定供应商无资格履行合同，将拒绝其参加谈判。</w:t>
      </w:r>
    </w:p>
    <w:p>
      <w:pPr>
        <w:pStyle w:val="6"/>
        <w:spacing w:line="360" w:lineRule="auto"/>
        <w:rPr>
          <w:rFonts w:ascii="宋体" w:hAnsi="宋体"/>
          <w:color w:val="auto"/>
          <w:sz w:val="21"/>
          <w:szCs w:val="21"/>
          <w:highlight w:val="none"/>
        </w:rPr>
      </w:pPr>
      <w:bookmarkStart w:id="135" w:name="_Toc18402"/>
      <w:bookmarkStart w:id="136" w:name="_Toc367780332"/>
      <w:r>
        <w:rPr>
          <w:rFonts w:hint="eastAsia" w:ascii="宋体" w:hAnsi="宋体"/>
          <w:color w:val="auto"/>
          <w:sz w:val="21"/>
          <w:szCs w:val="21"/>
          <w:highlight w:val="none"/>
        </w:rPr>
        <w:t>25</w:t>
      </w:r>
      <w:r>
        <w:rPr>
          <w:rFonts w:hint="eastAsia" w:ascii="宋体" w:hAnsi="宋体"/>
          <w:color w:val="auto"/>
          <w:sz w:val="21"/>
          <w:szCs w:val="21"/>
          <w:highlight w:val="none"/>
        </w:rPr>
        <w:tab/>
      </w:r>
      <w:r>
        <w:rPr>
          <w:rFonts w:hint="eastAsia" w:ascii="宋体" w:hAnsi="宋体"/>
          <w:color w:val="auto"/>
          <w:sz w:val="21"/>
          <w:szCs w:val="21"/>
          <w:highlight w:val="none"/>
        </w:rPr>
        <w:t>谈判报价的审核</w:t>
      </w:r>
      <w:bookmarkEnd w:id="135"/>
      <w:bookmarkEnd w:id="136"/>
    </w:p>
    <w:p>
      <w:pPr>
        <w:tabs>
          <w:tab w:val="left" w:pos="753"/>
        </w:tabs>
        <w:adjustRightInd w:val="0"/>
        <w:snapToGrid w:val="0"/>
        <w:spacing w:line="360" w:lineRule="auto"/>
        <w:ind w:left="751" w:leftChars="1" w:hanging="749" w:hangingChars="357"/>
        <w:rPr>
          <w:rFonts w:ascii="宋体" w:hAnsi="宋体"/>
          <w:bCs/>
          <w:color w:val="auto"/>
          <w:szCs w:val="21"/>
          <w:highlight w:val="none"/>
        </w:rPr>
      </w:pPr>
      <w:r>
        <w:rPr>
          <w:rFonts w:hint="eastAsia" w:ascii="宋体" w:hAnsi="宋体"/>
          <w:bCs/>
          <w:color w:val="auto"/>
          <w:szCs w:val="21"/>
          <w:highlight w:val="none"/>
        </w:rPr>
        <w:t>25.1</w:t>
      </w:r>
      <w:r>
        <w:rPr>
          <w:rFonts w:hint="eastAsia" w:ascii="宋体" w:hAnsi="宋体"/>
          <w:bCs/>
          <w:color w:val="auto"/>
          <w:szCs w:val="21"/>
          <w:highlight w:val="none"/>
        </w:rPr>
        <w:tab/>
      </w:r>
      <w:r>
        <w:rPr>
          <w:rFonts w:hint="eastAsia" w:ascii="宋体" w:hAnsi="宋体"/>
          <w:bCs/>
          <w:color w:val="auto"/>
          <w:szCs w:val="21"/>
          <w:highlight w:val="none"/>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pPr>
        <w:pStyle w:val="6"/>
        <w:spacing w:line="360" w:lineRule="auto"/>
        <w:rPr>
          <w:rFonts w:ascii="宋体" w:hAnsi="宋体"/>
          <w:color w:val="auto"/>
          <w:sz w:val="21"/>
          <w:szCs w:val="21"/>
          <w:highlight w:val="none"/>
        </w:rPr>
      </w:pPr>
      <w:bookmarkStart w:id="137" w:name="_Toc367780333"/>
      <w:bookmarkStart w:id="138" w:name="_Toc12040"/>
      <w:r>
        <w:rPr>
          <w:rFonts w:ascii="宋体" w:hAnsi="宋体"/>
          <w:color w:val="auto"/>
          <w:sz w:val="21"/>
          <w:szCs w:val="21"/>
          <w:highlight w:val="none"/>
        </w:rPr>
        <w:t>2</w:t>
      </w:r>
      <w:r>
        <w:rPr>
          <w:rFonts w:hint="eastAsia" w:ascii="宋体" w:hAnsi="宋体"/>
          <w:color w:val="auto"/>
          <w:sz w:val="21"/>
          <w:szCs w:val="21"/>
          <w:highlight w:val="none"/>
        </w:rPr>
        <w:t>6</w:t>
      </w:r>
      <w:r>
        <w:rPr>
          <w:rFonts w:hint="eastAsia" w:ascii="宋体" w:hAnsi="宋体"/>
          <w:color w:val="auto"/>
          <w:sz w:val="21"/>
          <w:szCs w:val="21"/>
          <w:highlight w:val="none"/>
        </w:rPr>
        <w:tab/>
      </w:r>
      <w:r>
        <w:rPr>
          <w:rFonts w:hint="eastAsia" w:ascii="宋体" w:hAnsi="宋体"/>
          <w:color w:val="auto"/>
          <w:sz w:val="21"/>
          <w:szCs w:val="21"/>
          <w:highlight w:val="none"/>
        </w:rPr>
        <w:t>谈判</w:t>
      </w:r>
      <w:bookmarkEnd w:id="137"/>
      <w:bookmarkEnd w:id="138"/>
    </w:p>
    <w:p>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r>
        <w:rPr>
          <w:rFonts w:hint="eastAsia" w:ascii="宋体" w:hAnsi="宋体"/>
          <w:color w:val="auto"/>
          <w:szCs w:val="21"/>
          <w:highlight w:val="none"/>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pPr>
        <w:widowControl/>
        <w:tabs>
          <w:tab w:val="left" w:pos="753"/>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26.2 </w:t>
      </w:r>
      <w:r>
        <w:rPr>
          <w:rFonts w:hint="eastAsia" w:ascii="宋体" w:hAnsi="宋体"/>
          <w:color w:val="auto"/>
          <w:szCs w:val="21"/>
          <w:highlight w:val="none"/>
        </w:rPr>
        <w:tab/>
      </w:r>
      <w:r>
        <w:rPr>
          <w:rFonts w:hint="eastAsia" w:ascii="宋体" w:hAnsi="宋体"/>
          <w:color w:val="auto"/>
          <w:szCs w:val="21"/>
          <w:highlight w:val="none"/>
        </w:rPr>
        <w:t>谈判中的双方都应对谈判中的重要事项做详细记录。</w:t>
      </w:r>
    </w:p>
    <w:p>
      <w:pPr>
        <w:widowControl/>
        <w:tabs>
          <w:tab w:val="left" w:pos="753"/>
        </w:tabs>
        <w:adjustRightInd w:val="0"/>
        <w:snapToGrid w:val="0"/>
        <w:spacing w:line="360" w:lineRule="auto"/>
        <w:ind w:left="751" w:leftChars="1" w:hanging="749" w:hangingChars="357"/>
        <w:rPr>
          <w:rFonts w:ascii="宋体" w:hAnsi="宋体"/>
          <w:bCs/>
          <w:color w:val="auto"/>
          <w:szCs w:val="21"/>
          <w:highlight w:val="none"/>
        </w:rPr>
      </w:pPr>
      <w:r>
        <w:rPr>
          <w:rFonts w:hint="eastAsia" w:ascii="宋体" w:hAnsi="宋体"/>
          <w:color w:val="auto"/>
          <w:szCs w:val="21"/>
          <w:highlight w:val="none"/>
        </w:rPr>
        <w:t>26.3</w:t>
      </w:r>
      <w:r>
        <w:rPr>
          <w:rFonts w:hint="eastAsia" w:ascii="宋体" w:hAnsi="宋体"/>
          <w:color w:val="auto"/>
          <w:szCs w:val="21"/>
          <w:highlight w:val="none"/>
        </w:rPr>
        <w:tab/>
      </w:r>
      <w:r>
        <w:rPr>
          <w:rFonts w:hint="eastAsia" w:ascii="宋体" w:hAnsi="宋体"/>
          <w:color w:val="auto"/>
          <w:szCs w:val="21"/>
          <w:highlight w:val="none"/>
        </w:rPr>
        <w:t>谈判过程中，谈判小组向参加谈判的供应商提出疑问或要求，供应商必须在规定的时间内做出澄清并提交书面的承诺</w:t>
      </w:r>
      <w:r>
        <w:rPr>
          <w:rFonts w:hint="eastAsia" w:ascii="宋体" w:hAnsi="宋体"/>
          <w:bCs/>
          <w:color w:val="auto"/>
          <w:szCs w:val="21"/>
          <w:highlight w:val="none"/>
        </w:rPr>
        <w:t>。</w:t>
      </w:r>
    </w:p>
    <w:p>
      <w:pPr>
        <w:pStyle w:val="22"/>
        <w:widowControl/>
        <w:tabs>
          <w:tab w:val="left" w:pos="753"/>
        </w:tabs>
        <w:adjustRightInd w:val="0"/>
        <w:snapToGrid w:val="0"/>
        <w:spacing w:line="360" w:lineRule="auto"/>
        <w:ind w:left="751" w:leftChars="1" w:hanging="749" w:hangingChars="357"/>
        <w:rPr>
          <w:rFonts w:hAnsi="宋体"/>
          <w:color w:val="auto"/>
          <w:highlight w:val="none"/>
        </w:rPr>
      </w:pPr>
      <w:r>
        <w:rPr>
          <w:rFonts w:hint="eastAsia" w:hAnsi="宋体"/>
          <w:color w:val="auto"/>
          <w:highlight w:val="none"/>
        </w:rPr>
        <w:t>26.4</w:t>
      </w:r>
      <w:r>
        <w:rPr>
          <w:rFonts w:hint="eastAsia" w:hAnsi="宋体"/>
          <w:color w:val="auto"/>
          <w:highlight w:val="none"/>
        </w:rPr>
        <w:tab/>
      </w:r>
      <w:r>
        <w:rPr>
          <w:rFonts w:hint="eastAsia" w:hAnsi="宋体"/>
          <w:color w:val="auto"/>
          <w:highlight w:val="none"/>
        </w:rPr>
        <w:t>代理采购机构将在谈判时对供应商所作的解释和澄清作书面记录，并归档备查。</w:t>
      </w:r>
    </w:p>
    <w:p>
      <w:pPr>
        <w:pStyle w:val="6"/>
        <w:spacing w:line="360" w:lineRule="auto"/>
        <w:rPr>
          <w:rFonts w:ascii="宋体" w:hAnsi="宋体"/>
          <w:color w:val="auto"/>
          <w:sz w:val="21"/>
          <w:szCs w:val="21"/>
          <w:highlight w:val="none"/>
        </w:rPr>
      </w:pPr>
      <w:bookmarkStart w:id="139" w:name="_Toc367780334"/>
      <w:bookmarkStart w:id="140" w:name="_Toc22417"/>
      <w:r>
        <w:rPr>
          <w:rFonts w:ascii="宋体" w:hAnsi="宋体"/>
          <w:color w:val="auto"/>
          <w:sz w:val="21"/>
          <w:szCs w:val="21"/>
          <w:highlight w:val="none"/>
        </w:rPr>
        <w:t>27</w:t>
      </w:r>
      <w:r>
        <w:rPr>
          <w:rFonts w:hint="eastAsia" w:ascii="宋体" w:hAnsi="宋体"/>
          <w:color w:val="auto"/>
          <w:sz w:val="21"/>
          <w:szCs w:val="21"/>
          <w:highlight w:val="none"/>
        </w:rPr>
        <w:tab/>
      </w:r>
      <w:r>
        <w:rPr>
          <w:rFonts w:hint="eastAsia" w:ascii="宋体" w:hAnsi="宋体"/>
          <w:color w:val="auto"/>
          <w:sz w:val="21"/>
          <w:szCs w:val="21"/>
          <w:highlight w:val="none"/>
        </w:rPr>
        <w:t>评审原则</w:t>
      </w:r>
      <w:bookmarkEnd w:id="139"/>
      <w:bookmarkEnd w:id="140"/>
    </w:p>
    <w:p>
      <w:pPr>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27.1</w:t>
      </w:r>
      <w:r>
        <w:rPr>
          <w:rFonts w:hint="eastAsia" w:ascii="宋体" w:hAnsi="宋体"/>
          <w:bCs/>
          <w:color w:val="auto"/>
          <w:szCs w:val="21"/>
          <w:highlight w:val="none"/>
        </w:rPr>
        <w:tab/>
      </w:r>
      <w:r>
        <w:rPr>
          <w:rFonts w:hint="eastAsia" w:ascii="宋体" w:hAnsi="宋体"/>
          <w:bCs/>
          <w:color w:val="auto"/>
          <w:szCs w:val="21"/>
          <w:highlight w:val="none"/>
        </w:rPr>
        <w:t>依据有关法律法规，维护采购当事人的合法权益。</w:t>
      </w:r>
    </w:p>
    <w:p>
      <w:pPr>
        <w:tabs>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27.2</w:t>
      </w:r>
      <w:r>
        <w:rPr>
          <w:rFonts w:hint="eastAsia" w:ascii="宋体" w:hAnsi="宋体"/>
          <w:bCs/>
          <w:color w:val="auto"/>
          <w:szCs w:val="21"/>
          <w:highlight w:val="none"/>
        </w:rPr>
        <w:tab/>
      </w:r>
      <w:r>
        <w:rPr>
          <w:rFonts w:hint="eastAsia" w:ascii="宋体" w:hAnsi="宋体"/>
          <w:bCs/>
          <w:color w:val="auto"/>
          <w:szCs w:val="21"/>
          <w:highlight w:val="none"/>
        </w:rPr>
        <w:tab/>
      </w:r>
      <w:r>
        <w:rPr>
          <w:rFonts w:hint="eastAsia" w:ascii="宋体" w:hAnsi="宋体"/>
          <w:bCs/>
          <w:color w:val="auto"/>
          <w:szCs w:val="21"/>
          <w:highlight w:val="none"/>
        </w:rPr>
        <w:t>实行科学评估、集体决策。</w:t>
      </w:r>
    </w:p>
    <w:p>
      <w:pPr>
        <w:pStyle w:val="6"/>
        <w:spacing w:line="360" w:lineRule="auto"/>
        <w:rPr>
          <w:rFonts w:ascii="宋体" w:hAnsi="宋体"/>
          <w:color w:val="auto"/>
          <w:sz w:val="21"/>
          <w:szCs w:val="21"/>
          <w:highlight w:val="none"/>
        </w:rPr>
      </w:pPr>
      <w:bookmarkStart w:id="141" w:name="_Toc367780335"/>
      <w:bookmarkStart w:id="142" w:name="_Toc1911"/>
      <w:r>
        <w:rPr>
          <w:rFonts w:ascii="宋体" w:hAnsi="宋体"/>
          <w:color w:val="auto"/>
          <w:sz w:val="21"/>
          <w:szCs w:val="21"/>
          <w:highlight w:val="none"/>
        </w:rPr>
        <w:t>28</w:t>
      </w:r>
      <w:r>
        <w:rPr>
          <w:rFonts w:hint="eastAsia" w:ascii="宋体" w:hAnsi="宋体"/>
          <w:color w:val="auto"/>
          <w:sz w:val="21"/>
          <w:szCs w:val="21"/>
          <w:highlight w:val="none"/>
        </w:rPr>
        <w:tab/>
      </w:r>
      <w:r>
        <w:rPr>
          <w:rFonts w:hint="eastAsia" w:ascii="宋体" w:hAnsi="宋体"/>
          <w:color w:val="auto"/>
          <w:sz w:val="21"/>
          <w:szCs w:val="21"/>
          <w:highlight w:val="none"/>
        </w:rPr>
        <w:t>评审办法</w:t>
      </w:r>
      <w:bookmarkEnd w:id="141"/>
      <w:bookmarkEnd w:id="142"/>
    </w:p>
    <w:p>
      <w:pPr>
        <w:pStyle w:val="22"/>
        <w:tabs>
          <w:tab w:val="left" w:pos="753"/>
        </w:tabs>
        <w:adjustRightInd w:val="0"/>
        <w:snapToGrid w:val="0"/>
        <w:spacing w:line="360" w:lineRule="auto"/>
        <w:ind w:left="751" w:leftChars="1" w:hanging="749" w:hangingChars="357"/>
        <w:rPr>
          <w:rFonts w:hAnsi="宋体"/>
          <w:bCs/>
          <w:color w:val="auto"/>
          <w:highlight w:val="none"/>
        </w:rPr>
      </w:pPr>
      <w:r>
        <w:rPr>
          <w:rFonts w:hint="eastAsia" w:hAnsi="宋体"/>
          <w:bCs/>
          <w:color w:val="auto"/>
          <w:highlight w:val="none"/>
        </w:rPr>
        <w:t>28.1</w:t>
      </w:r>
      <w:r>
        <w:rPr>
          <w:rFonts w:hint="eastAsia" w:hAnsi="宋体"/>
          <w:bCs/>
          <w:color w:val="auto"/>
          <w:highlight w:val="none"/>
        </w:rPr>
        <w:tab/>
      </w:r>
      <w:r>
        <w:rPr>
          <w:rFonts w:hint="eastAsia" w:hAnsi="宋体"/>
          <w:color w:val="auto"/>
          <w:highlight w:val="none"/>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pPr>
        <w:pStyle w:val="22"/>
        <w:tabs>
          <w:tab w:val="left" w:pos="753"/>
        </w:tabs>
        <w:adjustRightInd w:val="0"/>
        <w:snapToGrid w:val="0"/>
        <w:spacing w:line="360" w:lineRule="auto"/>
        <w:ind w:left="751" w:leftChars="1" w:hanging="749" w:hangingChars="357"/>
        <w:rPr>
          <w:rFonts w:hAnsi="宋体"/>
          <w:color w:val="auto"/>
          <w:highlight w:val="none"/>
        </w:rPr>
      </w:pPr>
      <w:r>
        <w:rPr>
          <w:rFonts w:hint="eastAsia" w:hAnsi="宋体"/>
          <w:bCs/>
          <w:color w:val="auto"/>
          <w:highlight w:val="none"/>
        </w:rPr>
        <w:t>28.2</w:t>
      </w:r>
      <w:r>
        <w:rPr>
          <w:rFonts w:hint="eastAsia" w:hAnsi="宋体"/>
          <w:bCs/>
          <w:color w:val="auto"/>
          <w:highlight w:val="none"/>
        </w:rPr>
        <w:tab/>
      </w:r>
      <w:r>
        <w:rPr>
          <w:rFonts w:hint="eastAsia" w:hAnsi="宋体"/>
          <w:color w:val="auto"/>
          <w:highlight w:val="none"/>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pPr>
        <w:pStyle w:val="22"/>
        <w:widowControl/>
        <w:tabs>
          <w:tab w:val="left" w:pos="753"/>
        </w:tabs>
        <w:adjustRightInd w:val="0"/>
        <w:snapToGrid w:val="0"/>
        <w:spacing w:line="360" w:lineRule="auto"/>
        <w:ind w:left="751" w:leftChars="1" w:hanging="749" w:hangingChars="357"/>
        <w:rPr>
          <w:rFonts w:hAnsi="宋体"/>
          <w:color w:val="auto"/>
          <w:highlight w:val="none"/>
        </w:rPr>
      </w:pPr>
      <w:r>
        <w:rPr>
          <w:rFonts w:hint="eastAsia" w:hAnsi="宋体"/>
          <w:bCs/>
          <w:color w:val="auto"/>
          <w:highlight w:val="none"/>
        </w:rPr>
        <w:t xml:space="preserve">28.3   </w:t>
      </w:r>
      <w:r>
        <w:rPr>
          <w:rFonts w:hint="eastAsia" w:hAnsi="宋体"/>
          <w:color w:val="auto"/>
          <w:highlight w:val="none"/>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pPr>
        <w:pStyle w:val="6"/>
        <w:spacing w:line="360" w:lineRule="auto"/>
        <w:rPr>
          <w:rFonts w:ascii="宋体" w:hAnsi="宋体"/>
          <w:color w:val="auto"/>
          <w:sz w:val="21"/>
          <w:szCs w:val="21"/>
          <w:highlight w:val="none"/>
        </w:rPr>
      </w:pPr>
      <w:bookmarkStart w:id="143" w:name="_Toc367780336"/>
      <w:bookmarkStart w:id="144" w:name="_Toc28912"/>
      <w:r>
        <w:rPr>
          <w:rFonts w:hint="eastAsia" w:ascii="宋体" w:hAnsi="宋体"/>
          <w:color w:val="auto"/>
          <w:sz w:val="21"/>
          <w:szCs w:val="21"/>
          <w:highlight w:val="none"/>
        </w:rPr>
        <w:t>29</w:t>
      </w:r>
      <w:r>
        <w:rPr>
          <w:rFonts w:hint="eastAsia" w:ascii="宋体" w:hAnsi="宋体"/>
          <w:color w:val="auto"/>
          <w:sz w:val="21"/>
          <w:szCs w:val="21"/>
          <w:highlight w:val="none"/>
        </w:rPr>
        <w:tab/>
      </w:r>
      <w:r>
        <w:rPr>
          <w:rFonts w:hint="eastAsia" w:ascii="宋体" w:hAnsi="宋体"/>
          <w:color w:val="auto"/>
          <w:sz w:val="21"/>
          <w:szCs w:val="21"/>
          <w:highlight w:val="none"/>
        </w:rPr>
        <w:t>评审注意事项</w:t>
      </w:r>
      <w:bookmarkEnd w:id="143"/>
      <w:bookmarkEnd w:id="144"/>
    </w:p>
    <w:p>
      <w:pPr>
        <w:spacing w:line="360" w:lineRule="auto"/>
        <w:ind w:left="752" w:hanging="751" w:hangingChars="358"/>
        <w:rPr>
          <w:rFonts w:ascii="宋体" w:hAnsi="宋体"/>
          <w:color w:val="auto"/>
          <w:szCs w:val="21"/>
          <w:highlight w:val="none"/>
        </w:rPr>
      </w:pPr>
      <w:r>
        <w:rPr>
          <w:rFonts w:hint="eastAsia" w:ascii="宋体" w:hAnsi="宋体"/>
          <w:color w:val="auto"/>
          <w:szCs w:val="21"/>
          <w:highlight w:val="none"/>
        </w:rPr>
        <w:t>29.1</w:t>
      </w:r>
      <w:r>
        <w:rPr>
          <w:rFonts w:hint="eastAsia" w:ascii="宋体" w:hAnsi="宋体"/>
          <w:color w:val="auto"/>
          <w:szCs w:val="21"/>
          <w:highlight w:val="none"/>
        </w:rPr>
        <w:tab/>
      </w:r>
      <w:r>
        <w:rPr>
          <w:rFonts w:hint="eastAsia" w:ascii="宋体" w:hAnsi="宋体"/>
          <w:color w:val="auto"/>
          <w:szCs w:val="21"/>
          <w:highlight w:val="none"/>
        </w:rPr>
        <w:t>评审是竞争性谈判采购工作的重要环节，评审工作在谈判小组内独立进行。谈判小组将遵照评审原则，公正、平等地对待所有供应商。</w:t>
      </w:r>
    </w:p>
    <w:p>
      <w:pPr>
        <w:spacing w:line="360" w:lineRule="auto"/>
        <w:ind w:left="752" w:hanging="751" w:hangingChars="358"/>
        <w:rPr>
          <w:rFonts w:ascii="宋体" w:hAnsi="宋体"/>
          <w:color w:val="auto"/>
          <w:szCs w:val="21"/>
          <w:highlight w:val="none"/>
        </w:rPr>
      </w:pPr>
      <w:r>
        <w:rPr>
          <w:rFonts w:hint="eastAsia" w:ascii="宋体" w:hAnsi="宋体"/>
          <w:color w:val="auto"/>
          <w:szCs w:val="21"/>
          <w:highlight w:val="none"/>
        </w:rPr>
        <w:t>29.2</w:t>
      </w:r>
      <w:r>
        <w:rPr>
          <w:rFonts w:hint="eastAsia" w:ascii="宋体" w:hAnsi="宋体"/>
          <w:color w:val="auto"/>
          <w:szCs w:val="21"/>
          <w:highlight w:val="none"/>
        </w:rPr>
        <w:tab/>
      </w:r>
      <w:r>
        <w:rPr>
          <w:rFonts w:hint="eastAsia" w:ascii="宋体" w:hAnsi="宋体"/>
          <w:color w:val="auto"/>
          <w:szCs w:val="21"/>
          <w:highlight w:val="none"/>
        </w:rPr>
        <w:t>在谈判期间，供应商不得向谈判小组成员询问评审情况，不得进行旨在影响评审结果的活动。</w:t>
      </w:r>
    </w:p>
    <w:p>
      <w:pPr>
        <w:spacing w:line="360" w:lineRule="auto"/>
        <w:ind w:left="752" w:hanging="751" w:hangingChars="358"/>
        <w:rPr>
          <w:rFonts w:ascii="宋体" w:hAnsi="宋体"/>
          <w:color w:val="auto"/>
          <w:szCs w:val="21"/>
          <w:highlight w:val="none"/>
        </w:rPr>
      </w:pPr>
      <w:r>
        <w:rPr>
          <w:rFonts w:hint="eastAsia" w:ascii="宋体" w:hAnsi="宋体"/>
          <w:color w:val="auto"/>
          <w:szCs w:val="21"/>
          <w:highlight w:val="none"/>
        </w:rPr>
        <w:t>29.3</w:t>
      </w:r>
      <w:r>
        <w:rPr>
          <w:rFonts w:hint="eastAsia" w:ascii="宋体" w:hAnsi="宋体"/>
          <w:color w:val="auto"/>
          <w:szCs w:val="21"/>
          <w:highlight w:val="none"/>
        </w:rPr>
        <w:tab/>
      </w:r>
      <w:r>
        <w:rPr>
          <w:rFonts w:hint="eastAsia" w:ascii="宋体" w:hAnsi="宋体"/>
          <w:color w:val="auto"/>
          <w:szCs w:val="21"/>
          <w:highlight w:val="none"/>
        </w:rPr>
        <w:t>为保证确定成交供应商的公正性，在评审过程中，谈判小组成员不得与供应商私下交换意见。在谈判工作结束后，凡与谈判情况有接触的任何人，不得也不应将评审情况扩散出谈判小组人员之外。</w:t>
      </w:r>
    </w:p>
    <w:p>
      <w:pPr>
        <w:pStyle w:val="6"/>
        <w:spacing w:line="360" w:lineRule="auto"/>
        <w:rPr>
          <w:rFonts w:ascii="宋体" w:hAnsi="宋体"/>
          <w:color w:val="auto"/>
          <w:sz w:val="21"/>
          <w:szCs w:val="21"/>
          <w:highlight w:val="none"/>
        </w:rPr>
      </w:pPr>
      <w:bookmarkStart w:id="145" w:name="_Toc10228"/>
      <w:bookmarkStart w:id="146" w:name="_Toc367780337"/>
      <w:r>
        <w:rPr>
          <w:rFonts w:hint="eastAsia" w:ascii="宋体" w:hAnsi="宋体"/>
          <w:color w:val="auto"/>
          <w:sz w:val="21"/>
          <w:szCs w:val="21"/>
          <w:highlight w:val="none"/>
        </w:rPr>
        <w:t>30</w:t>
      </w:r>
      <w:r>
        <w:rPr>
          <w:rFonts w:hint="eastAsia" w:ascii="宋体" w:hAnsi="宋体"/>
          <w:color w:val="auto"/>
          <w:sz w:val="21"/>
          <w:szCs w:val="21"/>
          <w:highlight w:val="none"/>
        </w:rPr>
        <w:tab/>
      </w:r>
      <w:r>
        <w:rPr>
          <w:rFonts w:hint="eastAsia" w:ascii="宋体" w:hAnsi="宋体"/>
          <w:color w:val="auto"/>
          <w:sz w:val="21"/>
          <w:szCs w:val="21"/>
          <w:highlight w:val="none"/>
        </w:rPr>
        <w:t>发布成交结果公告和发放成交通知书</w:t>
      </w:r>
      <w:bookmarkEnd w:id="145"/>
      <w:bookmarkEnd w:id="146"/>
    </w:p>
    <w:p>
      <w:pPr>
        <w:spacing w:line="360" w:lineRule="auto"/>
        <w:ind w:left="752" w:hanging="751" w:hangingChars="358"/>
        <w:rPr>
          <w:rFonts w:ascii="宋体" w:hAnsi="宋体"/>
          <w:color w:val="auto"/>
          <w:szCs w:val="21"/>
          <w:highlight w:val="none"/>
        </w:rPr>
      </w:pPr>
      <w:r>
        <w:rPr>
          <w:rFonts w:hint="eastAsia" w:ascii="宋体" w:hAnsi="宋体"/>
          <w:color w:val="auto"/>
          <w:szCs w:val="21"/>
          <w:highlight w:val="none"/>
        </w:rPr>
        <w:t>30.1   采购人或其授权的谈判小组应按照评标报告中推荐的成交候选供应商排名顺序确定成交供应商。</w:t>
      </w:r>
    </w:p>
    <w:p>
      <w:pPr>
        <w:spacing w:line="360" w:lineRule="auto"/>
        <w:ind w:left="752" w:hanging="751" w:hangingChars="358"/>
        <w:rPr>
          <w:rFonts w:ascii="宋体" w:hAnsi="宋体"/>
          <w:color w:val="auto"/>
          <w:szCs w:val="21"/>
          <w:highlight w:val="none"/>
        </w:rPr>
      </w:pPr>
      <w:r>
        <w:rPr>
          <w:rFonts w:hint="eastAsia" w:ascii="宋体" w:hAnsi="宋体"/>
          <w:color w:val="auto"/>
          <w:szCs w:val="21"/>
          <w:highlight w:val="none"/>
        </w:rPr>
        <w:t>30.2   成交人确认后，成交结果将在指定媒体上公告：</w:t>
      </w:r>
      <w:r>
        <w:rPr>
          <w:rFonts w:hint="eastAsia" w:ascii="黑体" w:eastAsia="黑体"/>
          <w:bCs/>
          <w:color w:val="auto"/>
          <w:highlight w:val="none"/>
        </w:rPr>
        <w:t>详见第三部份《报价须知〈投标人须知前附表〉》</w:t>
      </w:r>
      <w:r>
        <w:rPr>
          <w:rFonts w:hint="eastAsia" w:ascii="宋体" w:hAnsi="宋体"/>
          <w:color w:val="auto"/>
          <w:szCs w:val="21"/>
          <w:highlight w:val="none"/>
        </w:rPr>
        <w:t>。发布成交结果公告的同时，代理采购机构向成交人发出成交通知书。</w:t>
      </w:r>
    </w:p>
    <w:p>
      <w:pPr>
        <w:spacing w:line="360" w:lineRule="auto"/>
        <w:ind w:left="752" w:hanging="751" w:hangingChars="358"/>
        <w:rPr>
          <w:rFonts w:ascii="宋体" w:hAnsi="宋体"/>
          <w:color w:val="auto"/>
          <w:szCs w:val="21"/>
          <w:highlight w:val="none"/>
        </w:rPr>
      </w:pPr>
      <w:r>
        <w:rPr>
          <w:rFonts w:hint="eastAsia" w:ascii="宋体" w:hAnsi="宋体"/>
          <w:color w:val="auto"/>
          <w:szCs w:val="21"/>
          <w:highlight w:val="none"/>
        </w:rPr>
        <w:t>30.3   未成交供应商，</w:t>
      </w:r>
      <w:r>
        <w:rPr>
          <w:rFonts w:hint="eastAsia" w:ascii="宋体" w:hAnsi="宋体"/>
          <w:color w:val="auto"/>
          <w:szCs w:val="21"/>
          <w:highlight w:val="none"/>
          <w:lang w:eastAsia="zh-CN"/>
        </w:rPr>
        <w:t>广东业信招标有限公司</w:t>
      </w:r>
      <w:r>
        <w:rPr>
          <w:rFonts w:hint="eastAsia" w:ascii="宋体" w:hAnsi="宋体"/>
          <w:color w:val="auto"/>
          <w:szCs w:val="21"/>
          <w:highlight w:val="none"/>
        </w:rPr>
        <w:t>不再以其它方式另行通知。</w:t>
      </w:r>
    </w:p>
    <w:p>
      <w:pPr>
        <w:spacing w:line="360" w:lineRule="auto"/>
        <w:ind w:left="752" w:hanging="751" w:hangingChars="358"/>
        <w:rPr>
          <w:rFonts w:ascii="宋体" w:hAnsi="宋体"/>
          <w:color w:val="auto"/>
          <w:szCs w:val="21"/>
          <w:highlight w:val="none"/>
        </w:rPr>
      </w:pPr>
      <w:r>
        <w:rPr>
          <w:rFonts w:hint="eastAsia" w:ascii="宋体" w:hAnsi="宋体"/>
          <w:color w:val="auto"/>
          <w:szCs w:val="21"/>
          <w:highlight w:val="none"/>
        </w:rPr>
        <w:t>30.4   成交通知书发出后，采购人改变成交结果，或者成交供应商放弃成交，应当承担相应的法律责任。</w:t>
      </w:r>
    </w:p>
    <w:p>
      <w:pPr>
        <w:pStyle w:val="6"/>
        <w:spacing w:line="360" w:lineRule="auto"/>
        <w:rPr>
          <w:rFonts w:ascii="宋体" w:hAnsi="宋体"/>
          <w:color w:val="auto"/>
          <w:sz w:val="21"/>
          <w:szCs w:val="21"/>
          <w:highlight w:val="none"/>
        </w:rPr>
      </w:pPr>
      <w:bookmarkStart w:id="147" w:name="_Toc367780338"/>
      <w:bookmarkStart w:id="148" w:name="_Toc19404"/>
      <w:r>
        <w:rPr>
          <w:rFonts w:hint="eastAsia" w:ascii="宋体" w:hAnsi="宋体"/>
          <w:color w:val="auto"/>
          <w:sz w:val="21"/>
          <w:szCs w:val="21"/>
          <w:highlight w:val="none"/>
        </w:rPr>
        <w:t>31     投标供应商对成交结果的质疑、投诉</w:t>
      </w:r>
      <w:bookmarkEnd w:id="147"/>
      <w:bookmarkEnd w:id="148"/>
    </w:p>
    <w:p>
      <w:pPr>
        <w:spacing w:line="360" w:lineRule="auto"/>
        <w:ind w:left="752" w:hanging="751" w:hangingChars="358"/>
        <w:rPr>
          <w:rFonts w:ascii="宋体" w:hAnsi="宋体"/>
          <w:color w:val="auto"/>
          <w:szCs w:val="21"/>
          <w:highlight w:val="none"/>
        </w:rPr>
      </w:pPr>
      <w:r>
        <w:rPr>
          <w:rFonts w:hint="eastAsia" w:ascii="宋体" w:hAnsi="宋体"/>
          <w:color w:val="auto"/>
          <w:szCs w:val="21"/>
          <w:highlight w:val="none"/>
        </w:rPr>
        <w:t>31.1</w:t>
      </w:r>
      <w:r>
        <w:rPr>
          <w:rFonts w:hint="eastAsia" w:ascii="宋体" w:hAnsi="宋体"/>
          <w:color w:val="auto"/>
          <w:szCs w:val="21"/>
          <w:highlight w:val="none"/>
        </w:rPr>
        <w:tab/>
      </w:r>
      <w:r>
        <w:rPr>
          <w:rFonts w:hint="eastAsia" w:ascii="宋体" w:hAnsi="宋体"/>
          <w:color w:val="auto"/>
          <w:szCs w:val="21"/>
          <w:highlight w:val="none"/>
        </w:rPr>
        <w:t>投标供应商对成交公告有异议的，应当在成交结果公告发布之日起七个工作日内，以书面形式向采购人或代理采购机构提出质疑。</w:t>
      </w:r>
    </w:p>
    <w:p>
      <w:pPr>
        <w:spacing w:line="360" w:lineRule="auto"/>
        <w:ind w:left="752" w:hanging="751" w:hangingChars="358"/>
        <w:rPr>
          <w:rFonts w:ascii="宋体" w:hAnsi="宋体"/>
          <w:color w:val="auto"/>
          <w:szCs w:val="21"/>
          <w:highlight w:val="none"/>
        </w:rPr>
      </w:pPr>
      <w:r>
        <w:rPr>
          <w:rFonts w:hint="eastAsia" w:ascii="宋体" w:hAnsi="宋体"/>
          <w:color w:val="auto"/>
          <w:szCs w:val="21"/>
          <w:highlight w:val="none"/>
        </w:rPr>
        <w:t>31.2   采购人或代理采购机构应当在收到投标供应商书面质疑后七个工作日内，对质疑内容作出答复。</w:t>
      </w:r>
    </w:p>
    <w:p>
      <w:pPr>
        <w:spacing w:line="360" w:lineRule="auto"/>
        <w:ind w:left="752" w:hanging="751" w:hangingChars="358"/>
        <w:rPr>
          <w:rFonts w:ascii="宋体" w:hAnsi="宋体"/>
          <w:color w:val="auto"/>
          <w:szCs w:val="21"/>
          <w:highlight w:val="none"/>
        </w:rPr>
      </w:pPr>
      <w:r>
        <w:rPr>
          <w:rFonts w:hint="eastAsia" w:ascii="宋体" w:hAnsi="宋体"/>
          <w:color w:val="auto"/>
          <w:szCs w:val="21"/>
          <w:highlight w:val="none"/>
        </w:rPr>
        <w:t>31.3   投标供应商对采购人或代理采购机构的答复不满意或者采购人、代理采购机构未在规定时间内答复的，可以在答复期满后十五个工作日内按有关规定，向同级人民政府财政部门投诉。</w:t>
      </w:r>
    </w:p>
    <w:p>
      <w:pPr>
        <w:spacing w:line="360" w:lineRule="auto"/>
        <w:ind w:left="752" w:hanging="751" w:hangingChars="358"/>
        <w:rPr>
          <w:rFonts w:ascii="宋体" w:hAnsi="宋体"/>
          <w:color w:val="auto"/>
          <w:szCs w:val="21"/>
          <w:highlight w:val="none"/>
        </w:rPr>
      </w:pPr>
      <w:r>
        <w:rPr>
          <w:rFonts w:hint="eastAsia" w:ascii="宋体" w:hAnsi="宋体"/>
          <w:color w:val="auto"/>
          <w:szCs w:val="21"/>
          <w:highlight w:val="none"/>
        </w:rPr>
        <w:t>31.4   财政部门应当在收到投诉后三十个工作日内，对投诉事项作出处理决定。</w:t>
      </w:r>
    </w:p>
    <w:p>
      <w:pPr>
        <w:spacing w:line="360" w:lineRule="auto"/>
        <w:ind w:left="752" w:hanging="751" w:hangingChars="358"/>
        <w:rPr>
          <w:rFonts w:ascii="宋体" w:hAnsi="宋体"/>
          <w:color w:val="auto"/>
          <w:szCs w:val="21"/>
          <w:highlight w:val="none"/>
        </w:rPr>
      </w:pPr>
      <w:r>
        <w:rPr>
          <w:rFonts w:hint="eastAsia" w:ascii="宋体" w:hAnsi="宋体"/>
          <w:color w:val="auto"/>
          <w:szCs w:val="21"/>
          <w:highlight w:val="none"/>
        </w:rPr>
        <w:t>31.5   投标供应商须对质疑或投诉内容的真实性承担责任。</w:t>
      </w:r>
    </w:p>
    <w:p>
      <w:pPr>
        <w:spacing w:line="360" w:lineRule="auto"/>
        <w:ind w:left="752" w:hanging="751" w:hangingChars="358"/>
        <w:rPr>
          <w:rFonts w:ascii="宋体" w:hAnsi="宋体"/>
          <w:color w:val="auto"/>
          <w:szCs w:val="21"/>
          <w:highlight w:val="none"/>
        </w:rPr>
      </w:pPr>
      <w:r>
        <w:rPr>
          <w:rFonts w:hint="eastAsia" w:ascii="宋体" w:hAnsi="宋体"/>
          <w:color w:val="auto"/>
          <w:szCs w:val="21"/>
          <w:highlight w:val="none"/>
        </w:rPr>
        <w:t>31.6   质疑函应当署名。质疑供应商为自然人的，应当由本人签字；质疑供应商为法人或其他组织的，应由法定代表人或者主要负责人签字并盖公章。</w:t>
      </w:r>
    </w:p>
    <w:p>
      <w:pPr>
        <w:pStyle w:val="5"/>
        <w:numPr>
          <w:ilvl w:val="1"/>
          <w:numId w:val="0"/>
        </w:numPr>
        <w:spacing w:before="240" w:after="240" w:line="360" w:lineRule="auto"/>
        <w:rPr>
          <w:rFonts w:ascii="宋体" w:hAnsi="宋体" w:eastAsia="宋体"/>
          <w:color w:val="auto"/>
          <w:sz w:val="21"/>
          <w:szCs w:val="21"/>
          <w:highlight w:val="none"/>
        </w:rPr>
      </w:pPr>
      <w:bookmarkStart w:id="149" w:name="_Toc23564"/>
      <w:bookmarkStart w:id="150" w:name="_Toc367780339"/>
      <w:r>
        <w:rPr>
          <w:rFonts w:hint="eastAsia" w:ascii="宋体" w:hAnsi="宋体" w:eastAsia="宋体"/>
          <w:color w:val="auto"/>
          <w:sz w:val="21"/>
          <w:szCs w:val="21"/>
          <w:highlight w:val="none"/>
        </w:rPr>
        <w:t>Ｆ  授予合同</w:t>
      </w:r>
      <w:bookmarkEnd w:id="149"/>
      <w:bookmarkEnd w:id="150"/>
    </w:p>
    <w:p>
      <w:pPr>
        <w:pStyle w:val="6"/>
        <w:spacing w:line="360" w:lineRule="auto"/>
        <w:rPr>
          <w:rFonts w:ascii="宋体" w:hAnsi="宋体"/>
          <w:color w:val="auto"/>
          <w:sz w:val="21"/>
          <w:szCs w:val="21"/>
          <w:highlight w:val="none"/>
        </w:rPr>
      </w:pPr>
      <w:bookmarkStart w:id="151" w:name="_Toc29860"/>
      <w:bookmarkStart w:id="152" w:name="_Toc367780340"/>
      <w:r>
        <w:rPr>
          <w:rFonts w:hint="eastAsia" w:ascii="宋体" w:hAnsi="宋体"/>
          <w:color w:val="auto"/>
          <w:sz w:val="21"/>
          <w:szCs w:val="21"/>
          <w:highlight w:val="none"/>
        </w:rPr>
        <w:t>32     接受和拒绝投标的权利</w:t>
      </w:r>
      <w:bookmarkEnd w:id="151"/>
      <w:bookmarkEnd w:id="152"/>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32</w:t>
      </w:r>
      <w:r>
        <w:rPr>
          <w:rFonts w:ascii="宋体" w:hAnsi="宋体"/>
          <w:bCs/>
          <w:color w:val="auto"/>
          <w:szCs w:val="21"/>
          <w:highlight w:val="none"/>
        </w:rPr>
        <w:t>.1</w:t>
      </w:r>
      <w:r>
        <w:rPr>
          <w:rFonts w:hint="eastAsia" w:ascii="宋体" w:hAnsi="宋体"/>
          <w:bCs/>
          <w:color w:val="auto"/>
          <w:szCs w:val="21"/>
          <w:highlight w:val="none"/>
        </w:rPr>
        <w:tab/>
      </w:r>
      <w:r>
        <w:rPr>
          <w:rFonts w:hint="eastAsia" w:ascii="宋体" w:hAnsi="宋体"/>
          <w:bCs/>
          <w:color w:val="auto"/>
          <w:szCs w:val="21"/>
          <w:highlight w:val="none"/>
        </w:rPr>
        <w:t>谈判小组经评审认为所有供应商提供的货物或服务都不符合谈判文件要求的，或所有供应商的报价均超过了采购人的预算，且采购人不能支付的，有权否决所有报价资料。</w:t>
      </w:r>
    </w:p>
    <w:p>
      <w:pPr>
        <w:pStyle w:val="6"/>
        <w:spacing w:line="360" w:lineRule="auto"/>
        <w:rPr>
          <w:rFonts w:ascii="宋体" w:hAnsi="宋体"/>
          <w:color w:val="auto"/>
          <w:sz w:val="21"/>
          <w:szCs w:val="21"/>
          <w:highlight w:val="none"/>
        </w:rPr>
      </w:pPr>
      <w:bookmarkStart w:id="153" w:name="_Toc367780341"/>
      <w:bookmarkStart w:id="154" w:name="_Toc22720"/>
      <w:r>
        <w:rPr>
          <w:rFonts w:hint="eastAsia" w:ascii="宋体" w:hAnsi="宋体"/>
          <w:color w:val="auto"/>
          <w:sz w:val="21"/>
          <w:szCs w:val="21"/>
          <w:highlight w:val="none"/>
        </w:rPr>
        <w:t>33</w:t>
      </w:r>
      <w:r>
        <w:rPr>
          <w:rFonts w:hint="eastAsia" w:ascii="宋体" w:hAnsi="宋体"/>
          <w:color w:val="auto"/>
          <w:sz w:val="21"/>
          <w:szCs w:val="21"/>
          <w:highlight w:val="none"/>
        </w:rPr>
        <w:tab/>
      </w:r>
      <w:r>
        <w:rPr>
          <w:rFonts w:hint="eastAsia" w:ascii="宋体" w:hAnsi="宋体"/>
          <w:color w:val="auto"/>
          <w:sz w:val="21"/>
          <w:szCs w:val="21"/>
          <w:highlight w:val="none"/>
        </w:rPr>
        <w:t xml:space="preserve">   合同授予标准</w:t>
      </w:r>
      <w:bookmarkEnd w:id="153"/>
      <w:bookmarkEnd w:id="154"/>
    </w:p>
    <w:p>
      <w:pPr>
        <w:widowControl/>
        <w:tabs>
          <w:tab w:val="left" w:pos="753"/>
        </w:tabs>
        <w:adjustRightInd w:val="0"/>
        <w:snapToGrid w:val="0"/>
        <w:spacing w:line="360" w:lineRule="auto"/>
        <w:ind w:left="752" w:hanging="751" w:hangingChars="358"/>
        <w:rPr>
          <w:rFonts w:ascii="宋体" w:hAnsi="宋体"/>
          <w:bCs/>
          <w:color w:val="auto"/>
          <w:szCs w:val="21"/>
          <w:highlight w:val="none"/>
        </w:rPr>
      </w:pPr>
      <w:r>
        <w:rPr>
          <w:rFonts w:ascii="宋体" w:hAnsi="宋体"/>
          <w:bCs/>
          <w:color w:val="auto"/>
          <w:szCs w:val="21"/>
          <w:highlight w:val="none"/>
        </w:rPr>
        <w:t>3</w:t>
      </w:r>
      <w:r>
        <w:rPr>
          <w:rFonts w:hint="eastAsia" w:ascii="宋体" w:hAnsi="宋体"/>
          <w:bCs/>
          <w:color w:val="auto"/>
          <w:szCs w:val="21"/>
          <w:highlight w:val="none"/>
        </w:rPr>
        <w:t>3</w:t>
      </w:r>
      <w:r>
        <w:rPr>
          <w:rFonts w:ascii="宋体" w:hAnsi="宋体"/>
          <w:bCs/>
          <w:color w:val="auto"/>
          <w:szCs w:val="21"/>
          <w:highlight w:val="none"/>
        </w:rPr>
        <w:t>.1</w:t>
      </w:r>
      <w:r>
        <w:rPr>
          <w:rFonts w:hint="eastAsia" w:ascii="宋体" w:hAnsi="宋体"/>
          <w:bCs/>
          <w:color w:val="auto"/>
          <w:szCs w:val="21"/>
          <w:highlight w:val="none"/>
        </w:rPr>
        <w:tab/>
      </w:r>
      <w:r>
        <w:rPr>
          <w:rFonts w:hint="eastAsia" w:ascii="宋体" w:hAnsi="宋体"/>
          <w:bCs/>
          <w:color w:val="auto"/>
          <w:szCs w:val="21"/>
          <w:highlight w:val="none"/>
        </w:rPr>
        <w:t>第32条规定之外，采购人将把合同授予此次谈判的成交供应商。</w:t>
      </w:r>
    </w:p>
    <w:p>
      <w:pPr>
        <w:pStyle w:val="6"/>
        <w:spacing w:line="360" w:lineRule="auto"/>
        <w:rPr>
          <w:rFonts w:ascii="宋体" w:hAnsi="宋体"/>
          <w:color w:val="auto"/>
          <w:sz w:val="21"/>
          <w:szCs w:val="21"/>
          <w:highlight w:val="none"/>
        </w:rPr>
      </w:pPr>
      <w:bookmarkStart w:id="155" w:name="_Toc367780342"/>
      <w:bookmarkStart w:id="156" w:name="_Toc17652"/>
      <w:r>
        <w:rPr>
          <w:rFonts w:hint="eastAsia" w:ascii="宋体" w:hAnsi="宋体"/>
          <w:color w:val="auto"/>
          <w:sz w:val="21"/>
          <w:szCs w:val="21"/>
          <w:highlight w:val="none"/>
        </w:rPr>
        <w:t>34</w:t>
      </w:r>
      <w:r>
        <w:rPr>
          <w:rFonts w:hint="eastAsia" w:ascii="宋体" w:hAnsi="宋体"/>
          <w:color w:val="auto"/>
          <w:sz w:val="21"/>
          <w:szCs w:val="21"/>
          <w:highlight w:val="none"/>
        </w:rPr>
        <w:tab/>
      </w:r>
      <w:r>
        <w:rPr>
          <w:rFonts w:hint="eastAsia" w:ascii="宋体" w:hAnsi="宋体"/>
          <w:color w:val="auto"/>
          <w:sz w:val="21"/>
          <w:szCs w:val="21"/>
          <w:highlight w:val="none"/>
        </w:rPr>
        <w:t xml:space="preserve">   签订合同</w:t>
      </w:r>
      <w:bookmarkEnd w:id="155"/>
      <w:bookmarkEnd w:id="156"/>
    </w:p>
    <w:p>
      <w:pPr>
        <w:widowControl/>
        <w:tabs>
          <w:tab w:val="left" w:pos="753"/>
        </w:tabs>
        <w:adjustRightInd w:val="0"/>
        <w:snapToGrid w:val="0"/>
        <w:spacing w:line="360" w:lineRule="auto"/>
        <w:ind w:left="753" w:hanging="753"/>
        <w:rPr>
          <w:rFonts w:ascii="宋体" w:hAnsi="宋体"/>
          <w:bCs/>
          <w:color w:val="auto"/>
          <w:szCs w:val="21"/>
          <w:highlight w:val="none"/>
        </w:rPr>
      </w:pPr>
      <w:r>
        <w:rPr>
          <w:rFonts w:ascii="宋体" w:hAnsi="宋体"/>
          <w:bCs/>
          <w:color w:val="auto"/>
          <w:szCs w:val="21"/>
          <w:highlight w:val="none"/>
        </w:rPr>
        <w:t>3</w:t>
      </w:r>
      <w:r>
        <w:rPr>
          <w:rFonts w:hint="eastAsia" w:ascii="宋体" w:hAnsi="宋体"/>
          <w:bCs/>
          <w:color w:val="auto"/>
          <w:szCs w:val="21"/>
          <w:highlight w:val="none"/>
        </w:rPr>
        <w:t>4</w:t>
      </w:r>
      <w:r>
        <w:rPr>
          <w:rFonts w:ascii="宋体" w:hAnsi="宋体"/>
          <w:bCs/>
          <w:color w:val="auto"/>
          <w:szCs w:val="21"/>
          <w:highlight w:val="none"/>
        </w:rPr>
        <w:t>.1</w:t>
      </w:r>
      <w:r>
        <w:rPr>
          <w:rFonts w:hint="eastAsia" w:ascii="宋体" w:hAnsi="宋体"/>
          <w:bCs/>
          <w:color w:val="auto"/>
          <w:szCs w:val="21"/>
          <w:highlight w:val="none"/>
        </w:rPr>
        <w:tab/>
      </w:r>
      <w:r>
        <w:rPr>
          <w:rFonts w:hint="eastAsia" w:ascii="宋体" w:hAnsi="宋体"/>
          <w:bCs/>
          <w:color w:val="auto"/>
          <w:szCs w:val="21"/>
          <w:highlight w:val="none"/>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pPr>
        <w:widowControl/>
        <w:tabs>
          <w:tab w:val="left" w:pos="753"/>
        </w:tabs>
        <w:adjustRightInd w:val="0"/>
        <w:snapToGrid w:val="0"/>
        <w:spacing w:line="360" w:lineRule="auto"/>
        <w:ind w:left="753" w:hanging="753"/>
        <w:rPr>
          <w:rFonts w:ascii="宋体" w:hAnsi="宋体"/>
          <w:bCs/>
          <w:color w:val="auto"/>
          <w:szCs w:val="21"/>
          <w:highlight w:val="none"/>
        </w:rPr>
      </w:pPr>
      <w:r>
        <w:rPr>
          <w:rFonts w:ascii="宋体" w:hAnsi="宋体"/>
          <w:bCs/>
          <w:color w:val="auto"/>
          <w:szCs w:val="21"/>
          <w:highlight w:val="none"/>
        </w:rPr>
        <w:t>3</w:t>
      </w:r>
      <w:r>
        <w:rPr>
          <w:rFonts w:hint="eastAsia" w:ascii="宋体" w:hAnsi="宋体"/>
          <w:bCs/>
          <w:color w:val="auto"/>
          <w:szCs w:val="21"/>
          <w:highlight w:val="none"/>
        </w:rPr>
        <w:t>4</w:t>
      </w:r>
      <w:r>
        <w:rPr>
          <w:rFonts w:ascii="宋体" w:hAnsi="宋体"/>
          <w:bCs/>
          <w:color w:val="auto"/>
          <w:szCs w:val="21"/>
          <w:highlight w:val="none"/>
        </w:rPr>
        <w:t>.2</w:t>
      </w:r>
      <w:r>
        <w:rPr>
          <w:rFonts w:hint="eastAsia" w:ascii="宋体" w:hAnsi="宋体"/>
          <w:bCs/>
          <w:color w:val="auto"/>
          <w:szCs w:val="21"/>
          <w:highlight w:val="none"/>
        </w:rPr>
        <w:tab/>
      </w:r>
      <w:r>
        <w:rPr>
          <w:rFonts w:hint="eastAsia" w:ascii="宋体" w:hAnsi="宋体"/>
          <w:bCs/>
          <w:color w:val="auto"/>
          <w:szCs w:val="21"/>
          <w:highlight w:val="none"/>
        </w:rPr>
        <w:t>谈判文件、成交供应商的谈判文件及其澄清文件等，均为签订合同的依据。</w:t>
      </w:r>
    </w:p>
    <w:p>
      <w:pPr>
        <w:widowControl/>
        <w:tabs>
          <w:tab w:val="left" w:pos="753"/>
        </w:tabs>
        <w:adjustRightInd w:val="0"/>
        <w:snapToGrid w:val="0"/>
        <w:spacing w:line="360" w:lineRule="auto"/>
        <w:ind w:left="753" w:hanging="753"/>
        <w:rPr>
          <w:rFonts w:ascii="宋体" w:hAnsi="宋体"/>
          <w:bCs/>
          <w:color w:val="auto"/>
          <w:szCs w:val="21"/>
          <w:highlight w:val="none"/>
        </w:rPr>
      </w:pPr>
      <w:r>
        <w:rPr>
          <w:rFonts w:ascii="宋体" w:hAnsi="宋体"/>
          <w:bCs/>
          <w:color w:val="auto"/>
          <w:szCs w:val="21"/>
          <w:highlight w:val="none"/>
        </w:rPr>
        <w:t>3</w:t>
      </w:r>
      <w:r>
        <w:rPr>
          <w:rFonts w:hint="eastAsia" w:ascii="宋体" w:hAnsi="宋体"/>
          <w:bCs/>
          <w:color w:val="auto"/>
          <w:szCs w:val="21"/>
          <w:highlight w:val="none"/>
        </w:rPr>
        <w:t>4</w:t>
      </w:r>
      <w:r>
        <w:rPr>
          <w:rFonts w:ascii="宋体" w:hAnsi="宋体"/>
          <w:bCs/>
          <w:color w:val="auto"/>
          <w:szCs w:val="21"/>
          <w:highlight w:val="none"/>
        </w:rPr>
        <w:t>.</w:t>
      </w:r>
      <w:r>
        <w:rPr>
          <w:rFonts w:hint="eastAsia" w:ascii="宋体" w:hAnsi="宋体"/>
          <w:bCs/>
          <w:color w:val="auto"/>
          <w:szCs w:val="21"/>
          <w:highlight w:val="none"/>
        </w:rPr>
        <w:t>3</w:t>
      </w:r>
      <w:r>
        <w:rPr>
          <w:rFonts w:hint="eastAsia" w:ascii="宋体" w:hAnsi="宋体"/>
          <w:bCs/>
          <w:color w:val="auto"/>
          <w:szCs w:val="21"/>
          <w:highlight w:val="none"/>
        </w:rPr>
        <w:tab/>
      </w:r>
      <w:r>
        <w:rPr>
          <w:rFonts w:hint="eastAsia" w:ascii="宋体" w:hAnsi="宋体"/>
          <w:bCs/>
          <w:color w:val="auto"/>
          <w:szCs w:val="21"/>
          <w:highlight w:val="none"/>
        </w:rPr>
        <w:t>采购人应当自采购合同签订之日起七个工作日内，按照有关规定将采购合同副本报同级人民政府财政部门和</w:t>
      </w:r>
      <w:r>
        <w:rPr>
          <w:rFonts w:hint="eastAsia" w:ascii="宋体" w:hAnsi="宋体"/>
          <w:bCs/>
          <w:color w:val="auto"/>
          <w:szCs w:val="21"/>
          <w:highlight w:val="none"/>
          <w:lang w:eastAsia="zh-CN"/>
        </w:rPr>
        <w:t>广东业信招标有限公司</w:t>
      </w:r>
      <w:r>
        <w:rPr>
          <w:rFonts w:hint="eastAsia" w:ascii="宋体" w:hAnsi="宋体"/>
          <w:bCs/>
          <w:color w:val="auto"/>
          <w:szCs w:val="21"/>
          <w:highlight w:val="none"/>
        </w:rPr>
        <w:t>备案。</w:t>
      </w:r>
      <w:bookmarkStart w:id="157" w:name="_Toc200414511"/>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rPr>
          <w:color w:val="auto"/>
          <w:sz w:val="24"/>
          <w:highlight w:val="none"/>
        </w:rPr>
      </w:pPr>
      <w:bookmarkStart w:id="158" w:name="_Toc430771059"/>
      <w:bookmarkStart w:id="159" w:name="_Toc499041071"/>
      <w:bookmarkStart w:id="160" w:name="_Toc432682726"/>
      <w:r>
        <w:rPr>
          <w:color w:val="auto"/>
          <w:sz w:val="24"/>
          <w:highlight w:val="none"/>
        </w:rPr>
        <w:br w:type="page"/>
      </w:r>
    </w:p>
    <w:p>
      <w:pPr>
        <w:pStyle w:val="5"/>
        <w:numPr>
          <w:ilvl w:val="0"/>
          <w:numId w:val="0"/>
        </w:numPr>
        <w:jc w:val="center"/>
        <w:rPr>
          <w:color w:val="auto"/>
          <w:sz w:val="24"/>
          <w:highlight w:val="none"/>
        </w:rPr>
      </w:pPr>
      <w:bookmarkStart w:id="161" w:name="_Toc4145"/>
      <w:r>
        <w:rPr>
          <w:color w:val="auto"/>
          <w:sz w:val="24"/>
          <w:highlight w:val="none"/>
        </w:rPr>
        <w:t>G</w:t>
      </w:r>
      <w:r>
        <w:rPr>
          <w:rFonts w:hint="eastAsia"/>
          <w:color w:val="auto"/>
          <w:sz w:val="24"/>
          <w:highlight w:val="none"/>
        </w:rPr>
        <w:t>、政府采购政策</w:t>
      </w:r>
      <w:bookmarkEnd w:id="158"/>
      <w:bookmarkEnd w:id="159"/>
      <w:bookmarkEnd w:id="160"/>
      <w:bookmarkEnd w:id="161"/>
    </w:p>
    <w:p>
      <w:pPr>
        <w:spacing w:line="360" w:lineRule="auto"/>
        <w:ind w:left="735" w:hanging="735" w:hangingChars="350"/>
        <w:rPr>
          <w:rFonts w:hint="eastAsia" w:ascii="宋体" w:hAnsi="宋体" w:eastAsia="宋体" w:cs="宋体"/>
          <w:color w:val="auto"/>
          <w:highlight w:val="none"/>
        </w:rPr>
      </w:pPr>
      <w:bookmarkStart w:id="162" w:name="_Toc430771060"/>
      <w:bookmarkStart w:id="163" w:name="_Toc430185803"/>
      <w:r>
        <w:rPr>
          <w:rFonts w:hint="eastAsia" w:ascii="宋体" w:hAnsi="宋体" w:eastAsia="宋体" w:cs="宋体"/>
          <w:color w:val="auto"/>
          <w:highlight w:val="none"/>
        </w:rPr>
        <w:t xml:space="preserve">35     </w:t>
      </w:r>
      <w:bookmarkStart w:id="164" w:name="_Hlk499217741"/>
      <w:r>
        <w:rPr>
          <w:rFonts w:hint="eastAsia" w:ascii="宋体" w:hAnsi="宋体" w:eastAsia="宋体" w:cs="宋体"/>
          <w:color w:val="auto"/>
          <w:highlight w:val="none"/>
        </w:rPr>
        <w:t>若没有明示采购进口产品的，则视为采购产品为非进口产品（进口产品指中国海关验放进入中国境内且产自关境外的产品）。</w:t>
      </w:r>
      <w:bookmarkEnd w:id="162"/>
      <w:bookmarkEnd w:id="163"/>
      <w:bookmarkEnd w:id="164"/>
    </w:p>
    <w:p>
      <w:pPr>
        <w:spacing w:line="360" w:lineRule="auto"/>
        <w:ind w:left="735" w:hanging="735" w:hangingChars="350"/>
        <w:rPr>
          <w:rFonts w:hint="eastAsia" w:ascii="宋体" w:hAnsi="宋体" w:eastAsia="宋体" w:cs="宋体"/>
          <w:color w:val="auto"/>
          <w:highlight w:val="none"/>
        </w:rPr>
      </w:pPr>
      <w:bookmarkStart w:id="165" w:name="_Toc430185804"/>
      <w:bookmarkStart w:id="166" w:name="_Toc430771061"/>
      <w:r>
        <w:rPr>
          <w:rFonts w:hint="eastAsia" w:ascii="宋体" w:hAnsi="宋体" w:eastAsia="宋体" w:cs="宋体"/>
          <w:color w:val="auto"/>
          <w:highlight w:val="none"/>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5"/>
      <w:bookmarkEnd w:id="166"/>
    </w:p>
    <w:p>
      <w:pPr>
        <w:spacing w:line="360" w:lineRule="auto"/>
        <w:ind w:left="735" w:hanging="735" w:hangingChars="350"/>
        <w:rPr>
          <w:rFonts w:hint="eastAsia" w:ascii="宋体" w:hAnsi="宋体" w:eastAsia="宋体" w:cs="宋体"/>
          <w:color w:val="auto"/>
          <w:highlight w:val="none"/>
        </w:rPr>
      </w:pPr>
      <w:bookmarkStart w:id="167" w:name="_Toc430771062"/>
      <w:bookmarkStart w:id="168" w:name="_Toc430185805"/>
      <w:r>
        <w:rPr>
          <w:rFonts w:hint="eastAsia" w:ascii="宋体" w:hAnsi="宋体" w:eastAsia="宋体" w:cs="宋体"/>
          <w:color w:val="auto"/>
          <w:highlight w:val="none"/>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http://www.ccgp.gov.cn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/）、国家环境保护总局网（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http://www.sepa.gov.cn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/）、中国绿色采购网（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"http://www.cgpn.cn"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http://www.cgpn.cn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/）上发布。</w:t>
      </w:r>
      <w:bookmarkEnd w:id="167"/>
      <w:bookmarkEnd w:id="168"/>
    </w:p>
    <w:p>
      <w:pPr>
        <w:spacing w:line="360" w:lineRule="auto"/>
        <w:ind w:left="735" w:hanging="735" w:hangingChars="350"/>
        <w:rPr>
          <w:rFonts w:hint="eastAsia" w:ascii="宋体" w:hAnsi="宋体" w:eastAsia="宋体" w:cs="宋体"/>
          <w:color w:val="auto"/>
          <w:highlight w:val="none"/>
        </w:rPr>
      </w:pPr>
      <w:bookmarkStart w:id="169" w:name="_Toc430185806"/>
      <w:bookmarkStart w:id="170" w:name="_Toc430771063"/>
      <w:r>
        <w:rPr>
          <w:rFonts w:hint="eastAsia" w:ascii="宋体" w:hAnsi="宋体" w:eastAsia="宋体" w:cs="宋体"/>
          <w:color w:val="auto"/>
          <w:highlight w:val="none"/>
        </w:rPr>
        <w:t>38     根据《关于印发《政府采购促进中小企业发展管理方法》的通知》（财库[2020]46号）的规定，投标人投标时需注意：</w:t>
      </w:r>
      <w:bookmarkEnd w:id="169"/>
      <w:bookmarkEnd w:id="170"/>
    </w:p>
    <w:p>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highlight w:val="none"/>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38.2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highlight w:val="none"/>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kern w:val="2"/>
          <w:sz w:val="21"/>
          <w:szCs w:val="24"/>
          <w:highlight w:val="none"/>
          <w:lang w:val="en-US" w:eastAsia="zh-CN" w:bidi="ar-SA"/>
        </w:rPr>
        <w:t>38.</w:t>
      </w:r>
      <w:r>
        <w:rPr>
          <w:rFonts w:hint="eastAsia" w:ascii="宋体" w:hAnsi="宋体" w:cs="宋体"/>
          <w:bCs/>
          <w:color w:val="auto"/>
          <w:kern w:val="2"/>
          <w:sz w:val="21"/>
          <w:szCs w:val="24"/>
          <w:highlight w:val="none"/>
          <w:lang w:val="en-US" w:eastAsia="zh-CN" w:bidi="ar-SA"/>
        </w:rPr>
        <w:t>5</w:t>
      </w:r>
      <w:r>
        <w:rPr>
          <w:rFonts w:hint="eastAsia" w:ascii="宋体" w:hAnsi="宋体" w:eastAsia="宋体" w:cs="宋体"/>
          <w:bCs/>
          <w:color w:val="auto"/>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auto"/>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auto"/>
          <w:highlight w:val="none"/>
        </w:rPr>
      </w:pPr>
    </w:p>
    <w:tbl>
      <w:tblPr>
        <w:tblStyle w:val="42"/>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对小型和微型企业产品的价格扣除</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评标价=总投标报价-小型和微型企业产品的价格×</w:t>
            </w:r>
            <w:r>
              <w:rPr>
                <w:rFonts w:hint="eastAsia" w:ascii="宋体" w:hAnsi="宋体" w:eastAsia="宋体" w:cs="宋体"/>
                <w:color w:val="auto"/>
                <w:szCs w:val="21"/>
                <w:highlight w:val="none"/>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对小型和微型企业产品的价格扣除</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对联合体总金额扣除</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评标价=总投标报价×（</w:t>
            </w:r>
            <w:r>
              <w:rPr>
                <w:rFonts w:hint="eastAsia" w:ascii="宋体" w:hAnsi="宋体" w:eastAsia="宋体" w:cs="宋体"/>
                <w:color w:val="auto"/>
                <w:szCs w:val="21"/>
                <w:highlight w:val="none"/>
                <w:u w:val="single"/>
              </w:rPr>
              <w:t>1-</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tc>
      </w:tr>
    </w:tbl>
    <w:p>
      <w:pPr>
        <w:rPr>
          <w:rFonts w:ascii="宋体"/>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widowControl/>
        <w:tabs>
          <w:tab w:val="left" w:pos="753"/>
        </w:tabs>
        <w:adjustRightInd w:val="0"/>
        <w:snapToGrid w:val="0"/>
        <w:spacing w:line="360" w:lineRule="auto"/>
        <w:ind w:left="753" w:hanging="753"/>
        <w:rPr>
          <w:rFonts w:ascii="宋体" w:hAnsi="宋体"/>
          <w:bCs/>
          <w:color w:val="auto"/>
          <w:szCs w:val="21"/>
          <w:highlight w:val="none"/>
        </w:rPr>
      </w:pPr>
    </w:p>
    <w:p>
      <w:pPr>
        <w:pStyle w:val="4"/>
        <w:numPr>
          <w:ilvl w:val="0"/>
          <w:numId w:val="0"/>
        </w:numPr>
        <w:spacing w:after="120" w:line="360" w:lineRule="auto"/>
        <w:jc w:val="center"/>
        <w:rPr>
          <w:rFonts w:ascii="宋体" w:hAnsi="宋体"/>
          <w:color w:val="auto"/>
          <w:sz w:val="21"/>
          <w:szCs w:val="21"/>
          <w:highlight w:val="none"/>
        </w:rPr>
      </w:pPr>
      <w:bookmarkStart w:id="171" w:name="_Toc12958"/>
      <w:r>
        <w:rPr>
          <w:rFonts w:hint="eastAsia" w:ascii="宋体" w:hAnsi="宋体"/>
          <w:color w:val="auto"/>
          <w:sz w:val="21"/>
          <w:szCs w:val="21"/>
          <w:highlight w:val="none"/>
        </w:rPr>
        <w:t>第四部分  合同书格式（参考范本）</w:t>
      </w:r>
      <w:bookmarkEnd w:id="157"/>
      <w:bookmarkEnd w:id="171"/>
    </w:p>
    <w:p>
      <w:pPr>
        <w:spacing w:line="360" w:lineRule="auto"/>
        <w:rPr>
          <w:rFonts w:ascii="宋体" w:hAnsi="宋体"/>
          <w:bCs/>
          <w:color w:val="auto"/>
          <w:szCs w:val="21"/>
          <w:highlight w:val="none"/>
        </w:rPr>
      </w:pPr>
    </w:p>
    <w:p>
      <w:pPr>
        <w:spacing w:line="480" w:lineRule="auto"/>
        <w:rPr>
          <w:rFonts w:ascii="宋体" w:hAnsi="宋体"/>
          <w:bCs/>
          <w:color w:val="auto"/>
          <w:szCs w:val="21"/>
          <w:highlight w:val="none"/>
        </w:rPr>
      </w:pPr>
      <w:r>
        <w:rPr>
          <w:rFonts w:hint="eastAsia" w:ascii="宋体" w:hAnsi="宋体"/>
          <w:bCs/>
          <w:color w:val="auto"/>
          <w:szCs w:val="21"/>
          <w:highlight w:val="none"/>
        </w:rPr>
        <w:t>甲方（采购人）：</w:t>
      </w:r>
    </w:p>
    <w:p>
      <w:pPr>
        <w:spacing w:line="480" w:lineRule="auto"/>
        <w:rPr>
          <w:rFonts w:ascii="宋体" w:hAnsi="宋体"/>
          <w:bCs/>
          <w:color w:val="auto"/>
          <w:szCs w:val="21"/>
          <w:highlight w:val="none"/>
        </w:rPr>
      </w:pPr>
      <w:r>
        <w:rPr>
          <w:rFonts w:hint="eastAsia" w:ascii="宋体" w:hAnsi="宋体"/>
          <w:bCs/>
          <w:color w:val="auto"/>
          <w:szCs w:val="21"/>
          <w:highlight w:val="none"/>
        </w:rPr>
        <w:t>乙方（成交供应商）：</w:t>
      </w:r>
    </w:p>
    <w:p>
      <w:pPr>
        <w:spacing w:line="480" w:lineRule="auto"/>
        <w:rPr>
          <w:rFonts w:ascii="宋体" w:hAnsi="宋体"/>
          <w:bCs/>
          <w:color w:val="auto"/>
          <w:szCs w:val="21"/>
          <w:highlight w:val="none"/>
        </w:rPr>
      </w:pPr>
      <w:r>
        <w:rPr>
          <w:rFonts w:ascii="宋体" w:hAnsi="宋体"/>
          <w:bCs/>
          <w:color w:val="auto"/>
          <w:szCs w:val="21"/>
          <w:highlight w:val="none"/>
        </w:rPr>
        <w:tab/>
      </w:r>
    </w:p>
    <w:p>
      <w:pPr>
        <w:spacing w:line="480" w:lineRule="auto"/>
        <w:rPr>
          <w:rFonts w:ascii="宋体" w:hAnsi="宋体"/>
          <w:bCs/>
          <w:color w:val="auto"/>
          <w:highlight w:val="none"/>
        </w:rPr>
      </w:pPr>
      <w:r>
        <w:rPr>
          <w:rFonts w:hint="eastAsia" w:ascii="宋体" w:hAnsi="宋体"/>
          <w:bCs/>
          <w:color w:val="auto"/>
          <w:szCs w:val="21"/>
          <w:highlight w:val="none"/>
        </w:rPr>
        <w:t xml:space="preserve">    甲乙双方根据</w:t>
      </w:r>
      <w:r>
        <w:rPr>
          <w:rFonts w:ascii="宋体" w:hAnsi="宋体"/>
          <w:bCs/>
          <w:color w:val="auto"/>
          <w:szCs w:val="21"/>
          <w:highlight w:val="none"/>
        </w:rPr>
        <w:t>年月日</w:t>
      </w:r>
      <w:r>
        <w:rPr>
          <w:rFonts w:hint="eastAsia" w:ascii="宋体" w:hAnsi="宋体" w:cs="宋体"/>
          <w:color w:val="auto"/>
          <w:szCs w:val="21"/>
          <w:highlight w:val="none"/>
          <w:u w:val="single"/>
        </w:rPr>
        <w:t xml:space="preserve">  采购项目名称  </w:t>
      </w:r>
      <w:r>
        <w:rPr>
          <w:rFonts w:hint="eastAsia" w:ascii="宋体" w:hAnsi="宋体"/>
          <w:bCs/>
          <w:color w:val="auto"/>
          <w:szCs w:val="21"/>
          <w:highlight w:val="none"/>
        </w:rPr>
        <w:t>（项目编号:</w:t>
      </w:r>
      <w:r>
        <w:rPr>
          <w:rFonts w:hint="eastAsia" w:ascii="宋体" w:hAnsi="宋体"/>
          <w:bCs/>
          <w:color w:val="auto"/>
          <w:szCs w:val="21"/>
          <w:highlight w:val="none"/>
          <w:u w:val="single"/>
        </w:rPr>
        <w:t xml:space="preserve">           </w:t>
      </w:r>
      <w:r>
        <w:rPr>
          <w:rFonts w:hint="eastAsia" w:ascii="宋体" w:hAnsi="宋体"/>
          <w:bCs/>
          <w:color w:val="auto"/>
          <w:szCs w:val="21"/>
          <w:highlight w:val="none"/>
        </w:rPr>
        <w:t>）招标结果和有关招、报价文件的要求，经双方协商一致，订立以下合同：</w:t>
      </w:r>
    </w:p>
    <w:p>
      <w:pPr>
        <w:tabs>
          <w:tab w:val="left" w:pos="1004"/>
        </w:tabs>
        <w:spacing w:line="480" w:lineRule="auto"/>
        <w:ind w:right="31" w:rightChars="15"/>
        <w:rPr>
          <w:rFonts w:ascii="宋体" w:hAnsi="宋体"/>
          <w:bCs/>
          <w:color w:val="auto"/>
          <w:szCs w:val="21"/>
          <w:highlight w:val="none"/>
        </w:rPr>
      </w:pPr>
      <w:r>
        <w:rPr>
          <w:rFonts w:hint="eastAsia" w:ascii="宋体" w:hAnsi="宋体"/>
          <w:bCs/>
          <w:color w:val="auto"/>
          <w:szCs w:val="21"/>
          <w:highlight w:val="none"/>
        </w:rPr>
        <w:t xml:space="preserve">第一条  </w:t>
      </w:r>
      <w:r>
        <w:rPr>
          <w:rFonts w:hint="eastAsia" w:ascii="宋体" w:hAnsi="宋体"/>
          <w:bCs/>
          <w:color w:val="auto"/>
          <w:szCs w:val="21"/>
          <w:highlight w:val="none"/>
        </w:rPr>
        <w:tab/>
      </w:r>
      <w:r>
        <w:rPr>
          <w:rFonts w:hint="eastAsia" w:ascii="宋体" w:hAnsi="宋体"/>
          <w:bCs/>
          <w:color w:val="auto"/>
          <w:szCs w:val="21"/>
          <w:highlight w:val="none"/>
        </w:rPr>
        <w:t>项目的名称、单价、总价，项目所包含服务的范围</w:t>
      </w:r>
    </w:p>
    <w:p>
      <w:pPr>
        <w:tabs>
          <w:tab w:val="left" w:pos="1004"/>
        </w:tabs>
        <w:spacing w:line="480" w:lineRule="auto"/>
        <w:ind w:right="31" w:rightChars="15" w:firstLine="1003" w:firstLineChars="478"/>
        <w:rPr>
          <w:rFonts w:ascii="宋体" w:hAnsi="宋体"/>
          <w:bCs/>
          <w:color w:val="auto"/>
          <w:szCs w:val="21"/>
          <w:highlight w:val="none"/>
        </w:rPr>
      </w:pPr>
      <w:r>
        <w:rPr>
          <w:rFonts w:hint="eastAsia" w:ascii="宋体" w:hAnsi="宋体"/>
          <w:bCs/>
          <w:color w:val="auto"/>
          <w:szCs w:val="21"/>
          <w:highlight w:val="none"/>
        </w:rPr>
        <w:t>1. 项目名称：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w:t>
      </w:r>
    </w:p>
    <w:p>
      <w:pPr>
        <w:tabs>
          <w:tab w:val="left" w:pos="1004"/>
        </w:tabs>
        <w:spacing w:line="480" w:lineRule="auto"/>
        <w:ind w:right="31" w:rightChars="15" w:firstLine="1003" w:firstLineChars="478"/>
        <w:rPr>
          <w:rFonts w:ascii="宋体" w:hAnsi="宋体"/>
          <w:bCs/>
          <w:color w:val="auto"/>
          <w:szCs w:val="21"/>
          <w:highlight w:val="none"/>
        </w:rPr>
      </w:pPr>
      <w:r>
        <w:rPr>
          <w:rFonts w:hint="eastAsia" w:ascii="宋体" w:hAnsi="宋体"/>
          <w:bCs/>
          <w:color w:val="auto"/>
          <w:szCs w:val="21"/>
          <w:highlight w:val="none"/>
        </w:rPr>
        <w:t>2. 服务范围：</w:t>
      </w:r>
      <w:r>
        <w:rPr>
          <w:rFonts w:hint="eastAsia" w:ascii="宋体" w:hAnsi="宋体"/>
          <w:bCs/>
          <w:color w:val="auto"/>
          <w:szCs w:val="21"/>
          <w:highlight w:val="none"/>
          <w:u w:val="single"/>
        </w:rPr>
        <w:t xml:space="preserve">（另附）                               </w:t>
      </w:r>
      <w:r>
        <w:rPr>
          <w:rFonts w:hint="eastAsia" w:ascii="宋体" w:hAnsi="宋体"/>
          <w:bCs/>
          <w:color w:val="auto"/>
          <w:szCs w:val="21"/>
          <w:highlight w:val="none"/>
        </w:rPr>
        <w:t>；</w:t>
      </w:r>
    </w:p>
    <w:p>
      <w:pPr>
        <w:tabs>
          <w:tab w:val="left" w:pos="1004"/>
        </w:tabs>
        <w:spacing w:line="480" w:lineRule="auto"/>
        <w:ind w:right="31" w:rightChars="15" w:firstLine="1003" w:firstLineChars="478"/>
        <w:rPr>
          <w:rFonts w:ascii="宋体" w:hAnsi="宋体"/>
          <w:bCs/>
          <w:color w:val="auto"/>
          <w:szCs w:val="21"/>
          <w:highlight w:val="none"/>
          <w:u w:val="single"/>
        </w:rPr>
      </w:pPr>
      <w:r>
        <w:rPr>
          <w:rFonts w:hint="eastAsia" w:ascii="宋体" w:hAnsi="宋体"/>
          <w:bCs/>
          <w:color w:val="auto"/>
          <w:szCs w:val="21"/>
          <w:highlight w:val="none"/>
        </w:rPr>
        <w:t>3. 项目总价：</w:t>
      </w:r>
      <w:r>
        <w:rPr>
          <w:rFonts w:hint="eastAsia" w:ascii="宋体" w:hAnsi="宋体"/>
          <w:bCs/>
          <w:color w:val="auto"/>
          <w:szCs w:val="21"/>
          <w:highlight w:val="none"/>
          <w:u w:val="single"/>
        </w:rPr>
        <w:t xml:space="preserve">（小写）                               </w:t>
      </w:r>
    </w:p>
    <w:p>
      <w:pPr>
        <w:tabs>
          <w:tab w:val="left" w:pos="1004"/>
        </w:tabs>
        <w:spacing w:line="480" w:lineRule="auto"/>
        <w:ind w:right="31" w:rightChars="15" w:firstLine="2261" w:firstLineChars="1077"/>
        <w:rPr>
          <w:rFonts w:ascii="宋体" w:hAnsi="宋体"/>
          <w:bCs/>
          <w:color w:val="auto"/>
          <w:szCs w:val="21"/>
          <w:highlight w:val="none"/>
          <w:u w:val="single"/>
        </w:rPr>
      </w:pPr>
      <w:r>
        <w:rPr>
          <w:rFonts w:hint="eastAsia" w:ascii="宋体" w:hAnsi="宋体"/>
          <w:bCs/>
          <w:color w:val="auto"/>
          <w:szCs w:val="21"/>
          <w:highlight w:val="none"/>
          <w:u w:val="single"/>
        </w:rPr>
        <w:t xml:space="preserve">（大写）                               </w:t>
      </w:r>
    </w:p>
    <w:p>
      <w:pPr>
        <w:tabs>
          <w:tab w:val="left" w:pos="1004"/>
        </w:tabs>
        <w:spacing w:line="480" w:lineRule="auto"/>
        <w:ind w:right="31" w:rightChars="15" w:firstLine="1003" w:firstLineChars="478"/>
        <w:rPr>
          <w:rFonts w:ascii="宋体" w:hAnsi="宋体"/>
          <w:bCs/>
          <w:color w:val="auto"/>
          <w:szCs w:val="21"/>
          <w:highlight w:val="none"/>
        </w:rPr>
      </w:pPr>
      <w:r>
        <w:rPr>
          <w:rFonts w:hint="eastAsia" w:ascii="宋体" w:hAnsi="宋体"/>
          <w:bCs/>
          <w:color w:val="auto"/>
          <w:szCs w:val="21"/>
          <w:highlight w:val="none"/>
        </w:rPr>
        <w:t>甲方不再另付任何费用。项目总价为完成项目含税的全包价。</w:t>
      </w:r>
    </w:p>
    <w:p>
      <w:pPr>
        <w:tabs>
          <w:tab w:val="left" w:pos="1004"/>
        </w:tabs>
        <w:spacing w:line="480" w:lineRule="auto"/>
        <w:ind w:right="31" w:rightChars="15"/>
        <w:rPr>
          <w:rFonts w:ascii="宋体" w:hAnsi="宋体"/>
          <w:bCs/>
          <w:color w:val="auto"/>
          <w:szCs w:val="21"/>
          <w:highlight w:val="none"/>
        </w:rPr>
      </w:pPr>
      <w:r>
        <w:rPr>
          <w:rFonts w:hint="eastAsia" w:ascii="宋体" w:hAnsi="宋体"/>
          <w:bCs/>
          <w:color w:val="auto"/>
          <w:szCs w:val="21"/>
          <w:highlight w:val="none"/>
        </w:rPr>
        <w:t xml:space="preserve">第二条  </w:t>
      </w:r>
      <w:r>
        <w:rPr>
          <w:rFonts w:hint="eastAsia" w:ascii="宋体" w:hAnsi="宋体"/>
          <w:bCs/>
          <w:color w:val="auto"/>
          <w:szCs w:val="21"/>
          <w:highlight w:val="none"/>
        </w:rPr>
        <w:tab/>
      </w:r>
      <w:r>
        <w:rPr>
          <w:rFonts w:hint="eastAsia" w:ascii="宋体" w:hAnsi="宋体"/>
          <w:bCs/>
          <w:color w:val="auto"/>
          <w:szCs w:val="21"/>
          <w:highlight w:val="none"/>
        </w:rPr>
        <w:t>服务的质量要求、售后服务、培训费用及损害赔偿。</w:t>
      </w:r>
    </w:p>
    <w:p>
      <w:pPr>
        <w:tabs>
          <w:tab w:val="left" w:pos="1004"/>
        </w:tabs>
        <w:spacing w:line="480" w:lineRule="auto"/>
        <w:ind w:right="31" w:rightChars="15"/>
        <w:rPr>
          <w:rFonts w:ascii="宋体" w:hAnsi="宋体"/>
          <w:bCs/>
          <w:color w:val="auto"/>
          <w:szCs w:val="21"/>
          <w:highlight w:val="none"/>
        </w:rPr>
      </w:pPr>
      <w:r>
        <w:rPr>
          <w:rFonts w:hint="eastAsia" w:ascii="宋体" w:hAnsi="宋体"/>
          <w:bCs/>
          <w:color w:val="auto"/>
          <w:szCs w:val="21"/>
          <w:highlight w:val="none"/>
        </w:rPr>
        <w:t>第三条</w:t>
      </w:r>
      <w:r>
        <w:rPr>
          <w:rFonts w:hint="eastAsia" w:ascii="宋体" w:hAnsi="宋体"/>
          <w:bCs/>
          <w:color w:val="auto"/>
          <w:szCs w:val="21"/>
          <w:highlight w:val="none"/>
        </w:rPr>
        <w:tab/>
      </w:r>
      <w:r>
        <w:rPr>
          <w:rFonts w:hint="eastAsia" w:ascii="宋体" w:hAnsi="宋体"/>
          <w:bCs/>
          <w:color w:val="auto"/>
          <w:szCs w:val="21"/>
          <w:highlight w:val="none"/>
        </w:rPr>
        <w:t>服务和验收</w:t>
      </w:r>
    </w:p>
    <w:p>
      <w:pPr>
        <w:tabs>
          <w:tab w:val="left" w:pos="1004"/>
        </w:tabs>
        <w:spacing w:line="480" w:lineRule="auto"/>
        <w:ind w:right="31" w:rightChars="15"/>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1.服务期：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w:t>
      </w:r>
    </w:p>
    <w:p>
      <w:pPr>
        <w:tabs>
          <w:tab w:val="left" w:pos="1004"/>
        </w:tabs>
        <w:spacing w:line="480" w:lineRule="auto"/>
        <w:ind w:right="31" w:rightChars="15"/>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2.服务地点：</w:t>
      </w:r>
      <w:r>
        <w:rPr>
          <w:rFonts w:hint="eastAsia" w:ascii="宋体" w:hAnsi="宋体"/>
          <w:bCs/>
          <w:color w:val="auto"/>
          <w:szCs w:val="21"/>
          <w:highlight w:val="none"/>
          <w:u w:val="single"/>
        </w:rPr>
        <w:t xml:space="preserve">                               </w:t>
      </w:r>
      <w:r>
        <w:rPr>
          <w:rFonts w:hint="eastAsia" w:ascii="宋体" w:hAnsi="宋体"/>
          <w:bCs/>
          <w:color w:val="auto"/>
          <w:szCs w:val="21"/>
          <w:highlight w:val="none"/>
        </w:rPr>
        <w:t>。</w:t>
      </w:r>
    </w:p>
    <w:p>
      <w:pPr>
        <w:tabs>
          <w:tab w:val="left" w:pos="1004"/>
        </w:tabs>
        <w:spacing w:line="480" w:lineRule="auto"/>
        <w:ind w:left="1361" w:leftChars="428" w:right="31" w:rightChars="15" w:hanging="462" w:hangingChars="220"/>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3.验收时间：</w:t>
      </w:r>
      <w:r>
        <w:rPr>
          <w:rFonts w:hint="eastAsia" w:ascii="宋体" w:hAnsi="宋体"/>
          <w:bCs/>
          <w:color w:val="auto"/>
          <w:szCs w:val="21"/>
          <w:highlight w:val="none"/>
          <w:u w:val="single"/>
        </w:rPr>
        <w:t xml:space="preserve">                               </w:t>
      </w:r>
      <w:r>
        <w:rPr>
          <w:rFonts w:hint="eastAsia" w:ascii="宋体" w:hAnsi="宋体"/>
          <w:bCs/>
          <w:color w:val="auto"/>
          <w:szCs w:val="21"/>
          <w:highlight w:val="none"/>
        </w:rPr>
        <w:t>。</w:t>
      </w:r>
    </w:p>
    <w:p>
      <w:pPr>
        <w:tabs>
          <w:tab w:val="left" w:pos="1004"/>
        </w:tabs>
        <w:spacing w:line="480" w:lineRule="auto"/>
        <w:ind w:right="31" w:rightChars="15"/>
        <w:rPr>
          <w:rFonts w:ascii="宋体" w:hAnsi="宋体"/>
          <w:bCs/>
          <w:color w:val="auto"/>
          <w:szCs w:val="21"/>
          <w:highlight w:val="none"/>
          <w:u w:val="single"/>
        </w:rPr>
      </w:pPr>
      <w:r>
        <w:rPr>
          <w:rFonts w:hint="eastAsia" w:ascii="宋体" w:hAnsi="宋体"/>
          <w:bCs/>
          <w:color w:val="auto"/>
          <w:szCs w:val="21"/>
          <w:highlight w:val="none"/>
        </w:rPr>
        <w:tab/>
      </w:r>
      <w:r>
        <w:rPr>
          <w:rFonts w:hint="eastAsia" w:ascii="宋体" w:hAnsi="宋体"/>
          <w:bCs/>
          <w:color w:val="auto"/>
          <w:szCs w:val="21"/>
          <w:highlight w:val="none"/>
        </w:rPr>
        <w:t>4.服务验收方式：</w:t>
      </w:r>
      <w:r>
        <w:rPr>
          <w:rFonts w:hint="eastAsia" w:ascii="宋体" w:hAnsi="宋体"/>
          <w:bCs/>
          <w:color w:val="auto"/>
          <w:szCs w:val="21"/>
          <w:highlight w:val="none"/>
          <w:u w:val="single"/>
        </w:rPr>
        <w:t xml:space="preserve">                           </w:t>
      </w:r>
      <w:r>
        <w:rPr>
          <w:rFonts w:hint="eastAsia" w:ascii="宋体" w:hAnsi="宋体"/>
          <w:bCs/>
          <w:color w:val="auto"/>
          <w:szCs w:val="21"/>
          <w:highlight w:val="none"/>
        </w:rPr>
        <w:t>。</w:t>
      </w:r>
    </w:p>
    <w:p>
      <w:pPr>
        <w:spacing w:line="480" w:lineRule="auto"/>
        <w:ind w:right="31" w:rightChars="15" w:firstLine="1050" w:firstLineChars="500"/>
        <w:rPr>
          <w:rFonts w:ascii="宋体" w:hAnsi="宋体"/>
          <w:color w:val="auto"/>
          <w:szCs w:val="21"/>
          <w:highlight w:val="none"/>
        </w:rPr>
      </w:pPr>
      <w:r>
        <w:rPr>
          <w:rFonts w:hint="eastAsia" w:ascii="宋体" w:hAnsi="宋体"/>
          <w:color w:val="auto"/>
          <w:szCs w:val="21"/>
          <w:highlight w:val="none"/>
        </w:rPr>
        <w:t>5.验收标准：</w:t>
      </w:r>
    </w:p>
    <w:p>
      <w:pPr>
        <w:numPr>
          <w:ilvl w:val="6"/>
          <w:numId w:val="14"/>
        </w:numPr>
        <w:tabs>
          <w:tab w:val="left" w:pos="1680"/>
        </w:tabs>
        <w:spacing w:line="480" w:lineRule="auto"/>
        <w:ind w:left="1680" w:hanging="315"/>
        <w:rPr>
          <w:rFonts w:ascii="宋体" w:hAnsi="宋体"/>
          <w:bCs/>
          <w:color w:val="auto"/>
          <w:szCs w:val="21"/>
          <w:highlight w:val="none"/>
        </w:rPr>
      </w:pPr>
      <w:r>
        <w:rPr>
          <w:rFonts w:hint="eastAsia" w:ascii="宋体" w:hAnsi="宋体"/>
          <w:color w:val="auto"/>
          <w:szCs w:val="21"/>
          <w:highlight w:val="none"/>
        </w:rPr>
        <w:t>质量符合报价文件和报价文件的要求；</w:t>
      </w:r>
    </w:p>
    <w:p>
      <w:pPr>
        <w:numPr>
          <w:ilvl w:val="6"/>
          <w:numId w:val="14"/>
        </w:numPr>
        <w:tabs>
          <w:tab w:val="left" w:pos="1680"/>
          <w:tab w:val="clear" w:pos="4830"/>
        </w:tabs>
        <w:spacing w:line="480" w:lineRule="auto"/>
        <w:ind w:left="1680" w:right="31" w:rightChars="15" w:hanging="315"/>
        <w:rPr>
          <w:rFonts w:ascii="宋体" w:hAnsi="宋体"/>
          <w:bCs/>
          <w:color w:val="auto"/>
          <w:szCs w:val="21"/>
          <w:highlight w:val="none"/>
        </w:rPr>
      </w:pPr>
      <w:r>
        <w:rPr>
          <w:rFonts w:hint="eastAsia" w:ascii="宋体" w:hAnsi="宋体"/>
          <w:bCs/>
          <w:color w:val="auto"/>
          <w:szCs w:val="21"/>
          <w:highlight w:val="none"/>
        </w:rPr>
        <w:t>双方约定的其他验收标准。</w:t>
      </w:r>
      <w:r>
        <w:rPr>
          <w:rFonts w:hint="eastAsia" w:ascii="宋体" w:hAnsi="宋体"/>
          <w:bCs/>
          <w:color w:val="auto"/>
          <w:szCs w:val="21"/>
          <w:highlight w:val="none"/>
        </w:rPr>
        <w:tab/>
      </w:r>
    </w:p>
    <w:p>
      <w:pPr>
        <w:tabs>
          <w:tab w:val="left" w:pos="1004"/>
        </w:tabs>
        <w:spacing w:line="480" w:lineRule="auto"/>
        <w:ind w:right="31" w:rightChars="15"/>
        <w:rPr>
          <w:rFonts w:ascii="宋体" w:hAnsi="宋体"/>
          <w:bCs/>
          <w:color w:val="auto"/>
          <w:szCs w:val="21"/>
          <w:highlight w:val="none"/>
        </w:rPr>
      </w:pPr>
      <w:r>
        <w:rPr>
          <w:rFonts w:hint="eastAsia" w:ascii="宋体" w:hAnsi="宋体"/>
          <w:bCs/>
          <w:color w:val="auto"/>
          <w:szCs w:val="21"/>
          <w:highlight w:val="none"/>
        </w:rPr>
        <w:t>第四条   价款的结算、付款时间</w:t>
      </w:r>
    </w:p>
    <w:p>
      <w:pPr>
        <w:numPr>
          <w:ilvl w:val="0"/>
          <w:numId w:val="15"/>
        </w:numPr>
        <w:tabs>
          <w:tab w:val="left" w:pos="945"/>
        </w:tabs>
        <w:adjustRightInd w:val="0"/>
        <w:snapToGrid w:val="0"/>
        <w:spacing w:line="480" w:lineRule="auto"/>
        <w:ind w:right="31" w:rightChars="15"/>
        <w:rPr>
          <w:rFonts w:ascii="宋体" w:hAnsi="宋体"/>
          <w:bCs/>
          <w:color w:val="auto"/>
          <w:szCs w:val="21"/>
          <w:highlight w:val="none"/>
        </w:rPr>
      </w:pPr>
      <w:r>
        <w:rPr>
          <w:rFonts w:hint="eastAsia" w:ascii="宋体" w:hAnsi="宋体"/>
          <w:bCs/>
          <w:color w:val="auto"/>
          <w:szCs w:val="21"/>
          <w:highlight w:val="none"/>
        </w:rPr>
        <w:t>付款方式：</w:t>
      </w:r>
      <w:r>
        <w:rPr>
          <w:rFonts w:hint="eastAsia" w:ascii="宋体" w:hAnsi="宋体"/>
          <w:bCs/>
          <w:color w:val="auto"/>
          <w:szCs w:val="21"/>
          <w:highlight w:val="none"/>
          <w:u w:val="single"/>
        </w:rPr>
        <w:t xml:space="preserve">                               </w:t>
      </w:r>
      <w:r>
        <w:rPr>
          <w:rFonts w:hint="eastAsia" w:ascii="宋体" w:hAnsi="宋体"/>
          <w:bCs/>
          <w:color w:val="auto"/>
          <w:szCs w:val="21"/>
          <w:highlight w:val="none"/>
        </w:rPr>
        <w:t>。</w:t>
      </w:r>
    </w:p>
    <w:p>
      <w:pPr>
        <w:numPr>
          <w:ilvl w:val="0"/>
          <w:numId w:val="15"/>
        </w:numPr>
        <w:tabs>
          <w:tab w:val="left" w:pos="1155"/>
          <w:tab w:val="clear" w:pos="1203"/>
        </w:tabs>
        <w:adjustRightInd w:val="0"/>
        <w:snapToGrid w:val="0"/>
        <w:spacing w:line="480" w:lineRule="auto"/>
        <w:ind w:right="31" w:rightChars="15"/>
        <w:rPr>
          <w:rFonts w:ascii="宋体" w:hAnsi="宋体"/>
          <w:color w:val="auto"/>
          <w:szCs w:val="21"/>
          <w:highlight w:val="none"/>
        </w:rPr>
      </w:pPr>
      <w:r>
        <w:rPr>
          <w:rFonts w:hint="eastAsia" w:ascii="宋体" w:hAnsi="宋体"/>
          <w:bCs/>
          <w:color w:val="auto"/>
          <w:szCs w:val="21"/>
          <w:highlight w:val="none"/>
        </w:rPr>
        <w:t>付款时间：</w:t>
      </w:r>
      <w:r>
        <w:rPr>
          <w:rFonts w:hint="eastAsia" w:ascii="宋体" w:hAnsi="宋体"/>
          <w:bCs/>
          <w:color w:val="auto"/>
          <w:szCs w:val="21"/>
          <w:highlight w:val="none"/>
          <w:u w:val="single"/>
        </w:rPr>
        <w:t xml:space="preserve">                               </w:t>
      </w:r>
      <w:r>
        <w:rPr>
          <w:rFonts w:hint="eastAsia" w:ascii="宋体" w:hAnsi="宋体"/>
          <w:bCs/>
          <w:color w:val="auto"/>
          <w:szCs w:val="21"/>
          <w:highlight w:val="none"/>
        </w:rPr>
        <w:t>。</w:t>
      </w:r>
    </w:p>
    <w:p>
      <w:pPr>
        <w:tabs>
          <w:tab w:val="left" w:pos="945"/>
        </w:tabs>
        <w:adjustRightInd w:val="0"/>
        <w:snapToGrid w:val="0"/>
        <w:spacing w:line="480" w:lineRule="auto"/>
        <w:ind w:left="945" w:right="31" w:rightChars="15" w:hanging="945" w:hangingChars="450"/>
        <w:rPr>
          <w:rFonts w:ascii="宋体" w:hAnsi="宋体"/>
          <w:bCs/>
          <w:color w:val="auto"/>
          <w:szCs w:val="21"/>
          <w:highlight w:val="none"/>
        </w:rPr>
      </w:pPr>
      <w:r>
        <w:rPr>
          <w:rFonts w:hint="eastAsia" w:ascii="宋体" w:hAnsi="宋体"/>
          <w:bCs/>
          <w:color w:val="auto"/>
          <w:szCs w:val="21"/>
          <w:highlight w:val="none"/>
        </w:rPr>
        <w:t>第五条   对产品异议的时间和办法</w:t>
      </w:r>
    </w:p>
    <w:p>
      <w:pPr>
        <w:tabs>
          <w:tab w:val="left" w:pos="1255"/>
        </w:tabs>
        <w:spacing w:line="480" w:lineRule="auto"/>
        <w:ind w:left="1258" w:leftChars="429" w:right="31" w:rightChars="15" w:hanging="357" w:hangingChars="170"/>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rPr>
        <w:tab/>
      </w:r>
      <w:r>
        <w:rPr>
          <w:rFonts w:hint="eastAsia" w:ascii="宋体" w:hAnsi="宋体"/>
          <w:bCs/>
          <w:color w:val="auto"/>
          <w:szCs w:val="21"/>
          <w:highlight w:val="none"/>
        </w:rPr>
        <w:t>甲方在验收中，如果发现乙方所提供的服务质量或相关服务不合规定的，在</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日内向乙方提出书面异议；甲方怠于通知乙方的，视为乙方所提供的服务合乎规定。</w:t>
      </w:r>
    </w:p>
    <w:p>
      <w:pPr>
        <w:tabs>
          <w:tab w:val="left" w:pos="1255"/>
        </w:tabs>
        <w:spacing w:line="480" w:lineRule="auto"/>
        <w:ind w:left="1258" w:leftChars="429" w:right="31" w:rightChars="15" w:hanging="357" w:hangingChars="170"/>
        <w:rPr>
          <w:rFonts w:ascii="宋体" w:hAnsi="宋体"/>
          <w:bCs/>
          <w:color w:val="auto"/>
          <w:szCs w:val="21"/>
          <w:highlight w:val="none"/>
        </w:rPr>
      </w:pPr>
      <w:r>
        <w:rPr>
          <w:rFonts w:hint="eastAsia" w:ascii="宋体" w:hAnsi="宋体"/>
          <w:bCs/>
          <w:color w:val="auto"/>
          <w:szCs w:val="21"/>
          <w:highlight w:val="none"/>
        </w:rPr>
        <w:t>2. 乙方在接到甲方书面异议后，应在</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日历日内负责处理，否则，即视为默认甲方提出的异议和处理意见。</w:t>
      </w:r>
    </w:p>
    <w:p>
      <w:pPr>
        <w:tabs>
          <w:tab w:val="left" w:pos="1004"/>
        </w:tabs>
        <w:spacing w:line="480" w:lineRule="auto"/>
        <w:rPr>
          <w:rFonts w:ascii="宋体" w:hAnsi="宋体"/>
          <w:bCs/>
          <w:color w:val="auto"/>
          <w:szCs w:val="21"/>
          <w:highlight w:val="none"/>
        </w:rPr>
      </w:pPr>
    </w:p>
    <w:p>
      <w:pPr>
        <w:tabs>
          <w:tab w:val="left" w:pos="1004"/>
        </w:tabs>
        <w:spacing w:line="480" w:lineRule="auto"/>
        <w:rPr>
          <w:rFonts w:ascii="宋体" w:hAnsi="宋体"/>
          <w:bCs/>
          <w:color w:val="auto"/>
          <w:szCs w:val="21"/>
          <w:highlight w:val="none"/>
        </w:rPr>
      </w:pPr>
      <w:r>
        <w:rPr>
          <w:rFonts w:hint="eastAsia" w:ascii="宋体" w:hAnsi="宋体"/>
          <w:bCs/>
          <w:color w:val="auto"/>
          <w:szCs w:val="21"/>
          <w:highlight w:val="none"/>
        </w:rPr>
        <w:t>第六条   乙方的违约责任</w:t>
      </w:r>
    </w:p>
    <w:p>
      <w:pPr>
        <w:tabs>
          <w:tab w:val="left" w:pos="1004"/>
        </w:tabs>
        <w:spacing w:line="480" w:lineRule="auto"/>
        <w:rPr>
          <w:rFonts w:ascii="宋体" w:hAnsi="宋体"/>
          <w:bCs/>
          <w:color w:val="auto"/>
          <w:szCs w:val="21"/>
          <w:highlight w:val="none"/>
        </w:rPr>
      </w:pPr>
      <w:r>
        <w:rPr>
          <w:rFonts w:hint="eastAsia" w:ascii="宋体" w:hAnsi="宋体"/>
          <w:bCs/>
          <w:color w:val="auto"/>
          <w:szCs w:val="21"/>
          <w:highlight w:val="none"/>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pPr>
        <w:tabs>
          <w:tab w:val="left" w:pos="1004"/>
        </w:tabs>
        <w:spacing w:line="480" w:lineRule="auto"/>
        <w:rPr>
          <w:rFonts w:ascii="宋体" w:hAnsi="宋体"/>
          <w:bCs/>
          <w:color w:val="auto"/>
          <w:szCs w:val="21"/>
          <w:highlight w:val="none"/>
        </w:rPr>
      </w:pPr>
      <w:r>
        <w:rPr>
          <w:rFonts w:hint="eastAsia" w:ascii="宋体" w:hAnsi="宋体"/>
          <w:bCs/>
          <w:color w:val="auto"/>
          <w:szCs w:val="21"/>
          <w:highlight w:val="none"/>
        </w:rPr>
        <w:t xml:space="preserve">    2. 每推迟一天按总价的</w:t>
      </w:r>
      <w:r>
        <w:rPr>
          <w:rFonts w:hint="eastAsia" w:ascii="宋体" w:hAnsi="宋体"/>
          <w:bCs/>
          <w:color w:val="auto"/>
          <w:szCs w:val="21"/>
          <w:highlight w:val="none"/>
          <w:u w:val="single"/>
        </w:rPr>
        <w:t xml:space="preserve">    </w:t>
      </w:r>
      <w:r>
        <w:rPr>
          <w:rFonts w:hint="eastAsia" w:ascii="宋体" w:hAnsi="宋体"/>
          <w:bCs/>
          <w:color w:val="auto"/>
          <w:szCs w:val="21"/>
          <w:highlight w:val="none"/>
        </w:rPr>
        <w:t>罚款。</w:t>
      </w:r>
    </w:p>
    <w:p>
      <w:pPr>
        <w:tabs>
          <w:tab w:val="left" w:pos="1004"/>
        </w:tabs>
        <w:spacing w:line="480" w:lineRule="auto"/>
        <w:rPr>
          <w:rFonts w:ascii="宋体" w:hAnsi="宋体"/>
          <w:bCs/>
          <w:color w:val="auto"/>
          <w:szCs w:val="21"/>
          <w:highlight w:val="none"/>
        </w:rPr>
      </w:pPr>
      <w:r>
        <w:rPr>
          <w:rFonts w:hint="eastAsia" w:ascii="宋体" w:hAnsi="宋体"/>
          <w:bCs/>
          <w:color w:val="auto"/>
          <w:szCs w:val="21"/>
          <w:highlight w:val="none"/>
        </w:rPr>
        <w:t>第七条</w:t>
      </w:r>
      <w:r>
        <w:rPr>
          <w:rFonts w:hint="eastAsia" w:ascii="宋体" w:hAnsi="宋体"/>
          <w:bCs/>
          <w:color w:val="auto"/>
          <w:szCs w:val="21"/>
          <w:highlight w:val="none"/>
        </w:rPr>
        <w:tab/>
      </w:r>
      <w:r>
        <w:rPr>
          <w:rFonts w:hint="eastAsia" w:ascii="宋体" w:hAnsi="宋体"/>
          <w:bCs/>
          <w:color w:val="auto"/>
          <w:szCs w:val="21"/>
          <w:highlight w:val="none"/>
        </w:rPr>
        <w:t>甲方的违约责任</w:t>
      </w:r>
    </w:p>
    <w:p>
      <w:pPr>
        <w:tabs>
          <w:tab w:val="left" w:pos="1004"/>
        </w:tabs>
        <w:spacing w:line="480" w:lineRule="auto"/>
        <w:ind w:firstLine="420" w:firstLineChars="200"/>
        <w:rPr>
          <w:rFonts w:ascii="宋体" w:hAnsi="宋体"/>
          <w:bCs/>
          <w:color w:val="auto"/>
          <w:szCs w:val="21"/>
          <w:highlight w:val="none"/>
        </w:rPr>
      </w:pPr>
      <w:r>
        <w:rPr>
          <w:rFonts w:hint="eastAsia" w:ascii="宋体" w:hAnsi="宋体"/>
          <w:bCs/>
          <w:color w:val="auto"/>
          <w:szCs w:val="21"/>
          <w:highlight w:val="none"/>
        </w:rPr>
        <w:t>1. 甲方逾期付款的，每日应向乙方偿付合同总额的</w:t>
      </w:r>
      <w:r>
        <w:rPr>
          <w:rFonts w:hint="eastAsia" w:ascii="宋体" w:hAnsi="宋体"/>
          <w:bCs/>
          <w:color w:val="auto"/>
          <w:szCs w:val="21"/>
          <w:highlight w:val="none"/>
          <w:u w:val="single"/>
        </w:rPr>
        <w:t xml:space="preserve">    </w:t>
      </w:r>
      <w:r>
        <w:rPr>
          <w:rFonts w:hint="eastAsia" w:ascii="宋体" w:hAnsi="宋体"/>
          <w:bCs/>
          <w:color w:val="auto"/>
          <w:szCs w:val="21"/>
          <w:highlight w:val="none"/>
        </w:rPr>
        <w:t>作为违约金。</w:t>
      </w:r>
    </w:p>
    <w:p>
      <w:pPr>
        <w:tabs>
          <w:tab w:val="left" w:pos="1004"/>
        </w:tabs>
        <w:spacing w:line="480" w:lineRule="auto"/>
        <w:ind w:firstLine="420" w:firstLineChars="200"/>
        <w:rPr>
          <w:rFonts w:ascii="宋体" w:hAnsi="宋体"/>
          <w:bCs/>
          <w:color w:val="auto"/>
          <w:szCs w:val="21"/>
          <w:highlight w:val="none"/>
        </w:rPr>
      </w:pPr>
      <w:r>
        <w:rPr>
          <w:rFonts w:hint="eastAsia" w:ascii="宋体" w:hAnsi="宋体"/>
          <w:bCs/>
          <w:color w:val="auto"/>
          <w:szCs w:val="21"/>
          <w:highlight w:val="none"/>
        </w:rPr>
        <w:t>2. 甲方违反合同规定拒绝接货的，应当承担由此对乙方造成的损失。</w:t>
      </w:r>
    </w:p>
    <w:p>
      <w:pPr>
        <w:tabs>
          <w:tab w:val="left" w:pos="1004"/>
        </w:tabs>
        <w:spacing w:line="480" w:lineRule="auto"/>
        <w:rPr>
          <w:rFonts w:ascii="宋体" w:hAnsi="宋体"/>
          <w:bCs/>
          <w:color w:val="auto"/>
          <w:szCs w:val="21"/>
          <w:highlight w:val="none"/>
        </w:rPr>
      </w:pPr>
      <w:r>
        <w:rPr>
          <w:rFonts w:hint="eastAsia" w:ascii="宋体" w:hAnsi="宋体"/>
          <w:bCs/>
          <w:color w:val="auto"/>
          <w:szCs w:val="21"/>
          <w:highlight w:val="none"/>
        </w:rPr>
        <w:t>第八条    不可抗力</w:t>
      </w:r>
    </w:p>
    <w:p>
      <w:pPr>
        <w:tabs>
          <w:tab w:val="left" w:pos="1004"/>
        </w:tabs>
        <w:spacing w:line="480" w:lineRule="auto"/>
        <w:ind w:firstLine="420" w:firstLineChars="200"/>
        <w:rPr>
          <w:rFonts w:ascii="宋体" w:hAnsi="宋体"/>
          <w:bCs/>
          <w:color w:val="auto"/>
          <w:szCs w:val="21"/>
          <w:highlight w:val="none"/>
        </w:rPr>
      </w:pPr>
      <w:r>
        <w:rPr>
          <w:rFonts w:hint="eastAsia" w:ascii="宋体" w:hAnsi="宋体"/>
          <w:bCs/>
          <w:color w:val="auto"/>
          <w:szCs w:val="21"/>
          <w:highlight w:val="none"/>
        </w:rPr>
        <w:t>1.不可抗力事故系指买卖双方在缔结合同时所不能预见的，并且它的发生及其后果是无法避免和无法克服的事故。受阻一方应在不可抗力事故发生后尽快用电报、传真或电话通知对方，并于事故发生后</w:t>
      </w:r>
    </w:p>
    <w:p>
      <w:pPr>
        <w:tabs>
          <w:tab w:val="left" w:pos="1004"/>
        </w:tabs>
        <w:spacing w:line="480" w:lineRule="auto"/>
        <w:rPr>
          <w:rFonts w:ascii="宋体" w:hAnsi="宋体"/>
          <w:bCs/>
          <w:color w:val="auto"/>
          <w:szCs w:val="21"/>
          <w:highlight w:val="none"/>
        </w:rPr>
      </w:pPr>
      <w:r>
        <w:rPr>
          <w:rFonts w:hint="eastAsia" w:ascii="宋体" w:hAnsi="宋体"/>
          <w:bCs/>
          <w:color w:val="auto"/>
          <w:szCs w:val="21"/>
          <w:highlight w:val="none"/>
          <w:u w:val="single"/>
        </w:rPr>
        <w:t xml:space="preserve">     </w:t>
      </w:r>
      <w:r>
        <w:rPr>
          <w:rFonts w:hint="eastAsia" w:ascii="宋体" w:hAnsi="宋体"/>
          <w:bCs/>
          <w:color w:val="auto"/>
          <w:szCs w:val="21"/>
          <w:highlight w:val="none"/>
        </w:rPr>
        <w:t>个工作日内将有关当局出具的证明文件用专人递交、特快专递或挂号信寄给对方审阅确认。</w:t>
      </w:r>
    </w:p>
    <w:p>
      <w:pPr>
        <w:tabs>
          <w:tab w:val="left" w:pos="1004"/>
        </w:tabs>
        <w:spacing w:line="480" w:lineRule="auto"/>
        <w:ind w:firstLine="420" w:firstLineChars="200"/>
        <w:rPr>
          <w:rFonts w:ascii="宋体" w:hAnsi="宋体"/>
          <w:bCs/>
          <w:color w:val="auto"/>
          <w:szCs w:val="21"/>
          <w:highlight w:val="none"/>
        </w:rPr>
      </w:pPr>
      <w:r>
        <w:rPr>
          <w:rFonts w:hint="eastAsia" w:ascii="宋体" w:hAnsi="宋体"/>
          <w:bCs/>
          <w:color w:val="auto"/>
          <w:szCs w:val="21"/>
          <w:highlight w:val="none"/>
        </w:rPr>
        <w:t>2.签约双方任一方由于不可抗力事故的影响而不能执行合同时，经确认后，允许延期履行、部分履行或不履行合同，根据情况可部分或全部免予承担违约责任。</w:t>
      </w:r>
    </w:p>
    <w:p>
      <w:pPr>
        <w:tabs>
          <w:tab w:val="left" w:pos="1004"/>
        </w:tabs>
        <w:spacing w:line="480" w:lineRule="auto"/>
        <w:rPr>
          <w:rFonts w:ascii="宋体" w:hAnsi="宋体"/>
          <w:bCs/>
          <w:color w:val="auto"/>
          <w:szCs w:val="21"/>
          <w:highlight w:val="none"/>
        </w:rPr>
      </w:pPr>
      <w:r>
        <w:rPr>
          <w:rFonts w:hint="eastAsia" w:ascii="宋体" w:hAnsi="宋体"/>
          <w:bCs/>
          <w:color w:val="auto"/>
          <w:szCs w:val="21"/>
          <w:highlight w:val="none"/>
        </w:rPr>
        <w:t>第九条  争议的解决</w:t>
      </w:r>
    </w:p>
    <w:p>
      <w:pPr>
        <w:tabs>
          <w:tab w:val="left" w:pos="1004"/>
        </w:tabs>
        <w:spacing w:line="480" w:lineRule="auto"/>
        <w:ind w:firstLine="420" w:firstLineChars="200"/>
        <w:rPr>
          <w:rFonts w:ascii="宋体" w:hAnsi="宋体"/>
          <w:bCs/>
          <w:color w:val="auto"/>
          <w:szCs w:val="21"/>
          <w:highlight w:val="none"/>
        </w:rPr>
      </w:pPr>
      <w:r>
        <w:rPr>
          <w:rFonts w:hint="eastAsia" w:ascii="宋体" w:hAnsi="宋体"/>
          <w:bCs/>
          <w:color w:val="auto"/>
          <w:szCs w:val="21"/>
          <w:highlight w:val="none"/>
        </w:rPr>
        <w:t>1. 因服务期间质量问题发生争议，由法律及有关规章规定的技术单位进行质量鉴定，双方无条件服从该鉴定的结论。</w:t>
      </w:r>
    </w:p>
    <w:p>
      <w:pPr>
        <w:tabs>
          <w:tab w:val="left" w:pos="1255"/>
        </w:tabs>
        <w:spacing w:line="480" w:lineRule="auto"/>
        <w:ind w:firstLine="420" w:firstLineChars="200"/>
        <w:rPr>
          <w:rFonts w:ascii="宋体" w:hAnsi="宋体"/>
          <w:color w:val="auto"/>
          <w:szCs w:val="21"/>
          <w:highlight w:val="none"/>
        </w:rPr>
      </w:pPr>
      <w:r>
        <w:rPr>
          <w:rFonts w:hint="eastAsia" w:ascii="宋体" w:hAnsi="宋体"/>
          <w:bCs/>
          <w:color w:val="auto"/>
          <w:szCs w:val="21"/>
          <w:highlight w:val="none"/>
        </w:rPr>
        <w:t xml:space="preserve">2. </w:t>
      </w:r>
      <w:r>
        <w:rPr>
          <w:rFonts w:hint="eastAsia" w:ascii="宋体" w:hAnsi="宋体"/>
          <w:color w:val="auto"/>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80" w:lineRule="auto"/>
        <w:rPr>
          <w:rFonts w:ascii="宋体" w:hAnsi="宋体"/>
          <w:bCs/>
          <w:color w:val="auto"/>
          <w:szCs w:val="21"/>
          <w:highlight w:val="none"/>
        </w:rPr>
      </w:pPr>
      <w:r>
        <w:rPr>
          <w:rFonts w:hint="eastAsia" w:ascii="宋体" w:hAnsi="宋体"/>
          <w:bCs/>
          <w:color w:val="auto"/>
          <w:szCs w:val="21"/>
          <w:highlight w:val="none"/>
        </w:rPr>
        <w:t>第十条  监督和管理</w:t>
      </w:r>
    </w:p>
    <w:p>
      <w:pPr>
        <w:tabs>
          <w:tab w:val="left" w:pos="1004"/>
        </w:tabs>
        <w:spacing w:line="48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 本项目合同订立后，应提供至</w:t>
      </w:r>
      <w:r>
        <w:rPr>
          <w:rFonts w:hint="eastAsia" w:ascii="宋体" w:hAnsi="宋体"/>
          <w:bCs/>
          <w:color w:val="auto"/>
          <w:szCs w:val="21"/>
          <w:highlight w:val="none"/>
          <w:u w:val="single"/>
          <w:lang w:eastAsia="zh-CN"/>
        </w:rPr>
        <w:t>广东业信招标有限公司</w:t>
      </w:r>
      <w:r>
        <w:rPr>
          <w:rFonts w:hint="eastAsia" w:ascii="宋体" w:hAnsi="宋体"/>
          <w:bCs/>
          <w:color w:val="auto"/>
          <w:szCs w:val="21"/>
          <w:highlight w:val="none"/>
          <w:u w:val="single"/>
        </w:rPr>
        <w:t>、当地管理部门</w:t>
      </w:r>
      <w:r>
        <w:rPr>
          <w:rFonts w:hint="eastAsia" w:ascii="宋体" w:hAnsi="宋体"/>
          <w:bCs/>
          <w:color w:val="auto"/>
          <w:szCs w:val="21"/>
          <w:highlight w:val="none"/>
        </w:rPr>
        <w:t>备案；</w:t>
      </w:r>
    </w:p>
    <w:p>
      <w:pPr>
        <w:tabs>
          <w:tab w:val="left" w:pos="1004"/>
        </w:tabs>
        <w:spacing w:line="480" w:lineRule="auto"/>
        <w:rPr>
          <w:rFonts w:ascii="宋体" w:hAnsi="宋体"/>
          <w:bCs/>
          <w:color w:val="auto"/>
          <w:szCs w:val="21"/>
          <w:highlight w:val="none"/>
        </w:rPr>
      </w:pPr>
      <w:r>
        <w:rPr>
          <w:rFonts w:hint="eastAsia" w:ascii="宋体" w:hAnsi="宋体"/>
          <w:bCs/>
          <w:color w:val="auto"/>
          <w:szCs w:val="21"/>
          <w:highlight w:val="none"/>
        </w:rPr>
        <w:t>第十一条  无效合同</w:t>
      </w:r>
    </w:p>
    <w:p>
      <w:pPr>
        <w:tabs>
          <w:tab w:val="left" w:pos="1004"/>
        </w:tabs>
        <w:spacing w:line="480" w:lineRule="auto"/>
        <w:rPr>
          <w:rFonts w:ascii="宋体" w:hAnsi="宋体"/>
          <w:bCs/>
          <w:color w:val="auto"/>
          <w:szCs w:val="21"/>
          <w:highlight w:val="none"/>
        </w:rPr>
      </w:pPr>
      <w:r>
        <w:rPr>
          <w:rFonts w:hint="eastAsia" w:ascii="宋体" w:hAnsi="宋体"/>
          <w:bCs/>
          <w:color w:val="auto"/>
          <w:szCs w:val="21"/>
          <w:highlight w:val="none"/>
        </w:rPr>
        <w:t xml:space="preserve">    甲乙双方如因违反国家法律、法规和有关政府采购规定，导致合同无效，责任由过错方承担。</w:t>
      </w:r>
    </w:p>
    <w:p>
      <w:pPr>
        <w:tabs>
          <w:tab w:val="left" w:pos="1004"/>
        </w:tabs>
        <w:spacing w:line="480" w:lineRule="auto"/>
        <w:rPr>
          <w:rFonts w:ascii="宋体" w:hAnsi="宋体"/>
          <w:bCs/>
          <w:color w:val="auto"/>
          <w:szCs w:val="21"/>
          <w:highlight w:val="none"/>
        </w:rPr>
      </w:pPr>
      <w:r>
        <w:rPr>
          <w:rFonts w:hint="eastAsia" w:ascii="宋体" w:hAnsi="宋体"/>
          <w:bCs/>
          <w:color w:val="auto"/>
          <w:szCs w:val="21"/>
          <w:highlight w:val="none"/>
        </w:rPr>
        <w:t xml:space="preserve">第十二条  附则   </w:t>
      </w:r>
    </w:p>
    <w:p>
      <w:pPr>
        <w:tabs>
          <w:tab w:val="left" w:pos="1004"/>
        </w:tabs>
        <w:spacing w:line="480" w:lineRule="auto"/>
        <w:ind w:firstLine="420" w:firstLineChars="200"/>
        <w:rPr>
          <w:rFonts w:ascii="宋体" w:hAnsi="宋体"/>
          <w:bCs/>
          <w:color w:val="auto"/>
          <w:szCs w:val="21"/>
          <w:highlight w:val="none"/>
        </w:rPr>
      </w:pPr>
      <w:r>
        <w:rPr>
          <w:rFonts w:hint="eastAsia" w:ascii="宋体" w:hAnsi="宋体"/>
          <w:bCs/>
          <w:color w:val="auto"/>
          <w:szCs w:val="21"/>
          <w:highlight w:val="none"/>
        </w:rPr>
        <w:t>本合同一式</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rPr>
        <w:t>份，甲乙双方各执</w:t>
      </w:r>
      <w:r>
        <w:rPr>
          <w:rFonts w:hint="eastAsia" w:ascii="宋体" w:hAnsi="宋体"/>
          <w:bCs/>
          <w:color w:val="auto"/>
          <w:szCs w:val="21"/>
          <w:highlight w:val="none"/>
          <w:u w:val="single"/>
        </w:rPr>
        <w:t xml:space="preserve">    </w:t>
      </w:r>
      <w:r>
        <w:rPr>
          <w:rFonts w:hint="eastAsia" w:ascii="宋体" w:hAnsi="宋体"/>
          <w:bCs/>
          <w:color w:val="auto"/>
          <w:szCs w:val="21"/>
          <w:highlight w:val="none"/>
        </w:rPr>
        <w:t>份。</w:t>
      </w:r>
    </w:p>
    <w:p>
      <w:pPr>
        <w:spacing w:line="480" w:lineRule="auto"/>
        <w:ind w:left="752" w:leftChars="358" w:firstLine="420"/>
        <w:rPr>
          <w:rFonts w:ascii="宋体" w:hAnsi="宋体"/>
          <w:bCs/>
          <w:color w:val="auto"/>
          <w:szCs w:val="21"/>
          <w:highlight w:val="none"/>
        </w:rPr>
      </w:pPr>
    </w:p>
    <w:p>
      <w:pPr>
        <w:spacing w:line="480" w:lineRule="auto"/>
        <w:ind w:left="752" w:leftChars="358" w:firstLine="420"/>
        <w:rPr>
          <w:rFonts w:ascii="宋体" w:hAnsi="宋体"/>
          <w:bCs/>
          <w:color w:val="auto"/>
          <w:szCs w:val="21"/>
          <w:highlight w:val="none"/>
        </w:rPr>
      </w:pPr>
    </w:p>
    <w:p>
      <w:pPr>
        <w:tabs>
          <w:tab w:val="left" w:pos="1004"/>
          <w:tab w:val="left" w:pos="4267"/>
        </w:tabs>
        <w:spacing w:line="480" w:lineRule="auto"/>
        <w:rPr>
          <w:rFonts w:ascii="宋体" w:hAnsi="宋体"/>
          <w:bCs/>
          <w:color w:val="auto"/>
          <w:szCs w:val="21"/>
          <w:highlight w:val="none"/>
        </w:rPr>
      </w:pPr>
      <w:r>
        <w:rPr>
          <w:rFonts w:hint="eastAsia" w:ascii="宋体" w:hAnsi="宋体"/>
          <w:bCs/>
          <w:color w:val="auto"/>
          <w:szCs w:val="21"/>
          <w:highlight w:val="none"/>
        </w:rPr>
        <w:t xml:space="preserve">甲方：  </w:t>
      </w:r>
      <w:r>
        <w:rPr>
          <w:rFonts w:hint="eastAsia" w:ascii="宋体" w:hAnsi="宋体"/>
          <w:bCs/>
          <w:color w:val="auto"/>
          <w:szCs w:val="21"/>
          <w:highlight w:val="none"/>
        </w:rPr>
        <w:tab/>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乙方：</w:t>
      </w:r>
    </w:p>
    <w:p>
      <w:pPr>
        <w:tabs>
          <w:tab w:val="left" w:pos="1004"/>
          <w:tab w:val="left" w:pos="4267"/>
        </w:tabs>
        <w:spacing w:line="480" w:lineRule="auto"/>
        <w:rPr>
          <w:rFonts w:ascii="宋体" w:hAnsi="宋体"/>
          <w:bCs/>
          <w:color w:val="auto"/>
          <w:szCs w:val="21"/>
          <w:highlight w:val="none"/>
        </w:rPr>
      </w:pPr>
      <w:r>
        <w:rPr>
          <w:rFonts w:hint="eastAsia" w:ascii="宋体" w:hAnsi="宋体"/>
          <w:bCs/>
          <w:color w:val="auto"/>
          <w:szCs w:val="21"/>
          <w:highlight w:val="none"/>
        </w:rPr>
        <w:t>法定代表人：</w:t>
      </w:r>
      <w:r>
        <w:rPr>
          <w:rFonts w:hint="eastAsia" w:ascii="宋体" w:hAnsi="宋体"/>
          <w:bCs/>
          <w:color w:val="auto"/>
          <w:szCs w:val="21"/>
          <w:highlight w:val="none"/>
        </w:rPr>
        <w:tab/>
      </w:r>
      <w:r>
        <w:rPr>
          <w:rFonts w:hint="eastAsia" w:ascii="宋体" w:hAnsi="宋体"/>
          <w:bCs/>
          <w:color w:val="auto"/>
          <w:szCs w:val="21"/>
          <w:highlight w:val="none"/>
        </w:rPr>
        <w:t>法定代表人：</w:t>
      </w:r>
    </w:p>
    <w:p>
      <w:pPr>
        <w:tabs>
          <w:tab w:val="left" w:pos="1004"/>
          <w:tab w:val="left" w:pos="4267"/>
        </w:tabs>
        <w:spacing w:line="480" w:lineRule="auto"/>
        <w:rPr>
          <w:rFonts w:ascii="宋体" w:hAnsi="宋体"/>
          <w:bCs/>
          <w:color w:val="auto"/>
          <w:szCs w:val="21"/>
          <w:highlight w:val="none"/>
        </w:rPr>
      </w:pPr>
      <w:r>
        <w:rPr>
          <w:rFonts w:hint="eastAsia" w:ascii="宋体" w:hAnsi="宋体"/>
          <w:bCs/>
          <w:color w:val="auto"/>
          <w:szCs w:val="21"/>
          <w:highlight w:val="none"/>
        </w:rPr>
        <w:t>委托代理人：</w:t>
      </w:r>
      <w:r>
        <w:rPr>
          <w:rFonts w:hint="eastAsia" w:ascii="宋体" w:hAnsi="宋体"/>
          <w:bCs/>
          <w:color w:val="auto"/>
          <w:szCs w:val="21"/>
          <w:highlight w:val="none"/>
        </w:rPr>
        <w:tab/>
      </w:r>
      <w:r>
        <w:rPr>
          <w:rFonts w:hint="eastAsia" w:ascii="宋体" w:hAnsi="宋体"/>
          <w:bCs/>
          <w:color w:val="auto"/>
          <w:szCs w:val="21"/>
          <w:highlight w:val="none"/>
        </w:rPr>
        <w:t>委托代理人：</w:t>
      </w:r>
    </w:p>
    <w:p>
      <w:pPr>
        <w:tabs>
          <w:tab w:val="left" w:pos="1004"/>
          <w:tab w:val="left" w:pos="4267"/>
        </w:tabs>
        <w:spacing w:line="480" w:lineRule="auto"/>
        <w:rPr>
          <w:rFonts w:ascii="宋体" w:hAnsi="宋体"/>
          <w:bCs/>
          <w:color w:val="auto"/>
          <w:szCs w:val="21"/>
          <w:highlight w:val="none"/>
        </w:rPr>
      </w:pPr>
      <w:r>
        <w:rPr>
          <w:rFonts w:hint="eastAsia" w:ascii="宋体" w:hAnsi="宋体"/>
          <w:bCs/>
          <w:color w:val="auto"/>
          <w:szCs w:val="21"/>
          <w:highlight w:val="none"/>
        </w:rPr>
        <w:t>地址：</w:t>
      </w:r>
      <w:r>
        <w:rPr>
          <w:rFonts w:hint="eastAsia" w:ascii="宋体" w:hAnsi="宋体"/>
          <w:bCs/>
          <w:color w:val="auto"/>
          <w:szCs w:val="21"/>
          <w:highlight w:val="none"/>
        </w:rPr>
        <w:tab/>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地址：</w:t>
      </w:r>
    </w:p>
    <w:p>
      <w:pPr>
        <w:tabs>
          <w:tab w:val="left" w:pos="1004"/>
          <w:tab w:val="left" w:pos="4267"/>
        </w:tabs>
        <w:spacing w:line="480" w:lineRule="auto"/>
        <w:rPr>
          <w:rFonts w:ascii="宋体" w:hAnsi="宋体"/>
          <w:bCs/>
          <w:color w:val="auto"/>
          <w:szCs w:val="21"/>
          <w:highlight w:val="none"/>
        </w:rPr>
      </w:pPr>
      <w:r>
        <w:rPr>
          <w:rFonts w:hint="eastAsia" w:ascii="宋体" w:hAnsi="宋体"/>
          <w:bCs/>
          <w:color w:val="auto"/>
          <w:szCs w:val="21"/>
          <w:highlight w:val="none"/>
        </w:rPr>
        <w:t>开户银行：</w:t>
      </w:r>
      <w:r>
        <w:rPr>
          <w:rFonts w:hint="eastAsia" w:ascii="宋体" w:hAnsi="宋体"/>
          <w:bCs/>
          <w:color w:val="auto"/>
          <w:szCs w:val="21"/>
          <w:highlight w:val="none"/>
        </w:rPr>
        <w:tab/>
      </w:r>
      <w:r>
        <w:rPr>
          <w:rFonts w:hint="eastAsia" w:ascii="宋体" w:hAnsi="宋体"/>
          <w:bCs/>
          <w:color w:val="auto"/>
          <w:szCs w:val="21"/>
          <w:highlight w:val="none"/>
        </w:rPr>
        <w:t>开户银行：</w:t>
      </w:r>
    </w:p>
    <w:p>
      <w:pPr>
        <w:tabs>
          <w:tab w:val="left" w:pos="1004"/>
          <w:tab w:val="left" w:pos="4267"/>
        </w:tabs>
        <w:spacing w:line="480" w:lineRule="auto"/>
        <w:rPr>
          <w:rFonts w:ascii="宋体" w:hAnsi="宋体"/>
          <w:bCs/>
          <w:color w:val="auto"/>
          <w:szCs w:val="21"/>
          <w:highlight w:val="none"/>
        </w:rPr>
      </w:pPr>
      <w:r>
        <w:rPr>
          <w:rFonts w:hint="eastAsia" w:ascii="宋体" w:hAnsi="宋体"/>
          <w:bCs/>
          <w:color w:val="auto"/>
          <w:szCs w:val="21"/>
          <w:highlight w:val="none"/>
        </w:rPr>
        <w:t>帐号：</w:t>
      </w:r>
      <w:r>
        <w:rPr>
          <w:rFonts w:hint="eastAsia" w:ascii="宋体" w:hAnsi="宋体"/>
          <w:bCs/>
          <w:color w:val="auto"/>
          <w:szCs w:val="21"/>
          <w:highlight w:val="none"/>
        </w:rPr>
        <w:tab/>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帐号</w:t>
      </w:r>
    </w:p>
    <w:p>
      <w:pPr>
        <w:tabs>
          <w:tab w:val="left" w:pos="1004"/>
          <w:tab w:val="left" w:pos="4267"/>
        </w:tabs>
        <w:spacing w:line="480" w:lineRule="auto"/>
        <w:rPr>
          <w:rFonts w:ascii="宋体" w:hAnsi="宋体"/>
          <w:bCs/>
          <w:color w:val="auto"/>
          <w:szCs w:val="21"/>
          <w:highlight w:val="none"/>
        </w:rPr>
      </w:pPr>
      <w:r>
        <w:rPr>
          <w:rFonts w:hint="eastAsia" w:ascii="宋体" w:hAnsi="宋体"/>
          <w:bCs/>
          <w:color w:val="auto"/>
          <w:szCs w:val="21"/>
          <w:highlight w:val="none"/>
        </w:rPr>
        <w:t>电话：</w:t>
      </w:r>
      <w:r>
        <w:rPr>
          <w:rFonts w:hint="eastAsia" w:ascii="宋体" w:hAnsi="宋体"/>
          <w:bCs/>
          <w:color w:val="auto"/>
          <w:szCs w:val="21"/>
          <w:highlight w:val="none"/>
        </w:rPr>
        <w:tab/>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电话：</w:t>
      </w:r>
    </w:p>
    <w:p>
      <w:pPr>
        <w:tabs>
          <w:tab w:val="left" w:pos="1004"/>
        </w:tabs>
        <w:spacing w:line="480" w:lineRule="auto"/>
        <w:ind w:firstLine="630" w:firstLineChars="300"/>
        <w:rPr>
          <w:rFonts w:ascii="宋体" w:hAnsi="宋体"/>
          <w:bCs/>
          <w:color w:val="auto"/>
          <w:szCs w:val="21"/>
          <w:highlight w:val="none"/>
        </w:rPr>
      </w:pPr>
      <w:r>
        <w:rPr>
          <w:rFonts w:hint="eastAsia" w:ascii="宋体" w:hAnsi="宋体"/>
          <w:bCs/>
          <w:color w:val="auto"/>
          <w:szCs w:val="21"/>
          <w:highlight w:val="none"/>
        </w:rPr>
        <w:t>年  月  日                          年  月  日</w:t>
      </w:r>
    </w:p>
    <w:p>
      <w:pPr>
        <w:tabs>
          <w:tab w:val="left" w:pos="1004"/>
        </w:tabs>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b/>
          <w:bCs/>
          <w:color w:val="auto"/>
          <w:szCs w:val="21"/>
          <w:highlight w:val="none"/>
        </w:rPr>
        <w:t>本合同样本仅供参考，具体条款内容由采购人和成交单位协商确定，但不得改变谈判文件、谈判响应文件、成交通知书等实质性内容</w:t>
      </w:r>
      <w:r>
        <w:rPr>
          <w:rFonts w:hint="eastAsia" w:ascii="宋体" w:hAnsi="宋体"/>
          <w:bCs/>
          <w:color w:val="auto"/>
          <w:szCs w:val="21"/>
          <w:highlight w:val="none"/>
        </w:rPr>
        <w:t>。</w:t>
      </w: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pStyle w:val="4"/>
        <w:numPr>
          <w:ilvl w:val="0"/>
          <w:numId w:val="0"/>
        </w:numPr>
        <w:spacing w:after="120" w:line="360" w:lineRule="auto"/>
        <w:jc w:val="center"/>
        <w:rPr>
          <w:rFonts w:ascii="宋体" w:hAnsi="宋体"/>
          <w:color w:val="auto"/>
          <w:sz w:val="21"/>
          <w:szCs w:val="21"/>
          <w:highlight w:val="none"/>
        </w:rPr>
      </w:pPr>
      <w:bookmarkStart w:id="172" w:name="_Toc200414512"/>
      <w:bookmarkStart w:id="173" w:name="_Toc25563"/>
      <w:r>
        <w:rPr>
          <w:rFonts w:hint="eastAsia" w:ascii="宋体" w:hAnsi="宋体"/>
          <w:color w:val="auto"/>
          <w:sz w:val="21"/>
          <w:szCs w:val="21"/>
          <w:highlight w:val="none"/>
        </w:rPr>
        <w:t>第五部分  谈判文件格式</w:t>
      </w:r>
      <w:bookmarkEnd w:id="172"/>
      <w:bookmarkEnd w:id="173"/>
    </w:p>
    <w:p>
      <w:pPr>
        <w:pStyle w:val="5"/>
        <w:numPr>
          <w:ilvl w:val="1"/>
          <w:numId w:val="0"/>
        </w:numPr>
        <w:spacing w:line="360" w:lineRule="auto"/>
        <w:jc w:val="center"/>
        <w:rPr>
          <w:rFonts w:ascii="宋体" w:hAnsi="宋体" w:eastAsia="宋体"/>
          <w:color w:val="auto"/>
          <w:highlight w:val="none"/>
        </w:rPr>
      </w:pPr>
      <w:bookmarkStart w:id="174" w:name="_Toc200414513"/>
      <w:bookmarkStart w:id="175" w:name="_Toc22474"/>
      <w:r>
        <w:rPr>
          <w:rFonts w:hint="eastAsia" w:ascii="宋体" w:hAnsi="宋体" w:eastAsia="宋体"/>
          <w:color w:val="auto"/>
          <w:highlight w:val="none"/>
        </w:rPr>
        <w:t>封面格式</w:t>
      </w:r>
      <w:bookmarkEnd w:id="174"/>
      <w:bookmarkEnd w:id="175"/>
    </w:p>
    <w:p>
      <w:pPr>
        <w:pStyle w:val="9"/>
        <w:spacing w:line="360" w:lineRule="auto"/>
        <w:rPr>
          <w:rFonts w:ascii="宋体" w:hAnsi="宋体"/>
          <w:bCs/>
          <w:color w:val="auto"/>
          <w:szCs w:val="24"/>
          <w:highlight w:val="none"/>
        </w:rPr>
      </w:pPr>
    </w:p>
    <w:p>
      <w:pPr>
        <w:pStyle w:val="9"/>
        <w:spacing w:line="360" w:lineRule="auto"/>
        <w:rPr>
          <w:rFonts w:ascii="宋体" w:hAnsi="宋体"/>
          <w:bCs/>
          <w:color w:val="auto"/>
          <w:szCs w:val="24"/>
          <w:highlight w:val="none"/>
        </w:rPr>
      </w:pPr>
      <w:r>
        <w:rPr>
          <w:rFonts w:hint="eastAsia" w:ascii="宋体" w:hAnsi="宋体"/>
          <w:bCs/>
          <w:color w:val="auto"/>
          <w:highlight w:val="none"/>
        </w:rPr>
        <w:t>文件内容应当编有目录、页码，按页码排序并装订成册；一切未装订成册的文件在开标、评标过程中若出现缺页、漏页等现象可能影响投标人评审结果的，后果将由投标人本人负责。</w:t>
      </w:r>
    </w:p>
    <w:p>
      <w:pPr>
        <w:pStyle w:val="9"/>
        <w:spacing w:line="360" w:lineRule="auto"/>
        <w:ind w:left="315" w:leftChars="150" w:firstLine="0"/>
        <w:rPr>
          <w:rFonts w:ascii="宋体" w:hAnsi="宋体"/>
          <w:bCs/>
          <w:color w:val="auto"/>
          <w:szCs w:val="24"/>
          <w:highlight w:val="none"/>
        </w:rPr>
      </w:pPr>
      <w:r>
        <w:rPr>
          <w:rFonts w:hint="eastAsia" w:ascii="宋体" w:hAnsi="宋体"/>
          <w:bCs/>
          <w:color w:val="auto"/>
          <w:szCs w:val="24"/>
          <w:highlight w:val="none"/>
        </w:rPr>
        <w:t>谈判响应文件的封面格式由供应商自拟，并应注明“谈判响应文件、项目编号、项目名称、供应商</w:t>
      </w:r>
    </w:p>
    <w:p>
      <w:pPr>
        <w:pStyle w:val="9"/>
        <w:spacing w:line="360" w:lineRule="auto"/>
        <w:ind w:firstLine="0"/>
        <w:rPr>
          <w:rFonts w:ascii="宋体" w:hAnsi="宋体"/>
          <w:bCs/>
          <w:color w:val="auto"/>
          <w:szCs w:val="24"/>
          <w:highlight w:val="none"/>
        </w:rPr>
      </w:pPr>
      <w:r>
        <w:rPr>
          <w:rFonts w:hint="eastAsia" w:ascii="宋体" w:hAnsi="宋体"/>
          <w:bCs/>
          <w:color w:val="auto"/>
          <w:szCs w:val="24"/>
          <w:highlight w:val="none"/>
        </w:rPr>
        <w:t>名称及地址、法定代表人（负责人）或授权代理人、联系电话、传真、邮编，并加盖供应商公章。如：</w:t>
      </w:r>
    </w:p>
    <w:p>
      <w:pPr>
        <w:pStyle w:val="9"/>
        <w:spacing w:line="360" w:lineRule="auto"/>
        <w:rPr>
          <w:rFonts w:ascii="宋体" w:hAnsi="宋体"/>
          <w:bCs/>
          <w:color w:val="auto"/>
          <w:szCs w:val="24"/>
          <w:highlight w:val="none"/>
        </w:rPr>
      </w:pPr>
    </w:p>
    <w:p>
      <w:pPr>
        <w:pStyle w:val="9"/>
        <w:spacing w:line="360" w:lineRule="auto"/>
        <w:rPr>
          <w:rFonts w:ascii="宋体" w:hAnsi="宋体"/>
          <w:bCs/>
          <w:color w:val="auto"/>
          <w:szCs w:val="24"/>
          <w:highlight w:val="none"/>
        </w:rPr>
      </w:pPr>
    </w:p>
    <w:p>
      <w:pPr>
        <w:pStyle w:val="9"/>
        <w:spacing w:line="360" w:lineRule="auto"/>
        <w:rPr>
          <w:rFonts w:ascii="宋体" w:hAnsi="宋体"/>
          <w:bCs/>
          <w:color w:val="auto"/>
          <w:szCs w:val="24"/>
          <w:highlight w:val="none"/>
        </w:rPr>
      </w:pPr>
    </w:p>
    <w:p>
      <w:pPr>
        <w:pStyle w:val="9"/>
        <w:spacing w:line="360" w:lineRule="auto"/>
        <w:jc w:val="center"/>
        <w:rPr>
          <w:rFonts w:ascii="宋体" w:hAnsi="宋体"/>
          <w:b/>
          <w:bCs/>
          <w:color w:val="auto"/>
          <w:sz w:val="44"/>
          <w:szCs w:val="44"/>
          <w:highlight w:val="none"/>
        </w:rPr>
      </w:pPr>
      <w:r>
        <w:rPr>
          <w:rFonts w:hint="eastAsia" w:ascii="宋体" w:hAnsi="宋体"/>
          <w:b/>
          <w:bCs/>
          <w:color w:val="auto"/>
          <w:sz w:val="44"/>
          <w:szCs w:val="44"/>
          <w:highlight w:val="none"/>
        </w:rPr>
        <w:t>谈判响应文件</w:t>
      </w:r>
    </w:p>
    <w:p>
      <w:pPr>
        <w:pStyle w:val="9"/>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（□正本、□副本）</w:t>
      </w:r>
    </w:p>
    <w:p>
      <w:pPr>
        <w:pStyle w:val="9"/>
        <w:spacing w:line="360" w:lineRule="auto"/>
        <w:jc w:val="center"/>
        <w:rPr>
          <w:rFonts w:ascii="宋体" w:hAnsi="宋体"/>
          <w:bCs/>
          <w:color w:val="auto"/>
          <w:szCs w:val="24"/>
          <w:highlight w:val="none"/>
        </w:rPr>
      </w:pPr>
    </w:p>
    <w:p>
      <w:pPr>
        <w:pStyle w:val="9"/>
        <w:spacing w:line="360" w:lineRule="auto"/>
        <w:jc w:val="center"/>
        <w:rPr>
          <w:rFonts w:ascii="宋体" w:hAnsi="宋体"/>
          <w:bCs/>
          <w:color w:val="auto"/>
          <w:szCs w:val="24"/>
          <w:highlight w:val="none"/>
        </w:rPr>
      </w:pPr>
    </w:p>
    <w:p>
      <w:pPr>
        <w:pStyle w:val="9"/>
        <w:spacing w:line="360" w:lineRule="auto"/>
        <w:rPr>
          <w:rFonts w:hint="eastAsia" w:ascii="宋体" w:hAnsi="宋体" w:eastAsia="宋体"/>
          <w:bCs/>
          <w:color w:val="auto"/>
          <w:szCs w:val="24"/>
          <w:highlight w:val="none"/>
          <w:lang w:eastAsia="zh-CN"/>
        </w:rPr>
      </w:pPr>
      <w:r>
        <w:rPr>
          <w:rFonts w:hint="eastAsia" w:ascii="宋体" w:hAnsi="宋体"/>
          <w:bCs/>
          <w:color w:val="auto"/>
          <w:szCs w:val="24"/>
          <w:highlight w:val="none"/>
        </w:rPr>
        <w:t>项目编号：</w:t>
      </w:r>
      <w:r>
        <w:rPr>
          <w:rFonts w:hint="eastAsia" w:ascii="宋体" w:hAnsi="宋体"/>
          <w:b/>
          <w:bCs/>
          <w:color w:val="auto"/>
          <w:szCs w:val="24"/>
          <w:highlight w:val="none"/>
          <w:u w:val="single"/>
          <w:lang w:eastAsia="zh-CN"/>
        </w:rPr>
        <w:t>YXZB-20231115</w:t>
      </w:r>
    </w:p>
    <w:p>
      <w:pPr>
        <w:pStyle w:val="9"/>
        <w:spacing w:line="360" w:lineRule="auto"/>
        <w:rPr>
          <w:rFonts w:ascii="宋体" w:hAnsi="宋体"/>
          <w:bCs/>
          <w:color w:val="auto"/>
          <w:szCs w:val="24"/>
          <w:highlight w:val="none"/>
          <w:u w:val="single"/>
        </w:rPr>
      </w:pPr>
      <w:r>
        <w:rPr>
          <w:rFonts w:hint="eastAsia" w:ascii="宋体" w:hAnsi="宋体"/>
          <w:bCs/>
          <w:color w:val="auto"/>
          <w:szCs w:val="24"/>
          <w:highlight w:val="none"/>
        </w:rPr>
        <w:t>项目名称：</w:t>
      </w:r>
      <w:r>
        <w:rPr>
          <w:rFonts w:hint="eastAsia" w:ascii="宋体" w:hAnsi="宋体" w:cs="宋体"/>
          <w:b/>
          <w:color w:val="auto"/>
          <w:szCs w:val="21"/>
          <w:highlight w:val="none"/>
          <w:u w:val="single"/>
        </w:rPr>
        <w:t xml:space="preserve">项目名称，由供应商填写               </w:t>
      </w:r>
    </w:p>
    <w:p>
      <w:pPr>
        <w:pStyle w:val="9"/>
        <w:spacing w:line="360" w:lineRule="auto"/>
        <w:rPr>
          <w:rFonts w:ascii="宋体" w:hAnsi="宋体"/>
          <w:bCs/>
          <w:color w:val="auto"/>
          <w:szCs w:val="24"/>
          <w:highlight w:val="none"/>
          <w:u w:val="single"/>
        </w:rPr>
      </w:pPr>
      <w:r>
        <w:rPr>
          <w:rFonts w:hint="eastAsia" w:ascii="宋体" w:hAnsi="宋体"/>
          <w:bCs/>
          <w:color w:val="auto"/>
          <w:szCs w:val="24"/>
          <w:highlight w:val="none"/>
        </w:rPr>
        <w:t>供应商名称（加盖公章）：</w:t>
      </w:r>
    </w:p>
    <w:p>
      <w:pPr>
        <w:pStyle w:val="9"/>
        <w:spacing w:line="360" w:lineRule="auto"/>
        <w:rPr>
          <w:rFonts w:ascii="宋体" w:hAnsi="宋体"/>
          <w:bCs/>
          <w:color w:val="auto"/>
          <w:szCs w:val="24"/>
          <w:highlight w:val="none"/>
          <w:u w:val="single"/>
        </w:rPr>
      </w:pPr>
      <w:r>
        <w:rPr>
          <w:rFonts w:hint="eastAsia" w:ascii="宋体" w:hAnsi="宋体"/>
          <w:bCs/>
          <w:color w:val="auto"/>
          <w:szCs w:val="24"/>
          <w:highlight w:val="none"/>
        </w:rPr>
        <w:t>供应商地址：</w:t>
      </w:r>
    </w:p>
    <w:p>
      <w:pPr>
        <w:pStyle w:val="9"/>
        <w:spacing w:line="360" w:lineRule="auto"/>
        <w:rPr>
          <w:rFonts w:ascii="宋体" w:hAnsi="宋体"/>
          <w:bCs/>
          <w:color w:val="auto"/>
          <w:szCs w:val="24"/>
          <w:highlight w:val="none"/>
          <w:u w:val="single"/>
        </w:rPr>
      </w:pPr>
      <w:r>
        <w:rPr>
          <w:rFonts w:hint="eastAsia" w:ascii="宋体" w:hAnsi="宋体"/>
          <w:bCs/>
          <w:color w:val="auto"/>
          <w:szCs w:val="24"/>
          <w:highlight w:val="none"/>
        </w:rPr>
        <w:t>法定代表人（负责人）或授权代理人（签字）</w:t>
      </w:r>
      <w:r>
        <w:rPr>
          <w:rFonts w:ascii="宋体" w:hAnsi="宋体"/>
          <w:bCs/>
          <w:color w:val="auto"/>
          <w:szCs w:val="24"/>
          <w:highlight w:val="none"/>
        </w:rPr>
        <w:t>：</w:t>
      </w:r>
    </w:p>
    <w:p>
      <w:pPr>
        <w:pStyle w:val="9"/>
        <w:spacing w:line="360" w:lineRule="auto"/>
        <w:rPr>
          <w:rFonts w:ascii="宋体" w:hAnsi="宋体"/>
          <w:bCs/>
          <w:color w:val="auto"/>
          <w:szCs w:val="24"/>
          <w:highlight w:val="none"/>
        </w:rPr>
      </w:pPr>
      <w:r>
        <w:rPr>
          <w:rFonts w:hint="eastAsia" w:ascii="宋体" w:hAnsi="宋体"/>
          <w:bCs/>
          <w:color w:val="auto"/>
          <w:szCs w:val="24"/>
          <w:highlight w:val="none"/>
        </w:rPr>
        <w:t>联系</w:t>
      </w:r>
      <w:r>
        <w:rPr>
          <w:rFonts w:ascii="宋体" w:hAnsi="宋体"/>
          <w:bCs/>
          <w:color w:val="auto"/>
          <w:szCs w:val="24"/>
          <w:highlight w:val="none"/>
        </w:rPr>
        <w:t>电话：</w:t>
      </w:r>
    </w:p>
    <w:p>
      <w:pPr>
        <w:pStyle w:val="9"/>
        <w:spacing w:line="360" w:lineRule="auto"/>
        <w:ind w:firstLineChars="200"/>
        <w:rPr>
          <w:rFonts w:ascii="宋体" w:hAnsi="宋体"/>
          <w:bCs/>
          <w:color w:val="auto"/>
          <w:szCs w:val="24"/>
          <w:highlight w:val="none"/>
          <w:u w:val="single"/>
        </w:rPr>
      </w:pPr>
      <w:r>
        <w:rPr>
          <w:rFonts w:hint="eastAsia" w:ascii="宋体" w:hAnsi="宋体"/>
          <w:bCs/>
          <w:color w:val="auto"/>
          <w:szCs w:val="24"/>
          <w:highlight w:val="none"/>
        </w:rPr>
        <w:t>传真：</w:t>
      </w:r>
    </w:p>
    <w:p>
      <w:pPr>
        <w:pStyle w:val="9"/>
        <w:spacing w:line="360" w:lineRule="auto"/>
        <w:rPr>
          <w:rFonts w:ascii="宋体" w:hAnsi="宋体"/>
          <w:bCs/>
          <w:color w:val="auto"/>
          <w:szCs w:val="24"/>
          <w:highlight w:val="none"/>
          <w:u w:val="single"/>
        </w:rPr>
      </w:pPr>
      <w:r>
        <w:rPr>
          <w:rFonts w:ascii="宋体" w:hAnsi="宋体"/>
          <w:bCs/>
          <w:color w:val="auto"/>
          <w:szCs w:val="24"/>
          <w:highlight w:val="none"/>
        </w:rPr>
        <w:t>邮编：</w:t>
      </w:r>
    </w:p>
    <w:p>
      <w:pPr>
        <w:pStyle w:val="9"/>
        <w:spacing w:line="360" w:lineRule="auto"/>
        <w:rPr>
          <w:rFonts w:ascii="宋体" w:hAnsi="宋体"/>
          <w:color w:val="auto"/>
          <w:highlight w:val="none"/>
        </w:rPr>
      </w:pPr>
      <w:r>
        <w:rPr>
          <w:rFonts w:hint="eastAsia" w:ascii="宋体" w:hAnsi="宋体"/>
          <w:bCs/>
          <w:color w:val="auto"/>
          <w:szCs w:val="24"/>
          <w:highlight w:val="none"/>
        </w:rPr>
        <w:t>编制日期：年月日</w:t>
      </w:r>
    </w:p>
    <w:p>
      <w:pPr>
        <w:tabs>
          <w:tab w:val="left" w:pos="1004"/>
          <w:tab w:val="left" w:pos="4267"/>
        </w:tabs>
        <w:spacing w:line="360" w:lineRule="auto"/>
        <w:rPr>
          <w:rFonts w:ascii="宋体" w:hAnsi="宋体"/>
          <w:bCs/>
          <w:color w:val="auto"/>
          <w:highlight w:val="none"/>
        </w:rPr>
      </w:pPr>
    </w:p>
    <w:p>
      <w:pPr>
        <w:tabs>
          <w:tab w:val="left" w:pos="1004"/>
          <w:tab w:val="left" w:pos="4267"/>
        </w:tabs>
        <w:spacing w:line="360" w:lineRule="auto"/>
        <w:ind w:firstLine="420" w:firstLineChars="200"/>
        <w:rPr>
          <w:rFonts w:ascii="宋体" w:hAnsi="宋体"/>
          <w:bCs/>
          <w:color w:val="auto"/>
          <w:highlight w:val="none"/>
        </w:rPr>
      </w:pPr>
    </w:p>
    <w:p>
      <w:pPr>
        <w:tabs>
          <w:tab w:val="left" w:pos="1004"/>
          <w:tab w:val="left" w:pos="4267"/>
        </w:tabs>
        <w:spacing w:line="360" w:lineRule="auto"/>
        <w:ind w:firstLine="420" w:firstLineChars="200"/>
        <w:rPr>
          <w:rFonts w:ascii="宋体" w:hAnsi="宋体"/>
          <w:bCs/>
          <w:color w:val="auto"/>
          <w:highlight w:val="none"/>
        </w:rPr>
      </w:pPr>
    </w:p>
    <w:p>
      <w:pPr>
        <w:tabs>
          <w:tab w:val="left" w:pos="1004"/>
          <w:tab w:val="left" w:pos="4267"/>
        </w:tabs>
        <w:spacing w:line="360" w:lineRule="auto"/>
        <w:ind w:firstLine="420" w:firstLineChars="200"/>
        <w:rPr>
          <w:rFonts w:ascii="宋体" w:hAnsi="宋体"/>
          <w:bCs/>
          <w:color w:val="auto"/>
          <w:highlight w:val="none"/>
        </w:rPr>
      </w:pPr>
    </w:p>
    <w:p>
      <w:pPr>
        <w:tabs>
          <w:tab w:val="left" w:pos="1004"/>
          <w:tab w:val="left" w:pos="4267"/>
        </w:tabs>
        <w:spacing w:line="360" w:lineRule="auto"/>
        <w:ind w:firstLine="420" w:firstLineChars="200"/>
        <w:rPr>
          <w:rFonts w:ascii="宋体" w:hAnsi="宋体"/>
          <w:bCs/>
          <w:color w:val="auto"/>
          <w:highlight w:val="none"/>
        </w:rPr>
      </w:pPr>
    </w:p>
    <w:p>
      <w:pPr>
        <w:tabs>
          <w:tab w:val="left" w:pos="1004"/>
          <w:tab w:val="left" w:pos="4267"/>
        </w:tabs>
        <w:spacing w:line="360" w:lineRule="auto"/>
        <w:ind w:firstLine="420" w:firstLineChars="200"/>
        <w:rPr>
          <w:rFonts w:ascii="宋体" w:hAnsi="宋体"/>
          <w:bCs/>
          <w:color w:val="auto"/>
          <w:highlight w:val="none"/>
        </w:rPr>
      </w:pPr>
    </w:p>
    <w:p>
      <w:pPr>
        <w:tabs>
          <w:tab w:val="left" w:pos="1004"/>
          <w:tab w:val="left" w:pos="4267"/>
        </w:tabs>
        <w:spacing w:line="360" w:lineRule="auto"/>
        <w:ind w:firstLine="420" w:firstLineChars="200"/>
        <w:rPr>
          <w:rFonts w:ascii="宋体" w:hAnsi="宋体"/>
          <w:bCs/>
          <w:color w:val="auto"/>
          <w:highlight w:val="none"/>
        </w:rPr>
        <w:sectPr>
          <w:pgSz w:w="11906" w:h="16838"/>
          <w:pgMar w:top="1247" w:right="1247" w:bottom="1247" w:left="1247" w:header="851" w:footer="992" w:gutter="0"/>
          <w:cols w:space="720" w:num="1"/>
          <w:docGrid w:linePitch="312" w:charSpace="0"/>
        </w:sectPr>
      </w:pPr>
    </w:p>
    <w:p>
      <w:pPr>
        <w:pStyle w:val="5"/>
        <w:numPr>
          <w:ilvl w:val="1"/>
          <w:numId w:val="0"/>
        </w:numPr>
        <w:spacing w:line="360" w:lineRule="auto"/>
        <w:jc w:val="center"/>
        <w:rPr>
          <w:rFonts w:ascii="宋体" w:hAnsi="宋体" w:eastAsia="宋体"/>
          <w:color w:val="auto"/>
          <w:sz w:val="21"/>
          <w:szCs w:val="21"/>
          <w:highlight w:val="none"/>
        </w:rPr>
      </w:pPr>
      <w:bookmarkStart w:id="176" w:name="_Toc200414514"/>
      <w:bookmarkStart w:id="177" w:name="_Toc12660"/>
      <w:r>
        <w:rPr>
          <w:rFonts w:hint="eastAsia" w:ascii="宋体" w:hAnsi="宋体" w:eastAsia="宋体"/>
          <w:color w:val="auto"/>
          <w:sz w:val="21"/>
          <w:szCs w:val="21"/>
          <w:highlight w:val="none"/>
        </w:rPr>
        <w:t xml:space="preserve">第一章  </w:t>
      </w:r>
      <w:bookmarkEnd w:id="176"/>
      <w:r>
        <w:rPr>
          <w:rFonts w:hint="eastAsia" w:ascii="宋体" w:hAnsi="宋体" w:eastAsia="宋体"/>
          <w:color w:val="auto"/>
          <w:sz w:val="21"/>
          <w:szCs w:val="21"/>
          <w:highlight w:val="none"/>
        </w:rPr>
        <w:t>资格性/符合性自查表</w:t>
      </w:r>
      <w:bookmarkEnd w:id="177"/>
    </w:p>
    <w:p>
      <w:pPr>
        <w:spacing w:line="360" w:lineRule="auto"/>
        <w:rPr>
          <w:rFonts w:ascii="宋体" w:hAnsi="宋体"/>
          <w:b/>
          <w:bCs/>
          <w:color w:val="auto"/>
          <w:szCs w:val="21"/>
          <w:highlight w:val="none"/>
        </w:rPr>
      </w:pPr>
    </w:p>
    <w:tbl>
      <w:tblPr>
        <w:tblStyle w:val="42"/>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350"/>
        <w:gridCol w:w="2186"/>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6" w:type="dxa"/>
            <w:gridSpan w:val="2"/>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评审内容</w:t>
            </w:r>
          </w:p>
        </w:tc>
        <w:tc>
          <w:tcPr>
            <w:tcW w:w="2186"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谈判文件要求</w:t>
            </w:r>
          </w:p>
        </w:tc>
        <w:tc>
          <w:tcPr>
            <w:tcW w:w="1701"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自查结论</w:t>
            </w:r>
          </w:p>
          <w:p>
            <w:pPr>
              <w:tabs>
                <w:tab w:val="left" w:pos="480"/>
              </w:tabs>
              <w:ind w:left="480" w:hanging="480"/>
              <w:jc w:val="center"/>
              <w:rPr>
                <w:rFonts w:ascii="宋体" w:hAnsi="宋体"/>
                <w:bCs/>
                <w:color w:val="auto"/>
                <w:szCs w:val="21"/>
                <w:highlight w:val="none"/>
              </w:rPr>
            </w:pPr>
            <w:r>
              <w:rPr>
                <w:rFonts w:hint="eastAsia" w:ascii="宋体" w:hAnsi="宋体"/>
                <w:bCs/>
                <w:color w:val="auto"/>
                <w:szCs w:val="21"/>
                <w:highlight w:val="none"/>
              </w:rPr>
              <w:t>（通过/不通过）</w:t>
            </w:r>
          </w:p>
        </w:tc>
        <w:tc>
          <w:tcPr>
            <w:tcW w:w="2207"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trPr>
        <w:tc>
          <w:tcPr>
            <w:tcW w:w="1096" w:type="dxa"/>
            <w:vAlign w:val="center"/>
          </w:tcPr>
          <w:p>
            <w:pPr>
              <w:tabs>
                <w:tab w:val="left" w:pos="480"/>
              </w:tabs>
              <w:ind w:left="480" w:hanging="480"/>
              <w:rPr>
                <w:rFonts w:ascii="宋体" w:hAnsi="宋体"/>
                <w:b/>
                <w:bCs/>
                <w:color w:val="auto"/>
                <w:szCs w:val="21"/>
                <w:highlight w:val="none"/>
              </w:rPr>
            </w:pPr>
            <w:r>
              <w:rPr>
                <w:rFonts w:hint="eastAsia" w:ascii="宋体" w:hAnsi="宋体"/>
                <w:color w:val="auto"/>
                <w:szCs w:val="21"/>
                <w:highlight w:val="none"/>
              </w:rPr>
              <w:t>资格性检查</w:t>
            </w:r>
          </w:p>
        </w:tc>
        <w:tc>
          <w:tcPr>
            <w:tcW w:w="2350" w:type="dxa"/>
            <w:vAlign w:val="center"/>
          </w:tcPr>
          <w:p>
            <w:pPr>
              <w:tabs>
                <w:tab w:val="left" w:pos="146"/>
              </w:tabs>
              <w:ind w:left="146"/>
              <w:rPr>
                <w:rFonts w:ascii="宋体" w:hAnsi="宋体"/>
                <w:b/>
                <w:bCs/>
                <w:color w:val="auto"/>
                <w:szCs w:val="21"/>
                <w:highlight w:val="none"/>
              </w:rPr>
            </w:pPr>
            <w:r>
              <w:rPr>
                <w:rFonts w:hint="eastAsia" w:ascii="宋体" w:hAnsi="宋体"/>
                <w:color w:val="auto"/>
                <w:szCs w:val="21"/>
                <w:highlight w:val="none"/>
              </w:rPr>
              <w:t>投标人要求</w:t>
            </w:r>
          </w:p>
        </w:tc>
        <w:tc>
          <w:tcPr>
            <w:tcW w:w="2186" w:type="dxa"/>
            <w:vAlign w:val="center"/>
          </w:tcPr>
          <w:p>
            <w:pPr>
              <w:tabs>
                <w:tab w:val="left" w:pos="0"/>
              </w:tabs>
              <w:rPr>
                <w:rFonts w:ascii="宋体" w:hAnsi="宋体"/>
                <w:color w:val="auto"/>
                <w:szCs w:val="21"/>
                <w:highlight w:val="none"/>
              </w:rPr>
            </w:pPr>
            <w:r>
              <w:rPr>
                <w:rFonts w:hint="eastAsia" w:ascii="宋体" w:hAnsi="宋体"/>
                <w:color w:val="auto"/>
                <w:szCs w:val="21"/>
                <w:highlight w:val="none"/>
              </w:rPr>
              <w:t>投标人应具备《中华人民共和国政府采购法》第二十二条规定的条件</w:t>
            </w:r>
          </w:p>
          <w:p>
            <w:pPr>
              <w:tabs>
                <w:tab w:val="left" w:pos="0"/>
              </w:tabs>
              <w:rPr>
                <w:rFonts w:ascii="宋体" w:hAnsi="宋体"/>
                <w:b/>
                <w:bCs/>
                <w:color w:val="auto"/>
                <w:szCs w:val="21"/>
                <w:highlight w:val="none"/>
              </w:rPr>
            </w:pPr>
          </w:p>
        </w:tc>
        <w:tc>
          <w:tcPr>
            <w:tcW w:w="1701" w:type="dxa"/>
            <w:vAlign w:val="center"/>
          </w:tcPr>
          <w:p>
            <w:pPr>
              <w:tabs>
                <w:tab w:val="left" w:pos="480"/>
              </w:tabs>
              <w:ind w:left="480" w:hanging="480"/>
              <w:rPr>
                <w:rFonts w:ascii="宋体" w:hAnsi="宋体"/>
                <w:b/>
                <w:bCs/>
                <w:color w:val="auto"/>
                <w:szCs w:val="21"/>
                <w:highlight w:val="none"/>
              </w:rPr>
            </w:pPr>
          </w:p>
        </w:tc>
        <w:tc>
          <w:tcPr>
            <w:tcW w:w="2207" w:type="dxa"/>
            <w:vAlign w:val="center"/>
          </w:tcPr>
          <w:p>
            <w:pPr>
              <w:tabs>
                <w:tab w:val="left" w:pos="0"/>
              </w:tabs>
              <w:jc w:val="center"/>
              <w:rPr>
                <w:rFonts w:ascii="宋体" w:hAnsi="宋体"/>
                <w:b/>
                <w:color w:val="auto"/>
                <w:szCs w:val="21"/>
                <w:highlight w:val="none"/>
              </w:rPr>
            </w:pPr>
            <w:r>
              <w:rPr>
                <w:rFonts w:hint="eastAsia" w:ascii="宋体" w:hAnsi="宋体"/>
                <w:b/>
                <w:color w:val="auto"/>
                <w:szCs w:val="21"/>
                <w:highlight w:val="none"/>
              </w:rPr>
              <w:t>见谈判响应文件</w:t>
            </w:r>
          </w:p>
          <w:p>
            <w:pPr>
              <w:tabs>
                <w:tab w:val="left" w:pos="0"/>
              </w:tabs>
              <w:jc w:val="center"/>
              <w:rPr>
                <w:rFonts w:ascii="宋体" w:hAnsi="宋体"/>
                <w:b/>
                <w:color w:val="auto"/>
                <w:szCs w:val="21"/>
                <w:highlight w:val="none"/>
              </w:rPr>
            </w:pPr>
            <w:r>
              <w:rPr>
                <w:rFonts w:hint="eastAsia" w:ascii="宋体" w:hAnsi="宋体"/>
                <w:b/>
                <w:color w:val="auto"/>
                <w:szCs w:val="21"/>
                <w:highlight w:val="none"/>
              </w:rPr>
              <w:t>第（  ）页</w:t>
            </w:r>
          </w:p>
          <w:p>
            <w:pPr>
              <w:tabs>
                <w:tab w:val="left" w:pos="0"/>
              </w:tabs>
              <w:jc w:val="center"/>
              <w:rPr>
                <w:rFonts w:ascii="宋体" w:hAnsi="宋体"/>
                <w:b/>
                <w:bCs/>
                <w:color w:val="auto"/>
                <w:sz w:val="18"/>
                <w:szCs w:val="18"/>
                <w:highlight w:val="none"/>
              </w:rPr>
            </w:pPr>
            <w:r>
              <w:rPr>
                <w:rFonts w:hint="eastAsia" w:ascii="宋体" w:hAnsi="宋体"/>
                <w:color w:val="auto"/>
                <w:sz w:val="18"/>
                <w:szCs w:val="18"/>
                <w:highlight w:val="none"/>
              </w:rPr>
              <w:t>要求：提交合法有效的营业执照复印件加盖公章、</w:t>
            </w:r>
            <w:r>
              <w:rPr>
                <w:rFonts w:hint="eastAsia" w:ascii="宋体" w:hAnsi="宋体"/>
                <w:color w:val="auto"/>
                <w:kern w:val="0"/>
                <w:sz w:val="18"/>
                <w:szCs w:val="18"/>
                <w:highlight w:val="none"/>
              </w:rPr>
              <w:t>财务报表</w:t>
            </w:r>
            <w:r>
              <w:rPr>
                <w:rFonts w:hint="eastAsia" w:ascii="宋体" w:hAnsi="宋体"/>
                <w:color w:val="auto"/>
                <w:sz w:val="18"/>
                <w:szCs w:val="18"/>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096" w:type="dxa"/>
            <w:vMerge w:val="restart"/>
            <w:vAlign w:val="center"/>
          </w:tcPr>
          <w:p>
            <w:pPr>
              <w:tabs>
                <w:tab w:val="left" w:pos="480"/>
              </w:tabs>
              <w:ind w:left="480" w:hanging="480"/>
              <w:jc w:val="center"/>
              <w:rPr>
                <w:rFonts w:ascii="宋体" w:hAnsi="宋体"/>
                <w:b/>
                <w:bCs/>
                <w:color w:val="auto"/>
                <w:szCs w:val="21"/>
                <w:highlight w:val="none"/>
              </w:rPr>
            </w:pPr>
            <w:r>
              <w:rPr>
                <w:rFonts w:hint="eastAsia" w:ascii="宋体" w:hAnsi="宋体"/>
                <w:color w:val="auto"/>
                <w:szCs w:val="21"/>
                <w:highlight w:val="none"/>
              </w:rPr>
              <w:t>符合性审查</w:t>
            </w:r>
          </w:p>
        </w:tc>
        <w:tc>
          <w:tcPr>
            <w:tcW w:w="2350" w:type="dxa"/>
            <w:vAlign w:val="center"/>
          </w:tcPr>
          <w:p>
            <w:pPr>
              <w:tabs>
                <w:tab w:val="left" w:pos="146"/>
              </w:tabs>
              <w:ind w:left="146"/>
              <w:rPr>
                <w:rFonts w:ascii="宋体" w:hAnsi="宋体"/>
                <w:b/>
                <w:bCs/>
                <w:color w:val="auto"/>
                <w:szCs w:val="21"/>
                <w:highlight w:val="none"/>
              </w:rPr>
            </w:pPr>
            <w:r>
              <w:rPr>
                <w:rFonts w:hint="eastAsia" w:ascii="宋体" w:hAnsi="宋体"/>
                <w:color w:val="auto"/>
                <w:szCs w:val="21"/>
                <w:highlight w:val="none"/>
                <w:lang w:eastAsia="zh-CN"/>
              </w:rPr>
              <w:t>项目周期</w:t>
            </w:r>
            <w:r>
              <w:rPr>
                <w:rFonts w:hint="eastAsia" w:ascii="宋体" w:hAnsi="宋体"/>
                <w:color w:val="auto"/>
                <w:szCs w:val="21"/>
                <w:highlight w:val="none"/>
              </w:rPr>
              <w:t>须满足要求</w:t>
            </w:r>
          </w:p>
        </w:tc>
        <w:tc>
          <w:tcPr>
            <w:tcW w:w="2186"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rPr>
              <w:t>谈判</w:t>
            </w:r>
            <w:r>
              <w:rPr>
                <w:rFonts w:hint="eastAsia" w:ascii="宋体" w:hAnsi="宋体"/>
                <w:color w:val="auto"/>
                <w:szCs w:val="21"/>
                <w:highlight w:val="none"/>
              </w:rPr>
              <w:t>文件要求</w:t>
            </w:r>
          </w:p>
        </w:tc>
        <w:tc>
          <w:tcPr>
            <w:tcW w:w="1701" w:type="dxa"/>
            <w:vAlign w:val="center"/>
          </w:tcPr>
          <w:p>
            <w:pPr>
              <w:tabs>
                <w:tab w:val="left" w:pos="480"/>
              </w:tabs>
              <w:ind w:left="480" w:hanging="480"/>
              <w:rPr>
                <w:rFonts w:ascii="宋体" w:hAnsi="宋体"/>
                <w:b/>
                <w:bCs/>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见谈判响应文件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96" w:type="dxa"/>
            <w:vMerge w:val="continue"/>
          </w:tcPr>
          <w:p>
            <w:pPr>
              <w:tabs>
                <w:tab w:val="left" w:pos="480"/>
              </w:tabs>
              <w:ind w:left="480" w:hanging="480"/>
              <w:jc w:val="center"/>
              <w:rPr>
                <w:rFonts w:ascii="宋体" w:hAnsi="宋体"/>
                <w:b/>
                <w:bCs/>
                <w:color w:val="auto"/>
                <w:szCs w:val="21"/>
                <w:highlight w:val="none"/>
              </w:rPr>
            </w:pPr>
          </w:p>
        </w:tc>
        <w:tc>
          <w:tcPr>
            <w:tcW w:w="2350" w:type="dxa"/>
            <w:vAlign w:val="center"/>
          </w:tcPr>
          <w:p>
            <w:pPr>
              <w:tabs>
                <w:tab w:val="left" w:pos="146"/>
              </w:tabs>
              <w:ind w:left="146"/>
              <w:rPr>
                <w:rFonts w:ascii="宋体" w:hAnsi="宋体"/>
                <w:b/>
                <w:bCs/>
                <w:color w:val="auto"/>
                <w:szCs w:val="21"/>
                <w:highlight w:val="none"/>
              </w:rPr>
            </w:pPr>
            <w:r>
              <w:rPr>
                <w:rFonts w:hint="eastAsia" w:ascii="宋体" w:hAnsi="宋体"/>
                <w:color w:val="auto"/>
                <w:szCs w:val="21"/>
                <w:highlight w:val="none"/>
              </w:rPr>
              <w:t>投标报价未超出报价上限</w:t>
            </w:r>
          </w:p>
        </w:tc>
        <w:tc>
          <w:tcPr>
            <w:tcW w:w="2186"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rPr>
              <w:t>谈判</w:t>
            </w:r>
            <w:r>
              <w:rPr>
                <w:rFonts w:hint="eastAsia" w:ascii="宋体" w:hAnsi="宋体"/>
                <w:color w:val="auto"/>
                <w:szCs w:val="21"/>
                <w:highlight w:val="none"/>
              </w:rPr>
              <w:t>文件要求</w:t>
            </w:r>
          </w:p>
        </w:tc>
        <w:tc>
          <w:tcPr>
            <w:tcW w:w="1701" w:type="dxa"/>
            <w:vAlign w:val="center"/>
          </w:tcPr>
          <w:p>
            <w:pPr>
              <w:tabs>
                <w:tab w:val="left" w:pos="480"/>
              </w:tabs>
              <w:ind w:left="480" w:hanging="480"/>
              <w:rPr>
                <w:rFonts w:ascii="宋体" w:hAnsi="宋体"/>
                <w:b/>
                <w:bCs/>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见谈判响应文件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auto"/>
                <w:szCs w:val="21"/>
                <w:highlight w:val="none"/>
              </w:rPr>
            </w:pPr>
          </w:p>
        </w:tc>
        <w:tc>
          <w:tcPr>
            <w:tcW w:w="2350" w:type="dxa"/>
            <w:vAlign w:val="center"/>
          </w:tcPr>
          <w:p>
            <w:pPr>
              <w:tabs>
                <w:tab w:val="left" w:pos="146"/>
              </w:tabs>
              <w:ind w:left="146"/>
              <w:rPr>
                <w:rFonts w:ascii="宋体" w:hAnsi="宋体"/>
                <w:b/>
                <w:bCs/>
                <w:color w:val="auto"/>
                <w:szCs w:val="21"/>
                <w:highlight w:val="none"/>
              </w:rPr>
            </w:pPr>
            <w:r>
              <w:rPr>
                <w:rFonts w:hint="eastAsia" w:ascii="宋体" w:hAnsi="宋体"/>
                <w:color w:val="auto"/>
                <w:szCs w:val="21"/>
                <w:highlight w:val="none"/>
              </w:rPr>
              <w:t>法定代表人/负责人资格证明书及授权委托书</w:t>
            </w:r>
          </w:p>
        </w:tc>
        <w:tc>
          <w:tcPr>
            <w:tcW w:w="2186"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按对应格式文件签署、盖章(原件)</w:t>
            </w:r>
          </w:p>
        </w:tc>
        <w:tc>
          <w:tcPr>
            <w:tcW w:w="1701" w:type="dxa"/>
            <w:vAlign w:val="center"/>
          </w:tcPr>
          <w:p>
            <w:pPr>
              <w:tabs>
                <w:tab w:val="left" w:pos="480"/>
              </w:tabs>
              <w:ind w:left="-107" w:leftChars="-51" w:firstLine="106"/>
              <w:rPr>
                <w:rFonts w:ascii="宋体" w:hAnsi="宋体"/>
                <w:b/>
                <w:bCs/>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见谈判响应文件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auto"/>
                <w:szCs w:val="21"/>
                <w:highlight w:val="none"/>
              </w:rPr>
            </w:pPr>
          </w:p>
        </w:tc>
        <w:tc>
          <w:tcPr>
            <w:tcW w:w="2350" w:type="dxa"/>
            <w:vAlign w:val="center"/>
          </w:tcPr>
          <w:p>
            <w:pPr>
              <w:tabs>
                <w:tab w:val="left" w:pos="146"/>
              </w:tabs>
              <w:ind w:left="146"/>
              <w:rPr>
                <w:rFonts w:ascii="宋体" w:hAnsi="宋体"/>
                <w:color w:val="auto"/>
                <w:szCs w:val="21"/>
                <w:highlight w:val="none"/>
              </w:rPr>
            </w:pPr>
            <w:r>
              <w:rPr>
                <w:rFonts w:hint="eastAsia" w:ascii="宋体" w:hAnsi="宋体"/>
                <w:color w:val="auto"/>
                <w:szCs w:val="21"/>
                <w:highlight w:val="none"/>
              </w:rPr>
              <w:t>不接受联合体投标</w:t>
            </w:r>
          </w:p>
        </w:tc>
        <w:tc>
          <w:tcPr>
            <w:tcW w:w="2186" w:type="dxa"/>
            <w:vAlign w:val="center"/>
          </w:tcPr>
          <w:p>
            <w:pPr>
              <w:tabs>
                <w:tab w:val="left" w:pos="0"/>
              </w:tabs>
              <w:rPr>
                <w:rFonts w:ascii="宋体" w:hAnsi="宋体"/>
                <w:color w:val="auto"/>
                <w:szCs w:val="21"/>
                <w:highlight w:val="none"/>
              </w:rPr>
            </w:pPr>
            <w:r>
              <w:rPr>
                <w:rFonts w:hint="eastAsia" w:ascii="宋体" w:hAnsi="宋体"/>
                <w:color w:val="auto"/>
                <w:szCs w:val="21"/>
                <w:highlight w:val="none"/>
              </w:rPr>
              <w:t>按</w:t>
            </w:r>
            <w:r>
              <w:rPr>
                <w:rFonts w:hint="eastAsia" w:ascii="宋体" w:hAnsi="宋体"/>
                <w:bCs/>
                <w:color w:val="auto"/>
                <w:szCs w:val="21"/>
                <w:highlight w:val="none"/>
              </w:rPr>
              <w:t>谈判</w:t>
            </w:r>
            <w:r>
              <w:rPr>
                <w:rFonts w:hint="eastAsia" w:ascii="宋体" w:hAnsi="宋体"/>
                <w:color w:val="auto"/>
                <w:szCs w:val="21"/>
                <w:highlight w:val="none"/>
              </w:rPr>
              <w:t>文件要求</w:t>
            </w:r>
          </w:p>
        </w:tc>
        <w:tc>
          <w:tcPr>
            <w:tcW w:w="1701" w:type="dxa"/>
            <w:vAlign w:val="center"/>
          </w:tcPr>
          <w:p>
            <w:pPr>
              <w:tabs>
                <w:tab w:val="left" w:pos="480"/>
              </w:tabs>
              <w:ind w:left="-107" w:leftChars="-51" w:firstLine="106"/>
              <w:rPr>
                <w:rFonts w:ascii="宋体" w:hAnsi="宋体"/>
                <w:b/>
                <w:bCs/>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见谈判响应文件</w:t>
            </w:r>
          </w:p>
          <w:p>
            <w:pPr>
              <w:tabs>
                <w:tab w:val="left" w:pos="0"/>
              </w:tabs>
              <w:jc w:val="center"/>
              <w:rPr>
                <w:rFonts w:ascii="宋体" w:hAnsi="宋体"/>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096" w:type="dxa"/>
            <w:vMerge w:val="continue"/>
          </w:tcPr>
          <w:p>
            <w:pPr>
              <w:tabs>
                <w:tab w:val="left" w:pos="480"/>
              </w:tabs>
              <w:ind w:left="480" w:hanging="480"/>
              <w:jc w:val="center"/>
              <w:rPr>
                <w:rFonts w:ascii="宋体" w:hAnsi="宋体"/>
                <w:b/>
                <w:bCs/>
                <w:color w:val="auto"/>
                <w:szCs w:val="21"/>
                <w:highlight w:val="none"/>
              </w:rPr>
            </w:pPr>
          </w:p>
        </w:tc>
        <w:tc>
          <w:tcPr>
            <w:tcW w:w="2350" w:type="dxa"/>
            <w:vAlign w:val="center"/>
          </w:tcPr>
          <w:p>
            <w:pPr>
              <w:tabs>
                <w:tab w:val="left" w:pos="146"/>
              </w:tabs>
              <w:ind w:left="146"/>
              <w:rPr>
                <w:rFonts w:ascii="宋体" w:hAnsi="宋体"/>
                <w:b/>
                <w:bCs/>
                <w:color w:val="auto"/>
                <w:szCs w:val="21"/>
                <w:highlight w:val="none"/>
              </w:rPr>
            </w:pPr>
            <w:r>
              <w:rPr>
                <w:rFonts w:hint="eastAsia" w:ascii="宋体" w:hAnsi="宋体"/>
                <w:color w:val="auto"/>
                <w:szCs w:val="21"/>
                <w:highlight w:val="none"/>
              </w:rPr>
              <w:t>其他要求</w:t>
            </w:r>
          </w:p>
        </w:tc>
        <w:tc>
          <w:tcPr>
            <w:tcW w:w="2186"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按资料清单中规定提供“必须提交”的文件资料</w:t>
            </w:r>
          </w:p>
        </w:tc>
        <w:tc>
          <w:tcPr>
            <w:tcW w:w="1701" w:type="dxa"/>
            <w:vAlign w:val="center"/>
          </w:tcPr>
          <w:p>
            <w:pPr>
              <w:tabs>
                <w:tab w:val="left" w:pos="480"/>
              </w:tabs>
              <w:ind w:left="480" w:hanging="480"/>
              <w:rPr>
                <w:rFonts w:ascii="宋体" w:hAnsi="宋体"/>
                <w:b/>
                <w:bCs/>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见谈判响应文件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bl>
    <w:p>
      <w:pPr>
        <w:spacing w:line="360" w:lineRule="auto"/>
        <w:rPr>
          <w:rFonts w:ascii="宋体" w:hAnsi="宋体"/>
          <w:color w:val="auto"/>
          <w:sz w:val="18"/>
          <w:szCs w:val="18"/>
          <w:highlight w:val="none"/>
        </w:rPr>
      </w:pPr>
    </w:p>
    <w:p>
      <w:pPr>
        <w:tabs>
          <w:tab w:val="center" w:pos="4483"/>
        </w:tabs>
        <w:ind w:left="315" w:leftChars="50" w:hanging="210" w:hangingChars="100"/>
        <w:rPr>
          <w:rFonts w:ascii="宋体" w:hAnsi="宋体"/>
          <w:color w:val="auto"/>
          <w:szCs w:val="21"/>
          <w:highlight w:val="none"/>
        </w:rPr>
      </w:pPr>
      <w:r>
        <w:rPr>
          <w:rFonts w:hint="eastAsia" w:ascii="宋体" w:hAnsi="宋体"/>
          <w:color w:val="auto"/>
          <w:szCs w:val="21"/>
          <w:highlight w:val="none"/>
        </w:rPr>
        <w:t>注：1、以上材料将作为</w:t>
      </w:r>
      <w:r>
        <w:rPr>
          <w:rFonts w:hint="eastAsia" w:ascii="宋体" w:hAnsi="宋体"/>
          <w:bCs/>
          <w:color w:val="auto"/>
          <w:szCs w:val="21"/>
          <w:highlight w:val="none"/>
        </w:rPr>
        <w:t>投标供应商</w:t>
      </w:r>
      <w:r>
        <w:rPr>
          <w:rFonts w:hint="eastAsia" w:ascii="宋体" w:hAnsi="宋体"/>
          <w:color w:val="auto"/>
          <w:szCs w:val="21"/>
          <w:highlight w:val="none"/>
        </w:rPr>
        <w:t>资格性和符合性审核的重要内容之一，</w:t>
      </w:r>
      <w:r>
        <w:rPr>
          <w:rFonts w:hint="eastAsia" w:ascii="宋体" w:hAnsi="宋体"/>
          <w:bCs/>
          <w:color w:val="auto"/>
          <w:szCs w:val="21"/>
          <w:highlight w:val="none"/>
        </w:rPr>
        <w:t>投标供应商</w:t>
      </w:r>
      <w:r>
        <w:rPr>
          <w:rFonts w:hint="eastAsia" w:ascii="宋体" w:hAnsi="宋体"/>
          <w:color w:val="auto"/>
          <w:szCs w:val="21"/>
          <w:highlight w:val="none"/>
        </w:rPr>
        <w:t>必须严格按照其内容及序列要求在谈判响应文件中对应如实提供，对缺漏和不符合项或</w:t>
      </w:r>
      <w:r>
        <w:rPr>
          <w:rFonts w:hint="eastAsia" w:ascii="宋体" w:hAnsi="宋体"/>
          <w:bCs/>
          <w:color w:val="auto"/>
          <w:szCs w:val="21"/>
          <w:highlight w:val="none"/>
        </w:rPr>
        <w:t>提交的资料字迹模糊不清而现场无法提供原件核实的</w:t>
      </w:r>
      <w:r>
        <w:rPr>
          <w:rFonts w:hint="eastAsia" w:ascii="宋体" w:hAnsi="宋体"/>
          <w:color w:val="auto"/>
          <w:szCs w:val="21"/>
          <w:highlight w:val="none"/>
        </w:rPr>
        <w:t>将会直接导致无效投标。</w:t>
      </w:r>
      <w:r>
        <w:rPr>
          <w:rFonts w:hint="eastAsia" w:ascii="宋体" w:hAnsi="宋体"/>
          <w:bCs/>
          <w:color w:val="auto"/>
          <w:szCs w:val="21"/>
          <w:highlight w:val="none"/>
        </w:rPr>
        <w:t>不能继续参与后续评标，有效投标人少于3家的将导致废标。废标后，除采购任务取消情形外，应当重新组织采购。</w:t>
      </w:r>
      <w:r>
        <w:rPr>
          <w:rFonts w:hint="eastAsia" w:ascii="宋体" w:hAnsi="宋体"/>
          <w:color w:val="auto"/>
          <w:szCs w:val="21"/>
          <w:highlight w:val="none"/>
        </w:rPr>
        <w:t>在对应的自查结论中填“通过”或“不通过”。</w:t>
      </w:r>
    </w:p>
    <w:p>
      <w:pPr>
        <w:tabs>
          <w:tab w:val="center" w:pos="4483"/>
        </w:tabs>
        <w:ind w:left="315" w:leftChars="50" w:hanging="210" w:hangingChars="100"/>
        <w:rPr>
          <w:rFonts w:ascii="宋体" w:hAnsi="宋体"/>
          <w:bCs/>
          <w:color w:val="auto"/>
          <w:szCs w:val="21"/>
          <w:highlight w:val="none"/>
        </w:rPr>
      </w:pPr>
      <w:r>
        <w:rPr>
          <w:rFonts w:ascii="宋体" w:hAnsi="宋体"/>
          <w:bCs/>
          <w:color w:val="auto"/>
          <w:szCs w:val="21"/>
          <w:highlight w:val="none"/>
        </w:rPr>
        <w:t xml:space="preserve">   2</w:t>
      </w:r>
      <w:r>
        <w:rPr>
          <w:rFonts w:hint="eastAsia" w:ascii="宋体" w:hAnsi="宋体"/>
          <w:bCs/>
          <w:color w:val="auto"/>
          <w:szCs w:val="21"/>
          <w:highlight w:val="none"/>
        </w:rPr>
        <w:t>、投标供应商的</w:t>
      </w:r>
      <w:r>
        <w:rPr>
          <w:rFonts w:hint="eastAsia" w:ascii="宋体" w:hAnsi="宋体"/>
          <w:color w:val="auto"/>
          <w:szCs w:val="21"/>
          <w:highlight w:val="none"/>
        </w:rPr>
        <w:t>谈判响应</w:t>
      </w:r>
      <w:r>
        <w:rPr>
          <w:rFonts w:hint="eastAsia" w:ascii="宋体" w:hAnsi="宋体"/>
          <w:bCs/>
          <w:color w:val="auto"/>
          <w:szCs w:val="21"/>
          <w:highlight w:val="none"/>
        </w:rPr>
        <w:t>文件为法定代表人（负责人）签署并由法定代表人（负责人）亲自递交</w:t>
      </w:r>
      <w:r>
        <w:rPr>
          <w:rFonts w:hint="eastAsia" w:ascii="宋体" w:hAnsi="宋体"/>
          <w:color w:val="auto"/>
          <w:szCs w:val="21"/>
          <w:highlight w:val="none"/>
        </w:rPr>
        <w:t>谈判响应</w:t>
      </w:r>
      <w:r>
        <w:rPr>
          <w:rFonts w:hint="eastAsia" w:ascii="宋体" w:hAnsi="宋体"/>
          <w:bCs/>
          <w:color w:val="auto"/>
          <w:szCs w:val="21"/>
          <w:highlight w:val="none"/>
        </w:rPr>
        <w:t>文件和参加</w:t>
      </w:r>
      <w:r>
        <w:rPr>
          <w:rFonts w:hint="eastAsia" w:ascii="宋体" w:hAnsi="宋体"/>
          <w:color w:val="auto"/>
          <w:szCs w:val="21"/>
          <w:highlight w:val="none"/>
        </w:rPr>
        <w:t>谈判</w:t>
      </w:r>
      <w:r>
        <w:rPr>
          <w:rFonts w:hint="eastAsia" w:ascii="宋体" w:hAnsi="宋体"/>
          <w:bCs/>
          <w:color w:val="auto"/>
          <w:szCs w:val="21"/>
          <w:highlight w:val="none"/>
        </w:rPr>
        <w:t>的，可不提供“法定代表人（负责人）授权书”及“代理人身份证”。</w:t>
      </w:r>
    </w:p>
    <w:p>
      <w:pPr>
        <w:tabs>
          <w:tab w:val="center" w:pos="4483"/>
        </w:tabs>
        <w:ind w:left="315" w:leftChars="50" w:hanging="210" w:hangingChars="100"/>
        <w:rPr>
          <w:rFonts w:ascii="宋体" w:hAnsi="宋体"/>
          <w:bCs/>
          <w:color w:val="auto"/>
          <w:szCs w:val="21"/>
          <w:highlight w:val="none"/>
        </w:rPr>
      </w:pPr>
    </w:p>
    <w:p>
      <w:pPr>
        <w:tabs>
          <w:tab w:val="center" w:pos="4483"/>
        </w:tabs>
        <w:ind w:left="315" w:leftChars="50" w:hanging="210" w:hangingChars="100"/>
        <w:rPr>
          <w:rFonts w:ascii="宋体" w:hAnsi="宋体"/>
          <w:bCs/>
          <w:color w:val="auto"/>
          <w:szCs w:val="21"/>
          <w:highlight w:val="none"/>
        </w:rPr>
      </w:pPr>
    </w:p>
    <w:p>
      <w:pPr>
        <w:tabs>
          <w:tab w:val="center" w:pos="4483"/>
        </w:tabs>
        <w:ind w:left="315" w:leftChars="50" w:hanging="210" w:hangingChars="100"/>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供应商法定代表人（负责人）或授权代理人（签字）：</w:t>
      </w:r>
      <w:r>
        <w:rPr>
          <w:rFonts w:hint="eastAsia" w:ascii="宋体" w:hAnsi="宋体"/>
          <w:color w:val="auto"/>
          <w:szCs w:val="21"/>
          <w:highlight w:val="none"/>
          <w:u w:val="single"/>
        </w:rPr>
        <w:t xml:space="preserve">                   </w:t>
      </w:r>
      <w:r>
        <w:rPr>
          <w:rFonts w:hint="eastAsia" w:ascii="宋体" w:hAnsi="宋体"/>
          <w:bCs/>
          <w:color w:val="auto"/>
          <w:szCs w:val="21"/>
          <w:highlight w:val="none"/>
        </w:rPr>
        <w:t xml:space="preserve"> </w:t>
      </w:r>
    </w:p>
    <w:p>
      <w:pPr>
        <w:adjustRightInd w:val="0"/>
        <w:snapToGrid w:val="0"/>
        <w:spacing w:line="360" w:lineRule="auto"/>
        <w:rPr>
          <w:rFonts w:ascii="宋体" w:hAnsi="宋体"/>
          <w:bCs/>
          <w:color w:val="auto"/>
          <w:szCs w:val="21"/>
          <w:highlight w:val="none"/>
          <w:u w:val="single"/>
        </w:rPr>
      </w:pPr>
      <w:r>
        <w:rPr>
          <w:rFonts w:hint="eastAsia" w:ascii="宋体" w:hAnsi="宋体"/>
          <w:bCs/>
          <w:color w:val="auto"/>
          <w:szCs w:val="21"/>
          <w:highlight w:val="none"/>
        </w:rPr>
        <w:t>供应商名称（加盖公章）：</w:t>
      </w:r>
      <w:r>
        <w:rPr>
          <w:rFonts w:hint="eastAsia" w:ascii="宋体" w:hAnsi="宋体"/>
          <w:color w:val="auto"/>
          <w:szCs w:val="21"/>
          <w:highlight w:val="none"/>
          <w:u w:val="single"/>
        </w:rPr>
        <w:t xml:space="preserve">                   </w:t>
      </w: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日期：   年   月   日</w:t>
      </w:r>
    </w:p>
    <w:p>
      <w:pPr>
        <w:spacing w:line="360" w:lineRule="auto"/>
        <w:rPr>
          <w:rFonts w:ascii="宋体" w:hAnsi="宋体"/>
          <w:color w:val="auto"/>
          <w:sz w:val="18"/>
          <w:szCs w:val="18"/>
          <w:highlight w:val="none"/>
        </w:rPr>
        <w:sectPr>
          <w:headerReference r:id="rId7" w:type="default"/>
          <w:pgSz w:w="11906" w:h="16838"/>
          <w:pgMar w:top="1134" w:right="1418" w:bottom="1134" w:left="1134" w:header="851" w:footer="992" w:gutter="0"/>
          <w:cols w:space="720" w:num="1"/>
          <w:docGrid w:linePitch="312" w:charSpace="0"/>
        </w:sectPr>
      </w:pPr>
    </w:p>
    <w:p>
      <w:pPr>
        <w:pStyle w:val="5"/>
        <w:numPr>
          <w:ilvl w:val="1"/>
          <w:numId w:val="0"/>
        </w:numPr>
        <w:spacing w:line="360" w:lineRule="auto"/>
        <w:jc w:val="center"/>
        <w:rPr>
          <w:rFonts w:ascii="宋体" w:hAnsi="宋体" w:eastAsia="宋体"/>
          <w:color w:val="auto"/>
          <w:sz w:val="28"/>
          <w:szCs w:val="28"/>
          <w:highlight w:val="none"/>
        </w:rPr>
      </w:pPr>
      <w:bookmarkStart w:id="178" w:name="_Toc200414515"/>
      <w:bookmarkStart w:id="179" w:name="_Toc24259"/>
      <w:r>
        <w:rPr>
          <w:rFonts w:hint="eastAsia" w:ascii="宋体" w:hAnsi="宋体" w:eastAsia="宋体"/>
          <w:color w:val="auto"/>
          <w:sz w:val="28"/>
          <w:szCs w:val="28"/>
          <w:highlight w:val="none"/>
        </w:rPr>
        <w:t>（一）无重大违法记录声明函</w:t>
      </w:r>
      <w:bookmarkEnd w:id="178"/>
      <w:bookmarkEnd w:id="179"/>
    </w:p>
    <w:p>
      <w:pPr>
        <w:pStyle w:val="9"/>
        <w:spacing w:line="360" w:lineRule="auto"/>
        <w:ind w:left="420" w:firstLine="0"/>
        <w:rPr>
          <w:rFonts w:ascii="宋体" w:hAnsi="宋体"/>
          <w:color w:val="auto"/>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致（代理机构）：</w:t>
      </w:r>
    </w:p>
    <w:p>
      <w:pPr>
        <w:spacing w:line="360" w:lineRule="auto"/>
        <w:rPr>
          <w:rFonts w:ascii="宋体" w:hAnsi="宋体"/>
          <w:color w:val="auto"/>
          <w:szCs w:val="21"/>
          <w:highlight w:val="none"/>
        </w:rPr>
      </w:pPr>
      <w:r>
        <w:rPr>
          <w:rFonts w:hint="eastAsia" w:ascii="宋体" w:hAnsi="宋体"/>
          <w:color w:val="auto"/>
          <w:szCs w:val="21"/>
          <w:highlight w:val="none"/>
        </w:rPr>
        <w:t xml:space="preserve">    针对贵方组织的（项目名称：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，我方郑重承诺：</w:t>
      </w:r>
    </w:p>
    <w:p>
      <w:pPr>
        <w:spacing w:line="360" w:lineRule="auto"/>
        <w:rPr>
          <w:rFonts w:ascii="宋体" w:hAnsi="宋体"/>
          <w:color w:val="auto"/>
          <w:szCs w:val="21"/>
          <w:highlight w:val="none"/>
        </w:rPr>
      </w:pPr>
      <w:r>
        <w:rPr>
          <w:rFonts w:hint="eastAsia" w:ascii="宋体" w:hAnsi="宋体"/>
          <w:color w:val="auto"/>
          <w:szCs w:val="21"/>
          <w:highlight w:val="none"/>
        </w:rPr>
        <w:t xml:space="preserve">   参加本次政府采购活动前三年内，在经营活动中没有重大违法记录。</w:t>
      </w:r>
    </w:p>
    <w:p>
      <w:pPr>
        <w:spacing w:line="360" w:lineRule="auto"/>
        <w:rPr>
          <w:rFonts w:ascii="宋体" w:hAnsi="宋体"/>
          <w:color w:val="auto"/>
          <w:szCs w:val="21"/>
          <w:highlight w:val="none"/>
        </w:rPr>
      </w:pPr>
      <w:r>
        <w:rPr>
          <w:rFonts w:hint="eastAsia" w:ascii="宋体" w:hAnsi="宋体"/>
          <w:color w:val="auto"/>
          <w:szCs w:val="21"/>
          <w:highlight w:val="none"/>
        </w:rPr>
        <w:t xml:space="preserve">   本公司对上述声明的真实性负责。如有虚假，将依法承担相关责任。</w:t>
      </w:r>
    </w:p>
    <w:p>
      <w:pPr>
        <w:spacing w:line="360" w:lineRule="auto"/>
        <w:rPr>
          <w:rFonts w:ascii="宋体" w:hAnsi="宋体"/>
          <w:color w:val="auto"/>
          <w:szCs w:val="21"/>
          <w:highlight w:val="none"/>
        </w:rPr>
      </w:pPr>
      <w:r>
        <w:rPr>
          <w:rFonts w:hint="eastAsia" w:ascii="宋体" w:hAnsi="宋体"/>
          <w:color w:val="auto"/>
          <w:szCs w:val="21"/>
          <w:highlight w:val="none"/>
        </w:rPr>
        <w:t xml:space="preserve">    特此声明。</w:t>
      </w:r>
    </w:p>
    <w:p>
      <w:pPr>
        <w:spacing w:line="360" w:lineRule="auto"/>
        <w:ind w:firstLine="660"/>
        <w:rPr>
          <w:rFonts w:ascii="宋体" w:hAnsi="宋体"/>
          <w:color w:val="auto"/>
          <w:szCs w:val="21"/>
          <w:highlight w:val="none"/>
        </w:rPr>
      </w:pPr>
    </w:p>
    <w:p>
      <w:pPr>
        <w:spacing w:line="360" w:lineRule="auto"/>
        <w:ind w:firstLine="660"/>
        <w:rPr>
          <w:rFonts w:ascii="宋体" w:hAnsi="宋体"/>
          <w:color w:val="auto"/>
          <w:szCs w:val="21"/>
          <w:highlight w:val="none"/>
        </w:rPr>
      </w:pPr>
    </w:p>
    <w:p>
      <w:pPr>
        <w:spacing w:line="360" w:lineRule="auto"/>
        <w:ind w:firstLine="660"/>
        <w:rPr>
          <w:rFonts w:ascii="宋体" w:hAnsi="宋体"/>
          <w:color w:val="auto"/>
          <w:szCs w:val="21"/>
          <w:highlight w:val="none"/>
        </w:rPr>
      </w:pPr>
    </w:p>
    <w:p>
      <w:pPr>
        <w:spacing w:line="360" w:lineRule="auto"/>
        <w:ind w:firstLine="660"/>
        <w:rPr>
          <w:rFonts w:ascii="宋体" w:hAnsi="宋体"/>
          <w:color w:val="auto"/>
          <w:szCs w:val="21"/>
          <w:highlight w:val="none"/>
        </w:rPr>
      </w:pPr>
    </w:p>
    <w:p>
      <w:pPr>
        <w:spacing w:line="360" w:lineRule="auto"/>
        <w:ind w:firstLine="660"/>
        <w:rPr>
          <w:rFonts w:ascii="宋体" w:hAnsi="宋体"/>
          <w:color w:val="auto"/>
          <w:szCs w:val="21"/>
          <w:highlight w:val="none"/>
        </w:rPr>
      </w:pPr>
    </w:p>
    <w:p>
      <w:pPr>
        <w:spacing w:line="360" w:lineRule="auto"/>
        <w:ind w:firstLine="660"/>
        <w:rPr>
          <w:rFonts w:ascii="宋体" w:hAnsi="宋体"/>
          <w:color w:val="auto"/>
          <w:szCs w:val="21"/>
          <w:highlight w:val="none"/>
        </w:rPr>
      </w:pPr>
    </w:p>
    <w:p>
      <w:pPr>
        <w:spacing w:line="360" w:lineRule="auto"/>
        <w:ind w:firstLine="660"/>
        <w:rPr>
          <w:rFonts w:ascii="宋体" w:hAnsi="宋体"/>
          <w:color w:val="auto"/>
          <w:szCs w:val="21"/>
          <w:highlight w:val="none"/>
        </w:rPr>
      </w:pPr>
    </w:p>
    <w:p>
      <w:pPr>
        <w:spacing w:line="360" w:lineRule="auto"/>
        <w:ind w:firstLine="660"/>
        <w:rPr>
          <w:rFonts w:ascii="宋体" w:hAnsi="宋体"/>
          <w:color w:val="auto"/>
          <w:szCs w:val="21"/>
          <w:highlight w:val="none"/>
        </w:rPr>
      </w:pPr>
    </w:p>
    <w:p>
      <w:pPr>
        <w:spacing w:line="360" w:lineRule="auto"/>
        <w:ind w:firstLine="660"/>
        <w:rPr>
          <w:rFonts w:ascii="宋体" w:hAnsi="宋体"/>
          <w:color w:val="auto"/>
          <w:szCs w:val="21"/>
          <w:highlight w:val="none"/>
        </w:rPr>
      </w:pPr>
    </w:p>
    <w:p>
      <w:pPr>
        <w:spacing w:line="360" w:lineRule="auto"/>
        <w:ind w:firstLine="660"/>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供应商法定代表人（负责人）或授权代理人（签字）：</w:t>
      </w:r>
    </w:p>
    <w:p>
      <w:pPr>
        <w:spacing w:line="360" w:lineRule="auto"/>
        <w:rPr>
          <w:rFonts w:ascii="宋体" w:hAnsi="宋体"/>
          <w:color w:val="auto"/>
          <w:szCs w:val="21"/>
          <w:highlight w:val="none"/>
        </w:rPr>
      </w:pPr>
      <w:r>
        <w:rPr>
          <w:rFonts w:hint="eastAsia" w:ascii="宋体" w:hAnsi="宋体"/>
          <w:color w:val="auto"/>
          <w:szCs w:val="21"/>
          <w:highlight w:val="none"/>
        </w:rPr>
        <w:t>供应商名称（加盖公章）：</w:t>
      </w:r>
    </w:p>
    <w:p>
      <w:pPr>
        <w:spacing w:line="360" w:lineRule="auto"/>
        <w:rPr>
          <w:rFonts w:ascii="宋体" w:hAnsi="宋体"/>
          <w:color w:val="auto"/>
          <w:szCs w:val="21"/>
          <w:highlight w:val="none"/>
        </w:rPr>
      </w:pPr>
      <w:r>
        <w:rPr>
          <w:rFonts w:hint="eastAsia" w:ascii="宋体" w:hAnsi="宋体"/>
          <w:bCs/>
          <w:color w:val="auto"/>
          <w:szCs w:val="21"/>
          <w:highlight w:val="none"/>
        </w:rPr>
        <w:t>日期： 年月 日</w:t>
      </w:r>
    </w:p>
    <w:p>
      <w:pPr>
        <w:pStyle w:val="9"/>
        <w:spacing w:line="360" w:lineRule="auto"/>
        <w:ind w:left="420" w:firstLine="0"/>
        <w:rPr>
          <w:rFonts w:ascii="宋体" w:hAnsi="宋体"/>
          <w:color w:val="auto"/>
          <w:highlight w:val="none"/>
        </w:rPr>
      </w:pPr>
    </w:p>
    <w:p>
      <w:pPr>
        <w:pStyle w:val="9"/>
        <w:spacing w:line="360" w:lineRule="auto"/>
        <w:ind w:left="420" w:firstLine="0"/>
        <w:rPr>
          <w:rFonts w:ascii="宋体" w:hAnsi="宋体"/>
          <w:color w:val="auto"/>
          <w:highlight w:val="none"/>
        </w:rPr>
      </w:pPr>
    </w:p>
    <w:p>
      <w:pPr>
        <w:pStyle w:val="9"/>
        <w:spacing w:line="360" w:lineRule="auto"/>
        <w:ind w:left="420" w:firstLine="0"/>
        <w:rPr>
          <w:rFonts w:ascii="宋体" w:hAnsi="宋体"/>
          <w:color w:val="auto"/>
          <w:highlight w:val="none"/>
        </w:rPr>
      </w:pPr>
    </w:p>
    <w:p>
      <w:pPr>
        <w:pStyle w:val="9"/>
        <w:spacing w:line="360" w:lineRule="auto"/>
        <w:ind w:left="420" w:firstLine="0"/>
        <w:rPr>
          <w:rFonts w:ascii="宋体" w:hAnsi="宋体"/>
          <w:color w:val="auto"/>
          <w:highlight w:val="none"/>
        </w:rPr>
      </w:pPr>
    </w:p>
    <w:p>
      <w:pPr>
        <w:pStyle w:val="9"/>
        <w:spacing w:line="360" w:lineRule="auto"/>
        <w:ind w:left="420" w:firstLine="0"/>
        <w:rPr>
          <w:rFonts w:ascii="宋体" w:hAnsi="宋体"/>
          <w:color w:val="auto"/>
          <w:highlight w:val="none"/>
        </w:rPr>
      </w:pPr>
    </w:p>
    <w:p>
      <w:pPr>
        <w:pStyle w:val="9"/>
        <w:spacing w:line="360" w:lineRule="auto"/>
        <w:ind w:left="420" w:firstLine="0"/>
        <w:rPr>
          <w:rFonts w:ascii="宋体" w:hAnsi="宋体"/>
          <w:color w:val="auto"/>
          <w:highlight w:val="none"/>
        </w:rPr>
      </w:pPr>
    </w:p>
    <w:p>
      <w:pPr>
        <w:pStyle w:val="9"/>
        <w:spacing w:line="360" w:lineRule="auto"/>
        <w:ind w:left="420" w:firstLine="0"/>
        <w:rPr>
          <w:rFonts w:ascii="宋体" w:hAnsi="宋体"/>
          <w:color w:val="auto"/>
          <w:highlight w:val="none"/>
        </w:rPr>
      </w:pPr>
    </w:p>
    <w:p>
      <w:pPr>
        <w:pStyle w:val="9"/>
        <w:spacing w:line="360" w:lineRule="auto"/>
        <w:ind w:left="420" w:firstLine="0"/>
        <w:rPr>
          <w:rFonts w:ascii="宋体" w:hAnsi="宋体"/>
          <w:color w:val="auto"/>
          <w:highlight w:val="none"/>
        </w:rPr>
      </w:pPr>
    </w:p>
    <w:p>
      <w:pPr>
        <w:pStyle w:val="9"/>
        <w:spacing w:line="360" w:lineRule="auto"/>
        <w:ind w:left="420" w:firstLine="0"/>
        <w:rPr>
          <w:rFonts w:ascii="宋体" w:hAnsi="宋体"/>
          <w:color w:val="auto"/>
          <w:highlight w:val="none"/>
        </w:rPr>
      </w:pPr>
    </w:p>
    <w:p>
      <w:pPr>
        <w:pStyle w:val="9"/>
        <w:spacing w:line="360" w:lineRule="auto"/>
        <w:ind w:left="420" w:firstLine="0"/>
        <w:rPr>
          <w:rFonts w:ascii="宋体" w:hAnsi="宋体"/>
          <w:color w:val="auto"/>
          <w:highlight w:val="none"/>
        </w:rPr>
      </w:pPr>
    </w:p>
    <w:p>
      <w:pPr>
        <w:pStyle w:val="9"/>
        <w:spacing w:line="360" w:lineRule="auto"/>
        <w:ind w:left="420" w:firstLine="0"/>
        <w:rPr>
          <w:rFonts w:ascii="宋体" w:hAnsi="宋体"/>
          <w:color w:val="auto"/>
          <w:highlight w:val="none"/>
        </w:rPr>
      </w:pPr>
    </w:p>
    <w:p>
      <w:pPr>
        <w:pStyle w:val="9"/>
        <w:spacing w:line="360" w:lineRule="auto"/>
        <w:ind w:left="420" w:firstLine="0"/>
        <w:rPr>
          <w:rFonts w:ascii="宋体" w:hAnsi="宋体"/>
          <w:color w:val="auto"/>
          <w:highlight w:val="none"/>
        </w:rPr>
      </w:pPr>
    </w:p>
    <w:p>
      <w:pPr>
        <w:pStyle w:val="5"/>
        <w:numPr>
          <w:ilvl w:val="1"/>
          <w:numId w:val="0"/>
        </w:numPr>
        <w:spacing w:line="360" w:lineRule="auto"/>
        <w:jc w:val="center"/>
        <w:rPr>
          <w:rFonts w:ascii="宋体" w:hAnsi="宋体" w:eastAsia="宋体"/>
          <w:color w:val="auto"/>
          <w:kern w:val="0"/>
          <w:sz w:val="28"/>
          <w:szCs w:val="28"/>
          <w:highlight w:val="none"/>
        </w:rPr>
      </w:pPr>
      <w:bookmarkStart w:id="180" w:name="_Toc200414516"/>
      <w:bookmarkStart w:id="181" w:name="_Toc22499"/>
      <w:r>
        <w:rPr>
          <w:rFonts w:hint="eastAsia" w:ascii="宋体" w:hAnsi="宋体" w:eastAsia="宋体"/>
          <w:color w:val="auto"/>
          <w:kern w:val="0"/>
          <w:sz w:val="28"/>
          <w:szCs w:val="28"/>
          <w:highlight w:val="none"/>
        </w:rPr>
        <w:t>（二）法定代表人（负责人）证明书</w:t>
      </w:r>
      <w:bookmarkEnd w:id="180"/>
      <w:bookmarkEnd w:id="181"/>
    </w:p>
    <w:p>
      <w:pPr>
        <w:pStyle w:val="9"/>
        <w:spacing w:line="360" w:lineRule="auto"/>
        <w:rPr>
          <w:rFonts w:ascii="宋体" w:hAnsi="宋体"/>
          <w:color w:val="auto"/>
          <w:highlight w:val="none"/>
        </w:rPr>
      </w:pPr>
    </w:p>
    <w:p>
      <w:pPr>
        <w:spacing w:line="360" w:lineRule="auto"/>
        <w:ind w:firstLine="420" w:firstLineChars="200"/>
        <w:rPr>
          <w:rFonts w:ascii="宋体" w:hAnsi="宋体"/>
          <w:color w:val="auto"/>
          <w:highlight w:val="none"/>
        </w:rPr>
      </w:pPr>
      <w:r>
        <w:rPr>
          <w:rFonts w:hint="eastAsia" w:ascii="宋体" w:hAnsi="宋体"/>
          <w:color w:val="auto"/>
          <w:highlight w:val="none"/>
          <w:u w:val="single"/>
        </w:rPr>
        <w:t xml:space="preserve">      单位法定代表人（负责人）姓名     </w:t>
      </w:r>
      <w:r>
        <w:rPr>
          <w:rFonts w:hint="eastAsia" w:ascii="宋体" w:hAnsi="宋体"/>
          <w:color w:val="auto"/>
          <w:highlight w:val="none"/>
        </w:rPr>
        <w:t>同志，现任</w:t>
      </w:r>
      <w:r>
        <w:rPr>
          <w:rFonts w:hint="eastAsia" w:ascii="宋体" w:hAnsi="宋体"/>
          <w:color w:val="auto"/>
          <w:highlight w:val="none"/>
          <w:u w:val="single"/>
        </w:rPr>
        <w:t xml:space="preserve">       供应商名称                  </w:t>
      </w:r>
      <w:r>
        <w:rPr>
          <w:rFonts w:hint="eastAsia" w:ascii="宋体" w:hAnsi="宋体"/>
          <w:color w:val="auto"/>
          <w:highlight w:val="none"/>
        </w:rPr>
        <w:t xml:space="preserve">的   </w:t>
      </w:r>
      <w:r>
        <w:rPr>
          <w:rFonts w:hint="eastAsia" w:ascii="宋体" w:hAnsi="宋体"/>
          <w:color w:val="auto"/>
          <w:highlight w:val="none"/>
          <w:u w:val="single"/>
        </w:rPr>
        <w:t xml:space="preserve">职务    </w:t>
      </w:r>
      <w:r>
        <w:rPr>
          <w:rFonts w:hint="eastAsia" w:ascii="宋体" w:hAnsi="宋体"/>
          <w:color w:val="auto"/>
          <w:highlight w:val="none"/>
        </w:rPr>
        <w:t>，为法定代表人（负责人），特此证明。</w:t>
      </w:r>
    </w:p>
    <w:p>
      <w:pPr>
        <w:spacing w:line="360" w:lineRule="auto"/>
        <w:ind w:firstLine="420" w:firstLineChars="200"/>
        <w:rPr>
          <w:rFonts w:ascii="宋体" w:hAnsi="宋体"/>
          <w:color w:val="auto"/>
          <w:highlight w:val="none"/>
        </w:rPr>
      </w:pPr>
    </w:p>
    <w:p>
      <w:pPr>
        <w:spacing w:line="360" w:lineRule="auto"/>
        <w:ind w:firstLine="420" w:firstLineChars="200"/>
        <w:rPr>
          <w:rFonts w:ascii="宋体" w:hAnsi="宋体"/>
          <w:color w:val="auto"/>
          <w:highlight w:val="none"/>
        </w:rPr>
      </w:pPr>
      <w:r>
        <w:rPr>
          <w:rFonts w:hint="eastAsia" w:ascii="宋体" w:hAnsi="宋体"/>
          <w:color w:val="auto"/>
          <w:highlight w:val="none"/>
        </w:rPr>
        <w:t>签发单位：</w:t>
      </w:r>
      <w:r>
        <w:rPr>
          <w:rFonts w:hint="eastAsia" w:ascii="宋体" w:hAnsi="宋体"/>
          <w:color w:val="auto"/>
          <w:highlight w:val="none"/>
          <w:u w:val="single"/>
        </w:rPr>
        <w:t xml:space="preserve">（名称并加盖公章）                  </w:t>
      </w:r>
    </w:p>
    <w:p>
      <w:pPr>
        <w:spacing w:line="360" w:lineRule="auto"/>
        <w:ind w:firstLine="420" w:firstLineChars="200"/>
        <w:rPr>
          <w:rFonts w:ascii="宋体" w:hAnsi="宋体"/>
          <w:color w:val="auto"/>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 xml:space="preserve">  有效日期至：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spacing w:line="360" w:lineRule="auto"/>
        <w:ind w:firstLine="420" w:firstLineChars="200"/>
        <w:rPr>
          <w:rFonts w:ascii="宋体" w:hAnsi="宋体"/>
          <w:color w:val="auto"/>
          <w:highlight w:val="none"/>
        </w:rPr>
      </w:pPr>
    </w:p>
    <w:p>
      <w:pPr>
        <w:spacing w:line="360" w:lineRule="auto"/>
        <w:ind w:firstLine="420" w:firstLineChars="200"/>
        <w:rPr>
          <w:rFonts w:ascii="宋体" w:hAnsi="宋体"/>
          <w:color w:val="auto"/>
          <w:highlight w:val="none"/>
        </w:rPr>
      </w:pPr>
      <w:r>
        <w:rPr>
          <w:rFonts w:hint="eastAsia" w:ascii="宋体" w:hAnsi="宋体"/>
          <w:color w:val="auto"/>
          <w:highlight w:val="none"/>
        </w:rPr>
        <w:t xml:space="preserve">附：代表人性别： 年龄：岁    </w:t>
      </w:r>
    </w:p>
    <w:p>
      <w:pPr>
        <w:spacing w:line="360" w:lineRule="auto"/>
        <w:ind w:firstLine="420" w:firstLineChars="200"/>
        <w:rPr>
          <w:rFonts w:ascii="宋体" w:hAnsi="宋体"/>
          <w:color w:val="auto"/>
          <w:highlight w:val="none"/>
        </w:rPr>
      </w:pPr>
    </w:p>
    <w:p>
      <w:pPr>
        <w:spacing w:line="360" w:lineRule="auto"/>
        <w:ind w:firstLine="420" w:firstLineChars="200"/>
        <w:rPr>
          <w:rFonts w:ascii="宋体" w:hAnsi="宋体"/>
          <w:color w:val="auto"/>
          <w:highlight w:val="none"/>
        </w:rPr>
      </w:pPr>
      <w:r>
        <w:rPr>
          <w:rFonts w:hint="eastAsia" w:ascii="宋体" w:hAnsi="宋体"/>
          <w:color w:val="auto"/>
          <w:highlight w:val="none"/>
        </w:rPr>
        <w:t>说明： 内容必须填写真实、清楚，涂改无效，不得转让、买卖。</w:t>
      </w:r>
    </w:p>
    <w:p>
      <w:pPr>
        <w:pStyle w:val="9"/>
        <w:spacing w:line="360" w:lineRule="auto"/>
        <w:rPr>
          <w:rFonts w:ascii="宋体" w:hAnsi="宋体"/>
          <w:color w:val="auto"/>
          <w:highlight w:val="none"/>
        </w:rPr>
      </w:pPr>
    </w:p>
    <w:p>
      <w:pPr>
        <w:pStyle w:val="9"/>
        <w:spacing w:line="360" w:lineRule="auto"/>
        <w:rPr>
          <w:rFonts w:ascii="宋体" w:hAnsi="宋体"/>
          <w:color w:val="auto"/>
          <w:highlight w:val="none"/>
        </w:rPr>
      </w:pPr>
    </w:p>
    <w:p>
      <w:pPr>
        <w:pStyle w:val="9"/>
        <w:spacing w:line="360" w:lineRule="auto"/>
        <w:rPr>
          <w:rFonts w:ascii="宋体" w:hAnsi="宋体"/>
          <w:color w:val="auto"/>
          <w:highlight w:val="none"/>
        </w:rPr>
      </w:pPr>
    </w:p>
    <w:p>
      <w:pPr>
        <w:pStyle w:val="9"/>
        <w:spacing w:line="360" w:lineRule="auto"/>
        <w:ind w:firstLine="0"/>
        <w:rPr>
          <w:rFonts w:ascii="宋体" w:hAnsi="宋体"/>
          <w:color w:val="auto"/>
          <w:highlight w:val="none"/>
        </w:rPr>
      </w:pPr>
      <w:r>
        <w:rPr>
          <w:rFonts w:ascii="宋体" w:hAnsi="宋体"/>
          <w:color w:val="auto"/>
          <w:highlight w:val="none"/>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Abu0yh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pStyle w:val="9"/>
        <w:spacing w:line="360" w:lineRule="auto"/>
        <w:ind w:firstLine="0"/>
        <w:rPr>
          <w:rFonts w:ascii="宋体" w:hAnsi="宋体"/>
          <w:color w:val="auto"/>
          <w:highlight w:val="none"/>
        </w:rPr>
      </w:pPr>
    </w:p>
    <w:p>
      <w:pPr>
        <w:pStyle w:val="9"/>
        <w:spacing w:line="360" w:lineRule="auto"/>
        <w:ind w:firstLine="0"/>
        <w:rPr>
          <w:rFonts w:ascii="宋体" w:hAnsi="宋体"/>
          <w:color w:val="auto"/>
          <w:highlight w:val="none"/>
        </w:rPr>
      </w:pPr>
    </w:p>
    <w:p>
      <w:pPr>
        <w:pStyle w:val="9"/>
        <w:spacing w:line="360" w:lineRule="auto"/>
        <w:ind w:firstLine="0"/>
        <w:rPr>
          <w:rFonts w:ascii="宋体" w:hAnsi="宋体"/>
          <w:color w:val="auto"/>
          <w:highlight w:val="none"/>
        </w:rPr>
      </w:pPr>
    </w:p>
    <w:p>
      <w:pPr>
        <w:pStyle w:val="9"/>
        <w:spacing w:line="360" w:lineRule="auto"/>
        <w:rPr>
          <w:rFonts w:ascii="宋体" w:hAnsi="宋体"/>
          <w:color w:val="auto"/>
          <w:highlight w:val="none"/>
        </w:rPr>
      </w:pPr>
    </w:p>
    <w:p>
      <w:pPr>
        <w:pStyle w:val="9"/>
        <w:spacing w:line="360" w:lineRule="auto"/>
        <w:rPr>
          <w:rFonts w:ascii="宋体" w:hAnsi="宋体"/>
          <w:color w:val="auto"/>
          <w:highlight w:val="none"/>
        </w:rPr>
      </w:pPr>
    </w:p>
    <w:p>
      <w:pPr>
        <w:pStyle w:val="9"/>
        <w:spacing w:line="360" w:lineRule="auto"/>
        <w:rPr>
          <w:rFonts w:ascii="宋体" w:hAnsi="宋体"/>
          <w:color w:val="auto"/>
          <w:highlight w:val="none"/>
        </w:rPr>
      </w:pPr>
    </w:p>
    <w:p>
      <w:pPr>
        <w:pStyle w:val="9"/>
        <w:spacing w:line="360" w:lineRule="auto"/>
        <w:rPr>
          <w:rFonts w:ascii="宋体" w:hAnsi="宋体"/>
          <w:color w:val="auto"/>
          <w:highlight w:val="none"/>
        </w:rPr>
      </w:pPr>
    </w:p>
    <w:p>
      <w:pPr>
        <w:pStyle w:val="9"/>
        <w:spacing w:line="360" w:lineRule="auto"/>
        <w:rPr>
          <w:rFonts w:ascii="宋体" w:hAnsi="宋体"/>
          <w:color w:val="auto"/>
          <w:highlight w:val="none"/>
        </w:rPr>
      </w:pPr>
    </w:p>
    <w:p>
      <w:pPr>
        <w:pStyle w:val="9"/>
        <w:spacing w:line="360" w:lineRule="auto"/>
        <w:rPr>
          <w:rFonts w:ascii="宋体" w:hAnsi="宋体"/>
          <w:color w:val="auto"/>
          <w:highlight w:val="none"/>
        </w:rPr>
      </w:pPr>
    </w:p>
    <w:p>
      <w:pPr>
        <w:pStyle w:val="9"/>
        <w:spacing w:line="360" w:lineRule="auto"/>
        <w:rPr>
          <w:rFonts w:ascii="宋体" w:hAnsi="宋体"/>
          <w:color w:val="auto"/>
          <w:highlight w:val="none"/>
        </w:rPr>
      </w:pPr>
    </w:p>
    <w:p>
      <w:pPr>
        <w:pStyle w:val="9"/>
        <w:spacing w:line="360" w:lineRule="auto"/>
        <w:rPr>
          <w:rFonts w:ascii="宋体" w:hAnsi="宋体"/>
          <w:color w:val="auto"/>
          <w:highlight w:val="none"/>
        </w:rPr>
      </w:pPr>
    </w:p>
    <w:p>
      <w:pPr>
        <w:pStyle w:val="9"/>
        <w:spacing w:line="360" w:lineRule="auto"/>
        <w:rPr>
          <w:rFonts w:ascii="宋体" w:hAnsi="宋体"/>
          <w:color w:val="auto"/>
          <w:highlight w:val="none"/>
        </w:rPr>
      </w:pPr>
    </w:p>
    <w:p>
      <w:pPr>
        <w:pStyle w:val="9"/>
        <w:spacing w:line="360" w:lineRule="auto"/>
        <w:rPr>
          <w:rFonts w:ascii="宋体" w:hAnsi="宋体"/>
          <w:color w:val="auto"/>
          <w:highlight w:val="none"/>
        </w:rPr>
      </w:pPr>
    </w:p>
    <w:p>
      <w:pPr>
        <w:pStyle w:val="9"/>
        <w:spacing w:line="360" w:lineRule="auto"/>
        <w:rPr>
          <w:rFonts w:ascii="宋体" w:hAnsi="宋体"/>
          <w:color w:val="auto"/>
          <w:highlight w:val="none"/>
        </w:rPr>
      </w:pPr>
    </w:p>
    <w:p>
      <w:pPr>
        <w:pStyle w:val="9"/>
        <w:spacing w:line="360" w:lineRule="auto"/>
        <w:rPr>
          <w:rFonts w:ascii="宋体" w:hAnsi="宋体"/>
          <w:color w:val="auto"/>
          <w:highlight w:val="none"/>
        </w:rPr>
      </w:pPr>
    </w:p>
    <w:p>
      <w:pPr>
        <w:pStyle w:val="9"/>
        <w:spacing w:line="360" w:lineRule="auto"/>
        <w:rPr>
          <w:rFonts w:ascii="宋体" w:hAnsi="宋体"/>
          <w:color w:val="auto"/>
          <w:highlight w:val="none"/>
        </w:rPr>
      </w:pPr>
    </w:p>
    <w:p>
      <w:pPr>
        <w:pStyle w:val="9"/>
        <w:spacing w:line="360" w:lineRule="auto"/>
        <w:ind w:firstLine="0"/>
        <w:rPr>
          <w:rFonts w:ascii="宋体" w:hAnsi="宋体"/>
          <w:color w:val="auto"/>
          <w:highlight w:val="none"/>
        </w:rPr>
      </w:pPr>
    </w:p>
    <w:p>
      <w:pPr>
        <w:pStyle w:val="5"/>
        <w:numPr>
          <w:ilvl w:val="1"/>
          <w:numId w:val="0"/>
        </w:numPr>
        <w:spacing w:line="360" w:lineRule="auto"/>
        <w:jc w:val="center"/>
        <w:rPr>
          <w:rFonts w:ascii="宋体" w:hAnsi="宋体" w:eastAsia="宋体"/>
          <w:color w:val="auto"/>
          <w:sz w:val="28"/>
          <w:szCs w:val="28"/>
          <w:highlight w:val="none"/>
        </w:rPr>
      </w:pPr>
      <w:bookmarkStart w:id="182" w:name="_Toc6536"/>
      <w:bookmarkStart w:id="183" w:name="_Toc200414517"/>
      <w:r>
        <w:rPr>
          <w:rFonts w:hint="eastAsia" w:ascii="宋体" w:hAnsi="宋体" w:eastAsia="宋体"/>
          <w:color w:val="auto"/>
          <w:sz w:val="28"/>
          <w:szCs w:val="28"/>
          <w:highlight w:val="none"/>
        </w:rPr>
        <w:t>（三）法定代表人（负责人）授权书</w:t>
      </w:r>
      <w:bookmarkEnd w:id="182"/>
      <w:bookmarkEnd w:id="183"/>
    </w:p>
    <w:p>
      <w:pPr>
        <w:spacing w:line="360" w:lineRule="auto"/>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本授权委托书声明：我</w:t>
      </w:r>
      <w:r>
        <w:rPr>
          <w:rFonts w:hint="eastAsia" w:ascii="宋体" w:hAnsi="宋体"/>
          <w:bCs/>
          <w:color w:val="auto"/>
          <w:kern w:val="0"/>
          <w:szCs w:val="21"/>
          <w:highlight w:val="none"/>
          <w:u w:val="single"/>
        </w:rPr>
        <w:t xml:space="preserve">        （单位</w:t>
      </w:r>
      <w:r>
        <w:rPr>
          <w:rFonts w:hint="eastAsia" w:ascii="宋体" w:hAnsi="宋体" w:cs="宋体"/>
          <w:bCs/>
          <w:color w:val="auto"/>
          <w:kern w:val="0"/>
          <w:szCs w:val="21"/>
          <w:highlight w:val="none"/>
          <w:u w:val="single"/>
        </w:rPr>
        <w:t>法定代表人（负责人）</w:t>
      </w:r>
      <w:r>
        <w:rPr>
          <w:rFonts w:hint="eastAsia" w:ascii="宋体" w:hAnsi="宋体"/>
          <w:bCs/>
          <w:color w:val="auto"/>
          <w:kern w:val="0"/>
          <w:szCs w:val="21"/>
          <w:highlight w:val="none"/>
          <w:u w:val="single"/>
        </w:rPr>
        <w:t>姓名）</w:t>
      </w:r>
      <w:r>
        <w:rPr>
          <w:rFonts w:hint="eastAsia" w:ascii="宋体" w:hAnsi="宋体"/>
          <w:bCs/>
          <w:color w:val="auto"/>
          <w:kern w:val="0"/>
          <w:szCs w:val="21"/>
          <w:highlight w:val="none"/>
        </w:rPr>
        <w:t xml:space="preserve"> 系</w:t>
      </w:r>
      <w:r>
        <w:rPr>
          <w:rFonts w:hint="eastAsia" w:ascii="宋体" w:hAnsi="宋体"/>
          <w:bCs/>
          <w:color w:val="auto"/>
          <w:kern w:val="0"/>
          <w:szCs w:val="21"/>
          <w:highlight w:val="none"/>
          <w:u w:val="single"/>
        </w:rPr>
        <w:t xml:space="preserve">       （供应商名称）</w:t>
      </w:r>
      <w:r>
        <w:rPr>
          <w:rFonts w:hint="eastAsia" w:ascii="宋体" w:hAnsi="宋体"/>
          <w:bCs/>
          <w:color w:val="auto"/>
          <w:kern w:val="0"/>
          <w:szCs w:val="21"/>
          <w:highlight w:val="none"/>
        </w:rPr>
        <w:t>的法定代表人（负责人），现授权委托</w:t>
      </w:r>
      <w:r>
        <w:rPr>
          <w:rFonts w:hint="eastAsia" w:ascii="宋体" w:hAnsi="宋体"/>
          <w:bCs/>
          <w:color w:val="auto"/>
          <w:kern w:val="0"/>
          <w:szCs w:val="21"/>
          <w:highlight w:val="none"/>
          <w:u w:val="single"/>
        </w:rPr>
        <w:t xml:space="preserve">                        （供应商名称）</w:t>
      </w:r>
      <w:r>
        <w:rPr>
          <w:rFonts w:hint="eastAsia" w:ascii="宋体" w:hAnsi="宋体"/>
          <w:bCs/>
          <w:color w:val="auto"/>
          <w:kern w:val="0"/>
          <w:szCs w:val="21"/>
          <w:highlight w:val="none"/>
        </w:rPr>
        <w:t>的</w:t>
      </w:r>
      <w:r>
        <w:rPr>
          <w:rFonts w:hint="eastAsia" w:ascii="宋体" w:hAnsi="宋体"/>
          <w:bCs/>
          <w:color w:val="auto"/>
          <w:kern w:val="0"/>
          <w:szCs w:val="21"/>
          <w:highlight w:val="none"/>
          <w:u w:val="single"/>
        </w:rPr>
        <w:t xml:space="preserve">            （代理人姓名）</w:t>
      </w:r>
      <w:r>
        <w:rPr>
          <w:rFonts w:hint="eastAsia" w:ascii="宋体" w:hAnsi="宋体"/>
          <w:bCs/>
          <w:color w:val="auto"/>
          <w:kern w:val="0"/>
          <w:szCs w:val="21"/>
          <w:highlight w:val="none"/>
        </w:rPr>
        <w:t>为我公司代理人，以本公司的名义参加</w:t>
      </w:r>
      <w:r>
        <w:rPr>
          <w:rFonts w:hint="eastAsia" w:ascii="宋体" w:hAnsi="宋体"/>
          <w:bCs/>
          <w:color w:val="auto"/>
          <w:kern w:val="0"/>
          <w:szCs w:val="21"/>
          <w:highlight w:val="none"/>
          <w:lang w:eastAsia="zh-CN"/>
        </w:rPr>
        <w:t>广东业信招标有限公司</w:t>
      </w:r>
      <w:r>
        <w:rPr>
          <w:rFonts w:hint="eastAsia" w:ascii="宋体" w:hAnsi="宋体"/>
          <w:bCs/>
          <w:color w:val="auto"/>
          <w:kern w:val="0"/>
          <w:szCs w:val="21"/>
          <w:highlight w:val="none"/>
        </w:rPr>
        <w:t>组织的</w:t>
      </w:r>
      <w:r>
        <w:rPr>
          <w:rFonts w:hint="eastAsia" w:ascii="宋体" w:hAnsi="宋体" w:cs="宋体"/>
          <w:b/>
          <w:color w:val="auto"/>
          <w:szCs w:val="21"/>
          <w:highlight w:val="none"/>
          <w:u w:val="single"/>
        </w:rPr>
        <w:t>项目名称，由供应商填写</w:t>
      </w:r>
      <w:r>
        <w:rPr>
          <w:rFonts w:hint="eastAsia" w:ascii="宋体" w:hAnsi="宋体"/>
          <w:bCs/>
          <w:color w:val="auto"/>
          <w:szCs w:val="21"/>
          <w:highlight w:val="none"/>
        </w:rPr>
        <w:t>谈判项目（项目编号:）</w:t>
      </w:r>
      <w:r>
        <w:rPr>
          <w:rFonts w:hint="eastAsia" w:ascii="宋体" w:hAnsi="宋体"/>
          <w:bCs/>
          <w:color w:val="auto"/>
          <w:kern w:val="0"/>
          <w:szCs w:val="21"/>
          <w:highlight w:val="none"/>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代理人无转移委托权。</w:t>
      </w:r>
    </w:p>
    <w:p>
      <w:pPr>
        <w:spacing w:line="360" w:lineRule="auto"/>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特此委托。</w:t>
      </w:r>
    </w:p>
    <w:p>
      <w:pPr>
        <w:autoSpaceDE w:val="0"/>
        <w:autoSpaceDN w:val="0"/>
        <w:adjustRightInd w:val="0"/>
        <w:snapToGrid w:val="0"/>
        <w:spacing w:line="360" w:lineRule="auto"/>
        <w:ind w:firstLine="600"/>
        <w:jc w:val="left"/>
        <w:rPr>
          <w:rFonts w:ascii="宋体" w:hAnsi="宋体"/>
          <w:bCs/>
          <w:color w:val="auto"/>
          <w:kern w:val="0"/>
          <w:szCs w:val="21"/>
          <w:highlight w:val="none"/>
        </w:rPr>
      </w:pPr>
    </w:p>
    <w:p>
      <w:pPr>
        <w:spacing w:line="360" w:lineRule="auto"/>
        <w:ind w:firstLine="420" w:firstLineChars="200"/>
        <w:rPr>
          <w:rFonts w:ascii="宋体" w:hAnsi="宋体"/>
          <w:bCs/>
          <w:color w:val="auto"/>
          <w:kern w:val="0"/>
          <w:szCs w:val="21"/>
          <w:highlight w:val="none"/>
          <w:u w:val="single"/>
        </w:rPr>
      </w:pPr>
      <w:r>
        <w:rPr>
          <w:rFonts w:hint="eastAsia" w:ascii="宋体" w:hAnsi="宋体"/>
          <w:bCs/>
          <w:color w:val="auto"/>
          <w:kern w:val="0"/>
          <w:szCs w:val="21"/>
          <w:highlight w:val="none"/>
        </w:rPr>
        <w:t>代理人：    性别：   年龄：   职务：</w:t>
      </w:r>
    </w:p>
    <w:p>
      <w:pPr>
        <w:spacing w:line="360" w:lineRule="auto"/>
        <w:ind w:firstLine="420" w:firstLineChars="200"/>
        <w:rPr>
          <w:rFonts w:ascii="宋体" w:hAnsi="宋体"/>
          <w:bCs/>
          <w:color w:val="auto"/>
          <w:kern w:val="0"/>
          <w:szCs w:val="21"/>
          <w:highlight w:val="none"/>
          <w:u w:val="single"/>
        </w:rPr>
      </w:pPr>
      <w:r>
        <w:rPr>
          <w:rFonts w:hint="eastAsia" w:ascii="宋体" w:hAnsi="宋体"/>
          <w:bCs/>
          <w:color w:val="auto"/>
          <w:kern w:val="0"/>
          <w:szCs w:val="21"/>
          <w:highlight w:val="none"/>
        </w:rPr>
        <w:t>供应商：</w:t>
      </w:r>
      <w:r>
        <w:rPr>
          <w:rFonts w:hint="eastAsia" w:ascii="宋体" w:hAnsi="宋体"/>
          <w:bCs/>
          <w:color w:val="auto"/>
          <w:kern w:val="0"/>
          <w:szCs w:val="21"/>
          <w:highlight w:val="none"/>
          <w:u w:val="single"/>
        </w:rPr>
        <w:t xml:space="preserve">          （名称并加盖公章）                                         </w:t>
      </w:r>
    </w:p>
    <w:p>
      <w:pPr>
        <w:spacing w:line="360" w:lineRule="auto"/>
        <w:ind w:firstLine="420" w:firstLineChars="200"/>
        <w:rPr>
          <w:rFonts w:ascii="宋体" w:hAnsi="宋体"/>
          <w:bCs/>
          <w:color w:val="auto"/>
          <w:kern w:val="0"/>
          <w:szCs w:val="21"/>
          <w:highlight w:val="none"/>
          <w:u w:val="single"/>
        </w:rPr>
      </w:pPr>
      <w:r>
        <w:rPr>
          <w:rFonts w:hint="eastAsia" w:ascii="宋体" w:hAnsi="宋体"/>
          <w:bCs/>
          <w:color w:val="auto"/>
          <w:kern w:val="0"/>
          <w:szCs w:val="21"/>
          <w:highlight w:val="none"/>
        </w:rPr>
        <w:t>法定代表人（负责人）：</w:t>
      </w:r>
      <w:r>
        <w:rPr>
          <w:rFonts w:hint="eastAsia" w:ascii="宋体" w:hAnsi="宋体"/>
          <w:bCs/>
          <w:color w:val="auto"/>
          <w:kern w:val="0"/>
          <w:szCs w:val="21"/>
          <w:highlight w:val="none"/>
          <w:u w:val="single"/>
        </w:rPr>
        <w:t xml:space="preserve">    （签字或盖章）         </w:t>
      </w:r>
    </w:p>
    <w:p>
      <w:pPr>
        <w:autoSpaceDE w:val="0"/>
        <w:autoSpaceDN w:val="0"/>
        <w:adjustRightInd w:val="0"/>
        <w:snapToGrid w:val="0"/>
        <w:spacing w:line="360" w:lineRule="auto"/>
        <w:ind w:firstLine="420" w:firstLineChars="200"/>
        <w:rPr>
          <w:rFonts w:ascii="宋体" w:hAnsi="宋体"/>
          <w:bCs/>
          <w:color w:val="auto"/>
          <w:kern w:val="0"/>
          <w:szCs w:val="21"/>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 xml:space="preserve">  有效日期至：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spacing w:line="360" w:lineRule="auto"/>
        <w:rPr>
          <w:rFonts w:ascii="宋体" w:hAnsi="宋体"/>
          <w:b/>
          <w:color w:val="auto"/>
          <w:szCs w:val="21"/>
          <w:highlight w:val="none"/>
        </w:rPr>
      </w:pPr>
      <w:r>
        <w:rPr>
          <w:rFonts w:hint="eastAsia" w:ascii="宋体" w:hAnsi="宋体"/>
          <w:b/>
          <w:color w:val="auto"/>
          <w:szCs w:val="21"/>
          <w:highlight w:val="none"/>
        </w:rPr>
        <w:t>（注：供应商的谈判响应文件为</w:t>
      </w:r>
      <w:r>
        <w:rPr>
          <w:rFonts w:hint="eastAsia" w:ascii="宋体" w:hAnsi="宋体" w:cs="宋体"/>
          <w:b/>
          <w:color w:val="auto"/>
          <w:szCs w:val="21"/>
          <w:highlight w:val="none"/>
        </w:rPr>
        <w:t>法定代表人（负责人）</w:t>
      </w:r>
      <w:r>
        <w:rPr>
          <w:rFonts w:hint="eastAsia" w:ascii="宋体" w:hAnsi="宋体"/>
          <w:b/>
          <w:color w:val="auto"/>
          <w:szCs w:val="21"/>
          <w:highlight w:val="none"/>
        </w:rPr>
        <w:t>签署并且由</w:t>
      </w:r>
      <w:r>
        <w:rPr>
          <w:rFonts w:hint="eastAsia" w:ascii="宋体" w:hAnsi="宋体" w:cs="宋体"/>
          <w:b/>
          <w:color w:val="auto"/>
          <w:szCs w:val="21"/>
          <w:highlight w:val="none"/>
        </w:rPr>
        <w:t>法定代表人（负责人）</w:t>
      </w:r>
      <w:r>
        <w:rPr>
          <w:rFonts w:hint="eastAsia" w:ascii="宋体" w:hAnsi="宋体"/>
          <w:b/>
          <w:color w:val="auto"/>
          <w:szCs w:val="21"/>
          <w:highlight w:val="none"/>
        </w:rPr>
        <w:t>亲自递交谈判响应文件和参加谈判的，不须提供该委托书，但需提供法定代表人（负责人）证明书及法定代表人（负责人）的身份证复印件。）</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ascii="宋体" w:hAnsi="宋体"/>
          <w:color w:val="auto"/>
          <w:szCs w:val="21"/>
          <w:highlight w:val="none"/>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20/NmF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pStyle w:val="5"/>
        <w:numPr>
          <w:ilvl w:val="1"/>
          <w:numId w:val="0"/>
        </w:numPr>
        <w:spacing w:line="360" w:lineRule="auto"/>
        <w:jc w:val="center"/>
        <w:rPr>
          <w:rFonts w:ascii="宋体" w:hAnsi="宋体" w:eastAsia="宋体"/>
          <w:color w:val="auto"/>
          <w:sz w:val="28"/>
          <w:szCs w:val="28"/>
          <w:highlight w:val="none"/>
        </w:rPr>
      </w:pPr>
      <w:bookmarkStart w:id="184" w:name="_Toc200414522"/>
      <w:bookmarkStart w:id="185" w:name="_Toc31993"/>
      <w:r>
        <w:rPr>
          <w:rFonts w:hint="eastAsia" w:ascii="宋体" w:hAnsi="宋体" w:eastAsia="宋体"/>
          <w:color w:val="auto"/>
          <w:sz w:val="28"/>
          <w:szCs w:val="28"/>
          <w:highlight w:val="none"/>
        </w:rPr>
        <w:t>（四）</w:t>
      </w:r>
      <w:bookmarkEnd w:id="184"/>
      <w:r>
        <w:rPr>
          <w:rFonts w:hint="eastAsia" w:ascii="宋体" w:hAnsi="宋体" w:eastAsia="宋体"/>
          <w:color w:val="auto"/>
          <w:sz w:val="28"/>
          <w:szCs w:val="28"/>
          <w:highlight w:val="none"/>
        </w:rPr>
        <w:t>资格审查文件要求提交的其它有效证明文件</w:t>
      </w:r>
      <w:bookmarkEnd w:id="185"/>
    </w:p>
    <w:p>
      <w:pPr>
        <w:tabs>
          <w:tab w:val="center" w:pos="4483"/>
        </w:tabs>
        <w:spacing w:line="360" w:lineRule="auto"/>
        <w:rPr>
          <w:rFonts w:ascii="宋体" w:hAnsi="宋体"/>
          <w:color w:val="auto"/>
          <w:kern w:val="0"/>
          <w:szCs w:val="21"/>
          <w:highlight w:val="none"/>
        </w:rPr>
      </w:pPr>
    </w:p>
    <w:p>
      <w:pPr>
        <w:adjustRightInd w:val="0"/>
        <w:snapToGrid w:val="0"/>
        <w:spacing w:line="360" w:lineRule="auto"/>
        <w:jc w:val="left"/>
        <w:rPr>
          <w:rFonts w:ascii="宋体" w:hAnsi="宋体"/>
          <w:b/>
          <w:bCs/>
          <w:caps/>
          <w:color w:val="auto"/>
          <w:szCs w:val="21"/>
          <w:highlight w:val="none"/>
          <w:u w:val="single"/>
        </w:rPr>
      </w:pPr>
      <w:r>
        <w:rPr>
          <w:rFonts w:hint="eastAsia" w:ascii="宋体" w:hAnsi="宋体"/>
          <w:bCs/>
          <w:color w:val="auto"/>
          <w:szCs w:val="21"/>
          <w:highlight w:val="none"/>
        </w:rPr>
        <w:t>项目编号:</w:t>
      </w:r>
    </w:p>
    <w:p>
      <w:pPr>
        <w:adjustRightInd w:val="0"/>
        <w:snapToGrid w:val="0"/>
        <w:spacing w:line="360" w:lineRule="auto"/>
        <w:jc w:val="left"/>
        <w:rPr>
          <w:rFonts w:ascii="宋体" w:hAnsi="宋体"/>
          <w:bCs/>
          <w:color w:val="auto"/>
          <w:szCs w:val="21"/>
          <w:highlight w:val="none"/>
        </w:rPr>
      </w:pPr>
      <w:r>
        <w:rPr>
          <w:rFonts w:hint="eastAsia" w:ascii="宋体" w:hAnsi="宋体"/>
          <w:color w:val="auto"/>
          <w:szCs w:val="21"/>
          <w:highlight w:val="none"/>
        </w:rPr>
        <w:t>项目名称：</w:t>
      </w:r>
    </w:p>
    <w:p>
      <w:pPr>
        <w:tabs>
          <w:tab w:val="center" w:pos="4483"/>
        </w:tabs>
        <w:spacing w:line="360" w:lineRule="auto"/>
        <w:ind w:firstLine="1260" w:firstLineChars="600"/>
        <w:rPr>
          <w:rFonts w:ascii="宋体" w:hAnsi="宋体"/>
          <w:bCs/>
          <w:color w:val="auto"/>
          <w:kern w:val="0"/>
          <w:szCs w:val="21"/>
          <w:highlight w:val="none"/>
        </w:rPr>
        <w:sectPr>
          <w:headerReference r:id="rId8" w:type="default"/>
          <w:pgSz w:w="11906" w:h="16838"/>
          <w:pgMar w:top="1418" w:right="1474" w:bottom="1418" w:left="1474" w:header="851" w:footer="851" w:gutter="0"/>
          <w:cols w:space="720" w:num="1"/>
          <w:titlePg/>
          <w:docGrid w:linePitch="312" w:charSpace="0"/>
        </w:sectPr>
      </w:pPr>
    </w:p>
    <w:p>
      <w:pPr>
        <w:pStyle w:val="5"/>
        <w:numPr>
          <w:ilvl w:val="1"/>
          <w:numId w:val="0"/>
        </w:numPr>
        <w:spacing w:line="360" w:lineRule="auto"/>
        <w:ind w:firstLine="2249" w:firstLineChars="800"/>
        <w:rPr>
          <w:rFonts w:ascii="宋体" w:hAnsi="宋体" w:eastAsia="宋体"/>
          <w:color w:val="auto"/>
          <w:sz w:val="28"/>
          <w:szCs w:val="28"/>
          <w:highlight w:val="none"/>
        </w:rPr>
      </w:pPr>
      <w:bookmarkStart w:id="186" w:name="_Toc200414524"/>
      <w:bookmarkStart w:id="187" w:name="_Toc2870"/>
      <w:r>
        <w:rPr>
          <w:rFonts w:hint="eastAsia" w:ascii="宋体" w:hAnsi="宋体" w:eastAsia="宋体"/>
          <w:color w:val="auto"/>
          <w:sz w:val="28"/>
          <w:szCs w:val="28"/>
          <w:highlight w:val="none"/>
        </w:rPr>
        <w:t>第二章  谈判响应文件商务及技术部分</w:t>
      </w:r>
      <w:bookmarkEnd w:id="186"/>
      <w:bookmarkEnd w:id="187"/>
    </w:p>
    <w:p>
      <w:pPr>
        <w:pStyle w:val="5"/>
        <w:numPr>
          <w:ilvl w:val="1"/>
          <w:numId w:val="0"/>
        </w:numPr>
        <w:spacing w:line="360" w:lineRule="auto"/>
        <w:ind w:firstLine="3373" w:firstLineChars="1200"/>
        <w:rPr>
          <w:rFonts w:ascii="宋体" w:hAnsi="宋体" w:eastAsia="宋体"/>
          <w:color w:val="auto"/>
          <w:sz w:val="28"/>
          <w:szCs w:val="28"/>
          <w:highlight w:val="none"/>
        </w:rPr>
      </w:pPr>
      <w:bookmarkStart w:id="188" w:name="_Toc200414525"/>
      <w:bookmarkStart w:id="189" w:name="_Toc25030"/>
      <w:r>
        <w:rPr>
          <w:rFonts w:hint="eastAsia" w:ascii="宋体" w:hAnsi="宋体" w:eastAsia="宋体"/>
          <w:color w:val="auto"/>
          <w:sz w:val="28"/>
          <w:szCs w:val="28"/>
          <w:highlight w:val="none"/>
        </w:rPr>
        <w:t>附件一：谈判响应函</w:t>
      </w:r>
      <w:bookmarkEnd w:id="188"/>
      <w:bookmarkEnd w:id="189"/>
    </w:p>
    <w:p>
      <w:pPr>
        <w:widowControl/>
        <w:spacing w:line="360" w:lineRule="auto"/>
        <w:jc w:val="left"/>
        <w:rPr>
          <w:rFonts w:ascii="宋体" w:hAnsi="宋体" w:cs="宋体"/>
          <w:color w:val="auto"/>
          <w:kern w:val="0"/>
          <w:sz w:val="24"/>
          <w:highlight w:val="none"/>
          <w:u w:val="single"/>
        </w:rPr>
      </w:pPr>
      <w:r>
        <w:rPr>
          <w:rFonts w:ascii="宋体" w:hAnsi="宋体" w:cs="宋体"/>
          <w:color w:val="auto"/>
          <w:kern w:val="0"/>
          <w:sz w:val="24"/>
          <w:highlight w:val="none"/>
          <w:u w:val="single"/>
        </w:rPr>
        <w:t>致（采购人</w:t>
      </w:r>
      <w:r>
        <w:rPr>
          <w:rFonts w:hint="eastAsia" w:ascii="宋体" w:hAnsi="宋体" w:cs="宋体"/>
          <w:color w:val="auto"/>
          <w:kern w:val="0"/>
          <w:sz w:val="24"/>
          <w:highlight w:val="none"/>
          <w:u w:val="single"/>
        </w:rPr>
        <w:t>名称</w:t>
      </w:r>
      <w:r>
        <w:rPr>
          <w:rFonts w:ascii="宋体" w:hAnsi="宋体" w:cs="宋体"/>
          <w:color w:val="auto"/>
          <w:kern w:val="0"/>
          <w:sz w:val="24"/>
          <w:highlight w:val="none"/>
          <w:u w:val="single"/>
        </w:rPr>
        <w:t>）        </w:t>
      </w:r>
      <w:r>
        <w:rPr>
          <w:rFonts w:ascii="宋体" w:hAnsi="宋体" w:cs="宋体"/>
          <w:color w:val="auto"/>
          <w:kern w:val="0"/>
          <w:sz w:val="24"/>
          <w:highlight w:val="none"/>
        </w:rPr>
        <w:t xml:space="preserve">： </w:t>
      </w:r>
    </w:p>
    <w:p>
      <w:pPr>
        <w:adjustRightInd w:val="0"/>
        <w:snapToGrid w:val="0"/>
        <w:spacing w:beforeLines="50" w:line="480" w:lineRule="auto"/>
        <w:ind w:firstLine="420"/>
        <w:rPr>
          <w:rFonts w:ascii="宋体" w:hAnsi="宋体"/>
          <w:b/>
          <w:bCs/>
          <w:color w:val="auto"/>
          <w:szCs w:val="21"/>
          <w:highlight w:val="none"/>
        </w:rPr>
      </w:pPr>
      <w:r>
        <w:rPr>
          <w:rFonts w:hint="eastAsia" w:ascii="宋体" w:hAnsi="宋体"/>
          <w:b/>
          <w:bCs/>
          <w:color w:val="auto"/>
          <w:szCs w:val="21"/>
          <w:highlight w:val="none"/>
        </w:rPr>
        <w:t>根据贵方就</w:t>
      </w:r>
      <w:r>
        <w:rPr>
          <w:rFonts w:hint="eastAsia" w:ascii="宋体" w:hAnsi="宋体" w:cs="宋体"/>
          <w:b/>
          <w:color w:val="auto"/>
          <w:szCs w:val="21"/>
          <w:highlight w:val="none"/>
          <w:u w:val="single"/>
        </w:rPr>
        <w:t xml:space="preserve">项目名称，由供应商填写      </w:t>
      </w:r>
      <w:r>
        <w:rPr>
          <w:rFonts w:hint="eastAsia" w:ascii="宋体" w:hAnsi="宋体"/>
          <w:b/>
          <w:bCs/>
          <w:color w:val="auto"/>
          <w:szCs w:val="21"/>
          <w:highlight w:val="none"/>
        </w:rPr>
        <w:t>的投标邀请（项目编号: ，我方正式响应谈判文件内容并提交谈判文件</w:t>
      </w:r>
      <w:r>
        <w:rPr>
          <w:rFonts w:hint="eastAsia" w:ascii="宋体" w:hAnsi="宋体"/>
          <w:b/>
          <w:bCs/>
          <w:color w:val="auto"/>
          <w:szCs w:val="21"/>
          <w:highlight w:val="none"/>
          <w:u w:val="single"/>
        </w:rPr>
        <w:t>1份正本</w:t>
      </w:r>
      <w:r>
        <w:rPr>
          <w:rFonts w:hint="eastAsia" w:ascii="宋体" w:hAnsi="宋体"/>
          <w:b/>
          <w:bCs/>
          <w:color w:val="auto"/>
          <w:szCs w:val="21"/>
          <w:highlight w:val="none"/>
        </w:rPr>
        <w:t>和</w:t>
      </w:r>
      <w:r>
        <w:rPr>
          <w:rFonts w:hint="eastAsia" w:ascii="宋体" w:hAnsi="宋体"/>
          <w:b/>
          <w:bCs/>
          <w:color w:val="auto"/>
          <w:szCs w:val="21"/>
          <w:highlight w:val="none"/>
          <w:u w:val="single"/>
        </w:rPr>
        <w:t>2份副本</w:t>
      </w:r>
      <w:r>
        <w:rPr>
          <w:rFonts w:hint="eastAsia" w:ascii="宋体" w:hAnsi="宋体"/>
          <w:b/>
          <w:bCs/>
          <w:color w:val="auto"/>
          <w:szCs w:val="21"/>
          <w:highlight w:val="none"/>
        </w:rPr>
        <w:t>及</w:t>
      </w:r>
      <w:r>
        <w:rPr>
          <w:rFonts w:hint="eastAsia" w:ascii="宋体" w:hAnsi="宋体"/>
          <w:b/>
          <w:bCs/>
          <w:color w:val="auto"/>
          <w:szCs w:val="21"/>
          <w:highlight w:val="none"/>
          <w:u w:val="single"/>
        </w:rPr>
        <w:t>电子文件1份</w:t>
      </w:r>
      <w:r>
        <w:rPr>
          <w:rFonts w:hint="eastAsia" w:ascii="宋体" w:hAnsi="宋体"/>
          <w:b/>
          <w:bCs/>
          <w:color w:val="auto"/>
          <w:szCs w:val="21"/>
          <w:highlight w:val="none"/>
        </w:rPr>
        <w:t>：</w:t>
      </w:r>
    </w:p>
    <w:p>
      <w:pPr>
        <w:widowControl/>
        <w:tabs>
          <w:tab w:val="left" w:pos="502"/>
        </w:tabs>
        <w:adjustRightInd w:val="0"/>
        <w:snapToGrid w:val="0"/>
        <w:spacing w:line="480" w:lineRule="auto"/>
        <w:ind w:left="374" w:leftChars="177" w:hanging="2" w:hangingChars="1"/>
        <w:rPr>
          <w:rFonts w:ascii="宋体" w:hAnsi="宋体"/>
          <w:bCs/>
          <w:color w:val="auto"/>
          <w:szCs w:val="21"/>
          <w:highlight w:val="none"/>
        </w:rPr>
      </w:pPr>
      <w:r>
        <w:rPr>
          <w:rFonts w:hint="eastAsia" w:ascii="宋体" w:hAnsi="宋体"/>
          <w:b/>
          <w:bCs/>
          <w:color w:val="auto"/>
          <w:szCs w:val="21"/>
          <w:highlight w:val="none"/>
        </w:rPr>
        <w:t>据此函，签字代表宣布同意如下：</w:t>
      </w:r>
    </w:p>
    <w:p>
      <w:pPr>
        <w:widowControl/>
        <w:numPr>
          <w:ilvl w:val="0"/>
          <w:numId w:val="16"/>
        </w:numPr>
        <w:tabs>
          <w:tab w:val="left" w:pos="840"/>
        </w:tabs>
        <w:adjustRightInd w:val="0"/>
        <w:snapToGrid w:val="0"/>
        <w:spacing w:line="480" w:lineRule="auto"/>
        <w:ind w:left="840" w:hanging="420"/>
        <w:rPr>
          <w:rFonts w:ascii="宋体" w:hAnsi="宋体"/>
          <w:bCs/>
          <w:color w:val="auto"/>
          <w:szCs w:val="21"/>
          <w:highlight w:val="none"/>
        </w:rPr>
      </w:pPr>
      <w:r>
        <w:rPr>
          <w:rFonts w:hint="eastAsia" w:ascii="宋体" w:hAnsi="宋体"/>
          <w:color w:val="auto"/>
          <w:szCs w:val="21"/>
          <w:highlight w:val="none"/>
        </w:rPr>
        <w:t>所附投标价格表中规定的应提交和交付的货物投标总价为人民币：</w:t>
      </w:r>
      <w:r>
        <w:rPr>
          <w:rFonts w:hint="eastAsia" w:ascii="宋体" w:hAnsi="宋体"/>
          <w:color w:val="auto"/>
          <w:szCs w:val="21"/>
          <w:highlight w:val="none"/>
          <w:u w:val="single"/>
        </w:rPr>
        <w:t xml:space="preserve"> （用文字和数字表示的谈判总价）  </w:t>
      </w:r>
      <w:r>
        <w:rPr>
          <w:rFonts w:hint="eastAsia" w:ascii="宋体" w:hAnsi="宋体"/>
          <w:color w:val="auto"/>
          <w:szCs w:val="21"/>
          <w:highlight w:val="none"/>
        </w:rPr>
        <w:t>。</w:t>
      </w:r>
    </w:p>
    <w:p>
      <w:pPr>
        <w:widowControl/>
        <w:numPr>
          <w:ilvl w:val="0"/>
          <w:numId w:val="16"/>
        </w:numPr>
        <w:tabs>
          <w:tab w:val="left" w:pos="840"/>
        </w:tabs>
        <w:adjustRightInd w:val="0"/>
        <w:snapToGrid w:val="0"/>
        <w:spacing w:line="480" w:lineRule="auto"/>
        <w:ind w:left="840" w:hanging="420"/>
        <w:rPr>
          <w:rFonts w:ascii="宋体" w:hAnsi="宋体"/>
          <w:bCs/>
          <w:color w:val="auto"/>
          <w:szCs w:val="21"/>
          <w:highlight w:val="none"/>
        </w:rPr>
      </w:pPr>
      <w:r>
        <w:rPr>
          <w:rFonts w:hint="eastAsia" w:ascii="宋体" w:hAnsi="宋体"/>
          <w:bCs/>
          <w:color w:val="auto"/>
          <w:szCs w:val="21"/>
          <w:highlight w:val="none"/>
        </w:rPr>
        <w:t>本次投标所报内容完全按照谈判文件要求填报，所有内容都是真实、准确的。</w:t>
      </w:r>
    </w:p>
    <w:p>
      <w:pPr>
        <w:widowControl/>
        <w:numPr>
          <w:ilvl w:val="0"/>
          <w:numId w:val="16"/>
        </w:numPr>
        <w:tabs>
          <w:tab w:val="left" w:pos="840"/>
        </w:tabs>
        <w:adjustRightInd w:val="0"/>
        <w:snapToGrid w:val="0"/>
        <w:spacing w:line="480" w:lineRule="auto"/>
        <w:ind w:left="840" w:hanging="420"/>
        <w:rPr>
          <w:rFonts w:ascii="宋体" w:hAnsi="宋体"/>
          <w:bCs/>
          <w:color w:val="auto"/>
          <w:szCs w:val="21"/>
          <w:highlight w:val="none"/>
        </w:rPr>
      </w:pPr>
      <w:r>
        <w:rPr>
          <w:rFonts w:hint="eastAsia" w:ascii="宋体" w:hAnsi="宋体"/>
          <w:bCs/>
          <w:color w:val="auto"/>
          <w:szCs w:val="21"/>
          <w:highlight w:val="none"/>
        </w:rPr>
        <w:t>供应商将按谈判文件的规定履行全部合同责任和义务。</w:t>
      </w:r>
    </w:p>
    <w:p>
      <w:pPr>
        <w:widowControl/>
        <w:numPr>
          <w:ilvl w:val="0"/>
          <w:numId w:val="16"/>
        </w:numPr>
        <w:tabs>
          <w:tab w:val="left" w:pos="840"/>
        </w:tabs>
        <w:adjustRightInd w:val="0"/>
        <w:snapToGrid w:val="0"/>
        <w:spacing w:line="480" w:lineRule="auto"/>
        <w:ind w:left="840" w:hanging="420"/>
        <w:rPr>
          <w:rFonts w:ascii="宋体" w:hAnsi="宋体"/>
          <w:bCs/>
          <w:color w:val="auto"/>
          <w:szCs w:val="21"/>
          <w:highlight w:val="none"/>
        </w:rPr>
      </w:pPr>
      <w:r>
        <w:rPr>
          <w:rFonts w:hint="eastAsia" w:ascii="宋体" w:hAnsi="宋体"/>
          <w:bCs/>
          <w:color w:val="auto"/>
          <w:szCs w:val="21"/>
          <w:highlight w:val="none"/>
        </w:rPr>
        <w:t>供应商已详细审查全部谈判文件，包括修改文件（如有的话）以及全部参考资料和有关附件。我们完全理解并同意放弃对这方面有不明及误解的权利。</w:t>
      </w:r>
    </w:p>
    <w:p>
      <w:pPr>
        <w:widowControl/>
        <w:numPr>
          <w:ilvl w:val="0"/>
          <w:numId w:val="16"/>
        </w:numPr>
        <w:tabs>
          <w:tab w:val="left" w:pos="840"/>
        </w:tabs>
        <w:adjustRightInd w:val="0"/>
        <w:snapToGrid w:val="0"/>
        <w:spacing w:line="480" w:lineRule="auto"/>
        <w:ind w:left="840" w:hanging="420"/>
        <w:rPr>
          <w:rFonts w:ascii="宋体" w:hAnsi="宋体"/>
          <w:bCs/>
          <w:color w:val="auto"/>
          <w:szCs w:val="21"/>
          <w:highlight w:val="none"/>
        </w:rPr>
      </w:pPr>
      <w:r>
        <w:rPr>
          <w:rFonts w:hint="eastAsia" w:ascii="宋体" w:hAnsi="宋体"/>
          <w:bCs/>
          <w:color w:val="auto"/>
          <w:szCs w:val="21"/>
          <w:highlight w:val="none"/>
        </w:rPr>
        <w:t>本次投标自递交谈判响应文件截止之日起有效期为90天。</w:t>
      </w:r>
    </w:p>
    <w:p>
      <w:pPr>
        <w:widowControl/>
        <w:numPr>
          <w:ilvl w:val="0"/>
          <w:numId w:val="16"/>
        </w:numPr>
        <w:tabs>
          <w:tab w:val="left" w:pos="840"/>
        </w:tabs>
        <w:adjustRightInd w:val="0"/>
        <w:snapToGrid w:val="0"/>
        <w:spacing w:line="480" w:lineRule="auto"/>
        <w:ind w:left="840" w:hanging="420"/>
        <w:rPr>
          <w:rFonts w:ascii="宋体" w:hAnsi="宋体"/>
          <w:bCs/>
          <w:color w:val="auto"/>
          <w:szCs w:val="21"/>
          <w:highlight w:val="none"/>
        </w:rPr>
      </w:pPr>
      <w:r>
        <w:rPr>
          <w:rFonts w:hint="eastAsia" w:ascii="宋体" w:hAnsi="宋体"/>
          <w:bCs/>
          <w:color w:val="auto"/>
          <w:szCs w:val="21"/>
          <w:highlight w:val="none"/>
        </w:rPr>
        <w:t>如果在规定的递交谈判响应文件截止之日后，供应商在投标有效期内撤回投标，投标保证金将被贵方没收。</w:t>
      </w:r>
    </w:p>
    <w:p>
      <w:pPr>
        <w:widowControl/>
        <w:numPr>
          <w:ilvl w:val="0"/>
          <w:numId w:val="16"/>
        </w:numPr>
        <w:tabs>
          <w:tab w:val="left" w:pos="840"/>
        </w:tabs>
        <w:adjustRightInd w:val="0"/>
        <w:snapToGrid w:val="0"/>
        <w:spacing w:line="480" w:lineRule="auto"/>
        <w:ind w:left="840" w:hanging="420"/>
        <w:rPr>
          <w:rFonts w:ascii="宋体" w:hAnsi="宋体"/>
          <w:bCs/>
          <w:color w:val="auto"/>
          <w:szCs w:val="21"/>
          <w:highlight w:val="none"/>
        </w:rPr>
      </w:pPr>
      <w:r>
        <w:rPr>
          <w:rFonts w:hint="eastAsia" w:ascii="宋体" w:hAnsi="宋体"/>
          <w:bCs/>
          <w:color w:val="auto"/>
          <w:szCs w:val="21"/>
          <w:highlight w:val="none"/>
        </w:rPr>
        <w:t>供应商同意提供按照贵方可能要求与其投标有关的一切数据或资料，完全理解贵方不一定接受最低价的投标或收到的任何投标。</w:t>
      </w:r>
    </w:p>
    <w:p>
      <w:pPr>
        <w:widowControl/>
        <w:numPr>
          <w:ilvl w:val="0"/>
          <w:numId w:val="16"/>
        </w:numPr>
        <w:tabs>
          <w:tab w:val="left" w:pos="840"/>
        </w:tabs>
        <w:adjustRightInd w:val="0"/>
        <w:snapToGrid w:val="0"/>
        <w:spacing w:line="480" w:lineRule="auto"/>
        <w:ind w:left="840" w:hanging="420"/>
        <w:rPr>
          <w:rFonts w:ascii="宋体" w:hAnsi="宋体"/>
          <w:bCs/>
          <w:color w:val="auto"/>
          <w:szCs w:val="21"/>
          <w:highlight w:val="none"/>
        </w:rPr>
      </w:pPr>
      <w:r>
        <w:rPr>
          <w:rFonts w:hint="eastAsia" w:ascii="宋体" w:hAnsi="宋体"/>
          <w:bCs/>
          <w:color w:val="auto"/>
          <w:szCs w:val="21"/>
          <w:highlight w:val="none"/>
        </w:rPr>
        <w:t>与本投标有关的一切正式往来通讯请寄至谈判响应文件封面指定地址、联系方式。</w:t>
      </w:r>
    </w:p>
    <w:p>
      <w:pPr>
        <w:adjustRightInd w:val="0"/>
        <w:snapToGrid w:val="0"/>
        <w:spacing w:line="480" w:lineRule="auto"/>
        <w:rPr>
          <w:rFonts w:ascii="宋体" w:hAnsi="宋体"/>
          <w:bCs/>
          <w:color w:val="auto"/>
          <w:szCs w:val="21"/>
          <w:highlight w:val="none"/>
        </w:rPr>
      </w:pPr>
      <w:r>
        <w:rPr>
          <w:rFonts w:hint="eastAsia" w:ascii="宋体" w:hAnsi="宋体"/>
          <w:bCs/>
          <w:color w:val="auto"/>
          <w:szCs w:val="21"/>
          <w:highlight w:val="none"/>
        </w:rPr>
        <w:t xml:space="preserve">供应商法定代表人（负责人）或授权代理人（签字）： </w:t>
      </w:r>
    </w:p>
    <w:p>
      <w:pPr>
        <w:adjustRightInd w:val="0"/>
        <w:snapToGrid w:val="0"/>
        <w:spacing w:line="480" w:lineRule="auto"/>
        <w:rPr>
          <w:rFonts w:ascii="宋体" w:hAnsi="宋体"/>
          <w:bCs/>
          <w:color w:val="auto"/>
          <w:szCs w:val="21"/>
          <w:highlight w:val="none"/>
          <w:u w:val="single"/>
        </w:rPr>
      </w:pPr>
      <w:r>
        <w:rPr>
          <w:rFonts w:hint="eastAsia" w:ascii="宋体" w:hAnsi="宋体"/>
          <w:bCs/>
          <w:color w:val="auto"/>
          <w:szCs w:val="21"/>
          <w:highlight w:val="none"/>
        </w:rPr>
        <w:t>供应商名称（加盖公章）：</w:t>
      </w:r>
    </w:p>
    <w:p>
      <w:pPr>
        <w:adjustRightInd w:val="0"/>
        <w:snapToGrid w:val="0"/>
        <w:spacing w:line="480" w:lineRule="auto"/>
        <w:rPr>
          <w:rFonts w:ascii="宋体" w:hAnsi="宋体"/>
          <w:bCs/>
          <w:color w:val="auto"/>
          <w:szCs w:val="21"/>
          <w:highlight w:val="none"/>
        </w:rPr>
      </w:pPr>
      <w:r>
        <w:rPr>
          <w:rFonts w:hint="eastAsia" w:ascii="宋体" w:hAnsi="宋体"/>
          <w:bCs/>
          <w:color w:val="auto"/>
          <w:szCs w:val="21"/>
          <w:highlight w:val="none"/>
        </w:rPr>
        <w:t>日期：年月日</w:t>
      </w:r>
    </w:p>
    <w:p>
      <w:pPr>
        <w:pStyle w:val="22"/>
        <w:spacing w:line="480" w:lineRule="auto"/>
        <w:rPr>
          <w:rFonts w:hAnsi="宋体"/>
          <w:color w:val="auto"/>
          <w:highlight w:val="none"/>
        </w:rPr>
      </w:pPr>
      <w:r>
        <w:rPr>
          <w:rFonts w:hint="eastAsia" w:hAnsi="宋体"/>
          <w:color w:val="auto"/>
          <w:highlight w:val="none"/>
        </w:rPr>
        <w:t>注：本投标函为供应商响应本次谈判项目的郑重承诺，供应商不得改动且必须满足。</w:t>
      </w:r>
    </w:p>
    <w:p>
      <w:pPr>
        <w:pStyle w:val="22"/>
        <w:spacing w:line="360" w:lineRule="auto"/>
        <w:rPr>
          <w:rFonts w:hAnsi="宋体"/>
          <w:color w:val="auto"/>
          <w:highlight w:val="none"/>
        </w:rPr>
      </w:pPr>
    </w:p>
    <w:p>
      <w:pPr>
        <w:pStyle w:val="5"/>
        <w:numPr>
          <w:ilvl w:val="1"/>
          <w:numId w:val="0"/>
        </w:numPr>
        <w:spacing w:line="360" w:lineRule="auto"/>
        <w:jc w:val="center"/>
        <w:rPr>
          <w:rFonts w:ascii="宋体" w:hAnsi="宋体" w:eastAsia="宋体"/>
          <w:color w:val="auto"/>
          <w:sz w:val="28"/>
          <w:szCs w:val="28"/>
          <w:highlight w:val="none"/>
        </w:rPr>
      </w:pPr>
      <w:bookmarkStart w:id="190" w:name="_Toc200414526"/>
      <w:bookmarkStart w:id="191" w:name="_Toc6515"/>
      <w:r>
        <w:rPr>
          <w:rFonts w:hint="eastAsia" w:ascii="宋体" w:hAnsi="宋体" w:eastAsia="宋体"/>
          <w:color w:val="auto"/>
          <w:sz w:val="28"/>
          <w:szCs w:val="28"/>
          <w:highlight w:val="none"/>
        </w:rPr>
        <w:t>附件二：第一次报价一览表</w:t>
      </w:r>
      <w:bookmarkEnd w:id="190"/>
      <w:bookmarkEnd w:id="191"/>
    </w:p>
    <w:p>
      <w:pPr>
        <w:adjustRightInd w:val="0"/>
        <w:snapToGrid w:val="0"/>
        <w:spacing w:line="360" w:lineRule="auto"/>
        <w:jc w:val="left"/>
        <w:rPr>
          <w:rFonts w:ascii="宋体" w:hAnsi="宋体"/>
          <w:b/>
          <w:bCs/>
          <w:caps/>
          <w:color w:val="auto"/>
          <w:szCs w:val="21"/>
          <w:highlight w:val="none"/>
          <w:u w:val="single"/>
        </w:rPr>
      </w:pPr>
      <w:r>
        <w:rPr>
          <w:rFonts w:hint="eastAsia" w:ascii="宋体" w:hAnsi="宋体"/>
          <w:bCs/>
          <w:color w:val="auto"/>
          <w:szCs w:val="21"/>
          <w:highlight w:val="none"/>
        </w:rPr>
        <w:t>项目编号:</w:t>
      </w:r>
    </w:p>
    <w:p>
      <w:pPr>
        <w:adjustRightInd w:val="0"/>
        <w:snapToGrid w:val="0"/>
        <w:spacing w:line="360" w:lineRule="auto"/>
        <w:jc w:val="left"/>
        <w:rPr>
          <w:rFonts w:ascii="宋体" w:hAnsi="宋体"/>
          <w:bCs/>
          <w:color w:val="auto"/>
          <w:szCs w:val="21"/>
          <w:highlight w:val="none"/>
        </w:rPr>
      </w:pPr>
      <w:r>
        <w:rPr>
          <w:rFonts w:hint="eastAsia" w:ascii="宋体" w:hAnsi="宋体"/>
          <w:color w:val="auto"/>
          <w:szCs w:val="21"/>
          <w:highlight w:val="none"/>
        </w:rPr>
        <w:t>项目名称：</w:t>
      </w:r>
    </w:p>
    <w:p>
      <w:pPr>
        <w:tabs>
          <w:tab w:val="center" w:pos="4483"/>
        </w:tabs>
        <w:spacing w:line="360" w:lineRule="auto"/>
        <w:rPr>
          <w:rFonts w:ascii="宋体" w:hAnsi="宋体"/>
          <w:bCs/>
          <w:color w:val="auto"/>
          <w:szCs w:val="21"/>
          <w:highlight w:val="none"/>
          <w:u w:val="single"/>
        </w:rPr>
      </w:pPr>
    </w:p>
    <w:tbl>
      <w:tblPr>
        <w:tblStyle w:val="42"/>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auto"/>
                <w:szCs w:val="21"/>
                <w:highlight w:val="none"/>
              </w:rPr>
            </w:pPr>
            <w:r>
              <w:rPr>
                <w:rFonts w:hint="eastAsia" w:ascii="宋体" w:hAnsi="宋体"/>
                <w:bCs/>
                <w:color w:val="auto"/>
                <w:szCs w:val="21"/>
                <w:highlight w:val="none"/>
              </w:rPr>
              <w:t>项目名称</w:t>
            </w:r>
          </w:p>
        </w:tc>
        <w:tc>
          <w:tcPr>
            <w:tcW w:w="3713" w:type="dxa"/>
            <w:vAlign w:val="center"/>
          </w:tcPr>
          <w:p>
            <w:pPr>
              <w:spacing w:line="360" w:lineRule="auto"/>
              <w:jc w:val="center"/>
              <w:rPr>
                <w:rFonts w:ascii="宋体" w:hAnsi="宋体"/>
                <w:bCs/>
                <w:color w:val="auto"/>
                <w:szCs w:val="21"/>
                <w:highlight w:val="none"/>
              </w:rPr>
            </w:pPr>
            <w:r>
              <w:rPr>
                <w:rFonts w:hint="eastAsia" w:ascii="宋体" w:hAnsi="宋体"/>
                <w:bCs/>
                <w:color w:val="auto"/>
                <w:szCs w:val="21"/>
                <w:highlight w:val="none"/>
              </w:rPr>
              <w:t>报价（元）</w:t>
            </w:r>
          </w:p>
        </w:tc>
        <w:tc>
          <w:tcPr>
            <w:tcW w:w="1501" w:type="dxa"/>
            <w:vAlign w:val="center"/>
          </w:tcPr>
          <w:p>
            <w:pPr>
              <w:spacing w:line="360" w:lineRule="auto"/>
              <w:jc w:val="center"/>
              <w:rPr>
                <w:rFonts w:hint="eastAsia" w:ascii="宋体" w:hAnsi="宋体" w:eastAsia="宋体"/>
                <w:bCs/>
                <w:color w:val="auto"/>
                <w:szCs w:val="21"/>
                <w:highlight w:val="none"/>
                <w:lang w:eastAsia="zh-CN"/>
              </w:rPr>
            </w:pPr>
            <w:r>
              <w:rPr>
                <w:rFonts w:hint="eastAsia" w:ascii="宋体" w:hAnsi="宋体"/>
                <w:bCs/>
                <w:color w:val="auto"/>
                <w:szCs w:val="21"/>
                <w:highlight w:val="none"/>
                <w:lang w:eastAsia="zh-CN"/>
              </w:rPr>
              <w:t>项目周期</w:t>
            </w:r>
          </w:p>
        </w:tc>
        <w:tc>
          <w:tcPr>
            <w:tcW w:w="1476" w:type="dxa"/>
            <w:vAlign w:val="center"/>
          </w:tcPr>
          <w:p>
            <w:pPr>
              <w:spacing w:line="360" w:lineRule="auto"/>
              <w:jc w:val="center"/>
              <w:rPr>
                <w:rFonts w:ascii="宋体" w:hAnsi="宋体"/>
                <w:bCs/>
                <w:color w:val="auto"/>
                <w:szCs w:val="21"/>
                <w:highlight w:val="none"/>
              </w:rPr>
            </w:pPr>
            <w:r>
              <w:rPr>
                <w:rFonts w:hint="eastAsia" w:ascii="宋体" w:hAnsi="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auto"/>
                <w:highlight w:val="none"/>
              </w:rPr>
            </w:pPr>
          </w:p>
        </w:tc>
        <w:tc>
          <w:tcPr>
            <w:tcW w:w="3713" w:type="dxa"/>
            <w:vAlign w:val="center"/>
          </w:tcPr>
          <w:p>
            <w:pPr>
              <w:spacing w:line="360" w:lineRule="auto"/>
              <w:rPr>
                <w:rFonts w:ascii="宋体" w:hAnsi="宋体"/>
                <w:bCs/>
                <w:color w:val="auto"/>
                <w:highlight w:val="none"/>
              </w:rPr>
            </w:pPr>
            <w:r>
              <w:rPr>
                <w:rFonts w:hint="eastAsia" w:ascii="宋体" w:hAnsi="宋体"/>
                <w:bCs/>
                <w:color w:val="auto"/>
                <w:highlight w:val="none"/>
              </w:rPr>
              <w:t>大写：人民币</w:t>
            </w:r>
          </w:p>
          <w:p>
            <w:pPr>
              <w:spacing w:line="360" w:lineRule="auto"/>
              <w:rPr>
                <w:rFonts w:ascii="宋体" w:hAnsi="宋体"/>
                <w:bCs/>
                <w:color w:val="auto"/>
                <w:highlight w:val="none"/>
              </w:rPr>
            </w:pPr>
          </w:p>
          <w:p>
            <w:pPr>
              <w:spacing w:line="360" w:lineRule="auto"/>
              <w:rPr>
                <w:rFonts w:ascii="宋体" w:hAnsi="宋体"/>
                <w:bCs/>
                <w:color w:val="auto"/>
                <w:highlight w:val="none"/>
              </w:rPr>
            </w:pPr>
            <w:r>
              <w:rPr>
                <w:rFonts w:hint="eastAsia" w:ascii="宋体" w:hAnsi="宋体"/>
                <w:bCs/>
                <w:color w:val="auto"/>
                <w:highlight w:val="none"/>
              </w:rPr>
              <w:t xml:space="preserve">小写：¥ </w:t>
            </w:r>
          </w:p>
          <w:p>
            <w:pPr>
              <w:spacing w:line="360" w:lineRule="auto"/>
              <w:rPr>
                <w:rFonts w:ascii="宋体" w:hAnsi="宋体"/>
                <w:bCs/>
                <w:color w:val="auto"/>
                <w:highlight w:val="none"/>
              </w:rPr>
            </w:pPr>
          </w:p>
        </w:tc>
        <w:tc>
          <w:tcPr>
            <w:tcW w:w="1501" w:type="dxa"/>
            <w:vAlign w:val="center"/>
          </w:tcPr>
          <w:p>
            <w:pPr>
              <w:spacing w:line="360" w:lineRule="auto"/>
              <w:jc w:val="center"/>
              <w:rPr>
                <w:rFonts w:ascii="宋体" w:hAnsi="宋体"/>
                <w:bCs/>
                <w:color w:val="auto"/>
                <w:highlight w:val="none"/>
                <w:u w:val="single"/>
              </w:rPr>
            </w:pPr>
          </w:p>
        </w:tc>
        <w:tc>
          <w:tcPr>
            <w:tcW w:w="1476" w:type="dxa"/>
            <w:vAlign w:val="center"/>
          </w:tcPr>
          <w:p>
            <w:pPr>
              <w:spacing w:line="360" w:lineRule="auto"/>
              <w:rPr>
                <w:rFonts w:ascii="宋体" w:hAnsi="宋体"/>
                <w:bCs/>
                <w:color w:val="auto"/>
                <w:szCs w:val="21"/>
                <w:highlight w:val="none"/>
              </w:rPr>
            </w:pPr>
          </w:p>
        </w:tc>
      </w:tr>
    </w:tbl>
    <w:p>
      <w:pPr>
        <w:spacing w:line="360" w:lineRule="auto"/>
        <w:rPr>
          <w:rFonts w:ascii="宋体" w:hAnsi="宋体"/>
          <w:bCs/>
          <w:color w:val="auto"/>
          <w:highlight w:val="none"/>
          <w:u w:val="single"/>
        </w:rPr>
      </w:pPr>
    </w:p>
    <w:p>
      <w:pPr>
        <w:spacing w:line="360" w:lineRule="auto"/>
        <w:rPr>
          <w:rFonts w:ascii="宋体" w:hAnsi="宋体"/>
          <w:bCs/>
          <w:color w:val="auto"/>
          <w:highlight w:val="none"/>
        </w:rPr>
      </w:pPr>
      <w:r>
        <w:rPr>
          <w:rFonts w:hint="eastAsia" w:ascii="宋体" w:hAnsi="宋体"/>
          <w:bCs/>
          <w:color w:val="auto"/>
          <w:highlight w:val="none"/>
        </w:rPr>
        <w:t>注：</w:t>
      </w:r>
    </w:p>
    <w:p>
      <w:pPr>
        <w:numPr>
          <w:ilvl w:val="0"/>
          <w:numId w:val="17"/>
        </w:numPr>
        <w:tabs>
          <w:tab w:val="left" w:pos="845"/>
        </w:tabs>
        <w:spacing w:line="360" w:lineRule="auto"/>
        <w:rPr>
          <w:rFonts w:ascii="宋体" w:hAnsi="宋体"/>
          <w:bCs/>
          <w:color w:val="auto"/>
          <w:highlight w:val="none"/>
        </w:rPr>
      </w:pPr>
      <w:r>
        <w:rPr>
          <w:rFonts w:hint="eastAsia" w:ascii="宋体" w:hAnsi="宋体"/>
          <w:color w:val="auto"/>
          <w:highlight w:val="none"/>
        </w:rPr>
        <w:t>填写此表时不得改变表格的形式。</w:t>
      </w:r>
    </w:p>
    <w:p>
      <w:pPr>
        <w:numPr>
          <w:ilvl w:val="0"/>
          <w:numId w:val="17"/>
        </w:numPr>
        <w:tabs>
          <w:tab w:val="left" w:pos="845"/>
        </w:tabs>
        <w:spacing w:line="360" w:lineRule="auto"/>
        <w:rPr>
          <w:rFonts w:ascii="宋体" w:hAnsi="宋体"/>
          <w:bCs/>
          <w:color w:val="auto"/>
          <w:highlight w:val="none"/>
        </w:rPr>
      </w:pPr>
      <w:r>
        <w:rPr>
          <w:rFonts w:hint="eastAsia" w:ascii="宋体" w:hAnsi="宋体"/>
          <w:bCs/>
          <w:color w:val="auto"/>
          <w:highlight w:val="none"/>
        </w:rPr>
        <w:t>本报价表为供应商的第一次报价，谈判后，代理采购机构将向合格的供应商发最终报价表。</w:t>
      </w:r>
    </w:p>
    <w:p>
      <w:pPr>
        <w:numPr>
          <w:ilvl w:val="0"/>
          <w:numId w:val="17"/>
        </w:numPr>
        <w:tabs>
          <w:tab w:val="left" w:pos="845"/>
        </w:tabs>
        <w:spacing w:line="360" w:lineRule="auto"/>
        <w:rPr>
          <w:rFonts w:ascii="宋体" w:hAnsi="宋体"/>
          <w:bCs/>
          <w:color w:val="auto"/>
          <w:highlight w:val="none"/>
        </w:rPr>
      </w:pPr>
      <w:r>
        <w:rPr>
          <w:rFonts w:hint="eastAsia" w:ascii="宋体" w:hAnsi="宋体"/>
          <w:bCs/>
          <w:color w:val="auto"/>
          <w:highlight w:val="none"/>
        </w:rPr>
        <w:t>所投项目的内容必须填写完整。</w:t>
      </w:r>
    </w:p>
    <w:p>
      <w:pPr>
        <w:numPr>
          <w:ilvl w:val="0"/>
          <w:numId w:val="17"/>
        </w:numPr>
        <w:tabs>
          <w:tab w:val="left" w:pos="845"/>
        </w:tabs>
        <w:spacing w:line="360" w:lineRule="auto"/>
        <w:rPr>
          <w:rFonts w:ascii="宋体" w:hAnsi="宋体"/>
          <w:bCs/>
          <w:color w:val="auto"/>
          <w:highlight w:val="none"/>
        </w:rPr>
      </w:pPr>
      <w:r>
        <w:rPr>
          <w:rFonts w:hint="eastAsia" w:ascii="宋体" w:hAnsi="宋体"/>
          <w:bCs/>
          <w:color w:val="auto"/>
          <w:highlight w:val="none"/>
        </w:rPr>
        <w:t>如果供应商认为有应当说明而本表中无相应栏目的内容，请在“备注”栏中说明添加说明。</w:t>
      </w:r>
    </w:p>
    <w:p>
      <w:pPr>
        <w:tabs>
          <w:tab w:val="left" w:pos="845"/>
        </w:tabs>
        <w:spacing w:line="360" w:lineRule="auto"/>
        <w:rPr>
          <w:rFonts w:ascii="宋体" w:hAnsi="宋体"/>
          <w:bCs/>
          <w:color w:val="auto"/>
          <w:highlight w:val="none"/>
        </w:rPr>
      </w:pPr>
    </w:p>
    <w:p>
      <w:pPr>
        <w:tabs>
          <w:tab w:val="left" w:pos="845"/>
        </w:tabs>
        <w:spacing w:line="360" w:lineRule="auto"/>
        <w:rPr>
          <w:rFonts w:ascii="宋体" w:hAnsi="宋体"/>
          <w:bCs/>
          <w:color w:val="auto"/>
          <w:highlight w:val="none"/>
        </w:rPr>
      </w:pPr>
    </w:p>
    <w:p>
      <w:pPr>
        <w:tabs>
          <w:tab w:val="left" w:pos="845"/>
        </w:tabs>
        <w:spacing w:line="360" w:lineRule="auto"/>
        <w:rPr>
          <w:rFonts w:ascii="宋体" w:hAnsi="宋体"/>
          <w:bCs/>
          <w:color w:val="auto"/>
          <w:highlight w:val="none"/>
        </w:rPr>
      </w:pPr>
    </w:p>
    <w:p>
      <w:pPr>
        <w:tabs>
          <w:tab w:val="left" w:pos="845"/>
        </w:tabs>
        <w:spacing w:line="360" w:lineRule="auto"/>
        <w:rPr>
          <w:rFonts w:ascii="宋体" w:hAnsi="宋体"/>
          <w:bCs/>
          <w:color w:val="auto"/>
          <w:highlight w:val="none"/>
        </w:rPr>
      </w:pPr>
    </w:p>
    <w:p>
      <w:pPr>
        <w:tabs>
          <w:tab w:val="left" w:pos="845"/>
        </w:tabs>
        <w:spacing w:line="360" w:lineRule="auto"/>
        <w:rPr>
          <w:rFonts w:ascii="宋体" w:hAnsi="宋体"/>
          <w:bCs/>
          <w:color w:val="auto"/>
          <w:highlight w:val="none"/>
        </w:rPr>
      </w:pPr>
    </w:p>
    <w:p>
      <w:pPr>
        <w:tabs>
          <w:tab w:val="left" w:pos="845"/>
        </w:tabs>
        <w:spacing w:line="360" w:lineRule="auto"/>
        <w:rPr>
          <w:rFonts w:ascii="宋体" w:hAnsi="宋体"/>
          <w:bCs/>
          <w:color w:val="auto"/>
          <w:highlight w:val="none"/>
        </w:rPr>
      </w:pPr>
    </w:p>
    <w:p>
      <w:pPr>
        <w:tabs>
          <w:tab w:val="left" w:pos="845"/>
        </w:tabs>
        <w:spacing w:line="360" w:lineRule="auto"/>
        <w:rPr>
          <w:rFonts w:ascii="宋体" w:hAnsi="宋体"/>
          <w:bCs/>
          <w:color w:val="auto"/>
          <w:highlight w:val="none"/>
        </w:rPr>
      </w:pPr>
    </w:p>
    <w:p>
      <w:pPr>
        <w:tabs>
          <w:tab w:val="left" w:pos="845"/>
        </w:tabs>
        <w:spacing w:line="360" w:lineRule="auto"/>
        <w:rPr>
          <w:rFonts w:ascii="宋体" w:hAnsi="宋体"/>
          <w:bCs/>
          <w:color w:val="auto"/>
          <w:highlight w:val="none"/>
        </w:rPr>
      </w:pPr>
    </w:p>
    <w:p>
      <w:pPr>
        <w:tabs>
          <w:tab w:val="left" w:pos="845"/>
        </w:tabs>
        <w:spacing w:line="360" w:lineRule="auto"/>
        <w:rPr>
          <w:rFonts w:ascii="宋体" w:hAnsi="宋体"/>
          <w:bCs/>
          <w:color w:val="auto"/>
          <w:highlight w:val="none"/>
        </w:rPr>
      </w:pP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 xml:space="preserve">供应商法定代表人（负责人）或授权代理人（签字）： </w:t>
      </w:r>
    </w:p>
    <w:p>
      <w:pPr>
        <w:adjustRightInd w:val="0"/>
        <w:snapToGrid w:val="0"/>
        <w:spacing w:line="360" w:lineRule="auto"/>
        <w:rPr>
          <w:rFonts w:ascii="宋体" w:hAnsi="宋体"/>
          <w:bCs/>
          <w:color w:val="auto"/>
          <w:szCs w:val="21"/>
          <w:highlight w:val="none"/>
          <w:u w:val="single"/>
        </w:rPr>
      </w:pPr>
      <w:r>
        <w:rPr>
          <w:rFonts w:hint="eastAsia" w:ascii="宋体" w:hAnsi="宋体"/>
          <w:bCs/>
          <w:color w:val="auto"/>
          <w:szCs w:val="21"/>
          <w:highlight w:val="none"/>
        </w:rPr>
        <w:t>供应商名称（加盖公章）：</w:t>
      </w: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日期：年月日</w:t>
      </w:r>
    </w:p>
    <w:p>
      <w:pPr>
        <w:pStyle w:val="22"/>
        <w:spacing w:line="360" w:lineRule="auto"/>
        <w:rPr>
          <w:rFonts w:hAnsi="宋体"/>
          <w:color w:val="auto"/>
          <w:highlight w:val="none"/>
        </w:rPr>
      </w:pPr>
    </w:p>
    <w:p>
      <w:pPr>
        <w:pStyle w:val="22"/>
        <w:spacing w:line="360" w:lineRule="auto"/>
        <w:rPr>
          <w:rFonts w:hAnsi="宋体"/>
          <w:color w:val="auto"/>
          <w:highlight w:val="none"/>
        </w:rPr>
        <w:sectPr>
          <w:pgSz w:w="11906" w:h="16838"/>
          <w:pgMar w:top="1418" w:right="1474" w:bottom="1418" w:left="1474" w:header="851" w:footer="851" w:gutter="0"/>
          <w:cols w:space="720" w:num="1"/>
          <w:titlePg/>
          <w:docGrid w:linePitch="462" w:charSpace="0"/>
        </w:sectPr>
      </w:pPr>
    </w:p>
    <w:p>
      <w:pPr>
        <w:pStyle w:val="5"/>
        <w:numPr>
          <w:ilvl w:val="1"/>
          <w:numId w:val="0"/>
        </w:numPr>
        <w:spacing w:line="360" w:lineRule="auto"/>
        <w:jc w:val="center"/>
        <w:rPr>
          <w:rFonts w:ascii="宋体" w:hAnsi="宋体" w:eastAsia="宋体"/>
          <w:color w:val="auto"/>
          <w:sz w:val="28"/>
          <w:szCs w:val="28"/>
          <w:highlight w:val="none"/>
        </w:rPr>
      </w:pPr>
      <w:bookmarkStart w:id="192" w:name="_Toc200414527"/>
      <w:bookmarkStart w:id="193" w:name="_Toc17089"/>
      <w:r>
        <w:rPr>
          <w:rFonts w:hint="eastAsia" w:ascii="宋体" w:hAnsi="宋体" w:eastAsia="宋体"/>
          <w:color w:val="auto"/>
          <w:highlight w:val="none"/>
        </w:rPr>
        <w:t>附件三：谈判分项报价</w:t>
      </w:r>
      <w:r>
        <w:rPr>
          <w:rFonts w:ascii="宋体" w:hAnsi="宋体" w:eastAsia="宋体"/>
          <w:color w:val="auto"/>
          <w:highlight w:val="none"/>
        </w:rPr>
        <w:t>表</w:t>
      </w:r>
      <w:bookmarkEnd w:id="192"/>
      <w:bookmarkEnd w:id="193"/>
    </w:p>
    <w:p>
      <w:pPr>
        <w:adjustRightInd w:val="0"/>
        <w:snapToGrid w:val="0"/>
        <w:spacing w:line="360" w:lineRule="auto"/>
        <w:jc w:val="left"/>
        <w:rPr>
          <w:rFonts w:ascii="宋体" w:hAnsi="宋体"/>
          <w:b/>
          <w:bCs/>
          <w:caps/>
          <w:color w:val="auto"/>
          <w:szCs w:val="21"/>
          <w:highlight w:val="none"/>
          <w:u w:val="single"/>
        </w:rPr>
      </w:pPr>
      <w:r>
        <w:rPr>
          <w:rFonts w:hint="eastAsia" w:ascii="宋体" w:hAnsi="宋体"/>
          <w:bCs/>
          <w:color w:val="auto"/>
          <w:szCs w:val="21"/>
          <w:highlight w:val="none"/>
        </w:rPr>
        <w:t>项目编号:</w:t>
      </w:r>
    </w:p>
    <w:p>
      <w:pPr>
        <w:adjustRightInd w:val="0"/>
        <w:snapToGrid w:val="0"/>
        <w:spacing w:line="360" w:lineRule="auto"/>
        <w:jc w:val="left"/>
        <w:rPr>
          <w:rFonts w:ascii="宋体" w:hAnsi="宋体"/>
          <w:color w:val="auto"/>
          <w:spacing w:val="10"/>
          <w:szCs w:val="21"/>
          <w:highlight w:val="none"/>
        </w:rPr>
      </w:pPr>
      <w:r>
        <w:rPr>
          <w:rFonts w:hint="eastAsia" w:ascii="宋体" w:hAnsi="宋体"/>
          <w:color w:val="auto"/>
          <w:szCs w:val="21"/>
          <w:highlight w:val="none"/>
        </w:rPr>
        <w:t>项目名称：</w:t>
      </w:r>
    </w:p>
    <w:p>
      <w:pPr>
        <w:adjustRightInd w:val="0"/>
        <w:snapToGrid w:val="0"/>
        <w:spacing w:line="360" w:lineRule="auto"/>
        <w:ind w:firstLine="6615" w:firstLineChars="3150"/>
        <w:jc w:val="left"/>
        <w:rPr>
          <w:rFonts w:ascii="宋体" w:hAnsi="宋体"/>
          <w:bCs/>
          <w:color w:val="auto"/>
          <w:szCs w:val="21"/>
          <w:highlight w:val="none"/>
        </w:rPr>
      </w:pPr>
      <w:r>
        <w:rPr>
          <w:rFonts w:hint="eastAsia" w:ascii="宋体" w:hAnsi="宋体"/>
          <w:bCs/>
          <w:color w:val="auto"/>
          <w:szCs w:val="21"/>
          <w:highlight w:val="none"/>
        </w:rPr>
        <w:t>（单位：元）</w:t>
      </w:r>
    </w:p>
    <w:tbl>
      <w:tblPr>
        <w:tblStyle w:val="4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42" w:type="dxa"/>
            <w:vAlign w:val="center"/>
          </w:tcPr>
          <w:p>
            <w:pPr>
              <w:pStyle w:val="9"/>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1281" w:type="dxa"/>
            <w:vAlign w:val="center"/>
          </w:tcPr>
          <w:p>
            <w:pPr>
              <w:pStyle w:val="9"/>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81" w:type="dxa"/>
            <w:vAlign w:val="center"/>
          </w:tcPr>
          <w:p>
            <w:pPr>
              <w:pStyle w:val="9"/>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82" w:type="dxa"/>
            <w:gridSpan w:val="2"/>
            <w:vAlign w:val="center"/>
          </w:tcPr>
          <w:p>
            <w:pPr>
              <w:pStyle w:val="9"/>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81" w:type="dxa"/>
            <w:vAlign w:val="center"/>
          </w:tcPr>
          <w:p>
            <w:pPr>
              <w:pStyle w:val="9"/>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87" w:type="dxa"/>
            <w:vAlign w:val="center"/>
          </w:tcPr>
          <w:p>
            <w:pPr>
              <w:pStyle w:val="9"/>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42" w:type="dxa"/>
            <w:vAlign w:val="center"/>
          </w:tcPr>
          <w:p>
            <w:pPr>
              <w:pStyle w:val="9"/>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1281" w:type="dxa"/>
            <w:vAlign w:val="center"/>
          </w:tcPr>
          <w:p>
            <w:pPr>
              <w:pStyle w:val="9"/>
              <w:snapToGrid w:val="0"/>
              <w:ind w:firstLine="0"/>
              <w:jc w:val="center"/>
              <w:rPr>
                <w:rFonts w:hint="eastAsia" w:ascii="宋体" w:hAnsi="宋体" w:eastAsia="宋体" w:cs="宋体"/>
                <w:color w:val="auto"/>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auto"/>
                <w:sz w:val="21"/>
                <w:szCs w:val="21"/>
                <w:highlight w:val="none"/>
              </w:rPr>
            </w:pPr>
          </w:p>
        </w:tc>
        <w:tc>
          <w:tcPr>
            <w:tcW w:w="1282" w:type="dxa"/>
            <w:gridSpan w:val="2"/>
            <w:vAlign w:val="center"/>
          </w:tcPr>
          <w:p>
            <w:pPr>
              <w:pStyle w:val="9"/>
              <w:snapToGrid w:val="0"/>
              <w:ind w:firstLine="0"/>
              <w:jc w:val="center"/>
              <w:rPr>
                <w:rFonts w:hint="eastAsia" w:ascii="宋体" w:hAnsi="宋体" w:eastAsia="宋体" w:cs="宋体"/>
                <w:color w:val="auto"/>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auto"/>
                <w:sz w:val="21"/>
                <w:szCs w:val="21"/>
                <w:highlight w:val="none"/>
              </w:rPr>
            </w:pPr>
          </w:p>
        </w:tc>
        <w:tc>
          <w:tcPr>
            <w:tcW w:w="1287" w:type="dxa"/>
            <w:vAlign w:val="center"/>
          </w:tcPr>
          <w:p>
            <w:pPr>
              <w:pStyle w:val="9"/>
              <w:snapToGrid w:val="0"/>
              <w:ind w:firstLine="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42" w:type="dxa"/>
            <w:vAlign w:val="center"/>
          </w:tcPr>
          <w:p>
            <w:pPr>
              <w:pStyle w:val="9"/>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w:t>
            </w:r>
          </w:p>
        </w:tc>
        <w:tc>
          <w:tcPr>
            <w:tcW w:w="1281" w:type="dxa"/>
            <w:vAlign w:val="center"/>
          </w:tcPr>
          <w:p>
            <w:pPr>
              <w:pStyle w:val="9"/>
              <w:snapToGrid w:val="0"/>
              <w:ind w:firstLine="0"/>
              <w:jc w:val="center"/>
              <w:rPr>
                <w:rFonts w:hint="eastAsia" w:ascii="宋体" w:hAnsi="宋体" w:eastAsia="宋体" w:cs="宋体"/>
                <w:color w:val="auto"/>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auto"/>
                <w:sz w:val="21"/>
                <w:szCs w:val="21"/>
                <w:highlight w:val="none"/>
              </w:rPr>
            </w:pPr>
          </w:p>
        </w:tc>
        <w:tc>
          <w:tcPr>
            <w:tcW w:w="1282" w:type="dxa"/>
            <w:gridSpan w:val="2"/>
            <w:vAlign w:val="center"/>
          </w:tcPr>
          <w:p>
            <w:pPr>
              <w:pStyle w:val="9"/>
              <w:snapToGrid w:val="0"/>
              <w:ind w:firstLine="0"/>
              <w:jc w:val="center"/>
              <w:rPr>
                <w:rFonts w:hint="eastAsia" w:ascii="宋体" w:hAnsi="宋体" w:eastAsia="宋体" w:cs="宋体"/>
                <w:color w:val="auto"/>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auto"/>
                <w:sz w:val="21"/>
                <w:szCs w:val="21"/>
                <w:highlight w:val="none"/>
              </w:rPr>
            </w:pPr>
          </w:p>
        </w:tc>
        <w:tc>
          <w:tcPr>
            <w:tcW w:w="1287" w:type="dxa"/>
            <w:vAlign w:val="center"/>
          </w:tcPr>
          <w:p>
            <w:pPr>
              <w:pStyle w:val="9"/>
              <w:snapToGrid w:val="0"/>
              <w:ind w:firstLine="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42" w:type="dxa"/>
            <w:vAlign w:val="center"/>
          </w:tcPr>
          <w:p>
            <w:pPr>
              <w:pStyle w:val="9"/>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tc>
        <w:tc>
          <w:tcPr>
            <w:tcW w:w="1281" w:type="dxa"/>
            <w:vAlign w:val="center"/>
          </w:tcPr>
          <w:p>
            <w:pPr>
              <w:pStyle w:val="9"/>
              <w:snapToGrid w:val="0"/>
              <w:ind w:firstLine="0"/>
              <w:jc w:val="center"/>
              <w:rPr>
                <w:rFonts w:hint="eastAsia" w:ascii="宋体" w:hAnsi="宋体" w:eastAsia="宋体" w:cs="宋体"/>
                <w:color w:val="auto"/>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auto"/>
                <w:sz w:val="21"/>
                <w:szCs w:val="21"/>
                <w:highlight w:val="none"/>
              </w:rPr>
            </w:pPr>
          </w:p>
        </w:tc>
        <w:tc>
          <w:tcPr>
            <w:tcW w:w="1282" w:type="dxa"/>
            <w:gridSpan w:val="2"/>
            <w:vAlign w:val="center"/>
          </w:tcPr>
          <w:p>
            <w:pPr>
              <w:pStyle w:val="9"/>
              <w:snapToGrid w:val="0"/>
              <w:ind w:firstLine="0"/>
              <w:jc w:val="center"/>
              <w:rPr>
                <w:rFonts w:hint="eastAsia" w:ascii="宋体" w:hAnsi="宋体" w:eastAsia="宋体" w:cs="宋体"/>
                <w:color w:val="auto"/>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auto"/>
                <w:sz w:val="21"/>
                <w:szCs w:val="21"/>
                <w:highlight w:val="none"/>
              </w:rPr>
            </w:pPr>
          </w:p>
        </w:tc>
        <w:tc>
          <w:tcPr>
            <w:tcW w:w="1287" w:type="dxa"/>
            <w:vAlign w:val="center"/>
          </w:tcPr>
          <w:p>
            <w:pPr>
              <w:pStyle w:val="9"/>
              <w:snapToGrid w:val="0"/>
              <w:ind w:firstLine="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842" w:type="dxa"/>
            <w:vAlign w:val="center"/>
          </w:tcPr>
          <w:p>
            <w:pPr>
              <w:pStyle w:val="9"/>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c>
          <w:tcPr>
            <w:tcW w:w="1281" w:type="dxa"/>
            <w:vAlign w:val="center"/>
          </w:tcPr>
          <w:p>
            <w:pPr>
              <w:pStyle w:val="9"/>
              <w:snapToGrid w:val="0"/>
              <w:ind w:firstLine="0"/>
              <w:jc w:val="center"/>
              <w:rPr>
                <w:rFonts w:hint="eastAsia" w:ascii="宋体" w:hAnsi="宋体" w:eastAsia="宋体" w:cs="宋体"/>
                <w:color w:val="auto"/>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auto"/>
                <w:sz w:val="21"/>
                <w:szCs w:val="21"/>
                <w:highlight w:val="none"/>
              </w:rPr>
            </w:pPr>
          </w:p>
        </w:tc>
        <w:tc>
          <w:tcPr>
            <w:tcW w:w="1282" w:type="dxa"/>
            <w:gridSpan w:val="2"/>
            <w:vAlign w:val="center"/>
          </w:tcPr>
          <w:p>
            <w:pPr>
              <w:pStyle w:val="9"/>
              <w:snapToGrid w:val="0"/>
              <w:ind w:firstLine="0"/>
              <w:jc w:val="center"/>
              <w:rPr>
                <w:rFonts w:hint="eastAsia" w:ascii="宋体" w:hAnsi="宋体" w:eastAsia="宋体" w:cs="宋体"/>
                <w:color w:val="auto"/>
                <w:sz w:val="21"/>
                <w:szCs w:val="21"/>
                <w:highlight w:val="none"/>
              </w:rPr>
            </w:pPr>
          </w:p>
        </w:tc>
        <w:tc>
          <w:tcPr>
            <w:tcW w:w="1281" w:type="dxa"/>
            <w:vAlign w:val="center"/>
          </w:tcPr>
          <w:p>
            <w:pPr>
              <w:pStyle w:val="9"/>
              <w:snapToGrid w:val="0"/>
              <w:ind w:firstLine="0"/>
              <w:jc w:val="center"/>
              <w:rPr>
                <w:rFonts w:hint="eastAsia" w:ascii="宋体" w:hAnsi="宋体" w:eastAsia="宋体" w:cs="宋体"/>
                <w:color w:val="auto"/>
                <w:sz w:val="21"/>
                <w:szCs w:val="21"/>
                <w:highlight w:val="none"/>
              </w:rPr>
            </w:pPr>
          </w:p>
        </w:tc>
        <w:tc>
          <w:tcPr>
            <w:tcW w:w="1287" w:type="dxa"/>
            <w:vAlign w:val="center"/>
          </w:tcPr>
          <w:p>
            <w:pPr>
              <w:pStyle w:val="9"/>
              <w:snapToGrid w:val="0"/>
              <w:ind w:firstLine="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842" w:type="dxa"/>
            <w:vAlign w:val="center"/>
          </w:tcPr>
          <w:p>
            <w:pPr>
              <w:pStyle w:val="9"/>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保险费</w:t>
            </w:r>
          </w:p>
        </w:tc>
        <w:tc>
          <w:tcPr>
            <w:tcW w:w="6412" w:type="dxa"/>
            <w:gridSpan w:val="6"/>
            <w:vAlign w:val="center"/>
          </w:tcPr>
          <w:p>
            <w:pPr>
              <w:pStyle w:val="9"/>
              <w:snapToGrid w:val="0"/>
              <w:ind w:firstLine="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842" w:type="dxa"/>
            <w:vAlign w:val="center"/>
          </w:tcPr>
          <w:p>
            <w:pPr>
              <w:pStyle w:val="9"/>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税金</w:t>
            </w:r>
          </w:p>
        </w:tc>
        <w:tc>
          <w:tcPr>
            <w:tcW w:w="6412" w:type="dxa"/>
            <w:gridSpan w:val="6"/>
            <w:vAlign w:val="center"/>
          </w:tcPr>
          <w:p>
            <w:pPr>
              <w:pStyle w:val="9"/>
              <w:snapToGrid w:val="0"/>
              <w:ind w:firstLine="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842" w:type="dxa"/>
            <w:vAlign w:val="center"/>
          </w:tcPr>
          <w:p>
            <w:pPr>
              <w:pStyle w:val="9"/>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技术服务费</w:t>
            </w:r>
          </w:p>
        </w:tc>
        <w:tc>
          <w:tcPr>
            <w:tcW w:w="6412" w:type="dxa"/>
            <w:gridSpan w:val="6"/>
            <w:vAlign w:val="center"/>
          </w:tcPr>
          <w:p>
            <w:pPr>
              <w:pStyle w:val="9"/>
              <w:snapToGrid w:val="0"/>
              <w:ind w:firstLine="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842" w:type="dxa"/>
            <w:vAlign w:val="center"/>
          </w:tcPr>
          <w:p>
            <w:pPr>
              <w:pStyle w:val="9"/>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培训费</w:t>
            </w:r>
          </w:p>
        </w:tc>
        <w:tc>
          <w:tcPr>
            <w:tcW w:w="6412" w:type="dxa"/>
            <w:gridSpan w:val="6"/>
            <w:vAlign w:val="center"/>
          </w:tcPr>
          <w:p>
            <w:pPr>
              <w:pStyle w:val="9"/>
              <w:snapToGrid w:val="0"/>
              <w:ind w:firstLine="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842" w:type="dxa"/>
            <w:vAlign w:val="center"/>
          </w:tcPr>
          <w:p>
            <w:pPr>
              <w:pStyle w:val="9"/>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质量保证期内的服务费用</w:t>
            </w:r>
          </w:p>
        </w:tc>
        <w:tc>
          <w:tcPr>
            <w:tcW w:w="6412" w:type="dxa"/>
            <w:gridSpan w:val="6"/>
            <w:vAlign w:val="center"/>
          </w:tcPr>
          <w:p>
            <w:pPr>
              <w:pStyle w:val="9"/>
              <w:snapToGrid w:val="0"/>
              <w:ind w:firstLine="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9"/>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842" w:type="dxa"/>
            <w:vAlign w:val="center"/>
          </w:tcPr>
          <w:p>
            <w:pPr>
              <w:pStyle w:val="9"/>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其他费用</w:t>
            </w:r>
          </w:p>
          <w:p>
            <w:pPr>
              <w:pStyle w:val="9"/>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（该表中无体现的费用但本项目有产生的其他费用）</w:t>
            </w:r>
          </w:p>
        </w:tc>
        <w:tc>
          <w:tcPr>
            <w:tcW w:w="6412" w:type="dxa"/>
            <w:gridSpan w:val="6"/>
            <w:vAlign w:val="center"/>
          </w:tcPr>
          <w:p>
            <w:pPr>
              <w:pStyle w:val="9"/>
              <w:snapToGrid w:val="0"/>
              <w:ind w:firstLine="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842" w:type="dxa"/>
            <w:vAlign w:val="center"/>
          </w:tcPr>
          <w:p>
            <w:pPr>
              <w:pStyle w:val="9"/>
              <w:snapToGrid w:val="0"/>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报价总价</w:t>
            </w:r>
          </w:p>
        </w:tc>
        <w:tc>
          <w:tcPr>
            <w:tcW w:w="3208" w:type="dxa"/>
            <w:gridSpan w:val="3"/>
            <w:vAlign w:val="center"/>
          </w:tcPr>
          <w:p>
            <w:pPr>
              <w:pStyle w:val="9"/>
              <w:snapToGrid w:val="0"/>
              <w:ind w:firstLine="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（大写）人民币</w:t>
            </w:r>
          </w:p>
        </w:tc>
        <w:tc>
          <w:tcPr>
            <w:tcW w:w="3204" w:type="dxa"/>
            <w:gridSpan w:val="3"/>
            <w:vAlign w:val="center"/>
          </w:tcPr>
          <w:p>
            <w:pPr>
              <w:pStyle w:val="9"/>
              <w:snapToGrid w:val="0"/>
              <w:ind w:firstLine="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842" w:type="dxa"/>
            <w:vAlign w:val="center"/>
          </w:tcPr>
          <w:p>
            <w:pPr>
              <w:pStyle w:val="9"/>
              <w:snapToGrid w:val="0"/>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tc>
        <w:tc>
          <w:tcPr>
            <w:tcW w:w="6412" w:type="dxa"/>
            <w:gridSpan w:val="6"/>
            <w:vAlign w:val="center"/>
          </w:tcPr>
          <w:p>
            <w:pPr>
              <w:pStyle w:val="9"/>
              <w:snapToGrid w:val="0"/>
              <w:ind w:firstLine="0"/>
              <w:jc w:val="center"/>
              <w:rPr>
                <w:rFonts w:hint="eastAsia" w:ascii="宋体" w:hAnsi="宋体" w:eastAsia="宋体" w:cs="宋体"/>
                <w:bCs/>
                <w:color w:val="auto"/>
                <w:sz w:val="21"/>
                <w:szCs w:val="21"/>
                <w:highlight w:val="none"/>
              </w:rPr>
            </w:pPr>
          </w:p>
        </w:tc>
      </w:tr>
    </w:tbl>
    <w:p>
      <w:pPr>
        <w:adjustRightInd w:val="0"/>
        <w:snapToGrid w:val="0"/>
        <w:spacing w:line="360" w:lineRule="auto"/>
        <w:rPr>
          <w:rFonts w:ascii="宋体" w:hAnsi="宋体"/>
          <w:bCs/>
          <w:color w:val="auto"/>
          <w:szCs w:val="21"/>
          <w:highlight w:val="none"/>
        </w:rPr>
      </w:pPr>
    </w:p>
    <w:p>
      <w:pPr>
        <w:adjustRightInd w:val="0"/>
        <w:snapToGrid w:val="0"/>
        <w:spacing w:line="360" w:lineRule="auto"/>
        <w:ind w:firstLine="6615" w:firstLineChars="3150"/>
        <w:jc w:val="left"/>
        <w:rPr>
          <w:rFonts w:ascii="宋体" w:hAnsi="宋体"/>
          <w:bCs/>
          <w:color w:val="auto"/>
          <w:szCs w:val="21"/>
          <w:highlight w:val="none"/>
        </w:rPr>
      </w:pPr>
    </w:p>
    <w:p>
      <w:pPr>
        <w:spacing w:line="460" w:lineRule="exact"/>
        <w:rPr>
          <w:rFonts w:ascii="宋体" w:hAnsi="宋体"/>
          <w:color w:val="auto"/>
          <w:highlight w:val="none"/>
        </w:rPr>
      </w:pPr>
      <w:r>
        <w:rPr>
          <w:rFonts w:hint="eastAsia" w:ascii="宋体" w:hAnsi="宋体"/>
          <w:color w:val="auto"/>
          <w:highlight w:val="none"/>
        </w:rPr>
        <w:t>注：1、若最终报价在第一次报价的基础上有浮动，则最终报价中的各分项报价须按比例统一浮动。</w:t>
      </w:r>
    </w:p>
    <w:p>
      <w:pPr>
        <w:spacing w:line="460" w:lineRule="exact"/>
        <w:ind w:firstLine="420" w:firstLineChars="200"/>
        <w:rPr>
          <w:rFonts w:ascii="宋体" w:hAnsi="宋体"/>
          <w:color w:val="auto"/>
          <w:highlight w:val="none"/>
        </w:rPr>
      </w:pPr>
      <w:r>
        <w:rPr>
          <w:rFonts w:hint="eastAsia" w:ascii="宋体" w:hAnsi="宋体"/>
          <w:color w:val="auto"/>
          <w:highlight w:val="none"/>
        </w:rPr>
        <w:t>2、如本表格式内容不能满足需要，供应商可自行划表填写。</w:t>
      </w:r>
    </w:p>
    <w:p>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供应商法定代表人（负责人）或授权代理人（签字）： </w:t>
      </w:r>
    </w:p>
    <w:p>
      <w:pPr>
        <w:adjustRightInd w:val="0"/>
        <w:snapToGrid w:val="0"/>
        <w:spacing w:line="400" w:lineRule="exact"/>
        <w:rPr>
          <w:rFonts w:ascii="宋体" w:hAnsi="宋体"/>
          <w:bCs/>
          <w:color w:val="auto"/>
          <w:szCs w:val="21"/>
          <w:highlight w:val="none"/>
          <w:u w:val="single"/>
        </w:rPr>
      </w:pPr>
      <w:r>
        <w:rPr>
          <w:rFonts w:hint="eastAsia" w:ascii="宋体" w:hAnsi="宋体"/>
          <w:bCs/>
          <w:color w:val="auto"/>
          <w:szCs w:val="21"/>
          <w:highlight w:val="none"/>
        </w:rPr>
        <w:t>供应商名称（加盖公章）：</w:t>
      </w:r>
    </w:p>
    <w:p>
      <w:pPr>
        <w:rPr>
          <w:rFonts w:ascii="宋体" w:hAnsi="宋体"/>
          <w:color w:val="auto"/>
          <w:highlight w:val="none"/>
        </w:rPr>
      </w:pPr>
      <w:r>
        <w:rPr>
          <w:rFonts w:hint="eastAsia" w:ascii="宋体" w:hAnsi="宋体"/>
          <w:bCs/>
          <w:color w:val="auto"/>
          <w:szCs w:val="21"/>
          <w:highlight w:val="none"/>
        </w:rPr>
        <w:t>日期：年月日</w:t>
      </w:r>
      <w:bookmarkStart w:id="194" w:name="_Toc200414528"/>
    </w:p>
    <w:p>
      <w:pPr>
        <w:pStyle w:val="5"/>
        <w:numPr>
          <w:ilvl w:val="1"/>
          <w:numId w:val="0"/>
        </w:numPr>
        <w:spacing w:line="360" w:lineRule="auto"/>
        <w:jc w:val="center"/>
        <w:rPr>
          <w:rFonts w:ascii="宋体" w:hAnsi="宋体" w:eastAsia="宋体"/>
          <w:color w:val="auto"/>
          <w:sz w:val="28"/>
          <w:szCs w:val="28"/>
          <w:highlight w:val="none"/>
        </w:rPr>
      </w:pPr>
      <w:bookmarkStart w:id="195" w:name="_Toc3716"/>
      <w:r>
        <w:rPr>
          <w:rFonts w:hint="eastAsia" w:ascii="宋体" w:hAnsi="宋体" w:eastAsia="宋体"/>
          <w:color w:val="auto"/>
          <w:sz w:val="28"/>
          <w:szCs w:val="28"/>
          <w:highlight w:val="none"/>
        </w:rPr>
        <w:t>附件四：商务条款偏离一览表</w:t>
      </w:r>
      <w:bookmarkEnd w:id="194"/>
      <w:bookmarkEnd w:id="195"/>
    </w:p>
    <w:p>
      <w:pPr>
        <w:adjustRightInd w:val="0"/>
        <w:snapToGrid w:val="0"/>
        <w:spacing w:line="360" w:lineRule="auto"/>
        <w:jc w:val="left"/>
        <w:rPr>
          <w:rFonts w:ascii="宋体" w:hAnsi="宋体"/>
          <w:b/>
          <w:bCs/>
          <w:caps/>
          <w:color w:val="auto"/>
          <w:szCs w:val="21"/>
          <w:highlight w:val="none"/>
          <w:u w:val="single"/>
        </w:rPr>
      </w:pPr>
      <w:r>
        <w:rPr>
          <w:rFonts w:hint="eastAsia" w:ascii="宋体" w:hAnsi="宋体"/>
          <w:bCs/>
          <w:color w:val="auto"/>
          <w:szCs w:val="21"/>
          <w:highlight w:val="none"/>
        </w:rPr>
        <w:t>项目编号:</w:t>
      </w:r>
    </w:p>
    <w:p>
      <w:pPr>
        <w:adjustRightInd w:val="0"/>
        <w:snapToGrid w:val="0"/>
        <w:spacing w:line="360" w:lineRule="auto"/>
        <w:jc w:val="left"/>
        <w:rPr>
          <w:rFonts w:ascii="宋体" w:hAnsi="宋体"/>
          <w:color w:val="auto"/>
          <w:spacing w:val="10"/>
          <w:szCs w:val="21"/>
          <w:highlight w:val="none"/>
          <w:u w:val="single"/>
        </w:rPr>
      </w:pPr>
      <w:r>
        <w:rPr>
          <w:rFonts w:hint="eastAsia" w:ascii="宋体" w:hAnsi="宋体"/>
          <w:color w:val="auto"/>
          <w:szCs w:val="21"/>
          <w:highlight w:val="none"/>
        </w:rPr>
        <w:t>项目名称：</w:t>
      </w:r>
    </w:p>
    <w:tbl>
      <w:tblPr>
        <w:tblStyle w:val="42"/>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序号</w:t>
            </w: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r>
              <w:rPr>
                <w:rFonts w:ascii="宋体" w:hAnsi="宋体"/>
                <w:color w:val="auto"/>
                <w:szCs w:val="21"/>
                <w:highlight w:val="none"/>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偏离</w:t>
            </w:r>
          </w:p>
          <w:p>
            <w:pPr>
              <w:adjustRightInd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说明</w:t>
            </w: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bl>
    <w:p>
      <w:pPr>
        <w:adjustRightInd w:val="0"/>
        <w:snapToGrid w:val="0"/>
        <w:spacing w:line="360" w:lineRule="auto"/>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说明：1）</w:t>
      </w:r>
      <w:r>
        <w:rPr>
          <w:rFonts w:hint="eastAsia" w:ascii="宋体" w:hAnsi="宋体"/>
          <w:bCs/>
          <w:color w:val="auto"/>
          <w:highlight w:val="none"/>
        </w:rPr>
        <w:t>对“偏离”一栏，填写“无偏离、正偏离、负偏离”；</w:t>
      </w:r>
    </w:p>
    <w:p>
      <w:pPr>
        <w:adjustRightInd w:val="0"/>
        <w:snapToGrid w:val="0"/>
        <w:spacing w:line="360" w:lineRule="auto"/>
        <w:ind w:firstLine="630" w:firstLineChars="300"/>
        <w:rPr>
          <w:rFonts w:ascii="宋体" w:hAnsi="宋体"/>
          <w:b/>
          <w:bCs/>
          <w:color w:val="auto"/>
          <w:szCs w:val="21"/>
          <w:highlight w:val="none"/>
        </w:rPr>
      </w:pPr>
      <w:r>
        <w:rPr>
          <w:rFonts w:hint="eastAsia" w:ascii="宋体" w:hAnsi="宋体"/>
          <w:bCs/>
          <w:color w:val="auto"/>
          <w:szCs w:val="21"/>
          <w:highlight w:val="none"/>
        </w:rPr>
        <w:t>2）对谈判文件中商务条款按上列格式逐条说明。</w:t>
      </w:r>
    </w:p>
    <w:p>
      <w:pPr>
        <w:adjustRightInd w:val="0"/>
        <w:snapToGrid w:val="0"/>
        <w:spacing w:line="360" w:lineRule="auto"/>
        <w:rPr>
          <w:rFonts w:ascii="宋体" w:hAnsi="宋体"/>
          <w:bCs/>
          <w:color w:val="auto"/>
          <w:szCs w:val="21"/>
          <w:highlight w:val="none"/>
        </w:rPr>
      </w:pPr>
      <w:r>
        <w:rPr>
          <w:rFonts w:hint="eastAsia" w:ascii="宋体" w:hAnsi="宋体"/>
          <w:b/>
          <w:bCs/>
          <w:color w:val="auto"/>
          <w:szCs w:val="21"/>
          <w:highlight w:val="none"/>
        </w:rPr>
        <w:t>供应商声明：表中未列全的商务条款，我方均表示完全响应谈判文件商务条款的所有要求。</w:t>
      </w: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供应商法定代表人（负责人）或授权代理人（签字）：</w:t>
      </w:r>
    </w:p>
    <w:p>
      <w:pPr>
        <w:adjustRightInd w:val="0"/>
        <w:snapToGrid w:val="0"/>
        <w:spacing w:line="360" w:lineRule="auto"/>
        <w:rPr>
          <w:rFonts w:ascii="宋体" w:hAnsi="宋体"/>
          <w:bCs/>
          <w:color w:val="auto"/>
          <w:szCs w:val="21"/>
          <w:highlight w:val="none"/>
          <w:u w:val="single"/>
        </w:rPr>
      </w:pPr>
      <w:r>
        <w:rPr>
          <w:rFonts w:hint="eastAsia" w:ascii="宋体" w:hAnsi="宋体"/>
          <w:bCs/>
          <w:color w:val="auto"/>
          <w:szCs w:val="21"/>
          <w:highlight w:val="none"/>
        </w:rPr>
        <w:t>供应商名称（加盖公章）：</w:t>
      </w:r>
    </w:p>
    <w:p>
      <w:pPr>
        <w:adjustRightInd w:val="0"/>
        <w:snapToGrid w:val="0"/>
        <w:spacing w:line="360" w:lineRule="auto"/>
        <w:rPr>
          <w:rFonts w:ascii="宋体" w:hAnsi="宋体"/>
          <w:bCs/>
          <w:color w:val="auto"/>
          <w:szCs w:val="21"/>
          <w:highlight w:val="none"/>
          <w:u w:val="single"/>
        </w:rPr>
      </w:pPr>
      <w:r>
        <w:rPr>
          <w:rFonts w:hint="eastAsia" w:ascii="宋体" w:hAnsi="宋体"/>
          <w:bCs/>
          <w:color w:val="auto"/>
          <w:szCs w:val="21"/>
          <w:highlight w:val="none"/>
        </w:rPr>
        <w:t>日期： 年月 日</w:t>
      </w:r>
    </w:p>
    <w:p>
      <w:pPr>
        <w:adjustRightInd w:val="0"/>
        <w:snapToGrid w:val="0"/>
        <w:spacing w:line="360" w:lineRule="auto"/>
        <w:rPr>
          <w:rFonts w:ascii="宋体" w:hAnsi="宋体"/>
          <w:bCs/>
          <w:color w:val="auto"/>
          <w:szCs w:val="21"/>
          <w:highlight w:val="none"/>
          <w:u w:val="single"/>
        </w:rPr>
        <w:sectPr>
          <w:pgSz w:w="11906" w:h="16838"/>
          <w:pgMar w:top="1418" w:right="1474" w:bottom="1418" w:left="1474" w:header="851" w:footer="851" w:gutter="0"/>
          <w:cols w:space="720" w:num="1"/>
          <w:titlePg/>
          <w:docGrid w:linePitch="462" w:charSpace="0"/>
        </w:sectPr>
      </w:pPr>
    </w:p>
    <w:p>
      <w:pPr>
        <w:pStyle w:val="5"/>
        <w:numPr>
          <w:ilvl w:val="1"/>
          <w:numId w:val="0"/>
        </w:numPr>
        <w:spacing w:line="360" w:lineRule="auto"/>
        <w:jc w:val="center"/>
        <w:rPr>
          <w:rFonts w:ascii="宋体" w:hAnsi="宋体" w:eastAsia="宋体"/>
          <w:color w:val="auto"/>
          <w:sz w:val="28"/>
          <w:szCs w:val="28"/>
          <w:highlight w:val="none"/>
        </w:rPr>
      </w:pPr>
      <w:bookmarkStart w:id="196" w:name="_Toc200414529"/>
      <w:bookmarkStart w:id="197" w:name="_Toc27175"/>
      <w:r>
        <w:rPr>
          <w:rFonts w:hint="eastAsia" w:ascii="宋体" w:hAnsi="宋体" w:eastAsia="宋体"/>
          <w:color w:val="auto"/>
          <w:sz w:val="28"/>
          <w:szCs w:val="28"/>
          <w:highlight w:val="none"/>
        </w:rPr>
        <w:t>附件五：技术条款偏离一览表</w:t>
      </w:r>
      <w:bookmarkEnd w:id="196"/>
      <w:bookmarkEnd w:id="197"/>
    </w:p>
    <w:p>
      <w:pPr>
        <w:adjustRightInd w:val="0"/>
        <w:snapToGrid w:val="0"/>
        <w:spacing w:line="360" w:lineRule="auto"/>
        <w:jc w:val="left"/>
        <w:rPr>
          <w:rFonts w:ascii="宋体" w:hAnsi="宋体"/>
          <w:b/>
          <w:bCs/>
          <w:caps/>
          <w:color w:val="auto"/>
          <w:szCs w:val="21"/>
          <w:highlight w:val="none"/>
          <w:u w:val="single"/>
        </w:rPr>
      </w:pPr>
      <w:r>
        <w:rPr>
          <w:rFonts w:hint="eastAsia" w:ascii="宋体" w:hAnsi="宋体"/>
          <w:bCs/>
          <w:color w:val="auto"/>
          <w:szCs w:val="21"/>
          <w:highlight w:val="none"/>
        </w:rPr>
        <w:t>项目编号:</w:t>
      </w:r>
    </w:p>
    <w:p>
      <w:pPr>
        <w:adjustRightInd w:val="0"/>
        <w:snapToGrid w:val="0"/>
        <w:spacing w:line="360" w:lineRule="auto"/>
        <w:jc w:val="left"/>
        <w:rPr>
          <w:rFonts w:ascii="宋体" w:hAnsi="宋体"/>
          <w:bCs/>
          <w:color w:val="auto"/>
          <w:szCs w:val="21"/>
          <w:highlight w:val="none"/>
        </w:rPr>
      </w:pPr>
      <w:r>
        <w:rPr>
          <w:rFonts w:hint="eastAsia" w:ascii="宋体" w:hAnsi="宋体"/>
          <w:color w:val="auto"/>
          <w:szCs w:val="21"/>
          <w:highlight w:val="none"/>
        </w:rPr>
        <w:t>项目名称：</w:t>
      </w:r>
    </w:p>
    <w:tbl>
      <w:tblPr>
        <w:tblStyle w:val="42"/>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r>
              <w:rPr>
                <w:rFonts w:ascii="宋体" w:hAnsi="宋体"/>
                <w:color w:val="auto"/>
                <w:szCs w:val="21"/>
                <w:highlight w:val="none"/>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偏离</w:t>
            </w:r>
          </w:p>
          <w:p>
            <w:pPr>
              <w:adjustRightInd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r>
              <w:rPr>
                <w:rFonts w:hint="eastAsia" w:ascii="宋体" w:hAnsi="宋体"/>
                <w:bCs/>
                <w:color w:val="auto"/>
                <w:szCs w:val="2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auto"/>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auto"/>
                <w:szCs w:val="21"/>
                <w:highlight w:val="none"/>
              </w:rPr>
            </w:pPr>
          </w:p>
        </w:tc>
      </w:tr>
    </w:tbl>
    <w:p>
      <w:pPr>
        <w:adjustRightInd w:val="0"/>
        <w:snapToGrid w:val="0"/>
        <w:spacing w:line="360" w:lineRule="auto"/>
        <w:ind w:left="-271" w:leftChars="-129" w:right="-384" w:rightChars="-183"/>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说明：</w:t>
      </w:r>
      <w:r>
        <w:rPr>
          <w:rFonts w:hint="eastAsia" w:ascii="宋体" w:hAnsi="宋体"/>
          <w:bCs/>
          <w:color w:val="auto"/>
          <w:highlight w:val="none"/>
        </w:rPr>
        <w:t>1）对“偏离”一栏，填写“无偏离、正偏离、负偏离”；</w:t>
      </w:r>
    </w:p>
    <w:p>
      <w:pPr>
        <w:adjustRightInd w:val="0"/>
        <w:snapToGrid w:val="0"/>
        <w:spacing w:line="360" w:lineRule="auto"/>
        <w:ind w:left="567" w:leftChars="270" w:right="-384" w:rightChars="-183" w:firstLine="105" w:firstLineChars="50"/>
        <w:rPr>
          <w:rFonts w:ascii="宋体" w:hAnsi="宋体"/>
          <w:b/>
          <w:bCs/>
          <w:color w:val="auto"/>
          <w:szCs w:val="21"/>
          <w:highlight w:val="none"/>
        </w:rPr>
      </w:pPr>
      <w:r>
        <w:rPr>
          <w:rFonts w:hint="eastAsia" w:ascii="宋体" w:hAnsi="宋体"/>
          <w:bCs/>
          <w:color w:val="auto"/>
          <w:szCs w:val="21"/>
          <w:highlight w:val="none"/>
        </w:rPr>
        <w:t>2）对谈判文件中技术条款按上列格式逐条说明</w:t>
      </w:r>
      <w:r>
        <w:rPr>
          <w:rFonts w:hint="eastAsia" w:ascii="宋体" w:hAnsi="宋体"/>
          <w:b/>
          <w:bCs/>
          <w:color w:val="auto"/>
          <w:szCs w:val="21"/>
          <w:highlight w:val="none"/>
        </w:rPr>
        <w:t>。</w:t>
      </w:r>
    </w:p>
    <w:p>
      <w:pPr>
        <w:adjustRightInd w:val="0"/>
        <w:snapToGrid w:val="0"/>
        <w:spacing w:line="360" w:lineRule="auto"/>
        <w:ind w:left="-271" w:leftChars="-129" w:right="-384" w:rightChars="-183" w:firstLine="632" w:firstLineChars="300"/>
        <w:rPr>
          <w:rFonts w:ascii="宋体" w:hAnsi="宋体"/>
          <w:b/>
          <w:bCs/>
          <w:color w:val="auto"/>
          <w:szCs w:val="21"/>
          <w:highlight w:val="none"/>
        </w:rPr>
      </w:pPr>
    </w:p>
    <w:p>
      <w:pPr>
        <w:adjustRightInd w:val="0"/>
        <w:snapToGrid w:val="0"/>
        <w:spacing w:line="360" w:lineRule="auto"/>
        <w:ind w:right="-384" w:rightChars="-183"/>
        <w:rPr>
          <w:rFonts w:ascii="宋体" w:hAnsi="宋体"/>
          <w:bCs/>
          <w:color w:val="auto"/>
          <w:szCs w:val="21"/>
          <w:highlight w:val="none"/>
        </w:rPr>
      </w:pPr>
      <w:r>
        <w:rPr>
          <w:rFonts w:hint="eastAsia" w:ascii="宋体" w:hAnsi="宋体"/>
          <w:b/>
          <w:bCs/>
          <w:color w:val="auto"/>
          <w:szCs w:val="21"/>
          <w:highlight w:val="none"/>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auto"/>
          <w:szCs w:val="21"/>
          <w:highlight w:val="none"/>
        </w:rPr>
      </w:pPr>
      <w:r>
        <w:rPr>
          <w:rFonts w:hint="eastAsia" w:ascii="宋体" w:hAnsi="宋体"/>
          <w:bCs/>
          <w:color w:val="auto"/>
          <w:szCs w:val="21"/>
          <w:highlight w:val="none"/>
        </w:rPr>
        <w:t>供应商法定代表人（负责人）或授权代理人（签字）：</w:t>
      </w:r>
    </w:p>
    <w:p>
      <w:pPr>
        <w:adjustRightInd w:val="0"/>
        <w:snapToGrid w:val="0"/>
        <w:spacing w:line="360" w:lineRule="auto"/>
        <w:ind w:left="-271" w:leftChars="-129" w:right="-384" w:rightChars="-183"/>
        <w:rPr>
          <w:rFonts w:ascii="宋体" w:hAnsi="宋体"/>
          <w:bCs/>
          <w:color w:val="auto"/>
          <w:highlight w:val="none"/>
          <w:u w:val="single"/>
        </w:rPr>
      </w:pPr>
      <w:r>
        <w:rPr>
          <w:rFonts w:hint="eastAsia" w:ascii="宋体" w:hAnsi="宋体"/>
          <w:bCs/>
          <w:color w:val="auto"/>
          <w:szCs w:val="21"/>
          <w:highlight w:val="none"/>
        </w:rPr>
        <w:t>供应商名称（加盖公章）：</w:t>
      </w:r>
    </w:p>
    <w:p>
      <w:pPr>
        <w:adjustRightInd w:val="0"/>
        <w:snapToGrid w:val="0"/>
        <w:spacing w:line="360" w:lineRule="auto"/>
        <w:ind w:left="-271" w:leftChars="-129" w:right="-384" w:rightChars="-183"/>
        <w:rPr>
          <w:rFonts w:ascii="宋体" w:hAnsi="宋体"/>
          <w:bCs/>
          <w:color w:val="auto"/>
          <w:highlight w:val="none"/>
          <w:u w:val="single"/>
        </w:rPr>
      </w:pPr>
      <w:r>
        <w:rPr>
          <w:rFonts w:hint="eastAsia" w:ascii="宋体" w:hAnsi="宋体"/>
          <w:bCs/>
          <w:color w:val="auto"/>
          <w:szCs w:val="21"/>
          <w:highlight w:val="none"/>
        </w:rPr>
        <w:t>日期： 年月 日</w:t>
      </w:r>
    </w:p>
    <w:p>
      <w:pPr>
        <w:pStyle w:val="9"/>
        <w:spacing w:line="360" w:lineRule="auto"/>
        <w:ind w:firstLine="0"/>
        <w:rPr>
          <w:rFonts w:ascii="宋体" w:hAnsi="宋体"/>
          <w:bCs/>
          <w:color w:val="auto"/>
          <w:szCs w:val="21"/>
          <w:highlight w:val="none"/>
        </w:rPr>
      </w:pPr>
    </w:p>
    <w:p>
      <w:pPr>
        <w:pStyle w:val="5"/>
        <w:numPr>
          <w:ilvl w:val="1"/>
          <w:numId w:val="0"/>
        </w:numPr>
        <w:spacing w:line="360" w:lineRule="auto"/>
        <w:jc w:val="center"/>
        <w:rPr>
          <w:rFonts w:ascii="宋体" w:hAnsi="宋体" w:eastAsia="宋体"/>
          <w:color w:val="auto"/>
          <w:sz w:val="28"/>
          <w:szCs w:val="28"/>
          <w:highlight w:val="none"/>
        </w:rPr>
      </w:pPr>
      <w:bookmarkStart w:id="198" w:name="_Toc6320"/>
      <w:r>
        <w:rPr>
          <w:rFonts w:hint="eastAsia" w:ascii="宋体" w:hAnsi="宋体" w:eastAsia="宋体"/>
          <w:color w:val="auto"/>
          <w:sz w:val="28"/>
          <w:szCs w:val="28"/>
          <w:highlight w:val="none"/>
        </w:rPr>
        <w:t>附件六：同类业绩一览表</w:t>
      </w:r>
      <w:bookmarkEnd w:id="198"/>
    </w:p>
    <w:p>
      <w:pPr>
        <w:pStyle w:val="5"/>
        <w:widowControl/>
        <w:numPr>
          <w:ilvl w:val="1"/>
          <w:numId w:val="0"/>
        </w:numPr>
        <w:tabs>
          <w:tab w:val="left" w:pos="420"/>
        </w:tabs>
        <w:autoSpaceDE w:val="0"/>
        <w:autoSpaceDN w:val="0"/>
        <w:adjustRightInd w:val="0"/>
        <w:snapToGrid w:val="0"/>
        <w:spacing w:before="200" w:after="200" w:line="360" w:lineRule="auto"/>
        <w:textAlignment w:val="baseline"/>
        <w:rPr>
          <w:rFonts w:ascii="宋体" w:hAnsi="宋体" w:eastAsia="宋体"/>
          <w:color w:val="auto"/>
          <w:highlight w:val="none"/>
        </w:rPr>
      </w:pPr>
    </w:p>
    <w:p>
      <w:pPr>
        <w:adjustRightInd w:val="0"/>
        <w:snapToGrid w:val="0"/>
        <w:spacing w:line="360" w:lineRule="auto"/>
        <w:jc w:val="left"/>
        <w:rPr>
          <w:rFonts w:ascii="宋体" w:hAnsi="宋体"/>
          <w:bCs/>
          <w:caps/>
          <w:color w:val="auto"/>
          <w:szCs w:val="21"/>
          <w:highlight w:val="none"/>
          <w:u w:val="single"/>
        </w:rPr>
      </w:pPr>
      <w:r>
        <w:rPr>
          <w:rFonts w:hint="eastAsia" w:ascii="宋体" w:hAnsi="宋体"/>
          <w:bCs/>
          <w:color w:val="auto"/>
          <w:szCs w:val="21"/>
          <w:highlight w:val="none"/>
        </w:rPr>
        <w:t>项目编号:</w:t>
      </w:r>
    </w:p>
    <w:p>
      <w:pPr>
        <w:adjustRightInd w:val="0"/>
        <w:snapToGrid w:val="0"/>
        <w:spacing w:line="360" w:lineRule="auto"/>
        <w:ind w:left="1050" w:hanging="1050" w:hangingChars="500"/>
        <w:jc w:val="left"/>
        <w:rPr>
          <w:rFonts w:ascii="宋体" w:hAnsi="宋体"/>
          <w:bCs/>
          <w:color w:val="auto"/>
          <w:highlight w:val="none"/>
        </w:rPr>
      </w:pPr>
      <w:r>
        <w:rPr>
          <w:rFonts w:hint="eastAsia" w:ascii="宋体" w:hAnsi="宋体"/>
          <w:bCs/>
          <w:color w:val="auto"/>
          <w:szCs w:val="21"/>
          <w:highlight w:val="none"/>
        </w:rPr>
        <w:t>项目名称：</w:t>
      </w:r>
    </w:p>
    <w:p>
      <w:pPr>
        <w:rPr>
          <w:color w:val="auto"/>
          <w:highlight w:val="none"/>
        </w:rPr>
      </w:pPr>
    </w:p>
    <w:tbl>
      <w:tblPr>
        <w:tblStyle w:val="4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4"/>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Align w:val="center"/>
          </w:tcPr>
          <w:p>
            <w:pPr>
              <w:pStyle w:val="9"/>
              <w:snapToGrid w:val="0"/>
              <w:ind w:firstLine="0"/>
              <w:jc w:val="center"/>
              <w:rPr>
                <w:rFonts w:hAnsi="宋体"/>
                <w:bCs/>
                <w:color w:val="auto"/>
                <w:szCs w:val="24"/>
                <w:highlight w:val="none"/>
              </w:rPr>
            </w:pPr>
            <w:r>
              <w:rPr>
                <w:rFonts w:hint="eastAsia" w:hAnsi="宋体"/>
                <w:bCs/>
                <w:color w:val="auto"/>
                <w:szCs w:val="24"/>
                <w:highlight w:val="none"/>
              </w:rPr>
              <w:t>序号</w:t>
            </w:r>
          </w:p>
        </w:tc>
        <w:tc>
          <w:tcPr>
            <w:tcW w:w="1234" w:type="dxa"/>
            <w:vAlign w:val="center"/>
          </w:tcPr>
          <w:p>
            <w:pPr>
              <w:pStyle w:val="9"/>
              <w:snapToGrid w:val="0"/>
              <w:ind w:firstLine="0"/>
              <w:jc w:val="center"/>
              <w:rPr>
                <w:rFonts w:hAnsi="宋体"/>
                <w:bCs/>
                <w:color w:val="auto"/>
                <w:szCs w:val="24"/>
                <w:highlight w:val="none"/>
              </w:rPr>
            </w:pPr>
            <w:r>
              <w:rPr>
                <w:rFonts w:hint="eastAsia" w:hAnsi="宋体"/>
                <w:bCs/>
                <w:color w:val="auto"/>
                <w:szCs w:val="24"/>
                <w:highlight w:val="none"/>
              </w:rPr>
              <w:t>项目名称</w:t>
            </w:r>
          </w:p>
        </w:tc>
        <w:tc>
          <w:tcPr>
            <w:tcW w:w="1267" w:type="dxa"/>
            <w:vAlign w:val="center"/>
          </w:tcPr>
          <w:p>
            <w:pPr>
              <w:pStyle w:val="9"/>
              <w:snapToGrid w:val="0"/>
              <w:ind w:firstLine="0"/>
              <w:jc w:val="center"/>
              <w:rPr>
                <w:rFonts w:hAnsi="宋体"/>
                <w:bCs/>
                <w:color w:val="auto"/>
                <w:szCs w:val="24"/>
                <w:highlight w:val="none"/>
              </w:rPr>
            </w:pPr>
            <w:r>
              <w:rPr>
                <w:rFonts w:hint="eastAsia" w:hAnsi="宋体"/>
                <w:bCs/>
                <w:color w:val="auto"/>
                <w:szCs w:val="24"/>
                <w:highlight w:val="none"/>
              </w:rPr>
              <w:t>内容</w:t>
            </w:r>
          </w:p>
        </w:tc>
        <w:tc>
          <w:tcPr>
            <w:tcW w:w="1117" w:type="dxa"/>
            <w:vAlign w:val="center"/>
          </w:tcPr>
          <w:p>
            <w:pPr>
              <w:pStyle w:val="9"/>
              <w:snapToGrid w:val="0"/>
              <w:ind w:firstLine="0"/>
              <w:jc w:val="center"/>
              <w:rPr>
                <w:rFonts w:hAnsi="宋体"/>
                <w:bCs/>
                <w:color w:val="auto"/>
                <w:szCs w:val="24"/>
                <w:highlight w:val="none"/>
              </w:rPr>
            </w:pPr>
            <w:r>
              <w:rPr>
                <w:rFonts w:hint="eastAsia" w:hAnsi="宋体"/>
                <w:bCs/>
                <w:color w:val="auto"/>
                <w:szCs w:val="24"/>
                <w:highlight w:val="none"/>
              </w:rPr>
              <w:t>数量</w:t>
            </w:r>
          </w:p>
        </w:tc>
        <w:tc>
          <w:tcPr>
            <w:tcW w:w="1400" w:type="dxa"/>
            <w:vAlign w:val="center"/>
          </w:tcPr>
          <w:p>
            <w:pPr>
              <w:pStyle w:val="9"/>
              <w:snapToGrid w:val="0"/>
              <w:ind w:firstLine="0"/>
              <w:jc w:val="center"/>
              <w:rPr>
                <w:rFonts w:hAnsi="宋体"/>
                <w:bCs/>
                <w:color w:val="auto"/>
                <w:szCs w:val="24"/>
                <w:highlight w:val="none"/>
              </w:rPr>
            </w:pPr>
            <w:r>
              <w:rPr>
                <w:rFonts w:hint="eastAsia" w:hAnsi="宋体"/>
                <w:bCs/>
                <w:color w:val="auto"/>
                <w:szCs w:val="24"/>
                <w:highlight w:val="none"/>
              </w:rPr>
              <w:t>成交额（元）</w:t>
            </w:r>
          </w:p>
        </w:tc>
        <w:tc>
          <w:tcPr>
            <w:tcW w:w="1233" w:type="dxa"/>
            <w:vAlign w:val="center"/>
          </w:tcPr>
          <w:p>
            <w:pPr>
              <w:pStyle w:val="9"/>
              <w:snapToGrid w:val="0"/>
              <w:ind w:firstLine="0"/>
              <w:jc w:val="center"/>
              <w:rPr>
                <w:rFonts w:hAnsi="宋体"/>
                <w:bCs/>
                <w:color w:val="auto"/>
                <w:szCs w:val="24"/>
                <w:highlight w:val="none"/>
              </w:rPr>
            </w:pPr>
            <w:r>
              <w:rPr>
                <w:rFonts w:hint="eastAsia" w:hAnsi="宋体"/>
                <w:bCs/>
                <w:color w:val="auto"/>
                <w:szCs w:val="24"/>
                <w:highlight w:val="none"/>
              </w:rPr>
              <w:t>完成日期</w:t>
            </w:r>
          </w:p>
        </w:tc>
        <w:tc>
          <w:tcPr>
            <w:tcW w:w="1183" w:type="dxa"/>
            <w:vAlign w:val="center"/>
          </w:tcPr>
          <w:p>
            <w:pPr>
              <w:pStyle w:val="9"/>
              <w:snapToGrid w:val="0"/>
              <w:ind w:firstLine="0"/>
              <w:jc w:val="center"/>
              <w:rPr>
                <w:rFonts w:hAnsi="宋体"/>
                <w:bCs/>
                <w:color w:val="auto"/>
                <w:szCs w:val="24"/>
                <w:highlight w:val="none"/>
              </w:rPr>
            </w:pPr>
            <w:r>
              <w:rPr>
                <w:rFonts w:hint="eastAsia" w:hAnsi="宋体"/>
                <w:bCs/>
                <w:color w:val="auto"/>
                <w:szCs w:val="24"/>
                <w:highlight w:val="none"/>
              </w:rPr>
              <w:t>用户单位</w:t>
            </w:r>
          </w:p>
        </w:tc>
        <w:tc>
          <w:tcPr>
            <w:tcW w:w="1220" w:type="dxa"/>
            <w:vAlign w:val="center"/>
          </w:tcPr>
          <w:p>
            <w:pPr>
              <w:pStyle w:val="9"/>
              <w:snapToGrid w:val="0"/>
              <w:ind w:firstLine="0"/>
              <w:jc w:val="center"/>
              <w:rPr>
                <w:rFonts w:hAnsi="宋体"/>
                <w:bCs/>
                <w:color w:val="auto"/>
                <w:szCs w:val="24"/>
                <w:highlight w:val="none"/>
              </w:rPr>
            </w:pPr>
            <w:r>
              <w:rPr>
                <w:rFonts w:hint="eastAsia" w:hAnsi="宋体"/>
                <w:bCs/>
                <w:color w:val="auto"/>
                <w:szCs w:val="24"/>
                <w:highlight w:val="none"/>
              </w:rPr>
              <w:t>联系电话</w:t>
            </w:r>
          </w:p>
        </w:tc>
        <w:tc>
          <w:tcPr>
            <w:tcW w:w="817" w:type="dxa"/>
            <w:vAlign w:val="center"/>
          </w:tcPr>
          <w:p>
            <w:pPr>
              <w:pStyle w:val="9"/>
              <w:snapToGrid w:val="0"/>
              <w:ind w:firstLine="0"/>
              <w:jc w:val="center"/>
              <w:rPr>
                <w:rFonts w:hAnsi="宋体"/>
                <w:bCs/>
                <w:color w:val="auto"/>
                <w:szCs w:val="24"/>
                <w:highlight w:val="none"/>
              </w:rPr>
            </w:pPr>
            <w:r>
              <w:rPr>
                <w:rFonts w:hint="eastAsia" w:hAnsi="宋体"/>
                <w:bCs/>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ind w:firstLine="0"/>
              <w:jc w:val="center"/>
              <w:rPr>
                <w:rFonts w:hAnsi="宋体"/>
                <w:bCs/>
                <w:color w:val="auto"/>
                <w:szCs w:val="24"/>
                <w:highlight w:val="none"/>
              </w:rPr>
            </w:pPr>
          </w:p>
        </w:tc>
        <w:tc>
          <w:tcPr>
            <w:tcW w:w="1234" w:type="dxa"/>
            <w:vAlign w:val="center"/>
          </w:tcPr>
          <w:p>
            <w:pPr>
              <w:pStyle w:val="9"/>
              <w:snapToGrid w:val="0"/>
              <w:ind w:firstLine="0"/>
              <w:jc w:val="center"/>
              <w:rPr>
                <w:rFonts w:hAnsi="宋体"/>
                <w:bCs/>
                <w:color w:val="auto"/>
                <w:szCs w:val="24"/>
                <w:highlight w:val="none"/>
              </w:rPr>
            </w:pPr>
          </w:p>
        </w:tc>
        <w:tc>
          <w:tcPr>
            <w:tcW w:w="1267" w:type="dxa"/>
            <w:vAlign w:val="center"/>
          </w:tcPr>
          <w:p>
            <w:pPr>
              <w:pStyle w:val="9"/>
              <w:snapToGrid w:val="0"/>
              <w:jc w:val="center"/>
              <w:rPr>
                <w:rFonts w:hAnsi="宋体"/>
                <w:bCs/>
                <w:color w:val="auto"/>
                <w:szCs w:val="24"/>
                <w:highlight w:val="none"/>
              </w:rPr>
            </w:pPr>
          </w:p>
        </w:tc>
        <w:tc>
          <w:tcPr>
            <w:tcW w:w="1117" w:type="dxa"/>
            <w:vAlign w:val="center"/>
          </w:tcPr>
          <w:p>
            <w:pPr>
              <w:pStyle w:val="9"/>
              <w:snapToGrid w:val="0"/>
              <w:ind w:firstLine="0"/>
              <w:jc w:val="center"/>
              <w:rPr>
                <w:rFonts w:hAnsi="宋体"/>
                <w:bCs/>
                <w:color w:val="auto"/>
                <w:szCs w:val="24"/>
                <w:highlight w:val="none"/>
              </w:rPr>
            </w:pPr>
          </w:p>
        </w:tc>
        <w:tc>
          <w:tcPr>
            <w:tcW w:w="1400" w:type="dxa"/>
            <w:vAlign w:val="center"/>
          </w:tcPr>
          <w:p>
            <w:pPr>
              <w:pStyle w:val="9"/>
              <w:snapToGrid w:val="0"/>
              <w:jc w:val="center"/>
              <w:rPr>
                <w:rFonts w:hAnsi="宋体"/>
                <w:bCs/>
                <w:color w:val="auto"/>
                <w:szCs w:val="24"/>
                <w:highlight w:val="none"/>
              </w:rPr>
            </w:pPr>
          </w:p>
        </w:tc>
        <w:tc>
          <w:tcPr>
            <w:tcW w:w="1233" w:type="dxa"/>
            <w:vAlign w:val="center"/>
          </w:tcPr>
          <w:p>
            <w:pPr>
              <w:pStyle w:val="9"/>
              <w:snapToGrid w:val="0"/>
              <w:jc w:val="center"/>
              <w:rPr>
                <w:rFonts w:hAnsi="宋体"/>
                <w:bCs/>
                <w:color w:val="auto"/>
                <w:szCs w:val="24"/>
                <w:highlight w:val="none"/>
              </w:rPr>
            </w:pPr>
          </w:p>
        </w:tc>
        <w:tc>
          <w:tcPr>
            <w:tcW w:w="1183" w:type="dxa"/>
            <w:vAlign w:val="center"/>
          </w:tcPr>
          <w:p>
            <w:pPr>
              <w:pStyle w:val="9"/>
              <w:snapToGrid w:val="0"/>
              <w:jc w:val="center"/>
              <w:rPr>
                <w:rFonts w:hAnsi="宋体"/>
                <w:bCs/>
                <w:color w:val="auto"/>
                <w:szCs w:val="24"/>
                <w:highlight w:val="none"/>
              </w:rPr>
            </w:pPr>
          </w:p>
        </w:tc>
        <w:tc>
          <w:tcPr>
            <w:tcW w:w="1220" w:type="dxa"/>
            <w:vAlign w:val="center"/>
          </w:tcPr>
          <w:p>
            <w:pPr>
              <w:pStyle w:val="9"/>
              <w:snapToGrid w:val="0"/>
              <w:jc w:val="center"/>
              <w:rPr>
                <w:rFonts w:hAnsi="宋体"/>
                <w:bCs/>
                <w:color w:val="auto"/>
                <w:szCs w:val="24"/>
                <w:highlight w:val="none"/>
              </w:rPr>
            </w:pPr>
          </w:p>
        </w:tc>
        <w:tc>
          <w:tcPr>
            <w:tcW w:w="817" w:type="dxa"/>
            <w:vAlign w:val="center"/>
          </w:tcPr>
          <w:p>
            <w:pPr>
              <w:pStyle w:val="9"/>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auto"/>
                <w:szCs w:val="24"/>
                <w:highlight w:val="none"/>
              </w:rPr>
            </w:pPr>
          </w:p>
        </w:tc>
        <w:tc>
          <w:tcPr>
            <w:tcW w:w="1234" w:type="dxa"/>
            <w:vAlign w:val="center"/>
          </w:tcPr>
          <w:p>
            <w:pPr>
              <w:pStyle w:val="9"/>
              <w:snapToGrid w:val="0"/>
              <w:jc w:val="center"/>
              <w:rPr>
                <w:rFonts w:hAnsi="宋体"/>
                <w:bCs/>
                <w:color w:val="auto"/>
                <w:szCs w:val="24"/>
                <w:highlight w:val="none"/>
              </w:rPr>
            </w:pPr>
          </w:p>
        </w:tc>
        <w:tc>
          <w:tcPr>
            <w:tcW w:w="1267" w:type="dxa"/>
            <w:vAlign w:val="center"/>
          </w:tcPr>
          <w:p>
            <w:pPr>
              <w:pStyle w:val="9"/>
              <w:snapToGrid w:val="0"/>
              <w:jc w:val="center"/>
              <w:rPr>
                <w:rFonts w:hAnsi="宋体"/>
                <w:bCs/>
                <w:color w:val="auto"/>
                <w:szCs w:val="24"/>
                <w:highlight w:val="none"/>
              </w:rPr>
            </w:pPr>
          </w:p>
        </w:tc>
        <w:tc>
          <w:tcPr>
            <w:tcW w:w="1117" w:type="dxa"/>
            <w:vAlign w:val="center"/>
          </w:tcPr>
          <w:p>
            <w:pPr>
              <w:pStyle w:val="9"/>
              <w:snapToGrid w:val="0"/>
              <w:jc w:val="center"/>
              <w:rPr>
                <w:rFonts w:hAnsi="宋体"/>
                <w:bCs/>
                <w:color w:val="auto"/>
                <w:szCs w:val="24"/>
                <w:highlight w:val="none"/>
              </w:rPr>
            </w:pPr>
          </w:p>
        </w:tc>
        <w:tc>
          <w:tcPr>
            <w:tcW w:w="1400" w:type="dxa"/>
            <w:vAlign w:val="center"/>
          </w:tcPr>
          <w:p>
            <w:pPr>
              <w:pStyle w:val="9"/>
              <w:snapToGrid w:val="0"/>
              <w:jc w:val="center"/>
              <w:rPr>
                <w:rFonts w:hAnsi="宋体"/>
                <w:bCs/>
                <w:color w:val="auto"/>
                <w:szCs w:val="24"/>
                <w:highlight w:val="none"/>
              </w:rPr>
            </w:pPr>
          </w:p>
        </w:tc>
        <w:tc>
          <w:tcPr>
            <w:tcW w:w="1233" w:type="dxa"/>
            <w:vAlign w:val="center"/>
          </w:tcPr>
          <w:p>
            <w:pPr>
              <w:pStyle w:val="9"/>
              <w:snapToGrid w:val="0"/>
              <w:jc w:val="center"/>
              <w:rPr>
                <w:rFonts w:hAnsi="宋体"/>
                <w:bCs/>
                <w:color w:val="auto"/>
                <w:szCs w:val="24"/>
                <w:highlight w:val="none"/>
              </w:rPr>
            </w:pPr>
          </w:p>
        </w:tc>
        <w:tc>
          <w:tcPr>
            <w:tcW w:w="1183" w:type="dxa"/>
            <w:vAlign w:val="center"/>
          </w:tcPr>
          <w:p>
            <w:pPr>
              <w:pStyle w:val="9"/>
              <w:snapToGrid w:val="0"/>
              <w:jc w:val="center"/>
              <w:rPr>
                <w:rFonts w:hAnsi="宋体"/>
                <w:bCs/>
                <w:color w:val="auto"/>
                <w:szCs w:val="24"/>
                <w:highlight w:val="none"/>
              </w:rPr>
            </w:pPr>
          </w:p>
        </w:tc>
        <w:tc>
          <w:tcPr>
            <w:tcW w:w="1220" w:type="dxa"/>
            <w:vAlign w:val="center"/>
          </w:tcPr>
          <w:p>
            <w:pPr>
              <w:pStyle w:val="9"/>
              <w:snapToGrid w:val="0"/>
              <w:jc w:val="center"/>
              <w:rPr>
                <w:rFonts w:hAnsi="宋体"/>
                <w:bCs/>
                <w:color w:val="auto"/>
                <w:szCs w:val="24"/>
                <w:highlight w:val="none"/>
              </w:rPr>
            </w:pPr>
          </w:p>
        </w:tc>
        <w:tc>
          <w:tcPr>
            <w:tcW w:w="817" w:type="dxa"/>
            <w:vAlign w:val="center"/>
          </w:tcPr>
          <w:p>
            <w:pPr>
              <w:pStyle w:val="9"/>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auto"/>
                <w:szCs w:val="24"/>
                <w:highlight w:val="none"/>
              </w:rPr>
            </w:pPr>
          </w:p>
        </w:tc>
        <w:tc>
          <w:tcPr>
            <w:tcW w:w="1234" w:type="dxa"/>
            <w:vAlign w:val="center"/>
          </w:tcPr>
          <w:p>
            <w:pPr>
              <w:pStyle w:val="9"/>
              <w:snapToGrid w:val="0"/>
              <w:jc w:val="center"/>
              <w:rPr>
                <w:rFonts w:hAnsi="宋体"/>
                <w:bCs/>
                <w:color w:val="auto"/>
                <w:szCs w:val="24"/>
                <w:highlight w:val="none"/>
              </w:rPr>
            </w:pPr>
          </w:p>
        </w:tc>
        <w:tc>
          <w:tcPr>
            <w:tcW w:w="1267" w:type="dxa"/>
            <w:vAlign w:val="center"/>
          </w:tcPr>
          <w:p>
            <w:pPr>
              <w:pStyle w:val="9"/>
              <w:snapToGrid w:val="0"/>
              <w:jc w:val="center"/>
              <w:rPr>
                <w:rFonts w:hAnsi="宋体"/>
                <w:bCs/>
                <w:color w:val="auto"/>
                <w:szCs w:val="24"/>
                <w:highlight w:val="none"/>
              </w:rPr>
            </w:pPr>
          </w:p>
        </w:tc>
        <w:tc>
          <w:tcPr>
            <w:tcW w:w="1117" w:type="dxa"/>
            <w:vAlign w:val="center"/>
          </w:tcPr>
          <w:p>
            <w:pPr>
              <w:pStyle w:val="9"/>
              <w:snapToGrid w:val="0"/>
              <w:jc w:val="center"/>
              <w:rPr>
                <w:rFonts w:hAnsi="宋体"/>
                <w:bCs/>
                <w:color w:val="auto"/>
                <w:szCs w:val="24"/>
                <w:highlight w:val="none"/>
              </w:rPr>
            </w:pPr>
          </w:p>
        </w:tc>
        <w:tc>
          <w:tcPr>
            <w:tcW w:w="1400" w:type="dxa"/>
            <w:vAlign w:val="center"/>
          </w:tcPr>
          <w:p>
            <w:pPr>
              <w:pStyle w:val="9"/>
              <w:snapToGrid w:val="0"/>
              <w:jc w:val="center"/>
              <w:rPr>
                <w:rFonts w:hAnsi="宋体"/>
                <w:bCs/>
                <w:color w:val="auto"/>
                <w:szCs w:val="24"/>
                <w:highlight w:val="none"/>
              </w:rPr>
            </w:pPr>
          </w:p>
        </w:tc>
        <w:tc>
          <w:tcPr>
            <w:tcW w:w="1233" w:type="dxa"/>
            <w:vAlign w:val="center"/>
          </w:tcPr>
          <w:p>
            <w:pPr>
              <w:pStyle w:val="9"/>
              <w:snapToGrid w:val="0"/>
              <w:jc w:val="center"/>
              <w:rPr>
                <w:rFonts w:hAnsi="宋体"/>
                <w:bCs/>
                <w:color w:val="auto"/>
                <w:szCs w:val="24"/>
                <w:highlight w:val="none"/>
              </w:rPr>
            </w:pPr>
          </w:p>
        </w:tc>
        <w:tc>
          <w:tcPr>
            <w:tcW w:w="1183" w:type="dxa"/>
            <w:vAlign w:val="center"/>
          </w:tcPr>
          <w:p>
            <w:pPr>
              <w:pStyle w:val="9"/>
              <w:snapToGrid w:val="0"/>
              <w:jc w:val="center"/>
              <w:rPr>
                <w:rFonts w:hAnsi="宋体"/>
                <w:bCs/>
                <w:color w:val="auto"/>
                <w:szCs w:val="24"/>
                <w:highlight w:val="none"/>
              </w:rPr>
            </w:pPr>
          </w:p>
        </w:tc>
        <w:tc>
          <w:tcPr>
            <w:tcW w:w="1220" w:type="dxa"/>
            <w:vAlign w:val="center"/>
          </w:tcPr>
          <w:p>
            <w:pPr>
              <w:pStyle w:val="9"/>
              <w:snapToGrid w:val="0"/>
              <w:jc w:val="center"/>
              <w:rPr>
                <w:rFonts w:hAnsi="宋体"/>
                <w:bCs/>
                <w:color w:val="auto"/>
                <w:szCs w:val="24"/>
                <w:highlight w:val="none"/>
              </w:rPr>
            </w:pPr>
          </w:p>
        </w:tc>
        <w:tc>
          <w:tcPr>
            <w:tcW w:w="817" w:type="dxa"/>
            <w:vAlign w:val="center"/>
          </w:tcPr>
          <w:p>
            <w:pPr>
              <w:pStyle w:val="9"/>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auto"/>
                <w:szCs w:val="24"/>
                <w:highlight w:val="none"/>
              </w:rPr>
            </w:pPr>
          </w:p>
        </w:tc>
        <w:tc>
          <w:tcPr>
            <w:tcW w:w="1234" w:type="dxa"/>
            <w:vAlign w:val="center"/>
          </w:tcPr>
          <w:p>
            <w:pPr>
              <w:pStyle w:val="9"/>
              <w:snapToGrid w:val="0"/>
              <w:jc w:val="center"/>
              <w:rPr>
                <w:rFonts w:hAnsi="宋体"/>
                <w:bCs/>
                <w:color w:val="auto"/>
                <w:szCs w:val="24"/>
                <w:highlight w:val="none"/>
              </w:rPr>
            </w:pPr>
          </w:p>
        </w:tc>
        <w:tc>
          <w:tcPr>
            <w:tcW w:w="1267" w:type="dxa"/>
            <w:vAlign w:val="center"/>
          </w:tcPr>
          <w:p>
            <w:pPr>
              <w:pStyle w:val="9"/>
              <w:snapToGrid w:val="0"/>
              <w:jc w:val="center"/>
              <w:rPr>
                <w:rFonts w:hAnsi="宋体"/>
                <w:bCs/>
                <w:color w:val="auto"/>
                <w:szCs w:val="24"/>
                <w:highlight w:val="none"/>
              </w:rPr>
            </w:pPr>
          </w:p>
        </w:tc>
        <w:tc>
          <w:tcPr>
            <w:tcW w:w="1117" w:type="dxa"/>
            <w:vAlign w:val="center"/>
          </w:tcPr>
          <w:p>
            <w:pPr>
              <w:pStyle w:val="9"/>
              <w:snapToGrid w:val="0"/>
              <w:jc w:val="center"/>
              <w:rPr>
                <w:rFonts w:hAnsi="宋体"/>
                <w:bCs/>
                <w:color w:val="auto"/>
                <w:szCs w:val="24"/>
                <w:highlight w:val="none"/>
              </w:rPr>
            </w:pPr>
          </w:p>
        </w:tc>
        <w:tc>
          <w:tcPr>
            <w:tcW w:w="1400" w:type="dxa"/>
            <w:vAlign w:val="center"/>
          </w:tcPr>
          <w:p>
            <w:pPr>
              <w:pStyle w:val="9"/>
              <w:snapToGrid w:val="0"/>
              <w:jc w:val="center"/>
              <w:rPr>
                <w:rFonts w:hAnsi="宋体"/>
                <w:bCs/>
                <w:color w:val="auto"/>
                <w:szCs w:val="24"/>
                <w:highlight w:val="none"/>
              </w:rPr>
            </w:pPr>
          </w:p>
        </w:tc>
        <w:tc>
          <w:tcPr>
            <w:tcW w:w="1233" w:type="dxa"/>
            <w:vAlign w:val="center"/>
          </w:tcPr>
          <w:p>
            <w:pPr>
              <w:pStyle w:val="9"/>
              <w:snapToGrid w:val="0"/>
              <w:jc w:val="center"/>
              <w:rPr>
                <w:rFonts w:hAnsi="宋体"/>
                <w:bCs/>
                <w:color w:val="auto"/>
                <w:szCs w:val="24"/>
                <w:highlight w:val="none"/>
              </w:rPr>
            </w:pPr>
          </w:p>
        </w:tc>
        <w:tc>
          <w:tcPr>
            <w:tcW w:w="1183" w:type="dxa"/>
            <w:vAlign w:val="center"/>
          </w:tcPr>
          <w:p>
            <w:pPr>
              <w:pStyle w:val="9"/>
              <w:snapToGrid w:val="0"/>
              <w:jc w:val="center"/>
              <w:rPr>
                <w:rFonts w:hAnsi="宋体"/>
                <w:bCs/>
                <w:color w:val="auto"/>
                <w:szCs w:val="24"/>
                <w:highlight w:val="none"/>
              </w:rPr>
            </w:pPr>
          </w:p>
        </w:tc>
        <w:tc>
          <w:tcPr>
            <w:tcW w:w="1220" w:type="dxa"/>
            <w:vAlign w:val="center"/>
          </w:tcPr>
          <w:p>
            <w:pPr>
              <w:pStyle w:val="9"/>
              <w:snapToGrid w:val="0"/>
              <w:jc w:val="center"/>
              <w:rPr>
                <w:rFonts w:hAnsi="宋体"/>
                <w:bCs/>
                <w:color w:val="auto"/>
                <w:szCs w:val="24"/>
                <w:highlight w:val="none"/>
              </w:rPr>
            </w:pPr>
          </w:p>
        </w:tc>
        <w:tc>
          <w:tcPr>
            <w:tcW w:w="817" w:type="dxa"/>
            <w:vAlign w:val="center"/>
          </w:tcPr>
          <w:p>
            <w:pPr>
              <w:pStyle w:val="9"/>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auto"/>
                <w:szCs w:val="24"/>
                <w:highlight w:val="none"/>
              </w:rPr>
            </w:pPr>
          </w:p>
        </w:tc>
        <w:tc>
          <w:tcPr>
            <w:tcW w:w="1234" w:type="dxa"/>
            <w:vAlign w:val="center"/>
          </w:tcPr>
          <w:p>
            <w:pPr>
              <w:pStyle w:val="9"/>
              <w:snapToGrid w:val="0"/>
              <w:jc w:val="center"/>
              <w:rPr>
                <w:rFonts w:hAnsi="宋体"/>
                <w:bCs/>
                <w:color w:val="auto"/>
                <w:szCs w:val="24"/>
                <w:highlight w:val="none"/>
              </w:rPr>
            </w:pPr>
          </w:p>
        </w:tc>
        <w:tc>
          <w:tcPr>
            <w:tcW w:w="1267" w:type="dxa"/>
            <w:vAlign w:val="center"/>
          </w:tcPr>
          <w:p>
            <w:pPr>
              <w:pStyle w:val="9"/>
              <w:snapToGrid w:val="0"/>
              <w:jc w:val="center"/>
              <w:rPr>
                <w:rFonts w:hAnsi="宋体"/>
                <w:bCs/>
                <w:color w:val="auto"/>
                <w:szCs w:val="24"/>
                <w:highlight w:val="none"/>
              </w:rPr>
            </w:pPr>
          </w:p>
        </w:tc>
        <w:tc>
          <w:tcPr>
            <w:tcW w:w="1117" w:type="dxa"/>
            <w:vAlign w:val="center"/>
          </w:tcPr>
          <w:p>
            <w:pPr>
              <w:pStyle w:val="9"/>
              <w:snapToGrid w:val="0"/>
              <w:jc w:val="center"/>
              <w:rPr>
                <w:rFonts w:hAnsi="宋体"/>
                <w:bCs/>
                <w:color w:val="auto"/>
                <w:szCs w:val="24"/>
                <w:highlight w:val="none"/>
              </w:rPr>
            </w:pPr>
          </w:p>
        </w:tc>
        <w:tc>
          <w:tcPr>
            <w:tcW w:w="1400" w:type="dxa"/>
            <w:vAlign w:val="center"/>
          </w:tcPr>
          <w:p>
            <w:pPr>
              <w:pStyle w:val="9"/>
              <w:snapToGrid w:val="0"/>
              <w:jc w:val="center"/>
              <w:rPr>
                <w:rFonts w:hAnsi="宋体"/>
                <w:bCs/>
                <w:color w:val="auto"/>
                <w:szCs w:val="24"/>
                <w:highlight w:val="none"/>
              </w:rPr>
            </w:pPr>
          </w:p>
        </w:tc>
        <w:tc>
          <w:tcPr>
            <w:tcW w:w="1233" w:type="dxa"/>
            <w:vAlign w:val="center"/>
          </w:tcPr>
          <w:p>
            <w:pPr>
              <w:pStyle w:val="9"/>
              <w:snapToGrid w:val="0"/>
              <w:jc w:val="center"/>
              <w:rPr>
                <w:rFonts w:hAnsi="宋体"/>
                <w:bCs/>
                <w:color w:val="auto"/>
                <w:szCs w:val="24"/>
                <w:highlight w:val="none"/>
              </w:rPr>
            </w:pPr>
          </w:p>
        </w:tc>
        <w:tc>
          <w:tcPr>
            <w:tcW w:w="1183" w:type="dxa"/>
            <w:vAlign w:val="center"/>
          </w:tcPr>
          <w:p>
            <w:pPr>
              <w:pStyle w:val="9"/>
              <w:snapToGrid w:val="0"/>
              <w:jc w:val="center"/>
              <w:rPr>
                <w:rFonts w:hAnsi="宋体"/>
                <w:bCs/>
                <w:color w:val="auto"/>
                <w:szCs w:val="24"/>
                <w:highlight w:val="none"/>
              </w:rPr>
            </w:pPr>
          </w:p>
        </w:tc>
        <w:tc>
          <w:tcPr>
            <w:tcW w:w="1220" w:type="dxa"/>
            <w:vAlign w:val="center"/>
          </w:tcPr>
          <w:p>
            <w:pPr>
              <w:pStyle w:val="9"/>
              <w:snapToGrid w:val="0"/>
              <w:jc w:val="center"/>
              <w:rPr>
                <w:rFonts w:hAnsi="宋体"/>
                <w:bCs/>
                <w:color w:val="auto"/>
                <w:szCs w:val="24"/>
                <w:highlight w:val="none"/>
              </w:rPr>
            </w:pPr>
          </w:p>
        </w:tc>
        <w:tc>
          <w:tcPr>
            <w:tcW w:w="817" w:type="dxa"/>
            <w:vAlign w:val="center"/>
          </w:tcPr>
          <w:p>
            <w:pPr>
              <w:pStyle w:val="9"/>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auto"/>
                <w:szCs w:val="24"/>
                <w:highlight w:val="none"/>
              </w:rPr>
            </w:pPr>
          </w:p>
        </w:tc>
        <w:tc>
          <w:tcPr>
            <w:tcW w:w="1234" w:type="dxa"/>
            <w:vAlign w:val="center"/>
          </w:tcPr>
          <w:p>
            <w:pPr>
              <w:pStyle w:val="9"/>
              <w:snapToGrid w:val="0"/>
              <w:jc w:val="center"/>
              <w:rPr>
                <w:rFonts w:hAnsi="宋体"/>
                <w:bCs/>
                <w:color w:val="auto"/>
                <w:szCs w:val="24"/>
                <w:highlight w:val="none"/>
              </w:rPr>
            </w:pPr>
          </w:p>
        </w:tc>
        <w:tc>
          <w:tcPr>
            <w:tcW w:w="1267" w:type="dxa"/>
            <w:vAlign w:val="center"/>
          </w:tcPr>
          <w:p>
            <w:pPr>
              <w:pStyle w:val="9"/>
              <w:snapToGrid w:val="0"/>
              <w:jc w:val="center"/>
              <w:rPr>
                <w:rFonts w:hAnsi="宋体"/>
                <w:bCs/>
                <w:color w:val="auto"/>
                <w:szCs w:val="24"/>
                <w:highlight w:val="none"/>
              </w:rPr>
            </w:pPr>
          </w:p>
        </w:tc>
        <w:tc>
          <w:tcPr>
            <w:tcW w:w="1117" w:type="dxa"/>
            <w:vAlign w:val="center"/>
          </w:tcPr>
          <w:p>
            <w:pPr>
              <w:pStyle w:val="9"/>
              <w:snapToGrid w:val="0"/>
              <w:jc w:val="center"/>
              <w:rPr>
                <w:rFonts w:hAnsi="宋体"/>
                <w:bCs/>
                <w:color w:val="auto"/>
                <w:szCs w:val="24"/>
                <w:highlight w:val="none"/>
              </w:rPr>
            </w:pPr>
          </w:p>
        </w:tc>
        <w:tc>
          <w:tcPr>
            <w:tcW w:w="1400" w:type="dxa"/>
            <w:vAlign w:val="center"/>
          </w:tcPr>
          <w:p>
            <w:pPr>
              <w:pStyle w:val="9"/>
              <w:snapToGrid w:val="0"/>
              <w:jc w:val="center"/>
              <w:rPr>
                <w:rFonts w:hAnsi="宋体"/>
                <w:bCs/>
                <w:color w:val="auto"/>
                <w:szCs w:val="24"/>
                <w:highlight w:val="none"/>
              </w:rPr>
            </w:pPr>
          </w:p>
        </w:tc>
        <w:tc>
          <w:tcPr>
            <w:tcW w:w="1233" w:type="dxa"/>
            <w:vAlign w:val="center"/>
          </w:tcPr>
          <w:p>
            <w:pPr>
              <w:pStyle w:val="9"/>
              <w:snapToGrid w:val="0"/>
              <w:jc w:val="center"/>
              <w:rPr>
                <w:rFonts w:hAnsi="宋体"/>
                <w:bCs/>
                <w:color w:val="auto"/>
                <w:szCs w:val="24"/>
                <w:highlight w:val="none"/>
              </w:rPr>
            </w:pPr>
          </w:p>
        </w:tc>
        <w:tc>
          <w:tcPr>
            <w:tcW w:w="1183" w:type="dxa"/>
            <w:vAlign w:val="center"/>
          </w:tcPr>
          <w:p>
            <w:pPr>
              <w:pStyle w:val="9"/>
              <w:snapToGrid w:val="0"/>
              <w:jc w:val="center"/>
              <w:rPr>
                <w:rFonts w:hAnsi="宋体"/>
                <w:bCs/>
                <w:color w:val="auto"/>
                <w:szCs w:val="24"/>
                <w:highlight w:val="none"/>
              </w:rPr>
            </w:pPr>
          </w:p>
        </w:tc>
        <w:tc>
          <w:tcPr>
            <w:tcW w:w="1220" w:type="dxa"/>
            <w:vAlign w:val="center"/>
          </w:tcPr>
          <w:p>
            <w:pPr>
              <w:pStyle w:val="9"/>
              <w:snapToGrid w:val="0"/>
              <w:jc w:val="center"/>
              <w:rPr>
                <w:rFonts w:hAnsi="宋体"/>
                <w:bCs/>
                <w:color w:val="auto"/>
                <w:szCs w:val="24"/>
                <w:highlight w:val="none"/>
              </w:rPr>
            </w:pPr>
          </w:p>
        </w:tc>
        <w:tc>
          <w:tcPr>
            <w:tcW w:w="817" w:type="dxa"/>
            <w:vAlign w:val="center"/>
          </w:tcPr>
          <w:p>
            <w:pPr>
              <w:pStyle w:val="9"/>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auto"/>
                <w:szCs w:val="24"/>
                <w:highlight w:val="none"/>
              </w:rPr>
            </w:pPr>
          </w:p>
        </w:tc>
        <w:tc>
          <w:tcPr>
            <w:tcW w:w="1234" w:type="dxa"/>
            <w:vAlign w:val="center"/>
          </w:tcPr>
          <w:p>
            <w:pPr>
              <w:pStyle w:val="9"/>
              <w:snapToGrid w:val="0"/>
              <w:jc w:val="center"/>
              <w:rPr>
                <w:rFonts w:hAnsi="宋体"/>
                <w:bCs/>
                <w:color w:val="auto"/>
                <w:szCs w:val="24"/>
                <w:highlight w:val="none"/>
              </w:rPr>
            </w:pPr>
          </w:p>
        </w:tc>
        <w:tc>
          <w:tcPr>
            <w:tcW w:w="1267" w:type="dxa"/>
            <w:vAlign w:val="center"/>
          </w:tcPr>
          <w:p>
            <w:pPr>
              <w:pStyle w:val="9"/>
              <w:snapToGrid w:val="0"/>
              <w:jc w:val="center"/>
              <w:rPr>
                <w:rFonts w:hAnsi="宋体"/>
                <w:bCs/>
                <w:color w:val="auto"/>
                <w:szCs w:val="24"/>
                <w:highlight w:val="none"/>
              </w:rPr>
            </w:pPr>
          </w:p>
        </w:tc>
        <w:tc>
          <w:tcPr>
            <w:tcW w:w="1117" w:type="dxa"/>
            <w:vAlign w:val="center"/>
          </w:tcPr>
          <w:p>
            <w:pPr>
              <w:pStyle w:val="9"/>
              <w:snapToGrid w:val="0"/>
              <w:jc w:val="center"/>
              <w:rPr>
                <w:rFonts w:hAnsi="宋体"/>
                <w:bCs/>
                <w:color w:val="auto"/>
                <w:szCs w:val="24"/>
                <w:highlight w:val="none"/>
              </w:rPr>
            </w:pPr>
          </w:p>
        </w:tc>
        <w:tc>
          <w:tcPr>
            <w:tcW w:w="1400" w:type="dxa"/>
            <w:vAlign w:val="center"/>
          </w:tcPr>
          <w:p>
            <w:pPr>
              <w:pStyle w:val="9"/>
              <w:snapToGrid w:val="0"/>
              <w:jc w:val="center"/>
              <w:rPr>
                <w:rFonts w:hAnsi="宋体"/>
                <w:bCs/>
                <w:color w:val="auto"/>
                <w:szCs w:val="24"/>
                <w:highlight w:val="none"/>
              </w:rPr>
            </w:pPr>
          </w:p>
        </w:tc>
        <w:tc>
          <w:tcPr>
            <w:tcW w:w="1233" w:type="dxa"/>
            <w:vAlign w:val="center"/>
          </w:tcPr>
          <w:p>
            <w:pPr>
              <w:pStyle w:val="9"/>
              <w:snapToGrid w:val="0"/>
              <w:jc w:val="center"/>
              <w:rPr>
                <w:rFonts w:hAnsi="宋体"/>
                <w:bCs/>
                <w:color w:val="auto"/>
                <w:szCs w:val="24"/>
                <w:highlight w:val="none"/>
              </w:rPr>
            </w:pPr>
          </w:p>
        </w:tc>
        <w:tc>
          <w:tcPr>
            <w:tcW w:w="1183" w:type="dxa"/>
            <w:vAlign w:val="center"/>
          </w:tcPr>
          <w:p>
            <w:pPr>
              <w:pStyle w:val="9"/>
              <w:snapToGrid w:val="0"/>
              <w:jc w:val="center"/>
              <w:rPr>
                <w:rFonts w:hAnsi="宋体"/>
                <w:bCs/>
                <w:color w:val="auto"/>
                <w:szCs w:val="24"/>
                <w:highlight w:val="none"/>
              </w:rPr>
            </w:pPr>
          </w:p>
        </w:tc>
        <w:tc>
          <w:tcPr>
            <w:tcW w:w="1220" w:type="dxa"/>
            <w:vAlign w:val="center"/>
          </w:tcPr>
          <w:p>
            <w:pPr>
              <w:pStyle w:val="9"/>
              <w:snapToGrid w:val="0"/>
              <w:jc w:val="center"/>
              <w:rPr>
                <w:rFonts w:hAnsi="宋体"/>
                <w:bCs/>
                <w:color w:val="auto"/>
                <w:szCs w:val="24"/>
                <w:highlight w:val="none"/>
              </w:rPr>
            </w:pPr>
          </w:p>
        </w:tc>
        <w:tc>
          <w:tcPr>
            <w:tcW w:w="817" w:type="dxa"/>
            <w:vAlign w:val="center"/>
          </w:tcPr>
          <w:p>
            <w:pPr>
              <w:pStyle w:val="9"/>
              <w:snapToGrid w:val="0"/>
              <w:jc w:val="center"/>
              <w:rPr>
                <w:rFonts w:hAnsi="宋体"/>
                <w:bCs/>
                <w:color w:val="auto"/>
                <w:szCs w:val="24"/>
                <w:highlight w:val="none"/>
              </w:rPr>
            </w:pPr>
          </w:p>
        </w:tc>
      </w:tr>
    </w:tbl>
    <w:p>
      <w:pPr>
        <w:rPr>
          <w:color w:val="auto"/>
          <w:highlight w:val="none"/>
        </w:rPr>
      </w:pPr>
    </w:p>
    <w:p>
      <w:pPr>
        <w:pStyle w:val="9"/>
        <w:snapToGrid w:val="0"/>
        <w:spacing w:line="360" w:lineRule="auto"/>
        <w:ind w:firstLine="0"/>
        <w:rPr>
          <w:rFonts w:hAnsi="宋体"/>
          <w:bCs/>
          <w:color w:val="auto"/>
          <w:highlight w:val="none"/>
        </w:rPr>
      </w:pPr>
      <w:r>
        <w:rPr>
          <w:rFonts w:hint="eastAsia" w:hAnsi="宋体"/>
          <w:bCs/>
          <w:color w:val="auto"/>
          <w:highlight w:val="none"/>
        </w:rPr>
        <w:t>注：如本表格式内容不能满足需要，</w:t>
      </w:r>
      <w:r>
        <w:rPr>
          <w:rFonts w:hint="eastAsia" w:ascii="宋体" w:hAnsi="宋体"/>
          <w:bCs/>
          <w:color w:val="auto"/>
          <w:highlight w:val="none"/>
        </w:rPr>
        <w:t>供应商</w:t>
      </w:r>
      <w:r>
        <w:rPr>
          <w:rFonts w:hint="eastAsia" w:hAnsi="宋体"/>
          <w:bCs/>
          <w:color w:val="auto"/>
          <w:highlight w:val="none"/>
        </w:rPr>
        <w:t>可自行划表填写，但必须体现以上内容。</w:t>
      </w:r>
    </w:p>
    <w:p>
      <w:pPr>
        <w:pStyle w:val="9"/>
        <w:snapToGrid w:val="0"/>
        <w:spacing w:line="360" w:lineRule="auto"/>
        <w:ind w:firstLine="0"/>
        <w:rPr>
          <w:rFonts w:hAnsi="宋体"/>
          <w:bCs/>
          <w:color w:val="auto"/>
          <w:highlight w:val="none"/>
        </w:rPr>
      </w:pPr>
    </w:p>
    <w:p>
      <w:pPr>
        <w:pStyle w:val="9"/>
        <w:snapToGrid w:val="0"/>
        <w:spacing w:line="360" w:lineRule="auto"/>
        <w:ind w:firstLine="0"/>
        <w:rPr>
          <w:rFonts w:hAnsi="宋体"/>
          <w:bCs/>
          <w:color w:val="auto"/>
          <w:highlight w:val="none"/>
        </w:rPr>
      </w:pPr>
    </w:p>
    <w:p>
      <w:pPr>
        <w:pStyle w:val="9"/>
        <w:snapToGrid w:val="0"/>
        <w:spacing w:line="360" w:lineRule="auto"/>
        <w:ind w:firstLine="0"/>
        <w:rPr>
          <w:rFonts w:hAnsi="宋体"/>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 xml:space="preserve">供应商法定代表人（负责人）或授权代理人（签字）： </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供应商名称（加盖公章）：</w:t>
      </w:r>
    </w:p>
    <w:p>
      <w:pPr>
        <w:rPr>
          <w:color w:val="auto"/>
          <w:highlight w:val="none"/>
        </w:rPr>
        <w:sectPr>
          <w:pgSz w:w="11906" w:h="16838"/>
          <w:pgMar w:top="1418" w:right="1474" w:bottom="1418" w:left="1474" w:header="851" w:footer="992" w:gutter="0"/>
          <w:cols w:space="720" w:num="1"/>
          <w:docGrid w:linePitch="312" w:charSpace="0"/>
        </w:sectPr>
      </w:pPr>
      <w:r>
        <w:rPr>
          <w:rFonts w:hint="eastAsia" w:ascii="宋体" w:hAnsi="宋体"/>
          <w:bCs/>
          <w:color w:val="auto"/>
          <w:szCs w:val="21"/>
          <w:highlight w:val="none"/>
        </w:rPr>
        <w:t>日期： 年月 日</w:t>
      </w:r>
    </w:p>
    <w:p>
      <w:pPr>
        <w:pStyle w:val="5"/>
        <w:numPr>
          <w:ilvl w:val="0"/>
          <w:numId w:val="0"/>
        </w:numPr>
        <w:spacing w:line="400" w:lineRule="exact"/>
        <w:jc w:val="center"/>
        <w:rPr>
          <w:rFonts w:ascii="宋体" w:hAnsi="宋体" w:eastAsia="宋体" w:cs="宋体"/>
          <w:color w:val="auto"/>
          <w:sz w:val="28"/>
          <w:szCs w:val="28"/>
          <w:highlight w:val="none"/>
        </w:rPr>
      </w:pPr>
      <w:bookmarkStart w:id="199" w:name="_Toc432695229"/>
      <w:bookmarkStart w:id="200" w:name="_Toc432682754"/>
      <w:bookmarkStart w:id="201" w:name="_Toc3628"/>
      <w:bookmarkStart w:id="202" w:name="_Toc430771089"/>
      <w:bookmarkStart w:id="203" w:name="_Toc7149"/>
      <w:bookmarkStart w:id="204" w:name="_Toc4253"/>
      <w:bookmarkStart w:id="205" w:name="_Toc366072562"/>
      <w:bookmarkStart w:id="206" w:name="_Toc340677100"/>
      <w:bookmarkStart w:id="207" w:name="_Toc345312627"/>
      <w:bookmarkStart w:id="208" w:name="_Toc365967105"/>
      <w:bookmarkStart w:id="209" w:name="_Toc343247130"/>
      <w:bookmarkStart w:id="210" w:name="_Toc331684072"/>
      <w:bookmarkStart w:id="211" w:name="_Toc333238664"/>
      <w:bookmarkStart w:id="212" w:name="_Toc339441117"/>
      <w:bookmarkStart w:id="213" w:name="_Toc333237708"/>
      <w:bookmarkStart w:id="214" w:name="_Toc341348370"/>
      <w:bookmarkStart w:id="215" w:name="_Toc333935376"/>
      <w:bookmarkStart w:id="216" w:name="_Toc333237819"/>
      <w:bookmarkStart w:id="217" w:name="_Toc339020045"/>
      <w:bookmarkStart w:id="218" w:name="_Toc343248448"/>
      <w:bookmarkStart w:id="219" w:name="_Toc333935717"/>
      <w:bookmarkStart w:id="220" w:name="_Toc332270377"/>
      <w:bookmarkStart w:id="221" w:name="_Toc336681965"/>
      <w:bookmarkStart w:id="222" w:name="_Toc342296791"/>
      <w:bookmarkStart w:id="223" w:name="_Toc343612950"/>
      <w:bookmarkStart w:id="224" w:name="_Toc365985211"/>
      <w:bookmarkStart w:id="225" w:name="_Toc336681610"/>
      <w:bookmarkStart w:id="226" w:name="_Toc102451601"/>
      <w:bookmarkStart w:id="227" w:name="_Toc340672899"/>
      <w:bookmarkStart w:id="228" w:name="_Toc331512931"/>
      <w:bookmarkStart w:id="229" w:name="_Toc342312473"/>
      <w:bookmarkStart w:id="230" w:name="_Toc337632388"/>
      <w:bookmarkStart w:id="231" w:name="_Toc332206739"/>
      <w:bookmarkStart w:id="232" w:name="_Toc330460016"/>
      <w:bookmarkStart w:id="233" w:name="_Toc342398160"/>
      <w:bookmarkStart w:id="234" w:name="_Toc339020125"/>
      <w:bookmarkStart w:id="235" w:name="_Toc339020263"/>
      <w:bookmarkStart w:id="236" w:name="_Toc342060405"/>
      <w:bookmarkStart w:id="237" w:name="_Toc350438779"/>
      <w:bookmarkStart w:id="238" w:name="_Toc339362330"/>
      <w:bookmarkStart w:id="239" w:name="_Toc339019919"/>
      <w:bookmarkStart w:id="240" w:name="_Toc350756480"/>
      <w:bookmarkStart w:id="241" w:name="_Toc340507472"/>
      <w:r>
        <w:rPr>
          <w:rFonts w:hint="eastAsia" w:ascii="宋体" w:hAnsi="宋体" w:eastAsia="宋体" w:cs="宋体"/>
          <w:color w:val="auto"/>
          <w:sz w:val="28"/>
          <w:szCs w:val="28"/>
          <w:highlight w:val="none"/>
        </w:rPr>
        <w:t>附件七：中小微企业声明函</w:t>
      </w:r>
      <w:bookmarkEnd w:id="199"/>
      <w:bookmarkEnd w:id="200"/>
      <w:bookmarkEnd w:id="201"/>
      <w:bookmarkEnd w:id="202"/>
      <w:bookmarkEnd w:id="203"/>
      <w:bookmarkEnd w:id="204"/>
    </w:p>
    <w:p>
      <w:pPr>
        <w:spacing w:line="440" w:lineRule="exact"/>
        <w:ind w:firstLine="420"/>
        <w:rPr>
          <w:rFonts w:ascii="宋体"/>
          <w:color w:val="auto"/>
          <w:highlight w:val="none"/>
        </w:rPr>
      </w:pPr>
      <w:r>
        <w:rPr>
          <w:rFonts w:hint="eastAsia" w:ascii="宋体" w:hAnsi="宋体" w:cs="宋体"/>
          <w:color w:val="auto"/>
          <w:highlight w:val="none"/>
        </w:rPr>
        <w:t>本公司郑重声明，根据《政府采购促进中小企业发展管理办法》（财库﹝2020﹞46 号）的规定，本公司为</w:t>
      </w:r>
      <w:r>
        <w:rPr>
          <w:rFonts w:ascii="宋体" w:hAnsi="宋体" w:cs="宋体"/>
          <w:color w:val="auto"/>
          <w:highlight w:val="none"/>
          <w:u w:val="single"/>
        </w:rPr>
        <w:t>______</w:t>
      </w:r>
      <w:r>
        <w:rPr>
          <w:rFonts w:hint="eastAsia" w:ascii="宋体" w:hAnsi="宋体" w:cs="宋体"/>
          <w:color w:val="auto"/>
          <w:highlight w:val="none"/>
        </w:rPr>
        <w:t>（请填写：中型、小型、微型）企业。即，本公司同时满足以下条件：</w:t>
      </w:r>
    </w:p>
    <w:p>
      <w:pPr>
        <w:spacing w:line="440" w:lineRule="exact"/>
        <w:ind w:firstLine="420"/>
        <w:rPr>
          <w:rFonts w:ascii="宋体"/>
          <w:color w:val="auto"/>
          <w:highlight w:val="none"/>
        </w:rPr>
      </w:pPr>
      <w:r>
        <w:rPr>
          <w:rFonts w:ascii="宋体" w:hAnsi="宋体" w:cs="宋体"/>
          <w:color w:val="auto"/>
          <w:highlight w:val="none"/>
        </w:rPr>
        <w:t xml:space="preserve"> 1.</w:t>
      </w:r>
      <w:r>
        <w:rPr>
          <w:rFonts w:hint="eastAsia" w:ascii="宋体" w:hAnsi="宋体" w:cs="宋体"/>
          <w:color w:val="auto"/>
          <w:highlight w:val="none"/>
        </w:rPr>
        <w:t>根据《工业和信息化部、国家统计局、国家发展和改革委员会、财政部关于印发中小企业划型标准规定的通知》（工信部联企业</w:t>
      </w:r>
      <w:r>
        <w:rPr>
          <w:rFonts w:ascii="宋体" w:hAnsi="宋体" w:cs="宋体"/>
          <w:color w:val="auto"/>
          <w:highlight w:val="none"/>
        </w:rPr>
        <w:t xml:space="preserve">[2011]300 </w:t>
      </w:r>
      <w:r>
        <w:rPr>
          <w:rFonts w:hint="eastAsia" w:ascii="宋体" w:hAnsi="宋体" w:cs="宋体"/>
          <w:color w:val="auto"/>
          <w:highlight w:val="none"/>
        </w:rPr>
        <w:t>号）规定的划分标准：第四条第</w:t>
      </w:r>
      <w:r>
        <w:rPr>
          <w:rFonts w:ascii="宋体" w:hAnsi="宋体" w:cs="宋体"/>
          <w:color w:val="auto"/>
          <w:highlight w:val="none"/>
          <w:u w:val="single"/>
        </w:rPr>
        <w:t>______</w:t>
      </w:r>
      <w:r>
        <w:rPr>
          <w:rFonts w:hint="eastAsia" w:ascii="宋体" w:hAnsi="宋体" w:cs="宋体"/>
          <w:color w:val="auto"/>
          <w:highlight w:val="none"/>
        </w:rPr>
        <w:t>项</w:t>
      </w:r>
      <w:r>
        <w:rPr>
          <w:rFonts w:ascii="宋体" w:hAnsi="宋体" w:cs="宋体"/>
          <w:color w:val="auto"/>
          <w:highlight w:val="none"/>
          <w:u w:val="single"/>
        </w:rPr>
        <w:t>_________</w:t>
      </w:r>
      <w:r>
        <w:rPr>
          <w:rFonts w:hint="eastAsia" w:ascii="宋体" w:hAnsi="宋体" w:cs="宋体"/>
          <w:color w:val="auto"/>
          <w:highlight w:val="none"/>
        </w:rPr>
        <w:t>行业，本公司（此处填写从业人员或营业收入的具体数据），为</w:t>
      </w:r>
      <w:r>
        <w:rPr>
          <w:rFonts w:ascii="宋体" w:hAnsi="宋体" w:cs="宋体"/>
          <w:color w:val="auto"/>
          <w:highlight w:val="none"/>
          <w:u w:val="single"/>
        </w:rPr>
        <w:t xml:space="preserve"> ______</w:t>
      </w:r>
      <w:r>
        <w:rPr>
          <w:rFonts w:hint="eastAsia" w:ascii="宋体" w:hAnsi="宋体" w:cs="宋体"/>
          <w:color w:val="auto"/>
          <w:highlight w:val="none"/>
        </w:rPr>
        <w:t>（请填写：中型、小型、微型）企业。</w:t>
      </w:r>
    </w:p>
    <w:p>
      <w:pPr>
        <w:spacing w:line="440" w:lineRule="exact"/>
        <w:rPr>
          <w:rFonts w:ascii="宋体"/>
          <w:color w:val="auto"/>
          <w:highlight w:val="none"/>
        </w:rPr>
      </w:pPr>
      <w:r>
        <w:rPr>
          <w:rFonts w:ascii="宋体" w:hAnsi="宋体" w:cs="宋体"/>
          <w:color w:val="auto"/>
          <w:highlight w:val="none"/>
        </w:rPr>
        <w:t xml:space="preserve">     2.</w:t>
      </w:r>
      <w:r>
        <w:rPr>
          <w:rFonts w:hint="eastAsia" w:ascii="宋体" w:hAnsi="宋体" w:cs="宋体"/>
          <w:color w:val="auto"/>
          <w:highlight w:val="none"/>
        </w:rPr>
        <w:t>本公司参加</w:t>
      </w:r>
      <w:r>
        <w:rPr>
          <w:rFonts w:hint="eastAsia" w:ascii="宋体" w:hAnsi="宋体"/>
          <w:color w:val="auto"/>
          <w:highlight w:val="none"/>
        </w:rPr>
        <w:t>（项目名称：）</w:t>
      </w:r>
      <w:r>
        <w:rPr>
          <w:rFonts w:hint="eastAsia" w:ascii="宋体" w:hAnsi="宋体" w:cs="宋体"/>
          <w:color w:val="auto"/>
          <w:highlight w:val="none"/>
        </w:rPr>
        <w:t>（项目编号：）采购活动提供本企业制造的货物，由本企业承担工程、提供服务，或者提供其他</w:t>
      </w:r>
      <w:r>
        <w:rPr>
          <w:rFonts w:ascii="宋体" w:hAnsi="宋体" w:cs="宋体"/>
          <w:color w:val="auto"/>
          <w:highlight w:val="none"/>
          <w:u w:val="single"/>
        </w:rPr>
        <w:t>______</w:t>
      </w:r>
      <w:r>
        <w:rPr>
          <w:rFonts w:hint="eastAsia" w:ascii="宋体" w:hAnsi="宋体" w:cs="宋体"/>
          <w:color w:val="auto"/>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auto"/>
          <w:highlight w:val="none"/>
        </w:rPr>
      </w:pPr>
      <w:r>
        <w:rPr>
          <w:rFonts w:hint="eastAsia" w:ascii="宋体" w:hAnsi="宋体" w:cs="宋体"/>
          <w:color w:val="auto"/>
          <w:highlight w:val="none"/>
        </w:rPr>
        <w:t>本公司对上述声明的真实性负责。如有虚假，将依法承担相应责任。</w:t>
      </w:r>
    </w:p>
    <w:p>
      <w:pPr>
        <w:spacing w:line="440" w:lineRule="exact"/>
        <w:rPr>
          <w:rFonts w:ascii="宋体"/>
          <w:color w:val="auto"/>
          <w:highlight w:val="none"/>
        </w:rPr>
      </w:pPr>
    </w:p>
    <w:p>
      <w:pPr>
        <w:adjustRightInd w:val="0"/>
        <w:snapToGrid w:val="0"/>
        <w:spacing w:line="360" w:lineRule="auto"/>
        <w:rPr>
          <w:rFonts w:ascii="宋体" w:hAnsi="宋体"/>
          <w:bCs/>
          <w:color w:val="auto"/>
          <w:highlight w:val="none"/>
        </w:rPr>
      </w:pPr>
    </w:p>
    <w:p>
      <w:pPr>
        <w:adjustRightInd w:val="0"/>
        <w:snapToGrid w:val="0"/>
        <w:spacing w:line="360" w:lineRule="auto"/>
        <w:rPr>
          <w:rFonts w:ascii="宋体" w:hAnsi="宋体"/>
          <w:bCs/>
          <w:color w:val="auto"/>
          <w:highlight w:val="none"/>
        </w:rPr>
      </w:pPr>
    </w:p>
    <w:p>
      <w:pPr>
        <w:adjustRightInd w:val="0"/>
        <w:snapToGrid w:val="0"/>
        <w:spacing w:line="360" w:lineRule="auto"/>
        <w:rPr>
          <w:rFonts w:ascii="宋体" w:hAnsi="宋体"/>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 xml:space="preserve">供应商法定代表人（负责人）或授权代理人（签字）： </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供应商名称（加盖公章）：</w:t>
      </w:r>
    </w:p>
    <w:p>
      <w:pPr>
        <w:spacing w:line="360" w:lineRule="auto"/>
        <w:rPr>
          <w:rFonts w:ascii="宋体"/>
          <w:color w:val="auto"/>
          <w:highlight w:val="none"/>
        </w:rPr>
      </w:pPr>
      <w:r>
        <w:rPr>
          <w:rFonts w:hint="eastAsia" w:ascii="宋体" w:hAnsi="宋体"/>
          <w:bCs/>
          <w:color w:val="auto"/>
          <w:szCs w:val="21"/>
          <w:highlight w:val="none"/>
        </w:rPr>
        <w:t>日期： 年月 日</w:t>
      </w:r>
    </w:p>
    <w:p>
      <w:pPr>
        <w:spacing w:line="440" w:lineRule="exact"/>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adjustRightInd w:val="0"/>
        <w:snapToGrid w:val="0"/>
        <w:spacing w:line="440" w:lineRule="exact"/>
        <w:rPr>
          <w:rFonts w:ascii="宋体" w:hAnsi="宋体"/>
          <w:bCs/>
          <w:color w:val="auto"/>
          <w:highlight w:val="none"/>
        </w:rPr>
      </w:pPr>
      <w:r>
        <w:rPr>
          <w:rFonts w:hint="eastAsia" w:ascii="宋体" w:hAnsi="宋体"/>
          <w:bCs/>
          <w:color w:val="auto"/>
          <w:highlight w:val="none"/>
        </w:rPr>
        <w:t>说明：提供其他中小微企业制造的货物，必须同时提供该中小微企业的声明函。</w:t>
      </w: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ind w:firstLine="0"/>
        <w:rPr>
          <w:color w:val="auto"/>
          <w:highlight w:val="none"/>
        </w:rPr>
      </w:pPr>
    </w:p>
    <w:p>
      <w:pPr>
        <w:pStyle w:val="9"/>
        <w:rPr>
          <w:color w:val="auto"/>
          <w:highlight w:val="none"/>
        </w:rPr>
      </w:pPr>
    </w:p>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Pr>
        <w:pStyle w:val="5"/>
        <w:keepLines w:val="0"/>
        <w:numPr>
          <w:ilvl w:val="0"/>
          <w:numId w:val="0"/>
        </w:numPr>
        <w:tabs>
          <w:tab w:val="left" w:pos="851"/>
        </w:tabs>
        <w:spacing w:before="0" w:after="0" w:line="360" w:lineRule="auto"/>
        <w:jc w:val="center"/>
        <w:rPr>
          <w:rFonts w:ascii="宋体" w:hAnsi="宋体" w:eastAsia="宋体" w:cs="宋体"/>
          <w:color w:val="auto"/>
          <w:sz w:val="28"/>
          <w:szCs w:val="28"/>
          <w:highlight w:val="none"/>
        </w:rPr>
      </w:pPr>
      <w:bookmarkStart w:id="242" w:name="_Toc32373"/>
      <w:bookmarkStart w:id="243" w:name="_Toc14926"/>
      <w:bookmarkStart w:id="244" w:name="_Toc20242"/>
      <w:bookmarkStart w:id="245" w:name="_Toc6686"/>
      <w:r>
        <w:rPr>
          <w:rFonts w:hint="eastAsia" w:ascii="宋体" w:hAnsi="宋体" w:eastAsia="宋体" w:cs="宋体"/>
          <w:color w:val="auto"/>
          <w:sz w:val="28"/>
          <w:szCs w:val="28"/>
          <w:highlight w:val="none"/>
        </w:rPr>
        <w:t>附件八：残疾人福利性单位声明函</w:t>
      </w:r>
      <w:bookmarkEnd w:id="242"/>
      <w:bookmarkEnd w:id="243"/>
      <w:bookmarkEnd w:id="244"/>
      <w:bookmarkEnd w:id="245"/>
    </w:p>
    <w:p>
      <w:pPr>
        <w:spacing w:line="360" w:lineRule="auto"/>
        <w:jc w:val="center"/>
        <w:rPr>
          <w:rFonts w:ascii="宋体" w:hAnsi="宋体"/>
          <w:b/>
          <w:color w:val="auto"/>
          <w:sz w:val="24"/>
          <w:highlight w:val="none"/>
        </w:rPr>
      </w:pPr>
    </w:p>
    <w:p>
      <w:pPr>
        <w:spacing w:line="360" w:lineRule="auto"/>
        <w:jc w:val="center"/>
        <w:rPr>
          <w:rFonts w:ascii="宋体" w:hAnsi="宋体"/>
          <w:b/>
          <w:color w:val="auto"/>
          <w:sz w:val="24"/>
          <w:highlight w:val="none"/>
        </w:rPr>
      </w:pPr>
      <w:r>
        <w:rPr>
          <w:rFonts w:hint="eastAsia" w:ascii="宋体" w:hAnsi="宋体"/>
          <w:b/>
          <w:color w:val="auto"/>
          <w:sz w:val="24"/>
          <w:highlight w:val="none"/>
        </w:rPr>
        <w:t>残疾人福利性单位声明函</w:t>
      </w:r>
    </w:p>
    <w:p>
      <w:pPr>
        <w:spacing w:line="360" w:lineRule="auto"/>
        <w:jc w:val="center"/>
        <w:rPr>
          <w:rFonts w:ascii="宋体" w:hAnsi="宋体"/>
          <w:b/>
          <w:color w:val="auto"/>
          <w:sz w:val="24"/>
          <w:highlight w:val="none"/>
        </w:rPr>
      </w:pPr>
    </w:p>
    <w:p>
      <w:pPr>
        <w:spacing w:line="480" w:lineRule="auto"/>
        <w:jc w:val="left"/>
        <w:rPr>
          <w:rFonts w:ascii="宋体" w:hAnsi="宋体" w:cs="宋体"/>
          <w:color w:val="auto"/>
          <w:highlight w:val="none"/>
        </w:rPr>
      </w:pPr>
      <w:r>
        <w:rPr>
          <w:rFonts w:hint="eastAsia" w:ascii="宋体" w:hAnsi="宋体" w:cs="宋体"/>
          <w:color w:val="auto"/>
          <w:highlight w:val="none"/>
        </w:rPr>
        <w:t xml:space="preserve"> </w:t>
      </w:r>
      <w:r>
        <w:rPr>
          <w:rFonts w:ascii="宋体" w:hAnsi="宋体" w:cs="宋体"/>
          <w:color w:val="auto"/>
          <w:highlight w:val="none"/>
        </w:rPr>
        <w:t xml:space="preserve">   </w:t>
      </w:r>
      <w:r>
        <w:rPr>
          <w:rFonts w:hint="eastAsia" w:ascii="宋体" w:hAnsi="宋体" w:cs="宋体"/>
          <w:color w:val="auto"/>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本单位对上述声明的真实性负责。如有虚假，将依法承担相应责任。</w:t>
      </w:r>
    </w:p>
    <w:p>
      <w:pPr>
        <w:spacing w:line="360" w:lineRule="auto"/>
        <w:ind w:firstLine="420" w:firstLineChars="200"/>
        <w:rPr>
          <w:rFonts w:ascii="宋体" w:hAnsi="宋体" w:cs="宋体"/>
          <w:color w:val="auto"/>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pStyle w:val="9"/>
        <w:spacing w:line="360" w:lineRule="auto"/>
        <w:ind w:firstLine="0"/>
        <w:rPr>
          <w:rFonts w:hAnsi="宋体" w:cs="宋体"/>
          <w:color w:val="auto"/>
          <w:szCs w:val="24"/>
          <w:highlight w:val="none"/>
        </w:rPr>
      </w:pPr>
      <w:r>
        <w:rPr>
          <w:rFonts w:hint="eastAsia" w:hAnsi="宋体" w:cs="宋体"/>
          <w:color w:val="auto"/>
          <w:szCs w:val="24"/>
          <w:highlight w:val="none"/>
        </w:rPr>
        <w:t xml:space="preserve">供应商法定代表人（负责人）或授权代理人（签字）： </w:t>
      </w:r>
    </w:p>
    <w:p>
      <w:pPr>
        <w:pStyle w:val="9"/>
        <w:spacing w:line="360" w:lineRule="auto"/>
        <w:ind w:firstLine="0"/>
        <w:rPr>
          <w:rFonts w:hAnsi="宋体" w:cs="宋体"/>
          <w:color w:val="auto"/>
          <w:szCs w:val="24"/>
          <w:highlight w:val="none"/>
        </w:rPr>
      </w:pPr>
      <w:r>
        <w:rPr>
          <w:rFonts w:hint="eastAsia" w:hAnsi="宋体" w:cs="宋体"/>
          <w:color w:val="auto"/>
          <w:szCs w:val="24"/>
          <w:highlight w:val="none"/>
        </w:rPr>
        <w:t>供应商名称（加盖公章）：</w:t>
      </w:r>
    </w:p>
    <w:p>
      <w:pPr>
        <w:pStyle w:val="9"/>
        <w:spacing w:line="360" w:lineRule="auto"/>
        <w:ind w:firstLine="0"/>
        <w:rPr>
          <w:rFonts w:hAnsi="宋体" w:cs="宋体"/>
          <w:color w:val="auto"/>
          <w:szCs w:val="24"/>
          <w:highlight w:val="none"/>
        </w:rPr>
      </w:pPr>
      <w:r>
        <w:rPr>
          <w:rFonts w:hint="eastAsia" w:hAnsi="宋体" w:cs="宋体"/>
          <w:color w:val="auto"/>
          <w:szCs w:val="24"/>
          <w:highlight w:val="none"/>
        </w:rPr>
        <w:t>日期： 年月 日</w:t>
      </w:r>
    </w:p>
    <w:p>
      <w:pPr>
        <w:adjustRightInd w:val="0"/>
        <w:snapToGrid w:val="0"/>
        <w:spacing w:line="360" w:lineRule="auto"/>
        <w:jc w:val="left"/>
        <w:rPr>
          <w:rFonts w:ascii="宋体" w:hAnsi="宋体"/>
          <w:bCs/>
          <w:color w:val="auto"/>
          <w:szCs w:val="21"/>
          <w:highlight w:val="none"/>
        </w:rPr>
      </w:pPr>
    </w:p>
    <w:p>
      <w:pPr>
        <w:adjustRightInd w:val="0"/>
        <w:snapToGrid w:val="0"/>
        <w:spacing w:line="360" w:lineRule="auto"/>
        <w:jc w:val="left"/>
        <w:rPr>
          <w:rFonts w:ascii="宋体" w:hAnsi="宋体"/>
          <w:bCs/>
          <w:color w:val="auto"/>
          <w:szCs w:val="21"/>
          <w:highlight w:val="none"/>
        </w:rPr>
      </w:pPr>
    </w:p>
    <w:p>
      <w:pPr>
        <w:adjustRightInd w:val="0"/>
        <w:snapToGrid w:val="0"/>
        <w:spacing w:line="360" w:lineRule="auto"/>
        <w:jc w:val="left"/>
        <w:rPr>
          <w:rFonts w:ascii="宋体" w:hAnsi="宋体"/>
          <w:bCs/>
          <w:color w:val="auto"/>
          <w:szCs w:val="21"/>
          <w:highlight w:val="none"/>
        </w:rPr>
      </w:pPr>
    </w:p>
    <w:p>
      <w:pPr>
        <w:adjustRightInd w:val="0"/>
        <w:snapToGrid w:val="0"/>
        <w:spacing w:line="360" w:lineRule="auto"/>
        <w:jc w:val="left"/>
        <w:rPr>
          <w:rFonts w:ascii="宋体" w:hAnsi="宋体"/>
          <w:bCs/>
          <w:color w:val="auto"/>
          <w:szCs w:val="21"/>
          <w:highlight w:val="none"/>
        </w:rPr>
      </w:pPr>
    </w:p>
    <w:p>
      <w:pPr>
        <w:adjustRightInd w:val="0"/>
        <w:snapToGrid w:val="0"/>
        <w:spacing w:line="360" w:lineRule="auto"/>
        <w:jc w:val="left"/>
        <w:rPr>
          <w:rFonts w:ascii="宋体" w:hAnsi="宋体"/>
          <w:bCs/>
          <w:color w:val="auto"/>
          <w:szCs w:val="21"/>
          <w:highlight w:val="none"/>
        </w:rPr>
      </w:pPr>
    </w:p>
    <w:p>
      <w:pPr>
        <w:adjustRightInd w:val="0"/>
        <w:snapToGrid w:val="0"/>
        <w:spacing w:line="360" w:lineRule="auto"/>
        <w:jc w:val="left"/>
        <w:rPr>
          <w:rFonts w:ascii="宋体" w:hAnsi="宋体"/>
          <w:bCs/>
          <w:color w:val="auto"/>
          <w:szCs w:val="21"/>
          <w:highlight w:val="none"/>
        </w:rPr>
      </w:pPr>
    </w:p>
    <w:p>
      <w:pPr>
        <w:adjustRightInd w:val="0"/>
        <w:snapToGrid w:val="0"/>
        <w:spacing w:line="360" w:lineRule="auto"/>
        <w:jc w:val="left"/>
        <w:rPr>
          <w:rFonts w:ascii="宋体" w:hAnsi="宋体"/>
          <w:bCs/>
          <w:color w:val="auto"/>
          <w:szCs w:val="21"/>
          <w:highlight w:val="none"/>
        </w:rPr>
      </w:pPr>
    </w:p>
    <w:p>
      <w:pPr>
        <w:adjustRightInd w:val="0"/>
        <w:snapToGrid w:val="0"/>
        <w:spacing w:line="360" w:lineRule="auto"/>
        <w:jc w:val="left"/>
        <w:rPr>
          <w:rFonts w:ascii="宋体" w:hAnsi="宋体"/>
          <w:bCs/>
          <w:color w:val="auto"/>
          <w:szCs w:val="21"/>
          <w:highlight w:val="none"/>
        </w:rPr>
      </w:pPr>
    </w:p>
    <w:p>
      <w:pPr>
        <w:pStyle w:val="5"/>
        <w:numPr>
          <w:ilvl w:val="1"/>
          <w:numId w:val="0"/>
        </w:numPr>
        <w:spacing w:line="360" w:lineRule="auto"/>
        <w:jc w:val="center"/>
        <w:rPr>
          <w:rFonts w:ascii="宋体" w:hAnsi="宋体" w:eastAsia="宋体"/>
          <w:color w:val="auto"/>
          <w:sz w:val="28"/>
          <w:szCs w:val="28"/>
          <w:highlight w:val="none"/>
        </w:rPr>
      </w:pPr>
      <w:bookmarkStart w:id="246" w:name="_Toc200414534"/>
      <w:bookmarkStart w:id="247" w:name="_Toc8707"/>
      <w:r>
        <w:rPr>
          <w:rFonts w:hint="eastAsia" w:ascii="宋体" w:hAnsi="宋体" w:eastAsia="宋体"/>
          <w:color w:val="auto"/>
          <w:sz w:val="28"/>
          <w:szCs w:val="28"/>
          <w:highlight w:val="none"/>
        </w:rPr>
        <w:t>附件九：成交服务费承诺</w:t>
      </w:r>
      <w:bookmarkEnd w:id="246"/>
      <w:bookmarkEnd w:id="247"/>
    </w:p>
    <w:p>
      <w:pPr>
        <w:spacing w:line="360" w:lineRule="auto"/>
        <w:rPr>
          <w:rFonts w:ascii="宋体" w:hAnsi="宋体"/>
          <w:color w:val="auto"/>
          <w:szCs w:val="21"/>
          <w:highlight w:val="none"/>
        </w:rPr>
      </w:pPr>
      <w:r>
        <w:rPr>
          <w:rFonts w:hint="eastAsia" w:ascii="宋体" w:hAnsi="宋体"/>
          <w:color w:val="auto"/>
          <w:szCs w:val="21"/>
          <w:highlight w:val="none"/>
        </w:rPr>
        <w:t>致（代理机构）：</w:t>
      </w:r>
    </w:p>
    <w:p>
      <w:pPr>
        <w:spacing w:line="360" w:lineRule="auto"/>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针对贵方组织的（项目名称：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）谈判项目（</w:t>
      </w:r>
      <w:r>
        <w:rPr>
          <w:rFonts w:hint="eastAsia" w:ascii="宋体" w:hAnsi="宋体"/>
          <w:bCs/>
          <w:color w:val="auto"/>
          <w:szCs w:val="21"/>
          <w:highlight w:val="none"/>
        </w:rPr>
        <w:t>项目编号:</w:t>
      </w:r>
      <w:r>
        <w:rPr>
          <w:rFonts w:hint="eastAsia" w:ascii="宋体" w:hAnsi="宋体"/>
          <w:bCs/>
          <w:color w:val="auto"/>
          <w:szCs w:val="21"/>
          <w:highlight w:val="none"/>
          <w:u w:val="single"/>
        </w:rPr>
        <w:t xml:space="preserve">           </w:t>
      </w:r>
      <w:r>
        <w:rPr>
          <w:rFonts w:hint="eastAsia" w:ascii="宋体" w:hAnsi="宋体"/>
          <w:color w:val="auto"/>
          <w:szCs w:val="21"/>
          <w:highlight w:val="none"/>
        </w:rPr>
        <w:t>），我方承诺：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1.若我方成交，将严格遵照本项目谈判文件的规定向代理采购机构缴纳成交服务费。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2.若我方成交后拒绝如数缴纳或未按本项目谈判文件规定的期限缴纳成交服务费，则视为我方自动放弃该成交结果，贵方有权没收我方的保证金并重新确定成交结果，我方对此无任何异议。</w:t>
      </w:r>
    </w:p>
    <w:p>
      <w:pPr>
        <w:spacing w:line="360" w:lineRule="auto"/>
        <w:rPr>
          <w:rFonts w:ascii="宋体" w:hAnsi="宋体"/>
          <w:color w:val="auto"/>
          <w:szCs w:val="21"/>
          <w:highlight w:val="none"/>
        </w:rPr>
      </w:pPr>
    </w:p>
    <w:p>
      <w:pPr>
        <w:spacing w:line="360" w:lineRule="auto"/>
        <w:ind w:firstLine="420" w:firstLineChars="200"/>
        <w:rPr>
          <w:rFonts w:ascii="宋体" w:hAnsi="宋体"/>
          <w:color w:val="auto"/>
          <w:szCs w:val="21"/>
          <w:highlight w:val="none"/>
        </w:rPr>
      </w:pP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供应商法定代表人（负责人）或授权代理人（签字）：</w:t>
      </w:r>
    </w:p>
    <w:p>
      <w:pPr>
        <w:spacing w:line="360" w:lineRule="auto"/>
        <w:ind w:right="-384" w:rightChars="-183"/>
        <w:rPr>
          <w:rFonts w:ascii="宋体" w:hAnsi="宋体"/>
          <w:bCs/>
          <w:color w:val="auto"/>
          <w:szCs w:val="21"/>
          <w:highlight w:val="none"/>
          <w:u w:val="single"/>
        </w:rPr>
      </w:pPr>
      <w:r>
        <w:rPr>
          <w:rFonts w:hint="eastAsia" w:ascii="宋体" w:hAnsi="宋体"/>
          <w:bCs/>
          <w:color w:val="auto"/>
          <w:szCs w:val="21"/>
          <w:highlight w:val="none"/>
        </w:rPr>
        <w:t>供应商名称（加盖公章）：</w:t>
      </w:r>
    </w:p>
    <w:p>
      <w:pPr>
        <w:spacing w:line="360" w:lineRule="auto"/>
        <w:ind w:right="-384" w:rightChars="-183"/>
        <w:rPr>
          <w:rFonts w:ascii="宋体" w:hAnsi="宋体"/>
          <w:bCs/>
          <w:color w:val="auto"/>
          <w:szCs w:val="21"/>
          <w:highlight w:val="none"/>
          <w:u w:val="single"/>
        </w:rPr>
      </w:pPr>
      <w:r>
        <w:rPr>
          <w:rFonts w:hint="eastAsia" w:ascii="宋体" w:hAnsi="宋体"/>
          <w:bCs/>
          <w:color w:val="auto"/>
          <w:szCs w:val="21"/>
          <w:highlight w:val="none"/>
        </w:rPr>
        <w:t>日期：年月日</w:t>
      </w:r>
    </w:p>
    <w:p>
      <w:pPr>
        <w:spacing w:line="360" w:lineRule="auto"/>
        <w:ind w:right="-384" w:rightChars="-183"/>
        <w:rPr>
          <w:rFonts w:ascii="宋体" w:hAnsi="宋体"/>
          <w:bCs/>
          <w:color w:val="auto"/>
          <w:highlight w:val="none"/>
          <w:u w:val="single"/>
        </w:rPr>
      </w:pPr>
    </w:p>
    <w:p>
      <w:pPr>
        <w:spacing w:line="360" w:lineRule="auto"/>
        <w:ind w:right="-384" w:rightChars="-183"/>
        <w:rPr>
          <w:rFonts w:ascii="宋体" w:hAnsi="宋体"/>
          <w:bCs/>
          <w:color w:val="auto"/>
          <w:highlight w:val="none"/>
          <w:u w:val="single"/>
        </w:rPr>
      </w:pPr>
    </w:p>
    <w:p>
      <w:pPr>
        <w:spacing w:line="360" w:lineRule="auto"/>
        <w:ind w:right="-384" w:rightChars="-183"/>
        <w:rPr>
          <w:rFonts w:ascii="宋体" w:hAnsi="宋体"/>
          <w:bCs/>
          <w:color w:val="auto"/>
          <w:highlight w:val="none"/>
          <w:u w:val="single"/>
        </w:rPr>
      </w:pPr>
    </w:p>
    <w:p>
      <w:pPr>
        <w:spacing w:line="360" w:lineRule="auto"/>
        <w:ind w:right="-384" w:rightChars="-183"/>
        <w:rPr>
          <w:rFonts w:ascii="宋体" w:hAnsi="宋体"/>
          <w:bCs/>
          <w:color w:val="auto"/>
          <w:highlight w:val="none"/>
          <w:u w:val="single"/>
        </w:rPr>
      </w:pPr>
    </w:p>
    <w:p>
      <w:pPr>
        <w:spacing w:line="360" w:lineRule="auto"/>
        <w:ind w:right="-384" w:rightChars="-183"/>
        <w:rPr>
          <w:rFonts w:ascii="宋体" w:hAnsi="宋体"/>
          <w:bCs/>
          <w:color w:val="auto"/>
          <w:highlight w:val="none"/>
          <w:u w:val="single"/>
        </w:rPr>
      </w:pPr>
    </w:p>
    <w:p>
      <w:pPr>
        <w:spacing w:line="360" w:lineRule="auto"/>
        <w:ind w:right="-384" w:rightChars="-183"/>
        <w:rPr>
          <w:rFonts w:ascii="宋体" w:hAnsi="宋体"/>
          <w:bCs/>
          <w:color w:val="auto"/>
          <w:highlight w:val="none"/>
          <w:u w:val="single"/>
        </w:rPr>
      </w:pPr>
    </w:p>
    <w:p>
      <w:pPr>
        <w:spacing w:line="360" w:lineRule="auto"/>
        <w:ind w:right="-384" w:rightChars="-183"/>
        <w:rPr>
          <w:rFonts w:ascii="宋体" w:hAnsi="宋体"/>
          <w:bCs/>
          <w:color w:val="auto"/>
          <w:highlight w:val="none"/>
          <w:u w:val="single"/>
        </w:rPr>
      </w:pPr>
    </w:p>
    <w:p>
      <w:pPr>
        <w:spacing w:line="360" w:lineRule="auto"/>
        <w:ind w:right="-384" w:rightChars="-183"/>
        <w:rPr>
          <w:rFonts w:ascii="宋体" w:hAnsi="宋体"/>
          <w:bCs/>
          <w:color w:val="auto"/>
          <w:highlight w:val="none"/>
          <w:u w:val="single"/>
        </w:rPr>
      </w:pPr>
    </w:p>
    <w:p>
      <w:pPr>
        <w:spacing w:line="360" w:lineRule="auto"/>
        <w:ind w:right="-384" w:rightChars="-183"/>
        <w:rPr>
          <w:rFonts w:ascii="宋体" w:hAnsi="宋体"/>
          <w:bCs/>
          <w:color w:val="auto"/>
          <w:highlight w:val="none"/>
          <w:u w:val="single"/>
        </w:rPr>
      </w:pPr>
    </w:p>
    <w:p>
      <w:pPr>
        <w:spacing w:line="360" w:lineRule="auto"/>
        <w:ind w:right="-384" w:rightChars="-183"/>
        <w:rPr>
          <w:rFonts w:ascii="宋体" w:hAnsi="宋体"/>
          <w:bCs/>
          <w:color w:val="auto"/>
          <w:highlight w:val="none"/>
          <w:u w:val="single"/>
        </w:rPr>
      </w:pPr>
    </w:p>
    <w:p>
      <w:pPr>
        <w:spacing w:line="360" w:lineRule="auto"/>
        <w:ind w:right="-384" w:rightChars="-183"/>
        <w:rPr>
          <w:rFonts w:ascii="宋体" w:hAnsi="宋体"/>
          <w:bCs/>
          <w:color w:val="auto"/>
          <w:highlight w:val="none"/>
          <w:u w:val="single"/>
        </w:rPr>
      </w:pPr>
    </w:p>
    <w:p>
      <w:pPr>
        <w:spacing w:line="360" w:lineRule="auto"/>
        <w:ind w:right="-384" w:rightChars="-183"/>
        <w:rPr>
          <w:rFonts w:ascii="宋体" w:hAnsi="宋体"/>
          <w:bCs/>
          <w:color w:val="auto"/>
          <w:highlight w:val="none"/>
          <w:u w:val="single"/>
        </w:rPr>
      </w:pPr>
    </w:p>
    <w:p>
      <w:pPr>
        <w:spacing w:line="360" w:lineRule="auto"/>
        <w:ind w:right="-384" w:rightChars="-183"/>
        <w:rPr>
          <w:rFonts w:ascii="宋体" w:hAnsi="宋体"/>
          <w:bCs/>
          <w:color w:val="auto"/>
          <w:highlight w:val="none"/>
          <w:u w:val="single"/>
        </w:rPr>
      </w:pPr>
    </w:p>
    <w:p>
      <w:pPr>
        <w:spacing w:line="360" w:lineRule="auto"/>
        <w:ind w:right="-384" w:rightChars="-183"/>
        <w:rPr>
          <w:rFonts w:ascii="宋体" w:hAnsi="宋体"/>
          <w:bCs/>
          <w:color w:val="auto"/>
          <w:highlight w:val="none"/>
          <w:u w:val="single"/>
        </w:rPr>
      </w:pPr>
    </w:p>
    <w:p>
      <w:pPr>
        <w:pStyle w:val="5"/>
        <w:numPr>
          <w:ilvl w:val="1"/>
          <w:numId w:val="0"/>
        </w:numPr>
        <w:spacing w:line="360" w:lineRule="auto"/>
        <w:jc w:val="center"/>
        <w:rPr>
          <w:rFonts w:ascii="宋体" w:hAnsi="宋体" w:eastAsia="宋体"/>
          <w:color w:val="auto"/>
          <w:sz w:val="28"/>
          <w:szCs w:val="28"/>
          <w:highlight w:val="none"/>
        </w:rPr>
      </w:pPr>
      <w:bookmarkStart w:id="248" w:name="_Toc200414535"/>
      <w:bookmarkStart w:id="249" w:name="_Toc29784"/>
      <w:r>
        <w:rPr>
          <w:rFonts w:hint="eastAsia" w:ascii="宋体" w:hAnsi="宋体" w:eastAsia="宋体"/>
          <w:color w:val="auto"/>
          <w:sz w:val="28"/>
          <w:szCs w:val="28"/>
          <w:highlight w:val="none"/>
        </w:rPr>
        <w:t>附件十：谈判供应商提交的其他资料</w:t>
      </w:r>
      <w:bookmarkEnd w:id="248"/>
      <w:bookmarkEnd w:id="249"/>
    </w:p>
    <w:p>
      <w:pPr>
        <w:adjustRightInd w:val="0"/>
        <w:snapToGrid w:val="0"/>
        <w:spacing w:line="360" w:lineRule="auto"/>
        <w:jc w:val="left"/>
        <w:rPr>
          <w:rFonts w:ascii="宋体" w:hAnsi="宋体"/>
          <w:bCs/>
          <w:color w:val="auto"/>
          <w:szCs w:val="21"/>
          <w:highlight w:val="none"/>
        </w:rPr>
      </w:pPr>
    </w:p>
    <w:p>
      <w:pPr>
        <w:adjustRightInd w:val="0"/>
        <w:snapToGrid w:val="0"/>
        <w:spacing w:line="360" w:lineRule="auto"/>
        <w:jc w:val="left"/>
        <w:rPr>
          <w:rFonts w:ascii="宋体" w:hAnsi="宋体"/>
          <w:b/>
          <w:bCs/>
          <w:caps/>
          <w:color w:val="auto"/>
          <w:szCs w:val="21"/>
          <w:highlight w:val="none"/>
          <w:u w:val="single"/>
        </w:rPr>
      </w:pPr>
      <w:r>
        <w:rPr>
          <w:rFonts w:hint="eastAsia" w:ascii="宋体" w:hAnsi="宋体"/>
          <w:bCs/>
          <w:color w:val="auto"/>
          <w:szCs w:val="21"/>
          <w:highlight w:val="none"/>
        </w:rPr>
        <w:t>项目编号:</w:t>
      </w:r>
    </w:p>
    <w:p>
      <w:pPr>
        <w:adjustRightInd w:val="0"/>
        <w:snapToGrid w:val="0"/>
        <w:spacing w:line="360" w:lineRule="auto"/>
        <w:jc w:val="left"/>
        <w:rPr>
          <w:rFonts w:ascii="宋体" w:hAnsi="宋体"/>
          <w:bCs/>
          <w:color w:val="auto"/>
          <w:szCs w:val="21"/>
          <w:highlight w:val="none"/>
        </w:rPr>
      </w:pPr>
      <w:r>
        <w:rPr>
          <w:rFonts w:hint="eastAsia" w:ascii="宋体" w:hAnsi="宋体"/>
          <w:color w:val="auto"/>
          <w:szCs w:val="21"/>
          <w:highlight w:val="none"/>
        </w:rPr>
        <w:t>项目名称：</w:t>
      </w:r>
    </w:p>
    <w:p>
      <w:pPr>
        <w:adjustRightInd w:val="0"/>
        <w:snapToGrid w:val="0"/>
        <w:spacing w:line="360" w:lineRule="auto"/>
        <w:jc w:val="left"/>
        <w:rPr>
          <w:rFonts w:ascii="宋体" w:hAnsi="宋体"/>
          <w:bCs/>
          <w:color w:val="auto"/>
          <w:szCs w:val="21"/>
          <w:highlight w:val="none"/>
          <w:u w:val="single"/>
        </w:rPr>
      </w:pPr>
    </w:p>
    <w:p>
      <w:pPr>
        <w:pStyle w:val="9"/>
        <w:spacing w:line="360" w:lineRule="auto"/>
        <w:rPr>
          <w:rFonts w:ascii="宋体" w:hAnsi="宋体"/>
          <w:color w:val="auto"/>
          <w:szCs w:val="21"/>
          <w:highlight w:val="none"/>
        </w:rPr>
      </w:pPr>
    </w:p>
    <w:p>
      <w:pPr>
        <w:pStyle w:val="9"/>
        <w:spacing w:line="360" w:lineRule="auto"/>
        <w:rPr>
          <w:rFonts w:ascii="宋体" w:hAnsi="宋体"/>
          <w:bCs/>
          <w:color w:val="auto"/>
          <w:szCs w:val="21"/>
          <w:highlight w:val="none"/>
        </w:rPr>
      </w:pPr>
      <w:r>
        <w:rPr>
          <w:rFonts w:hint="eastAsia" w:ascii="宋体" w:hAnsi="宋体"/>
          <w:bCs/>
          <w:color w:val="auto"/>
          <w:szCs w:val="21"/>
          <w:highlight w:val="none"/>
        </w:rPr>
        <w:t>本节无格式要求，供应商可根据自身实际情况以及谈判文件规定的“谈判采购项目要求”等进行编制。</w:t>
      </w:r>
    </w:p>
    <w:p>
      <w:pPr>
        <w:pStyle w:val="9"/>
        <w:spacing w:line="360" w:lineRule="auto"/>
        <w:rPr>
          <w:rFonts w:ascii="宋体" w:hAnsi="宋体"/>
          <w:bCs/>
          <w:color w:val="auto"/>
          <w:szCs w:val="21"/>
          <w:highlight w:val="none"/>
        </w:rPr>
      </w:pPr>
      <w:r>
        <w:rPr>
          <w:rFonts w:hint="eastAsia" w:ascii="宋体" w:hAnsi="宋体"/>
          <w:bCs/>
          <w:color w:val="auto"/>
          <w:szCs w:val="21"/>
          <w:highlight w:val="none"/>
        </w:rPr>
        <w:t>一、</w:t>
      </w:r>
    </w:p>
    <w:p>
      <w:pPr>
        <w:pStyle w:val="9"/>
        <w:spacing w:line="360" w:lineRule="auto"/>
        <w:rPr>
          <w:rFonts w:ascii="宋体" w:hAnsi="宋体"/>
          <w:bCs/>
          <w:color w:val="auto"/>
          <w:szCs w:val="21"/>
          <w:highlight w:val="none"/>
        </w:rPr>
      </w:pPr>
      <w:r>
        <w:rPr>
          <w:rFonts w:hint="eastAsia" w:ascii="宋体" w:hAnsi="宋体"/>
          <w:bCs/>
          <w:color w:val="auto"/>
          <w:szCs w:val="21"/>
          <w:highlight w:val="none"/>
        </w:rPr>
        <w:t>二、</w:t>
      </w:r>
    </w:p>
    <w:p>
      <w:pPr>
        <w:pStyle w:val="9"/>
        <w:spacing w:line="360" w:lineRule="auto"/>
        <w:rPr>
          <w:rFonts w:ascii="宋体" w:hAnsi="宋体"/>
          <w:bCs/>
          <w:color w:val="auto"/>
          <w:szCs w:val="21"/>
          <w:highlight w:val="none"/>
        </w:rPr>
      </w:pPr>
      <w:r>
        <w:rPr>
          <w:rFonts w:hint="eastAsia" w:ascii="宋体" w:hAnsi="宋体"/>
          <w:bCs/>
          <w:color w:val="auto"/>
          <w:szCs w:val="21"/>
          <w:highlight w:val="none"/>
        </w:rPr>
        <w:t>三、</w:t>
      </w:r>
      <w:r>
        <w:rPr>
          <w:rFonts w:ascii="宋体" w:hAnsi="宋体"/>
          <w:bCs/>
          <w:color w:val="auto"/>
          <w:szCs w:val="21"/>
          <w:highlight w:val="none"/>
        </w:rPr>
        <w:t>...</w:t>
      </w:r>
    </w:p>
    <w:p>
      <w:pPr>
        <w:pStyle w:val="9"/>
        <w:spacing w:line="360" w:lineRule="auto"/>
        <w:rPr>
          <w:rFonts w:ascii="宋体" w:hAnsi="宋体"/>
          <w:bCs/>
          <w:color w:val="auto"/>
          <w:szCs w:val="21"/>
          <w:highlight w:val="none"/>
        </w:rPr>
      </w:pPr>
      <w:r>
        <w:rPr>
          <w:rFonts w:hint="eastAsia" w:ascii="宋体" w:hAnsi="宋体"/>
          <w:bCs/>
          <w:color w:val="auto"/>
          <w:szCs w:val="21"/>
          <w:highlight w:val="none"/>
        </w:rPr>
        <w:t>四、</w:t>
      </w:r>
      <w:r>
        <w:rPr>
          <w:rFonts w:ascii="宋体" w:hAnsi="宋体"/>
          <w:bCs/>
          <w:color w:val="auto"/>
          <w:szCs w:val="21"/>
          <w:highlight w:val="none"/>
        </w:rPr>
        <w:t>...</w:t>
      </w:r>
    </w:p>
    <w:p>
      <w:pPr>
        <w:adjustRightInd w:val="0"/>
        <w:snapToGrid w:val="0"/>
        <w:spacing w:line="360" w:lineRule="auto"/>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供应商法定代表人（负责人）或授权代理人（签字）：</w:t>
      </w:r>
    </w:p>
    <w:p>
      <w:pPr>
        <w:adjustRightInd w:val="0"/>
        <w:snapToGrid w:val="0"/>
        <w:spacing w:line="360" w:lineRule="auto"/>
        <w:rPr>
          <w:rFonts w:ascii="宋体" w:hAnsi="宋体"/>
          <w:bCs/>
          <w:color w:val="auto"/>
          <w:szCs w:val="21"/>
          <w:highlight w:val="none"/>
          <w:u w:val="single"/>
        </w:rPr>
      </w:pPr>
      <w:r>
        <w:rPr>
          <w:rFonts w:hint="eastAsia" w:ascii="宋体" w:hAnsi="宋体"/>
          <w:bCs/>
          <w:color w:val="auto"/>
          <w:szCs w:val="21"/>
          <w:highlight w:val="none"/>
        </w:rPr>
        <w:t>供应商名称（加盖公章）：</w:t>
      </w: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日期： 年月 日</w:t>
      </w:r>
    </w:p>
    <w:p>
      <w:pPr>
        <w:pStyle w:val="9"/>
        <w:spacing w:line="360" w:lineRule="auto"/>
        <w:rPr>
          <w:rFonts w:ascii="宋体" w:hAnsi="宋体"/>
          <w:color w:val="auto"/>
          <w:szCs w:val="21"/>
          <w:highlight w:val="none"/>
        </w:rPr>
      </w:pP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（供应商认为本节无须提交的，应当注明“本节空白”字样）。</w:t>
      </w:r>
    </w:p>
    <w:p>
      <w:pPr>
        <w:pStyle w:val="9"/>
        <w:spacing w:line="360" w:lineRule="auto"/>
        <w:rPr>
          <w:rFonts w:ascii="宋体" w:hAnsi="宋体"/>
          <w:color w:val="auto"/>
          <w:highlight w:val="none"/>
        </w:rPr>
      </w:pPr>
    </w:p>
    <w:p>
      <w:pPr>
        <w:pStyle w:val="9"/>
        <w:spacing w:line="360" w:lineRule="auto"/>
        <w:rPr>
          <w:rFonts w:ascii="宋体" w:hAnsi="宋体"/>
          <w:color w:val="auto"/>
          <w:highlight w:val="none"/>
        </w:rPr>
      </w:pPr>
    </w:p>
    <w:p>
      <w:pPr>
        <w:pStyle w:val="9"/>
        <w:spacing w:line="360" w:lineRule="auto"/>
        <w:rPr>
          <w:rFonts w:ascii="宋体" w:hAnsi="宋体"/>
          <w:color w:val="auto"/>
          <w:highlight w:val="none"/>
        </w:rPr>
      </w:pPr>
    </w:p>
    <w:p>
      <w:pPr>
        <w:pStyle w:val="9"/>
        <w:spacing w:line="360" w:lineRule="auto"/>
        <w:rPr>
          <w:rFonts w:ascii="宋体" w:hAnsi="宋体"/>
          <w:color w:val="auto"/>
          <w:highlight w:val="none"/>
        </w:rPr>
      </w:pPr>
    </w:p>
    <w:p>
      <w:pPr>
        <w:pStyle w:val="9"/>
        <w:spacing w:line="360" w:lineRule="auto"/>
        <w:rPr>
          <w:rFonts w:ascii="宋体" w:hAnsi="宋体"/>
          <w:color w:val="auto"/>
          <w:highlight w:val="none"/>
        </w:rPr>
      </w:pPr>
    </w:p>
    <w:p>
      <w:pPr>
        <w:pStyle w:val="9"/>
        <w:spacing w:line="360" w:lineRule="auto"/>
        <w:rPr>
          <w:rFonts w:ascii="宋体" w:hAnsi="宋体"/>
          <w:color w:val="auto"/>
          <w:highlight w:val="none"/>
        </w:rPr>
      </w:pPr>
    </w:p>
    <w:p>
      <w:pPr>
        <w:pStyle w:val="9"/>
        <w:spacing w:line="360" w:lineRule="auto"/>
        <w:rPr>
          <w:rFonts w:ascii="宋体" w:hAnsi="宋体"/>
          <w:color w:val="auto"/>
          <w:highlight w:val="none"/>
        </w:rPr>
      </w:pPr>
    </w:p>
    <w:p>
      <w:pPr>
        <w:pStyle w:val="9"/>
        <w:spacing w:line="360" w:lineRule="auto"/>
        <w:rPr>
          <w:rFonts w:ascii="宋体" w:hAnsi="宋体"/>
          <w:color w:val="auto"/>
          <w:highlight w:val="none"/>
        </w:rPr>
      </w:pPr>
    </w:p>
    <w:p>
      <w:pPr>
        <w:pStyle w:val="9"/>
        <w:spacing w:line="360" w:lineRule="auto"/>
        <w:rPr>
          <w:rFonts w:ascii="宋体" w:hAnsi="宋体"/>
          <w:color w:val="auto"/>
          <w:highlight w:val="none"/>
        </w:rPr>
      </w:pPr>
    </w:p>
    <w:p>
      <w:pPr>
        <w:pStyle w:val="9"/>
        <w:spacing w:line="360" w:lineRule="auto"/>
        <w:rPr>
          <w:rFonts w:ascii="宋体" w:hAnsi="宋体"/>
          <w:color w:val="auto"/>
          <w:highlight w:val="none"/>
        </w:rPr>
      </w:pPr>
    </w:p>
    <w:p>
      <w:pPr>
        <w:pStyle w:val="9"/>
        <w:spacing w:line="360" w:lineRule="auto"/>
        <w:rPr>
          <w:rFonts w:ascii="宋体" w:hAnsi="宋体"/>
          <w:color w:val="auto"/>
          <w:highlight w:val="none"/>
        </w:rPr>
      </w:pPr>
    </w:p>
    <w:p>
      <w:pPr>
        <w:pStyle w:val="9"/>
        <w:spacing w:line="360" w:lineRule="auto"/>
        <w:rPr>
          <w:rFonts w:ascii="宋体" w:hAnsi="宋体"/>
          <w:color w:val="auto"/>
          <w:highlight w:val="none"/>
        </w:rPr>
      </w:pPr>
    </w:p>
    <w:p>
      <w:pPr>
        <w:pStyle w:val="9"/>
        <w:spacing w:line="360" w:lineRule="auto"/>
        <w:rPr>
          <w:rFonts w:ascii="宋体" w:hAnsi="宋体"/>
          <w:color w:val="auto"/>
          <w:highlight w:val="none"/>
        </w:rPr>
      </w:pPr>
    </w:p>
    <w:p>
      <w:pPr>
        <w:pStyle w:val="9"/>
        <w:spacing w:line="360" w:lineRule="auto"/>
        <w:rPr>
          <w:rFonts w:ascii="宋体" w:hAnsi="宋体"/>
          <w:color w:val="auto"/>
          <w:highlight w:val="none"/>
        </w:rPr>
      </w:pPr>
    </w:p>
    <w:p>
      <w:pPr>
        <w:pStyle w:val="9"/>
        <w:spacing w:line="360" w:lineRule="auto"/>
        <w:rPr>
          <w:rFonts w:ascii="宋体" w:hAnsi="宋体"/>
          <w:color w:val="auto"/>
          <w:highlight w:val="none"/>
        </w:rPr>
      </w:pPr>
    </w:p>
    <w:p>
      <w:pPr>
        <w:pStyle w:val="9"/>
        <w:spacing w:line="360" w:lineRule="auto"/>
        <w:rPr>
          <w:rFonts w:ascii="宋体" w:hAnsi="宋体"/>
          <w:color w:val="auto"/>
          <w:highlight w:val="none"/>
        </w:rPr>
      </w:pPr>
    </w:p>
    <w:p>
      <w:pPr>
        <w:pStyle w:val="9"/>
        <w:spacing w:line="360" w:lineRule="auto"/>
        <w:rPr>
          <w:rFonts w:ascii="宋体" w:hAnsi="宋体"/>
          <w:color w:val="auto"/>
          <w:highlight w:val="none"/>
        </w:rPr>
      </w:pPr>
    </w:p>
    <w:p>
      <w:pPr>
        <w:pStyle w:val="9"/>
        <w:spacing w:line="360" w:lineRule="auto"/>
        <w:rPr>
          <w:rFonts w:ascii="宋体" w:hAnsi="宋体"/>
          <w:color w:val="auto"/>
          <w:highlight w:val="none"/>
        </w:rPr>
      </w:pPr>
    </w:p>
    <w:p>
      <w:pPr>
        <w:pStyle w:val="9"/>
        <w:spacing w:line="360" w:lineRule="auto"/>
        <w:rPr>
          <w:rFonts w:ascii="宋体" w:hAnsi="宋体"/>
          <w:color w:val="auto"/>
          <w:highlight w:val="none"/>
        </w:rPr>
      </w:pPr>
    </w:p>
    <w:p>
      <w:pPr>
        <w:pStyle w:val="9"/>
        <w:spacing w:line="360" w:lineRule="auto"/>
        <w:rPr>
          <w:rFonts w:ascii="宋体" w:hAnsi="宋体"/>
          <w:color w:val="auto"/>
          <w:highlight w:val="none"/>
        </w:rPr>
      </w:pPr>
    </w:p>
    <w:p>
      <w:pPr>
        <w:pStyle w:val="5"/>
        <w:numPr>
          <w:ilvl w:val="1"/>
          <w:numId w:val="0"/>
        </w:numPr>
        <w:spacing w:line="360" w:lineRule="auto"/>
        <w:jc w:val="center"/>
        <w:rPr>
          <w:rFonts w:ascii="宋体" w:hAnsi="宋体" w:eastAsia="宋体"/>
          <w:color w:val="auto"/>
          <w:sz w:val="52"/>
          <w:highlight w:val="none"/>
        </w:rPr>
      </w:pPr>
      <w:bookmarkStart w:id="250" w:name="_Toc14269"/>
      <w:bookmarkStart w:id="251" w:name="_Toc434832511"/>
      <w:r>
        <w:rPr>
          <w:rFonts w:hint="eastAsia" w:ascii="宋体" w:hAnsi="宋体" w:eastAsia="宋体"/>
          <w:color w:val="auto"/>
          <w:sz w:val="52"/>
          <w:highlight w:val="none"/>
        </w:rPr>
        <w:t>其 他 格 式</w:t>
      </w:r>
      <w:bookmarkEnd w:id="250"/>
      <w:bookmarkEnd w:id="251"/>
    </w:p>
    <w:p>
      <w:pPr>
        <w:spacing w:line="360" w:lineRule="auto"/>
        <w:jc w:val="center"/>
        <w:rPr>
          <w:rFonts w:ascii="宋体" w:hAnsi="宋体"/>
          <w:b/>
          <w:color w:val="auto"/>
          <w:sz w:val="28"/>
          <w:highlight w:val="none"/>
        </w:rPr>
      </w:pPr>
      <w:r>
        <w:rPr>
          <w:rFonts w:hint="eastAsia" w:ascii="宋体" w:hAnsi="宋体"/>
          <w:b/>
          <w:color w:val="auto"/>
          <w:sz w:val="36"/>
          <w:highlight w:val="none"/>
        </w:rPr>
        <w:t>（以下文件勿装订在谈判文件内</w:t>
      </w:r>
      <w:r>
        <w:rPr>
          <w:rFonts w:ascii="宋体" w:hAnsi="宋体"/>
          <w:b/>
          <w:color w:val="auto"/>
          <w:sz w:val="36"/>
          <w:highlight w:val="none"/>
        </w:rPr>
        <w:t>）</w:t>
      </w: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b/>
          <w:color w:val="auto"/>
          <w:highlight w:val="none"/>
        </w:rPr>
      </w:pPr>
    </w:p>
    <w:p>
      <w:pPr>
        <w:pStyle w:val="9"/>
        <w:rPr>
          <w:rFonts w:hint="eastAsia" w:ascii="宋体" w:hAnsi="宋体"/>
          <w:b/>
          <w:color w:val="auto"/>
          <w:szCs w:val="21"/>
          <w:highlight w:val="none"/>
        </w:rPr>
      </w:pPr>
    </w:p>
    <w:p>
      <w:pPr>
        <w:pStyle w:val="9"/>
        <w:rPr>
          <w:rFonts w:hint="eastAsia" w:ascii="宋体" w:hAnsi="宋体"/>
          <w:b/>
          <w:color w:val="auto"/>
          <w:szCs w:val="21"/>
          <w:highlight w:val="none"/>
        </w:rPr>
      </w:pPr>
    </w:p>
    <w:p>
      <w:pPr>
        <w:jc w:val="center"/>
        <w:rPr>
          <w:rFonts w:hint="eastAsia"/>
          <w:b/>
          <w:bCs/>
          <w:color w:val="auto"/>
          <w:szCs w:val="21"/>
          <w:highlight w:val="none"/>
        </w:rPr>
      </w:pPr>
      <w:r>
        <w:rPr>
          <w:rFonts w:hint="eastAsia"/>
          <w:b/>
          <w:bCs/>
          <w:color w:val="auto"/>
          <w:sz w:val="44"/>
          <w:szCs w:val="44"/>
          <w:highlight w:val="none"/>
        </w:rPr>
        <w:t>购买标书登记表</w:t>
      </w:r>
    </w:p>
    <w:p>
      <w:pPr>
        <w:jc w:val="center"/>
        <w:rPr>
          <w:rFonts w:hint="eastAsia"/>
          <w:color w:val="auto"/>
          <w:szCs w:val="21"/>
          <w:highlight w:val="none"/>
        </w:rPr>
      </w:pPr>
    </w:p>
    <w:tbl>
      <w:tblPr>
        <w:tblStyle w:val="4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项目名称</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招标编号</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购买时间</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投标商名称</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地址</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电话</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传真</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联系人</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手机</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职务</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电子邮件</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拟投设备</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制造厂商</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经营范围</w:t>
            </w:r>
          </w:p>
        </w:tc>
        <w:tc>
          <w:tcPr>
            <w:tcW w:w="6775" w:type="dxa"/>
            <w:gridSpan w:val="3"/>
            <w:noWrap w:val="0"/>
            <w:vAlign w:val="top"/>
          </w:tcPr>
          <w:p>
            <w:pPr>
              <w:rPr>
                <w:rFonts w:hint="eastAsia"/>
                <w:color w:val="auto"/>
                <w:sz w:val="28"/>
                <w:szCs w:val="28"/>
                <w:highlight w:val="none"/>
              </w:rPr>
            </w:pPr>
          </w:p>
        </w:tc>
      </w:tr>
    </w:tbl>
    <w:p>
      <w:pPr>
        <w:pStyle w:val="9"/>
        <w:ind w:left="0" w:leftChars="0" w:firstLine="0" w:firstLineChars="0"/>
        <w:rPr>
          <w:rFonts w:hint="eastAsia" w:ascii="宋体" w:hAnsi="宋体"/>
          <w:b/>
          <w:color w:val="auto"/>
          <w:szCs w:val="21"/>
          <w:highlight w:val="none"/>
        </w:rPr>
      </w:pPr>
    </w:p>
    <w:p>
      <w:pPr>
        <w:pStyle w:val="9"/>
        <w:ind w:left="0" w:leftChars="0" w:firstLine="0" w:firstLineChars="0"/>
        <w:rPr>
          <w:rFonts w:hint="eastAsia" w:ascii="宋体" w:hAnsi="宋体"/>
          <w:b/>
          <w:color w:val="auto"/>
          <w:szCs w:val="21"/>
          <w:highlight w:val="none"/>
        </w:rPr>
      </w:pPr>
    </w:p>
    <w:p>
      <w:pPr>
        <w:pStyle w:val="9"/>
        <w:ind w:left="0" w:leftChars="0" w:firstLine="0" w:firstLineChars="0"/>
        <w:rPr>
          <w:rFonts w:hint="eastAsia" w:ascii="宋体" w:hAnsi="宋体"/>
          <w:b/>
          <w:color w:val="auto"/>
          <w:szCs w:val="21"/>
          <w:highlight w:val="none"/>
        </w:rPr>
      </w:pPr>
    </w:p>
    <w:p>
      <w:pPr>
        <w:pStyle w:val="9"/>
        <w:ind w:left="0" w:leftChars="0" w:firstLine="0" w:firstLineChars="0"/>
        <w:rPr>
          <w:rFonts w:hint="eastAsia" w:ascii="宋体" w:hAnsi="宋体"/>
          <w:b/>
          <w:color w:val="auto"/>
          <w:szCs w:val="21"/>
          <w:highlight w:val="none"/>
        </w:rPr>
      </w:pPr>
    </w:p>
    <w:p>
      <w:pPr>
        <w:pStyle w:val="9"/>
        <w:ind w:left="0" w:leftChars="0" w:firstLine="0" w:firstLineChars="0"/>
        <w:rPr>
          <w:rFonts w:hint="eastAsia" w:ascii="宋体" w:hAnsi="宋体"/>
          <w:b/>
          <w:color w:val="auto"/>
          <w:szCs w:val="21"/>
          <w:highlight w:val="none"/>
        </w:rPr>
      </w:pPr>
    </w:p>
    <w:p>
      <w:pPr>
        <w:pStyle w:val="9"/>
        <w:ind w:left="0" w:leftChars="0" w:firstLine="0" w:firstLineChars="0"/>
        <w:rPr>
          <w:rFonts w:hint="eastAsia" w:ascii="宋体" w:hAnsi="宋体"/>
          <w:b/>
          <w:color w:val="auto"/>
          <w:szCs w:val="21"/>
          <w:highlight w:val="none"/>
        </w:rPr>
      </w:pPr>
    </w:p>
    <w:p>
      <w:pPr>
        <w:pStyle w:val="9"/>
        <w:ind w:left="0" w:leftChars="0" w:firstLine="0" w:firstLineChars="0"/>
        <w:rPr>
          <w:rFonts w:hint="eastAsia" w:ascii="宋体" w:hAnsi="宋体"/>
          <w:b/>
          <w:color w:val="auto"/>
          <w:szCs w:val="21"/>
          <w:highlight w:val="none"/>
        </w:rPr>
      </w:pPr>
    </w:p>
    <w:p>
      <w:pPr>
        <w:pStyle w:val="9"/>
        <w:ind w:left="0" w:leftChars="0" w:firstLine="0" w:firstLineChars="0"/>
        <w:rPr>
          <w:rFonts w:hint="eastAsia" w:ascii="宋体" w:hAnsi="宋体"/>
          <w:b/>
          <w:color w:val="auto"/>
          <w:szCs w:val="21"/>
          <w:highlight w:val="none"/>
        </w:rPr>
      </w:pPr>
    </w:p>
    <w:p>
      <w:pPr>
        <w:spacing w:line="360" w:lineRule="auto"/>
        <w:rPr>
          <w:rFonts w:ascii="宋体" w:hAnsi="宋体"/>
          <w:b/>
          <w:color w:val="auto"/>
          <w:szCs w:val="21"/>
          <w:highlight w:val="none"/>
        </w:rPr>
      </w:pPr>
    </w:p>
    <w:p>
      <w:pPr>
        <w:spacing w:line="360" w:lineRule="auto"/>
        <w:jc w:val="center"/>
        <w:rPr>
          <w:rFonts w:ascii="宋体" w:hAnsi="宋体"/>
          <w:b/>
          <w:color w:val="auto"/>
          <w:sz w:val="24"/>
          <w:highlight w:val="none"/>
        </w:rPr>
      </w:pPr>
      <w:r>
        <w:rPr>
          <w:rFonts w:hint="eastAsia" w:ascii="宋体" w:hAnsi="宋体"/>
          <w:b/>
          <w:color w:val="auto"/>
          <w:sz w:val="24"/>
          <w:highlight w:val="none"/>
        </w:rPr>
        <w:t>询问函、质疑函格式</w:t>
      </w:r>
    </w:p>
    <w:p>
      <w:pPr>
        <w:pStyle w:val="38"/>
        <w:snapToGrid w:val="0"/>
        <w:spacing w:before="0" w:beforeAutospacing="0" w:after="0" w:afterAutospacing="0" w:line="360" w:lineRule="auto"/>
        <w:jc w:val="both"/>
        <w:rPr>
          <w:color w:val="auto"/>
          <w:szCs w:val="21"/>
          <w:highlight w:val="none"/>
        </w:rPr>
      </w:pPr>
    </w:p>
    <w:p>
      <w:pPr>
        <w:snapToGrid w:val="0"/>
        <w:spacing w:line="360" w:lineRule="auto"/>
        <w:ind w:firstLine="424" w:firstLineChars="201"/>
        <w:rPr>
          <w:rFonts w:ascii="宋体" w:hAnsi="宋体"/>
          <w:b/>
          <w:color w:val="auto"/>
          <w:szCs w:val="21"/>
          <w:highlight w:val="none"/>
        </w:rPr>
      </w:pPr>
      <w:r>
        <w:rPr>
          <w:rFonts w:hint="eastAsia" w:ascii="宋体" w:hAnsi="宋体"/>
          <w:b/>
          <w:color w:val="auto"/>
          <w:szCs w:val="21"/>
          <w:highlight w:val="none"/>
        </w:rPr>
        <w:t>说明：本部分格式为投标供应商提交询问函、质疑函、投诉函时使用，不属于投标文件格式的组成部分。</w:t>
      </w:r>
    </w:p>
    <w:p>
      <w:pPr>
        <w:pStyle w:val="38"/>
        <w:snapToGrid w:val="0"/>
        <w:spacing w:before="0" w:beforeAutospacing="0" w:after="0" w:afterAutospacing="0" w:line="360" w:lineRule="auto"/>
        <w:jc w:val="both"/>
        <w:rPr>
          <w:color w:val="auto"/>
          <w:szCs w:val="21"/>
          <w:highlight w:val="none"/>
        </w:rPr>
      </w:pPr>
    </w:p>
    <w:p>
      <w:pPr>
        <w:pStyle w:val="38"/>
        <w:snapToGrid w:val="0"/>
        <w:spacing w:before="0" w:beforeAutospacing="0" w:after="0" w:afterAutospacing="0" w:line="360" w:lineRule="auto"/>
        <w:jc w:val="both"/>
        <w:rPr>
          <w:color w:val="auto"/>
          <w:highlight w:val="none"/>
        </w:rPr>
      </w:pPr>
      <w:r>
        <w:rPr>
          <w:rFonts w:hint="eastAsia"/>
          <w:color w:val="auto"/>
          <w:highlight w:val="none"/>
        </w:rPr>
        <w:t>1：询问函格式</w:t>
      </w:r>
    </w:p>
    <w:p>
      <w:pPr>
        <w:pStyle w:val="38"/>
        <w:spacing w:before="0" w:beforeAutospacing="0" w:after="0" w:afterAutospacing="0" w:line="360" w:lineRule="auto"/>
        <w:jc w:val="center"/>
        <w:rPr>
          <w:rStyle w:val="45"/>
          <w:color w:val="auto"/>
          <w:highlight w:val="none"/>
        </w:rPr>
      </w:pPr>
      <w:r>
        <w:rPr>
          <w:rStyle w:val="45"/>
          <w:rFonts w:hint="eastAsia"/>
          <w:b w:val="0"/>
          <w:color w:val="auto"/>
          <w:highlight w:val="none"/>
        </w:rPr>
        <w:t>询问函</w:t>
      </w:r>
    </w:p>
    <w:p>
      <w:pPr>
        <w:widowControl/>
        <w:tabs>
          <w:tab w:val="left" w:pos="6300"/>
        </w:tabs>
        <w:snapToGrid w:val="0"/>
        <w:spacing w:line="360" w:lineRule="auto"/>
        <w:jc w:val="left"/>
        <w:rPr>
          <w:rFonts w:ascii="宋体" w:hAnsi="宋体"/>
          <w:color w:val="auto"/>
          <w:highlight w:val="none"/>
        </w:rPr>
      </w:pPr>
      <w:r>
        <w:rPr>
          <w:rFonts w:hint="eastAsia" w:ascii="宋体" w:hAnsi="宋体"/>
          <w:color w:val="auto"/>
          <w:sz w:val="24"/>
          <w:highlight w:val="none"/>
          <w:lang w:eastAsia="zh-CN"/>
        </w:rPr>
        <w:t>广东业信招标有限公司</w:t>
      </w:r>
      <w:r>
        <w:rPr>
          <w:rFonts w:hint="eastAsia" w:ascii="宋体" w:hAnsi="宋体"/>
          <w:color w:val="auto"/>
          <w:sz w:val="24"/>
          <w:highlight w:val="none"/>
        </w:rPr>
        <w:t>：</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我单位已报名并准备参与</w:t>
      </w:r>
      <w:r>
        <w:rPr>
          <w:rFonts w:hint="eastAsia" w:ascii="宋体" w:hAnsi="宋体"/>
          <w:color w:val="auto"/>
          <w:sz w:val="24"/>
          <w:highlight w:val="none"/>
          <w:u w:val="single"/>
        </w:rPr>
        <w:t>（项目名称）</w:t>
      </w:r>
      <w:r>
        <w:rPr>
          <w:rFonts w:hint="eastAsia" w:ascii="宋体" w:hAnsi="宋体"/>
          <w:color w:val="auto"/>
          <w:sz w:val="24"/>
          <w:highlight w:val="none"/>
        </w:rPr>
        <w:t>项目（采购文件编号：</w:t>
      </w:r>
      <w:r>
        <w:rPr>
          <w:rFonts w:hint="eastAsia" w:ascii="宋体" w:hAnsi="宋体"/>
          <w:color w:val="auto"/>
          <w:sz w:val="24"/>
          <w:highlight w:val="none"/>
          <w:u w:val="single"/>
        </w:rPr>
        <w:t xml:space="preserve">     </w:t>
      </w:r>
      <w:r>
        <w:rPr>
          <w:rFonts w:hint="eastAsia" w:ascii="宋体" w:hAnsi="宋体"/>
          <w:color w:val="auto"/>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询问人：（公章）</w:t>
      </w:r>
    </w:p>
    <w:p>
      <w:pPr>
        <w:widowControl/>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法定代表人（负责人）（授权代表）：</w:t>
      </w:r>
    </w:p>
    <w:p>
      <w:pPr>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地址/邮编：</w:t>
      </w:r>
    </w:p>
    <w:p>
      <w:pPr>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电话/传真：</w:t>
      </w:r>
    </w:p>
    <w:p>
      <w:pPr>
        <w:spacing w:line="360" w:lineRule="auto"/>
        <w:jc w:val="right"/>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napToGrid w:val="0"/>
        <w:spacing w:line="360" w:lineRule="auto"/>
        <w:ind w:firstLine="432" w:firstLineChars="180"/>
        <w:rPr>
          <w:rFonts w:ascii="宋体" w:hAnsi="宋体"/>
          <w:color w:val="auto"/>
          <w:sz w:val="24"/>
          <w:highlight w:val="none"/>
        </w:rPr>
      </w:pPr>
    </w:p>
    <w:p>
      <w:pPr>
        <w:pStyle w:val="38"/>
        <w:adjustRightInd w:val="0"/>
        <w:snapToGrid w:val="0"/>
        <w:spacing w:before="0" w:beforeAutospacing="0" w:after="0" w:afterAutospacing="0" w:line="360" w:lineRule="auto"/>
        <w:jc w:val="both"/>
        <w:rPr>
          <w:color w:val="auto"/>
          <w:highlight w:val="none"/>
        </w:rPr>
      </w:pPr>
      <w:r>
        <w:rPr>
          <w:rFonts w:hint="eastAsia"/>
          <w:color w:val="auto"/>
          <w:highlight w:val="none"/>
        </w:rPr>
        <w:br w:type="page"/>
      </w:r>
      <w:r>
        <w:rPr>
          <w:rFonts w:hint="eastAsia"/>
          <w:color w:val="auto"/>
          <w:highlight w:val="none"/>
        </w:rPr>
        <w:t>2：质疑函格式</w:t>
      </w:r>
    </w:p>
    <w:p>
      <w:pPr>
        <w:pStyle w:val="38"/>
        <w:spacing w:before="0" w:beforeAutospacing="0" w:after="0" w:afterAutospacing="0" w:line="360" w:lineRule="auto"/>
        <w:jc w:val="center"/>
        <w:rPr>
          <w:rStyle w:val="45"/>
          <w:color w:val="auto"/>
          <w:highlight w:val="none"/>
        </w:rPr>
      </w:pPr>
      <w:r>
        <w:rPr>
          <w:rStyle w:val="45"/>
          <w:rFonts w:hint="eastAsia"/>
          <w:b w:val="0"/>
          <w:color w:val="auto"/>
          <w:highlight w:val="none"/>
        </w:rPr>
        <w:t>质疑函</w:t>
      </w:r>
    </w:p>
    <w:p>
      <w:pPr>
        <w:adjustRightInd w:val="0"/>
        <w:snapToGrid w:val="0"/>
        <w:spacing w:beforeLines="100" w:line="360" w:lineRule="auto"/>
        <w:rPr>
          <w:rFonts w:ascii="宋体" w:hAnsi="宋体" w:cs="仿宋"/>
          <w:bCs/>
          <w:color w:val="auto"/>
          <w:sz w:val="24"/>
          <w:highlight w:val="none"/>
        </w:rPr>
      </w:pPr>
      <w:r>
        <w:rPr>
          <w:rFonts w:hint="eastAsia" w:ascii="宋体" w:hAnsi="宋体" w:cs="仿宋"/>
          <w:bCs/>
          <w:color w:val="auto"/>
          <w:sz w:val="24"/>
          <w:highlight w:val="none"/>
        </w:rPr>
        <w:t>一、质疑供应商基本信息</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质疑供应商：</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地址：</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邮编：</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联系人：</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联系电话：</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授权代表：</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联系电话：</w:t>
      </w:r>
      <w:r>
        <w:rPr>
          <w:rFonts w:hint="eastAsia" w:ascii="宋体" w:hAnsi="宋体" w:cs="仿宋"/>
          <w:color w:val="auto"/>
          <w:sz w:val="24"/>
          <w:highlight w:val="none"/>
          <w:u w:val="dotted"/>
        </w:rPr>
        <w:t xml:space="preserve">                                           </w:t>
      </w:r>
      <w:r>
        <w:rPr>
          <w:rFonts w:ascii="宋体" w:hAnsi="宋体" w:cs="仿宋"/>
          <w:color w:val="auto"/>
          <w:sz w:val="24"/>
          <w:highlight w:val="none"/>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地址：</w:t>
      </w:r>
      <w:r>
        <w:rPr>
          <w:rFonts w:ascii="宋体" w:hAnsi="宋体" w:cs="仿宋"/>
          <w:color w:val="auto"/>
          <w:sz w:val="24"/>
          <w:highlight w:val="none"/>
        </w:rPr>
        <w:t xml:space="preserve"> </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邮编：</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二、质疑项目基本情况</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质疑项目的名称：</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质疑项目的编号：</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包号：</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采购人名称：</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采购文件获取日期：</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三、质疑事项具体内容</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质疑事项1：</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事实依据：</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法律依据：</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质疑事项2</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w:t>
      </w:r>
    </w:p>
    <w:p>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四、与质疑事项相关的质疑请求</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请求：</w:t>
      </w:r>
      <w:r>
        <w:rPr>
          <w:rFonts w:hint="eastAsia" w:ascii="宋体" w:hAnsi="宋体" w:cs="仿宋"/>
          <w:color w:val="auto"/>
          <w:sz w:val="24"/>
          <w:highlight w:val="none"/>
          <w:u w:val="dotted"/>
        </w:rPr>
        <w:t xml:space="preserve">                                               </w:t>
      </w:r>
    </w:p>
    <w:p>
      <w:pPr>
        <w:rPr>
          <w:rFonts w:ascii="宋体" w:hAnsi="宋体"/>
          <w:color w:val="auto"/>
          <w:sz w:val="24"/>
          <w:highlight w:val="none"/>
        </w:rPr>
      </w:pPr>
    </w:p>
    <w:p>
      <w:pPr>
        <w:rPr>
          <w:rFonts w:ascii="宋体" w:hAnsi="宋体"/>
          <w:color w:val="auto"/>
          <w:sz w:val="24"/>
          <w:highlight w:val="none"/>
        </w:rPr>
      </w:pPr>
      <w:r>
        <w:rPr>
          <w:rFonts w:hint="eastAsia" w:ascii="宋体" w:hAnsi="宋体"/>
          <w:color w:val="auto"/>
          <w:sz w:val="24"/>
          <w:highlight w:val="none"/>
        </w:rPr>
        <w:t xml:space="preserve">签字(签章)：                   公章：                      </w:t>
      </w:r>
    </w:p>
    <w:p>
      <w:pPr>
        <w:rPr>
          <w:rFonts w:ascii="宋体" w:hAnsi="宋体"/>
          <w:color w:val="auto"/>
          <w:sz w:val="24"/>
          <w:highlight w:val="none"/>
        </w:rPr>
      </w:pPr>
    </w:p>
    <w:p>
      <w:pPr>
        <w:rPr>
          <w:rFonts w:ascii="宋体" w:hAnsi="宋体"/>
          <w:color w:val="auto"/>
          <w:sz w:val="24"/>
          <w:highlight w:val="none"/>
        </w:rPr>
      </w:pPr>
      <w:r>
        <w:rPr>
          <w:rFonts w:hint="eastAsia" w:ascii="宋体" w:hAnsi="宋体"/>
          <w:color w:val="auto"/>
          <w:sz w:val="24"/>
          <w:highlight w:val="none"/>
        </w:rPr>
        <w:t xml:space="preserve">日期：    </w:t>
      </w:r>
    </w:p>
    <w:p>
      <w:pPr>
        <w:adjustRightInd w:val="0"/>
        <w:snapToGrid w:val="0"/>
        <w:spacing w:line="360" w:lineRule="auto"/>
        <w:rPr>
          <w:rFonts w:ascii="宋体" w:hAnsi="宋体" w:cs="仿宋"/>
          <w:color w:val="auto"/>
          <w:sz w:val="24"/>
          <w:highlight w:val="none"/>
        </w:rPr>
      </w:pPr>
    </w:p>
    <w:p>
      <w:pPr>
        <w:adjustRightInd w:val="0"/>
        <w:snapToGrid w:val="0"/>
        <w:spacing w:line="360" w:lineRule="auto"/>
        <w:rPr>
          <w:rFonts w:ascii="宋体" w:hAnsi="宋体" w:cs="仿宋"/>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质疑函制作说明：</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1.供应商提出质疑时，应提交质疑函和必要的证明材料。</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2.质疑供应商若委托代理人进行质疑的，质疑函应按要求列明“授权代表”的有关内容，并在附件中提交由质疑</w:t>
      </w:r>
      <w:r>
        <w:rPr>
          <w:rFonts w:hint="eastAsia" w:ascii="宋体" w:hAnsi="宋体" w:cs="宋体"/>
          <w:color w:val="auto"/>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5.质疑函的质疑请求应与质疑事项相关。</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6.质疑供应商为自然人的，质疑函应由本人签字；质疑供应商为法人或者其他组织的，</w:t>
      </w:r>
      <w:r>
        <w:rPr>
          <w:rFonts w:ascii="宋体" w:hAnsi="宋体" w:cs="宋体"/>
          <w:color w:val="auto"/>
          <w:kern w:val="0"/>
          <w:szCs w:val="21"/>
          <w:highlight w:val="none"/>
        </w:rPr>
        <w:t>质疑函应当</w:t>
      </w:r>
      <w:r>
        <w:rPr>
          <w:rFonts w:hint="eastAsia" w:ascii="宋体" w:hAnsi="宋体" w:cs="宋体"/>
          <w:color w:val="auto"/>
          <w:kern w:val="0"/>
          <w:szCs w:val="21"/>
          <w:highlight w:val="none"/>
        </w:rPr>
        <w:t>由</w:t>
      </w:r>
      <w:r>
        <w:rPr>
          <w:rFonts w:ascii="宋体" w:hAnsi="宋体" w:cs="宋体"/>
          <w:color w:val="auto"/>
          <w:kern w:val="0"/>
          <w:szCs w:val="21"/>
          <w:highlight w:val="none"/>
        </w:rPr>
        <w:t>质疑</w:t>
      </w:r>
      <w:r>
        <w:rPr>
          <w:rFonts w:hint="eastAsia" w:ascii="宋体" w:hAnsi="宋体" w:cs="宋体"/>
          <w:color w:val="auto"/>
          <w:kern w:val="0"/>
          <w:szCs w:val="21"/>
          <w:highlight w:val="none"/>
        </w:rPr>
        <w:t>投标人的</w:t>
      </w:r>
      <w:r>
        <w:rPr>
          <w:rFonts w:ascii="宋体" w:hAnsi="宋体" w:cs="宋体"/>
          <w:color w:val="auto"/>
          <w:kern w:val="0"/>
          <w:szCs w:val="21"/>
          <w:highlight w:val="none"/>
        </w:rPr>
        <w:t>法定代表人（负责人）或主要负责人签字并加盖</w:t>
      </w:r>
      <w:r>
        <w:rPr>
          <w:rFonts w:hint="eastAsia" w:ascii="宋体" w:hAnsi="宋体" w:cs="宋体"/>
          <w:color w:val="auto"/>
          <w:kern w:val="0"/>
          <w:szCs w:val="21"/>
          <w:highlight w:val="none"/>
        </w:rPr>
        <w:t>单位</w:t>
      </w:r>
      <w:r>
        <w:rPr>
          <w:rFonts w:ascii="宋体" w:hAnsi="宋体" w:cs="宋体"/>
          <w:color w:val="auto"/>
          <w:kern w:val="0"/>
          <w:szCs w:val="21"/>
          <w:highlight w:val="none"/>
        </w:rPr>
        <w:t>公章</w:t>
      </w:r>
      <w:r>
        <w:rPr>
          <w:rFonts w:hint="eastAsia" w:ascii="宋体" w:hAnsi="宋体" w:cs="宋体"/>
          <w:color w:val="auto"/>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auto"/>
          <w:kern w:val="0"/>
          <w:szCs w:val="21"/>
          <w:highlight w:val="none"/>
        </w:rPr>
        <w:t>采购人或</w:t>
      </w:r>
      <w:r>
        <w:rPr>
          <w:rFonts w:hint="eastAsia" w:ascii="宋体" w:hAnsi="宋体" w:cs="宋体"/>
          <w:color w:val="auto"/>
          <w:kern w:val="0"/>
          <w:szCs w:val="21"/>
          <w:highlight w:val="none"/>
        </w:rPr>
        <w:t>代理采购机构可不予作答。</w:t>
      </w:r>
    </w:p>
    <w:p>
      <w:pPr>
        <w:spacing w:line="360" w:lineRule="auto"/>
        <w:rPr>
          <w:rFonts w:ascii="宋体" w:hAnsi="宋体"/>
          <w:b/>
          <w:color w:val="auto"/>
          <w:szCs w:val="21"/>
          <w:highlight w:val="none"/>
        </w:rPr>
      </w:pP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7</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fldChar w:fldCharType="begin"/>
    </w:r>
    <w:r>
      <w:rPr>
        <w:rStyle w:val="46"/>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abstractNum w:abstractNumId="1">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2">
    <w:nsid w:val="04E751C0"/>
    <w:multiLevelType w:val="multilevel"/>
    <w:tmpl w:val="04E751C0"/>
    <w:lvl w:ilvl="0" w:tentative="0">
      <w:start w:val="2"/>
      <w:numFmt w:val="decimal"/>
      <w:pStyle w:val="14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105A0FD2"/>
    <w:multiLevelType w:val="multilevel"/>
    <w:tmpl w:val="105A0FD2"/>
    <w:lvl w:ilvl="0" w:tentative="0">
      <w:start w:val="1"/>
      <w:numFmt w:val="chineseCountingThousand"/>
      <w:pStyle w:val="142"/>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0FB16B7"/>
    <w:multiLevelType w:val="multilevel"/>
    <w:tmpl w:val="10FB16B7"/>
    <w:lvl w:ilvl="0" w:tentative="0">
      <w:start w:val="1"/>
      <w:numFmt w:val="upperRoman"/>
      <w:pStyle w:val="4"/>
      <w:lvlText w:val="第 %1 条"/>
      <w:lvlJc w:val="left"/>
      <w:pPr>
        <w:tabs>
          <w:tab w:val="left" w:pos="1440"/>
        </w:tabs>
        <w:ind w:left="0" w:firstLine="0"/>
      </w:pPr>
    </w:lvl>
    <w:lvl w:ilvl="1" w:tentative="0">
      <w:start w:val="1"/>
      <w:numFmt w:val="decimalZero"/>
      <w:pStyle w:val="5"/>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8">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9">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2">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3">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90B1CDA"/>
    <w:multiLevelType w:val="multilevel"/>
    <w:tmpl w:val="690B1CDA"/>
    <w:lvl w:ilvl="0" w:tentative="0">
      <w:start w:val="1"/>
      <w:numFmt w:val="japaneseCounting"/>
      <w:pStyle w:val="13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5">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6">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4"/>
  </w:num>
  <w:num w:numId="2">
    <w:abstractNumId w:val="14"/>
  </w:num>
  <w:num w:numId="3">
    <w:abstractNumId w:val="3"/>
  </w:num>
  <w:num w:numId="4">
    <w:abstractNumId w:val="2"/>
  </w:num>
  <w:num w:numId="5">
    <w:abstractNumId w:val="1"/>
  </w:num>
  <w:num w:numId="6">
    <w:abstractNumId w:val="5"/>
  </w:num>
  <w:num w:numId="7">
    <w:abstractNumId w:val="0"/>
  </w:num>
  <w:num w:numId="8">
    <w:abstractNumId w:val="7"/>
  </w:num>
  <w:num w:numId="9">
    <w:abstractNumId w:val="8"/>
  </w:num>
  <w:num w:numId="10">
    <w:abstractNumId w:val="12"/>
  </w:num>
  <w:num w:numId="11">
    <w:abstractNumId w:val="10"/>
  </w:num>
  <w:num w:numId="12">
    <w:abstractNumId w:val="16"/>
  </w:num>
  <w:num w:numId="13">
    <w:abstractNumId w:val="11"/>
  </w:num>
  <w:num w:numId="14">
    <w:abstractNumId w:val="6"/>
  </w:num>
  <w:num w:numId="15">
    <w:abstractNumId w:val="9"/>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3BB8"/>
    <w:rsid w:val="00024523"/>
    <w:rsid w:val="00024860"/>
    <w:rsid w:val="000248E7"/>
    <w:rsid w:val="000268CD"/>
    <w:rsid w:val="00026FC3"/>
    <w:rsid w:val="000278C1"/>
    <w:rsid w:val="00027BD5"/>
    <w:rsid w:val="00027E73"/>
    <w:rsid w:val="0003063D"/>
    <w:rsid w:val="00030865"/>
    <w:rsid w:val="00031768"/>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11C"/>
    <w:rsid w:val="00046265"/>
    <w:rsid w:val="00046FB6"/>
    <w:rsid w:val="00047144"/>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1D4"/>
    <w:rsid w:val="00075961"/>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595B"/>
    <w:rsid w:val="000A70BC"/>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12"/>
    <w:rsid w:val="000B79A1"/>
    <w:rsid w:val="000C002D"/>
    <w:rsid w:val="000C010B"/>
    <w:rsid w:val="000C04EC"/>
    <w:rsid w:val="000C1920"/>
    <w:rsid w:val="000C21C8"/>
    <w:rsid w:val="000C22E4"/>
    <w:rsid w:val="000C23B2"/>
    <w:rsid w:val="000C2A07"/>
    <w:rsid w:val="000C3069"/>
    <w:rsid w:val="000C41BC"/>
    <w:rsid w:val="000C4379"/>
    <w:rsid w:val="000C4614"/>
    <w:rsid w:val="000C464F"/>
    <w:rsid w:val="000C4960"/>
    <w:rsid w:val="000C63CB"/>
    <w:rsid w:val="000C6B06"/>
    <w:rsid w:val="000C6E00"/>
    <w:rsid w:val="000D0D31"/>
    <w:rsid w:val="000D0E1F"/>
    <w:rsid w:val="000D0FA1"/>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AA4"/>
    <w:rsid w:val="000E6271"/>
    <w:rsid w:val="000E659F"/>
    <w:rsid w:val="000E6769"/>
    <w:rsid w:val="000E6DDE"/>
    <w:rsid w:val="000E7227"/>
    <w:rsid w:val="000E72E6"/>
    <w:rsid w:val="000E7602"/>
    <w:rsid w:val="000E7755"/>
    <w:rsid w:val="000F02D5"/>
    <w:rsid w:val="000F02E4"/>
    <w:rsid w:val="000F0471"/>
    <w:rsid w:val="000F079F"/>
    <w:rsid w:val="000F0819"/>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4089"/>
    <w:rsid w:val="00104A82"/>
    <w:rsid w:val="00104AF0"/>
    <w:rsid w:val="00104ED8"/>
    <w:rsid w:val="00105209"/>
    <w:rsid w:val="00105FB8"/>
    <w:rsid w:val="00106103"/>
    <w:rsid w:val="00106113"/>
    <w:rsid w:val="00106A6A"/>
    <w:rsid w:val="00106EB1"/>
    <w:rsid w:val="0010713D"/>
    <w:rsid w:val="00107366"/>
    <w:rsid w:val="001101C6"/>
    <w:rsid w:val="0011110A"/>
    <w:rsid w:val="001116CC"/>
    <w:rsid w:val="00112609"/>
    <w:rsid w:val="001126F0"/>
    <w:rsid w:val="001132C8"/>
    <w:rsid w:val="00113B4C"/>
    <w:rsid w:val="00113D8F"/>
    <w:rsid w:val="00113E15"/>
    <w:rsid w:val="001149BA"/>
    <w:rsid w:val="00114B2A"/>
    <w:rsid w:val="00114E2F"/>
    <w:rsid w:val="001151E8"/>
    <w:rsid w:val="00115967"/>
    <w:rsid w:val="00116441"/>
    <w:rsid w:val="00116E35"/>
    <w:rsid w:val="0011743D"/>
    <w:rsid w:val="00120686"/>
    <w:rsid w:val="00120C3C"/>
    <w:rsid w:val="00122AC9"/>
    <w:rsid w:val="001234B2"/>
    <w:rsid w:val="00123A4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762"/>
    <w:rsid w:val="00141B7E"/>
    <w:rsid w:val="00141BF3"/>
    <w:rsid w:val="0014226C"/>
    <w:rsid w:val="00142861"/>
    <w:rsid w:val="00142EAA"/>
    <w:rsid w:val="00142F3D"/>
    <w:rsid w:val="001433B9"/>
    <w:rsid w:val="00143A78"/>
    <w:rsid w:val="00144079"/>
    <w:rsid w:val="0014435A"/>
    <w:rsid w:val="00144588"/>
    <w:rsid w:val="00144CD2"/>
    <w:rsid w:val="00144D40"/>
    <w:rsid w:val="00144F28"/>
    <w:rsid w:val="00145EED"/>
    <w:rsid w:val="00146D08"/>
    <w:rsid w:val="00146D6C"/>
    <w:rsid w:val="001473FF"/>
    <w:rsid w:val="001477D2"/>
    <w:rsid w:val="0015102E"/>
    <w:rsid w:val="00151956"/>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6A9"/>
    <w:rsid w:val="001737DA"/>
    <w:rsid w:val="0017486E"/>
    <w:rsid w:val="00174BF0"/>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44B7"/>
    <w:rsid w:val="00184690"/>
    <w:rsid w:val="001849A5"/>
    <w:rsid w:val="00185CE7"/>
    <w:rsid w:val="00185F4E"/>
    <w:rsid w:val="00187221"/>
    <w:rsid w:val="00187246"/>
    <w:rsid w:val="00187FEA"/>
    <w:rsid w:val="00190B17"/>
    <w:rsid w:val="00190C79"/>
    <w:rsid w:val="00191702"/>
    <w:rsid w:val="00191E15"/>
    <w:rsid w:val="00193677"/>
    <w:rsid w:val="00193AF0"/>
    <w:rsid w:val="00193CE8"/>
    <w:rsid w:val="00194FA0"/>
    <w:rsid w:val="0019546E"/>
    <w:rsid w:val="001958E5"/>
    <w:rsid w:val="00195A0D"/>
    <w:rsid w:val="00195BF0"/>
    <w:rsid w:val="00195F54"/>
    <w:rsid w:val="001966FC"/>
    <w:rsid w:val="00196738"/>
    <w:rsid w:val="00196EC4"/>
    <w:rsid w:val="00197045"/>
    <w:rsid w:val="001975F6"/>
    <w:rsid w:val="00197AF4"/>
    <w:rsid w:val="00197F9E"/>
    <w:rsid w:val="001A08D0"/>
    <w:rsid w:val="001A0BC3"/>
    <w:rsid w:val="001A27BA"/>
    <w:rsid w:val="001A436E"/>
    <w:rsid w:val="001A4393"/>
    <w:rsid w:val="001A4F87"/>
    <w:rsid w:val="001A559F"/>
    <w:rsid w:val="001A60B3"/>
    <w:rsid w:val="001A6293"/>
    <w:rsid w:val="001A6547"/>
    <w:rsid w:val="001A6E21"/>
    <w:rsid w:val="001A73F0"/>
    <w:rsid w:val="001A7BFB"/>
    <w:rsid w:val="001B0095"/>
    <w:rsid w:val="001B028E"/>
    <w:rsid w:val="001B04C9"/>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D94"/>
    <w:rsid w:val="001C07AA"/>
    <w:rsid w:val="001C0A20"/>
    <w:rsid w:val="001C1439"/>
    <w:rsid w:val="001C1955"/>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14CE"/>
    <w:rsid w:val="001D23E8"/>
    <w:rsid w:val="001D23E9"/>
    <w:rsid w:val="001D2C26"/>
    <w:rsid w:val="001D3124"/>
    <w:rsid w:val="001D3AC1"/>
    <w:rsid w:val="001D4712"/>
    <w:rsid w:val="001D6941"/>
    <w:rsid w:val="001E001C"/>
    <w:rsid w:val="001E09A9"/>
    <w:rsid w:val="001E11C3"/>
    <w:rsid w:val="001E1A4F"/>
    <w:rsid w:val="001E1F29"/>
    <w:rsid w:val="001E27AF"/>
    <w:rsid w:val="001E2B7B"/>
    <w:rsid w:val="001E2D65"/>
    <w:rsid w:val="001E2D96"/>
    <w:rsid w:val="001E34CE"/>
    <w:rsid w:val="001E38A0"/>
    <w:rsid w:val="001E3D17"/>
    <w:rsid w:val="001E3F65"/>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5CF"/>
    <w:rsid w:val="001F3BF5"/>
    <w:rsid w:val="001F3F92"/>
    <w:rsid w:val="001F440E"/>
    <w:rsid w:val="001F45D2"/>
    <w:rsid w:val="001F49F8"/>
    <w:rsid w:val="001F5857"/>
    <w:rsid w:val="001F5C81"/>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E17"/>
    <w:rsid w:val="00250F3F"/>
    <w:rsid w:val="00252439"/>
    <w:rsid w:val="002532D8"/>
    <w:rsid w:val="002537A8"/>
    <w:rsid w:val="002550C3"/>
    <w:rsid w:val="0025511C"/>
    <w:rsid w:val="00256E35"/>
    <w:rsid w:val="0025725F"/>
    <w:rsid w:val="0025741D"/>
    <w:rsid w:val="002577ED"/>
    <w:rsid w:val="00257C70"/>
    <w:rsid w:val="0026034D"/>
    <w:rsid w:val="00260933"/>
    <w:rsid w:val="00260D78"/>
    <w:rsid w:val="00261034"/>
    <w:rsid w:val="00261C36"/>
    <w:rsid w:val="00261FF8"/>
    <w:rsid w:val="00263D58"/>
    <w:rsid w:val="00264151"/>
    <w:rsid w:val="002660A5"/>
    <w:rsid w:val="0026655C"/>
    <w:rsid w:val="00266565"/>
    <w:rsid w:val="00266587"/>
    <w:rsid w:val="00266771"/>
    <w:rsid w:val="00266AC5"/>
    <w:rsid w:val="00266AD7"/>
    <w:rsid w:val="002670B1"/>
    <w:rsid w:val="0026773B"/>
    <w:rsid w:val="0027014F"/>
    <w:rsid w:val="002704DA"/>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B43"/>
    <w:rsid w:val="00281DBE"/>
    <w:rsid w:val="00282232"/>
    <w:rsid w:val="00282FE1"/>
    <w:rsid w:val="00283549"/>
    <w:rsid w:val="00284120"/>
    <w:rsid w:val="002842D9"/>
    <w:rsid w:val="0028436A"/>
    <w:rsid w:val="0028548C"/>
    <w:rsid w:val="00286015"/>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87F"/>
    <w:rsid w:val="002C6CED"/>
    <w:rsid w:val="002C7465"/>
    <w:rsid w:val="002D02B8"/>
    <w:rsid w:val="002D042D"/>
    <w:rsid w:val="002D0BEA"/>
    <w:rsid w:val="002D195A"/>
    <w:rsid w:val="002D1B53"/>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E7C5C"/>
    <w:rsid w:val="002F015D"/>
    <w:rsid w:val="002F039F"/>
    <w:rsid w:val="002F0C5F"/>
    <w:rsid w:val="002F112F"/>
    <w:rsid w:val="002F29C3"/>
    <w:rsid w:val="002F37BE"/>
    <w:rsid w:val="002F38A8"/>
    <w:rsid w:val="002F38E4"/>
    <w:rsid w:val="002F5600"/>
    <w:rsid w:val="002F69D0"/>
    <w:rsid w:val="002F73E7"/>
    <w:rsid w:val="002F7F9C"/>
    <w:rsid w:val="003007C7"/>
    <w:rsid w:val="00300F00"/>
    <w:rsid w:val="00301024"/>
    <w:rsid w:val="003015A9"/>
    <w:rsid w:val="00301877"/>
    <w:rsid w:val="0030249C"/>
    <w:rsid w:val="0030264E"/>
    <w:rsid w:val="00302796"/>
    <w:rsid w:val="00303A67"/>
    <w:rsid w:val="003042EC"/>
    <w:rsid w:val="003042ED"/>
    <w:rsid w:val="00304573"/>
    <w:rsid w:val="00304745"/>
    <w:rsid w:val="00305920"/>
    <w:rsid w:val="00305F17"/>
    <w:rsid w:val="00307A37"/>
    <w:rsid w:val="00310D53"/>
    <w:rsid w:val="003116EF"/>
    <w:rsid w:val="003133AE"/>
    <w:rsid w:val="003133CA"/>
    <w:rsid w:val="00313768"/>
    <w:rsid w:val="00313BBD"/>
    <w:rsid w:val="00314B90"/>
    <w:rsid w:val="00314CF5"/>
    <w:rsid w:val="00314F07"/>
    <w:rsid w:val="00315060"/>
    <w:rsid w:val="00315BFD"/>
    <w:rsid w:val="00315F01"/>
    <w:rsid w:val="0032032A"/>
    <w:rsid w:val="0032198F"/>
    <w:rsid w:val="00321A54"/>
    <w:rsid w:val="003230A6"/>
    <w:rsid w:val="003235DE"/>
    <w:rsid w:val="00323700"/>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232"/>
    <w:rsid w:val="00335B2D"/>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5E6"/>
    <w:rsid w:val="00353854"/>
    <w:rsid w:val="0035390D"/>
    <w:rsid w:val="00353FA2"/>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2A9F"/>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F11"/>
    <w:rsid w:val="003B509F"/>
    <w:rsid w:val="003B5937"/>
    <w:rsid w:val="003B5BAD"/>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947"/>
    <w:rsid w:val="003D5E06"/>
    <w:rsid w:val="003D5EF4"/>
    <w:rsid w:val="003D642A"/>
    <w:rsid w:val="003D6715"/>
    <w:rsid w:val="003D753B"/>
    <w:rsid w:val="003D79EB"/>
    <w:rsid w:val="003E0652"/>
    <w:rsid w:val="003E13F4"/>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268F"/>
    <w:rsid w:val="00412F03"/>
    <w:rsid w:val="00413AF6"/>
    <w:rsid w:val="0041559B"/>
    <w:rsid w:val="0041561B"/>
    <w:rsid w:val="00415EF2"/>
    <w:rsid w:val="0041742D"/>
    <w:rsid w:val="00417B32"/>
    <w:rsid w:val="00417E60"/>
    <w:rsid w:val="00417FDA"/>
    <w:rsid w:val="0042074E"/>
    <w:rsid w:val="00421014"/>
    <w:rsid w:val="00421D1B"/>
    <w:rsid w:val="004227BA"/>
    <w:rsid w:val="00423995"/>
    <w:rsid w:val="004239D2"/>
    <w:rsid w:val="0042565A"/>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4F10"/>
    <w:rsid w:val="00435012"/>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52FB"/>
    <w:rsid w:val="00445EF3"/>
    <w:rsid w:val="00446A38"/>
    <w:rsid w:val="00446A7A"/>
    <w:rsid w:val="00447694"/>
    <w:rsid w:val="00450340"/>
    <w:rsid w:val="00450B7B"/>
    <w:rsid w:val="00450C30"/>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EF9"/>
    <w:rsid w:val="004700FA"/>
    <w:rsid w:val="0047055F"/>
    <w:rsid w:val="0047201E"/>
    <w:rsid w:val="004723C5"/>
    <w:rsid w:val="00473D3B"/>
    <w:rsid w:val="00474A2F"/>
    <w:rsid w:val="00474C3F"/>
    <w:rsid w:val="00475F83"/>
    <w:rsid w:val="004761C4"/>
    <w:rsid w:val="004761EB"/>
    <w:rsid w:val="004768C4"/>
    <w:rsid w:val="004772DE"/>
    <w:rsid w:val="0048007E"/>
    <w:rsid w:val="0048191D"/>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5608"/>
    <w:rsid w:val="00496829"/>
    <w:rsid w:val="00497CB1"/>
    <w:rsid w:val="004A0102"/>
    <w:rsid w:val="004A086D"/>
    <w:rsid w:val="004A0EE0"/>
    <w:rsid w:val="004A1647"/>
    <w:rsid w:val="004A1ED7"/>
    <w:rsid w:val="004A2469"/>
    <w:rsid w:val="004A2763"/>
    <w:rsid w:val="004A2C9F"/>
    <w:rsid w:val="004A3994"/>
    <w:rsid w:val="004A42FB"/>
    <w:rsid w:val="004A4565"/>
    <w:rsid w:val="004A5AB1"/>
    <w:rsid w:val="004A6338"/>
    <w:rsid w:val="004A66BE"/>
    <w:rsid w:val="004A6806"/>
    <w:rsid w:val="004A692F"/>
    <w:rsid w:val="004A6A50"/>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C7"/>
    <w:rsid w:val="004B7F3C"/>
    <w:rsid w:val="004C09FC"/>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497"/>
    <w:rsid w:val="004D299F"/>
    <w:rsid w:val="004D339B"/>
    <w:rsid w:val="004D33D8"/>
    <w:rsid w:val="004D3503"/>
    <w:rsid w:val="004D36B1"/>
    <w:rsid w:val="004D38C6"/>
    <w:rsid w:val="004D3A27"/>
    <w:rsid w:val="004D4193"/>
    <w:rsid w:val="004D4C90"/>
    <w:rsid w:val="004D4E34"/>
    <w:rsid w:val="004D609D"/>
    <w:rsid w:val="004D642A"/>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1129"/>
    <w:rsid w:val="00501843"/>
    <w:rsid w:val="005037C0"/>
    <w:rsid w:val="00505F3B"/>
    <w:rsid w:val="005061D7"/>
    <w:rsid w:val="005061EC"/>
    <w:rsid w:val="00506252"/>
    <w:rsid w:val="00506C39"/>
    <w:rsid w:val="00506EC2"/>
    <w:rsid w:val="0050720C"/>
    <w:rsid w:val="00507F1B"/>
    <w:rsid w:val="00510FD9"/>
    <w:rsid w:val="00511A34"/>
    <w:rsid w:val="00511E5D"/>
    <w:rsid w:val="00513420"/>
    <w:rsid w:val="005134BB"/>
    <w:rsid w:val="005138FC"/>
    <w:rsid w:val="00513B95"/>
    <w:rsid w:val="00513BE1"/>
    <w:rsid w:val="00513F8B"/>
    <w:rsid w:val="00514167"/>
    <w:rsid w:val="00514668"/>
    <w:rsid w:val="00514865"/>
    <w:rsid w:val="005149DB"/>
    <w:rsid w:val="0051519E"/>
    <w:rsid w:val="00515FC2"/>
    <w:rsid w:val="00516518"/>
    <w:rsid w:val="00516E41"/>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654"/>
    <w:rsid w:val="00531AAA"/>
    <w:rsid w:val="00531D90"/>
    <w:rsid w:val="0053246E"/>
    <w:rsid w:val="00533430"/>
    <w:rsid w:val="00534411"/>
    <w:rsid w:val="00534A34"/>
    <w:rsid w:val="00534BD4"/>
    <w:rsid w:val="00535E8C"/>
    <w:rsid w:val="00536027"/>
    <w:rsid w:val="005364BF"/>
    <w:rsid w:val="005365AB"/>
    <w:rsid w:val="00536BC0"/>
    <w:rsid w:val="00536EA8"/>
    <w:rsid w:val="00537916"/>
    <w:rsid w:val="0053796E"/>
    <w:rsid w:val="00537EE5"/>
    <w:rsid w:val="00540936"/>
    <w:rsid w:val="0054141A"/>
    <w:rsid w:val="0054147B"/>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B7D"/>
    <w:rsid w:val="00551D10"/>
    <w:rsid w:val="005531B3"/>
    <w:rsid w:val="00553522"/>
    <w:rsid w:val="005539D6"/>
    <w:rsid w:val="005546E0"/>
    <w:rsid w:val="00555473"/>
    <w:rsid w:val="0055556A"/>
    <w:rsid w:val="005562F1"/>
    <w:rsid w:val="0055662F"/>
    <w:rsid w:val="0055710E"/>
    <w:rsid w:val="005572AD"/>
    <w:rsid w:val="0055746A"/>
    <w:rsid w:val="0056006A"/>
    <w:rsid w:val="00561A33"/>
    <w:rsid w:val="00561B91"/>
    <w:rsid w:val="00561C39"/>
    <w:rsid w:val="00562267"/>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7D5"/>
    <w:rsid w:val="00576A2C"/>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1F7"/>
    <w:rsid w:val="005A6641"/>
    <w:rsid w:val="005B0936"/>
    <w:rsid w:val="005B0CB9"/>
    <w:rsid w:val="005B0F5F"/>
    <w:rsid w:val="005B1085"/>
    <w:rsid w:val="005B1AEB"/>
    <w:rsid w:val="005B2F8F"/>
    <w:rsid w:val="005B4460"/>
    <w:rsid w:val="005B50C5"/>
    <w:rsid w:val="005B527D"/>
    <w:rsid w:val="005B595B"/>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39EF"/>
    <w:rsid w:val="005D3EFE"/>
    <w:rsid w:val="005D4333"/>
    <w:rsid w:val="005D56ED"/>
    <w:rsid w:val="005D5921"/>
    <w:rsid w:val="005D6A6A"/>
    <w:rsid w:val="005D7E7F"/>
    <w:rsid w:val="005E025F"/>
    <w:rsid w:val="005E0CB3"/>
    <w:rsid w:val="005E13C9"/>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AE"/>
    <w:rsid w:val="005F068B"/>
    <w:rsid w:val="005F0BDA"/>
    <w:rsid w:val="005F0C1E"/>
    <w:rsid w:val="005F20CC"/>
    <w:rsid w:val="005F2236"/>
    <w:rsid w:val="005F2803"/>
    <w:rsid w:val="005F2929"/>
    <w:rsid w:val="005F293C"/>
    <w:rsid w:val="005F2DA8"/>
    <w:rsid w:val="005F353C"/>
    <w:rsid w:val="005F416E"/>
    <w:rsid w:val="005F4D43"/>
    <w:rsid w:val="005F55AA"/>
    <w:rsid w:val="005F562C"/>
    <w:rsid w:val="005F5F4E"/>
    <w:rsid w:val="005F64D9"/>
    <w:rsid w:val="005F7132"/>
    <w:rsid w:val="00600690"/>
    <w:rsid w:val="00600D28"/>
    <w:rsid w:val="0060208D"/>
    <w:rsid w:val="0060231E"/>
    <w:rsid w:val="00602398"/>
    <w:rsid w:val="006033F9"/>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0CF"/>
    <w:rsid w:val="00611227"/>
    <w:rsid w:val="006112E2"/>
    <w:rsid w:val="006117F6"/>
    <w:rsid w:val="006118C1"/>
    <w:rsid w:val="00611A66"/>
    <w:rsid w:val="00611BCF"/>
    <w:rsid w:val="00611EEF"/>
    <w:rsid w:val="006137D9"/>
    <w:rsid w:val="006139B8"/>
    <w:rsid w:val="00614253"/>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DC"/>
    <w:rsid w:val="006416DA"/>
    <w:rsid w:val="00641725"/>
    <w:rsid w:val="006419FC"/>
    <w:rsid w:val="00641B1D"/>
    <w:rsid w:val="00641FAF"/>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6FE9"/>
    <w:rsid w:val="00687F4B"/>
    <w:rsid w:val="00690627"/>
    <w:rsid w:val="00690F85"/>
    <w:rsid w:val="00691140"/>
    <w:rsid w:val="006915E5"/>
    <w:rsid w:val="00691C25"/>
    <w:rsid w:val="006938AC"/>
    <w:rsid w:val="00693BE4"/>
    <w:rsid w:val="006940AF"/>
    <w:rsid w:val="00694561"/>
    <w:rsid w:val="006945BF"/>
    <w:rsid w:val="0069541C"/>
    <w:rsid w:val="006959B3"/>
    <w:rsid w:val="00695B52"/>
    <w:rsid w:val="006962C2"/>
    <w:rsid w:val="006970C8"/>
    <w:rsid w:val="00697600"/>
    <w:rsid w:val="00697AC8"/>
    <w:rsid w:val="006A0399"/>
    <w:rsid w:val="006A0C47"/>
    <w:rsid w:val="006A0D46"/>
    <w:rsid w:val="006A0D74"/>
    <w:rsid w:val="006A1BC4"/>
    <w:rsid w:val="006A21D5"/>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177"/>
    <w:rsid w:val="006B3F7E"/>
    <w:rsid w:val="006B4360"/>
    <w:rsid w:val="006B4F0B"/>
    <w:rsid w:val="006B589E"/>
    <w:rsid w:val="006B68AE"/>
    <w:rsid w:val="006B6B76"/>
    <w:rsid w:val="006B7553"/>
    <w:rsid w:val="006B7B72"/>
    <w:rsid w:val="006C09ED"/>
    <w:rsid w:val="006C0EF0"/>
    <w:rsid w:val="006C13BC"/>
    <w:rsid w:val="006C1AAC"/>
    <w:rsid w:val="006C236E"/>
    <w:rsid w:val="006C243C"/>
    <w:rsid w:val="006C35F3"/>
    <w:rsid w:val="006C3D17"/>
    <w:rsid w:val="006C4CC0"/>
    <w:rsid w:val="006C5010"/>
    <w:rsid w:val="006C5083"/>
    <w:rsid w:val="006C5FCF"/>
    <w:rsid w:val="006C6031"/>
    <w:rsid w:val="006C62DD"/>
    <w:rsid w:val="006C6988"/>
    <w:rsid w:val="006C699C"/>
    <w:rsid w:val="006C6A4B"/>
    <w:rsid w:val="006C6F07"/>
    <w:rsid w:val="006C7053"/>
    <w:rsid w:val="006D0AE3"/>
    <w:rsid w:val="006D1694"/>
    <w:rsid w:val="006D1E29"/>
    <w:rsid w:val="006D240E"/>
    <w:rsid w:val="006D273C"/>
    <w:rsid w:val="006D2F6B"/>
    <w:rsid w:val="006D30EF"/>
    <w:rsid w:val="006D3D7F"/>
    <w:rsid w:val="006D41B8"/>
    <w:rsid w:val="006D4377"/>
    <w:rsid w:val="006D49BE"/>
    <w:rsid w:val="006D4F29"/>
    <w:rsid w:val="006D624A"/>
    <w:rsid w:val="006D6718"/>
    <w:rsid w:val="006D685E"/>
    <w:rsid w:val="006D6C62"/>
    <w:rsid w:val="006D7002"/>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A2A"/>
    <w:rsid w:val="006F7F28"/>
    <w:rsid w:val="007000CD"/>
    <w:rsid w:val="0070086E"/>
    <w:rsid w:val="007010CA"/>
    <w:rsid w:val="007021AC"/>
    <w:rsid w:val="00702779"/>
    <w:rsid w:val="00704234"/>
    <w:rsid w:val="00704493"/>
    <w:rsid w:val="007048F6"/>
    <w:rsid w:val="00705405"/>
    <w:rsid w:val="0070543E"/>
    <w:rsid w:val="007060EA"/>
    <w:rsid w:val="007065D1"/>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874"/>
    <w:rsid w:val="00745258"/>
    <w:rsid w:val="00746D99"/>
    <w:rsid w:val="00746FEC"/>
    <w:rsid w:val="00747267"/>
    <w:rsid w:val="00747DA7"/>
    <w:rsid w:val="00753561"/>
    <w:rsid w:val="00754C2A"/>
    <w:rsid w:val="00754C7F"/>
    <w:rsid w:val="00755333"/>
    <w:rsid w:val="0075653C"/>
    <w:rsid w:val="00756788"/>
    <w:rsid w:val="007568D6"/>
    <w:rsid w:val="0075768B"/>
    <w:rsid w:val="007608DB"/>
    <w:rsid w:val="00760B61"/>
    <w:rsid w:val="007610FE"/>
    <w:rsid w:val="00761EC4"/>
    <w:rsid w:val="00763A8A"/>
    <w:rsid w:val="0076548F"/>
    <w:rsid w:val="00765538"/>
    <w:rsid w:val="00765805"/>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F88"/>
    <w:rsid w:val="00795057"/>
    <w:rsid w:val="007960B0"/>
    <w:rsid w:val="007962CE"/>
    <w:rsid w:val="007965A8"/>
    <w:rsid w:val="0079683B"/>
    <w:rsid w:val="00796869"/>
    <w:rsid w:val="00796B68"/>
    <w:rsid w:val="007A0BCF"/>
    <w:rsid w:val="007A12B2"/>
    <w:rsid w:val="007A13C1"/>
    <w:rsid w:val="007A1704"/>
    <w:rsid w:val="007A2819"/>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2C46"/>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8E3"/>
    <w:rsid w:val="007D498B"/>
    <w:rsid w:val="007D49F7"/>
    <w:rsid w:val="007D5B3B"/>
    <w:rsid w:val="007D6EE2"/>
    <w:rsid w:val="007D6F3F"/>
    <w:rsid w:val="007E12D7"/>
    <w:rsid w:val="007E1E9D"/>
    <w:rsid w:val="007E2C26"/>
    <w:rsid w:val="007E3E42"/>
    <w:rsid w:val="007E409D"/>
    <w:rsid w:val="007E4715"/>
    <w:rsid w:val="007E47AF"/>
    <w:rsid w:val="007E4AC2"/>
    <w:rsid w:val="007E62DA"/>
    <w:rsid w:val="007E6484"/>
    <w:rsid w:val="007E69EB"/>
    <w:rsid w:val="007E6CE9"/>
    <w:rsid w:val="007E7083"/>
    <w:rsid w:val="007F0ED8"/>
    <w:rsid w:val="007F1357"/>
    <w:rsid w:val="007F2A1A"/>
    <w:rsid w:val="007F2F5D"/>
    <w:rsid w:val="007F359E"/>
    <w:rsid w:val="007F3B0F"/>
    <w:rsid w:val="007F3D45"/>
    <w:rsid w:val="007F3E1A"/>
    <w:rsid w:val="007F441F"/>
    <w:rsid w:val="007F4ED1"/>
    <w:rsid w:val="007F5819"/>
    <w:rsid w:val="007F6396"/>
    <w:rsid w:val="007F7066"/>
    <w:rsid w:val="008009C0"/>
    <w:rsid w:val="0080177A"/>
    <w:rsid w:val="00802392"/>
    <w:rsid w:val="00802739"/>
    <w:rsid w:val="00802933"/>
    <w:rsid w:val="00802B06"/>
    <w:rsid w:val="00802BCB"/>
    <w:rsid w:val="00802F62"/>
    <w:rsid w:val="0080342D"/>
    <w:rsid w:val="008034E8"/>
    <w:rsid w:val="008043A4"/>
    <w:rsid w:val="00804B8A"/>
    <w:rsid w:val="00805586"/>
    <w:rsid w:val="00805DD5"/>
    <w:rsid w:val="00806653"/>
    <w:rsid w:val="00807706"/>
    <w:rsid w:val="00807A3B"/>
    <w:rsid w:val="00810B97"/>
    <w:rsid w:val="008110F9"/>
    <w:rsid w:val="008116E1"/>
    <w:rsid w:val="00812D8F"/>
    <w:rsid w:val="00812E0B"/>
    <w:rsid w:val="0081367A"/>
    <w:rsid w:val="0081378F"/>
    <w:rsid w:val="008144DC"/>
    <w:rsid w:val="00815499"/>
    <w:rsid w:val="00815BD9"/>
    <w:rsid w:val="00815DF6"/>
    <w:rsid w:val="00815E17"/>
    <w:rsid w:val="00815F6E"/>
    <w:rsid w:val="00816780"/>
    <w:rsid w:val="00817427"/>
    <w:rsid w:val="00820056"/>
    <w:rsid w:val="00820829"/>
    <w:rsid w:val="00820A16"/>
    <w:rsid w:val="00820D2D"/>
    <w:rsid w:val="00820F1B"/>
    <w:rsid w:val="0082208C"/>
    <w:rsid w:val="008226FA"/>
    <w:rsid w:val="00822BCC"/>
    <w:rsid w:val="00822FD2"/>
    <w:rsid w:val="0082418C"/>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65"/>
    <w:rsid w:val="008406B5"/>
    <w:rsid w:val="008407A8"/>
    <w:rsid w:val="00841FA1"/>
    <w:rsid w:val="008422E9"/>
    <w:rsid w:val="00842890"/>
    <w:rsid w:val="0084298F"/>
    <w:rsid w:val="00842E66"/>
    <w:rsid w:val="00843A59"/>
    <w:rsid w:val="00844172"/>
    <w:rsid w:val="0084417A"/>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850"/>
    <w:rsid w:val="00860A08"/>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AB2"/>
    <w:rsid w:val="00871E81"/>
    <w:rsid w:val="008725F8"/>
    <w:rsid w:val="00872D2B"/>
    <w:rsid w:val="00873D63"/>
    <w:rsid w:val="008740DB"/>
    <w:rsid w:val="008744E8"/>
    <w:rsid w:val="008746DF"/>
    <w:rsid w:val="00875803"/>
    <w:rsid w:val="00875FD5"/>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A7E"/>
    <w:rsid w:val="00892D61"/>
    <w:rsid w:val="008932D5"/>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235"/>
    <w:rsid w:val="008A1EAE"/>
    <w:rsid w:val="008A250D"/>
    <w:rsid w:val="008A25F9"/>
    <w:rsid w:val="008A3000"/>
    <w:rsid w:val="008A37B6"/>
    <w:rsid w:val="008A4403"/>
    <w:rsid w:val="008A4479"/>
    <w:rsid w:val="008A529C"/>
    <w:rsid w:val="008A5632"/>
    <w:rsid w:val="008A6279"/>
    <w:rsid w:val="008A6E50"/>
    <w:rsid w:val="008A7029"/>
    <w:rsid w:val="008A7595"/>
    <w:rsid w:val="008B01C4"/>
    <w:rsid w:val="008B01D9"/>
    <w:rsid w:val="008B0825"/>
    <w:rsid w:val="008B0B04"/>
    <w:rsid w:val="008B36C5"/>
    <w:rsid w:val="008B3EB0"/>
    <w:rsid w:val="008B48D5"/>
    <w:rsid w:val="008B5970"/>
    <w:rsid w:val="008B6288"/>
    <w:rsid w:val="008B6D1E"/>
    <w:rsid w:val="008C0E33"/>
    <w:rsid w:val="008C13DA"/>
    <w:rsid w:val="008C1833"/>
    <w:rsid w:val="008C2EB1"/>
    <w:rsid w:val="008C37A3"/>
    <w:rsid w:val="008C3812"/>
    <w:rsid w:val="008C3B2F"/>
    <w:rsid w:val="008C3C2D"/>
    <w:rsid w:val="008C3D31"/>
    <w:rsid w:val="008C3EB8"/>
    <w:rsid w:val="008C4006"/>
    <w:rsid w:val="008C440F"/>
    <w:rsid w:val="008C5DB2"/>
    <w:rsid w:val="008C5E06"/>
    <w:rsid w:val="008C69F1"/>
    <w:rsid w:val="008C6F9C"/>
    <w:rsid w:val="008C705C"/>
    <w:rsid w:val="008C7288"/>
    <w:rsid w:val="008C73A0"/>
    <w:rsid w:val="008C77E8"/>
    <w:rsid w:val="008C780C"/>
    <w:rsid w:val="008C7C06"/>
    <w:rsid w:val="008D09AB"/>
    <w:rsid w:val="008D0FD1"/>
    <w:rsid w:val="008D192B"/>
    <w:rsid w:val="008D2030"/>
    <w:rsid w:val="008D223A"/>
    <w:rsid w:val="008D2E97"/>
    <w:rsid w:val="008D328E"/>
    <w:rsid w:val="008D392A"/>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5642"/>
    <w:rsid w:val="008E5EBE"/>
    <w:rsid w:val="008E69B5"/>
    <w:rsid w:val="008F0067"/>
    <w:rsid w:val="008F068F"/>
    <w:rsid w:val="008F0724"/>
    <w:rsid w:val="008F1B92"/>
    <w:rsid w:val="008F1BEB"/>
    <w:rsid w:val="008F1CC5"/>
    <w:rsid w:val="008F229B"/>
    <w:rsid w:val="008F32ED"/>
    <w:rsid w:val="008F38DA"/>
    <w:rsid w:val="008F393E"/>
    <w:rsid w:val="008F3D46"/>
    <w:rsid w:val="008F4E01"/>
    <w:rsid w:val="008F6776"/>
    <w:rsid w:val="008F788C"/>
    <w:rsid w:val="008F7901"/>
    <w:rsid w:val="00900962"/>
    <w:rsid w:val="00900B41"/>
    <w:rsid w:val="00900DF9"/>
    <w:rsid w:val="00900E34"/>
    <w:rsid w:val="00900FA8"/>
    <w:rsid w:val="00901229"/>
    <w:rsid w:val="00901304"/>
    <w:rsid w:val="0090136D"/>
    <w:rsid w:val="00902053"/>
    <w:rsid w:val="009028F9"/>
    <w:rsid w:val="009029A6"/>
    <w:rsid w:val="00902FB5"/>
    <w:rsid w:val="0090382D"/>
    <w:rsid w:val="00904D95"/>
    <w:rsid w:val="009055E3"/>
    <w:rsid w:val="00905B29"/>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7718"/>
    <w:rsid w:val="00947DFE"/>
    <w:rsid w:val="009501DA"/>
    <w:rsid w:val="0095050B"/>
    <w:rsid w:val="00950B16"/>
    <w:rsid w:val="00950BE4"/>
    <w:rsid w:val="00951BF1"/>
    <w:rsid w:val="009520BA"/>
    <w:rsid w:val="009523AC"/>
    <w:rsid w:val="00952509"/>
    <w:rsid w:val="009527CC"/>
    <w:rsid w:val="0095357A"/>
    <w:rsid w:val="0095444B"/>
    <w:rsid w:val="00954782"/>
    <w:rsid w:val="00954FB0"/>
    <w:rsid w:val="00956C75"/>
    <w:rsid w:val="00957DE8"/>
    <w:rsid w:val="00960333"/>
    <w:rsid w:val="00960EE3"/>
    <w:rsid w:val="00961292"/>
    <w:rsid w:val="009624CE"/>
    <w:rsid w:val="009626D4"/>
    <w:rsid w:val="009638E1"/>
    <w:rsid w:val="00963EE6"/>
    <w:rsid w:val="00963FC5"/>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305F"/>
    <w:rsid w:val="0099497D"/>
    <w:rsid w:val="00995202"/>
    <w:rsid w:val="00995929"/>
    <w:rsid w:val="00996682"/>
    <w:rsid w:val="009967CF"/>
    <w:rsid w:val="00996CF7"/>
    <w:rsid w:val="00996D51"/>
    <w:rsid w:val="009A0D63"/>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690A"/>
    <w:rsid w:val="009B71F7"/>
    <w:rsid w:val="009B7463"/>
    <w:rsid w:val="009C0CC9"/>
    <w:rsid w:val="009C0DA0"/>
    <w:rsid w:val="009C136D"/>
    <w:rsid w:val="009C1DC1"/>
    <w:rsid w:val="009C208B"/>
    <w:rsid w:val="009C28D5"/>
    <w:rsid w:val="009C3208"/>
    <w:rsid w:val="009C3E79"/>
    <w:rsid w:val="009C581F"/>
    <w:rsid w:val="009C663A"/>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1BCE"/>
    <w:rsid w:val="009E2204"/>
    <w:rsid w:val="009E226A"/>
    <w:rsid w:val="009E22AB"/>
    <w:rsid w:val="009E26AD"/>
    <w:rsid w:val="009E2C46"/>
    <w:rsid w:val="009E2CC8"/>
    <w:rsid w:val="009E306D"/>
    <w:rsid w:val="009E35A3"/>
    <w:rsid w:val="009E3821"/>
    <w:rsid w:val="009E3BE9"/>
    <w:rsid w:val="009E3BFA"/>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3CE"/>
    <w:rsid w:val="00A038D0"/>
    <w:rsid w:val="00A03BA4"/>
    <w:rsid w:val="00A03BF0"/>
    <w:rsid w:val="00A04032"/>
    <w:rsid w:val="00A04A79"/>
    <w:rsid w:val="00A05979"/>
    <w:rsid w:val="00A059B9"/>
    <w:rsid w:val="00A07B7E"/>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63E0"/>
    <w:rsid w:val="00A263FC"/>
    <w:rsid w:val="00A26685"/>
    <w:rsid w:val="00A26B8F"/>
    <w:rsid w:val="00A26D76"/>
    <w:rsid w:val="00A26F15"/>
    <w:rsid w:val="00A26FBA"/>
    <w:rsid w:val="00A2796C"/>
    <w:rsid w:val="00A27E95"/>
    <w:rsid w:val="00A313DD"/>
    <w:rsid w:val="00A31433"/>
    <w:rsid w:val="00A31C98"/>
    <w:rsid w:val="00A31F68"/>
    <w:rsid w:val="00A32731"/>
    <w:rsid w:val="00A33C59"/>
    <w:rsid w:val="00A34586"/>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5CC0"/>
    <w:rsid w:val="00A66BB3"/>
    <w:rsid w:val="00A66FDA"/>
    <w:rsid w:val="00A7011E"/>
    <w:rsid w:val="00A703CE"/>
    <w:rsid w:val="00A7080F"/>
    <w:rsid w:val="00A719C7"/>
    <w:rsid w:val="00A72169"/>
    <w:rsid w:val="00A7253D"/>
    <w:rsid w:val="00A72E27"/>
    <w:rsid w:val="00A73548"/>
    <w:rsid w:val="00A73B50"/>
    <w:rsid w:val="00A73C38"/>
    <w:rsid w:val="00A73F34"/>
    <w:rsid w:val="00A74996"/>
    <w:rsid w:val="00A750C9"/>
    <w:rsid w:val="00A755AD"/>
    <w:rsid w:val="00A75B79"/>
    <w:rsid w:val="00A75E33"/>
    <w:rsid w:val="00A761E4"/>
    <w:rsid w:val="00A769A2"/>
    <w:rsid w:val="00A7738C"/>
    <w:rsid w:val="00A80106"/>
    <w:rsid w:val="00A815FA"/>
    <w:rsid w:val="00A81614"/>
    <w:rsid w:val="00A81A10"/>
    <w:rsid w:val="00A81C43"/>
    <w:rsid w:val="00A831D6"/>
    <w:rsid w:val="00A84C51"/>
    <w:rsid w:val="00A84C85"/>
    <w:rsid w:val="00A84EC6"/>
    <w:rsid w:val="00A85069"/>
    <w:rsid w:val="00A8541A"/>
    <w:rsid w:val="00A862B0"/>
    <w:rsid w:val="00A863F2"/>
    <w:rsid w:val="00A8649E"/>
    <w:rsid w:val="00A868BB"/>
    <w:rsid w:val="00A86EC4"/>
    <w:rsid w:val="00A878F0"/>
    <w:rsid w:val="00A87BA3"/>
    <w:rsid w:val="00A87C01"/>
    <w:rsid w:val="00A90906"/>
    <w:rsid w:val="00A91764"/>
    <w:rsid w:val="00A93065"/>
    <w:rsid w:val="00A934D5"/>
    <w:rsid w:val="00A9363C"/>
    <w:rsid w:val="00A93DF6"/>
    <w:rsid w:val="00A94BA5"/>
    <w:rsid w:val="00A94C61"/>
    <w:rsid w:val="00A94D91"/>
    <w:rsid w:val="00A95E79"/>
    <w:rsid w:val="00A966CE"/>
    <w:rsid w:val="00A966DE"/>
    <w:rsid w:val="00A96A4B"/>
    <w:rsid w:val="00A9726E"/>
    <w:rsid w:val="00A97FB7"/>
    <w:rsid w:val="00AA0163"/>
    <w:rsid w:val="00AA0663"/>
    <w:rsid w:val="00AA082C"/>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B3B"/>
    <w:rsid w:val="00AB3203"/>
    <w:rsid w:val="00AB37A7"/>
    <w:rsid w:val="00AB499E"/>
    <w:rsid w:val="00AB4A95"/>
    <w:rsid w:val="00AB4B98"/>
    <w:rsid w:val="00AB5736"/>
    <w:rsid w:val="00AB585A"/>
    <w:rsid w:val="00AB65A3"/>
    <w:rsid w:val="00AB6B5D"/>
    <w:rsid w:val="00AB772F"/>
    <w:rsid w:val="00AC10F3"/>
    <w:rsid w:val="00AC1AA0"/>
    <w:rsid w:val="00AC1C40"/>
    <w:rsid w:val="00AC1EF2"/>
    <w:rsid w:val="00AC2053"/>
    <w:rsid w:val="00AC2AD2"/>
    <w:rsid w:val="00AC31F6"/>
    <w:rsid w:val="00AC3F69"/>
    <w:rsid w:val="00AC4CED"/>
    <w:rsid w:val="00AC58CA"/>
    <w:rsid w:val="00AC5B6B"/>
    <w:rsid w:val="00AC66C2"/>
    <w:rsid w:val="00AC7A05"/>
    <w:rsid w:val="00AC7C2F"/>
    <w:rsid w:val="00AD260D"/>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C2F"/>
    <w:rsid w:val="00AF5BDA"/>
    <w:rsid w:val="00AF5F61"/>
    <w:rsid w:val="00AF64C7"/>
    <w:rsid w:val="00AF71E4"/>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59C0"/>
    <w:rsid w:val="00B36CE1"/>
    <w:rsid w:val="00B3762F"/>
    <w:rsid w:val="00B376AD"/>
    <w:rsid w:val="00B37BF9"/>
    <w:rsid w:val="00B37C88"/>
    <w:rsid w:val="00B37E39"/>
    <w:rsid w:val="00B401B4"/>
    <w:rsid w:val="00B4086F"/>
    <w:rsid w:val="00B40CEB"/>
    <w:rsid w:val="00B41595"/>
    <w:rsid w:val="00B4161D"/>
    <w:rsid w:val="00B421EA"/>
    <w:rsid w:val="00B425D6"/>
    <w:rsid w:val="00B429F0"/>
    <w:rsid w:val="00B42CAB"/>
    <w:rsid w:val="00B43715"/>
    <w:rsid w:val="00B4415C"/>
    <w:rsid w:val="00B4462F"/>
    <w:rsid w:val="00B44D10"/>
    <w:rsid w:val="00B451DD"/>
    <w:rsid w:val="00B45358"/>
    <w:rsid w:val="00B46176"/>
    <w:rsid w:val="00B508F5"/>
    <w:rsid w:val="00B512A8"/>
    <w:rsid w:val="00B51748"/>
    <w:rsid w:val="00B5217E"/>
    <w:rsid w:val="00B52D50"/>
    <w:rsid w:val="00B53376"/>
    <w:rsid w:val="00B53CC3"/>
    <w:rsid w:val="00B546EA"/>
    <w:rsid w:val="00B5627B"/>
    <w:rsid w:val="00B56D67"/>
    <w:rsid w:val="00B570A2"/>
    <w:rsid w:val="00B572E9"/>
    <w:rsid w:val="00B574F2"/>
    <w:rsid w:val="00B60734"/>
    <w:rsid w:val="00B61C54"/>
    <w:rsid w:val="00B622CE"/>
    <w:rsid w:val="00B632F2"/>
    <w:rsid w:val="00B6384C"/>
    <w:rsid w:val="00B6449A"/>
    <w:rsid w:val="00B65517"/>
    <w:rsid w:val="00B65E35"/>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578"/>
    <w:rsid w:val="00B80A9A"/>
    <w:rsid w:val="00B81618"/>
    <w:rsid w:val="00B8185B"/>
    <w:rsid w:val="00B83059"/>
    <w:rsid w:val="00B83392"/>
    <w:rsid w:val="00B8392B"/>
    <w:rsid w:val="00B83D63"/>
    <w:rsid w:val="00B847A2"/>
    <w:rsid w:val="00B84898"/>
    <w:rsid w:val="00B85017"/>
    <w:rsid w:val="00B8545C"/>
    <w:rsid w:val="00B86055"/>
    <w:rsid w:val="00B86280"/>
    <w:rsid w:val="00B86CA3"/>
    <w:rsid w:val="00B86D0A"/>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1FFC"/>
    <w:rsid w:val="00BC20CE"/>
    <w:rsid w:val="00BC28E2"/>
    <w:rsid w:val="00BC294C"/>
    <w:rsid w:val="00BC2AA4"/>
    <w:rsid w:val="00BC2E6B"/>
    <w:rsid w:val="00BC311C"/>
    <w:rsid w:val="00BC3181"/>
    <w:rsid w:val="00BC3BFE"/>
    <w:rsid w:val="00BC5328"/>
    <w:rsid w:val="00BC5444"/>
    <w:rsid w:val="00BC55E6"/>
    <w:rsid w:val="00BC5828"/>
    <w:rsid w:val="00BC61B0"/>
    <w:rsid w:val="00BC66A6"/>
    <w:rsid w:val="00BC66F6"/>
    <w:rsid w:val="00BC6944"/>
    <w:rsid w:val="00BC6F03"/>
    <w:rsid w:val="00BC7E9A"/>
    <w:rsid w:val="00BD0350"/>
    <w:rsid w:val="00BD0C9B"/>
    <w:rsid w:val="00BD10C4"/>
    <w:rsid w:val="00BD1943"/>
    <w:rsid w:val="00BD30FA"/>
    <w:rsid w:val="00BD4CC7"/>
    <w:rsid w:val="00BD4CDE"/>
    <w:rsid w:val="00BD4D60"/>
    <w:rsid w:val="00BD5A69"/>
    <w:rsid w:val="00BD61C6"/>
    <w:rsid w:val="00BD6C62"/>
    <w:rsid w:val="00BD7FC5"/>
    <w:rsid w:val="00BE09D6"/>
    <w:rsid w:val="00BE0B78"/>
    <w:rsid w:val="00BE1157"/>
    <w:rsid w:val="00BE2068"/>
    <w:rsid w:val="00BE2C8C"/>
    <w:rsid w:val="00BE4C2A"/>
    <w:rsid w:val="00BE5237"/>
    <w:rsid w:val="00BE5254"/>
    <w:rsid w:val="00BE5EC1"/>
    <w:rsid w:val="00BE64B6"/>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0BEE"/>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8EE"/>
    <w:rsid w:val="00C07BC3"/>
    <w:rsid w:val="00C106E7"/>
    <w:rsid w:val="00C10AD5"/>
    <w:rsid w:val="00C10C58"/>
    <w:rsid w:val="00C10C5E"/>
    <w:rsid w:val="00C11150"/>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AD"/>
    <w:rsid w:val="00C3288C"/>
    <w:rsid w:val="00C32D2B"/>
    <w:rsid w:val="00C33393"/>
    <w:rsid w:val="00C33954"/>
    <w:rsid w:val="00C343C2"/>
    <w:rsid w:val="00C3589E"/>
    <w:rsid w:val="00C35D7F"/>
    <w:rsid w:val="00C375B0"/>
    <w:rsid w:val="00C40086"/>
    <w:rsid w:val="00C402D4"/>
    <w:rsid w:val="00C40459"/>
    <w:rsid w:val="00C40C9B"/>
    <w:rsid w:val="00C4275F"/>
    <w:rsid w:val="00C42C57"/>
    <w:rsid w:val="00C42C6A"/>
    <w:rsid w:val="00C42C87"/>
    <w:rsid w:val="00C4320A"/>
    <w:rsid w:val="00C43631"/>
    <w:rsid w:val="00C4371A"/>
    <w:rsid w:val="00C43748"/>
    <w:rsid w:val="00C437DB"/>
    <w:rsid w:val="00C43A15"/>
    <w:rsid w:val="00C4473A"/>
    <w:rsid w:val="00C44A94"/>
    <w:rsid w:val="00C44F4F"/>
    <w:rsid w:val="00C46AF0"/>
    <w:rsid w:val="00C476C3"/>
    <w:rsid w:val="00C47881"/>
    <w:rsid w:val="00C47CA2"/>
    <w:rsid w:val="00C504ED"/>
    <w:rsid w:val="00C50AF4"/>
    <w:rsid w:val="00C50C56"/>
    <w:rsid w:val="00C51375"/>
    <w:rsid w:val="00C5261B"/>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170"/>
    <w:rsid w:val="00C61DE6"/>
    <w:rsid w:val="00C63E97"/>
    <w:rsid w:val="00C64416"/>
    <w:rsid w:val="00C6492E"/>
    <w:rsid w:val="00C649DC"/>
    <w:rsid w:val="00C64B44"/>
    <w:rsid w:val="00C64E68"/>
    <w:rsid w:val="00C65106"/>
    <w:rsid w:val="00C66C47"/>
    <w:rsid w:val="00C6709C"/>
    <w:rsid w:val="00C67631"/>
    <w:rsid w:val="00C67E68"/>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A7E05"/>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B7386"/>
    <w:rsid w:val="00CC18B5"/>
    <w:rsid w:val="00CC1DDB"/>
    <w:rsid w:val="00CC2B18"/>
    <w:rsid w:val="00CC30F3"/>
    <w:rsid w:val="00CC3395"/>
    <w:rsid w:val="00CC34D2"/>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B7A"/>
    <w:rsid w:val="00CF3F2F"/>
    <w:rsid w:val="00CF45F7"/>
    <w:rsid w:val="00CF66C5"/>
    <w:rsid w:val="00CF7D62"/>
    <w:rsid w:val="00CF7F6D"/>
    <w:rsid w:val="00D003D8"/>
    <w:rsid w:val="00D005C9"/>
    <w:rsid w:val="00D007D4"/>
    <w:rsid w:val="00D00E93"/>
    <w:rsid w:val="00D00F41"/>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D25"/>
    <w:rsid w:val="00D14256"/>
    <w:rsid w:val="00D14EEA"/>
    <w:rsid w:val="00D15460"/>
    <w:rsid w:val="00D1590B"/>
    <w:rsid w:val="00D15BFA"/>
    <w:rsid w:val="00D16092"/>
    <w:rsid w:val="00D1622D"/>
    <w:rsid w:val="00D16287"/>
    <w:rsid w:val="00D16387"/>
    <w:rsid w:val="00D16622"/>
    <w:rsid w:val="00D16856"/>
    <w:rsid w:val="00D16B6B"/>
    <w:rsid w:val="00D1776E"/>
    <w:rsid w:val="00D17BCE"/>
    <w:rsid w:val="00D17D77"/>
    <w:rsid w:val="00D2079E"/>
    <w:rsid w:val="00D212CF"/>
    <w:rsid w:val="00D22087"/>
    <w:rsid w:val="00D22374"/>
    <w:rsid w:val="00D227B9"/>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662"/>
    <w:rsid w:val="00D42117"/>
    <w:rsid w:val="00D429E8"/>
    <w:rsid w:val="00D42AE1"/>
    <w:rsid w:val="00D4309C"/>
    <w:rsid w:val="00D4379D"/>
    <w:rsid w:val="00D438A9"/>
    <w:rsid w:val="00D445E6"/>
    <w:rsid w:val="00D44DA4"/>
    <w:rsid w:val="00D4538B"/>
    <w:rsid w:val="00D463FC"/>
    <w:rsid w:val="00D47335"/>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626"/>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360"/>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6565"/>
    <w:rsid w:val="00DD6AAE"/>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D72"/>
    <w:rsid w:val="00DE63FC"/>
    <w:rsid w:val="00DE6B99"/>
    <w:rsid w:val="00DF0534"/>
    <w:rsid w:val="00DF0ED1"/>
    <w:rsid w:val="00DF1040"/>
    <w:rsid w:val="00DF2846"/>
    <w:rsid w:val="00DF2A30"/>
    <w:rsid w:val="00DF2E83"/>
    <w:rsid w:val="00DF2F77"/>
    <w:rsid w:val="00DF322F"/>
    <w:rsid w:val="00DF36B9"/>
    <w:rsid w:val="00DF38CD"/>
    <w:rsid w:val="00DF395A"/>
    <w:rsid w:val="00DF3BF3"/>
    <w:rsid w:val="00DF42D6"/>
    <w:rsid w:val="00DF494C"/>
    <w:rsid w:val="00DF530B"/>
    <w:rsid w:val="00DF57A6"/>
    <w:rsid w:val="00DF6606"/>
    <w:rsid w:val="00DF7B7D"/>
    <w:rsid w:val="00DF7F12"/>
    <w:rsid w:val="00E00601"/>
    <w:rsid w:val="00E00808"/>
    <w:rsid w:val="00E01AA3"/>
    <w:rsid w:val="00E01FB2"/>
    <w:rsid w:val="00E02065"/>
    <w:rsid w:val="00E0216E"/>
    <w:rsid w:val="00E0267C"/>
    <w:rsid w:val="00E02807"/>
    <w:rsid w:val="00E02F34"/>
    <w:rsid w:val="00E03418"/>
    <w:rsid w:val="00E0455C"/>
    <w:rsid w:val="00E06A25"/>
    <w:rsid w:val="00E07F3C"/>
    <w:rsid w:val="00E11964"/>
    <w:rsid w:val="00E11D16"/>
    <w:rsid w:val="00E11F51"/>
    <w:rsid w:val="00E124CD"/>
    <w:rsid w:val="00E12CAB"/>
    <w:rsid w:val="00E12F75"/>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BA7"/>
    <w:rsid w:val="00E252B8"/>
    <w:rsid w:val="00E25311"/>
    <w:rsid w:val="00E27005"/>
    <w:rsid w:val="00E275E0"/>
    <w:rsid w:val="00E27854"/>
    <w:rsid w:val="00E27AF7"/>
    <w:rsid w:val="00E30111"/>
    <w:rsid w:val="00E30379"/>
    <w:rsid w:val="00E30704"/>
    <w:rsid w:val="00E30FC4"/>
    <w:rsid w:val="00E31539"/>
    <w:rsid w:val="00E31D34"/>
    <w:rsid w:val="00E31E3C"/>
    <w:rsid w:val="00E326D5"/>
    <w:rsid w:val="00E32716"/>
    <w:rsid w:val="00E32730"/>
    <w:rsid w:val="00E33AE9"/>
    <w:rsid w:val="00E33CF0"/>
    <w:rsid w:val="00E3402E"/>
    <w:rsid w:val="00E344AA"/>
    <w:rsid w:val="00E34AE0"/>
    <w:rsid w:val="00E35A0B"/>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67F3"/>
    <w:rsid w:val="00E67D25"/>
    <w:rsid w:val="00E67E1C"/>
    <w:rsid w:val="00E700C1"/>
    <w:rsid w:val="00E70D30"/>
    <w:rsid w:val="00E70E2E"/>
    <w:rsid w:val="00E7103A"/>
    <w:rsid w:val="00E71663"/>
    <w:rsid w:val="00E71783"/>
    <w:rsid w:val="00E72E14"/>
    <w:rsid w:val="00E732BC"/>
    <w:rsid w:val="00E73CF6"/>
    <w:rsid w:val="00E73F90"/>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ECB"/>
    <w:rsid w:val="00E84406"/>
    <w:rsid w:val="00E84878"/>
    <w:rsid w:val="00E870BF"/>
    <w:rsid w:val="00E871F5"/>
    <w:rsid w:val="00E87D21"/>
    <w:rsid w:val="00E90347"/>
    <w:rsid w:val="00E907D8"/>
    <w:rsid w:val="00E9095C"/>
    <w:rsid w:val="00E90977"/>
    <w:rsid w:val="00E909B6"/>
    <w:rsid w:val="00E90A76"/>
    <w:rsid w:val="00E912DE"/>
    <w:rsid w:val="00E91309"/>
    <w:rsid w:val="00E92010"/>
    <w:rsid w:val="00E9248D"/>
    <w:rsid w:val="00E92F4C"/>
    <w:rsid w:val="00E945A6"/>
    <w:rsid w:val="00E95B3F"/>
    <w:rsid w:val="00E95B7B"/>
    <w:rsid w:val="00E95C50"/>
    <w:rsid w:val="00E95EA0"/>
    <w:rsid w:val="00E96D9D"/>
    <w:rsid w:val="00E96F99"/>
    <w:rsid w:val="00E97BAC"/>
    <w:rsid w:val="00EA164D"/>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1576"/>
    <w:rsid w:val="00EB184D"/>
    <w:rsid w:val="00EB2082"/>
    <w:rsid w:val="00EB3E70"/>
    <w:rsid w:val="00EB4636"/>
    <w:rsid w:val="00EB4F77"/>
    <w:rsid w:val="00EB5733"/>
    <w:rsid w:val="00EB7272"/>
    <w:rsid w:val="00EC1934"/>
    <w:rsid w:val="00EC2719"/>
    <w:rsid w:val="00EC5CFF"/>
    <w:rsid w:val="00ED06C9"/>
    <w:rsid w:val="00ED0BC6"/>
    <w:rsid w:val="00ED19EC"/>
    <w:rsid w:val="00ED29B3"/>
    <w:rsid w:val="00ED2E30"/>
    <w:rsid w:val="00ED395D"/>
    <w:rsid w:val="00ED45A0"/>
    <w:rsid w:val="00ED4C30"/>
    <w:rsid w:val="00ED5730"/>
    <w:rsid w:val="00ED6056"/>
    <w:rsid w:val="00ED63E0"/>
    <w:rsid w:val="00ED6998"/>
    <w:rsid w:val="00ED776B"/>
    <w:rsid w:val="00EE0486"/>
    <w:rsid w:val="00EE07E9"/>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5082"/>
    <w:rsid w:val="00EF55D3"/>
    <w:rsid w:val="00EF6A3C"/>
    <w:rsid w:val="00EF6C9B"/>
    <w:rsid w:val="00EF732B"/>
    <w:rsid w:val="00F0019E"/>
    <w:rsid w:val="00F00200"/>
    <w:rsid w:val="00F0111E"/>
    <w:rsid w:val="00F01441"/>
    <w:rsid w:val="00F01862"/>
    <w:rsid w:val="00F02238"/>
    <w:rsid w:val="00F034F9"/>
    <w:rsid w:val="00F04C12"/>
    <w:rsid w:val="00F0573A"/>
    <w:rsid w:val="00F05B39"/>
    <w:rsid w:val="00F05B98"/>
    <w:rsid w:val="00F05BCC"/>
    <w:rsid w:val="00F05BE0"/>
    <w:rsid w:val="00F07772"/>
    <w:rsid w:val="00F0795E"/>
    <w:rsid w:val="00F10C20"/>
    <w:rsid w:val="00F10D8B"/>
    <w:rsid w:val="00F1123A"/>
    <w:rsid w:val="00F11436"/>
    <w:rsid w:val="00F116C8"/>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6F3"/>
    <w:rsid w:val="00F50A7D"/>
    <w:rsid w:val="00F50CCB"/>
    <w:rsid w:val="00F52E12"/>
    <w:rsid w:val="00F5315B"/>
    <w:rsid w:val="00F53DA9"/>
    <w:rsid w:val="00F541A4"/>
    <w:rsid w:val="00F54E90"/>
    <w:rsid w:val="00F55CFD"/>
    <w:rsid w:val="00F5612E"/>
    <w:rsid w:val="00F57C87"/>
    <w:rsid w:val="00F601E6"/>
    <w:rsid w:val="00F6114C"/>
    <w:rsid w:val="00F61980"/>
    <w:rsid w:val="00F61BA1"/>
    <w:rsid w:val="00F622A9"/>
    <w:rsid w:val="00F63EAC"/>
    <w:rsid w:val="00F64252"/>
    <w:rsid w:val="00F644BE"/>
    <w:rsid w:val="00F64CC7"/>
    <w:rsid w:val="00F64E41"/>
    <w:rsid w:val="00F6505E"/>
    <w:rsid w:val="00F659A1"/>
    <w:rsid w:val="00F6620E"/>
    <w:rsid w:val="00F6661F"/>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301D"/>
    <w:rsid w:val="00F934D9"/>
    <w:rsid w:val="00F93650"/>
    <w:rsid w:val="00F9375A"/>
    <w:rsid w:val="00F93DA2"/>
    <w:rsid w:val="00F944C6"/>
    <w:rsid w:val="00F947FA"/>
    <w:rsid w:val="00F95030"/>
    <w:rsid w:val="00F95436"/>
    <w:rsid w:val="00F95921"/>
    <w:rsid w:val="00F959A8"/>
    <w:rsid w:val="00F95E22"/>
    <w:rsid w:val="00F96476"/>
    <w:rsid w:val="00F9753F"/>
    <w:rsid w:val="00FA020C"/>
    <w:rsid w:val="00FA06C1"/>
    <w:rsid w:val="00FA0EE9"/>
    <w:rsid w:val="00FA1026"/>
    <w:rsid w:val="00FA12B5"/>
    <w:rsid w:val="00FA2DD4"/>
    <w:rsid w:val="00FA2EB7"/>
    <w:rsid w:val="00FA310E"/>
    <w:rsid w:val="00FA39D9"/>
    <w:rsid w:val="00FA4709"/>
    <w:rsid w:val="00FA5440"/>
    <w:rsid w:val="00FA5A96"/>
    <w:rsid w:val="00FA6984"/>
    <w:rsid w:val="00FA6E78"/>
    <w:rsid w:val="00FA7C7D"/>
    <w:rsid w:val="00FB0136"/>
    <w:rsid w:val="00FB13DA"/>
    <w:rsid w:val="00FB1659"/>
    <w:rsid w:val="00FB1EB4"/>
    <w:rsid w:val="00FB1FA9"/>
    <w:rsid w:val="00FB3658"/>
    <w:rsid w:val="00FB3B0E"/>
    <w:rsid w:val="00FB59C9"/>
    <w:rsid w:val="00FB5BC2"/>
    <w:rsid w:val="00FB62CF"/>
    <w:rsid w:val="00FB68C5"/>
    <w:rsid w:val="00FB7035"/>
    <w:rsid w:val="00FB7A2C"/>
    <w:rsid w:val="00FB7A74"/>
    <w:rsid w:val="00FC11B3"/>
    <w:rsid w:val="00FC13F1"/>
    <w:rsid w:val="00FC1E7E"/>
    <w:rsid w:val="00FC2E4A"/>
    <w:rsid w:val="00FC3503"/>
    <w:rsid w:val="00FC362D"/>
    <w:rsid w:val="00FC36E4"/>
    <w:rsid w:val="00FC472A"/>
    <w:rsid w:val="00FC5486"/>
    <w:rsid w:val="00FC5FDD"/>
    <w:rsid w:val="00FC6773"/>
    <w:rsid w:val="00FC67C9"/>
    <w:rsid w:val="00FC6E59"/>
    <w:rsid w:val="00FC7C02"/>
    <w:rsid w:val="00FD03C2"/>
    <w:rsid w:val="00FD1158"/>
    <w:rsid w:val="00FD1732"/>
    <w:rsid w:val="00FD29B7"/>
    <w:rsid w:val="00FD2B0D"/>
    <w:rsid w:val="00FD2D2C"/>
    <w:rsid w:val="00FD3149"/>
    <w:rsid w:val="00FD32B5"/>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925"/>
    <w:rsid w:val="00FE7F17"/>
    <w:rsid w:val="00FF0947"/>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28705FE"/>
    <w:rsid w:val="036B4971"/>
    <w:rsid w:val="04005FA1"/>
    <w:rsid w:val="054E514F"/>
    <w:rsid w:val="05A70A0D"/>
    <w:rsid w:val="05AC0574"/>
    <w:rsid w:val="05BC419D"/>
    <w:rsid w:val="06361B7E"/>
    <w:rsid w:val="06C61066"/>
    <w:rsid w:val="06D70337"/>
    <w:rsid w:val="06F227DE"/>
    <w:rsid w:val="071A41EC"/>
    <w:rsid w:val="07906ECF"/>
    <w:rsid w:val="0875303E"/>
    <w:rsid w:val="09880BF1"/>
    <w:rsid w:val="0A70684A"/>
    <w:rsid w:val="0A951F6E"/>
    <w:rsid w:val="0BFA53E6"/>
    <w:rsid w:val="0C7E1292"/>
    <w:rsid w:val="0C7F72BD"/>
    <w:rsid w:val="0D844120"/>
    <w:rsid w:val="0D9E60D7"/>
    <w:rsid w:val="0E333B63"/>
    <w:rsid w:val="0E5B4877"/>
    <w:rsid w:val="0F9A500F"/>
    <w:rsid w:val="1025513D"/>
    <w:rsid w:val="116077A0"/>
    <w:rsid w:val="11CA3ACF"/>
    <w:rsid w:val="11FB3784"/>
    <w:rsid w:val="12427DF1"/>
    <w:rsid w:val="12BA5DE6"/>
    <w:rsid w:val="13622204"/>
    <w:rsid w:val="13665E1A"/>
    <w:rsid w:val="13FF2FB9"/>
    <w:rsid w:val="14B52404"/>
    <w:rsid w:val="15E76A24"/>
    <w:rsid w:val="1665289F"/>
    <w:rsid w:val="16CB43D6"/>
    <w:rsid w:val="16F63EDD"/>
    <w:rsid w:val="17827F02"/>
    <w:rsid w:val="17B3596F"/>
    <w:rsid w:val="182E7070"/>
    <w:rsid w:val="183F1D1A"/>
    <w:rsid w:val="19F97358"/>
    <w:rsid w:val="1A553748"/>
    <w:rsid w:val="1A6754AF"/>
    <w:rsid w:val="1AE3378E"/>
    <w:rsid w:val="1AFA6EBD"/>
    <w:rsid w:val="1C7B3169"/>
    <w:rsid w:val="1C933E4A"/>
    <w:rsid w:val="1CC9785C"/>
    <w:rsid w:val="1EB14821"/>
    <w:rsid w:val="206414C8"/>
    <w:rsid w:val="206977D9"/>
    <w:rsid w:val="20CA13E8"/>
    <w:rsid w:val="21A613C7"/>
    <w:rsid w:val="223733C1"/>
    <w:rsid w:val="224E294F"/>
    <w:rsid w:val="226C214F"/>
    <w:rsid w:val="22854FFE"/>
    <w:rsid w:val="22E31283"/>
    <w:rsid w:val="2348000B"/>
    <w:rsid w:val="24A03125"/>
    <w:rsid w:val="25BB7DA5"/>
    <w:rsid w:val="27AA5D11"/>
    <w:rsid w:val="28F96905"/>
    <w:rsid w:val="2AA97BFA"/>
    <w:rsid w:val="2B065545"/>
    <w:rsid w:val="2CC827E0"/>
    <w:rsid w:val="2D812572"/>
    <w:rsid w:val="2F3435AD"/>
    <w:rsid w:val="2F831DFE"/>
    <w:rsid w:val="2FAF694F"/>
    <w:rsid w:val="3013700C"/>
    <w:rsid w:val="310E0365"/>
    <w:rsid w:val="313145D4"/>
    <w:rsid w:val="31C07988"/>
    <w:rsid w:val="332A00E7"/>
    <w:rsid w:val="338A0C00"/>
    <w:rsid w:val="341D3752"/>
    <w:rsid w:val="34514DEA"/>
    <w:rsid w:val="34A5067E"/>
    <w:rsid w:val="34CC3D50"/>
    <w:rsid w:val="35645814"/>
    <w:rsid w:val="359441D9"/>
    <w:rsid w:val="36682807"/>
    <w:rsid w:val="37F86297"/>
    <w:rsid w:val="38077A24"/>
    <w:rsid w:val="39822E25"/>
    <w:rsid w:val="39A03CEF"/>
    <w:rsid w:val="39A33E38"/>
    <w:rsid w:val="39E30BB5"/>
    <w:rsid w:val="39F775D0"/>
    <w:rsid w:val="3AB70F8D"/>
    <w:rsid w:val="3ADC5258"/>
    <w:rsid w:val="3AED7D56"/>
    <w:rsid w:val="3B096D60"/>
    <w:rsid w:val="3B3D6F2F"/>
    <w:rsid w:val="3B636D7F"/>
    <w:rsid w:val="3BD261FC"/>
    <w:rsid w:val="3E546CEB"/>
    <w:rsid w:val="3F657D6E"/>
    <w:rsid w:val="401C19E8"/>
    <w:rsid w:val="40B0300A"/>
    <w:rsid w:val="418827F6"/>
    <w:rsid w:val="421440A0"/>
    <w:rsid w:val="427914F2"/>
    <w:rsid w:val="42926285"/>
    <w:rsid w:val="42DA0C6E"/>
    <w:rsid w:val="43AB748D"/>
    <w:rsid w:val="43C05366"/>
    <w:rsid w:val="44FA1BC9"/>
    <w:rsid w:val="450966EF"/>
    <w:rsid w:val="45412657"/>
    <w:rsid w:val="465877C4"/>
    <w:rsid w:val="476612EE"/>
    <w:rsid w:val="478B4272"/>
    <w:rsid w:val="47EA5B27"/>
    <w:rsid w:val="48582D55"/>
    <w:rsid w:val="48BD6E6E"/>
    <w:rsid w:val="48F15695"/>
    <w:rsid w:val="490F0E32"/>
    <w:rsid w:val="49782573"/>
    <w:rsid w:val="4A1C5E76"/>
    <w:rsid w:val="4B3A2F93"/>
    <w:rsid w:val="4BDB628F"/>
    <w:rsid w:val="4C803A6C"/>
    <w:rsid w:val="4CDF200B"/>
    <w:rsid w:val="4D2F1861"/>
    <w:rsid w:val="4D6D5E5C"/>
    <w:rsid w:val="4D8818A4"/>
    <w:rsid w:val="4DF72F6D"/>
    <w:rsid w:val="4EB80AE3"/>
    <w:rsid w:val="4FBF2B30"/>
    <w:rsid w:val="50070AD0"/>
    <w:rsid w:val="51854483"/>
    <w:rsid w:val="5246001F"/>
    <w:rsid w:val="524A1ECB"/>
    <w:rsid w:val="54491131"/>
    <w:rsid w:val="54E831A5"/>
    <w:rsid w:val="55D22D52"/>
    <w:rsid w:val="56F07EC4"/>
    <w:rsid w:val="574C01D5"/>
    <w:rsid w:val="5A4159A9"/>
    <w:rsid w:val="5A633C89"/>
    <w:rsid w:val="5B457B15"/>
    <w:rsid w:val="5B696393"/>
    <w:rsid w:val="5B7B1804"/>
    <w:rsid w:val="5B7D7635"/>
    <w:rsid w:val="5C475F9E"/>
    <w:rsid w:val="5C5872CD"/>
    <w:rsid w:val="5C704658"/>
    <w:rsid w:val="5CA31D78"/>
    <w:rsid w:val="5CF761A1"/>
    <w:rsid w:val="5D684457"/>
    <w:rsid w:val="5DB617B5"/>
    <w:rsid w:val="5EAE747B"/>
    <w:rsid w:val="5F34520E"/>
    <w:rsid w:val="601C5B46"/>
    <w:rsid w:val="606A15ED"/>
    <w:rsid w:val="61A90ADF"/>
    <w:rsid w:val="6424211E"/>
    <w:rsid w:val="64D14343"/>
    <w:rsid w:val="65D90B98"/>
    <w:rsid w:val="67F10FCD"/>
    <w:rsid w:val="68B03FED"/>
    <w:rsid w:val="6A226EE5"/>
    <w:rsid w:val="6AFB752E"/>
    <w:rsid w:val="6BE5179C"/>
    <w:rsid w:val="6C2D63A9"/>
    <w:rsid w:val="6CF05300"/>
    <w:rsid w:val="6D0D797F"/>
    <w:rsid w:val="6D881C70"/>
    <w:rsid w:val="6E0C11B0"/>
    <w:rsid w:val="6E3C0C9C"/>
    <w:rsid w:val="6E661D1D"/>
    <w:rsid w:val="6FDD6381"/>
    <w:rsid w:val="71D55177"/>
    <w:rsid w:val="72FA47FF"/>
    <w:rsid w:val="75C630A2"/>
    <w:rsid w:val="7849732E"/>
    <w:rsid w:val="7AFE42AC"/>
    <w:rsid w:val="7B086438"/>
    <w:rsid w:val="7B4A52E9"/>
    <w:rsid w:val="7D4D5A35"/>
    <w:rsid w:val="7DA75CF8"/>
    <w:rsid w:val="7DF37ED1"/>
    <w:rsid w:val="7F930498"/>
    <w:rsid w:val="7FAA59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3"/>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link w:val="84"/>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68"/>
    <w:qFormat/>
    <w:uiPriority w:val="0"/>
    <w:pPr>
      <w:keepNext/>
      <w:keepLines/>
      <w:spacing w:before="260" w:after="260" w:line="416" w:lineRule="auto"/>
      <w:outlineLvl w:val="2"/>
    </w:pPr>
    <w:rPr>
      <w:b/>
      <w:bCs/>
      <w:sz w:val="32"/>
      <w:szCs w:val="32"/>
    </w:rPr>
  </w:style>
  <w:style w:type="paragraph" w:styleId="2">
    <w:name w:val="heading 4"/>
    <w:basedOn w:val="1"/>
    <w:next w:val="3"/>
    <w:link w:val="5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5"/>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9"/>
    <w:link w:val="86"/>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9"/>
    <w:link w:val="50"/>
    <w:qFormat/>
    <w:uiPriority w:val="0"/>
    <w:pPr>
      <w:keepNext/>
      <w:keepLines/>
      <w:spacing w:before="240" w:after="64" w:line="320" w:lineRule="auto"/>
      <w:outlineLvl w:val="6"/>
    </w:pPr>
    <w:rPr>
      <w:b/>
      <w:sz w:val="24"/>
      <w:szCs w:val="20"/>
    </w:rPr>
  </w:style>
  <w:style w:type="paragraph" w:styleId="11">
    <w:name w:val="heading 8"/>
    <w:basedOn w:val="1"/>
    <w:next w:val="9"/>
    <w:link w:val="87"/>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9"/>
    <w:link w:val="51"/>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360" w:lineRule="auto"/>
    </w:pPr>
    <w:rPr>
      <w:szCs w:val="20"/>
    </w:rPr>
  </w:style>
  <w:style w:type="paragraph" w:styleId="9">
    <w:name w:val="Normal Indent"/>
    <w:basedOn w:val="1"/>
    <w:link w:val="55"/>
    <w:qFormat/>
    <w:uiPriority w:val="0"/>
    <w:pPr>
      <w:ind w:firstLine="420"/>
    </w:pPr>
    <w:rPr>
      <w:szCs w:val="20"/>
    </w:rPr>
  </w:style>
  <w:style w:type="paragraph" w:styleId="13">
    <w:name w:val="toc 7"/>
    <w:basedOn w:val="1"/>
    <w:next w:val="1"/>
    <w:unhideWhenUsed/>
    <w:qFormat/>
    <w:uiPriority w:val="39"/>
    <w:pPr>
      <w:ind w:left="1260"/>
      <w:jc w:val="left"/>
    </w:pPr>
    <w:rPr>
      <w:rFonts w:ascii="Calibri" w:hAnsi="Calibri"/>
      <w:sz w:val="18"/>
      <w:szCs w:val="18"/>
    </w:rPr>
  </w:style>
  <w:style w:type="paragraph" w:styleId="14">
    <w:name w:val="caption"/>
    <w:basedOn w:val="1"/>
    <w:next w:val="1"/>
    <w:link w:val="74"/>
    <w:qFormat/>
    <w:uiPriority w:val="0"/>
    <w:rPr>
      <w:rFonts w:ascii="Arial" w:hAnsi="Arial" w:eastAsia="黑体"/>
      <w:sz w:val="20"/>
      <w:szCs w:val="20"/>
    </w:rPr>
  </w:style>
  <w:style w:type="paragraph" w:styleId="15">
    <w:name w:val="Document Map"/>
    <w:basedOn w:val="1"/>
    <w:semiHidden/>
    <w:qFormat/>
    <w:uiPriority w:val="0"/>
    <w:pPr>
      <w:shd w:val="clear" w:color="auto" w:fill="000080"/>
    </w:pPr>
  </w:style>
  <w:style w:type="paragraph" w:styleId="16">
    <w:name w:val="toa heading"/>
    <w:basedOn w:val="1"/>
    <w:next w:val="1"/>
    <w:semiHidden/>
    <w:qFormat/>
    <w:uiPriority w:val="0"/>
    <w:pPr>
      <w:spacing w:before="120"/>
    </w:pPr>
    <w:rPr>
      <w:rFonts w:ascii="Arial" w:hAnsi="Arial"/>
      <w:sz w:val="24"/>
      <w:szCs w:val="20"/>
    </w:rPr>
  </w:style>
  <w:style w:type="paragraph" w:styleId="17">
    <w:name w:val="annotation text"/>
    <w:basedOn w:val="1"/>
    <w:link w:val="67"/>
    <w:semiHidden/>
    <w:qFormat/>
    <w:uiPriority w:val="99"/>
    <w:pPr>
      <w:jc w:val="left"/>
    </w:pPr>
  </w:style>
  <w:style w:type="paragraph" w:styleId="18">
    <w:name w:val="Body Text 3"/>
    <w:basedOn w:val="1"/>
    <w:qFormat/>
    <w:uiPriority w:val="0"/>
    <w:pPr>
      <w:spacing w:after="120"/>
    </w:pPr>
    <w:rPr>
      <w:sz w:val="16"/>
      <w:szCs w:val="16"/>
    </w:rPr>
  </w:style>
  <w:style w:type="paragraph" w:styleId="19">
    <w:name w:val="Body Text Indent"/>
    <w:basedOn w:val="1"/>
    <w:link w:val="60"/>
    <w:qFormat/>
    <w:uiPriority w:val="99"/>
    <w:pPr>
      <w:ind w:firstLine="830" w:firstLineChars="352"/>
    </w:pPr>
    <w:rPr>
      <w:rFonts w:ascii="仿宋_GB2312" w:eastAsia="仿宋_GB2312"/>
      <w:sz w:val="32"/>
      <w:szCs w:val="20"/>
    </w:rPr>
  </w:style>
  <w:style w:type="paragraph" w:styleId="20">
    <w:name w:val="toc 5"/>
    <w:basedOn w:val="1"/>
    <w:next w:val="1"/>
    <w:unhideWhenUsed/>
    <w:qFormat/>
    <w:uiPriority w:val="39"/>
    <w:pPr>
      <w:ind w:left="840"/>
      <w:jc w:val="left"/>
    </w:pPr>
    <w:rPr>
      <w:rFonts w:ascii="Calibri" w:hAnsi="Calibri"/>
      <w:sz w:val="18"/>
      <w:szCs w:val="18"/>
    </w:rPr>
  </w:style>
  <w:style w:type="paragraph" w:styleId="21">
    <w:name w:val="toc 3"/>
    <w:basedOn w:val="1"/>
    <w:next w:val="1"/>
    <w:qFormat/>
    <w:uiPriority w:val="39"/>
    <w:pPr>
      <w:tabs>
        <w:tab w:val="left" w:pos="900"/>
        <w:tab w:val="left" w:pos="1080"/>
      </w:tabs>
      <w:ind w:left="100" w:leftChars="100"/>
    </w:pPr>
    <w:rPr>
      <w:rFonts w:ascii="宋体" w:hAnsi="宋体"/>
      <w:iCs/>
    </w:rPr>
  </w:style>
  <w:style w:type="paragraph" w:styleId="22">
    <w:name w:val="Plain Text"/>
    <w:basedOn w:val="1"/>
    <w:link w:val="64"/>
    <w:qFormat/>
    <w:uiPriority w:val="0"/>
    <w:rPr>
      <w:rFonts w:ascii="宋体" w:hAnsi="Courier New" w:cs="Courier New"/>
      <w:szCs w:val="21"/>
    </w:rPr>
  </w:style>
  <w:style w:type="paragraph" w:styleId="23">
    <w:name w:val="toc 8"/>
    <w:basedOn w:val="1"/>
    <w:next w:val="1"/>
    <w:qFormat/>
    <w:uiPriority w:val="39"/>
    <w:pPr>
      <w:ind w:left="1470"/>
      <w:jc w:val="left"/>
    </w:pPr>
    <w:rPr>
      <w:rFonts w:ascii="Calibri" w:hAnsi="Calibri"/>
      <w:sz w:val="18"/>
      <w:szCs w:val="18"/>
    </w:rPr>
  </w:style>
  <w:style w:type="paragraph" w:styleId="24">
    <w:name w:val="index 3"/>
    <w:basedOn w:val="1"/>
    <w:next w:val="1"/>
    <w:semiHidden/>
    <w:qFormat/>
    <w:uiPriority w:val="0"/>
    <w:pPr>
      <w:ind w:left="400" w:leftChars="400"/>
    </w:pPr>
  </w:style>
  <w:style w:type="paragraph" w:styleId="25">
    <w:name w:val="Date"/>
    <w:basedOn w:val="1"/>
    <w:next w:val="1"/>
    <w:qFormat/>
    <w:uiPriority w:val="0"/>
    <w:rPr>
      <w:rFonts w:ascii="宋体" w:hAnsi="Courier New"/>
      <w:b/>
      <w:sz w:val="48"/>
      <w:szCs w:val="20"/>
    </w:rPr>
  </w:style>
  <w:style w:type="paragraph" w:styleId="26">
    <w:name w:val="Body Text Indent 2"/>
    <w:basedOn w:val="1"/>
    <w:link w:val="89"/>
    <w:qFormat/>
    <w:uiPriority w:val="0"/>
    <w:pPr>
      <w:spacing w:after="120" w:line="480" w:lineRule="auto"/>
      <w:ind w:left="420" w:leftChars="200"/>
    </w:pPr>
  </w:style>
  <w:style w:type="paragraph" w:styleId="27">
    <w:name w:val="Balloon Text"/>
    <w:basedOn w:val="1"/>
    <w:link w:val="59"/>
    <w:semiHidden/>
    <w:qFormat/>
    <w:uiPriority w:val="0"/>
    <w:rPr>
      <w:sz w:val="18"/>
      <w:szCs w:val="18"/>
    </w:rPr>
  </w:style>
  <w:style w:type="paragraph" w:styleId="28">
    <w:name w:val="footer"/>
    <w:basedOn w:val="1"/>
    <w:link w:val="77"/>
    <w:qFormat/>
    <w:uiPriority w:val="0"/>
    <w:pPr>
      <w:tabs>
        <w:tab w:val="center" w:pos="4153"/>
        <w:tab w:val="right" w:pos="8306"/>
      </w:tabs>
      <w:snapToGrid w:val="0"/>
      <w:jc w:val="left"/>
    </w:pPr>
    <w:rPr>
      <w:sz w:val="18"/>
      <w:szCs w:val="18"/>
    </w:rPr>
  </w:style>
  <w:style w:type="paragraph" w:styleId="29">
    <w:name w:val="header"/>
    <w:basedOn w:val="1"/>
    <w:link w:val="56"/>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0">
    <w:name w:val="toc 1"/>
    <w:basedOn w:val="1"/>
    <w:next w:val="1"/>
    <w:qFormat/>
    <w:uiPriority w:val="39"/>
    <w:pPr>
      <w:tabs>
        <w:tab w:val="right" w:leader="dot" w:pos="8280"/>
      </w:tabs>
      <w:spacing w:line="360" w:lineRule="auto"/>
    </w:pPr>
    <w:rPr>
      <w:rFonts w:ascii="宋体" w:hAnsi="宋体"/>
      <w:b/>
      <w:sz w:val="22"/>
      <w:szCs w:val="21"/>
    </w:rPr>
  </w:style>
  <w:style w:type="paragraph" w:styleId="31">
    <w:name w:val="toc 4"/>
    <w:basedOn w:val="1"/>
    <w:next w:val="1"/>
    <w:unhideWhenUsed/>
    <w:qFormat/>
    <w:uiPriority w:val="39"/>
    <w:pPr>
      <w:ind w:left="630"/>
      <w:jc w:val="left"/>
    </w:pPr>
    <w:rPr>
      <w:rFonts w:ascii="Calibri" w:hAnsi="Calibri"/>
      <w:sz w:val="18"/>
      <w:szCs w:val="18"/>
    </w:rPr>
  </w:style>
  <w:style w:type="paragraph" w:styleId="32">
    <w:name w:val="index heading"/>
    <w:basedOn w:val="1"/>
    <w:next w:val="33"/>
    <w:semiHidden/>
    <w:qFormat/>
    <w:uiPriority w:val="0"/>
    <w:rPr>
      <w:szCs w:val="20"/>
    </w:rPr>
  </w:style>
  <w:style w:type="paragraph" w:styleId="33">
    <w:name w:val="index 1"/>
    <w:basedOn w:val="1"/>
    <w:next w:val="1"/>
    <w:semiHidden/>
    <w:qFormat/>
    <w:uiPriority w:val="0"/>
    <w:pPr>
      <w:tabs>
        <w:tab w:val="left" w:pos="7740"/>
      </w:tabs>
      <w:jc w:val="center"/>
    </w:pPr>
    <w:rPr>
      <w:rFonts w:ascii="仿宋" w:hAnsi="仿宋" w:eastAsia="仿宋"/>
      <w:b/>
      <w:sz w:val="28"/>
      <w:szCs w:val="28"/>
    </w:rPr>
  </w:style>
  <w:style w:type="paragraph" w:styleId="34">
    <w:name w:val="toc 6"/>
    <w:basedOn w:val="1"/>
    <w:next w:val="1"/>
    <w:unhideWhenUsed/>
    <w:qFormat/>
    <w:uiPriority w:val="39"/>
    <w:pPr>
      <w:ind w:left="1050"/>
      <w:jc w:val="left"/>
    </w:pPr>
    <w:rPr>
      <w:rFonts w:ascii="Calibri" w:hAnsi="Calibri"/>
      <w:sz w:val="18"/>
      <w:szCs w:val="18"/>
    </w:rPr>
  </w:style>
  <w:style w:type="paragraph" w:styleId="35">
    <w:name w:val="Body Text Indent 3"/>
    <w:basedOn w:val="1"/>
    <w:qFormat/>
    <w:uiPriority w:val="0"/>
    <w:pPr>
      <w:spacing w:line="360" w:lineRule="auto"/>
      <w:ind w:firstLine="420" w:firstLineChars="200"/>
    </w:pPr>
    <w:rPr>
      <w:szCs w:val="20"/>
    </w:rPr>
  </w:style>
  <w:style w:type="paragraph" w:styleId="36">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7">
    <w:name w:val="toc 9"/>
    <w:basedOn w:val="1"/>
    <w:next w:val="1"/>
    <w:unhideWhenUsed/>
    <w:qFormat/>
    <w:uiPriority w:val="39"/>
    <w:pPr>
      <w:ind w:left="1680"/>
      <w:jc w:val="left"/>
    </w:pPr>
    <w:rPr>
      <w:rFonts w:ascii="Calibri" w:hAnsi="Calibri"/>
      <w:sz w:val="18"/>
      <w:szCs w:val="18"/>
    </w:rPr>
  </w:style>
  <w:style w:type="paragraph" w:styleId="3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88"/>
    <w:qFormat/>
    <w:uiPriority w:val="0"/>
    <w:pPr>
      <w:spacing w:before="240" w:after="60"/>
      <w:jc w:val="center"/>
      <w:outlineLvl w:val="0"/>
    </w:pPr>
    <w:rPr>
      <w:rFonts w:ascii="Arial" w:hAnsi="Arial"/>
      <w:b/>
      <w:bCs/>
      <w:sz w:val="32"/>
      <w:szCs w:val="32"/>
    </w:rPr>
  </w:style>
  <w:style w:type="paragraph" w:styleId="40">
    <w:name w:val="annotation subject"/>
    <w:basedOn w:val="17"/>
    <w:next w:val="17"/>
    <w:semiHidden/>
    <w:qFormat/>
    <w:uiPriority w:val="0"/>
    <w:rPr>
      <w:b/>
      <w:bCs/>
    </w:rPr>
  </w:style>
  <w:style w:type="paragraph" w:styleId="41">
    <w:name w:val="Body Text First Indent"/>
    <w:basedOn w:val="3"/>
    <w:qFormat/>
    <w:uiPriority w:val="0"/>
    <w:pPr>
      <w:spacing w:after="120" w:line="240" w:lineRule="auto"/>
      <w:ind w:firstLine="420" w:firstLineChars="100"/>
    </w:pPr>
    <w:rPr>
      <w:szCs w:val="24"/>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rFonts w:ascii="Tahoma" w:hAnsi="Tahoma" w:eastAsia="宋体"/>
      <w:b/>
      <w:bCs/>
      <w:spacing w:val="10"/>
      <w:sz w:val="24"/>
      <w:lang w:val="en-US" w:eastAsia="zh-CN" w:bidi="ar-SA"/>
    </w:rPr>
  </w:style>
  <w:style w:type="character" w:styleId="46">
    <w:name w:val="page number"/>
    <w:basedOn w:val="44"/>
    <w:qFormat/>
    <w:uiPriority w:val="0"/>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customStyle="1" w:styleId="49">
    <w:name w:val="已访问的超链接1"/>
    <w:qFormat/>
    <w:uiPriority w:val="0"/>
    <w:rPr>
      <w:color w:val="800080"/>
      <w:u w:val="single"/>
    </w:rPr>
  </w:style>
  <w:style w:type="character" w:customStyle="1" w:styleId="50">
    <w:name w:val="标题 7 Char"/>
    <w:link w:val="10"/>
    <w:qFormat/>
    <w:locked/>
    <w:uiPriority w:val="0"/>
    <w:rPr>
      <w:b/>
      <w:kern w:val="2"/>
      <w:sz w:val="24"/>
    </w:rPr>
  </w:style>
  <w:style w:type="character" w:customStyle="1" w:styleId="51">
    <w:name w:val="标题 9 Char"/>
    <w:link w:val="12"/>
    <w:qFormat/>
    <w:locked/>
    <w:uiPriority w:val="0"/>
    <w:rPr>
      <w:rFonts w:ascii="Arial" w:hAnsi="Arial" w:eastAsia="黑体"/>
      <w:kern w:val="2"/>
      <w:sz w:val="21"/>
    </w:rPr>
  </w:style>
  <w:style w:type="character" w:customStyle="1" w:styleId="52">
    <w:name w:val="标题 3 Char1"/>
    <w:qFormat/>
    <w:locked/>
    <w:uiPriority w:val="0"/>
    <w:rPr>
      <w:rFonts w:ascii="宋体" w:hAnsi="Times New Roman"/>
    </w:rPr>
  </w:style>
  <w:style w:type="character" w:customStyle="1" w:styleId="53">
    <w:name w:val="标题 4 Char"/>
    <w:link w:val="2"/>
    <w:qFormat/>
    <w:locked/>
    <w:uiPriority w:val="0"/>
    <w:rPr>
      <w:rFonts w:ascii="Arial" w:hAnsi="Arial" w:eastAsia="黑体"/>
      <w:b/>
      <w:bCs/>
      <w:kern w:val="2"/>
      <w:sz w:val="28"/>
      <w:szCs w:val="28"/>
    </w:rPr>
  </w:style>
  <w:style w:type="character" w:customStyle="1" w:styleId="54">
    <w:name w:val="Char Char8"/>
    <w:qFormat/>
    <w:uiPriority w:val="0"/>
    <w:rPr>
      <w:rFonts w:ascii="宋体" w:hAnsi="Courier New" w:eastAsia="宋体"/>
      <w:kern w:val="2"/>
      <w:sz w:val="21"/>
      <w:lang w:val="en-US" w:eastAsia="zh-CN" w:bidi="ar-SA"/>
    </w:rPr>
  </w:style>
  <w:style w:type="character" w:customStyle="1" w:styleId="55">
    <w:name w:val="正文缩进 Char"/>
    <w:link w:val="9"/>
    <w:qFormat/>
    <w:uiPriority w:val="0"/>
    <w:rPr>
      <w:rFonts w:eastAsia="宋体"/>
      <w:kern w:val="2"/>
      <w:sz w:val="21"/>
      <w:lang w:val="en-US" w:eastAsia="zh-CN" w:bidi="ar-SA"/>
    </w:rPr>
  </w:style>
  <w:style w:type="character" w:customStyle="1" w:styleId="56">
    <w:name w:val="页眉 Char"/>
    <w:link w:val="29"/>
    <w:qFormat/>
    <w:uiPriority w:val="0"/>
    <w:rPr>
      <w:rFonts w:hAnsi="宋体"/>
      <w:color w:val="000000"/>
      <w:kern w:val="2"/>
      <w:sz w:val="18"/>
      <w:szCs w:val="18"/>
    </w:rPr>
  </w:style>
  <w:style w:type="character" w:customStyle="1" w:styleId="57">
    <w:name w:val="正文 A Char Char"/>
    <w:link w:val="58"/>
    <w:qFormat/>
    <w:uiPriority w:val="0"/>
    <w:rPr>
      <w:rFonts w:ascii="仿宋_GB2312" w:hAnsi="Heiti SC Light" w:eastAsia="仿宋_GB2312"/>
      <w:kern w:val="2"/>
      <w:sz w:val="24"/>
      <w:lang w:val="en-US" w:eastAsia="zh-CN" w:bidi="ar-SA"/>
    </w:rPr>
  </w:style>
  <w:style w:type="paragraph" w:customStyle="1" w:styleId="58">
    <w:name w:val="正文 A"/>
    <w:link w:val="57"/>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59">
    <w:name w:val="批注框文本 Char"/>
    <w:link w:val="27"/>
    <w:semiHidden/>
    <w:qFormat/>
    <w:locked/>
    <w:uiPriority w:val="0"/>
    <w:rPr>
      <w:kern w:val="2"/>
      <w:sz w:val="18"/>
      <w:szCs w:val="18"/>
    </w:rPr>
  </w:style>
  <w:style w:type="character" w:customStyle="1" w:styleId="60">
    <w:name w:val="正文文本缩进 Char"/>
    <w:link w:val="19"/>
    <w:qFormat/>
    <w:uiPriority w:val="99"/>
    <w:rPr>
      <w:rFonts w:ascii="仿宋_GB2312" w:eastAsia="仿宋_GB2312"/>
      <w:kern w:val="2"/>
      <w:sz w:val="32"/>
    </w:rPr>
  </w:style>
  <w:style w:type="character" w:customStyle="1" w:styleId="61">
    <w:name w:val="xl25 Char"/>
    <w:link w:val="62"/>
    <w:qFormat/>
    <w:uiPriority w:val="0"/>
    <w:rPr>
      <w:rFonts w:ascii="宋体" w:hAnsi="宋体" w:eastAsia="宋体"/>
      <w:sz w:val="21"/>
      <w:szCs w:val="21"/>
      <w:lang w:val="en-US" w:eastAsia="zh-CN" w:bidi="ar-SA"/>
    </w:rPr>
  </w:style>
  <w:style w:type="paragraph" w:customStyle="1" w:styleId="62">
    <w:name w:val="xl25"/>
    <w:basedOn w:val="1"/>
    <w:link w:val="6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3">
    <w:name w:val="font1"/>
    <w:qFormat/>
    <w:uiPriority w:val="0"/>
    <w:rPr>
      <w:sz w:val="18"/>
      <w:szCs w:val="18"/>
      <w:u w:val="none"/>
    </w:rPr>
  </w:style>
  <w:style w:type="character" w:customStyle="1" w:styleId="64">
    <w:name w:val="纯文本 Char"/>
    <w:link w:val="22"/>
    <w:qFormat/>
    <w:uiPriority w:val="0"/>
    <w:rPr>
      <w:rFonts w:ascii="宋体" w:hAnsi="Courier New" w:eastAsia="宋体" w:cs="Courier New"/>
      <w:kern w:val="2"/>
      <w:sz w:val="21"/>
      <w:szCs w:val="21"/>
      <w:lang w:val="en-US" w:eastAsia="zh-CN" w:bidi="ar-SA"/>
    </w:rPr>
  </w:style>
  <w:style w:type="character" w:customStyle="1" w:styleId="65">
    <w:name w:val="标题 2 Char"/>
    <w:qFormat/>
    <w:uiPriority w:val="0"/>
    <w:rPr>
      <w:rFonts w:ascii="Arial" w:hAnsi="Arial" w:eastAsia="黑体"/>
      <w:b/>
      <w:bCs/>
      <w:kern w:val="2"/>
      <w:sz w:val="32"/>
      <w:szCs w:val="32"/>
      <w:lang w:val="en-US" w:eastAsia="zh-CN" w:bidi="ar-SA"/>
    </w:rPr>
  </w:style>
  <w:style w:type="character" w:customStyle="1" w:styleId="66">
    <w:name w:val="纯文本 Char1"/>
    <w:qFormat/>
    <w:uiPriority w:val="0"/>
    <w:rPr>
      <w:rFonts w:ascii="宋体" w:hAnsi="Courier New" w:eastAsia="宋体" w:cs="Times New Roman"/>
      <w:kern w:val="0"/>
      <w:sz w:val="20"/>
      <w:szCs w:val="20"/>
    </w:rPr>
  </w:style>
  <w:style w:type="character" w:customStyle="1" w:styleId="67">
    <w:name w:val="批注文字 Char"/>
    <w:link w:val="17"/>
    <w:semiHidden/>
    <w:qFormat/>
    <w:uiPriority w:val="99"/>
    <w:rPr>
      <w:kern w:val="2"/>
      <w:sz w:val="21"/>
      <w:szCs w:val="24"/>
    </w:rPr>
  </w:style>
  <w:style w:type="character" w:customStyle="1" w:styleId="68">
    <w:name w:val="标题 3 Char"/>
    <w:link w:val="6"/>
    <w:qFormat/>
    <w:uiPriority w:val="0"/>
    <w:rPr>
      <w:rFonts w:eastAsia="宋体"/>
      <w:b/>
      <w:bCs/>
      <w:kern w:val="2"/>
      <w:sz w:val="32"/>
      <w:szCs w:val="32"/>
      <w:lang w:val="en-US" w:eastAsia="zh-CN" w:bidi="ar-SA"/>
    </w:rPr>
  </w:style>
  <w:style w:type="character" w:customStyle="1" w:styleId="69">
    <w:name w:val="mark8"/>
    <w:qFormat/>
    <w:uiPriority w:val="0"/>
    <w:rPr>
      <w:b/>
      <w:bCs/>
      <w:sz w:val="21"/>
      <w:szCs w:val="21"/>
    </w:rPr>
  </w:style>
  <w:style w:type="character" w:customStyle="1" w:styleId="70">
    <w:name w:val="列出段落 Char"/>
    <w:link w:val="71"/>
    <w:qFormat/>
    <w:uiPriority w:val="0"/>
    <w:rPr>
      <w:rFonts w:ascii="Calibri" w:hAnsi="Calibri"/>
      <w:kern w:val="2"/>
      <w:sz w:val="21"/>
      <w:szCs w:val="22"/>
    </w:rPr>
  </w:style>
  <w:style w:type="paragraph" w:styleId="71">
    <w:name w:val="List Paragraph"/>
    <w:basedOn w:val="1"/>
    <w:link w:val="70"/>
    <w:qFormat/>
    <w:uiPriority w:val="0"/>
    <w:pPr>
      <w:ind w:firstLine="420" w:firstLineChars="200"/>
    </w:pPr>
    <w:rPr>
      <w:rFonts w:ascii="Calibri" w:hAnsi="Calibri"/>
      <w:szCs w:val="22"/>
    </w:rPr>
  </w:style>
  <w:style w:type="character" w:customStyle="1" w:styleId="72">
    <w:name w:val="Char Char10"/>
    <w:qFormat/>
    <w:uiPriority w:val="0"/>
    <w:rPr>
      <w:rFonts w:eastAsia="宋体"/>
      <w:kern w:val="2"/>
      <w:sz w:val="18"/>
      <w:szCs w:val="18"/>
      <w:lang w:val="en-US" w:eastAsia="zh-CN" w:bidi="ar-SA"/>
    </w:rPr>
  </w:style>
  <w:style w:type="character" w:customStyle="1" w:styleId="73">
    <w:name w:val="nine-11"/>
    <w:qFormat/>
    <w:uiPriority w:val="0"/>
    <w:rPr>
      <w:rFonts w:hint="default"/>
      <w:sz w:val="18"/>
      <w:szCs w:val="18"/>
    </w:rPr>
  </w:style>
  <w:style w:type="character" w:customStyle="1" w:styleId="74">
    <w:name w:val="题注 Char"/>
    <w:link w:val="14"/>
    <w:qFormat/>
    <w:uiPriority w:val="0"/>
    <w:rPr>
      <w:rFonts w:ascii="Arial" w:hAnsi="Arial" w:eastAsia="黑体" w:cs="Arial"/>
      <w:kern w:val="2"/>
    </w:rPr>
  </w:style>
  <w:style w:type="character" w:customStyle="1" w:styleId="75">
    <w:name w:val="mark"/>
    <w:basedOn w:val="44"/>
    <w:qFormat/>
    <w:uiPriority w:val="0"/>
  </w:style>
  <w:style w:type="character" w:customStyle="1" w:styleId="76">
    <w:name w:val="Char Char3"/>
    <w:qFormat/>
    <w:uiPriority w:val="0"/>
    <w:rPr>
      <w:rFonts w:eastAsia="宋体"/>
      <w:kern w:val="2"/>
      <w:sz w:val="18"/>
      <w:lang w:val="en-US" w:eastAsia="zh-CN" w:bidi="ar-SA"/>
    </w:rPr>
  </w:style>
  <w:style w:type="character" w:customStyle="1" w:styleId="77">
    <w:name w:val="页脚 Char"/>
    <w:link w:val="28"/>
    <w:qFormat/>
    <w:uiPriority w:val="0"/>
    <w:rPr>
      <w:rFonts w:eastAsia="宋体"/>
      <w:kern w:val="2"/>
      <w:sz w:val="18"/>
      <w:szCs w:val="18"/>
      <w:lang w:val="en-US" w:eastAsia="zh-CN" w:bidi="ar-SA"/>
    </w:rPr>
  </w:style>
  <w:style w:type="character" w:customStyle="1" w:styleId="78">
    <w:name w:val="font31"/>
    <w:qFormat/>
    <w:uiPriority w:val="0"/>
    <w:rPr>
      <w:rFonts w:hint="eastAsia" w:ascii="宋体" w:hAnsi="宋体" w:eastAsia="宋体" w:cs="宋体"/>
      <w:color w:val="000000"/>
      <w:sz w:val="20"/>
      <w:szCs w:val="20"/>
      <w:u w:val="none"/>
    </w:rPr>
  </w:style>
  <w:style w:type="character" w:customStyle="1" w:styleId="79">
    <w:name w:val="Font Style17"/>
    <w:qFormat/>
    <w:uiPriority w:val="0"/>
    <w:rPr>
      <w:rFonts w:ascii="黑体" w:eastAsia="黑体" w:cs="黑体"/>
      <w:sz w:val="28"/>
      <w:szCs w:val="28"/>
    </w:rPr>
  </w:style>
  <w:style w:type="character" w:customStyle="1" w:styleId="80">
    <w:name w:val="标题 1 Char"/>
    <w:qFormat/>
    <w:uiPriority w:val="0"/>
    <w:rPr>
      <w:rFonts w:ascii="Times New Roman" w:hAnsi="Times New Roman" w:eastAsia="宋体" w:cs="Times New Roman"/>
      <w:b/>
      <w:bCs/>
      <w:kern w:val="44"/>
      <w:sz w:val="44"/>
      <w:szCs w:val="44"/>
    </w:rPr>
  </w:style>
  <w:style w:type="character" w:customStyle="1" w:styleId="81">
    <w:name w:val="List Paragraph Char"/>
    <w:link w:val="82"/>
    <w:qFormat/>
    <w:locked/>
    <w:uiPriority w:val="0"/>
    <w:rPr>
      <w:rFonts w:ascii="Calibri" w:hAnsi="Calibri"/>
      <w:kern w:val="2"/>
      <w:sz w:val="21"/>
      <w:szCs w:val="22"/>
    </w:rPr>
  </w:style>
  <w:style w:type="paragraph" w:customStyle="1" w:styleId="82">
    <w:name w:val="列出段落2"/>
    <w:basedOn w:val="1"/>
    <w:link w:val="81"/>
    <w:qFormat/>
    <w:uiPriority w:val="0"/>
    <w:pPr>
      <w:ind w:firstLine="420" w:firstLineChars="200"/>
    </w:pPr>
    <w:rPr>
      <w:rFonts w:ascii="Calibri" w:hAnsi="Calibri"/>
      <w:szCs w:val="22"/>
    </w:rPr>
  </w:style>
  <w:style w:type="character" w:customStyle="1" w:styleId="83">
    <w:name w:val="标题 1 Char1"/>
    <w:link w:val="4"/>
    <w:qFormat/>
    <w:locked/>
    <w:uiPriority w:val="0"/>
    <w:rPr>
      <w:b/>
      <w:bCs/>
      <w:kern w:val="44"/>
      <w:sz w:val="44"/>
      <w:szCs w:val="44"/>
    </w:rPr>
  </w:style>
  <w:style w:type="character" w:customStyle="1" w:styleId="84">
    <w:name w:val="标题 2 Char1"/>
    <w:link w:val="5"/>
    <w:qFormat/>
    <w:locked/>
    <w:uiPriority w:val="0"/>
    <w:rPr>
      <w:rFonts w:ascii="Arial" w:hAnsi="Arial" w:eastAsia="黑体"/>
      <w:b/>
      <w:bCs/>
      <w:kern w:val="2"/>
      <w:sz w:val="32"/>
      <w:szCs w:val="32"/>
    </w:rPr>
  </w:style>
  <w:style w:type="character" w:customStyle="1" w:styleId="85">
    <w:name w:val="标题 5 Char"/>
    <w:link w:val="7"/>
    <w:qFormat/>
    <w:locked/>
    <w:uiPriority w:val="0"/>
    <w:rPr>
      <w:b/>
      <w:sz w:val="28"/>
    </w:rPr>
  </w:style>
  <w:style w:type="character" w:customStyle="1" w:styleId="86">
    <w:name w:val="标题 6 Char"/>
    <w:link w:val="8"/>
    <w:qFormat/>
    <w:locked/>
    <w:uiPriority w:val="0"/>
    <w:rPr>
      <w:rFonts w:ascii="Arial" w:hAnsi="Arial" w:eastAsia="黑体"/>
      <w:b/>
      <w:kern w:val="2"/>
      <w:sz w:val="24"/>
    </w:rPr>
  </w:style>
  <w:style w:type="character" w:customStyle="1" w:styleId="87">
    <w:name w:val="标题 8 Char"/>
    <w:link w:val="11"/>
    <w:qFormat/>
    <w:locked/>
    <w:uiPriority w:val="0"/>
    <w:rPr>
      <w:rFonts w:ascii="Arial" w:hAnsi="Arial" w:eastAsia="黑体"/>
      <w:kern w:val="2"/>
      <w:sz w:val="24"/>
    </w:rPr>
  </w:style>
  <w:style w:type="character" w:customStyle="1" w:styleId="88">
    <w:name w:val="标题 Char"/>
    <w:link w:val="39"/>
    <w:qFormat/>
    <w:uiPriority w:val="0"/>
    <w:rPr>
      <w:rFonts w:ascii="Arial" w:hAnsi="Arial" w:cs="Arial"/>
      <w:b/>
      <w:bCs/>
      <w:kern w:val="2"/>
      <w:sz w:val="32"/>
      <w:szCs w:val="32"/>
    </w:rPr>
  </w:style>
  <w:style w:type="character" w:customStyle="1" w:styleId="89">
    <w:name w:val="正文文本缩进 2 Char"/>
    <w:link w:val="26"/>
    <w:qFormat/>
    <w:uiPriority w:val="0"/>
    <w:rPr>
      <w:kern w:val="2"/>
      <w:sz w:val="21"/>
      <w:szCs w:val="24"/>
    </w:rPr>
  </w:style>
  <w:style w:type="character" w:customStyle="1" w:styleId="90">
    <w:name w:val="表标题 Char Char"/>
    <w:link w:val="91"/>
    <w:qFormat/>
    <w:uiPriority w:val="0"/>
    <w:rPr>
      <w:b/>
    </w:rPr>
  </w:style>
  <w:style w:type="paragraph" w:customStyle="1" w:styleId="91">
    <w:name w:val="表标题"/>
    <w:basedOn w:val="9"/>
    <w:link w:val="90"/>
    <w:qFormat/>
    <w:uiPriority w:val="0"/>
    <w:pPr>
      <w:adjustRightInd w:val="0"/>
      <w:snapToGrid w:val="0"/>
      <w:spacing w:before="62" w:after="62"/>
      <w:ind w:firstLine="0"/>
      <w:jc w:val="center"/>
    </w:pPr>
    <w:rPr>
      <w:b/>
      <w:kern w:val="0"/>
      <w:sz w:val="20"/>
    </w:rPr>
  </w:style>
  <w:style w:type="paragraph" w:customStyle="1" w:styleId="9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3">
    <w:name w:val="_Style 4"/>
    <w:basedOn w:val="1"/>
    <w:qFormat/>
    <w:uiPriority w:val="0"/>
    <w:pPr>
      <w:spacing w:beforeLines="50" w:afterLines="50"/>
    </w:pPr>
  </w:style>
  <w:style w:type="paragraph" w:customStyle="1" w:styleId="94">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6">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97">
    <w:name w:val="办公自动化专用标题"/>
    <w:basedOn w:val="39"/>
    <w:qFormat/>
    <w:uiPriority w:val="0"/>
    <w:pPr>
      <w:spacing w:line="560" w:lineRule="atLeast"/>
    </w:pPr>
    <w:rPr>
      <w:rFonts w:ascii="宋体"/>
      <w:bCs w:val="0"/>
      <w:sz w:val="44"/>
      <w:szCs w:val="20"/>
    </w:rPr>
  </w:style>
  <w:style w:type="paragraph" w:customStyle="1" w:styleId="98">
    <w:name w:val="Char3"/>
    <w:basedOn w:val="1"/>
    <w:qFormat/>
    <w:uiPriority w:val="0"/>
  </w:style>
  <w:style w:type="paragraph" w:customStyle="1" w:styleId="99">
    <w:name w:val="表格"/>
    <w:basedOn w:val="1"/>
    <w:qFormat/>
    <w:uiPriority w:val="0"/>
    <w:pPr>
      <w:jc w:val="center"/>
    </w:pPr>
    <w:rPr>
      <w:rFonts w:ascii="宋体"/>
      <w:b/>
      <w:szCs w:val="20"/>
    </w:rPr>
  </w:style>
  <w:style w:type="paragraph" w:customStyle="1" w:styleId="100">
    <w:name w:val="Char Char3 Char Char"/>
    <w:basedOn w:val="1"/>
    <w:qFormat/>
    <w:uiPriority w:val="0"/>
    <w:pPr>
      <w:spacing w:line="360" w:lineRule="auto"/>
      <w:ind w:firstLine="200" w:firstLineChars="200"/>
    </w:pPr>
    <w:rPr>
      <w:rFonts w:ascii="宋体" w:hAnsi="宋体" w:cs="宋体"/>
      <w:sz w:val="24"/>
    </w:rPr>
  </w:style>
  <w:style w:type="paragraph" w:customStyle="1" w:styleId="101">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2">
    <w:name w:val="p0"/>
    <w:basedOn w:val="1"/>
    <w:qFormat/>
    <w:uiPriority w:val="0"/>
    <w:pPr>
      <w:widowControl/>
    </w:pPr>
    <w:rPr>
      <w:kern w:val="0"/>
      <w:szCs w:val="21"/>
    </w:rPr>
  </w:style>
  <w:style w:type="paragraph" w:customStyle="1" w:styleId="103">
    <w:name w:val="图框内的文字"/>
    <w:basedOn w:val="1"/>
    <w:qFormat/>
    <w:uiPriority w:val="0"/>
    <w:pPr>
      <w:jc w:val="center"/>
    </w:pPr>
    <w:rPr>
      <w:position w:val="6"/>
      <w:szCs w:val="20"/>
    </w:rPr>
  </w:style>
  <w:style w:type="paragraph" w:customStyle="1" w:styleId="104">
    <w:name w:val="默认段落字体 Para Char"/>
    <w:basedOn w:val="1"/>
    <w:qFormat/>
    <w:uiPriority w:val="0"/>
    <w:rPr>
      <w:rFonts w:ascii="宋体" w:hAnsi="宋体"/>
      <w:b/>
      <w:sz w:val="28"/>
      <w:szCs w:val="28"/>
    </w:rPr>
  </w:style>
  <w:style w:type="paragraph" w:customStyle="1" w:styleId="10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6">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07">
    <w:name w:val="字元 字元"/>
    <w:basedOn w:val="1"/>
    <w:qFormat/>
    <w:uiPriority w:val="0"/>
    <w:pPr>
      <w:spacing w:line="360" w:lineRule="auto"/>
      <w:ind w:firstLine="200" w:firstLineChars="200"/>
    </w:pPr>
    <w:rPr>
      <w:rFonts w:ascii="宋体" w:hAnsi="宋体" w:cs="宋体"/>
      <w:sz w:val="24"/>
    </w:rPr>
  </w:style>
  <w:style w:type="paragraph" w:customStyle="1" w:styleId="108">
    <w:name w:val="正文段落"/>
    <w:basedOn w:val="1"/>
    <w:qFormat/>
    <w:uiPriority w:val="0"/>
    <w:pPr>
      <w:widowControl/>
      <w:spacing w:after="40" w:line="360" w:lineRule="auto"/>
      <w:ind w:firstLine="200" w:firstLineChars="200"/>
    </w:pPr>
    <w:rPr>
      <w:kern w:val="0"/>
      <w:sz w:val="24"/>
    </w:rPr>
  </w:style>
  <w:style w:type="paragraph" w:customStyle="1" w:styleId="109">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0">
    <w:name w:val="Char Char2 Char"/>
    <w:basedOn w:val="1"/>
    <w:qFormat/>
    <w:uiPriority w:val="0"/>
    <w:rPr>
      <w:rFonts w:ascii="宋体" w:hAnsi="宋体"/>
      <w:b/>
      <w:sz w:val="28"/>
      <w:szCs w:val="28"/>
    </w:rPr>
  </w:style>
  <w:style w:type="paragraph" w:customStyle="1" w:styleId="11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2">
    <w:name w:val="Char Char"/>
    <w:basedOn w:val="1"/>
    <w:qFormat/>
    <w:uiPriority w:val="0"/>
    <w:rPr>
      <w:rFonts w:ascii="宋体" w:hAnsi="宋体"/>
      <w:b/>
      <w:sz w:val="28"/>
      <w:szCs w:val="28"/>
    </w:rPr>
  </w:style>
  <w:style w:type="paragraph" w:customStyle="1" w:styleId="113">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4">
    <w:name w:val="题注5"/>
    <w:basedOn w:val="1"/>
    <w:next w:val="14"/>
    <w:qFormat/>
    <w:uiPriority w:val="0"/>
    <w:pPr>
      <w:jc w:val="center"/>
    </w:pPr>
    <w:rPr>
      <w:b/>
      <w:color w:val="000000"/>
      <w:sz w:val="24"/>
      <w:szCs w:val="21"/>
    </w:rPr>
  </w:style>
  <w:style w:type="paragraph" w:customStyle="1" w:styleId="11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6">
    <w:name w:val="题注4"/>
    <w:basedOn w:val="1"/>
    <w:next w:val="14"/>
    <w:qFormat/>
    <w:uiPriority w:val="0"/>
    <w:pPr>
      <w:ind w:left="-132" w:leftChars="-64" w:right="-105" w:rightChars="-50" w:hanging="2"/>
      <w:jc w:val="center"/>
    </w:pPr>
    <w:rPr>
      <w:b/>
      <w:color w:val="FF0000"/>
      <w:szCs w:val="21"/>
      <w:lang w:val="en-GB"/>
    </w:rPr>
  </w:style>
  <w:style w:type="paragraph" w:customStyle="1" w:styleId="117">
    <w:name w:val="表格文字"/>
    <w:basedOn w:val="1"/>
    <w:next w:val="1"/>
    <w:qFormat/>
    <w:uiPriority w:val="0"/>
    <w:pPr>
      <w:spacing w:before="25" w:after="25"/>
      <w:jc w:val="left"/>
    </w:pPr>
    <w:rPr>
      <w:bCs/>
      <w:spacing w:val="10"/>
      <w:kern w:val="0"/>
      <w:sz w:val="24"/>
      <w:szCs w:val="20"/>
    </w:rPr>
  </w:style>
  <w:style w:type="paragraph" w:customStyle="1" w:styleId="118">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1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0">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1">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2">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4">
    <w:name w:val="Char Char Char Char Char Char Char Char Char"/>
    <w:basedOn w:val="1"/>
    <w:qFormat/>
    <w:uiPriority w:val="0"/>
    <w:rPr>
      <w:sz w:val="28"/>
    </w:rPr>
  </w:style>
  <w:style w:type="paragraph" w:customStyle="1" w:styleId="125">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6">
    <w:name w:val="Char Char Char Char Char Char Char"/>
    <w:basedOn w:val="1"/>
    <w:qFormat/>
    <w:uiPriority w:val="0"/>
    <w:pPr>
      <w:tabs>
        <w:tab w:val="left" w:pos="425"/>
      </w:tabs>
      <w:ind w:left="425" w:hanging="425"/>
    </w:pPr>
    <w:rPr>
      <w:rFonts w:eastAsia="仿宋_GB2312"/>
      <w:kern w:val="24"/>
      <w:sz w:val="24"/>
    </w:rPr>
  </w:style>
  <w:style w:type="paragraph" w:customStyle="1" w:styleId="127">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28">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2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0">
    <w:name w:val="样式1"/>
    <w:basedOn w:val="2"/>
    <w:qFormat/>
    <w:uiPriority w:val="0"/>
    <w:pPr>
      <w:spacing w:line="416" w:lineRule="auto"/>
      <w:ind w:left="560" w:leftChars="200"/>
    </w:pPr>
    <w:rPr>
      <w:rFonts w:ascii="宋体"/>
      <w:bCs w:val="0"/>
      <w:color w:val="FF0000"/>
    </w:rPr>
  </w:style>
  <w:style w:type="paragraph" w:customStyle="1" w:styleId="13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2">
    <w:name w:val="Char1 Char Char Char"/>
    <w:basedOn w:val="1"/>
    <w:qFormat/>
    <w:uiPriority w:val="0"/>
    <w:pPr>
      <w:numPr>
        <w:ilvl w:val="0"/>
        <w:numId w:val="2"/>
      </w:numPr>
    </w:pPr>
    <w:rPr>
      <w:sz w:val="24"/>
    </w:rPr>
  </w:style>
  <w:style w:type="paragraph" w:customStyle="1" w:styleId="133">
    <w:name w:val="正文1"/>
    <w:qFormat/>
    <w:uiPriority w:val="0"/>
    <w:pPr>
      <w:widowControl w:val="0"/>
      <w:jc w:val="both"/>
    </w:pPr>
    <w:rPr>
      <w:rFonts w:ascii="Times New Roman" w:hAnsi="Times New Roman" w:eastAsia="宋体" w:cs="Times New Roman"/>
      <w:lang w:val="en-US" w:eastAsia="zh-CN" w:bidi="ar-SA"/>
    </w:rPr>
  </w:style>
  <w:style w:type="paragraph" w:customStyle="1" w:styleId="134">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5">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6">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3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0">
    <w:name w:val="List Paragraph1"/>
    <w:basedOn w:val="1"/>
    <w:qFormat/>
    <w:uiPriority w:val="0"/>
    <w:pPr>
      <w:ind w:firstLine="420" w:firstLineChars="200"/>
    </w:pPr>
    <w:rPr>
      <w:rFonts w:ascii="Calibri" w:hAnsi="Calibri" w:cs="黑体"/>
      <w:szCs w:val="22"/>
    </w:rPr>
  </w:style>
  <w:style w:type="paragraph" w:customStyle="1" w:styleId="14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2">
    <w:name w:val="正文 + 宋体"/>
    <w:basedOn w:val="1"/>
    <w:qFormat/>
    <w:uiPriority w:val="0"/>
    <w:pPr>
      <w:numPr>
        <w:ilvl w:val="0"/>
        <w:numId w:val="3"/>
      </w:numPr>
      <w:autoSpaceDE w:val="0"/>
      <w:autoSpaceDN w:val="0"/>
      <w:spacing w:line="360" w:lineRule="auto"/>
    </w:pPr>
    <w:rPr>
      <w:rFonts w:ascii="宋体" w:hAnsi="宋体"/>
      <w:szCs w:val="21"/>
    </w:rPr>
  </w:style>
  <w:style w:type="paragraph" w:customStyle="1" w:styleId="143">
    <w:name w:val="Char Char Char1 Char Char Char Char Char Char Char"/>
    <w:basedOn w:val="1"/>
    <w:qFormat/>
    <w:uiPriority w:val="0"/>
    <w:rPr>
      <w:rFonts w:ascii="Arial" w:hAnsi="Arial" w:cs="Arial"/>
      <w:sz w:val="20"/>
      <w:szCs w:val="20"/>
    </w:rPr>
  </w:style>
  <w:style w:type="paragraph" w:customStyle="1" w:styleId="144">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5">
    <w:name w:val="_Style 2"/>
    <w:basedOn w:val="1"/>
    <w:qFormat/>
    <w:uiPriority w:val="34"/>
    <w:pPr>
      <w:ind w:firstLine="420" w:firstLineChars="200"/>
    </w:pPr>
  </w:style>
  <w:style w:type="paragraph" w:customStyle="1" w:styleId="14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47">
    <w:name w:val="列举"/>
    <w:basedOn w:val="1"/>
    <w:qFormat/>
    <w:uiPriority w:val="0"/>
    <w:pPr>
      <w:numPr>
        <w:ilvl w:val="0"/>
        <w:numId w:val="4"/>
      </w:numPr>
      <w:spacing w:line="360" w:lineRule="auto"/>
    </w:pPr>
    <w:rPr>
      <w:rFonts w:ascii="宋体"/>
    </w:rPr>
  </w:style>
  <w:style w:type="table" w:customStyle="1" w:styleId="148">
    <w:name w:val="网格型1"/>
    <w:basedOn w:val="4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9">
    <w:name w:val="Placeholder Text"/>
    <w:semiHidden/>
    <w:qFormat/>
    <w:uiPriority w:val="99"/>
    <w:rPr>
      <w:color w:val="808080"/>
    </w:rPr>
  </w:style>
  <w:style w:type="paragraph" w:customStyle="1" w:styleId="150">
    <w:name w:val="样式 样式 标题 4Alt+41.1.1.1 Heading 4bulletblbbH44h4H41h41H42... + 自动..."/>
    <w:basedOn w:val="1"/>
    <w:qFormat/>
    <w:uiPriority w:val="0"/>
    <w:pPr>
      <w:keepNext/>
      <w:keepLines/>
      <w:numPr>
        <w:ilvl w:val="3"/>
        <w:numId w:val="5"/>
      </w:numPr>
      <w:spacing w:before="120" w:after="120" w:line="376" w:lineRule="auto"/>
      <w:outlineLvl w:val="3"/>
    </w:pPr>
    <w:rPr>
      <w:rFonts w:ascii="宋体" w:hAnsi="宋体"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6D0E12-2433-44C2-949B-B53EDC223FB7}">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47</Pages>
  <Words>19911</Words>
  <Characters>21320</Characters>
  <Lines>197</Lines>
  <Paragraphs>55</Paragraphs>
  <TotalTime>25</TotalTime>
  <ScaleCrop>false</ScaleCrop>
  <LinksUpToDate>false</LinksUpToDate>
  <CharactersWithSpaces>26163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2017-11-24T01:18:00Z</dcterms:created>
  <dc:creator>ibm</dc:creator>
  <cp:lastModifiedBy>Administrator</cp:lastModifiedBy>
  <cp:lastPrinted>2016-12-28T09:38:00Z</cp:lastPrinted>
  <dcterms:modified xsi:type="dcterms:W3CDTF">2023-11-20T02:47:08Z</dcterms:modified>
  <dc:title>第三部分  政府采购规范文本</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1336FF3EE494483195ED1726A60A5518</vt:lpwstr>
  </property>
</Properties>
</file>