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0"/>
          <w:szCs w:val="40"/>
          <w:highlight w:val="none"/>
          <w:lang w:eastAsia="zh-CN"/>
        </w:rPr>
      </w:pPr>
      <w:r>
        <w:rPr>
          <w:rFonts w:hint="eastAsia"/>
          <w:b/>
          <w:bCs/>
          <w:sz w:val="40"/>
          <w:szCs w:val="40"/>
          <w:highlight w:val="none"/>
          <w:lang w:eastAsia="zh-CN"/>
        </w:rPr>
        <w:t>阳西县儒洞镇中心卫生院医疗设备计量校准类服务项目</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r>
        <w:rPr>
          <w:rFonts w:hint="default"/>
          <w:b/>
          <w:bCs/>
          <w:sz w:val="28"/>
          <w:szCs w:val="28"/>
          <w:highlight w:val="none"/>
          <w:lang w:val="en-US" w:eastAsia="zh-CN"/>
        </w:rPr>
        <w:t>阳西县儒洞镇中心卫生院</w:t>
      </w:r>
    </w:p>
    <w:p>
      <w:pPr>
        <w:rPr>
          <w:rFonts w:hint="default"/>
          <w:highlight w:val="none"/>
          <w:lang w:val="en-US" w:eastAsia="zh-CN"/>
        </w:rPr>
      </w:pPr>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zh-CN"/>
              </w:rPr>
              <w:t>医疗设备计量校准类服务项目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zh-CN"/>
              </w:rPr>
              <w:t>一批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签订合同后15日历天</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zh-CN"/>
              </w:rPr>
              <w:t>20400</w:t>
            </w:r>
            <w:r>
              <w:rPr>
                <w:rFonts w:hint="eastAsia" w:cs="宋体" w:asciiTheme="minorEastAsia" w:hAnsiTheme="minorEastAsia"/>
                <w:color w:val="auto"/>
                <w:kern w:val="0"/>
                <w:szCs w:val="21"/>
                <w:highlight w:val="none"/>
                <w:lang w:val="zh-CN" w:eastAsia="zh-CN"/>
              </w:rPr>
              <w:t>.00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bookmarkStart w:id="40" w:name="_GoBack"/>
      <w:bookmarkEnd w:id="40"/>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rPr>
        <w:t>为保证服务质量，供应商</w:t>
      </w:r>
      <w:r>
        <w:rPr>
          <w:rStyle w:val="13"/>
          <w:rFonts w:hint="eastAsia" w:ascii="宋体" w:hAnsi="宋体" w:eastAsia="宋体" w:cs="宋体"/>
          <w:b w:val="0"/>
          <w:bCs w:val="0"/>
          <w:color w:val="auto"/>
          <w:highlight w:val="none"/>
          <w:lang w:val="en-US" w:eastAsia="zh-CN"/>
        </w:rPr>
        <w:t>提供不超过两个</w:t>
      </w:r>
      <w:r>
        <w:rPr>
          <w:rStyle w:val="13"/>
          <w:rFonts w:hint="eastAsia" w:ascii="宋体" w:hAnsi="宋体" w:eastAsia="宋体" w:cs="宋体"/>
          <w:b w:val="0"/>
          <w:bCs w:val="0"/>
          <w:color w:val="auto"/>
          <w:highlight w:val="none"/>
        </w:rPr>
        <w:t>在省内其他医院</w:t>
      </w:r>
      <w:r>
        <w:rPr>
          <w:rStyle w:val="13"/>
          <w:rFonts w:hint="eastAsia" w:ascii="宋体" w:hAnsi="宋体" w:eastAsia="宋体" w:cs="宋体"/>
          <w:b w:val="0"/>
          <w:bCs w:val="0"/>
          <w:color w:val="auto"/>
          <w:highlight w:val="none"/>
          <w:lang w:val="en-US" w:eastAsia="zh-CN"/>
        </w:rPr>
        <w:t>的</w:t>
      </w:r>
      <w:r>
        <w:rPr>
          <w:rStyle w:val="13"/>
          <w:rFonts w:hint="eastAsia" w:ascii="宋体" w:hAnsi="宋体" w:eastAsia="宋体" w:cs="宋体"/>
          <w:b w:val="0"/>
          <w:bCs w:val="0"/>
          <w:color w:val="auto"/>
          <w:highlight w:val="none"/>
        </w:rPr>
        <w:t>同类项目业绩（提供合同作为证明材料）；</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3、</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参加本次采购活动五年内，没有被行政主管部门公开通报记录。（提供《承诺书》格式自拟）</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w:t>
      </w:r>
      <w:r>
        <w:rPr>
          <w:rStyle w:val="13"/>
          <w:rFonts w:hint="eastAsia"/>
          <w:color w:val="auto"/>
          <w:highlight w:val="none"/>
        </w:rPr>
        <w:t>交货地点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交货地点：采购人指定地点。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eastAsia" w:asciiTheme="minorEastAsia" w:hAnsiTheme="minorEastAsia"/>
          <w:b/>
          <w:color w:val="auto"/>
          <w:highlight w:val="none"/>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rPr>
        <w:t>技术要求</w:t>
      </w:r>
    </w:p>
    <w:p>
      <w:pPr>
        <w:pStyle w:val="15"/>
        <w:numPr>
          <w:ilvl w:val="0"/>
          <w:numId w:val="0"/>
        </w:numPr>
        <w:jc w:val="center"/>
        <w:rPr>
          <w:highlight w:val="none"/>
        </w:rPr>
      </w:pPr>
      <w:r>
        <w:rPr>
          <w:rFonts w:hint="eastAsia" w:ascii="宋体" w:hAnsi="宋体" w:cs="宋体"/>
          <w:b/>
          <w:bCs/>
          <w:color w:val="000000"/>
          <w:kern w:val="0"/>
          <w:sz w:val="28"/>
          <w:szCs w:val="28"/>
          <w:highlight w:val="none"/>
        </w:rPr>
        <w:t>校准、检定类设备清单</w:t>
      </w:r>
    </w:p>
    <w:tbl>
      <w:tblPr>
        <w:tblStyle w:val="10"/>
        <w:tblpPr w:leftFromText="180" w:rightFromText="180" w:vertAnchor="text" w:horzAnchor="page" w:tblpXSpec="center" w:tblpY="339"/>
        <w:tblOverlap w:val="never"/>
        <w:tblW w:w="7812" w:type="dxa"/>
        <w:jc w:val="center"/>
        <w:tblLayout w:type="autofit"/>
        <w:tblCellMar>
          <w:top w:w="0" w:type="dxa"/>
          <w:left w:w="108" w:type="dxa"/>
          <w:bottom w:w="0" w:type="dxa"/>
          <w:right w:w="108" w:type="dxa"/>
        </w:tblCellMar>
      </w:tblPr>
      <w:tblGrid>
        <w:gridCol w:w="704"/>
        <w:gridCol w:w="5671"/>
        <w:gridCol w:w="1437"/>
      </w:tblGrid>
      <w:tr>
        <w:tblPrEx>
          <w:tblCellMar>
            <w:top w:w="0" w:type="dxa"/>
            <w:left w:w="108" w:type="dxa"/>
            <w:bottom w:w="0" w:type="dxa"/>
            <w:right w:w="108"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1"/>
                <w:szCs w:val="21"/>
                <w:highlight w:val="none"/>
              </w:rPr>
            </w:pPr>
            <w:r>
              <w:rPr>
                <w:rFonts w:hint="eastAsia" w:ascii="宋体" w:hAnsi="宋体" w:cs="宋体"/>
                <w:color w:val="000000"/>
                <w:kern w:val="0"/>
                <w:sz w:val="21"/>
                <w:szCs w:val="21"/>
                <w:highlight w:val="none"/>
              </w:rPr>
              <w:t>序号</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1"/>
                <w:szCs w:val="21"/>
                <w:highlight w:val="none"/>
              </w:rPr>
            </w:pPr>
            <w:r>
              <w:rPr>
                <w:rFonts w:hint="eastAsia" w:ascii="宋体" w:hAnsi="宋体" w:cs="宋体"/>
                <w:color w:val="000000"/>
                <w:kern w:val="0"/>
                <w:sz w:val="21"/>
                <w:szCs w:val="21"/>
                <w:highlight w:val="none"/>
              </w:rPr>
              <w:t>设备名称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数量</w:t>
            </w:r>
          </w:p>
          <w:p>
            <w:pPr>
              <w:widowControl/>
              <w:jc w:val="center"/>
              <w:textAlignment w:val="center"/>
              <w:rPr>
                <w:rFonts w:ascii="宋体" w:hAnsi="宋体" w:cs="宋体"/>
                <w:b/>
                <w:bCs/>
                <w:color w:val="000000"/>
                <w:sz w:val="21"/>
                <w:szCs w:val="21"/>
                <w:highlight w:val="none"/>
              </w:rPr>
            </w:pPr>
            <w:r>
              <w:rPr>
                <w:rFonts w:hint="eastAsia" w:ascii="宋体" w:hAnsi="宋体" w:cs="宋体"/>
                <w:color w:val="000000"/>
                <w:kern w:val="0"/>
                <w:sz w:val="21"/>
                <w:szCs w:val="21"/>
                <w:highlight w:val="none"/>
              </w:rPr>
              <w:t>（台/套）</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全自动生化分析仪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2</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全自动化学发光测定仪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3</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全自动凝血测试仪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4</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干式荧光免疫分析仪（2台）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5</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微测干式荧光免疫分析仪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6</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电解质分析仪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7</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孵育器</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8</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恒温水裕箱</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9</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干化学尿液分析仪（2台）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10</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免疫荧光检测仪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11</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医用离心机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12</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低速台式离心机</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13</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离心机（PCR-3台）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3</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14</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旋转混合器（PCR）</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15</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振荡器（PCR）</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16</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离心机（PCR）</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17</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全自动医用PCR分析系统仪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18</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实时荧光定量PCR仪（2台）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2</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19</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cs="宋体"/>
                <w:color w:val="000000"/>
                <w:sz w:val="21"/>
                <w:szCs w:val="21"/>
                <w:highlight w:val="none"/>
              </w:rPr>
            </w:pPr>
            <w:r>
              <w:rPr>
                <w:rFonts w:hint="eastAsia"/>
                <w:color w:val="000000"/>
                <w:sz w:val="21"/>
                <w:szCs w:val="21"/>
                <w:highlight w:val="none"/>
              </w:rPr>
              <w:t>全自动核酸提取仪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sz w:val="21"/>
                <w:szCs w:val="21"/>
                <w:highlight w:val="none"/>
              </w:rPr>
            </w:pPr>
            <w:r>
              <w:rPr>
                <w:rFonts w:hint="eastAsia" w:ascii="宋体" w:hAnsi="宋体" w:cs="宋体"/>
                <w:color w:val="000000"/>
                <w:kern w:val="0"/>
                <w:sz w:val="21"/>
                <w:szCs w:val="21"/>
                <w:highlight w:val="none"/>
              </w:rPr>
              <w:t>1</w:t>
            </w:r>
          </w:p>
        </w:tc>
      </w:tr>
      <w:tr>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20</w:t>
            </w:r>
          </w:p>
        </w:tc>
        <w:tc>
          <w:tcPr>
            <w:tcW w:w="5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加样枪</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1"/>
                <w:szCs w:val="21"/>
                <w:highlight w:val="none"/>
              </w:rPr>
            </w:pPr>
            <w:r>
              <w:rPr>
                <w:rFonts w:hint="eastAsia" w:ascii="宋体" w:hAnsi="宋体" w:cs="宋体"/>
                <w:color w:val="000000"/>
                <w:kern w:val="0"/>
                <w:sz w:val="21"/>
                <w:szCs w:val="21"/>
                <w:highlight w:val="none"/>
              </w:rPr>
              <w:t>18</w:t>
            </w: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4"/>
        <w:numPr>
          <w:ilvl w:val="0"/>
          <w:numId w:val="1"/>
        </w:numPr>
        <w:ind w:firstLineChars="0"/>
        <w:rPr>
          <w:highlight w:val="none"/>
          <w:lang w:val="zh-CN"/>
        </w:rPr>
      </w:pPr>
    </w:p>
    <w:p>
      <w:pPr>
        <w:pStyle w:val="2"/>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29"/>
        <w:gridCol w:w="850"/>
        <w:gridCol w:w="3544"/>
        <w:gridCol w:w="2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962"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1729"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850"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544"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2191"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962"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1729"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医疗设备计量校准类服务项目</w:t>
            </w:r>
          </w:p>
        </w:tc>
        <w:tc>
          <w:tcPr>
            <w:tcW w:w="850" w:type="dxa"/>
            <w:vAlign w:val="center"/>
          </w:tcPr>
          <w:p>
            <w:pPr>
              <w:spacing w:line="360" w:lineRule="auto"/>
              <w:jc w:val="center"/>
              <w:rPr>
                <w:rFonts w:asciiTheme="minorEastAsia" w:hAnsiTheme="minorEastAsia"/>
                <w:bCs/>
                <w:color w:val="auto"/>
                <w:szCs w:val="21"/>
                <w:highlight w:val="none"/>
              </w:rPr>
            </w:pPr>
            <w:r>
              <w:rPr>
                <w:rFonts w:hint="eastAsia" w:cs="宋体" w:asciiTheme="minorEastAsia" w:hAnsiTheme="minorEastAsia"/>
                <w:color w:val="auto"/>
                <w:kern w:val="0"/>
                <w:szCs w:val="21"/>
                <w:highlight w:val="none"/>
                <w:lang w:val="zh-CN"/>
              </w:rPr>
              <w:t>一批</w:t>
            </w:r>
          </w:p>
        </w:tc>
        <w:tc>
          <w:tcPr>
            <w:tcW w:w="3544"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2191" w:type="dxa"/>
            <w:vAlign w:val="center"/>
          </w:tcPr>
          <w:p>
            <w:pPr>
              <w:spacing w:line="360" w:lineRule="auto"/>
              <w:jc w:val="center"/>
              <w:rPr>
                <w:rFonts w:asciiTheme="minorEastAsia" w:hAnsiTheme="minorEastAsia"/>
                <w:color w:val="auto"/>
                <w:szCs w:val="21"/>
                <w:highlight w:val="none"/>
              </w:rPr>
            </w:pPr>
            <w:r>
              <w:rPr>
                <w:rFonts w:hint="eastAsia" w:ascii="宋体" w:hAnsi="宋体"/>
                <w:snapToGrid/>
                <w:spacing w:val="0"/>
                <w:kern w:val="2"/>
                <w:sz w:val="21"/>
                <w:szCs w:val="21"/>
                <w:highlight w:val="none"/>
                <w:lang w:val="en-US" w:eastAsia="zh-CN"/>
              </w:rPr>
              <w:t>签订合同后15日历天</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2"/>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spacing w:line="500" w:lineRule="exact"/>
        <w:rPr>
          <w:rFonts w:asciiTheme="minorEastAsia" w:hAnsiTheme="minorEastAsia"/>
          <w:spacing w:val="4"/>
          <w:szCs w:val="21"/>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spacing w:val="4"/>
          <w:szCs w:val="21"/>
          <w:highlight w:val="none"/>
        </w:rPr>
        <w:t>日期：</w:t>
      </w:r>
      <w:r>
        <w:rPr>
          <w:rFonts w:asciiTheme="minorEastAsia" w:hAnsiTheme="minorEastAsia"/>
          <w:spacing w:val="4"/>
          <w:szCs w:val="21"/>
          <w:highlight w:val="none"/>
        </w:rPr>
        <w:t xml:space="preserve"> </w:t>
      </w:r>
      <w:r>
        <w:rPr>
          <w:rFonts w:asciiTheme="minorEastAsia" w:hAnsiTheme="minorEastAsia"/>
          <w:spacing w:val="4"/>
          <w:szCs w:val="21"/>
          <w:highlight w:val="none"/>
        </w:rPr>
        <w:br w:type="page"/>
      </w:r>
    </w:p>
    <w:p>
      <w:pPr>
        <w:pStyle w:val="14"/>
        <w:numPr>
          <w:ilvl w:val="0"/>
          <w:numId w:val="1"/>
        </w:numPr>
        <w:ind w:firstLine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0" w:name="_Toc22374"/>
      <w:bookmarkStart w:id="1" w:name="_Toc382404103"/>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42398144"/>
      <w:bookmarkStart w:id="3" w:name="_Toc342312457"/>
      <w:bookmarkStart w:id="4" w:name="_Toc339020109"/>
      <w:bookmarkStart w:id="5" w:name="_Toc382404104"/>
      <w:bookmarkStart w:id="6" w:name="_Toc330460000"/>
      <w:bookmarkStart w:id="7" w:name="_Toc333935360"/>
      <w:bookmarkStart w:id="8" w:name="_Toc342296775"/>
      <w:bookmarkStart w:id="9" w:name="_Toc345312611"/>
      <w:bookmarkStart w:id="10" w:name="_Toc339362314"/>
      <w:bookmarkStart w:id="11" w:name="_Toc332206723"/>
      <w:bookmarkStart w:id="12" w:name="_Toc365967086"/>
      <w:bookmarkStart w:id="13" w:name="_Toc333935701"/>
      <w:bookmarkStart w:id="14" w:name="_Toc333238648"/>
      <w:bookmarkStart w:id="15" w:name="_Toc340672883"/>
      <w:bookmarkStart w:id="16" w:name="_Toc342060389"/>
      <w:bookmarkStart w:id="17" w:name="_Toc350438763"/>
      <w:bookmarkStart w:id="18" w:name="_Toc365985192"/>
      <w:bookmarkStart w:id="19" w:name="_Toc350756464"/>
      <w:bookmarkStart w:id="20" w:name="_Toc339020029"/>
      <w:bookmarkStart w:id="21" w:name="_Toc331684056"/>
      <w:bookmarkStart w:id="22" w:name="_Toc339019903"/>
      <w:bookmarkStart w:id="23" w:name="_Toc343612934"/>
      <w:bookmarkStart w:id="24" w:name="_Toc343247114"/>
      <w:bookmarkStart w:id="25" w:name="_Toc29726"/>
      <w:bookmarkStart w:id="26" w:name="_Toc343248432"/>
      <w:bookmarkStart w:id="27" w:name="_Toc366072543"/>
      <w:bookmarkStart w:id="28" w:name="_Toc332270361"/>
      <w:bookmarkStart w:id="29" w:name="_Toc341348354"/>
      <w:bookmarkStart w:id="30" w:name="_Toc339020247"/>
      <w:bookmarkStart w:id="31" w:name="_Toc337632372"/>
      <w:bookmarkStart w:id="32" w:name="_Toc336681949"/>
      <w:bookmarkStart w:id="33" w:name="_Toc331512915"/>
      <w:bookmarkStart w:id="34" w:name="_Toc336681594"/>
      <w:bookmarkStart w:id="35" w:name="_Toc339441101"/>
      <w:bookmarkStart w:id="36" w:name="_Toc333237692"/>
      <w:bookmarkStart w:id="37" w:name="_Toc340677084"/>
      <w:bookmarkStart w:id="38" w:name="_Toc333237803"/>
      <w:bookmarkStart w:id="39" w:name="_Toc340507456"/>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15"/>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B7AEC"/>
    <w:multiLevelType w:val="multilevel"/>
    <w:tmpl w:val="4C0B7AEC"/>
    <w:lvl w:ilvl="0" w:tentative="0">
      <w:start w:val="1"/>
      <w:numFmt w:val="decimal"/>
      <w:lvlText w:val="附件%1."/>
      <w:lvlJc w:val="left"/>
      <w:pPr>
        <w:ind w:left="420" w:hanging="420"/>
      </w:pPr>
      <w:rPr>
        <w:rFonts w:hint="eastAsia"/>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7035F04"/>
    <w:rsid w:val="139973A9"/>
    <w:rsid w:val="34346E4D"/>
    <w:rsid w:val="40E04EE3"/>
    <w:rsid w:val="6E43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textAlignment w:val="baseline"/>
    </w:pPr>
    <w:rPr>
      <w:rFonts w:ascii="宋体"/>
      <w:kern w:val="0"/>
      <w:sz w:val="34"/>
      <w:szCs w:val="20"/>
    </w:rPr>
  </w:style>
  <w:style w:type="paragraph" w:customStyle="1" w:styleId="4">
    <w:name w:val="Default"/>
    <w:next w:val="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Body Text"/>
    <w:basedOn w:val="1"/>
    <w:uiPriority w:val="0"/>
    <w:pPr>
      <w:spacing w:after="12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styleId="14">
    <w:name w:val="List Paragraph"/>
    <w:basedOn w:val="1"/>
    <w:qFormat/>
    <w:uiPriority w:val="34"/>
    <w:pPr>
      <w:ind w:firstLine="420" w:firstLineChars="200"/>
    </w:pPr>
  </w:style>
  <w:style w:type="paragraph" w:customStyle="1" w:styleId="15">
    <w:name w:val="表格文字"/>
    <w:basedOn w:val="1"/>
    <w:next w:val="6"/>
    <w:qFormat/>
    <w:uiPriority w:val="0"/>
    <w:pPr>
      <w:spacing w:before="25" w:after="25"/>
      <w:jc w:val="left"/>
    </w:pPr>
    <w:rPr>
      <w:bCs/>
      <w:spacing w:val="10"/>
      <w:kern w:val="0"/>
      <w:sz w:val="24"/>
    </w:rPr>
  </w:style>
  <w:style w:type="paragraph" w:customStyle="1" w:styleId="16">
    <w:name w:val="列出段落1"/>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dcterms:modified xsi:type="dcterms:W3CDTF">2023-10-08T08:14:07Z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1228F01B08F8444DBD0FC51F1D1451C2_11</vt:lpwstr>
  </property>
</Properties>
</file>