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1270" b="184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单一来源</w:t>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谈  判  文  件</w:t>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tbl>
      <w:tblPr>
        <w:tblStyle w:val="44"/>
        <w:tblpPr w:leftFromText="180" w:rightFromText="180" w:vertAnchor="text" w:tblpXSpec="center" w:tblpY="1"/>
        <w:tblOverlap w:val="never"/>
        <w:tblW w:w="8980" w:type="dxa"/>
        <w:jc w:val="center"/>
        <w:tblLayout w:type="fixed"/>
        <w:tblCellMar>
          <w:top w:w="0" w:type="dxa"/>
          <w:left w:w="108" w:type="dxa"/>
          <w:bottom w:w="0" w:type="dxa"/>
          <w:right w:w="108" w:type="dxa"/>
        </w:tblCellMar>
      </w:tblPr>
      <w:tblGrid>
        <w:gridCol w:w="1951"/>
        <w:gridCol w:w="284"/>
        <w:gridCol w:w="6745"/>
      </w:tblGrid>
      <w:tr>
        <w:tblPrEx>
          <w:tblCellMar>
            <w:top w:w="0" w:type="dxa"/>
            <w:left w:w="108" w:type="dxa"/>
            <w:bottom w:w="0" w:type="dxa"/>
            <w:right w:w="108" w:type="dxa"/>
          </w:tblCellMar>
        </w:tblPrEx>
        <w:trPr>
          <w:trHeight w:val="394"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项目编号</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w:t>
            </w:r>
          </w:p>
        </w:tc>
        <w:tc>
          <w:tcPr>
            <w:tcW w:w="6745" w:type="dxa"/>
            <w:vAlign w:val="center"/>
          </w:tcPr>
          <w:p>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lang w:eastAsia="zh-CN"/>
              </w:rPr>
            </w:pPr>
            <w:r>
              <w:rPr>
                <w:rFonts w:hint="eastAsia" w:hAnsi="宋体" w:cs="宋体"/>
                <w:b/>
                <w:bCs/>
                <w:color w:val="000000" w:themeColor="text1"/>
                <w:sz w:val="28"/>
                <w:szCs w:val="28"/>
                <w:highlight w:val="none"/>
                <w:lang w:eastAsia="zh-CN"/>
              </w:rPr>
              <w:t>YXZB-20230620</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项目名称</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w:t>
            </w:r>
          </w:p>
        </w:tc>
        <w:tc>
          <w:tcPr>
            <w:tcW w:w="6745" w:type="dxa"/>
            <w:vAlign w:val="center"/>
          </w:tcPr>
          <w:p>
            <w:pPr>
              <w:pStyle w:val="23"/>
              <w:widowControl/>
              <w:adjustRightInd w:val="0"/>
              <w:snapToGrid w:val="0"/>
              <w:spacing w:line="360" w:lineRule="auto"/>
              <w:rPr>
                <w:rFonts w:hint="eastAsia" w:ascii="宋体" w:hAnsi="宋体" w:eastAsia="宋体" w:cs="宋体"/>
                <w:b/>
                <w:bCs/>
                <w:color w:val="000000" w:themeColor="text1"/>
                <w:sz w:val="28"/>
                <w:szCs w:val="28"/>
                <w:highlight w:val="none"/>
                <w:lang w:eastAsia="zh-CN"/>
              </w:rPr>
            </w:pPr>
            <w:r>
              <w:rPr>
                <w:rFonts w:hint="eastAsia" w:hAnsi="宋体" w:cs="宋体"/>
                <w:b/>
                <w:bCs/>
                <w:color w:val="000000" w:themeColor="text1"/>
                <w:sz w:val="28"/>
                <w:szCs w:val="28"/>
                <w:highlight w:val="none"/>
                <w:lang w:eastAsia="zh-CN"/>
              </w:rPr>
              <w:t>2023年-2024年江城区机关和事业单位会议定点场所(增补)采购项目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采购人</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w:t>
            </w:r>
          </w:p>
        </w:tc>
        <w:tc>
          <w:tcPr>
            <w:tcW w:w="6745" w:type="dxa"/>
            <w:vAlign w:val="center"/>
          </w:tcPr>
          <w:p>
            <w:pPr>
              <w:pStyle w:val="23"/>
              <w:widowControl/>
              <w:adjustRightInd w:val="0"/>
              <w:snapToGrid w:val="0"/>
              <w:spacing w:line="360" w:lineRule="auto"/>
              <w:rPr>
                <w:rFonts w:hint="eastAsia" w:ascii="宋体" w:hAnsi="宋体" w:eastAsia="宋体" w:cs="宋体"/>
                <w:b/>
                <w:bCs/>
                <w:color w:val="000000" w:themeColor="text1"/>
                <w:sz w:val="28"/>
                <w:szCs w:val="28"/>
                <w:highlight w:val="none"/>
                <w:lang w:eastAsia="zh-CN"/>
              </w:rPr>
            </w:pPr>
            <w:r>
              <w:rPr>
                <w:rFonts w:hint="eastAsia" w:hAnsi="宋体" w:cs="宋体"/>
                <w:b/>
                <w:bCs/>
                <w:color w:val="000000" w:themeColor="text1"/>
                <w:sz w:val="28"/>
                <w:szCs w:val="28"/>
                <w:highlight w:val="none"/>
                <w:lang w:eastAsia="zh-CN"/>
              </w:rPr>
              <w:t>阳江市江城区财政局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采购代理机构</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w:t>
            </w:r>
          </w:p>
        </w:tc>
        <w:tc>
          <w:tcPr>
            <w:tcW w:w="6745" w:type="dxa"/>
            <w:vAlign w:val="center"/>
          </w:tcPr>
          <w:p>
            <w:pPr>
              <w:pStyle w:val="23"/>
              <w:widowControl/>
              <w:adjustRightInd w:val="0"/>
              <w:snapToGrid w:val="0"/>
              <w:spacing w:line="360" w:lineRule="auto"/>
              <w:rPr>
                <w:rFonts w:hint="eastAsia" w:ascii="宋体" w:hAnsi="宋体" w:eastAsia="宋体" w:cs="宋体"/>
                <w:b/>
                <w:bCs/>
                <w:color w:val="000000" w:themeColor="text1"/>
                <w:sz w:val="28"/>
                <w:szCs w:val="28"/>
                <w:highlight w:val="none"/>
                <w:lang w:eastAsia="zh-CN"/>
              </w:rPr>
            </w:pPr>
            <w:r>
              <w:rPr>
                <w:rFonts w:hint="eastAsia" w:ascii="宋体" w:hAnsi="宋体" w:eastAsia="宋体" w:cs="宋体"/>
                <w:b/>
                <w:bCs/>
                <w:color w:val="000000" w:themeColor="text1"/>
                <w:sz w:val="28"/>
                <w:szCs w:val="28"/>
                <w:highlight w:val="none"/>
                <w:lang w:eastAsia="zh-CN"/>
              </w:rPr>
              <w:t>广东业信招标有限公司</w:t>
            </w:r>
          </w:p>
        </w:tc>
      </w:tr>
    </w:tbl>
    <w:p>
      <w:pPr>
        <w:pStyle w:val="23"/>
        <w:widowControl/>
        <w:adjustRightInd w:val="0"/>
        <w:snapToGrid w:val="0"/>
        <w:spacing w:line="360" w:lineRule="auto"/>
        <w:jc w:val="center"/>
        <w:rPr>
          <w:rFonts w:ascii="黑体" w:eastAsia="黑体"/>
          <w:bCs/>
          <w:color w:val="000000" w:themeColor="text1"/>
          <w:sz w:val="24"/>
          <w:szCs w:val="24"/>
          <w:highlight w:val="none"/>
        </w:rPr>
      </w:pPr>
      <w:r>
        <w:rPr>
          <w:rFonts w:hint="eastAsia" w:ascii="黑体" w:eastAsia="黑体"/>
          <w:bCs/>
          <w:color w:val="000000" w:themeColor="text1"/>
          <w:sz w:val="24"/>
          <w:szCs w:val="24"/>
          <w:highlight w:val="none"/>
        </w:rPr>
        <w:t>二○二</w:t>
      </w:r>
      <w:r>
        <w:rPr>
          <w:rFonts w:hint="eastAsia" w:ascii="黑体" w:eastAsia="黑体"/>
          <w:bCs/>
          <w:color w:val="000000" w:themeColor="text1"/>
          <w:sz w:val="24"/>
          <w:szCs w:val="24"/>
          <w:highlight w:val="none"/>
          <w:lang w:val="en-US" w:eastAsia="zh-CN"/>
        </w:rPr>
        <w:t>三</w:t>
      </w:r>
      <w:r>
        <w:rPr>
          <w:rFonts w:hint="eastAsia" w:ascii="黑体" w:eastAsia="黑体"/>
          <w:bCs/>
          <w:color w:val="000000" w:themeColor="text1"/>
          <w:sz w:val="24"/>
          <w:szCs w:val="24"/>
          <w:highlight w:val="none"/>
        </w:rPr>
        <w:t>年</w:t>
      </w:r>
      <w:r>
        <w:rPr>
          <w:rFonts w:hint="eastAsia" w:ascii="黑体" w:eastAsia="黑体"/>
          <w:bCs/>
          <w:color w:val="000000" w:themeColor="text1"/>
          <w:sz w:val="24"/>
          <w:szCs w:val="24"/>
          <w:highlight w:val="none"/>
          <w:lang w:val="en-US" w:eastAsia="zh-CN"/>
        </w:rPr>
        <w:t>八</w:t>
      </w:r>
      <w:r>
        <w:rPr>
          <w:rFonts w:hint="eastAsia" w:ascii="黑体" w:eastAsia="黑体"/>
          <w:bCs/>
          <w:color w:val="000000" w:themeColor="text1"/>
          <w:sz w:val="24"/>
          <w:szCs w:val="24"/>
          <w:highlight w:val="none"/>
        </w:rPr>
        <w:t>月</w:t>
      </w:r>
    </w:p>
    <w:p>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r>
        <w:rPr>
          <w:rFonts w:hint="eastAsia" w:ascii="宋体" w:hAnsi="宋体"/>
          <w:b/>
          <w:color w:val="000000" w:themeColor="text1"/>
          <w:szCs w:val="21"/>
          <w:highlight w:val="none"/>
        </w:rPr>
        <w:t>递交投标文件时间为投标截止时间前半小时。</w:t>
      </w:r>
    </w:p>
    <w:p>
      <w:pPr>
        <w:numPr>
          <w:ilvl w:val="0"/>
          <w:numId w:val="4"/>
        </w:numPr>
        <w:spacing w:line="360" w:lineRule="auto"/>
        <w:ind w:left="709" w:hanging="709"/>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请正确填写《</w:t>
      </w:r>
      <w:r>
        <w:rPr>
          <w:rFonts w:hint="eastAsia" w:ascii="宋体" w:hAnsi="宋体"/>
          <w:color w:val="000000" w:themeColor="text1"/>
          <w:szCs w:val="21"/>
          <w:highlight w:val="none"/>
        </w:rPr>
        <w:t>报价</w:t>
      </w:r>
      <w:r>
        <w:rPr>
          <w:rFonts w:ascii="宋体" w:hAnsi="宋体"/>
          <w:color w:val="000000" w:themeColor="text1"/>
          <w:szCs w:val="21"/>
          <w:highlight w:val="none"/>
        </w:rPr>
        <w:t>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报价要求详见谈判文件《报价一览表》</w:t>
      </w:r>
      <w:r>
        <w:rPr>
          <w:rFonts w:ascii="宋体" w:hAnsi="宋体"/>
          <w:color w:val="000000" w:themeColor="text1"/>
          <w:szCs w:val="21"/>
          <w:highlight w:val="none"/>
        </w:rPr>
        <w:t>。</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报价</w:t>
      </w:r>
      <w:r>
        <w:rPr>
          <w:rFonts w:ascii="宋体" w:hAnsi="宋体"/>
          <w:color w:val="000000" w:themeColor="text1"/>
          <w:szCs w:val="21"/>
          <w:highlight w:val="none"/>
        </w:rPr>
        <w:t>一览表》、</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法定代表人（负责人）</w:t>
      </w:r>
      <w:r>
        <w:rPr>
          <w:rFonts w:hint="eastAsia" w:ascii="宋体" w:hAnsi="宋体"/>
          <w:color w:val="000000" w:themeColor="text1"/>
          <w:szCs w:val="21"/>
          <w:highlight w:val="none"/>
        </w:rPr>
        <w:t>证明书》、</w:t>
      </w:r>
      <w:r>
        <w:rPr>
          <w:rFonts w:ascii="宋体" w:hAnsi="宋体"/>
          <w:color w:val="000000" w:themeColor="text1"/>
          <w:szCs w:val="21"/>
          <w:highlight w:val="none"/>
        </w:rPr>
        <w:t>《</w:t>
      </w:r>
      <w:r>
        <w:rPr>
          <w:rFonts w:hint="eastAsia" w:ascii="宋体" w:hAnsi="宋体"/>
          <w:color w:val="000000" w:themeColor="text1"/>
          <w:szCs w:val="21"/>
          <w:highlight w:val="none"/>
          <w:lang w:eastAsia="zh-CN"/>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pPr>
        <w:numPr>
          <w:ilvl w:val="0"/>
          <w:numId w:val="4"/>
        </w:numPr>
        <w:spacing w:line="360" w:lineRule="auto"/>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4"/>
        </w:numPr>
        <w:spacing w:line="360" w:lineRule="auto"/>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分公司作为投标人的，需提供具有法人资格的总公司的营业执照副本复印件及授权书。总公司可就本项目或此类项目在一定范围或时间内出具唯一的投标授权书。</w:t>
      </w:r>
    </w:p>
    <w:p>
      <w:pPr>
        <w:numPr>
          <w:ilvl w:val="0"/>
          <w:numId w:val="4"/>
        </w:numPr>
        <w:spacing w:line="360" w:lineRule="auto"/>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，务必将保证金按谈判文件的要求缴纳，招标代理服务费存入谈判文件指定的服务费账户。切勿将款项转错账户，以免影响采购活动。</w:t>
      </w:r>
    </w:p>
    <w:p>
      <w:pPr>
        <w:numPr>
          <w:ilvl w:val="0"/>
          <w:numId w:val="4"/>
        </w:numPr>
        <w:spacing w:line="360" w:lineRule="auto"/>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360" w:lineRule="auto"/>
        <w:jc w:val="center"/>
        <w:rPr>
          <w:rFonts w:ascii="黑体" w:eastAsia="黑体"/>
          <w:bCs/>
          <w:color w:val="000000" w:themeColor="text1"/>
          <w:sz w:val="24"/>
          <w:szCs w:val="24"/>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3"/>
        <w:widowControl/>
        <w:adjustRightInd w:val="0"/>
        <w:snapToGrid w:val="0"/>
        <w:spacing w:line="360" w:lineRule="auto"/>
        <w:rPr>
          <w:rFonts w:ascii="黑体" w:eastAsia="黑体"/>
          <w:bCs/>
          <w:color w:val="000000" w:themeColor="text1"/>
          <w:sz w:val="24"/>
          <w:szCs w:val="24"/>
          <w:highlight w:val="none"/>
        </w:rPr>
      </w:pPr>
    </w:p>
    <w:p>
      <w:pPr>
        <w:pStyle w:val="23"/>
        <w:widowControl/>
        <w:adjustRightInd w:val="0"/>
        <w:snapToGrid w:val="0"/>
        <w:spacing w:line="360" w:lineRule="auto"/>
        <w:jc w:val="center"/>
        <w:rPr>
          <w:rFonts w:ascii="黑体" w:eastAsia="黑体"/>
          <w:bCs/>
          <w:color w:val="000000" w:themeColor="text1"/>
          <w:sz w:val="24"/>
          <w:szCs w:val="24"/>
          <w:highlight w:val="none"/>
        </w:rPr>
        <w:sectPr>
          <w:footerReference r:id="rId5" w:type="first"/>
          <w:footerReference r:id="rId3" w:type="default"/>
          <w:footerReference r:id="rId4" w:type="even"/>
          <w:pgSz w:w="11907" w:h="16840"/>
          <w:pgMar w:top="1701" w:right="1474" w:bottom="1134" w:left="1474" w:header="851" w:footer="851" w:gutter="0"/>
          <w:cols w:space="720" w:num="1"/>
          <w:titlePg/>
          <w:docGrid w:linePitch="380" w:charSpace="-5735"/>
        </w:sectPr>
      </w:pPr>
    </w:p>
    <w:p>
      <w:pPr>
        <w:pStyle w:val="37"/>
        <w:jc w:val="center"/>
        <w:rPr>
          <w:color w:val="000000" w:themeColor="text1"/>
          <w:highlight w:val="none"/>
        </w:rPr>
      </w:pPr>
      <w:r>
        <w:rPr>
          <w:rFonts w:hint="eastAsia"/>
          <w:color w:val="000000" w:themeColor="text1"/>
          <w:highlight w:val="none"/>
        </w:rPr>
        <w:t>目     录</w:t>
      </w:r>
    </w:p>
    <w:p>
      <w:pPr>
        <w:pStyle w:val="31"/>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_Toc22544 </w:instrText>
      </w:r>
      <w:r>
        <w:rPr>
          <w:color w:val="000000" w:themeColor="text1"/>
          <w:highlight w:val="none"/>
        </w:rPr>
        <w:fldChar w:fldCharType="separate"/>
      </w:r>
      <w:r>
        <w:rPr>
          <w:rFonts w:hint="eastAsia" w:ascii="宋体" w:hAnsi="宋体"/>
          <w:color w:val="000000" w:themeColor="text1"/>
          <w:szCs w:val="21"/>
          <w:highlight w:val="none"/>
        </w:rPr>
        <w:t xml:space="preserve">第一部分  </w:t>
      </w:r>
      <w:r>
        <w:rPr>
          <w:rFonts w:hint="eastAsia"/>
          <w:color w:val="000000" w:themeColor="text1"/>
          <w:szCs w:val="21"/>
          <w:highlight w:val="none"/>
        </w:rPr>
        <w:t>谈判</w:t>
      </w:r>
      <w:r>
        <w:rPr>
          <w:rFonts w:hint="eastAsia" w:ascii="宋体" w:hAnsi="宋体"/>
          <w:color w:val="000000" w:themeColor="text1"/>
          <w:szCs w:val="21"/>
          <w:highlight w:val="none"/>
        </w:rPr>
        <w:t>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_Toc22544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highlight w:val="none"/>
        </w:rPr>
        <w:fldChar w:fldCharType="end"/>
      </w:r>
    </w:p>
    <w:p>
      <w:pPr>
        <w:pStyle w:val="31"/>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_Toc23735 </w:instrText>
      </w:r>
      <w:r>
        <w:rPr>
          <w:color w:val="000000" w:themeColor="text1"/>
          <w:highlight w:val="none"/>
        </w:rPr>
        <w:fldChar w:fldCharType="separate"/>
      </w:r>
      <w:r>
        <w:rPr>
          <w:rFonts w:hint="eastAsia" w:ascii="宋体" w:hAnsi="宋体"/>
          <w:color w:val="000000" w:themeColor="text1"/>
          <w:szCs w:val="2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_Toc23735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1"/>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_Toc12430 </w:instrText>
      </w:r>
      <w:r>
        <w:rPr>
          <w:color w:val="000000" w:themeColor="text1"/>
          <w:highlight w:val="none"/>
        </w:rPr>
        <w:fldChar w:fldCharType="separate"/>
      </w:r>
      <w:r>
        <w:rPr>
          <w:rFonts w:hint="eastAsia" w:ascii="宋体" w:hAnsi="宋体"/>
          <w:color w:val="000000" w:themeColor="text1"/>
          <w:szCs w:val="21"/>
          <w:highlight w:val="none"/>
        </w:rPr>
        <w:t>项目编号：</w:t>
      </w:r>
      <w:r>
        <w:rPr>
          <w:rFonts w:hint="eastAsia" w:ascii="宋体" w:hAnsi="宋体"/>
          <w:color w:val="000000" w:themeColor="text1"/>
          <w:szCs w:val="21"/>
          <w:highlight w:val="none"/>
          <w:lang w:eastAsia="zh-CN"/>
        </w:rPr>
        <w:t>YXZB-20230620</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_Toc12430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_Toc8277 </w:instrText>
      </w:r>
      <w:r>
        <w:rPr>
          <w:color w:val="000000" w:themeColor="text1"/>
          <w:highlight w:val="none"/>
        </w:rPr>
        <w:fldChar w:fldCharType="separate"/>
      </w:r>
      <w:r>
        <w:rPr>
          <w:rFonts w:hint="eastAsia" w:ascii="宋体" w:hAnsi="宋体" w:eastAsia="宋体"/>
          <w:color w:val="000000" w:themeColor="text1"/>
          <w:kern w:val="44"/>
          <w:szCs w:val="21"/>
          <w:highlight w:val="none"/>
        </w:rPr>
        <w:t>项目名称：</w:t>
      </w:r>
      <w:r>
        <w:rPr>
          <w:rFonts w:hint="eastAsia" w:ascii="宋体" w:hAnsi="宋体" w:eastAsia="宋体"/>
          <w:color w:val="000000" w:themeColor="text1"/>
          <w:kern w:val="44"/>
          <w:szCs w:val="21"/>
          <w:highlight w:val="none"/>
          <w:lang w:eastAsia="zh-CN"/>
        </w:rPr>
        <w:t>2023年-2024年江城区机关和事业单位会议定点场所(增补)采购项目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_Toc8277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_Toc7439 </w:instrText>
      </w:r>
      <w:r>
        <w:rPr>
          <w:color w:val="000000" w:themeColor="text1"/>
          <w:highlight w:val="none"/>
        </w:rPr>
        <w:fldChar w:fldCharType="separate"/>
      </w:r>
      <w:r>
        <w:rPr>
          <w:rFonts w:ascii="宋体" w:hAnsi="宋体" w:eastAsia="宋体"/>
          <w:color w:val="000000" w:themeColor="text1"/>
          <w:kern w:val="0"/>
          <w:szCs w:val="21"/>
          <w:highlight w:val="none"/>
        </w:rPr>
        <w:t xml:space="preserve">A  </w:t>
      </w:r>
      <w:r>
        <w:rPr>
          <w:rFonts w:hint="eastAsia" w:ascii="宋体" w:hAnsi="宋体" w:eastAsia="宋体"/>
          <w:color w:val="000000" w:themeColor="text1"/>
          <w:kern w:val="0"/>
          <w:szCs w:val="2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_Toc7439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_Toc22754 </w:instrText>
      </w:r>
      <w:r>
        <w:rPr>
          <w:color w:val="000000" w:themeColor="text1"/>
          <w:highlight w:val="none"/>
        </w:rPr>
        <w:fldChar w:fldCharType="separate"/>
      </w:r>
      <w:r>
        <w:rPr>
          <w:rFonts w:hint="eastAsia" w:ascii="宋体" w:hAnsi="宋体" w:eastAsia="宋体"/>
          <w:color w:val="000000" w:themeColor="text1"/>
          <w:kern w:val="0"/>
          <w:szCs w:val="21"/>
          <w:highlight w:val="none"/>
        </w:rPr>
        <w:t>B技术要求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_Toc22754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pPr>
        <w:pStyle w:val="31"/>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_Toc3287 </w:instrText>
      </w:r>
      <w:r>
        <w:rPr>
          <w:color w:val="000000" w:themeColor="text1"/>
          <w:highlight w:val="none"/>
        </w:rPr>
        <w:fldChar w:fldCharType="separate"/>
      </w:r>
      <w:r>
        <w:rPr>
          <w:rFonts w:hint="eastAsia"/>
          <w:bCs/>
          <w:color w:val="000000" w:themeColor="text1"/>
          <w:szCs w:val="21"/>
          <w:highlight w:val="none"/>
        </w:rPr>
        <w:t>第三部分 谈判须知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_Toc3287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_Toc604 </w:instrText>
      </w:r>
      <w:r>
        <w:rPr>
          <w:color w:val="000000" w:themeColor="text1"/>
          <w:highlight w:val="none"/>
        </w:rPr>
        <w:fldChar w:fldCharType="separate"/>
      </w:r>
      <w:r>
        <w:rPr>
          <w:rFonts w:hint="eastAsia" w:ascii="宋体" w:hAnsi="宋体"/>
          <w:color w:val="000000" w:themeColor="text1"/>
          <w:kern w:val="0"/>
          <w:highlight w:val="none"/>
        </w:rPr>
        <w:t>谈判须知前附表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_Toc604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_Toc22159 </w:instrText>
      </w:r>
      <w:r>
        <w:rPr>
          <w:color w:val="000000" w:themeColor="text1"/>
          <w:highlight w:val="none"/>
        </w:rPr>
        <w:fldChar w:fldCharType="separate"/>
      </w:r>
      <w:r>
        <w:rPr>
          <w:rFonts w:hint="eastAsia" w:hAnsi="宋体" w:cs="Times New Roman"/>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_Toc22159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_Toc16615 </w:instrText>
      </w:r>
      <w:r>
        <w:rPr>
          <w:color w:val="000000" w:themeColor="text1"/>
          <w:highlight w:val="none"/>
        </w:rPr>
        <w:fldChar w:fldCharType="separate"/>
      </w:r>
      <w:r>
        <w:rPr>
          <w:rFonts w:hint="eastAsia" w:hAnsi="宋体" w:cs="Times New Roman"/>
          <w:color w:val="000000" w:themeColor="text1"/>
          <w:highlight w:val="none"/>
        </w:rPr>
        <w:t>二、谈判文件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_Toc16615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_Toc32122 </w:instrText>
      </w:r>
      <w:r>
        <w:rPr>
          <w:color w:val="000000" w:themeColor="text1"/>
          <w:highlight w:val="none"/>
        </w:rPr>
        <w:fldChar w:fldCharType="separate"/>
      </w:r>
      <w:r>
        <w:rPr>
          <w:rFonts w:hint="eastAsia" w:hAnsi="宋体" w:cs="Times New Roman"/>
          <w:color w:val="000000" w:themeColor="text1"/>
          <w:highlight w:val="none"/>
        </w:rPr>
        <w:t>三、单一来源谈判响应文件的编制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_Toc32122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_Toc926 </w:instrText>
      </w:r>
      <w:r>
        <w:rPr>
          <w:color w:val="000000" w:themeColor="text1"/>
          <w:highlight w:val="none"/>
        </w:rPr>
        <w:fldChar w:fldCharType="separate"/>
      </w:r>
      <w:r>
        <w:rPr>
          <w:rFonts w:hint="eastAsia" w:hAnsi="宋体" w:cs="Times New Roman"/>
          <w:color w:val="000000" w:themeColor="text1"/>
          <w:highlight w:val="none"/>
        </w:rPr>
        <w:t>四、谈判报价要求和响应供应商资格证明文件的要求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_Toc29067 </w:instrText>
      </w:r>
      <w:r>
        <w:rPr>
          <w:color w:val="000000" w:themeColor="text1"/>
          <w:highlight w:val="none"/>
        </w:rPr>
        <w:fldChar w:fldCharType="separate"/>
      </w:r>
      <w:r>
        <w:rPr>
          <w:rFonts w:hint="eastAsia" w:hAnsi="宋体" w:cs="Times New Roman"/>
          <w:color w:val="000000" w:themeColor="text1"/>
          <w:highlight w:val="none"/>
        </w:rPr>
        <w:t>五、谈判保证金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_Toc29067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_Toc19171 </w:instrText>
      </w:r>
      <w:r>
        <w:rPr>
          <w:color w:val="000000" w:themeColor="text1"/>
          <w:highlight w:val="none"/>
        </w:rPr>
        <w:fldChar w:fldCharType="separate"/>
      </w:r>
      <w:r>
        <w:rPr>
          <w:rFonts w:hint="eastAsia" w:hAnsi="宋体" w:cs="Times New Roman"/>
          <w:color w:val="000000" w:themeColor="text1"/>
          <w:highlight w:val="none"/>
        </w:rPr>
        <w:t>六、单一来源谈判响应文件的份数、封装和递交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_Toc19171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_Toc10480 </w:instrText>
      </w:r>
      <w:r>
        <w:rPr>
          <w:color w:val="000000" w:themeColor="text1"/>
          <w:highlight w:val="none"/>
        </w:rPr>
        <w:fldChar w:fldCharType="separate"/>
      </w:r>
      <w:r>
        <w:rPr>
          <w:rFonts w:hint="eastAsia" w:hAnsi="宋体" w:cs="Times New Roman"/>
          <w:color w:val="000000" w:themeColor="text1"/>
          <w:highlight w:val="none"/>
        </w:rPr>
        <w:t>七、谈判的步骤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_Toc10480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_Toc5689 </w:instrText>
      </w:r>
      <w:r>
        <w:rPr>
          <w:color w:val="000000" w:themeColor="text1"/>
          <w:highlight w:val="none"/>
        </w:rPr>
        <w:fldChar w:fldCharType="separate"/>
      </w:r>
      <w:r>
        <w:rPr>
          <w:rFonts w:hint="eastAsia" w:hAnsi="宋体" w:cs="Times New Roman"/>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_Toc5689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_Toc9985 </w:instrText>
      </w:r>
      <w:r>
        <w:rPr>
          <w:color w:val="000000" w:themeColor="text1"/>
          <w:highlight w:val="none"/>
        </w:rPr>
        <w:fldChar w:fldCharType="separate"/>
      </w:r>
      <w:r>
        <w:rPr>
          <w:rFonts w:hint="eastAsia" w:hAnsi="宋体" w:cs="Times New Roman"/>
          <w:color w:val="000000" w:themeColor="text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_Toc9985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_Toc24047 </w:instrText>
      </w:r>
      <w:r>
        <w:rPr>
          <w:color w:val="000000" w:themeColor="text1"/>
          <w:highlight w:val="none"/>
        </w:rPr>
        <w:fldChar w:fldCharType="separate"/>
      </w:r>
      <w:r>
        <w:rPr>
          <w:rFonts w:hint="eastAsia" w:hAnsi="宋体" w:cs="Times New Roman"/>
          <w:color w:val="000000" w:themeColor="text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_Toc24047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_Toc25538 </w:instrText>
      </w:r>
      <w:r>
        <w:rPr>
          <w:color w:val="000000" w:themeColor="text1"/>
          <w:highlight w:val="none"/>
        </w:rPr>
        <w:fldChar w:fldCharType="separate"/>
      </w:r>
      <w:r>
        <w:rPr>
          <w:rFonts w:hint="eastAsia" w:hAnsi="宋体" w:cs="Times New Roman"/>
          <w:color w:val="000000" w:themeColor="text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_Toc25538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_Toc24357 </w:instrText>
      </w:r>
      <w:r>
        <w:rPr>
          <w:color w:val="000000" w:themeColor="text1"/>
          <w:highlight w:val="none"/>
        </w:rPr>
        <w:fldChar w:fldCharType="separate"/>
      </w:r>
      <w:r>
        <w:rPr>
          <w:rFonts w:hint="eastAsia" w:hAnsi="宋体" w:cs="Times New Roman"/>
          <w:color w:val="000000" w:themeColor="text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_Toc24357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1"/>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_Toc24660 </w:instrText>
      </w:r>
      <w:r>
        <w:rPr>
          <w:color w:val="000000" w:themeColor="text1"/>
          <w:highlight w:val="none"/>
        </w:rPr>
        <w:fldChar w:fldCharType="separate"/>
      </w:r>
      <w:r>
        <w:rPr>
          <w:rFonts w:hint="eastAsia" w:ascii="宋体" w:hAnsi="宋体"/>
          <w:color w:val="000000" w:themeColor="text1"/>
          <w:szCs w:val="2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_Toc24660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highlight w:val="none"/>
        </w:rPr>
        <w:fldChar w:fldCharType="end"/>
      </w:r>
    </w:p>
    <w:p>
      <w:pPr>
        <w:pStyle w:val="31"/>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_Toc29937 </w:instrText>
      </w:r>
      <w:r>
        <w:rPr>
          <w:color w:val="000000" w:themeColor="text1"/>
          <w:highlight w:val="none"/>
        </w:rPr>
        <w:fldChar w:fldCharType="separate"/>
      </w:r>
      <w:r>
        <w:rPr>
          <w:rFonts w:hint="eastAsia" w:ascii="宋体" w:hAnsi="宋体"/>
          <w:color w:val="000000" w:themeColor="text1"/>
          <w:szCs w:val="21"/>
          <w:highlight w:val="none"/>
        </w:rPr>
        <w:t>第五部分  单一来源谈判响应文件格式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_Toc29937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_Toc22535 </w:instrText>
      </w:r>
      <w:r>
        <w:rPr>
          <w:color w:val="000000" w:themeColor="text1"/>
          <w:highlight w:val="none"/>
        </w:rPr>
        <w:fldChar w:fldCharType="separate"/>
      </w:r>
      <w:r>
        <w:rPr>
          <w:rFonts w:hint="eastAsia" w:ascii="宋体" w:hAnsi="宋体" w:eastAsia="宋体"/>
          <w:color w:val="000000" w:themeColor="text1"/>
          <w:szCs w:val="2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_Toc22535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_Toc20398 </w:instrText>
      </w:r>
      <w:r>
        <w:rPr>
          <w:color w:val="000000" w:themeColor="text1"/>
          <w:highlight w:val="none"/>
        </w:rPr>
        <w:fldChar w:fldCharType="separate"/>
      </w:r>
      <w:r>
        <w:rPr>
          <w:rFonts w:hint="eastAsia" w:ascii="宋体" w:hAnsi="宋体" w:eastAsia="宋体"/>
          <w:color w:val="000000" w:themeColor="text1"/>
          <w:szCs w:val="2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_Toc20398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_Toc15088 </w:instrText>
      </w:r>
      <w:r>
        <w:rPr>
          <w:color w:val="000000" w:themeColor="text1"/>
          <w:highlight w:val="none"/>
        </w:rPr>
        <w:fldChar w:fldCharType="separate"/>
      </w:r>
      <w:r>
        <w:rPr>
          <w:rFonts w:hint="eastAsia"/>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_Toc15088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_Toc9145 </w:instrText>
      </w:r>
      <w:r>
        <w:rPr>
          <w:color w:val="000000" w:themeColor="text1"/>
          <w:highlight w:val="none"/>
        </w:rPr>
        <w:fldChar w:fldCharType="separate"/>
      </w:r>
      <w:r>
        <w:rPr>
          <w:rFonts w:hint="eastAsia"/>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_Toc9145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_Toc17960 </w:instrText>
      </w:r>
      <w:r>
        <w:rPr>
          <w:color w:val="000000" w:themeColor="text1"/>
          <w:highlight w:val="none"/>
        </w:rPr>
        <w:fldChar w:fldCharType="separate"/>
      </w:r>
      <w:r>
        <w:rPr>
          <w:rFonts w:hint="eastAsia"/>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_Toc17960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_Toc29480 </w:instrText>
      </w:r>
      <w:r>
        <w:rPr>
          <w:color w:val="000000" w:themeColor="text1"/>
          <w:highlight w:val="none"/>
        </w:rPr>
        <w:fldChar w:fldCharType="separate"/>
      </w:r>
      <w:r>
        <w:rPr>
          <w:rFonts w:hint="eastAsia"/>
          <w:color w:val="000000" w:themeColor="text1"/>
          <w:szCs w:val="28"/>
          <w:highlight w:val="none"/>
        </w:rPr>
        <w:t>（四）财务报表、缴税证明、社会保险登记证明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_Toc29480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_Toc28460 </w:instrText>
      </w:r>
      <w:r>
        <w:rPr>
          <w:color w:val="000000" w:themeColor="text1"/>
          <w:highlight w:val="none"/>
        </w:rPr>
        <w:fldChar w:fldCharType="separate"/>
      </w:r>
      <w:r>
        <w:rPr>
          <w:rFonts w:hint="eastAsia"/>
          <w:color w:val="000000" w:themeColor="text1"/>
          <w:szCs w:val="28"/>
          <w:highlight w:val="none"/>
        </w:rPr>
        <w:t>（五）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_Toc28460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_Toc29257 </w:instrText>
      </w:r>
      <w:r>
        <w:rPr>
          <w:color w:val="000000" w:themeColor="text1"/>
          <w:highlight w:val="none"/>
        </w:rPr>
        <w:fldChar w:fldCharType="separate"/>
      </w:r>
      <w:r>
        <w:rPr>
          <w:rFonts w:hint="eastAsia"/>
          <w:color w:val="000000" w:themeColor="text1"/>
          <w:szCs w:val="28"/>
          <w:highlight w:val="none"/>
        </w:rPr>
        <w:t>第二章  谈判响应文件商务及技术部分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_Toc29257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_Toc17127 </w:instrText>
      </w:r>
      <w:r>
        <w:rPr>
          <w:color w:val="000000" w:themeColor="text1"/>
          <w:highlight w:val="none"/>
        </w:rPr>
        <w:fldChar w:fldCharType="separate"/>
      </w:r>
      <w:r>
        <w:rPr>
          <w:rFonts w:hint="eastAsia"/>
          <w:color w:val="000000" w:themeColor="text1"/>
          <w:szCs w:val="28"/>
          <w:highlight w:val="none"/>
        </w:rPr>
        <w:t>附件一：谈判邀请函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_Toc17127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_Toc17630 </w:instrText>
      </w:r>
      <w:r>
        <w:rPr>
          <w:color w:val="000000" w:themeColor="text1"/>
          <w:highlight w:val="none"/>
        </w:rPr>
        <w:fldChar w:fldCharType="separate"/>
      </w:r>
      <w:r>
        <w:rPr>
          <w:rFonts w:hint="eastAsia"/>
          <w:color w:val="000000" w:themeColor="text1"/>
          <w:szCs w:val="28"/>
          <w:highlight w:val="none"/>
        </w:rPr>
        <w:t>附件二：承诺书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_Toc17630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_Toc7796 </w:instrText>
      </w:r>
      <w:r>
        <w:rPr>
          <w:color w:val="000000" w:themeColor="text1"/>
          <w:highlight w:val="none"/>
        </w:rPr>
        <w:fldChar w:fldCharType="separate"/>
      </w:r>
      <w:r>
        <w:rPr>
          <w:rFonts w:hint="eastAsia"/>
          <w:color w:val="000000" w:themeColor="text1"/>
          <w:szCs w:val="28"/>
          <w:highlight w:val="none"/>
        </w:rPr>
        <w:t>附件三：报价一览表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_Toc7796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_Toc627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四</w:t>
      </w:r>
      <w:r>
        <w:rPr>
          <w:rFonts w:hint="eastAsia"/>
          <w:color w:val="000000" w:themeColor="text1"/>
          <w:szCs w:val="28"/>
          <w:highlight w:val="none"/>
        </w:rPr>
        <w:t>：谈判分项报价</w:t>
      </w:r>
      <w:r>
        <w:rPr>
          <w:color w:val="000000" w:themeColor="text1"/>
          <w:szCs w:val="28"/>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_Toc627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_Toc5792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五</w:t>
      </w:r>
      <w:r>
        <w:rPr>
          <w:rFonts w:hint="eastAsia"/>
          <w:color w:val="000000" w:themeColor="text1"/>
          <w:szCs w:val="28"/>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_Toc5792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_Toc8779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六</w:t>
      </w:r>
      <w:r>
        <w:rPr>
          <w:rFonts w:hint="eastAsia"/>
          <w:color w:val="000000" w:themeColor="text1"/>
          <w:szCs w:val="28"/>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_Toc8779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_Toc19623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七</w:t>
      </w:r>
      <w:r>
        <w:rPr>
          <w:rFonts w:hint="eastAsia"/>
          <w:color w:val="000000" w:themeColor="text1"/>
          <w:szCs w:val="28"/>
          <w:highlight w:val="none"/>
        </w:rPr>
        <w:t>：项目实施方案</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_Toc19623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_Toc13226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八</w:t>
      </w:r>
      <w:r>
        <w:rPr>
          <w:rFonts w:hint="eastAsia"/>
          <w:color w:val="000000" w:themeColor="text1"/>
          <w:szCs w:val="28"/>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_Toc13226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_Toc8654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九</w:t>
      </w:r>
      <w:r>
        <w:rPr>
          <w:rFonts w:hint="eastAsia"/>
          <w:color w:val="000000" w:themeColor="text1"/>
          <w:szCs w:val="28"/>
          <w:highlight w:val="none"/>
        </w:rPr>
        <w:t>：谈判供应商提交的其他资料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_Toc8654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pPr>
        <w:pStyle w:val="37"/>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_Toc11661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_Toc11661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pPr>
        <w:pStyle w:val="22"/>
        <w:tabs>
          <w:tab w:val="right" w:leader="dot" w:pos="9184"/>
          <w:tab w:val="clear" w:pos="900"/>
          <w:tab w:val="clear" w:pos="10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_Toc2238 </w:instrText>
      </w:r>
      <w:r>
        <w:rPr>
          <w:color w:val="000000" w:themeColor="text1"/>
          <w:highlight w:val="none"/>
        </w:rPr>
        <w:fldChar w:fldCharType="separate"/>
      </w:r>
      <w:r>
        <w:rPr>
          <w:rFonts w:hint="eastAsia"/>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_Toc2238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37"/>
        <w:rPr>
          <w:color w:val="000000" w:themeColor="text1"/>
          <w:szCs w:val="28"/>
          <w:highlight w:val="none"/>
        </w:rPr>
      </w:pPr>
      <w:r>
        <w:rPr>
          <w:color w:val="000000" w:themeColor="text1"/>
          <w:highlight w:val="none"/>
        </w:rPr>
        <w:fldChar w:fldCharType="end"/>
      </w:r>
    </w:p>
    <w:p>
      <w:pPr>
        <w:pStyle w:val="37"/>
        <w:rPr>
          <w:rFonts w:ascii="宋体"/>
          <w:color w:val="000000" w:themeColor="text1"/>
          <w:highlight w:val="none"/>
        </w:rPr>
      </w:pPr>
      <w:bookmarkStart w:id="0" w:name="_Toc351986192"/>
      <w:bookmarkStart w:id="1" w:name="_Toc351988703"/>
      <w:bookmarkStart w:id="2" w:name="_Toc351986012"/>
      <w:bookmarkStart w:id="3" w:name="_Toc353522386"/>
      <w:bookmarkStart w:id="4" w:name="_Toc351990139"/>
      <w:bookmarkStart w:id="5" w:name="_Toc369180016"/>
      <w:bookmarkStart w:id="6" w:name="_Toc351987958"/>
      <w:bookmarkStart w:id="7" w:name="_Toc351987762"/>
      <w:bookmarkStart w:id="8" w:name="_Toc35715116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19"/>
        <w:rPr>
          <w:color w:val="000000" w:themeColor="text1"/>
          <w:highlight w:val="none"/>
        </w:rPr>
      </w:pPr>
    </w:p>
    <w:p>
      <w:pPr>
        <w:rPr>
          <w:color w:val="000000" w:themeColor="text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22544"/>
      <w:r>
        <w:rPr>
          <w:rFonts w:hint="eastAsia" w:ascii="宋体" w:hAnsi="宋体"/>
          <w:color w:val="000000" w:themeColor="text1"/>
          <w:sz w:val="21"/>
          <w:szCs w:val="21"/>
          <w:highlight w:val="none"/>
        </w:rPr>
        <w:t xml:space="preserve">第一部分  </w:t>
      </w:r>
      <w:r>
        <w:rPr>
          <w:rFonts w:hint="eastAsia"/>
          <w:color w:val="000000" w:themeColor="text1"/>
          <w:sz w:val="21"/>
          <w:szCs w:val="21"/>
          <w:highlight w:val="none"/>
        </w:rPr>
        <w:t>谈判</w:t>
      </w:r>
      <w:r>
        <w:rPr>
          <w:rFonts w:hint="eastAsia" w:ascii="宋体" w:hAnsi="宋体"/>
          <w:color w:val="000000" w:themeColor="text1"/>
          <w:sz w:val="21"/>
          <w:szCs w:val="21"/>
          <w:highlight w:val="none"/>
        </w:rPr>
        <w:t>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u w:val="single"/>
          <w:lang w:eastAsia="zh-CN"/>
        </w:rPr>
        <w:t>阳江市江城区财政局</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2023年-2024年江城区机关和事业单位会议定点场所(增补)采购项目</w:t>
      </w:r>
      <w:r>
        <w:rPr>
          <w:rFonts w:hint="eastAsia" w:ascii="宋体" w:hAnsi="宋体"/>
          <w:color w:val="000000" w:themeColor="text1"/>
          <w:highlight w:val="none"/>
          <w:u w:val="single"/>
        </w:rPr>
        <w:t xml:space="preserve"> </w:t>
      </w:r>
      <w:r>
        <w:rPr>
          <w:rFonts w:hint="eastAsia" w:ascii="宋体" w:hAnsi="宋体"/>
          <w:color w:val="000000" w:themeColor="text1"/>
          <w:szCs w:val="21"/>
          <w:highlight w:val="none"/>
        </w:rPr>
        <w:t>进行单一来源采购，根据规定，拟定</w:t>
      </w:r>
      <w:r>
        <w:rPr>
          <w:rFonts w:hint="eastAsia" w:ascii="宋体" w:hAnsi="宋体"/>
          <w:color w:val="000000" w:themeColor="text1"/>
          <w:szCs w:val="21"/>
          <w:highlight w:val="none"/>
          <w:lang w:val="en-US" w:eastAsia="zh-CN"/>
        </w:rPr>
        <w:t>阳江市碧湖宾馆有限公司和阳江市志盈酒店管理有限公司</w:t>
      </w:r>
      <w:r>
        <w:rPr>
          <w:rFonts w:hint="eastAsia" w:ascii="宋体" w:hAnsi="宋体"/>
          <w:color w:val="000000" w:themeColor="text1"/>
          <w:szCs w:val="21"/>
          <w:highlight w:val="none"/>
        </w:rPr>
        <w:t>作为单一来源供应商进行谈判。</w:t>
      </w:r>
      <w:r>
        <w:rPr>
          <w:rFonts w:hint="eastAsia" w:ascii="宋体" w:hAnsi="宋体"/>
          <w:color w:val="000000" w:themeColor="text1"/>
          <w:highlight w:val="none"/>
        </w:rPr>
        <w:t>有关事项如下：</w:t>
      </w:r>
      <w:r>
        <w:rPr>
          <w:rFonts w:hint="eastAsia" w:ascii="宋体" w:hAnsi="宋体"/>
          <w:color w:val="000000" w:themeColor="text1"/>
          <w:szCs w:val="21"/>
          <w:highlight w:val="none"/>
        </w:rPr>
        <w:t xml:space="preserve"> </w:t>
      </w:r>
    </w:p>
    <w:p>
      <w:pPr>
        <w:widowControl/>
        <w:numPr>
          <w:ilvl w:val="0"/>
          <w:numId w:val="5"/>
        </w:numPr>
        <w:tabs>
          <w:tab w:val="left" w:pos="502"/>
          <w:tab w:val="left" w:pos="737"/>
        </w:tabs>
        <w:adjustRightInd w:val="0"/>
        <w:snapToGrid w:val="0"/>
        <w:spacing w:line="360" w:lineRule="auto"/>
        <w:rPr>
          <w:rFonts w:ascii="宋体" w:hAnsi="宋体"/>
          <w:bCs/>
          <w:color w:val="000000" w:themeColor="text1"/>
          <w:szCs w:val="21"/>
          <w:highlight w:val="none"/>
        </w:rPr>
      </w:pP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项目的性质</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谈判项目编号：</w:t>
      </w:r>
      <w:r>
        <w:rPr>
          <w:rFonts w:hint="eastAsia" w:ascii="宋体" w:hAnsi="宋体"/>
          <w:bCs/>
          <w:color w:val="000000" w:themeColor="text1"/>
          <w:szCs w:val="21"/>
          <w:highlight w:val="none"/>
          <w:lang w:eastAsia="zh-CN"/>
        </w:rPr>
        <w:t>YXZB-20230620</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谈判项目名称：</w:t>
      </w:r>
      <w:r>
        <w:rPr>
          <w:rFonts w:hint="eastAsia" w:ascii="宋体" w:hAnsi="宋体"/>
          <w:bCs/>
          <w:color w:val="000000" w:themeColor="text1"/>
          <w:szCs w:val="21"/>
          <w:highlight w:val="none"/>
          <w:lang w:eastAsia="zh-CN"/>
        </w:rPr>
        <w:t>2023年-2024年江城区机关和事业单位会议定点场所(增补)采购项目</w:t>
      </w:r>
      <w:r>
        <w:rPr>
          <w:rFonts w:hint="eastAsia" w:ascii="宋体" w:hAnsi="宋体"/>
          <w:bCs/>
          <w:color w:val="000000" w:themeColor="text1"/>
          <w:szCs w:val="21"/>
          <w:highlight w:val="none"/>
        </w:rPr>
        <w:t xml:space="preserve"> </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pPr>
        <w:numPr>
          <w:ilvl w:val="0"/>
          <w:numId w:val="6"/>
        </w:numPr>
        <w:adjustRightInd w:val="0"/>
        <w:snapToGrid w:val="0"/>
        <w:spacing w:line="360" w:lineRule="auto"/>
        <w:ind w:firstLine="120"/>
        <w:rPr>
          <w:rFonts w:ascii="宋体" w:hAnsi="宋体" w:cs="Tahoma"/>
          <w:iCs/>
          <w:color w:val="000000" w:themeColor="text1"/>
          <w:kern w:val="28"/>
          <w:highlight w:val="none"/>
        </w:rPr>
      </w:pPr>
      <w:r>
        <w:rPr>
          <w:rFonts w:hint="eastAsia" w:ascii="宋体" w:hAnsi="宋体" w:eastAsia="宋体" w:cs="Times New Roman"/>
          <w:bCs/>
          <w:color w:val="000000" w:themeColor="text1"/>
          <w:kern w:val="2"/>
          <w:sz w:val="21"/>
          <w:szCs w:val="21"/>
          <w:highlight w:val="none"/>
          <w:lang w:val="en-US" w:eastAsia="zh-CN" w:bidi="ar-SA"/>
        </w:rPr>
        <w:t>报价方式：折扣率报价（</w:t>
      </w:r>
      <w:r>
        <w:rPr>
          <w:rFonts w:hint="eastAsia" w:ascii="宋体" w:hAnsi="宋体" w:cs="Times New Roman"/>
          <w:bCs/>
          <w:color w:val="000000" w:themeColor="text1"/>
          <w:kern w:val="2"/>
          <w:sz w:val="21"/>
          <w:szCs w:val="21"/>
          <w:highlight w:val="none"/>
          <w:lang w:val="en-US" w:eastAsia="zh-CN" w:bidi="ar-SA"/>
        </w:rPr>
        <w:t>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-100%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（超出该上限的投标报价作无效投标处理）</w:t>
      </w:r>
    </w:p>
    <w:p>
      <w:pPr>
        <w:numPr>
          <w:ilvl w:val="0"/>
          <w:numId w:val="6"/>
        </w:numPr>
        <w:adjustRightInd w:val="0"/>
        <w:snapToGrid w:val="0"/>
        <w:spacing w:line="360" w:lineRule="auto"/>
        <w:ind w:firstLine="120"/>
        <w:rPr>
          <w:rFonts w:ascii="宋体" w:hAnsi="宋体" w:cs="Tahoma"/>
          <w:iCs/>
          <w:color w:val="000000" w:themeColor="text1"/>
          <w:kern w:val="28"/>
          <w:highlight w:val="none"/>
        </w:rPr>
      </w:pPr>
      <w:r>
        <w:rPr>
          <w:rFonts w:hint="eastAsia" w:ascii="宋体" w:hAnsi="宋体" w:cs="Tahoma"/>
          <w:iCs/>
          <w:color w:val="000000" w:themeColor="text1"/>
          <w:kern w:val="28"/>
          <w:highlight w:val="none"/>
        </w:rPr>
        <w:t>服务期：</w:t>
      </w:r>
      <w:r>
        <w:rPr>
          <w:rFonts w:hint="eastAsia" w:ascii="宋体" w:hAnsi="宋体" w:cs="Tahoma"/>
          <w:iCs/>
          <w:color w:val="000000" w:themeColor="text1"/>
          <w:kern w:val="28"/>
          <w:highlight w:val="none"/>
          <w:lang w:val="zh-CN"/>
        </w:rPr>
        <w:t>合同签订生效后至202</w:t>
      </w:r>
      <w:r>
        <w:rPr>
          <w:rFonts w:hint="eastAsia" w:ascii="宋体" w:hAnsi="宋体" w:cs="Tahoma"/>
          <w:iCs/>
          <w:color w:val="000000" w:themeColor="text1"/>
          <w:kern w:val="28"/>
          <w:highlight w:val="none"/>
          <w:lang w:val="en-US" w:eastAsia="zh-CN"/>
        </w:rPr>
        <w:t>4</w:t>
      </w:r>
      <w:r>
        <w:rPr>
          <w:rFonts w:hint="eastAsia" w:ascii="宋体" w:hAnsi="宋体" w:cs="Tahoma"/>
          <w:iCs/>
          <w:color w:val="000000" w:themeColor="text1"/>
          <w:kern w:val="28"/>
          <w:highlight w:val="none"/>
          <w:lang w:val="zh-CN"/>
        </w:rPr>
        <w:t>年12月31日</w:t>
      </w:r>
      <w:r>
        <w:rPr>
          <w:rFonts w:hint="eastAsia" w:ascii="宋体" w:hAnsi="宋体" w:cs="Tahoma"/>
          <w:iCs/>
          <w:color w:val="000000" w:themeColor="text1"/>
          <w:kern w:val="28"/>
          <w:highlight w:val="none"/>
        </w:rPr>
        <w:t>（</w:t>
      </w:r>
      <w:r>
        <w:rPr>
          <w:rFonts w:hint="eastAsia" w:ascii="宋体" w:hAnsi="宋体" w:cs="Tahoma"/>
          <w:iCs/>
          <w:color w:val="000000" w:themeColor="text1"/>
          <w:kern w:val="28"/>
          <w:highlight w:val="none"/>
          <w:lang w:val="en-US" w:eastAsia="zh-CN"/>
        </w:rPr>
        <w:t>少于</w:t>
      </w:r>
      <w:r>
        <w:rPr>
          <w:rFonts w:hint="eastAsia" w:ascii="宋体" w:hAnsi="宋体" w:cs="Tahoma"/>
          <w:iCs/>
          <w:color w:val="000000" w:themeColor="text1"/>
          <w:kern w:val="28"/>
          <w:highlight w:val="none"/>
        </w:rPr>
        <w:t>该服务期将作为无效投标处理）</w:t>
      </w:r>
    </w:p>
    <w:p>
      <w:pPr>
        <w:numPr>
          <w:ilvl w:val="0"/>
          <w:numId w:val="6"/>
        </w:numPr>
        <w:adjustRightInd w:val="0"/>
        <w:snapToGrid w:val="0"/>
        <w:spacing w:line="360" w:lineRule="auto"/>
        <w:ind w:firstLine="120"/>
        <w:rPr>
          <w:rFonts w:ascii="宋体" w:hAnsi="宋体" w:cs="Tahoma"/>
          <w:iCs/>
          <w:color w:val="000000" w:themeColor="text1"/>
          <w:kern w:val="28"/>
          <w:highlight w:val="none"/>
        </w:rPr>
      </w:pPr>
      <w:r>
        <w:rPr>
          <w:rFonts w:hint="eastAsia" w:ascii="宋体" w:hAnsi="宋体" w:cs="Tahoma"/>
          <w:iCs/>
          <w:color w:val="000000" w:themeColor="text1"/>
          <w:kern w:val="28"/>
          <w:highlight w:val="none"/>
        </w:rPr>
        <w:t>谈判项目的性质：单一来源</w:t>
      </w:r>
    </w:p>
    <w:p>
      <w:pPr>
        <w:widowControl/>
        <w:numPr>
          <w:ilvl w:val="0"/>
          <w:numId w:val="5"/>
        </w:numPr>
        <w:tabs>
          <w:tab w:val="left" w:pos="502"/>
          <w:tab w:val="left" w:pos="737"/>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color w:val="000000" w:themeColor="text1"/>
          <w:szCs w:val="21"/>
          <w:highlight w:val="none"/>
        </w:rPr>
        <w:t>投标人</w:t>
      </w:r>
      <w:r>
        <w:rPr>
          <w:rFonts w:hint="eastAsia" w:ascii="Tahoma" w:hAnsi="Tahoma" w:cs="Tahoma"/>
          <w:b/>
          <w:color w:val="000000" w:themeColor="text1"/>
          <w:szCs w:val="21"/>
          <w:highlight w:val="none"/>
        </w:rPr>
        <w:t>资格</w:t>
      </w:r>
      <w:r>
        <w:rPr>
          <w:rFonts w:hint="eastAsia" w:ascii="Tahoma" w:hAnsi="Tahoma" w:cs="Tahoma"/>
          <w:b/>
          <w:bCs/>
          <w:color w:val="000000" w:themeColor="text1"/>
          <w:szCs w:val="21"/>
          <w:highlight w:val="none"/>
        </w:rPr>
        <w:t>要求</w:t>
      </w:r>
    </w:p>
    <w:p>
      <w:pPr>
        <w:pStyle w:val="85"/>
        <w:autoSpaceDE w:val="0"/>
        <w:autoSpaceDN w:val="0"/>
        <w:spacing w:line="360" w:lineRule="auto"/>
        <w:ind w:left="0" w:leftChars="0" w:firstLine="420" w:firstLineChars="200"/>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1.投标人须是具备《政府采购法》第二十二条规定的条件：</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1）具有独立承担民事责任的能力；</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2）具有良好的商业信誉和健全的财务会计制度；</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3）具有履行合同所必需的设备和专业技术能力；</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4）有依法缴纳税收和社会保障资金的良好记录；</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5）参加政府采购活动前三年内，在经营活动中没有重大违法记录；</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2.</w:t>
      </w:r>
      <w:r>
        <w:rPr>
          <w:rFonts w:hint="eastAsia" w:ascii="宋体" w:hAnsi="宋体"/>
          <w:color w:val="000000" w:themeColor="text1"/>
          <w:szCs w:val="21"/>
          <w:highlight w:val="none"/>
          <w:lang w:val="zh-CN"/>
        </w:rPr>
        <w:t>投标人若是分公司或其分支机构，需提供总公司对分公司或其分支机构的授权文件并加盖公章</w:t>
      </w:r>
      <w:r>
        <w:rPr>
          <w:rFonts w:hint="eastAsia" w:ascii="宋体" w:hAnsi="宋体" w:eastAsia="宋体" w:cs="Tahoma"/>
          <w:bCs/>
          <w:color w:val="000000" w:themeColor="text1"/>
          <w:kern w:val="2"/>
          <w:sz w:val="21"/>
          <w:szCs w:val="21"/>
          <w:highlight w:val="none"/>
          <w:lang w:val="en-US" w:eastAsia="zh-CN" w:bidi="ar-SA"/>
        </w:rPr>
        <w:t>；</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cs="Tahoma"/>
          <w:bCs/>
          <w:color w:val="000000" w:themeColor="text1"/>
          <w:kern w:val="2"/>
          <w:sz w:val="21"/>
          <w:szCs w:val="21"/>
          <w:highlight w:val="none"/>
          <w:lang w:val="en-US" w:eastAsia="zh-CN" w:bidi="ar-SA"/>
        </w:rPr>
        <w:t>3.</w:t>
      </w:r>
      <w:r>
        <w:rPr>
          <w:rFonts w:hint="eastAsia" w:ascii="宋体" w:hAnsi="宋体"/>
          <w:color w:val="000000" w:themeColor="text1"/>
          <w:szCs w:val="21"/>
          <w:highlight w:val="none"/>
          <w:lang w:val="zh-CN"/>
        </w:rPr>
        <w:t>须持有《营业执照》、《卫生许可证》、《特种行业许可证》、消防安全检查审核通过的相关证明</w:t>
      </w:r>
      <w:r>
        <w:rPr>
          <w:rFonts w:hint="eastAsia" w:ascii="宋体" w:hAnsi="宋体" w:eastAsia="宋体" w:cs="Tahoma"/>
          <w:bCs/>
          <w:color w:val="000000" w:themeColor="text1"/>
          <w:kern w:val="2"/>
          <w:sz w:val="21"/>
          <w:szCs w:val="21"/>
          <w:highlight w:val="none"/>
          <w:lang w:val="en-US" w:eastAsia="zh-CN" w:bidi="ar-SA"/>
        </w:rPr>
        <w:t>；</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cs="Tahoma"/>
          <w:bCs/>
          <w:color w:val="000000" w:themeColor="text1"/>
          <w:kern w:val="2"/>
          <w:sz w:val="21"/>
          <w:szCs w:val="21"/>
          <w:highlight w:val="none"/>
          <w:lang w:val="en-US" w:eastAsia="zh-CN" w:bidi="ar-SA"/>
        </w:rPr>
        <w:t>4.</w:t>
      </w:r>
      <w:r>
        <w:rPr>
          <w:rFonts w:hint="eastAsia" w:ascii="宋体" w:hAnsi="宋体" w:eastAsia="宋体" w:cs="Tahoma"/>
          <w:bCs/>
          <w:color w:val="000000" w:themeColor="text1"/>
          <w:kern w:val="2"/>
          <w:sz w:val="21"/>
          <w:szCs w:val="21"/>
          <w:highlight w:val="none"/>
          <w:lang w:val="en-US" w:eastAsia="zh-CN" w:bidi="ar-SA"/>
        </w:rPr>
        <w:t>本项目接受联合体投标；</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highlight w:val="none"/>
          <w:lang w:val="en-US" w:eastAsia="zh-CN" w:bidi="ar-SA"/>
        </w:rPr>
      </w:pPr>
      <w:r>
        <w:rPr>
          <w:rFonts w:hint="eastAsia" w:ascii="宋体" w:hAnsi="宋体" w:eastAsia="宋体" w:cs="Tahoma"/>
          <w:bCs/>
          <w:color w:val="000000" w:themeColor="text1"/>
          <w:kern w:val="2"/>
          <w:sz w:val="21"/>
          <w:szCs w:val="21"/>
          <w:highlight w:val="none"/>
          <w:lang w:val="en-US" w:eastAsia="zh-CN" w:bidi="ar-SA"/>
        </w:rPr>
        <w:t>5.投标人须在招标代理机构登记并购买招标文件。</w:t>
      </w:r>
    </w:p>
    <w:p>
      <w:pPr>
        <w:widowControl/>
        <w:numPr>
          <w:ilvl w:val="0"/>
          <w:numId w:val="5"/>
        </w:numPr>
        <w:tabs>
          <w:tab w:val="left" w:pos="502"/>
          <w:tab w:val="left" w:pos="737"/>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获取谈判文件的时间、地点、方式及谈判文件售价</w:t>
      </w:r>
    </w:p>
    <w:p>
      <w:pPr>
        <w:spacing w:line="360" w:lineRule="auto"/>
        <w:ind w:firstLine="630" w:firstLineChars="300"/>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rPr>
        <w:t>1.谈判文件公示时间</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kern w:val="2"/>
          <w:sz w:val="21"/>
          <w:szCs w:val="24"/>
          <w:highlight w:val="none"/>
          <w:lang w:val="en-US" w:eastAsia="zh-CN" w:bidi="ar-SA"/>
        </w:rPr>
        <w:t>2023年9月8日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kern w:val="2"/>
          <w:sz w:val="21"/>
          <w:szCs w:val="24"/>
          <w:highlight w:val="none"/>
          <w:lang w:val="en-US" w:eastAsia="zh-CN" w:bidi="ar-SA"/>
        </w:rPr>
        <w:t>2023年9月15日</w:t>
      </w:r>
      <w:r>
        <w:rPr>
          <w:rFonts w:hint="eastAsia" w:ascii="宋体" w:hAnsi="宋体" w:eastAsia="宋体" w:cs="宋体"/>
          <w:color w:val="000000" w:themeColor="text1"/>
          <w:szCs w:val="21"/>
          <w:highlight w:val="none"/>
        </w:rPr>
        <w:t>。</w:t>
      </w:r>
    </w:p>
    <w:p>
      <w:pPr>
        <w:spacing w:line="360" w:lineRule="auto"/>
        <w:ind w:left="630" w:leftChars="3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2．获取谈判文件时间及下载：</w:t>
      </w:r>
      <w:r>
        <w:rPr>
          <w:rFonts w:hint="eastAsia" w:ascii="宋体" w:hAnsi="宋体" w:eastAsia="宋体" w:cs="宋体"/>
          <w:color w:val="000000" w:themeColor="text1"/>
          <w:kern w:val="2"/>
          <w:sz w:val="21"/>
          <w:szCs w:val="24"/>
          <w:highlight w:val="none"/>
          <w:lang w:val="en-US" w:eastAsia="zh-CN" w:bidi="ar-SA"/>
        </w:rPr>
        <w:t>2023年9月8日</w:t>
      </w:r>
      <w:r>
        <w:rPr>
          <w:rFonts w:hint="eastAsia" w:ascii="宋体" w:hAnsi="宋体" w:eastAsia="宋体" w:cs="宋体"/>
          <w:color w:val="000000" w:themeColor="text1"/>
          <w:szCs w:val="21"/>
          <w:highlight w:val="none"/>
          <w:lang w:val="en-US" w:eastAsia="zh-CN"/>
        </w:rPr>
        <w:t>至</w:t>
      </w:r>
      <w:r>
        <w:rPr>
          <w:rFonts w:hint="eastAsia" w:ascii="宋体" w:hAnsi="宋体" w:eastAsia="宋体" w:cs="宋体"/>
          <w:color w:val="000000" w:themeColor="text1"/>
          <w:kern w:val="2"/>
          <w:sz w:val="21"/>
          <w:szCs w:val="24"/>
          <w:highlight w:val="none"/>
          <w:lang w:val="en-US" w:eastAsia="zh-CN" w:bidi="ar-SA"/>
        </w:rPr>
        <w:t>2023年9月15日</w:t>
      </w:r>
      <w:r>
        <w:rPr>
          <w:rFonts w:hint="eastAsia" w:ascii="宋体" w:hAnsi="宋体" w:eastAsia="宋体" w:cs="宋体"/>
          <w:color w:val="000000" w:themeColor="text1"/>
          <w:szCs w:val="21"/>
          <w:highlight w:val="none"/>
        </w:rPr>
        <w:t>，</w:t>
      </w:r>
      <w:r>
        <w:rPr>
          <w:rFonts w:hint="eastAsia" w:ascii="宋体" w:hAnsi="宋体" w:eastAsia="宋体" w:cs="宋体"/>
          <w:bCs/>
          <w:color w:val="000000" w:themeColor="text1"/>
          <w:highlight w:val="none"/>
        </w:rPr>
        <w:t>上午9:00～12:00，下午2:30～5:30</w:t>
      </w:r>
      <w:r>
        <w:rPr>
          <w:rFonts w:hint="eastAsia" w:ascii="宋体" w:hAnsi="宋体" w:eastAsia="宋体" w:cs="宋体"/>
          <w:color w:val="000000" w:themeColor="text1"/>
          <w:szCs w:val="21"/>
          <w:highlight w:val="none"/>
        </w:rPr>
        <w:t>（节假日除外）（北京时间）。</w:t>
      </w:r>
    </w:p>
    <w:p>
      <w:pPr>
        <w:spacing w:line="360" w:lineRule="auto"/>
        <w:ind w:left="318" w:firstLine="315" w:firstLineChars="15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3．获取谈判文件地点：阳江市江城区猫山四街33号A座2楼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spacing w:line="360" w:lineRule="auto"/>
        <w:ind w:left="318" w:firstLine="210" w:firstLineChars="1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4．获取谈判文件方式：购买。</w:t>
      </w:r>
    </w:p>
    <w:p>
      <w:pPr>
        <w:spacing w:line="360" w:lineRule="auto"/>
        <w:ind w:left="318" w:firstLine="315" w:firstLineChars="150"/>
        <w:rPr>
          <w:rFonts w:ascii="宋体" w:hAnsi="宋体" w:cs="宋体"/>
          <w:color w:val="000000" w:themeColor="text1"/>
          <w:szCs w:val="21"/>
          <w:highlight w:val="none"/>
        </w:rPr>
      </w:pPr>
      <w:r>
        <w:rPr>
          <w:rFonts w:hint="eastAsia" w:ascii="宋体" w:hAnsi="宋体" w:cs="宋体"/>
          <w:color w:val="000000" w:themeColor="text1"/>
          <w:szCs w:val="21"/>
          <w:highlight w:val="none"/>
        </w:rPr>
        <w:t>5．谈判文件售价：谈判文件每套人民币300元，售后不退。</w:t>
      </w:r>
    </w:p>
    <w:p>
      <w:pPr>
        <w:spacing w:line="360" w:lineRule="auto"/>
        <w:ind w:left="283" w:leftChars="-1" w:hanging="285" w:hangingChars="136"/>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6．购买谈判文件方式：现场发售。</w:t>
      </w:r>
    </w:p>
    <w:p>
      <w:pPr>
        <w:spacing w:line="360" w:lineRule="auto"/>
        <w:ind w:left="630" w:leftChars="300" w:firstLine="0" w:firstLineChars="0"/>
        <w:rPr>
          <w:rFonts w:ascii="宋体" w:hAnsi="宋体" w:cs="宋体"/>
          <w:color w:val="000000" w:themeColor="text1"/>
          <w:szCs w:val="21"/>
          <w:highlight w:val="none"/>
        </w:rPr>
      </w:pPr>
      <w:r>
        <w:rPr>
          <w:rFonts w:hint="eastAsia" w:ascii="宋体" w:hAnsi="宋体" w:cs="宋体"/>
          <w:color w:val="000000" w:themeColor="text1"/>
          <w:szCs w:val="21"/>
          <w:highlight w:val="none"/>
        </w:rPr>
        <w:t>7．购买谈判文件必须携带</w:t>
      </w:r>
      <w:r>
        <w:rPr>
          <w:rFonts w:hint="eastAsia" w:ascii="宋体" w:hAnsi="宋体"/>
          <w:bCs/>
          <w:color w:val="000000" w:themeColor="text1"/>
          <w:szCs w:val="21"/>
          <w:highlight w:val="none"/>
        </w:rPr>
        <w:t>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rPr>
        <w:fldChar w:fldCharType="begin"/>
      </w:r>
      <w:r>
        <w:rPr>
          <w:color w:val="000000" w:themeColor="text1"/>
          <w:highlight w:val="none"/>
        </w:rPr>
        <w:instrText xml:space="preserve"> HYPERLINK "http://www.yjgpc.gov.cn/" </w:instrText>
      </w:r>
      <w:r>
        <w:rPr>
          <w:color w:val="000000" w:themeColor="text1"/>
          <w:highlight w:val="none"/>
        </w:rPr>
        <w:fldChar w:fldCharType="separate"/>
      </w:r>
      <w:r>
        <w:rPr>
          <w:rStyle w:val="54"/>
          <w:color w:val="000000" w:themeColor="text1"/>
          <w:highlight w:val="none"/>
        </w:rPr>
        <w:t>http://www.yjcg.cc</w:t>
      </w:r>
      <w:r>
        <w:rPr>
          <w:rStyle w:val="54"/>
          <w:color w:val="000000" w:themeColor="text1"/>
          <w:highlight w:val="none"/>
        </w:rPr>
        <w:fldChar w:fldCharType="end"/>
      </w:r>
      <w:r>
        <w:rPr>
          <w:color w:val="000000" w:themeColor="text1"/>
          <w:highlight w:val="none"/>
        </w:rPr>
        <w:fldChar w:fldCharType="begin"/>
      </w:r>
      <w:r>
        <w:rPr>
          <w:color w:val="000000" w:themeColor="text1"/>
          <w:highlight w:val="none"/>
        </w:rPr>
        <w:instrText xml:space="preserve"> HYPERLINK "http://www.yjcg.cc/index.php?c=content&amp;a=list&amp;catid=14" \o "政府采购资料下载" </w:instrText>
      </w:r>
      <w:r>
        <w:rPr>
          <w:color w:val="000000" w:themeColor="text1"/>
          <w:highlight w:val="none"/>
        </w:rPr>
        <w:fldChar w:fldCharType="separate"/>
      </w:r>
      <w:r>
        <w:rPr>
          <w:rStyle w:val="54"/>
          <w:rFonts w:hint="eastAsia" w:ascii="宋体" w:hAnsi="宋体"/>
          <w:bCs/>
          <w:color w:val="000000" w:themeColor="text1"/>
          <w:highlight w:val="none"/>
        </w:rPr>
        <w:t>政府采购资料</w:t>
      </w:r>
      <w:r>
        <w:rPr>
          <w:rStyle w:val="54"/>
          <w:rFonts w:hint="eastAsia" w:ascii="宋体" w:hAnsi="宋体"/>
          <w:bCs/>
          <w:color w:val="000000" w:themeColor="text1"/>
          <w:highlight w:val="none"/>
        </w:rPr>
        <w:fldChar w:fldCharType="end"/>
      </w:r>
      <w:r>
        <w:rPr>
          <w:rFonts w:hint="eastAsia" w:ascii="宋体" w:hAnsi="宋体"/>
          <w:bCs/>
          <w:color w:val="000000" w:themeColor="text1"/>
          <w:szCs w:val="21"/>
          <w:highlight w:val="none"/>
        </w:rPr>
        <w:t>下载专区）加盖公章到指定地址购买。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numPr>
          <w:ilvl w:val="0"/>
          <w:numId w:val="7"/>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报价截止时间、开标时间及地点</w:t>
      </w:r>
    </w:p>
    <w:p>
      <w:pPr>
        <w:widowControl/>
        <w:spacing w:line="360" w:lineRule="auto"/>
        <w:ind w:left="318" w:firstLine="105" w:firstLineChars="50"/>
        <w:jc w:val="left"/>
        <w:rPr>
          <w:rFonts w:hint="eastAsia" w:ascii="宋体" w:hAnsi="宋体" w:eastAsia="宋体" w:cs="宋体"/>
          <w:color w:val="000000" w:themeColor="text1"/>
          <w:kern w:val="0"/>
          <w:szCs w:val="21"/>
          <w:highlight w:val="none"/>
        </w:rPr>
      </w:pPr>
      <w:r>
        <w:rPr>
          <w:rFonts w:hint="eastAsia" w:ascii="宋体" w:hAnsi="宋体" w:cs="宋体"/>
          <w:color w:val="000000" w:themeColor="text1"/>
          <w:kern w:val="0"/>
          <w:szCs w:val="21"/>
          <w:highlight w:val="none"/>
        </w:rPr>
        <w:t xml:space="preserve"> 1.</w:t>
      </w:r>
      <w:r>
        <w:rPr>
          <w:rFonts w:hint="eastAsia" w:ascii="宋体" w:hAnsi="宋体" w:cs="Tahoma"/>
          <w:color w:val="000000" w:themeColor="text1"/>
          <w:highlight w:val="none"/>
        </w:rPr>
        <w:t>递交谈判响应文件</w:t>
      </w:r>
      <w:r>
        <w:rPr>
          <w:rFonts w:hint="eastAsia" w:ascii="宋体" w:hAnsi="宋体" w:eastAsia="宋体" w:cs="宋体"/>
          <w:color w:val="000000" w:themeColor="text1"/>
          <w:kern w:val="0"/>
          <w:szCs w:val="21"/>
          <w:highlight w:val="none"/>
        </w:rPr>
        <w:t>时间：</w:t>
      </w:r>
      <w:r>
        <w:rPr>
          <w:rFonts w:hint="eastAsia" w:ascii="宋体" w:hAnsi="宋体" w:eastAsia="宋体" w:cs="宋体"/>
          <w:color w:val="000000" w:themeColor="text1"/>
          <w:kern w:val="2"/>
          <w:sz w:val="21"/>
          <w:szCs w:val="24"/>
          <w:highlight w:val="none"/>
          <w:lang w:val="en-US" w:eastAsia="zh-CN" w:bidi="ar-SA"/>
        </w:rPr>
        <w:t>2023年9月20日</w:t>
      </w:r>
      <w:r>
        <w:rPr>
          <w:rFonts w:hint="eastAsia" w:ascii="宋体" w:hAnsi="宋体" w:eastAsia="宋体" w:cs="宋体"/>
          <w:color w:val="000000" w:themeColor="text1"/>
          <w:kern w:val="0"/>
          <w:szCs w:val="21"/>
          <w:highlight w:val="none"/>
        </w:rPr>
        <w:t>9:</w:t>
      </w:r>
      <w:r>
        <w:rPr>
          <w:rFonts w:hint="eastAsia" w:ascii="宋体" w:hAnsi="宋体" w:eastAsia="宋体" w:cs="宋体"/>
          <w:color w:val="000000" w:themeColor="text1"/>
          <w:kern w:val="0"/>
          <w:szCs w:val="21"/>
          <w:highlight w:val="none"/>
          <w:lang w:val="en-US" w:eastAsia="zh-CN"/>
        </w:rPr>
        <w:t>0</w:t>
      </w:r>
      <w:r>
        <w:rPr>
          <w:rFonts w:hint="eastAsia" w:ascii="宋体" w:hAnsi="宋体" w:eastAsia="宋体" w:cs="宋体"/>
          <w:color w:val="000000" w:themeColor="text1"/>
          <w:kern w:val="0"/>
          <w:szCs w:val="21"/>
          <w:highlight w:val="none"/>
        </w:rPr>
        <w:t>0-</w:t>
      </w:r>
      <w:r>
        <w:rPr>
          <w:rFonts w:hint="eastAsia" w:ascii="宋体" w:hAnsi="宋体" w:eastAsia="宋体" w:cs="宋体"/>
          <w:color w:val="000000" w:themeColor="text1"/>
          <w:kern w:val="0"/>
          <w:szCs w:val="21"/>
          <w:highlight w:val="none"/>
          <w:lang w:val="en-US" w:eastAsia="zh-CN"/>
        </w:rPr>
        <w:t>09</w:t>
      </w:r>
      <w:r>
        <w:rPr>
          <w:rFonts w:hint="eastAsia" w:ascii="宋体" w:hAnsi="宋体" w:eastAsia="宋体" w:cs="宋体"/>
          <w:color w:val="000000" w:themeColor="text1"/>
          <w:kern w:val="0"/>
          <w:szCs w:val="21"/>
          <w:highlight w:val="none"/>
        </w:rPr>
        <w:t>:</w:t>
      </w:r>
      <w:r>
        <w:rPr>
          <w:rFonts w:hint="eastAsia" w:ascii="宋体" w:hAnsi="宋体" w:eastAsia="宋体" w:cs="宋体"/>
          <w:color w:val="000000" w:themeColor="text1"/>
          <w:kern w:val="0"/>
          <w:szCs w:val="21"/>
          <w:highlight w:val="none"/>
          <w:lang w:val="en-US" w:eastAsia="zh-CN"/>
        </w:rPr>
        <w:t>3</w:t>
      </w:r>
      <w:r>
        <w:rPr>
          <w:rFonts w:hint="eastAsia" w:ascii="宋体" w:hAnsi="宋体" w:eastAsia="宋体" w:cs="宋体"/>
          <w:color w:val="000000" w:themeColor="text1"/>
          <w:kern w:val="0"/>
          <w:szCs w:val="21"/>
          <w:highlight w:val="none"/>
        </w:rPr>
        <w:t>0 (北京时间)。</w:t>
      </w:r>
    </w:p>
    <w:p>
      <w:pPr>
        <w:widowControl/>
        <w:spacing w:line="360" w:lineRule="auto"/>
        <w:ind w:left="632" w:leftChars="151" w:hanging="315" w:hangingChars="150"/>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2.</w:t>
      </w:r>
      <w:r>
        <w:rPr>
          <w:rFonts w:hint="eastAsia" w:ascii="宋体" w:hAnsi="宋体" w:eastAsia="宋体" w:cs="宋体"/>
          <w:color w:val="000000" w:themeColor="text1"/>
          <w:highlight w:val="none"/>
        </w:rPr>
        <w:t>递交谈判响应文件</w:t>
      </w:r>
      <w:r>
        <w:rPr>
          <w:rFonts w:hint="eastAsia" w:ascii="宋体" w:hAnsi="宋体" w:eastAsia="宋体" w:cs="宋体"/>
          <w:color w:val="000000" w:themeColor="text1"/>
          <w:kern w:val="0"/>
          <w:szCs w:val="21"/>
          <w:highlight w:val="none"/>
        </w:rPr>
        <w:t>地点：</w:t>
      </w:r>
      <w:r>
        <w:rPr>
          <w:rFonts w:hint="eastAsia" w:ascii="宋体" w:hAnsi="宋体" w:eastAsia="宋体" w:cs="宋体"/>
          <w:color w:val="000000" w:themeColor="text1"/>
          <w:szCs w:val="21"/>
          <w:highlight w:val="none"/>
        </w:rPr>
        <w:t>阳江市江城区猫山四街33号A座2楼</w:t>
      </w:r>
      <w:r>
        <w:rPr>
          <w:rFonts w:hint="eastAsia" w:ascii="宋体" w:hAnsi="宋体" w:eastAsia="宋体" w:cs="宋体"/>
          <w:color w:val="000000" w:themeColor="text1"/>
          <w:szCs w:val="21"/>
          <w:highlight w:val="none"/>
          <w:lang w:val="en-US" w:eastAsia="zh-CN"/>
        </w:rPr>
        <w:t>201</w:t>
      </w:r>
      <w:r>
        <w:rPr>
          <w:rFonts w:hint="eastAsia" w:ascii="宋体" w:hAnsi="宋体" w:eastAsia="宋体" w:cs="宋体"/>
          <w:color w:val="000000" w:themeColor="text1"/>
          <w:kern w:val="0"/>
          <w:szCs w:val="21"/>
          <w:highlight w:val="none"/>
        </w:rPr>
        <w:t>开标室。</w:t>
      </w:r>
    </w:p>
    <w:p>
      <w:pPr>
        <w:widowControl/>
        <w:spacing w:line="360" w:lineRule="auto"/>
        <w:ind w:left="318"/>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3.</w:t>
      </w:r>
      <w:r>
        <w:rPr>
          <w:rFonts w:hint="eastAsia" w:ascii="宋体" w:hAnsi="宋体" w:eastAsia="宋体" w:cs="宋体"/>
          <w:color w:val="000000" w:themeColor="text1"/>
          <w:highlight w:val="none"/>
        </w:rPr>
        <w:t>报价截止时间（递交谈判响应文件截止时间）</w:t>
      </w:r>
      <w:r>
        <w:rPr>
          <w:rFonts w:hint="eastAsia" w:ascii="宋体" w:hAnsi="宋体" w:eastAsia="宋体" w:cs="宋体"/>
          <w:color w:val="000000" w:themeColor="text1"/>
          <w:kern w:val="0"/>
          <w:szCs w:val="21"/>
          <w:highlight w:val="none"/>
        </w:rPr>
        <w:t>：</w:t>
      </w:r>
      <w:r>
        <w:rPr>
          <w:rFonts w:hint="eastAsia" w:ascii="宋体" w:hAnsi="宋体" w:eastAsia="宋体" w:cs="宋体"/>
          <w:color w:val="000000" w:themeColor="text1"/>
          <w:kern w:val="2"/>
          <w:sz w:val="21"/>
          <w:szCs w:val="24"/>
          <w:highlight w:val="none"/>
          <w:lang w:val="en-US" w:eastAsia="zh-CN" w:bidi="ar-SA"/>
        </w:rPr>
        <w:t>2023年9月20日</w:t>
      </w:r>
      <w:r>
        <w:rPr>
          <w:rFonts w:hint="eastAsia" w:ascii="宋体" w:hAnsi="宋体" w:eastAsia="宋体" w:cs="宋体"/>
          <w:color w:val="000000" w:themeColor="text1"/>
          <w:kern w:val="0"/>
          <w:szCs w:val="21"/>
          <w:highlight w:val="none"/>
          <w:lang w:val="en-US" w:eastAsia="zh-CN"/>
        </w:rPr>
        <w:t>09</w:t>
      </w:r>
      <w:r>
        <w:rPr>
          <w:rFonts w:hint="eastAsia" w:ascii="宋体" w:hAnsi="宋体" w:eastAsia="宋体" w:cs="宋体"/>
          <w:color w:val="000000" w:themeColor="text1"/>
          <w:kern w:val="0"/>
          <w:szCs w:val="21"/>
          <w:highlight w:val="none"/>
        </w:rPr>
        <w:t>:</w:t>
      </w:r>
      <w:r>
        <w:rPr>
          <w:rFonts w:hint="eastAsia" w:ascii="宋体" w:hAnsi="宋体" w:eastAsia="宋体" w:cs="宋体"/>
          <w:color w:val="000000" w:themeColor="text1"/>
          <w:kern w:val="0"/>
          <w:szCs w:val="21"/>
          <w:highlight w:val="none"/>
          <w:lang w:val="en-US" w:eastAsia="zh-CN"/>
        </w:rPr>
        <w:t>3</w:t>
      </w:r>
      <w:r>
        <w:rPr>
          <w:rFonts w:hint="eastAsia" w:ascii="宋体" w:hAnsi="宋体" w:eastAsia="宋体" w:cs="宋体"/>
          <w:color w:val="000000" w:themeColor="text1"/>
          <w:kern w:val="0"/>
          <w:szCs w:val="21"/>
          <w:highlight w:val="none"/>
        </w:rPr>
        <w:t>0(北京时间)。</w:t>
      </w:r>
    </w:p>
    <w:p>
      <w:pPr>
        <w:widowControl/>
        <w:spacing w:line="360" w:lineRule="auto"/>
        <w:ind w:left="318" w:firstLine="105" w:firstLineChars="50"/>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4.</w:t>
      </w:r>
      <w:r>
        <w:rPr>
          <w:rFonts w:hint="eastAsia" w:ascii="宋体" w:hAnsi="宋体" w:eastAsia="宋体" w:cs="宋体"/>
          <w:color w:val="000000" w:themeColor="text1"/>
          <w:highlight w:val="none"/>
        </w:rPr>
        <w:t>谈判开始时间</w:t>
      </w:r>
      <w:r>
        <w:rPr>
          <w:rFonts w:hint="eastAsia" w:ascii="宋体" w:hAnsi="宋体" w:eastAsia="宋体" w:cs="宋体"/>
          <w:color w:val="000000" w:themeColor="text1"/>
          <w:kern w:val="0"/>
          <w:szCs w:val="21"/>
          <w:highlight w:val="none"/>
        </w:rPr>
        <w:t>：</w:t>
      </w:r>
      <w:r>
        <w:rPr>
          <w:rFonts w:hint="eastAsia" w:ascii="宋体" w:hAnsi="宋体" w:eastAsia="宋体" w:cs="宋体"/>
          <w:color w:val="000000" w:themeColor="text1"/>
          <w:kern w:val="2"/>
          <w:sz w:val="21"/>
          <w:szCs w:val="24"/>
          <w:highlight w:val="none"/>
          <w:lang w:val="en-US" w:eastAsia="zh-CN" w:bidi="ar-SA"/>
        </w:rPr>
        <w:t>2023年9月20日</w:t>
      </w:r>
      <w:r>
        <w:rPr>
          <w:rFonts w:hint="eastAsia" w:ascii="宋体" w:hAnsi="宋体" w:eastAsia="宋体" w:cs="宋体"/>
          <w:color w:val="000000" w:themeColor="text1"/>
          <w:kern w:val="0"/>
          <w:szCs w:val="21"/>
          <w:highlight w:val="none"/>
          <w:lang w:val="en-US" w:eastAsia="zh-CN"/>
        </w:rPr>
        <w:t>09</w:t>
      </w:r>
      <w:r>
        <w:rPr>
          <w:rFonts w:hint="eastAsia" w:ascii="宋体" w:hAnsi="宋体" w:eastAsia="宋体" w:cs="宋体"/>
          <w:color w:val="000000" w:themeColor="text1"/>
          <w:kern w:val="0"/>
          <w:szCs w:val="21"/>
          <w:highlight w:val="none"/>
        </w:rPr>
        <w:t>:</w:t>
      </w:r>
      <w:r>
        <w:rPr>
          <w:rFonts w:hint="eastAsia" w:ascii="宋体" w:hAnsi="宋体" w:eastAsia="宋体" w:cs="宋体"/>
          <w:color w:val="000000" w:themeColor="text1"/>
          <w:kern w:val="0"/>
          <w:szCs w:val="21"/>
          <w:highlight w:val="none"/>
          <w:lang w:val="en-US" w:eastAsia="zh-CN"/>
        </w:rPr>
        <w:t>3</w:t>
      </w:r>
      <w:r>
        <w:rPr>
          <w:rFonts w:hint="eastAsia" w:ascii="宋体" w:hAnsi="宋体" w:eastAsia="宋体" w:cs="宋体"/>
          <w:color w:val="000000" w:themeColor="text1"/>
          <w:kern w:val="0"/>
          <w:szCs w:val="21"/>
          <w:highlight w:val="none"/>
        </w:rPr>
        <w:t>0(北京时间)。</w:t>
      </w:r>
    </w:p>
    <w:p>
      <w:pPr>
        <w:widowControl/>
        <w:spacing w:line="360" w:lineRule="auto"/>
        <w:ind w:left="318"/>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5.</w:t>
      </w:r>
      <w:bookmarkStart w:id="258" w:name="_GoBack"/>
      <w:bookmarkEnd w:id="258"/>
      <w:r>
        <w:rPr>
          <w:rFonts w:hint="eastAsia" w:ascii="宋体" w:hAnsi="宋体" w:eastAsia="宋体" w:cs="宋体"/>
          <w:color w:val="000000" w:themeColor="text1"/>
          <w:highlight w:val="none"/>
        </w:rPr>
        <w:t>谈判</w:t>
      </w:r>
      <w:r>
        <w:rPr>
          <w:rFonts w:hint="eastAsia" w:ascii="宋体" w:hAnsi="宋体" w:eastAsia="宋体" w:cs="宋体"/>
          <w:color w:val="000000" w:themeColor="text1"/>
          <w:kern w:val="0"/>
          <w:szCs w:val="21"/>
          <w:highlight w:val="none"/>
        </w:rPr>
        <w:t>地点：</w:t>
      </w:r>
      <w:r>
        <w:rPr>
          <w:rFonts w:hint="eastAsia" w:ascii="宋体" w:hAnsi="宋体" w:eastAsia="宋体" w:cs="宋体"/>
          <w:color w:val="000000" w:themeColor="text1"/>
          <w:szCs w:val="21"/>
          <w:highlight w:val="none"/>
        </w:rPr>
        <w:t>阳江市江城区猫山四街33号A座2楼</w:t>
      </w:r>
      <w:r>
        <w:rPr>
          <w:rFonts w:hint="eastAsia" w:ascii="宋体" w:hAnsi="宋体" w:eastAsia="宋体" w:cs="宋体"/>
          <w:color w:val="000000" w:themeColor="text1"/>
          <w:szCs w:val="21"/>
          <w:highlight w:val="none"/>
          <w:lang w:val="en-US" w:eastAsia="zh-CN"/>
        </w:rPr>
        <w:t>202</w:t>
      </w:r>
      <w:r>
        <w:rPr>
          <w:rFonts w:hint="eastAsia" w:ascii="宋体" w:hAnsi="宋体" w:eastAsia="宋体" w:cs="宋体"/>
          <w:color w:val="000000" w:themeColor="text1"/>
          <w:kern w:val="0"/>
          <w:szCs w:val="21"/>
          <w:highlight w:val="none"/>
        </w:rPr>
        <w:t>评标室。</w:t>
      </w:r>
    </w:p>
    <w:p>
      <w:pPr>
        <w:widowControl/>
        <w:numPr>
          <w:ilvl w:val="0"/>
          <w:numId w:val="7"/>
        </w:numPr>
        <w:tabs>
          <w:tab w:val="left" w:pos="502"/>
          <w:tab w:val="left" w:pos="737"/>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采购人、代理采购机构的名称、地址和联系方式</w:t>
      </w:r>
    </w:p>
    <w:p>
      <w:pPr>
        <w:widowControl/>
        <w:numPr>
          <w:ilvl w:val="0"/>
          <w:numId w:val="8"/>
        </w:numPr>
        <w:tabs>
          <w:tab w:val="left" w:pos="502"/>
          <w:tab w:val="left" w:pos="900"/>
          <w:tab w:val="clear" w:pos="363"/>
        </w:tabs>
        <w:adjustRightInd w:val="0"/>
        <w:snapToGrid w:val="0"/>
        <w:spacing w:line="360" w:lineRule="auto"/>
        <w:ind w:firstLine="177"/>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阳江市江城区财政局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地    址：</w:t>
      </w:r>
      <w:r>
        <w:rPr>
          <w:rFonts w:hint="eastAsia" w:ascii="宋体" w:hAnsi="宋体" w:eastAsia="宋体" w:cs="宋体"/>
          <w:color w:val="000000" w:themeColor="text1"/>
          <w:kern w:val="28"/>
          <w:szCs w:val="21"/>
          <w:highlight w:val="none"/>
          <w:lang w:val="en-US" w:eastAsia="zh-CN"/>
        </w:rPr>
        <w:t>阳江市江城区振阳街与益阳街交汇处</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人：陈俊科</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联系电话：0662-3103354</w:t>
      </w:r>
    </w:p>
    <w:p>
      <w:pPr>
        <w:widowControl/>
        <w:numPr>
          <w:ilvl w:val="0"/>
          <w:numId w:val="8"/>
        </w:numPr>
        <w:tabs>
          <w:tab w:val="left" w:pos="502"/>
          <w:tab w:val="left" w:pos="900"/>
          <w:tab w:val="clear" w:pos="363"/>
        </w:tabs>
        <w:adjustRightInd w:val="0"/>
        <w:snapToGrid w:val="0"/>
        <w:spacing w:line="360" w:lineRule="auto"/>
        <w:ind w:firstLine="177"/>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代理采购机构联系方式：                   </w:t>
      </w:r>
      <w:r>
        <w:rPr>
          <w:rFonts w:hint="eastAsia" w:ascii="宋体" w:hAnsi="宋体" w:eastAsia="宋体" w:cs="宋体"/>
          <w:color w:val="000000" w:themeColor="text1"/>
          <w:szCs w:val="21"/>
          <w:highlight w:val="none"/>
          <w:lang w:val="zh-CN"/>
        </w:rPr>
        <w:t>　　　　　　　</w:t>
      </w:r>
    </w:p>
    <w:p>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rPr>
      </w:pPr>
      <w:bookmarkStart w:id="10" w:name="_Toc353522387"/>
      <w:bookmarkStart w:id="11" w:name="_Toc351985908"/>
      <w:bookmarkStart w:id="12" w:name="_Toc329242667"/>
      <w:bookmarkStart w:id="13" w:name="_Toc351988704"/>
      <w:bookmarkStart w:id="14" w:name="_Toc351986193"/>
      <w:bookmarkStart w:id="15" w:name="_Toc351990140"/>
      <w:bookmarkStart w:id="16" w:name="_Toc357151163"/>
      <w:bookmarkStart w:id="17" w:name="_Toc351987763"/>
      <w:bookmarkStart w:id="18" w:name="_Toc351987959"/>
      <w:bookmarkStart w:id="19" w:name="_Toc351986013"/>
      <w:bookmarkStart w:id="20" w:name="_Toc369180017"/>
      <w:r>
        <w:rPr>
          <w:rFonts w:hint="eastAsia" w:ascii="宋体" w:hAnsi="宋体" w:eastAsia="宋体" w:cs="宋体"/>
          <w:color w:val="000000" w:themeColor="text1"/>
          <w:szCs w:val="21"/>
          <w:highlight w:val="none"/>
        </w:rPr>
        <w:t>名  称：</w:t>
      </w:r>
      <w:r>
        <w:rPr>
          <w:rFonts w:hint="eastAsia" w:ascii="宋体" w:hAnsi="宋体" w:eastAsia="宋体" w:cs="宋体"/>
          <w:color w:val="000000" w:themeColor="text1"/>
          <w:szCs w:val="21"/>
          <w:highlight w:val="none"/>
          <w:lang w:eastAsia="zh-CN"/>
        </w:rPr>
        <w:t>广东业信招标有限公司</w:t>
      </w:r>
      <w:r>
        <w:rPr>
          <w:rFonts w:hint="eastAsia" w:ascii="宋体" w:hAnsi="宋体" w:eastAsia="宋体" w:cs="宋体"/>
          <w:color w:val="000000" w:themeColor="text1"/>
          <w:szCs w:val="21"/>
          <w:highlight w:val="none"/>
        </w:rPr>
        <w:t xml:space="preserve">   </w:t>
      </w:r>
    </w:p>
    <w:p>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联系人：</w:t>
      </w:r>
      <w:r>
        <w:rPr>
          <w:rFonts w:hint="eastAsia" w:ascii="宋体" w:hAnsi="宋体" w:eastAsia="宋体" w:cs="宋体"/>
          <w:color w:val="000000" w:themeColor="text1"/>
          <w:szCs w:val="21"/>
          <w:highlight w:val="none"/>
          <w:lang w:val="en-US" w:eastAsia="zh-CN"/>
        </w:rPr>
        <w:t>谢小姐</w:t>
      </w:r>
      <w:r>
        <w:rPr>
          <w:rFonts w:hint="eastAsia" w:ascii="宋体" w:hAnsi="宋体" w:eastAsia="宋体" w:cs="宋体"/>
          <w:color w:val="000000" w:themeColor="text1"/>
          <w:szCs w:val="21"/>
          <w:highlight w:val="none"/>
        </w:rPr>
        <w:t xml:space="preserve">　　　　         </w:t>
      </w:r>
    </w:p>
    <w:p>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电话：0662-3167266                 </w:t>
      </w:r>
    </w:p>
    <w:p>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传真：0662-2669666　　　　　       </w:t>
      </w:r>
    </w:p>
    <w:p>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lang w:val="zh-CN"/>
        </w:rPr>
      </w:pPr>
      <w:r>
        <w:rPr>
          <w:rFonts w:hint="eastAsia" w:ascii="宋体" w:hAnsi="宋体" w:eastAsia="宋体" w:cs="宋体"/>
          <w:color w:val="000000" w:themeColor="text1"/>
          <w:szCs w:val="21"/>
          <w:highlight w:val="none"/>
        </w:rPr>
        <w:t>联系地址：阳江市江城区猫山四街33号A座2楼</w:t>
      </w:r>
      <w:r>
        <w:rPr>
          <w:rFonts w:hint="eastAsia" w:ascii="宋体" w:hAnsi="宋体" w:eastAsia="宋体" w:cs="宋体"/>
          <w:color w:val="000000" w:themeColor="text1"/>
          <w:szCs w:val="21"/>
          <w:highlight w:val="none"/>
          <w:lang w:val="zh-CN"/>
        </w:rPr>
        <w:t xml:space="preserve">　　　　　　           </w:t>
      </w:r>
    </w:p>
    <w:p>
      <w:pPr>
        <w:tabs>
          <w:tab w:val="left" w:pos="735"/>
          <w:tab w:val="left" w:pos="4680"/>
        </w:tabs>
        <w:adjustRightInd w:val="0"/>
        <w:snapToGrid w:val="0"/>
        <w:spacing w:line="360" w:lineRule="auto"/>
        <w:ind w:firstLine="898" w:firstLineChars="428"/>
        <w:rPr>
          <w:rFonts w:hint="eastAsia" w:ascii="宋体" w:hAnsi="宋体" w:eastAsia="宋体" w:cs="宋体"/>
          <w:color w:val="000000" w:themeColor="text1"/>
          <w:szCs w:val="21"/>
          <w:highlight w:val="none"/>
          <w:u w:val="single"/>
        </w:rPr>
      </w:pPr>
      <w:r>
        <w:rPr>
          <w:rFonts w:hint="eastAsia" w:ascii="宋体" w:hAnsi="宋体" w:eastAsia="宋体" w:cs="宋体"/>
          <w:color w:val="000000" w:themeColor="text1"/>
          <w:szCs w:val="21"/>
          <w:highlight w:val="none"/>
        </w:rPr>
        <w:t>网址：http://www.yjcg.cc</w:t>
      </w:r>
    </w:p>
    <w:p>
      <w:pPr>
        <w:spacing w:line="360" w:lineRule="auto"/>
        <w:ind w:firstLine="3255" w:firstLineChars="1550"/>
        <w:rPr>
          <w:rFonts w:hint="eastAsia" w:ascii="宋体" w:hAnsi="宋体" w:eastAsia="宋体" w:cs="宋体"/>
          <w:color w:val="000000" w:themeColor="text1"/>
          <w:szCs w:val="21"/>
          <w:highlight w:val="none"/>
        </w:rPr>
      </w:pPr>
    </w:p>
    <w:p>
      <w:pPr>
        <w:spacing w:line="360" w:lineRule="auto"/>
        <w:ind w:firstLine="3255" w:firstLineChars="1550"/>
        <w:rPr>
          <w:rFonts w:hint="eastAsia" w:ascii="宋体" w:hAnsi="宋体" w:eastAsia="宋体" w:cs="宋体"/>
          <w:color w:val="000000" w:themeColor="text1"/>
          <w:szCs w:val="21"/>
          <w:highlight w:val="none"/>
        </w:rPr>
      </w:pPr>
    </w:p>
    <w:p>
      <w:pPr>
        <w:spacing w:line="360" w:lineRule="auto"/>
        <w:ind w:firstLine="3255" w:firstLineChars="1550"/>
        <w:rPr>
          <w:rFonts w:hint="eastAsia" w:ascii="宋体" w:hAnsi="宋体" w:eastAsia="宋体" w:cs="宋体"/>
          <w:color w:val="000000" w:themeColor="text1"/>
          <w:szCs w:val="21"/>
          <w:highlight w:val="none"/>
        </w:rPr>
      </w:pPr>
    </w:p>
    <w:p>
      <w:pPr>
        <w:spacing w:line="360" w:lineRule="auto"/>
        <w:ind w:firstLine="3255" w:firstLineChars="1550"/>
        <w:rPr>
          <w:rFonts w:hint="eastAsia" w:ascii="宋体" w:hAnsi="宋体" w:eastAsia="宋体" w:cs="宋体"/>
          <w:color w:val="000000" w:themeColor="text1"/>
          <w:szCs w:val="21"/>
          <w:highlight w:val="none"/>
        </w:rPr>
      </w:pPr>
    </w:p>
    <w:p>
      <w:pPr>
        <w:spacing w:line="360" w:lineRule="auto"/>
        <w:ind w:left="6615" w:leftChars="2450" w:hanging="1470" w:hangingChars="700"/>
        <w:jc w:val="righ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广东业信招标有限公司</w:t>
      </w:r>
      <w:r>
        <w:rPr>
          <w:rFonts w:hint="eastAsia" w:ascii="宋体" w:hAnsi="宋体" w:eastAsia="宋体" w:cs="宋体"/>
          <w:color w:val="000000" w:themeColor="text1"/>
          <w:szCs w:val="21"/>
          <w:highlight w:val="none"/>
        </w:rPr>
        <w:t xml:space="preserve">  </w:t>
      </w:r>
    </w:p>
    <w:p>
      <w:pPr>
        <w:spacing w:line="360" w:lineRule="auto"/>
        <w:ind w:left="6615" w:leftChars="2450" w:hanging="1470" w:hangingChars="700"/>
        <w:jc w:val="righ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2023年9月8日</w:t>
      </w:r>
    </w:p>
    <w:bookmarkEnd w:id="10"/>
    <w:bookmarkEnd w:id="11"/>
    <w:bookmarkEnd w:id="12"/>
    <w:bookmarkEnd w:id="13"/>
    <w:bookmarkEnd w:id="14"/>
    <w:bookmarkEnd w:id="15"/>
    <w:bookmarkEnd w:id="16"/>
    <w:bookmarkEnd w:id="17"/>
    <w:bookmarkEnd w:id="18"/>
    <w:bookmarkEnd w:id="19"/>
    <w:bookmarkEnd w:id="20"/>
    <w:p>
      <w:pPr>
        <w:rPr>
          <w:rFonts w:hint="eastAsia" w:ascii="宋体" w:hAnsi="宋体"/>
          <w:color w:val="000000" w:themeColor="text1"/>
          <w:sz w:val="21"/>
          <w:szCs w:val="21"/>
          <w:highlight w:val="none"/>
        </w:rPr>
      </w:pPr>
      <w:bookmarkStart w:id="21" w:name="_Toc16126"/>
      <w:r>
        <w:rPr>
          <w:rFonts w:hint="eastAsia" w:ascii="宋体" w:hAnsi="宋体"/>
          <w:color w:val="000000" w:themeColor="text1"/>
          <w:sz w:val="21"/>
          <w:szCs w:val="21"/>
          <w:highlight w:val="none"/>
        </w:rPr>
        <w:br w:type="page"/>
      </w:r>
    </w:p>
    <w:p>
      <w:pPr>
        <w:pStyle w:val="3"/>
        <w:numPr>
          <w:ilvl w:val="0"/>
          <w:numId w:val="0"/>
        </w:numPr>
        <w:spacing w:afterLines="50" w:line="390" w:lineRule="exact"/>
        <w:jc w:val="center"/>
        <w:rPr>
          <w:rFonts w:ascii="宋体" w:hAnsi="宋体"/>
          <w:color w:val="000000" w:themeColor="text1"/>
          <w:sz w:val="21"/>
          <w:szCs w:val="21"/>
          <w:highlight w:val="none"/>
        </w:rPr>
      </w:pPr>
      <w:bookmarkStart w:id="22" w:name="_Toc23735"/>
      <w:r>
        <w:rPr>
          <w:rFonts w:hint="eastAsia" w:ascii="宋体" w:hAnsi="宋体"/>
          <w:color w:val="000000" w:themeColor="text1"/>
          <w:sz w:val="21"/>
          <w:szCs w:val="21"/>
          <w:highlight w:val="none"/>
        </w:rPr>
        <w:t xml:space="preserve">第二部分 </w:t>
      </w:r>
      <w:bookmarkStart w:id="23" w:name="_Hlt23321722"/>
      <w:bookmarkEnd w:id="23"/>
      <w:bookmarkStart w:id="24" w:name="_Toc330459949"/>
      <w:bookmarkStart w:id="25" w:name="_Toc333238573"/>
      <w:bookmarkStart w:id="26" w:name="_Toc75570886"/>
      <w:bookmarkStart w:id="27" w:name="_Toc333237614"/>
      <w:bookmarkStart w:id="28" w:name="_Toc333935621"/>
      <w:bookmarkStart w:id="29" w:name="_Toc333935280"/>
      <w:bookmarkStart w:id="30" w:name="_Toc333237725"/>
      <w:r>
        <w:rPr>
          <w:rFonts w:hint="eastAsia" w:ascii="宋体" w:hAnsi="宋体"/>
          <w:color w:val="000000" w:themeColor="text1"/>
          <w:sz w:val="21"/>
          <w:szCs w:val="21"/>
          <w:highlight w:val="none"/>
        </w:rPr>
        <w:t>采购项目内容</w:t>
      </w:r>
      <w:bookmarkEnd w:id="21"/>
      <w:bookmarkEnd w:id="22"/>
    </w:p>
    <w:bookmarkEnd w:id="24"/>
    <w:bookmarkEnd w:id="25"/>
    <w:bookmarkEnd w:id="26"/>
    <w:bookmarkEnd w:id="27"/>
    <w:bookmarkEnd w:id="28"/>
    <w:bookmarkEnd w:id="29"/>
    <w:bookmarkEnd w:id="30"/>
    <w:p>
      <w:pPr>
        <w:pStyle w:val="3"/>
        <w:numPr>
          <w:ilvl w:val="0"/>
          <w:numId w:val="0"/>
        </w:numPr>
        <w:autoSpaceDE w:val="0"/>
        <w:autoSpaceDN w:val="0"/>
        <w:adjustRightInd w:val="0"/>
        <w:snapToGrid w:val="0"/>
        <w:spacing w:beforeLines="100" w:after="0" w:line="360" w:lineRule="auto"/>
        <w:jc w:val="left"/>
        <w:textAlignment w:val="baseline"/>
        <w:rPr>
          <w:rFonts w:hint="default" w:ascii="宋体" w:hAnsi="宋体" w:eastAsia="宋体"/>
          <w:color w:val="000000" w:themeColor="text1"/>
          <w:sz w:val="21"/>
          <w:szCs w:val="21"/>
          <w:highlight w:val="none"/>
          <w:lang w:val="en-US" w:eastAsia="zh-CN"/>
        </w:rPr>
      </w:pPr>
      <w:bookmarkStart w:id="31" w:name="_Toc452826427"/>
      <w:bookmarkStart w:id="32" w:name="_Toc357151164"/>
      <w:bookmarkStart w:id="33" w:name="_Toc351986014"/>
      <w:bookmarkStart w:id="34" w:name="_Toc351987764"/>
      <w:bookmarkStart w:id="35" w:name="_Toc329242668"/>
      <w:bookmarkStart w:id="36" w:name="_Toc351987960"/>
      <w:bookmarkStart w:id="37" w:name="_Toc519865383"/>
      <w:bookmarkStart w:id="38" w:name="_Toc351986194"/>
      <w:bookmarkStart w:id="39" w:name="_Toc351990141"/>
      <w:bookmarkStart w:id="40" w:name="_Toc351985909"/>
      <w:bookmarkStart w:id="41" w:name="_Toc353522388"/>
      <w:bookmarkStart w:id="42" w:name="_Toc351988705"/>
      <w:bookmarkStart w:id="43" w:name="_Toc369180018"/>
      <w:bookmarkStart w:id="44" w:name="_Toc12430"/>
      <w:bookmarkStart w:id="45" w:name="_Toc3633"/>
      <w:r>
        <w:rPr>
          <w:rFonts w:hint="eastAsia" w:ascii="宋体" w:hAnsi="宋体"/>
          <w:color w:val="000000" w:themeColor="text1"/>
          <w:sz w:val="21"/>
          <w:szCs w:val="21"/>
          <w:highlight w:val="none"/>
        </w:rPr>
        <w:t>项目编号：</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olor w:val="000000" w:themeColor="text1"/>
          <w:sz w:val="21"/>
          <w:szCs w:val="21"/>
          <w:highlight w:val="none"/>
          <w:u w:val="single"/>
          <w:lang w:eastAsia="zh-CN"/>
        </w:rPr>
        <w:t>YXZB-20230620</w:t>
      </w:r>
      <w:bookmarkEnd w:id="44"/>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6" w:name="_Toc329242669"/>
      <w:bookmarkStart w:id="47" w:name="_Toc351987765"/>
      <w:bookmarkStart w:id="48" w:name="_Toc351987961"/>
      <w:bookmarkStart w:id="49" w:name="_Toc351988706"/>
      <w:bookmarkStart w:id="50" w:name="_Toc519865384"/>
      <w:bookmarkStart w:id="51" w:name="_Toc351990142"/>
      <w:bookmarkStart w:id="52" w:name="_Toc351986195"/>
      <w:bookmarkStart w:id="53" w:name="_Toc351985910"/>
      <w:bookmarkStart w:id="54" w:name="_Toc353522389"/>
      <w:bookmarkStart w:id="55" w:name="_Toc351986015"/>
      <w:bookmarkStart w:id="56" w:name="_Toc369180019"/>
      <w:bookmarkStart w:id="57" w:name="_Toc452826428"/>
      <w:bookmarkStart w:id="58" w:name="_Toc357151165"/>
      <w:bookmarkStart w:id="59" w:name="_Toc8277"/>
      <w:r>
        <w:rPr>
          <w:rFonts w:hint="eastAsia" w:ascii="宋体" w:hAnsi="宋体" w:eastAsia="宋体"/>
          <w:color w:val="000000" w:themeColor="text1"/>
          <w:kern w:val="44"/>
          <w:sz w:val="21"/>
          <w:szCs w:val="21"/>
          <w:highlight w:val="none"/>
        </w:rPr>
        <w:t>项目名称：</w:t>
      </w:r>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color w:val="000000" w:themeColor="text1"/>
          <w:kern w:val="44"/>
          <w:sz w:val="21"/>
          <w:szCs w:val="21"/>
          <w:highlight w:val="none"/>
          <w:u w:val="single"/>
          <w:lang w:eastAsia="zh-CN"/>
        </w:rPr>
        <w:t>2023年-2024年江城区机关和事业单位会议定点场所(增补)采购项目</w:t>
      </w:r>
      <w:bookmarkEnd w:id="59"/>
    </w:p>
    <w:p>
      <w:pPr>
        <w:pStyle w:val="4"/>
        <w:numPr>
          <w:ilvl w:val="0"/>
          <w:numId w:val="0"/>
        </w:numPr>
        <w:spacing w:beforeLines="150" w:after="0" w:line="360" w:lineRule="auto"/>
        <w:jc w:val="center"/>
        <w:rPr>
          <w:rFonts w:ascii="宋体" w:hAnsi="宋体" w:eastAsia="宋体"/>
          <w:color w:val="000000" w:themeColor="text1"/>
          <w:kern w:val="0"/>
          <w:sz w:val="21"/>
          <w:szCs w:val="21"/>
          <w:highlight w:val="none"/>
        </w:rPr>
      </w:pPr>
      <w:bookmarkStart w:id="60" w:name="_Toc7439"/>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45"/>
      <w:bookmarkEnd w:id="60"/>
    </w:p>
    <w:tbl>
      <w:tblPr>
        <w:tblStyle w:val="44"/>
        <w:tblpPr w:leftFromText="180" w:rightFromText="180" w:vertAnchor="text" w:tblpXSpec="center" w:tblpY="1"/>
        <w:tblOverlap w:val="never"/>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0"/>
        <w:gridCol w:w="1780"/>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73"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240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highlight w:val="none"/>
              </w:rPr>
            </w:pPr>
            <w:r>
              <w:rPr>
                <w:rFonts w:hint="eastAsia" w:ascii="宋体" w:hAnsi="宋体"/>
                <w:color w:val="000000" w:themeColor="text1"/>
                <w:szCs w:val="21"/>
                <w:highlight w:val="none"/>
              </w:rPr>
              <w:t>项  目</w:t>
            </w:r>
          </w:p>
        </w:tc>
        <w:tc>
          <w:tcPr>
            <w:tcW w:w="685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highlight w:val="none"/>
              </w:rPr>
            </w:pPr>
            <w:r>
              <w:rPr>
                <w:rFonts w:hint="eastAsia" w:ascii="宋体" w:hAnsi="宋体"/>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投标人投标资格要求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详见第一部份《谈判邀请书》。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
                <w:color w:val="000000" w:themeColor="text1"/>
                <w:szCs w:val="21"/>
                <w:highlight w:val="none"/>
                <w:lang w:eastAsia="zh-CN"/>
              </w:rPr>
            </w:pPr>
            <w:r>
              <w:rPr>
                <w:rFonts w:hint="eastAsia" w:ascii="宋体" w:hAnsi="宋体" w:eastAsia="宋体" w:cs="宋体"/>
                <w:b/>
                <w:color w:val="000000" w:themeColor="text1"/>
                <w:szCs w:val="21"/>
                <w:highlight w:val="none"/>
                <w:lang w:eastAsia="zh-CN"/>
              </w:rPr>
              <w:t>服务期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详见第一部份《谈判邀请书》。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投标报价包括</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zh-CN"/>
              </w:rPr>
              <w:t>投标报价应包括员工工资、保险福利、办公费用、法定税金、管理酬金及其他相关服务、全额含税发票、合同实施过程中应预见和不可预见费用等，完成合同规定责任和义务、达到合同目的的一切费用及企业利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4</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合同签订要求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ascii="宋体" w:hAnsi="宋体" w:cs="宋体"/>
                <w:color w:val="000000" w:themeColor="text1"/>
                <w:highlight w:val="none"/>
              </w:rPr>
              <w:t>采购合同由</w:t>
            </w:r>
            <w:r>
              <w:rPr>
                <w:rFonts w:hint="eastAsia" w:ascii="宋体" w:hAnsi="宋体" w:cs="宋体"/>
                <w:color w:val="000000" w:themeColor="text1"/>
                <w:highlight w:val="none"/>
                <w:lang w:val="en-US" w:eastAsia="zh-CN"/>
              </w:rPr>
              <w:t>成交供应商凭《成交通知书》</w:t>
            </w:r>
            <w:r>
              <w:rPr>
                <w:rFonts w:hint="eastAsia" w:ascii="宋体" w:hAnsi="宋体" w:cs="宋体"/>
                <w:color w:val="000000" w:themeColor="text1"/>
                <w:highlight w:val="none"/>
              </w:rPr>
              <w:t>与采购人双方签订，签订时间为《</w:t>
            </w:r>
            <w:r>
              <w:rPr>
                <w:rFonts w:hint="eastAsia" w:ascii="宋体" w:hAnsi="宋体" w:cs="宋体"/>
                <w:color w:val="000000" w:themeColor="text1"/>
                <w:highlight w:val="none"/>
                <w:lang w:val="en-US" w:eastAsia="zh-CN"/>
              </w:rPr>
              <w:t>成交</w:t>
            </w:r>
            <w:r>
              <w:rPr>
                <w:rFonts w:hint="eastAsia" w:ascii="宋体" w:hAnsi="宋体" w:cs="宋体"/>
                <w:color w:val="000000" w:themeColor="text1"/>
                <w:highlight w:val="none"/>
              </w:rPr>
              <w:t>通知书》发出之日起</w:t>
            </w:r>
            <w:r>
              <w:rPr>
                <w:rFonts w:hint="eastAsia" w:ascii="宋体" w:hAnsi="宋体" w:cs="宋体"/>
                <w:color w:val="000000" w:themeColor="text1"/>
                <w:highlight w:val="none"/>
                <w:lang w:val="en-US" w:eastAsia="zh-CN"/>
              </w:rPr>
              <w:t>30天</w:t>
            </w:r>
            <w:r>
              <w:rPr>
                <w:rFonts w:hint="eastAsia" w:ascii="宋体" w:hAnsi="宋体" w:cs="宋体"/>
                <w:color w:val="000000" w:themeColor="text1"/>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lang w:val="en-US" w:eastAsia="zh-CN"/>
              </w:rPr>
              <w:t>服务</w:t>
            </w:r>
            <w:r>
              <w:rPr>
                <w:rFonts w:hint="eastAsia"/>
                <w:b/>
                <w:color w:val="000000" w:themeColor="text1"/>
                <w:highlight w:val="none"/>
              </w:rPr>
              <w:t>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zh-CN"/>
              </w:rPr>
              <w:t>阳江市江城区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6</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付款方式</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color w:val="000000" w:themeColor="text1"/>
                <w:highlight w:val="none"/>
                <w:lang w:val="zh-CN"/>
              </w:rPr>
              <w:t>会议费实行一会一结算，会议场所由会议举办单位根据会议类别在定点范围内选择，会议费用由会议举办单位按照会议费管理办法规定向乙方（会议定点场所）支付，乙方（会议定点场所）应保存好所有结算单据，甲方（会议举办单位）有权根据会议费管理办法等检验结算单据</w:t>
            </w:r>
            <w:r>
              <w:rPr>
                <w:rFonts w:hint="eastAsia"/>
                <w:color w:val="000000" w:themeColor="text1"/>
                <w:highlight w:val="none"/>
                <w:lang w:val="zh-CN"/>
              </w:rPr>
              <w:t>，支付方式严格执行国库集中支付和公务卡使用规定，使用公务卡或银行转账结算，具备条件的，由举办单位财务部门直接与会议服务单位结算，禁止使用现金方式结算。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7</w:t>
            </w:r>
          </w:p>
        </w:tc>
        <w:tc>
          <w:tcPr>
            <w:tcW w:w="240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（应当以支票、汇票、本票或者金融机构、担保机构出具的保函等非现金形式提交）。</w:t>
            </w:r>
          </w:p>
          <w:p>
            <w:pPr>
              <w:spacing w:line="276" w:lineRule="auto"/>
              <w:jc w:val="center"/>
              <w:rPr>
                <w:rFonts w:hint="eastAsia" w:ascii="宋体" w:hAnsi="宋体" w:eastAsia="宋体" w:cs="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保证金数额</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szCs w:val="21"/>
                <w:highlight w:val="none"/>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eastAsia="zh-CN"/>
              </w:rPr>
              <w:t>壹万</w:t>
            </w:r>
            <w:r>
              <w:rPr>
                <w:rFonts w:hint="eastAsia" w:ascii="宋体" w:hAnsi="宋体"/>
                <w:b/>
                <w:color w:val="000000" w:themeColor="text1"/>
                <w:szCs w:val="21"/>
                <w:highlight w:val="none"/>
              </w:rPr>
              <w:t>元整（￥</w:t>
            </w:r>
            <w:r>
              <w:rPr>
                <w:rFonts w:hint="eastAsia" w:ascii="宋体" w:hAnsi="宋体"/>
                <w:b/>
                <w:color w:val="000000" w:themeColor="text1"/>
                <w:szCs w:val="21"/>
                <w:highlight w:val="none"/>
                <w:lang w:val="en-US" w:eastAsia="zh-CN"/>
              </w:rPr>
              <w:t>10</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hint="eastAsia" w:ascii="宋体" w:hAnsi="宋体" w:eastAsia="宋体" w:cs="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
                <w:bCs/>
                <w:color w:val="000000" w:themeColor="text1"/>
                <w:szCs w:val="21"/>
                <w:highlight w:val="none"/>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ascii="宋体" w:hAnsi="宋体"/>
                <w:color w:val="000000" w:themeColor="text1"/>
                <w:szCs w:val="21"/>
                <w:highlight w:val="none"/>
              </w:rPr>
            </w:pPr>
            <w:r>
              <w:rPr>
                <w:rFonts w:hint="eastAsia" w:ascii="宋体" w:hAnsi="宋体"/>
                <w:color w:val="000000" w:themeColor="text1"/>
                <w:szCs w:val="21"/>
                <w:highlight w:val="none"/>
              </w:rPr>
              <w:t>交纳时间</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val="en-US" w:eastAsia="zh-CN"/>
              </w:rPr>
              <w:t>8</w:t>
            </w:r>
          </w:p>
        </w:tc>
        <w:tc>
          <w:tcPr>
            <w:tcW w:w="2400"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spacing w:line="276" w:lineRule="auto"/>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cs="宋体"/>
                <w:bCs/>
                <w:color w:val="000000" w:themeColor="text1"/>
                <w:sz w:val="21"/>
                <w:szCs w:val="21"/>
                <w:highlight w:val="none"/>
                <w:lang w:val="en-US" w:eastAsia="zh-CN"/>
              </w:rPr>
              <w:t>成交</w:t>
            </w:r>
            <w:r>
              <w:rPr>
                <w:rFonts w:hint="eastAsia" w:ascii="宋体" w:hAnsi="宋体" w:eastAsia="宋体" w:cs="宋体"/>
                <w:bCs/>
                <w:color w:val="000000" w:themeColor="text1"/>
                <w:sz w:val="21"/>
                <w:szCs w:val="21"/>
                <w:highlight w:val="none"/>
              </w:rPr>
              <w:t>供应商</w:t>
            </w:r>
            <w:r>
              <w:rPr>
                <w:rFonts w:hint="eastAsia" w:ascii="宋体" w:hAnsi="宋体" w:cs="宋体"/>
                <w:bCs/>
                <w:color w:val="000000" w:themeColor="text1"/>
                <w:sz w:val="21"/>
                <w:szCs w:val="21"/>
                <w:highlight w:val="none"/>
                <w:lang w:val="en-US" w:eastAsia="zh-CN"/>
              </w:rPr>
              <w:t>分别</w:t>
            </w:r>
            <w:r>
              <w:rPr>
                <w:rFonts w:hint="eastAsia" w:ascii="宋体" w:hAnsi="宋体" w:eastAsia="宋体" w:cs="宋体"/>
                <w:bCs/>
                <w:color w:val="000000" w:themeColor="text1"/>
                <w:sz w:val="21"/>
                <w:szCs w:val="21"/>
                <w:highlight w:val="none"/>
              </w:rPr>
              <w:t>在领取《</w:t>
            </w:r>
            <w:r>
              <w:rPr>
                <w:rFonts w:hint="eastAsia" w:ascii="宋体" w:hAnsi="宋体" w:cs="宋体"/>
                <w:bCs/>
                <w:color w:val="000000" w:themeColor="text1"/>
                <w:sz w:val="21"/>
                <w:szCs w:val="21"/>
                <w:highlight w:val="none"/>
                <w:lang w:val="en-US" w:eastAsia="zh-CN"/>
              </w:rPr>
              <w:t>成交</w:t>
            </w:r>
            <w:r>
              <w:rPr>
                <w:rFonts w:hint="eastAsia" w:ascii="宋体" w:hAnsi="宋体" w:eastAsia="宋体" w:cs="宋体"/>
                <w:bCs/>
                <w:color w:val="000000" w:themeColor="text1"/>
                <w:sz w:val="21"/>
                <w:szCs w:val="21"/>
                <w:highlight w:val="none"/>
              </w:rPr>
              <w:t>通知书》之前应一次性交纳</w:t>
            </w:r>
            <w:r>
              <w:rPr>
                <w:rFonts w:hint="eastAsia" w:ascii="宋体" w:hAnsi="宋体" w:cs="宋体"/>
                <w:bCs/>
                <w:color w:val="000000" w:themeColor="text1"/>
                <w:sz w:val="21"/>
                <w:szCs w:val="21"/>
                <w:highlight w:val="none"/>
                <w:lang w:val="en-US" w:eastAsia="zh-CN"/>
              </w:rPr>
              <w:t>成交</w:t>
            </w:r>
            <w:r>
              <w:rPr>
                <w:rFonts w:hint="eastAsia" w:ascii="宋体" w:hAnsi="宋体" w:eastAsia="宋体" w:cs="宋体"/>
                <w:bCs/>
                <w:color w:val="000000" w:themeColor="text1"/>
                <w:sz w:val="21"/>
                <w:szCs w:val="21"/>
                <w:highlight w:val="none"/>
              </w:rPr>
              <w:t>项目的招标代理服务费</w:t>
            </w:r>
            <w:r>
              <w:rPr>
                <w:rFonts w:hint="eastAsia" w:ascii="宋体" w:hAnsi="宋体" w:cs="宋体"/>
                <w:color w:val="000000" w:themeColor="text1"/>
                <w:sz w:val="21"/>
                <w:szCs w:val="21"/>
                <w:highlight w:val="none"/>
                <w:lang w:val="en-US" w:eastAsia="zh-CN"/>
              </w:rPr>
              <w:t>壹</w:t>
            </w:r>
            <w:r>
              <w:rPr>
                <w:rFonts w:hint="eastAsia" w:ascii="宋体" w:hAnsi="宋体" w:eastAsia="宋体" w:cs="宋体"/>
                <w:color w:val="000000" w:themeColor="text1"/>
                <w:sz w:val="21"/>
                <w:szCs w:val="21"/>
                <w:highlight w:val="none"/>
              </w:rPr>
              <w:t>万元整（￥</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highlight w:val="none"/>
              </w:rPr>
            </w:pPr>
          </w:p>
        </w:tc>
        <w:tc>
          <w:tcPr>
            <w:tcW w:w="2400"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lang w:eastAsia="zh-CN"/>
              </w:rPr>
              <w:t>中国农业银行股份有限公司阳江江城支行</w:t>
            </w:r>
          </w:p>
        </w:tc>
      </w:tr>
    </w:tbl>
    <w:p>
      <w:pPr>
        <w:adjustRightInd w:val="0"/>
        <w:snapToGrid w:val="0"/>
        <w:spacing w:line="360" w:lineRule="auto"/>
        <w:rPr>
          <w:b/>
          <w:color w:val="000000" w:themeColor="text1"/>
          <w:szCs w:val="21"/>
          <w:highlight w:val="none"/>
        </w:rPr>
      </w:pPr>
    </w:p>
    <w:p>
      <w:pPr>
        <w:spacing w:line="360" w:lineRule="auto"/>
        <w:rPr>
          <w:rFonts w:ascii="宋体" w:hAnsi="宋体"/>
          <w:color w:val="000000" w:themeColor="text1"/>
          <w:highlight w:val="none"/>
        </w:rPr>
      </w:pPr>
    </w:p>
    <w:p>
      <w:pPr>
        <w:pStyle w:val="4"/>
        <w:numPr>
          <w:ilvl w:val="0"/>
          <w:numId w:val="0"/>
        </w:numPr>
        <w:spacing w:beforeLines="150" w:after="0" w:line="360" w:lineRule="auto"/>
        <w:jc w:val="center"/>
        <w:rPr>
          <w:rFonts w:ascii="宋体" w:hAnsi="宋体" w:eastAsia="宋体"/>
          <w:color w:val="000000" w:themeColor="text1"/>
          <w:kern w:val="0"/>
          <w:sz w:val="21"/>
          <w:szCs w:val="21"/>
          <w:highlight w:val="none"/>
        </w:rPr>
      </w:pPr>
      <w:r>
        <w:rPr>
          <w:rFonts w:hint="eastAsia" w:ascii="宋体" w:hAnsi="宋体"/>
          <w:b w:val="0"/>
          <w:color w:val="000000" w:themeColor="text1"/>
          <w:sz w:val="24"/>
          <w:highlight w:val="none"/>
        </w:rPr>
        <w:t xml:space="preserve"> </w:t>
      </w:r>
      <w:bookmarkStart w:id="61" w:name="_Toc22754"/>
      <w:r>
        <w:rPr>
          <w:rFonts w:hint="eastAsia" w:ascii="宋体" w:hAnsi="宋体" w:eastAsia="宋体"/>
          <w:color w:val="000000" w:themeColor="text1"/>
          <w:kern w:val="0"/>
          <w:sz w:val="21"/>
          <w:szCs w:val="21"/>
          <w:highlight w:val="none"/>
        </w:rPr>
        <w:t>B技术要求</w:t>
      </w:r>
      <w:bookmarkEnd w:id="61"/>
    </w:p>
    <w:p>
      <w:pPr>
        <w:spacing w:line="360" w:lineRule="auto"/>
        <w:rPr>
          <w:rFonts w:hint="eastAsia" w:ascii="宋体" w:hAnsi="宋体" w:eastAsia="宋体" w:cs="宋体"/>
          <w:b/>
          <w:color w:val="000000" w:themeColor="text1"/>
          <w:sz w:val="21"/>
          <w:szCs w:val="21"/>
          <w:highlight w:val="none"/>
          <w:lang w:val="zh-CN"/>
        </w:rPr>
      </w:pP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zh-CN"/>
        </w:rPr>
        <w:t xml:space="preserve">招标控制价：  </w:t>
      </w:r>
      <w:r>
        <w:rPr>
          <w:rFonts w:hint="eastAsia" w:ascii="宋体" w:hAnsi="宋体" w:eastAsia="宋体" w:cs="宋体"/>
          <w:b/>
          <w:color w:val="000000" w:themeColor="text1"/>
          <w:sz w:val="21"/>
          <w:szCs w:val="21"/>
          <w:highlight w:val="none"/>
        </w:rPr>
        <w:t xml:space="preserve">                                                  </w:t>
      </w:r>
      <w:r>
        <w:rPr>
          <w:rFonts w:hint="eastAsia" w:ascii="宋体" w:hAnsi="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单位：元/人·天</w:t>
      </w:r>
      <w:r>
        <w:rPr>
          <w:rFonts w:hint="eastAsia" w:ascii="宋体" w:hAnsi="宋体" w:eastAsia="宋体" w:cs="宋体"/>
          <w:b/>
          <w:color w:val="000000" w:themeColor="text1"/>
          <w:sz w:val="21"/>
          <w:szCs w:val="21"/>
          <w:highlight w:val="none"/>
          <w:lang w:val="zh-CN"/>
        </w:rPr>
        <w:t xml:space="preserve">   </w:t>
      </w:r>
    </w:p>
    <w:tbl>
      <w:tblPr>
        <w:tblStyle w:val="44"/>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559"/>
        <w:gridCol w:w="2160"/>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340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110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300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100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290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30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80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500</w:t>
            </w:r>
          </w:p>
        </w:tc>
      </w:tr>
    </w:tbl>
    <w:p>
      <w:pPr>
        <w:spacing w:line="360" w:lineRule="auto"/>
        <w:ind w:left="1958" w:hanging="1370" w:hangingChars="650"/>
        <w:outlineLvl w:val="0"/>
        <w:rPr>
          <w:rFonts w:hint="eastAsia" w:ascii="宋体" w:hAnsi="宋体" w:eastAsia="宋体" w:cs="宋体"/>
          <w:b/>
          <w:color w:val="000000" w:themeColor="text1"/>
          <w:sz w:val="21"/>
          <w:szCs w:val="21"/>
          <w:highlight w:val="none"/>
        </w:rPr>
      </w:pPr>
    </w:p>
    <w:p>
      <w:pPr>
        <w:bidi w:val="0"/>
        <w:spacing w:line="360" w:lineRule="auto"/>
        <w:rPr>
          <w:rFonts w:hint="eastAsia"/>
          <w:b/>
          <w:bCs/>
          <w:color w:val="000000" w:themeColor="text1"/>
          <w:highlight w:val="none"/>
        </w:rPr>
      </w:pPr>
      <w:r>
        <w:rPr>
          <w:rFonts w:hint="eastAsia"/>
          <w:b/>
          <w:bCs/>
          <w:color w:val="000000" w:themeColor="text1"/>
          <w:highlight w:val="none"/>
        </w:rPr>
        <w:t>一、采购内容及要求</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（一）采购目的</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为进一步加强和规范机关和事业单位会议费管理，提高会议效率和质量，节约会议经费开支，根据《党政机关厉行节约反对浪费条例》及有关规定、《党政机关会议定点管理办法》、《关于印发&lt;江城区机关和事业单位会议费管理办法&gt;的通知》（江财</w:t>
      </w:r>
      <w:r>
        <w:rPr>
          <w:rFonts w:hint="eastAsia" w:ascii="宋体" w:hAnsi="宋体" w:eastAsia="宋体" w:cs="宋体"/>
          <w:color w:val="000000" w:themeColor="text1"/>
          <w:sz w:val="21"/>
          <w:szCs w:val="21"/>
          <w:highlight w:val="none"/>
          <w:lang w:val="en-US" w:eastAsia="zh-CN"/>
        </w:rPr>
        <w:t>行</w:t>
      </w:r>
      <w:r>
        <w:rPr>
          <w:rFonts w:hint="eastAsia" w:ascii="宋体" w:hAnsi="宋体" w:eastAsia="宋体" w:cs="宋体"/>
          <w:color w:val="000000" w:themeColor="text1"/>
          <w:sz w:val="21"/>
          <w:szCs w:val="21"/>
          <w:highlight w:val="none"/>
          <w:lang w:val="zh-CN"/>
        </w:rPr>
        <w:t>［201</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lang w:val="zh-CN"/>
        </w:rPr>
        <w:t>］</w:t>
      </w:r>
      <w:r>
        <w:rPr>
          <w:rFonts w:hint="eastAsia" w:ascii="宋体" w:hAnsi="宋体" w:eastAsia="宋体" w:cs="宋体"/>
          <w:color w:val="000000" w:themeColor="text1"/>
          <w:sz w:val="21"/>
          <w:szCs w:val="21"/>
          <w:highlight w:val="none"/>
          <w:lang w:val="en-US" w:eastAsia="zh-CN"/>
        </w:rPr>
        <w:t>32</w:t>
      </w:r>
      <w:r>
        <w:rPr>
          <w:rFonts w:hint="eastAsia" w:ascii="宋体" w:hAnsi="宋体" w:eastAsia="宋体" w:cs="宋体"/>
          <w:color w:val="000000" w:themeColor="text1"/>
          <w:sz w:val="21"/>
          <w:szCs w:val="21"/>
          <w:highlight w:val="none"/>
          <w:lang w:val="zh-CN"/>
        </w:rPr>
        <w:t>号）等有关文件的要求，结合本区实际，江城区辖区内机关和事业单位会议召开场所实行政府采购定点管理，定点场所以经营场所在江城区辖区内为主。为做好该项工作，现对江城区辖区内机关和事业单位会议定点场所进行定点采购。</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（二）报价说明</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会议定点场所应对会议收费给予优惠，收费标准应考虑江城区当地的物价水平。会议定点场所收费标准应比对外提供的其他优惠价格更加优惠。</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会议定点场所的房间、会议室、会议餐费等政府采购价格，以江城区会议费综合定额标准为上限，按综合定额形式采购。会议定点场所采购价格不区分淡旺季价格，不得随市场价格波动而提高。</w:t>
      </w:r>
    </w:p>
    <w:p>
      <w:pPr>
        <w:spacing w:line="360" w:lineRule="auto"/>
        <w:ind w:firstLine="420" w:firstLineChars="20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投标报价作为签订协议的价格最高上限，实际结算价格在不超过最高上限的范围内，由会议举办单位与会议定点场所协商。</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（三）费用开支范围</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rPr>
        <w:t>费用开支包括</w:t>
      </w:r>
      <w:r>
        <w:rPr>
          <w:rFonts w:hint="eastAsia" w:ascii="宋体" w:hAnsi="宋体" w:eastAsia="宋体" w:cs="宋体"/>
          <w:color w:val="000000" w:themeColor="text1"/>
          <w:sz w:val="21"/>
          <w:szCs w:val="21"/>
          <w:highlight w:val="none"/>
          <w:lang w:val="zh-CN"/>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w:t>
      </w:r>
    </w:p>
    <w:p>
      <w:pPr>
        <w:autoSpaceDE w:val="0"/>
        <w:autoSpaceDN w:val="0"/>
        <w:adjustRightInd w:val="0"/>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（四）服务内容</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1、机关和事业单位在江城区辖区内召开的会议定点场所，会议定点场所服务能力应满足本类会议的采购内容及要求。</w:t>
      </w: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lang w:val="zh-CN"/>
        </w:rPr>
        <w:t xml:space="preserve">2、会议标准：      </w:t>
      </w:r>
    </w:p>
    <w:p>
      <w:pPr>
        <w:autoSpaceDE w:val="0"/>
        <w:autoSpaceDN w:val="0"/>
        <w:adjustRightInd w:val="0"/>
        <w:spacing w:line="360" w:lineRule="auto"/>
        <w:ind w:firstLine="413" w:firstLineChars="196"/>
        <w:jc w:val="right"/>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rPr>
        <w:t>单位：元/人·天</w:t>
      </w:r>
    </w:p>
    <w:tbl>
      <w:tblPr>
        <w:tblStyle w:val="44"/>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559"/>
        <w:gridCol w:w="2160"/>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340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110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290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30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500</w:t>
            </w:r>
          </w:p>
        </w:tc>
      </w:tr>
    </w:tbl>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其他费用包括：会议室租金、交通费、文件印刷费、办公用品费、专用设备租赁、医药费、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。交通费是指用于会议代表接送站，以及会议统一组织的代表考察、调研等发生的交通支出。</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会议费开支实行综合定额控制。</w:t>
      </w:r>
    </w:p>
    <w:p>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（五）定点场所单位服务要求</w:t>
      </w:r>
    </w:p>
    <w:p>
      <w:pPr>
        <w:spacing w:line="360" w:lineRule="auto"/>
        <w:ind w:firstLine="422" w:firstLineChars="200"/>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5.1</w:t>
      </w:r>
      <w:r>
        <w:rPr>
          <w:rFonts w:hint="eastAsia" w:ascii="宋体" w:hAnsi="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基本服务要求</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定点场所应保证采购人获得优先服务的权利，积极主动与会议举办单位配合，协助会议举办单位完成会议的组织工作，并提供价格优惠。</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定点场所应保持各项设备、设施完好，具备履行协议的能力；确保设施设备、清洁卫生、服务质量等要符合国家规定标准，不得因价格优惠而减少服务项目、降低服务质量。</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定点场所应选配相对固定的政府采购联系人，设置联系电话，及时响应会议举办单位的各项要求。</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定点场所有义务在规定的网站上同步公布空房数量、类型及价格等相关信息。</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6</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定点场所应接受财政部门及其他主管部门的监督检查，对其提出的意见及时进行整改。</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7</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定点场所应提供其协议范围内的全部客房、会议室参加定点会议接待服务，不允许只提供部分房间、会议室参加与定点服务。否则按规定予以警告或查处。</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8</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定点场所在结算时应通过“党政机关出差会议定点场所查询网”打印“电子结算单”供出差人员或会议举办单位报销使用。</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9</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定点场所具备信用卡收款条件的，结算时应要求出差人员或会议举办单位使用公务卡结算。</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投标人可提供的其他服务，需在投标文件中明确提出。</w:t>
      </w:r>
    </w:p>
    <w:p>
      <w:pPr>
        <w:autoSpaceDE w:val="0"/>
        <w:autoSpaceDN w:val="0"/>
        <w:adjustRightInd w:val="0"/>
        <w:spacing w:line="360" w:lineRule="auto"/>
        <w:ind w:firstLine="422" w:firstLineChars="200"/>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5.2</w:t>
      </w:r>
      <w:r>
        <w:rPr>
          <w:rFonts w:hint="eastAsia" w:ascii="宋体" w:hAnsi="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具体服务要求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5.2.1定点场所布局合理，方便会议举办单位会议使用。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5.2.2有空调设施，各区域通风良好，温湿度适宜。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5.2.3有计算机管理系统。</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5.2.4各种设备设施养护良好，使用安全、有效。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5.2.5各项管理规章制度健全。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5.2.6前厅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（1）有与会议规模相适应的前厅，配有时钟、公用电话等，在非经营区设置客人休息场所，配备舒适的座椅。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（2）有供客人使用的行李车，提供行李服务。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5.2.7总服务台</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（1）总服务台分区段设置问讯、结帐、留言等服务项目，提供24小时服务。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（2）总服务台提供服务项目宣传品、价目表、本市交通图和旅游景点介绍、各种交通工具时刻表。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5.2.8客房</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标准间及单间总数量要求: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标准间及单间总数量要求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不少于100间（含100间）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不少于70间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不少于10间</w:t>
            </w:r>
          </w:p>
        </w:tc>
      </w:tr>
    </w:tbl>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（1）标准间及单间均设卫生间。标准间建筑面积不小于12平方米（不含卫生间面积），卫生间建筑面积不小于2平方米。</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客房配备软垫床、沙发或扶手椅、茶几、衣橱、写字台（或梳妆台）、床头柜、床头灯、台灯、窗帘等配套家具和装饰用品。有空调、彩电，可通过总机拨通市内电话。备有信封、信纸、笔、服务指南、住宿须知、价目表等。</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（3）卫生间装有抽水马桶、带台面的面盆、梳妆镜、有带淋浴喷头的洗浴设备、浴帘，配备常用的卫生用品等。有良好的照明和排风设施。采取有效的防滑措施。24小时供洗浴热水。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（4）提供开夜床等服务，24小时供应开水（饮用水）。</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（5）客房、卫生间每天全面整理一次，每会或应客人要求更换床单、被罩和枕套，随时补充客用品、消耗品。</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5.2.9餐厅</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同时用餐人数要求: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同时用餐人数要求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至少可容纳200人以上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可容纳30人至60人</w:t>
            </w:r>
          </w:p>
        </w:tc>
      </w:tr>
    </w:tbl>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家具、餐具、酒具、用品配套完好，使用布料的桌布、口布。</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提供早、中、晚餐，晚餐客人点菜时间不得早于20时结束，并能根据客人需要提供桌餐或自助餐等服务，能提供民族餐。</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能提供普通会议餐。</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5.2.10厨房</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（1）有符合国家卫生标准的操作间，有足够的冷库。墙壁地面满铺瓷砖（或保洁材料），有地槽、吊顶。全部使用不锈钢(或其他材质)工作台及优质的厨柜、厨具、用具，有洗刷、消毒设备。有封闭的垃圾箱。</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（2）冷荤间、面点间独立分隔，冷荤间有消毒保鲜设备。</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（3）厨房与餐厅之间有隔音、隔热、隔气味设施。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（4）有防蚊蝇、防鼠、防蟑螂等有效措施。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5.2.11会议室</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会议室容纳人数要求: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会议室容纳人数要求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容纳200人以上的大型会议室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可容纳20人至50人</w:t>
            </w:r>
          </w:p>
        </w:tc>
      </w:tr>
    </w:tbl>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会议室应满足不同会议的实际使用需求，并提供所需的茶水、坐席牌、横幅、多媒体等配套设施。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（1）室内配备冷暖空调、沙发、茶几、会议桌椅，茶具用具齐备。</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（2）有较宽敞的楼层厅堂和会间客人休息场所。</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（3）会议室设专职服务员。</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5.2.12公共区域</w:t>
      </w:r>
    </w:p>
    <w:p>
      <w:pPr>
        <w:spacing w:line="360" w:lineRule="auto"/>
        <w:ind w:firstLine="628" w:firstLineChars="298"/>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不少于50个（含50个）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不少于40个（含40个）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不少于30个（含30个）</w:t>
            </w:r>
          </w:p>
        </w:tc>
      </w:tr>
    </w:tbl>
    <w:p>
      <w:pPr>
        <w:numPr>
          <w:ilvl w:val="0"/>
          <w:numId w:val="0"/>
        </w:numPr>
        <w:spacing w:line="360" w:lineRule="auto"/>
        <w:ind w:firstLine="420" w:firstLineChars="200"/>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有与定点场所规模相适应的停车场</w:t>
      </w:r>
      <w:r>
        <w:rPr>
          <w:rFonts w:hint="eastAsia" w:ascii="宋体" w:hAnsi="宋体" w:eastAsia="宋体" w:cs="宋体"/>
          <w:b/>
          <w:color w:val="000000" w:themeColor="text1"/>
          <w:sz w:val="21"/>
          <w:szCs w:val="21"/>
          <w:highlight w:val="none"/>
        </w:rPr>
        <w:t>。</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室内公共区域，设置应急照明设施和男女分设的公共卫生间。</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楼层适当位置设服务台和公共电话、市内电话簿。</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庭院绿化美化好。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5.2.13综合服务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（1）有多功能厅、商品部。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（2）提供打印、复印、发传真等商务服务。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（3）有方便客人投诉的措施。</w:t>
      </w:r>
    </w:p>
    <w:p>
      <w:pPr>
        <w:rPr>
          <w:rFonts w:hint="eastAsia" w:ascii="华文仿宋" w:hAnsi="华文仿宋" w:eastAsia="华文仿宋"/>
          <w:color w:val="000000" w:themeColor="text1"/>
          <w:sz w:val="32"/>
          <w:szCs w:val="32"/>
          <w:highlight w:val="none"/>
        </w:rPr>
      </w:pPr>
      <w:r>
        <w:rPr>
          <w:rFonts w:hint="eastAsia" w:ascii="华文仿宋" w:hAnsi="华文仿宋" w:eastAsia="华文仿宋"/>
          <w:color w:val="000000" w:themeColor="text1"/>
          <w:sz w:val="32"/>
          <w:szCs w:val="32"/>
          <w:highlight w:val="none"/>
        </w:rPr>
        <w:br w:type="page"/>
      </w:r>
    </w:p>
    <w:p>
      <w:pPr>
        <w:pStyle w:val="3"/>
        <w:numPr>
          <w:ilvl w:val="0"/>
          <w:numId w:val="0"/>
        </w:numPr>
        <w:bidi w:val="0"/>
        <w:ind w:leftChars="0"/>
        <w:jc w:val="center"/>
        <w:rPr>
          <w:b/>
          <w:bCs/>
          <w:color w:val="000000" w:themeColor="text1"/>
          <w:sz w:val="21"/>
          <w:szCs w:val="21"/>
          <w:highlight w:val="none"/>
        </w:rPr>
      </w:pPr>
      <w:bookmarkStart w:id="62" w:name="_Toc3287"/>
      <w:bookmarkStart w:id="63" w:name="_Toc353522392"/>
      <w:bookmarkStart w:id="64" w:name="_Toc369180022"/>
      <w:bookmarkStart w:id="65" w:name="_Toc357151175"/>
      <w:bookmarkStart w:id="66" w:name="_Toc351988709"/>
      <w:bookmarkStart w:id="67" w:name="_Toc351990145"/>
      <w:bookmarkStart w:id="68" w:name="_Toc351987768"/>
      <w:bookmarkStart w:id="69" w:name="_Toc351987964"/>
      <w:r>
        <w:rPr>
          <w:rFonts w:hint="eastAsia"/>
          <w:b/>
          <w:bCs/>
          <w:color w:val="000000" w:themeColor="text1"/>
          <w:sz w:val="21"/>
          <w:szCs w:val="21"/>
          <w:highlight w:val="none"/>
        </w:rPr>
        <w:t>第三部分 谈判须知</w:t>
      </w:r>
      <w:bookmarkEnd w:id="62"/>
    </w:p>
    <w:p>
      <w:pPr>
        <w:pStyle w:val="4"/>
        <w:numPr>
          <w:ilvl w:val="0"/>
          <w:numId w:val="0"/>
        </w:numPr>
        <w:spacing w:line="360" w:lineRule="auto"/>
        <w:jc w:val="center"/>
        <w:rPr>
          <w:rFonts w:ascii="宋体" w:hAnsi="宋体"/>
          <w:color w:val="000000" w:themeColor="text1"/>
          <w:kern w:val="0"/>
          <w:sz w:val="24"/>
          <w:highlight w:val="none"/>
        </w:rPr>
      </w:pPr>
      <w:bookmarkStart w:id="70" w:name="_Toc458956865"/>
      <w:bookmarkStart w:id="71" w:name="_Toc434832495"/>
      <w:bookmarkStart w:id="72" w:name="_Toc604"/>
      <w:r>
        <w:rPr>
          <w:rFonts w:hint="eastAsia" w:ascii="宋体" w:hAnsi="宋体"/>
          <w:color w:val="000000" w:themeColor="text1"/>
          <w:kern w:val="0"/>
          <w:sz w:val="24"/>
          <w:highlight w:val="none"/>
        </w:rPr>
        <w:t>谈判须知前附表</w:t>
      </w:r>
      <w:bookmarkEnd w:id="70"/>
      <w:bookmarkEnd w:id="71"/>
      <w:bookmarkEnd w:id="72"/>
    </w:p>
    <w:tbl>
      <w:tblPr>
        <w:tblStyle w:val="44"/>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单一来源小组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为了方便唱标，投标人在递交谈判文件的同时，向代理采购机构提交包含“报价一览表”、“投标保证金”、“分项报价表”、“保证金退付书”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之前不准启封”的字样、项目名称、项目编号、投标人名称及联系资料，并加盖骑缝章。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numPr>
                <w:ilvl w:val="1"/>
                <w:numId w:val="3"/>
              </w:numPr>
              <w:tabs>
                <w:tab w:val="left" w:pos="26"/>
                <w:tab w:val="clear" w:pos="783"/>
              </w:tabs>
              <w:autoSpaceDE w:val="0"/>
              <w:autoSpaceDN w:val="0"/>
              <w:adjustRightInd w:val="0"/>
              <w:ind w:left="26" w:firstLine="0"/>
              <w:textAlignment w:val="baseline"/>
              <w:rPr>
                <w:b/>
                <w:color w:val="000000" w:themeColor="text1"/>
                <w:szCs w:val="21"/>
                <w:highlight w:val="none"/>
              </w:rPr>
            </w:pPr>
            <w:r>
              <w:rPr>
                <w:rFonts w:hint="eastAsia"/>
                <w:b/>
                <w:color w:val="000000" w:themeColor="text1"/>
                <w:szCs w:val="21"/>
                <w:highlight w:val="none"/>
              </w:rPr>
              <w:t>招标文件中打“★”号条款必须实质性响应，负偏离（不满足要求）将导致投标无效。</w:t>
            </w:r>
          </w:p>
          <w:p>
            <w:pPr>
              <w:pStyle w:val="5"/>
              <w:tabs>
                <w:tab w:val="left" w:pos="26"/>
              </w:tabs>
              <w:ind w:left="26" w:firstLine="0"/>
              <w:rPr>
                <w:rFonts w:ascii="宋体"/>
                <w:bCs/>
                <w:color w:val="000000" w:themeColor="text1"/>
                <w:highlight w:val="none"/>
              </w:rPr>
            </w:pPr>
            <w:r>
              <w:rPr>
                <w:rFonts w:hint="eastAsia"/>
                <w:b/>
                <w:color w:val="000000" w:themeColor="text1"/>
                <w:szCs w:val="21"/>
                <w:highlight w:val="none"/>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r>
              <w:rPr>
                <w:rFonts w:hint="eastAsia" w:ascii="宋体" w:hAnsi="宋体"/>
                <w:color w:val="000000" w:themeColor="text1"/>
                <w:szCs w:val="21"/>
                <w:highlight w:val="none"/>
              </w:rPr>
              <w:t>政府采购信息公告媒体</w:t>
            </w:r>
          </w:p>
        </w:tc>
        <w:tc>
          <w:tcPr>
            <w:tcW w:w="3147"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中国政府采购网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147"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left" w:pos="8055"/>
        </w:tabs>
        <w:rPr>
          <w:color w:val="000000" w:themeColor="text1"/>
          <w:highlight w:val="none"/>
        </w:rPr>
      </w:pPr>
      <w:r>
        <w:rPr>
          <w:color w:val="000000" w:themeColor="text1"/>
          <w:highlight w:val="none"/>
        </w:rPr>
        <w:tab/>
      </w:r>
    </w:p>
    <w:bookmarkEnd w:id="63"/>
    <w:bookmarkEnd w:id="64"/>
    <w:bookmarkEnd w:id="65"/>
    <w:bookmarkEnd w:id="66"/>
    <w:bookmarkEnd w:id="67"/>
    <w:bookmarkEnd w:id="68"/>
    <w:bookmarkEnd w:id="69"/>
    <w:p>
      <w:pPr>
        <w:pStyle w:val="23"/>
        <w:adjustRightInd w:val="0"/>
        <w:snapToGrid w:val="0"/>
        <w:spacing w:line="360" w:lineRule="auto"/>
        <w:outlineLvl w:val="1"/>
        <w:rPr>
          <w:rFonts w:hAnsi="宋体" w:cs="Times New Roman"/>
          <w:b/>
          <w:color w:val="000000" w:themeColor="text1"/>
          <w:highlight w:val="none"/>
        </w:rPr>
      </w:pPr>
      <w:bookmarkStart w:id="73" w:name="_Toc22159"/>
      <w:bookmarkStart w:id="74" w:name="_Toc459971447"/>
      <w:r>
        <w:rPr>
          <w:rFonts w:hint="eastAsia" w:hAnsi="宋体" w:cs="Times New Roman"/>
          <w:b/>
          <w:color w:val="000000" w:themeColor="text1"/>
          <w:highlight w:val="none"/>
        </w:rPr>
        <w:t>一、说  明</w:t>
      </w:r>
      <w:bookmarkEnd w:id="73"/>
      <w:bookmarkEnd w:id="74"/>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 适用范围</w:t>
      </w:r>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1.1本谈判文件适用于本</w:t>
      </w:r>
      <w:r>
        <w:rPr>
          <w:rFonts w:hint="eastAsia" w:hAnsi="宋体"/>
          <w:color w:val="000000" w:themeColor="text1"/>
          <w:highlight w:val="none"/>
        </w:rPr>
        <w:t>单一来源</w:t>
      </w:r>
      <w:r>
        <w:rPr>
          <w:rFonts w:hint="eastAsia" w:hAnsi="宋体" w:cs="Times New Roman"/>
          <w:color w:val="000000" w:themeColor="text1"/>
          <w:highlight w:val="none"/>
        </w:rPr>
        <w:t>谈判的政府采购项目。</w:t>
      </w:r>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 定义</w:t>
      </w:r>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2.1 “采购人”：是指本次采购项目的最终服务对象:</w:t>
      </w:r>
      <w:r>
        <w:rPr>
          <w:rFonts w:hint="eastAsia" w:hAnsi="宋体" w:cs="Times New Roman"/>
          <w:color w:val="000000" w:themeColor="text1"/>
          <w:highlight w:val="none"/>
          <w:lang w:eastAsia="zh-CN"/>
        </w:rPr>
        <w:t>阳江市江城区财政局</w:t>
      </w:r>
      <w:r>
        <w:rPr>
          <w:rFonts w:hint="eastAsia" w:hAnsi="宋体" w:cs="Times New Roman"/>
          <w:color w:val="000000" w:themeColor="text1"/>
          <w:highlight w:val="none"/>
        </w:rPr>
        <w:t>。</w:t>
      </w:r>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2.2 “监管部门”是指：同级政府采购监管部门。</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 “采购代理机构”：是指</w:t>
      </w:r>
      <w:r>
        <w:rPr>
          <w:rFonts w:hint="eastAsia" w:ascii="宋体" w:hAnsi="宋体"/>
          <w:color w:val="000000" w:themeColor="text1"/>
          <w:kern w:val="0"/>
          <w:szCs w:val="21"/>
          <w:highlight w:val="none"/>
          <w:lang w:eastAsia="zh-CN"/>
        </w:rPr>
        <w:t>广东业信招标有限公司</w:t>
      </w:r>
      <w:r>
        <w:rPr>
          <w:rFonts w:hint="eastAsia" w:ascii="宋体" w:hAnsi="宋体"/>
          <w:color w:val="000000" w:themeColor="text1"/>
          <w:kern w:val="0"/>
          <w:szCs w:val="21"/>
          <w:highlight w:val="none"/>
        </w:rPr>
        <w:t>。</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 “招标采购单位”是指：</w:t>
      </w:r>
      <w:r>
        <w:rPr>
          <w:rFonts w:hint="eastAsia" w:ascii="宋体" w:hAnsi="宋体"/>
          <w:color w:val="000000" w:themeColor="text1"/>
          <w:kern w:val="0"/>
          <w:szCs w:val="21"/>
          <w:highlight w:val="none"/>
          <w:u w:val="single"/>
        </w:rPr>
        <w:t>采购人</w:t>
      </w:r>
      <w:r>
        <w:rPr>
          <w:rFonts w:hint="eastAsia" w:ascii="宋体" w:hAnsi="宋体"/>
          <w:color w:val="000000" w:themeColor="text1"/>
          <w:kern w:val="0"/>
          <w:szCs w:val="21"/>
          <w:highlight w:val="none"/>
        </w:rPr>
        <w:t>。</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“响应供应商”是指响应本文件要求，参加谈判的法人或者其他组织、自然人。</w:t>
      </w:r>
    </w:p>
    <w:p>
      <w:pPr>
        <w:autoSpaceDE w:val="0"/>
        <w:autoSpaceDN w:val="0"/>
        <w:adjustRightInd w:val="0"/>
        <w:snapToGrid w:val="0"/>
        <w:spacing w:line="36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合格的响应供应商指：</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(1)符合《政府采购法》第二十二条规定的响应供应商。</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(2)符合谈判文件规定的资格要求及特殊条件要求。</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2.6“成交供应商”是指经法定程序确定并授予合同的响应供应商。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谈判响应文件”是指：供应商根据本文件要求，编制包含报价、技术和服务等所有内容的实质性响应文件。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3. 合格的货物和服务</w:t>
      </w:r>
    </w:p>
    <w:p>
      <w:pPr>
        <w:adjustRightInd w:val="0"/>
        <w:snapToGrid w:val="0"/>
        <w:spacing w:line="36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响应供应商制造或组织符合谈判文件要求的货物等。谈判文件中没有提及谈判货物来源地的，根据《政府采购法》的相关规定均应是本国货物，优先采购节能、环保产品。谈判的货物必须是其合法生产的符合国家有关标准要求的货物，并满足政府谈判文件规定的规格、参数、质量、价格、有效期、售后服务等要求。</w:t>
      </w:r>
    </w:p>
    <w:p>
      <w:pPr>
        <w:adjustRightInd w:val="0"/>
        <w:snapToGrid w:val="0"/>
        <w:spacing w:line="36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“服务”是指除货物和工程以外的其他政府采购对象,其中包括：响应供应商须承担的运输、安装、技术支持、培训以及谈判文件规定的其它服务。</w:t>
      </w:r>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4． 谈判费用</w:t>
      </w:r>
    </w:p>
    <w:p>
      <w:pPr>
        <w:pStyle w:val="23"/>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4.1 响应供应商应承担所有与准备和参加谈判有关的费用。不论谈判的结果如何，政府采购代理机构和采购人均无义务和责任承担这些费用。</w:t>
      </w:r>
    </w:p>
    <w:p>
      <w:pPr>
        <w:pStyle w:val="23"/>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4.2本次采购向成交供应商收取的成交服务费，按国家有关规定执行。</w:t>
      </w:r>
    </w:p>
    <w:p>
      <w:pPr>
        <w:pStyle w:val="23"/>
        <w:adjustRightInd w:val="0"/>
        <w:snapToGrid w:val="0"/>
        <w:spacing w:line="360" w:lineRule="auto"/>
        <w:ind w:left="420" w:hanging="420"/>
        <w:rPr>
          <w:rFonts w:hAnsi="宋体" w:cs="Times New Roman"/>
          <w:color w:val="000000" w:themeColor="text1"/>
          <w:highlight w:val="none"/>
        </w:rPr>
      </w:pPr>
    </w:p>
    <w:p>
      <w:pPr>
        <w:pStyle w:val="23"/>
        <w:adjustRightInd w:val="0"/>
        <w:snapToGrid w:val="0"/>
        <w:spacing w:line="360" w:lineRule="auto"/>
        <w:outlineLvl w:val="1"/>
        <w:rPr>
          <w:rFonts w:hAnsi="宋体" w:cs="Times New Roman"/>
          <w:b/>
          <w:color w:val="000000" w:themeColor="text1"/>
          <w:highlight w:val="none"/>
        </w:rPr>
      </w:pPr>
      <w:bookmarkStart w:id="75" w:name="_Toc16615"/>
      <w:bookmarkStart w:id="76" w:name="_Toc459971448"/>
      <w:r>
        <w:rPr>
          <w:rFonts w:hint="eastAsia" w:hAnsi="宋体" w:cs="Times New Roman"/>
          <w:b/>
          <w:color w:val="000000" w:themeColor="text1"/>
          <w:highlight w:val="none"/>
        </w:rPr>
        <w:t>二、谈判文件</w:t>
      </w:r>
      <w:bookmarkEnd w:id="75"/>
      <w:bookmarkEnd w:id="76"/>
    </w:p>
    <w:p>
      <w:pPr>
        <w:pStyle w:val="23"/>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  谈判文件的构成</w:t>
      </w:r>
    </w:p>
    <w:p>
      <w:pPr>
        <w:pStyle w:val="23"/>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5.1谈判文件由下列文件以及在</w:t>
      </w:r>
      <w:r>
        <w:rPr>
          <w:rFonts w:hint="eastAsia" w:hAnsi="宋体"/>
          <w:color w:val="000000" w:themeColor="text1"/>
          <w:highlight w:val="none"/>
        </w:rPr>
        <w:t>谈判</w:t>
      </w:r>
      <w:r>
        <w:rPr>
          <w:rFonts w:hint="eastAsia" w:hAnsi="宋体" w:cs="Times New Roman"/>
          <w:color w:val="000000" w:themeColor="text1"/>
          <w:highlight w:val="none"/>
        </w:rPr>
        <w:t>过程中发出的修正和补充文件组成：</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谈判邀请</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谈判须知</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(5)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其他：详见《谈判须知前附表》</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在谈判过程中由招标采购单位发出的修正和补充文件等；</w:t>
      </w:r>
    </w:p>
    <w:p>
      <w:pPr>
        <w:pStyle w:val="23"/>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5.2 响应供应商应认真阅读、并充分理解谈判文件的全部内容（包括所有的补充、修改内容、重要事项、格式、条款和技术规范、参数及要求等。），响应供应商没有按照谈判文件要求提交全部资料，或者单一来源谈判响应文件没有对谈判文件在各方面都做出实质性响应是响应供应商的风险，有可能导致其谈判响应被拒绝，或被认定为无效响应或被确定为响应无效。</w:t>
      </w:r>
    </w:p>
    <w:p>
      <w:pPr>
        <w:spacing w:line="360" w:lineRule="auto"/>
        <w:ind w:left="360" w:hanging="360"/>
        <w:rPr>
          <w:rFonts w:ascii="宋体" w:hAnsi="宋体"/>
          <w:color w:val="000000" w:themeColor="text1"/>
          <w:szCs w:val="21"/>
          <w:highlight w:val="none"/>
        </w:rPr>
      </w:pPr>
    </w:p>
    <w:p>
      <w:pPr>
        <w:pStyle w:val="23"/>
        <w:adjustRightInd w:val="0"/>
        <w:snapToGrid w:val="0"/>
        <w:spacing w:line="360" w:lineRule="auto"/>
        <w:outlineLvl w:val="1"/>
        <w:rPr>
          <w:rFonts w:hAnsi="宋体" w:cs="Times New Roman"/>
          <w:b/>
          <w:color w:val="000000" w:themeColor="text1"/>
          <w:highlight w:val="none"/>
        </w:rPr>
      </w:pPr>
      <w:bookmarkStart w:id="77" w:name="_Toc32122"/>
      <w:bookmarkStart w:id="78" w:name="_Toc459971449"/>
      <w:r>
        <w:rPr>
          <w:rFonts w:hint="eastAsia" w:hAnsi="宋体" w:cs="Times New Roman"/>
          <w:b/>
          <w:color w:val="000000" w:themeColor="text1"/>
          <w:highlight w:val="none"/>
        </w:rPr>
        <w:t>三、单一来源谈判响应文件的编制</w:t>
      </w:r>
      <w:bookmarkEnd w:id="77"/>
      <w:bookmarkEnd w:id="78"/>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谈判响应文件的组成</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6.1响应供应商编写的单一来源谈判响应文件应包括自查表、资格性文件、商务部分、技术部分、价格部分组成（单一来源谈判响应文件独立编制）,详见《单一来源谈判响应文件格式》。</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6.2 报价信封必须另单独分装，详见《单一来源谈判响应文件格式》。</w:t>
      </w:r>
    </w:p>
    <w:p>
      <w:pPr>
        <w:pStyle w:val="23"/>
        <w:adjustRightInd w:val="0"/>
        <w:snapToGrid w:val="0"/>
        <w:spacing w:line="360" w:lineRule="auto"/>
        <w:rPr>
          <w:rFonts w:hAnsi="宋体" w:cs="Times New Roman"/>
          <w:color w:val="000000" w:themeColor="text1"/>
          <w:highlight w:val="none"/>
        </w:rPr>
      </w:pPr>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 xml:space="preserve">7 </w:t>
      </w:r>
      <w:r>
        <w:rPr>
          <w:rFonts w:hint="eastAsia" w:hAnsi="宋体"/>
          <w:color w:val="000000" w:themeColor="text1"/>
          <w:highlight w:val="none"/>
        </w:rPr>
        <w:t>单一来源</w:t>
      </w:r>
      <w:r>
        <w:rPr>
          <w:rFonts w:hint="eastAsia" w:hAnsi="宋体" w:cs="Times New Roman"/>
          <w:color w:val="000000" w:themeColor="text1"/>
          <w:highlight w:val="none"/>
        </w:rPr>
        <w:t>谈判响应文件编制基本要求</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 响应供应商对单一来源谈判响应文件的编制应按要求装订和封装。</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7.3单一来源谈判响应文件必须按本文件的全部内容，包括所有的补充通知及附件进行编制。</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7.4如因响应供应商只填写和提供了本文件要求的部分内容和附件，而给谈判造成困难的，其可能导致的结果和责任由响应供应商自行承担。 </w:t>
      </w:r>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8. 计量单位：</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8.1除技术要求中另有规定外，本文件所要求使用的计量单位均采用国家法定的度、量、衡标准单位计量。</w:t>
      </w:r>
    </w:p>
    <w:p>
      <w:pPr>
        <w:spacing w:line="360" w:lineRule="auto"/>
        <w:ind w:left="360" w:hanging="360"/>
        <w:rPr>
          <w:rFonts w:ascii="宋体" w:hAnsi="宋体"/>
          <w:color w:val="000000" w:themeColor="text1"/>
          <w:szCs w:val="21"/>
          <w:highlight w:val="none"/>
        </w:rPr>
      </w:pPr>
    </w:p>
    <w:p>
      <w:pPr>
        <w:pStyle w:val="23"/>
        <w:adjustRightInd w:val="0"/>
        <w:snapToGrid w:val="0"/>
        <w:spacing w:line="360" w:lineRule="auto"/>
        <w:outlineLvl w:val="1"/>
        <w:rPr>
          <w:rFonts w:hAnsi="宋体" w:cs="Times New Roman"/>
          <w:b/>
          <w:color w:val="000000" w:themeColor="text1"/>
          <w:highlight w:val="none"/>
        </w:rPr>
      </w:pPr>
      <w:bookmarkStart w:id="79" w:name="_Toc459971450"/>
      <w:bookmarkStart w:id="80" w:name="_Toc926"/>
      <w:r>
        <w:rPr>
          <w:rFonts w:hint="eastAsia" w:hAnsi="宋体" w:cs="Times New Roman"/>
          <w:b/>
          <w:color w:val="000000" w:themeColor="text1"/>
          <w:highlight w:val="none"/>
        </w:rPr>
        <w:t>四、谈判报价要求和响应供应商资格证明文件的要求</w:t>
      </w:r>
      <w:bookmarkEnd w:id="79"/>
      <w:bookmarkEnd w:id="80"/>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9.</w:t>
      </w:r>
      <w:r>
        <w:rPr>
          <w:rFonts w:hint="eastAsia" w:hAnsi="宋体"/>
          <w:color w:val="000000" w:themeColor="text1"/>
          <w:kern w:val="0"/>
          <w:highlight w:val="none"/>
        </w:rPr>
        <w:t xml:space="preserve"> </w:t>
      </w:r>
      <w:r>
        <w:rPr>
          <w:rFonts w:hint="eastAsia" w:hAnsi="宋体" w:cs="Times New Roman"/>
          <w:color w:val="000000" w:themeColor="text1"/>
          <w:highlight w:val="none"/>
        </w:rPr>
        <w:t>响应供应商</w:t>
      </w:r>
      <w:r>
        <w:rPr>
          <w:rFonts w:hint="eastAsia" w:hAnsi="宋体"/>
          <w:color w:val="000000" w:themeColor="text1"/>
          <w:kern w:val="0"/>
          <w:highlight w:val="none"/>
        </w:rPr>
        <w:t>所提供的服务均应以人民币报价，</w:t>
      </w:r>
      <w:r>
        <w:rPr>
          <w:rFonts w:hint="eastAsia" w:hAnsi="宋体" w:cs="Times New Roman"/>
          <w:color w:val="000000" w:themeColor="text1"/>
          <w:highlight w:val="none"/>
        </w:rPr>
        <w:t>响应供应商应按照第二部分“</w:t>
      </w:r>
      <w:r>
        <w:rPr>
          <w:rFonts w:hint="eastAsia" w:hAnsi="宋体"/>
          <w:color w:val="000000" w:themeColor="text1"/>
          <w:kern w:val="0"/>
          <w:highlight w:val="none"/>
        </w:rPr>
        <w:t>采购项目服务内容及要求</w:t>
      </w:r>
      <w:r>
        <w:rPr>
          <w:rFonts w:hint="eastAsia" w:hAnsi="宋体" w:cs="Times New Roman"/>
          <w:color w:val="000000" w:themeColor="text1"/>
          <w:highlight w:val="none"/>
        </w:rPr>
        <w:t>”规定的内容、责任范围以及合同条款进行报价。</w:t>
      </w:r>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10.在合同实施时，采购人将不予支付成交供应商没有列入的项目费用，并认为此项目的费用已包括在总报价中。</w:t>
      </w:r>
    </w:p>
    <w:p>
      <w:pPr>
        <w:pStyle w:val="23"/>
        <w:adjustRightInd w:val="0"/>
        <w:snapToGrid w:val="0"/>
        <w:spacing w:line="360" w:lineRule="auto"/>
        <w:ind w:left="420" w:hanging="420"/>
        <w:rPr>
          <w:rFonts w:hAnsi="宋体"/>
          <w:b/>
          <w:color w:val="000000" w:themeColor="text1"/>
          <w:kern w:val="0"/>
          <w:highlight w:val="none"/>
        </w:rPr>
      </w:pPr>
      <w:r>
        <w:rPr>
          <w:rFonts w:hint="eastAsia" w:hAnsi="宋体"/>
          <w:b/>
          <w:color w:val="000000" w:themeColor="text1"/>
          <w:kern w:val="0"/>
          <w:highlight w:val="none"/>
        </w:rPr>
        <w:t>11. 本项目最终总报价不能高于采购预算（或最高限价），否则其谈判响应将被确定为响应无效。</w:t>
      </w:r>
    </w:p>
    <w:p>
      <w:pPr>
        <w:pStyle w:val="23"/>
        <w:adjustRightInd w:val="0"/>
        <w:snapToGrid w:val="0"/>
        <w:spacing w:line="360" w:lineRule="auto"/>
        <w:rPr>
          <w:rFonts w:hAnsi="宋体" w:cs="Times New Roman"/>
          <w:color w:val="000000" w:themeColor="text1"/>
          <w:highlight w:val="none"/>
        </w:rPr>
      </w:pPr>
      <w:r>
        <w:rPr>
          <w:rFonts w:hAnsi="宋体" w:cs="Times New Roman"/>
          <w:color w:val="000000" w:themeColor="text1"/>
          <w:highlight w:val="none"/>
        </w:rPr>
        <w:t>1</w:t>
      </w:r>
      <w:r>
        <w:rPr>
          <w:rFonts w:hint="eastAsia" w:hAnsi="宋体" w:cs="Times New Roman"/>
          <w:color w:val="000000" w:themeColor="text1"/>
          <w:highlight w:val="none"/>
        </w:rPr>
        <w:t>2</w:t>
      </w:r>
      <w:r>
        <w:rPr>
          <w:rFonts w:hAnsi="宋体" w:cs="Times New Roman"/>
          <w:color w:val="000000" w:themeColor="text1"/>
          <w:highlight w:val="none"/>
        </w:rPr>
        <w:tab/>
      </w:r>
      <w:r>
        <w:rPr>
          <w:rFonts w:hint="eastAsia" w:hAnsi="宋体" w:cs="Times New Roman"/>
          <w:color w:val="000000" w:themeColor="text1"/>
          <w:highlight w:val="none"/>
        </w:rPr>
        <w:t>响应供应商资格证明文件</w:t>
      </w:r>
    </w:p>
    <w:p>
      <w:pPr>
        <w:pStyle w:val="23"/>
        <w:adjustRightInd w:val="0"/>
        <w:snapToGrid w:val="0"/>
        <w:spacing w:line="360" w:lineRule="auto"/>
        <w:rPr>
          <w:rFonts w:hAnsi="宋体" w:cs="Times New Roman"/>
          <w:color w:val="000000" w:themeColor="text1"/>
          <w:highlight w:val="none"/>
        </w:rPr>
      </w:pPr>
      <w:r>
        <w:rPr>
          <w:rFonts w:hAnsi="宋体" w:cs="Times New Roman"/>
          <w:color w:val="000000" w:themeColor="text1"/>
          <w:highlight w:val="none"/>
        </w:rPr>
        <w:t>1</w:t>
      </w:r>
      <w:r>
        <w:rPr>
          <w:rFonts w:hint="eastAsia" w:hAnsi="宋体" w:cs="Times New Roman"/>
          <w:color w:val="000000" w:themeColor="text1"/>
          <w:highlight w:val="none"/>
        </w:rPr>
        <w:t>2</w:t>
      </w:r>
      <w:r>
        <w:rPr>
          <w:rFonts w:hAnsi="宋体" w:cs="Times New Roman"/>
          <w:color w:val="000000" w:themeColor="text1"/>
          <w:highlight w:val="none"/>
        </w:rPr>
        <w:t>.1</w:t>
      </w:r>
      <w:r>
        <w:rPr>
          <w:rFonts w:hint="eastAsia" w:hAnsi="宋体" w:cs="Times New Roman"/>
          <w:color w:val="000000" w:themeColor="text1"/>
          <w:highlight w:val="none"/>
        </w:rPr>
        <w:t>响应供应商应按谈判文件的要求，提交证明其有资格参加谈判和成交后有履行合同能力的文件，并作为其</w:t>
      </w:r>
      <w:r>
        <w:rPr>
          <w:rFonts w:hint="eastAsia" w:hAnsi="宋体"/>
          <w:color w:val="000000" w:themeColor="text1"/>
          <w:highlight w:val="none"/>
        </w:rPr>
        <w:t>单一来源</w:t>
      </w:r>
      <w:r>
        <w:rPr>
          <w:rFonts w:hint="eastAsia" w:hAnsi="宋体" w:cs="Times New Roman"/>
          <w:color w:val="000000" w:themeColor="text1"/>
          <w:highlight w:val="none"/>
        </w:rPr>
        <w:t>谈判响应文件的组成部分。详见《谈判须知前附表》</w:t>
      </w:r>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12.2资格证明文件必须真实有效，复印件必须加盖单位印章。</w:t>
      </w:r>
    </w:p>
    <w:p>
      <w:pPr>
        <w:pStyle w:val="23"/>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13. 证明</w:t>
      </w:r>
      <w:r>
        <w:rPr>
          <w:rFonts w:hint="eastAsia" w:hAnsi="宋体"/>
          <w:color w:val="000000" w:themeColor="text1"/>
          <w:highlight w:val="none"/>
        </w:rPr>
        <w:t>单一来源</w:t>
      </w:r>
      <w:r>
        <w:rPr>
          <w:rFonts w:hint="eastAsia" w:hAnsi="宋体" w:cs="Times New Roman"/>
          <w:color w:val="000000" w:themeColor="text1"/>
          <w:highlight w:val="none"/>
        </w:rPr>
        <w:t>谈判响应文件标的的合格性和符合谈判文件规定的文件：</w:t>
      </w:r>
    </w:p>
    <w:p>
      <w:pPr>
        <w:tabs>
          <w:tab w:val="left" w:pos="567"/>
        </w:tabs>
        <w:spacing w:line="36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13.1 响应供应商提交证明其所提供的服务的合格性并符合谈判文件规定的声明文件。</w:t>
      </w:r>
    </w:p>
    <w:p>
      <w:pPr>
        <w:tabs>
          <w:tab w:val="left" w:pos="567"/>
        </w:tabs>
        <w:spacing w:line="36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3</w:t>
      </w:r>
      <w:r>
        <w:rPr>
          <w:rFonts w:ascii="宋体" w:hAnsi="宋体"/>
          <w:color w:val="000000" w:themeColor="text1"/>
          <w:szCs w:val="21"/>
          <w:highlight w:val="none"/>
        </w:rPr>
        <w:t>.2</w:t>
      </w:r>
      <w:r>
        <w:rPr>
          <w:rFonts w:hint="eastAsia" w:ascii="宋体" w:hAnsi="宋体"/>
          <w:color w:val="000000" w:themeColor="text1"/>
          <w:szCs w:val="21"/>
          <w:highlight w:val="none"/>
        </w:rPr>
        <w:t>证明服务与谈判文件的要求相一致的文件可以是文字资料、图纸、数据资料等。</w:t>
      </w:r>
    </w:p>
    <w:p>
      <w:pPr>
        <w:pStyle w:val="23"/>
        <w:adjustRightInd w:val="0"/>
        <w:snapToGrid w:val="0"/>
        <w:spacing w:line="360" w:lineRule="auto"/>
        <w:ind w:left="420" w:hanging="420"/>
        <w:rPr>
          <w:rFonts w:hAnsi="宋体"/>
          <w:b/>
          <w:color w:val="000000" w:themeColor="text1"/>
          <w:kern w:val="0"/>
          <w:highlight w:val="none"/>
          <w:u w:val="single"/>
        </w:rPr>
      </w:pPr>
    </w:p>
    <w:p>
      <w:pPr>
        <w:pStyle w:val="23"/>
        <w:adjustRightInd w:val="0"/>
        <w:snapToGrid w:val="0"/>
        <w:spacing w:line="360" w:lineRule="auto"/>
        <w:outlineLvl w:val="1"/>
        <w:rPr>
          <w:rFonts w:hAnsi="宋体" w:cs="Times New Roman"/>
          <w:b/>
          <w:color w:val="000000" w:themeColor="text1"/>
          <w:highlight w:val="none"/>
        </w:rPr>
      </w:pPr>
      <w:bookmarkStart w:id="81" w:name="_Toc459971451"/>
      <w:bookmarkStart w:id="82" w:name="_Toc29067"/>
      <w:r>
        <w:rPr>
          <w:rFonts w:hint="eastAsia" w:hAnsi="宋体" w:cs="Times New Roman"/>
          <w:b/>
          <w:color w:val="000000" w:themeColor="text1"/>
          <w:highlight w:val="none"/>
        </w:rPr>
        <w:t>五、谈判保证金</w:t>
      </w:r>
      <w:bookmarkEnd w:id="81"/>
      <w:bookmarkEnd w:id="82"/>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14. 谈判保证金</w:t>
      </w:r>
    </w:p>
    <w:p>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14.1 响应供应商应按谈判文件规定的金额和期限交纳谈判保证金，谈判保证金作为</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谈判响应文件的组成部分。</w:t>
      </w:r>
    </w:p>
    <w:p>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14.2谈判保证金金额、交纳形式、交纳时间及谈判保证金账户，详见《谈判须知前附表》。</w:t>
      </w:r>
    </w:p>
    <w:p>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14.3凡未按规定交纳谈判保证金的谈判响应，其谈判响应被确定为响应无效。</w:t>
      </w:r>
    </w:p>
    <w:p>
      <w:pPr>
        <w:adjustRightInd w:val="0"/>
        <w:snapToGrid w:val="0"/>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14.4如无质疑或投诉，未成交的响应供应商保证金，在成交通知书发出后5个工作日内不计利息原额退还；如有质疑或投诉，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pPr>
        <w:adjustRightInd w:val="0"/>
        <w:snapToGrid w:val="0"/>
        <w:spacing w:line="36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14.5</w:t>
      </w:r>
      <w:r>
        <w:rPr>
          <w:rFonts w:hint="eastAsia" w:ascii="宋体" w:hAnsi="宋体"/>
          <w:color w:val="000000" w:themeColor="text1"/>
          <w:kern w:val="0"/>
          <w:szCs w:val="21"/>
          <w:highlight w:val="none"/>
        </w:rPr>
        <w:t>成交供应商的谈判保证金,在成交供应商与采购人签订采购合同并执行了缴交成交服务费的规定后5个工作日内不计利息原额退还。</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14.6 若有下列情况之一，谈判保证金将被没收，因此而造成采购人的损失须由响应供应商承担：</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响应供应商在谈判文件规定的谈判有效期内撤回其单一来源谈判响应文件；</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成交响应供应商在规定期限内未能按本须知的规定提交履约保证金（如有）；</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成交后未按谈判文件中的规定缴付成交服务费；</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pPr>
        <w:tabs>
          <w:tab w:val="left" w:pos="567"/>
        </w:tabs>
        <w:spacing w:line="360" w:lineRule="auto"/>
        <w:ind w:left="500" w:leftChars="238"/>
        <w:rPr>
          <w:rFonts w:ascii="宋体" w:hAnsi="宋体"/>
          <w:color w:val="000000" w:themeColor="text1"/>
          <w:kern w:val="0"/>
          <w:szCs w:val="21"/>
          <w:highlight w:val="none"/>
        </w:rPr>
      </w:pPr>
    </w:p>
    <w:p>
      <w:pPr>
        <w:pStyle w:val="23"/>
        <w:adjustRightInd w:val="0"/>
        <w:snapToGrid w:val="0"/>
        <w:spacing w:line="360" w:lineRule="auto"/>
        <w:outlineLvl w:val="1"/>
        <w:rPr>
          <w:rFonts w:hAnsi="宋体" w:cs="Times New Roman"/>
          <w:b/>
          <w:color w:val="000000" w:themeColor="text1"/>
          <w:highlight w:val="none"/>
        </w:rPr>
      </w:pPr>
      <w:bookmarkStart w:id="83" w:name="_Toc459971452"/>
      <w:bookmarkStart w:id="84" w:name="_Toc19171"/>
      <w:r>
        <w:rPr>
          <w:rFonts w:hint="eastAsia" w:hAnsi="宋体" w:cs="Times New Roman"/>
          <w:b/>
          <w:color w:val="000000" w:themeColor="text1"/>
          <w:highlight w:val="none"/>
        </w:rPr>
        <w:t>六、单一来源谈判响应文件的份数、封装和递交</w:t>
      </w:r>
      <w:bookmarkEnd w:id="83"/>
      <w:bookmarkEnd w:id="84"/>
    </w:p>
    <w:p>
      <w:pPr>
        <w:autoSpaceDE w:val="0"/>
        <w:autoSpaceDN w:val="0"/>
        <w:adjustRightInd w:val="0"/>
        <w:snapToGrid w:val="0"/>
        <w:spacing w:line="36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15.  单一来源谈判响应文件的数量和签署</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15.1 响应供应商应编制</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谈判响应文件份数详见《谈判须知前附表》，</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谈判响应文件的副本可采用正本的复印件。每套</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谈判响应文件须清楚地标明“正本”、“副本”。若副本与正本不符，以正本为准。</w:t>
      </w:r>
      <w:r>
        <w:rPr>
          <w:rFonts w:hint="eastAsia" w:ascii="宋体"/>
          <w:bCs/>
          <w:color w:val="000000" w:themeColor="text1"/>
          <w:highlight w:val="none"/>
        </w:rPr>
        <w:t>（注：单一来源谈判响应文件副本可为正本的复印件）。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15.2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谈判响应文件的正本需打印或用不褪色墨水书写，并由</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或经其正式授权的代表签字。授权代表须出具书面授权证明，其《</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授权书》应附在</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谈判响应文件中。</w:t>
      </w:r>
    </w:p>
    <w:p>
      <w:pPr>
        <w:pStyle w:val="23"/>
        <w:adjustRightInd w:val="0"/>
        <w:snapToGrid w:val="0"/>
        <w:spacing w:line="360" w:lineRule="auto"/>
        <w:ind w:left="473" w:hanging="472" w:hangingChars="225"/>
        <w:rPr>
          <w:rFonts w:hAnsi="宋体" w:cs="Times New Roman"/>
          <w:color w:val="000000" w:themeColor="text1"/>
          <w:kern w:val="0"/>
          <w:highlight w:val="none"/>
        </w:rPr>
      </w:pPr>
      <w:r>
        <w:rPr>
          <w:rFonts w:hint="eastAsia" w:hAnsi="宋体" w:cs="Times New Roman"/>
          <w:color w:val="000000" w:themeColor="text1"/>
          <w:kern w:val="0"/>
          <w:highlight w:val="none"/>
        </w:rPr>
        <w:t xml:space="preserve">15.3 </w:t>
      </w:r>
      <w:r>
        <w:rPr>
          <w:rFonts w:hint="eastAsia" w:hAnsi="宋体"/>
          <w:color w:val="000000" w:themeColor="text1"/>
          <w:highlight w:val="none"/>
        </w:rPr>
        <w:t>单一来源</w:t>
      </w:r>
      <w:r>
        <w:rPr>
          <w:rFonts w:hint="eastAsia" w:hAnsi="宋体" w:cs="Times New Roman"/>
          <w:color w:val="000000" w:themeColor="text1"/>
          <w:kern w:val="0"/>
          <w:highlight w:val="none"/>
        </w:rPr>
        <w:t>谈判响应文件中的任何重要的插字、涂改和增删，必须由</w:t>
      </w:r>
      <w:r>
        <w:rPr>
          <w:rFonts w:hint="eastAsia" w:hAnsi="宋体" w:cs="Times New Roman"/>
          <w:color w:val="000000" w:themeColor="text1"/>
          <w:kern w:val="0"/>
          <w:highlight w:val="none"/>
          <w:lang w:eastAsia="zh-CN"/>
        </w:rPr>
        <w:t>法定代表人（负责人）</w:t>
      </w:r>
      <w:r>
        <w:rPr>
          <w:rFonts w:hint="eastAsia" w:hAnsi="宋体" w:cs="Times New Roman"/>
          <w:color w:val="000000" w:themeColor="text1"/>
          <w:kern w:val="0"/>
          <w:highlight w:val="none"/>
        </w:rPr>
        <w:t>或经其正式授权的代表在旁边签章或签字</w:t>
      </w:r>
      <w:r>
        <w:rPr>
          <w:rFonts w:hint="eastAsia"/>
          <w:bCs/>
          <w:color w:val="000000" w:themeColor="text1"/>
          <w:highlight w:val="none"/>
        </w:rPr>
        <w:t>并在修改处加盖公章</w:t>
      </w:r>
      <w:r>
        <w:rPr>
          <w:rFonts w:hint="eastAsia" w:hAnsi="宋体" w:cs="Times New Roman"/>
          <w:color w:val="000000" w:themeColor="text1"/>
          <w:kern w:val="0"/>
          <w:highlight w:val="none"/>
        </w:rPr>
        <w:t>才有效。</w:t>
      </w:r>
    </w:p>
    <w:p>
      <w:pPr>
        <w:tabs>
          <w:tab w:val="left" w:pos="8280"/>
        </w:tabs>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15.4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谈判响应文件的谈判有效期为从报价截止日起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16.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谈判响应文件的递交</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16.1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谈判响应文件应于第一部分《谈判邀请》中规定的截止时点前递交到采购代理机构。</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16.2 迟交的</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谈判响应文件，按《政府采购法》的规定，采购代理机构将拒收或原封退回在其规定的递交</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谈判响应文件截止时点之后收到的任何</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p>
    <w:p>
      <w:pPr>
        <w:pStyle w:val="23"/>
        <w:adjustRightInd w:val="0"/>
        <w:snapToGrid w:val="0"/>
        <w:spacing w:line="360" w:lineRule="auto"/>
        <w:outlineLvl w:val="1"/>
        <w:rPr>
          <w:rFonts w:hAnsi="宋体" w:cs="Times New Roman"/>
          <w:b/>
          <w:color w:val="000000" w:themeColor="text1"/>
          <w:highlight w:val="none"/>
        </w:rPr>
      </w:pPr>
      <w:bookmarkStart w:id="85" w:name="_Toc459971453"/>
      <w:bookmarkStart w:id="86" w:name="_Toc10480"/>
      <w:r>
        <w:rPr>
          <w:rFonts w:hint="eastAsia" w:hAnsi="宋体" w:cs="Times New Roman"/>
          <w:b/>
          <w:color w:val="000000" w:themeColor="text1"/>
          <w:highlight w:val="none"/>
        </w:rPr>
        <w:t>七、谈判的步骤</w:t>
      </w:r>
      <w:bookmarkEnd w:id="85"/>
      <w:bookmarkEnd w:id="86"/>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17.谈判文件的澄清</w:t>
      </w:r>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17.1任何要求对谈判文件进行澄清的响应供应商，均应以书面形式在谈判文件规定的谈判响应文件递交截止日以前通知采购代理机构。采购代理机构将组织采购人对响应供应商所要求澄清的内容以书面形式予以答复。必要时，采购代理机构将组织相关专家召开答疑会，会议内容或以书面的形式发给购买谈判文件的潜在响应供应商（答复中不包括问题的来源）。</w:t>
      </w:r>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17.2响应供应商在规定的时间内未要求对谈判文件澄清或提出疑问的，采购代理机构将视其为无异议。对谈判文件中描述有歧意或前后不一致的地方，评标委员会有权进行评判。</w:t>
      </w:r>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 谈判</w:t>
      </w:r>
    </w:p>
    <w:p>
      <w:pPr>
        <w:pStyle w:val="23"/>
        <w:adjustRightInd w:val="0"/>
        <w:snapToGrid w:val="0"/>
        <w:spacing w:line="360" w:lineRule="auto"/>
        <w:ind w:left="420" w:hanging="420" w:hangingChars="200"/>
        <w:rPr>
          <w:rFonts w:hAnsi="宋体"/>
          <w:color w:val="000000" w:themeColor="text1"/>
          <w:highlight w:val="none"/>
        </w:rPr>
      </w:pPr>
      <w:r>
        <w:rPr>
          <w:rFonts w:hint="eastAsia" w:hAnsi="宋体" w:cs="Times New Roman"/>
          <w:color w:val="000000" w:themeColor="text1"/>
          <w:highlight w:val="none"/>
        </w:rPr>
        <w:t>18.1单一来源小组成员从政府采购专家库随机抽取产生，详见</w:t>
      </w:r>
      <w:r>
        <w:rPr>
          <w:rFonts w:hint="eastAsia" w:hAnsi="宋体"/>
          <w:color w:val="000000" w:themeColor="text1"/>
          <w:kern w:val="0"/>
          <w:highlight w:val="none"/>
        </w:rPr>
        <w:t>《谈判须知前附表》</w:t>
      </w:r>
      <w:r>
        <w:rPr>
          <w:rFonts w:hint="eastAsia" w:hAnsi="宋体" w:cs="Times New Roman"/>
          <w:color w:val="000000" w:themeColor="text1"/>
          <w:highlight w:val="none"/>
        </w:rPr>
        <w:t>。</w:t>
      </w:r>
      <w:r>
        <w:rPr>
          <w:rFonts w:hint="eastAsia" w:hAnsi="宋体"/>
          <w:color w:val="000000" w:themeColor="text1"/>
          <w:highlight w:val="none"/>
        </w:rPr>
        <w:t>单一来源小组对</w:t>
      </w:r>
      <w:r>
        <w:rPr>
          <w:rFonts w:hint="eastAsia" w:hAnsi="宋体" w:cs="Times New Roman"/>
          <w:color w:val="000000" w:themeColor="text1"/>
          <w:highlight w:val="none"/>
        </w:rPr>
        <w:t>单一来源谈判响应文件进行初审工作，初审包括资格性审查和符合性审查。</w:t>
      </w:r>
    </w:p>
    <w:p>
      <w:pPr>
        <w:autoSpaceDE w:val="0"/>
        <w:autoSpaceDN w:val="0"/>
        <w:adjustRightInd w:val="0"/>
        <w:snapToGrid w:val="0"/>
        <w:spacing w:line="360" w:lineRule="auto"/>
        <w:ind w:right="32"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在资格性审查、符合性检查时，如发现下列情形之一的，单一来源谈判响应文件将被视为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(1)响应供应商未提交谈判保证金或金额不足、谈判保证金提交形式不符合谈判文件要求的；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报价总金额</w:t>
      </w:r>
      <w:r>
        <w:rPr>
          <w:rFonts w:hint="eastAsia" w:ascii="宋体" w:hAnsi="宋体"/>
          <w:color w:val="000000" w:themeColor="text1"/>
          <w:kern w:val="0"/>
          <w:szCs w:val="21"/>
          <w:highlight w:val="none"/>
        </w:rPr>
        <w:t>超过本项目采购预算（或最高限价）；</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(3)单一来源谈判响应文件或资格证明文件未提供或不符合谈判文件要求的；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(4)不具备谈判文件中规定资格要求的；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(5)未按照谈判文件规定要求签署、盖章的； </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(6)</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谈判响应文件无</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签字或签字人无</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有效授权的；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(8)</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谈判响应文件对谈判文件的实质性技术与商务的（即标注★号条款）条款产生偏离的。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(9)符合谈判文件中规定的被确定为响应无效的其它条款的。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18.2</w:t>
      </w:r>
      <w:r>
        <w:rPr>
          <w:rFonts w:hint="eastAsia" w:hAnsi="宋体"/>
          <w:color w:val="000000" w:themeColor="text1"/>
          <w:highlight w:val="none"/>
        </w:rPr>
        <w:t>审查单一来源谈判响应文件是否对谈判文件作出实质性的响应。对未作出实质性响应的供应商应实行现场告知，由单一来源小组或采购人代表将集体意见现场及时告知该供应商，以让其核证、澄清事实。</w:t>
      </w:r>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18.3 单一来源小组与供应商应围绕技术、商务、合同条款等内容分别进行一轮或多轮的谈判。在谈判过程中，单一来源小组应当严格遵循保密原则，未经响应供应商同意不得向任何人透露当事人技术、价格和其他重要信息。</w:t>
      </w:r>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 xml:space="preserve">18.4 谈判文件的修正：单一来源小组调整或修改采购需求内容时，应取得单一来源小组的一致同意，并以书面形式通知所有参加谈判的供应商。但任何形式的决定须以符合公平、公正原则和有利于项目的顺利实施为前提。 </w:t>
      </w:r>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18.5  在谈判过程中，响应供应商提交的澄清文件和最终报价文件，由响应供应商法人代表或授权代表签署后生效，响应供应商应受其约束。</w:t>
      </w:r>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w:t>
      </w:r>
      <w:r>
        <w:rPr>
          <w:rFonts w:hAnsi="宋体" w:cs="Times New Roman"/>
          <w:color w:val="000000" w:themeColor="text1"/>
          <w:highlight w:val="none"/>
        </w:rPr>
        <w:t>6</w:t>
      </w:r>
      <w:r>
        <w:rPr>
          <w:rFonts w:hint="eastAsia" w:hAnsi="宋体" w:cs="Times New Roman"/>
          <w:color w:val="000000" w:themeColor="text1"/>
          <w:highlight w:val="none"/>
        </w:rPr>
        <w:t xml:space="preserve"> </w:t>
      </w:r>
      <w:r>
        <w:rPr>
          <w:rFonts w:hint="eastAsia" w:hAnsi="宋体"/>
          <w:color w:val="000000" w:themeColor="text1"/>
          <w:highlight w:val="none"/>
        </w:rPr>
        <w:t>单一来源小组进行综合评议审核，对供应商提供服务项目均能满足谈判文件规定最低要求条件时，才能推荐为成交的候选对象。</w:t>
      </w:r>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olor w:val="000000" w:themeColor="text1"/>
          <w:highlight w:val="none"/>
        </w:rPr>
        <w:t>18.</w:t>
      </w:r>
      <w:r>
        <w:rPr>
          <w:rFonts w:hAnsi="宋体"/>
          <w:color w:val="000000" w:themeColor="text1"/>
          <w:highlight w:val="none"/>
        </w:rPr>
        <w:t>7</w:t>
      </w:r>
      <w:r>
        <w:rPr>
          <w:rFonts w:hint="eastAsia" w:hAnsi="宋体"/>
          <w:color w:val="000000" w:themeColor="text1"/>
          <w:highlight w:val="none"/>
        </w:rPr>
        <w:t xml:space="preserve"> 代理机构对谈判过程和重要谈判内容进行记录。</w:t>
      </w:r>
    </w:p>
    <w:p>
      <w:pPr>
        <w:pStyle w:val="23"/>
        <w:adjustRightInd w:val="0"/>
        <w:snapToGrid w:val="0"/>
        <w:spacing w:line="360" w:lineRule="auto"/>
        <w:ind w:left="420" w:hanging="420" w:hangingChars="200"/>
        <w:rPr>
          <w:rFonts w:hAnsi="宋体" w:cs="Times New Roman"/>
          <w:color w:val="000000" w:themeColor="text1"/>
          <w:highlight w:val="none"/>
        </w:rPr>
      </w:pPr>
    </w:p>
    <w:p>
      <w:pPr>
        <w:pStyle w:val="23"/>
        <w:adjustRightInd w:val="0"/>
        <w:snapToGrid w:val="0"/>
        <w:spacing w:line="360" w:lineRule="auto"/>
        <w:outlineLvl w:val="1"/>
        <w:rPr>
          <w:rFonts w:hAnsi="宋体" w:cs="Times New Roman"/>
          <w:b/>
          <w:color w:val="000000" w:themeColor="text1"/>
          <w:highlight w:val="none"/>
        </w:rPr>
      </w:pPr>
      <w:bookmarkStart w:id="87" w:name="_Toc459971454"/>
      <w:bookmarkStart w:id="88" w:name="_Toc5689"/>
      <w:r>
        <w:rPr>
          <w:rFonts w:hint="eastAsia" w:hAnsi="宋体" w:cs="Times New Roman"/>
          <w:b/>
          <w:color w:val="000000" w:themeColor="text1"/>
          <w:highlight w:val="none"/>
        </w:rPr>
        <w:t>八、确定成交供应商办法</w:t>
      </w:r>
      <w:bookmarkEnd w:id="87"/>
      <w:bookmarkEnd w:id="88"/>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19.确定成交供应商</w:t>
      </w:r>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19.1根据符合采购需求、质量和服务且报价最低的原则确定成交供应商。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19.2 </w:t>
      </w:r>
      <w:r>
        <w:rPr>
          <w:rFonts w:hint="eastAsia" w:ascii="宋体" w:hAnsi="宋体"/>
          <w:color w:val="000000" w:themeColor="text1"/>
          <w:kern w:val="0"/>
          <w:szCs w:val="21"/>
          <w:highlight w:val="none"/>
        </w:rPr>
        <w:t>成交供应商确定后，采购代理机构在信息发布媒体上发布成交公告，向成交人发出《成交通知书》，《成交通知书》对成交人和采购人具有同等法律效力。</w:t>
      </w:r>
    </w:p>
    <w:p>
      <w:pPr>
        <w:pStyle w:val="23"/>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 xml:space="preserve">20. </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s="Times New Roman"/>
          <w:color w:val="000000" w:themeColor="text1"/>
          <w:highlight w:val="none"/>
        </w:rPr>
        <w:t>监管部门批准后，</w:t>
      </w:r>
      <w:r>
        <w:rPr>
          <w:rFonts w:hint="eastAsia" w:hAnsi="宋体"/>
          <w:color w:val="000000" w:themeColor="text1"/>
          <w:kern w:val="0"/>
          <w:highlight w:val="none"/>
        </w:rPr>
        <w:t>采购人重新进行组织采购。</w:t>
      </w:r>
    </w:p>
    <w:p>
      <w:pPr>
        <w:tabs>
          <w:tab w:val="left" w:pos="0"/>
        </w:tabs>
        <w:adjustRightInd w:val="0"/>
        <w:snapToGrid w:val="0"/>
        <w:spacing w:line="36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21. 项目响应无效处理</w:t>
      </w:r>
    </w:p>
    <w:p>
      <w:pPr>
        <w:spacing w:line="360" w:lineRule="auto"/>
        <w:rPr>
          <w:rFonts w:ascii="宋体" w:hAnsi="宋体"/>
          <w:color w:val="000000" w:themeColor="text1"/>
          <w:kern w:val="0"/>
          <w:szCs w:val="21"/>
          <w:highlight w:val="none"/>
        </w:rPr>
      </w:pPr>
      <w:r>
        <w:rPr>
          <w:rFonts w:hint="eastAsia" w:ascii="宋体" w:hAnsi="宋体"/>
          <w:color w:val="000000" w:themeColor="text1"/>
          <w:kern w:val="0"/>
          <w:szCs w:val="21"/>
          <w:highlight w:val="none"/>
        </w:rPr>
        <w:t>21.1 根据《政府采购法》第三十六条规定，下列情况出现将被确定为响应无效：</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 出现影响采购公正的违法、违规行为的； </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响应供应商的报价均超过了采购预算，采购人不能支付的；</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因重大变故，采购任务取消的。</w:t>
      </w:r>
    </w:p>
    <w:p>
      <w:pPr>
        <w:autoSpaceDE w:val="0"/>
        <w:autoSpaceDN w:val="0"/>
        <w:adjustRightInd w:val="0"/>
        <w:snapToGrid w:val="0"/>
        <w:spacing w:line="360" w:lineRule="auto"/>
        <w:ind w:left="473" w:right="32" w:hanging="472" w:hangingChars="225"/>
        <w:rPr>
          <w:rFonts w:ascii="宋体" w:hAnsi="宋体"/>
          <w:color w:val="000000" w:themeColor="text1"/>
          <w:szCs w:val="21"/>
          <w:highlight w:val="none"/>
        </w:rPr>
      </w:pPr>
    </w:p>
    <w:p>
      <w:pPr>
        <w:pStyle w:val="23"/>
        <w:adjustRightInd w:val="0"/>
        <w:snapToGrid w:val="0"/>
        <w:spacing w:line="360" w:lineRule="auto"/>
        <w:outlineLvl w:val="1"/>
        <w:rPr>
          <w:rFonts w:hAnsi="宋体" w:cs="Times New Roman"/>
          <w:b/>
          <w:color w:val="000000" w:themeColor="text1"/>
          <w:highlight w:val="none"/>
        </w:rPr>
      </w:pPr>
      <w:bookmarkStart w:id="89" w:name="_Toc9985"/>
      <w:bookmarkStart w:id="90" w:name="_Toc459971455"/>
      <w:r>
        <w:rPr>
          <w:rFonts w:hint="eastAsia" w:hAnsi="宋体" w:cs="Times New Roman"/>
          <w:b/>
          <w:color w:val="000000" w:themeColor="text1"/>
          <w:highlight w:val="none"/>
        </w:rPr>
        <w:t>九、质疑</w:t>
      </w:r>
      <w:bookmarkEnd w:id="89"/>
      <w:bookmarkEnd w:id="90"/>
    </w:p>
    <w:p>
      <w:pPr>
        <w:autoSpaceDE w:val="0"/>
        <w:autoSpaceDN w:val="0"/>
        <w:adjustRightInd w:val="0"/>
        <w:snapToGrid w:val="0"/>
        <w:spacing w:line="360" w:lineRule="auto"/>
        <w:ind w:left="473" w:right="32" w:hanging="472" w:hangingChars="225"/>
        <w:rPr>
          <w:rFonts w:ascii="宋体" w:hAnsi="宋体"/>
          <w:color w:val="000000" w:themeColor="text1"/>
          <w:szCs w:val="21"/>
          <w:highlight w:val="none"/>
        </w:rPr>
      </w:pPr>
      <w:r>
        <w:rPr>
          <w:rFonts w:hint="eastAsia" w:ascii="宋体" w:hAnsi="宋体"/>
          <w:color w:val="000000" w:themeColor="text1"/>
          <w:szCs w:val="21"/>
          <w:highlight w:val="none"/>
        </w:rPr>
        <w:t>22. 如果响应供应商对此次采购活动有疑问，可依法向采购代理机构提出质疑。采购代理机构应当依法给与答复，并将结果告知有关当事人。</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p>
    <w:p>
      <w:pPr>
        <w:pStyle w:val="23"/>
        <w:adjustRightInd w:val="0"/>
        <w:snapToGrid w:val="0"/>
        <w:spacing w:line="360" w:lineRule="auto"/>
        <w:outlineLvl w:val="1"/>
        <w:rPr>
          <w:rFonts w:hAnsi="宋体" w:cs="Times New Roman"/>
          <w:b/>
          <w:color w:val="000000" w:themeColor="text1"/>
          <w:highlight w:val="none"/>
        </w:rPr>
      </w:pPr>
      <w:bookmarkStart w:id="91" w:name="_Toc345675374"/>
      <w:bookmarkStart w:id="92" w:name="_Toc24047"/>
      <w:bookmarkStart w:id="93" w:name="_Toc322033397"/>
      <w:bookmarkStart w:id="94" w:name="_Toc459971456"/>
      <w:r>
        <w:rPr>
          <w:rFonts w:hint="eastAsia" w:hAnsi="宋体" w:cs="Times New Roman"/>
          <w:b/>
          <w:color w:val="000000" w:themeColor="text1"/>
          <w:highlight w:val="none"/>
        </w:rPr>
        <w:t>十、成交服务费</w:t>
      </w:r>
      <w:bookmarkEnd w:id="91"/>
      <w:bookmarkEnd w:id="92"/>
      <w:bookmarkEnd w:id="93"/>
      <w:bookmarkEnd w:id="94"/>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23. 成交服务费</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23.1成交供应商应在领取《成交通知书》原件时，以银行汇票、电汇、支票或现金方式，向采购代理机构一次性支付成交服务费。采购代理机构收款人、开户行及帐号在支付申请中告知。</w:t>
      </w:r>
    </w:p>
    <w:p>
      <w:pPr>
        <w:spacing w:line="360" w:lineRule="auto"/>
        <w:ind w:left="720" w:hanging="720"/>
        <w:rPr>
          <w:rFonts w:ascii="宋体" w:hAnsi="宋体"/>
          <w:color w:val="000000" w:themeColor="text1"/>
          <w:szCs w:val="21"/>
          <w:highlight w:val="none"/>
        </w:rPr>
      </w:pPr>
      <w:r>
        <w:rPr>
          <w:rFonts w:hint="eastAsia" w:ascii="宋体" w:hAnsi="宋体"/>
          <w:color w:val="000000" w:themeColor="text1"/>
          <w:szCs w:val="21"/>
          <w:highlight w:val="none"/>
        </w:rPr>
        <w:t>23.2 成交服务费币种与成交通知书中成交价的币种相同。</w:t>
      </w:r>
    </w:p>
    <w:p>
      <w:pPr>
        <w:spacing w:line="360" w:lineRule="auto"/>
        <w:ind w:left="720" w:hanging="720"/>
        <w:rPr>
          <w:rFonts w:ascii="宋体" w:hAnsi="宋体"/>
          <w:color w:val="000000" w:themeColor="text1"/>
          <w:szCs w:val="21"/>
          <w:highlight w:val="none"/>
        </w:rPr>
      </w:pPr>
      <w:r>
        <w:rPr>
          <w:rFonts w:hint="eastAsia" w:ascii="宋体" w:hAnsi="宋体"/>
          <w:color w:val="000000" w:themeColor="text1"/>
          <w:szCs w:val="21"/>
          <w:highlight w:val="none"/>
        </w:rPr>
        <w:t>23.3 成交服务费不列在投标报价中。</w:t>
      </w:r>
    </w:p>
    <w:p>
      <w:pPr>
        <w:spacing w:line="360" w:lineRule="auto"/>
        <w:ind w:left="720" w:hanging="720"/>
        <w:rPr>
          <w:rFonts w:ascii="宋体" w:hAnsi="宋体"/>
          <w:color w:val="000000" w:themeColor="text1"/>
          <w:szCs w:val="21"/>
          <w:highlight w:val="none"/>
        </w:rPr>
      </w:pPr>
      <w:bookmarkStart w:id="95" w:name="_Toc459971457"/>
      <w:bookmarkStart w:id="96" w:name="_Toc458508246"/>
      <w:bookmarkStart w:id="97" w:name="_Toc458155012"/>
      <w:r>
        <w:rPr>
          <w:rFonts w:hint="eastAsia" w:ascii="宋体" w:hAnsi="宋体"/>
          <w:color w:val="000000" w:themeColor="text1"/>
          <w:szCs w:val="21"/>
          <w:highlight w:val="none"/>
        </w:rPr>
        <w:t>23.4成交服务费</w:t>
      </w:r>
      <w:bookmarkEnd w:id="95"/>
      <w:bookmarkEnd w:id="96"/>
      <w:bookmarkEnd w:id="97"/>
      <w:r>
        <w:rPr>
          <w:rFonts w:hint="eastAsia" w:ascii="宋体" w:hAnsi="宋体"/>
          <w:color w:val="000000" w:themeColor="text1"/>
          <w:szCs w:val="21"/>
          <w:highlight w:val="none"/>
        </w:rPr>
        <w:t>由采购人支付。</w:t>
      </w:r>
    </w:p>
    <w:p>
      <w:pPr>
        <w:pStyle w:val="23"/>
        <w:adjustRightInd w:val="0"/>
        <w:snapToGrid w:val="0"/>
        <w:spacing w:line="360" w:lineRule="auto"/>
        <w:outlineLvl w:val="1"/>
        <w:rPr>
          <w:rFonts w:hAnsi="宋体" w:cs="Times New Roman"/>
          <w:b/>
          <w:color w:val="000000" w:themeColor="text1"/>
          <w:highlight w:val="none"/>
        </w:rPr>
      </w:pPr>
      <w:bookmarkStart w:id="98" w:name="_Toc459971458"/>
      <w:bookmarkStart w:id="99" w:name="_Toc25538"/>
      <w:bookmarkStart w:id="100" w:name="_Toc536594109"/>
      <w:r>
        <w:rPr>
          <w:rFonts w:hint="eastAsia" w:hAnsi="宋体" w:cs="Times New Roman"/>
          <w:b/>
          <w:color w:val="000000" w:themeColor="text1"/>
          <w:highlight w:val="none"/>
        </w:rPr>
        <w:t>十一、合同的订立和履行</w:t>
      </w:r>
      <w:bookmarkEnd w:id="98"/>
      <w:bookmarkEnd w:id="99"/>
    </w:p>
    <w:bookmarkEnd w:id="100"/>
    <w:p>
      <w:pPr>
        <w:spacing w:line="36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24.合同的订立</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24.1 采购人与成交响应供应商自成交通知书发出之日起三十日内，按谈判文件要求和成交供应商单一来源谈判响应文件承诺签订政府采购合同，但不得超出谈判文件和成交供应商单一来源谈判响应文件的范围、也不得再行订立背离合同实质性内容的其他协议。</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24.2 签订政府采购合同后7个工作日内，采购人应将政府采购合同副本报同级政府采购监督管理部门备案。</w:t>
      </w:r>
    </w:p>
    <w:p>
      <w:pPr>
        <w:spacing w:line="36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24.3履约保证金</w:t>
      </w:r>
      <w:r>
        <w:rPr>
          <w:rFonts w:hint="eastAsia" w:ascii="宋体" w:hAnsi="宋体"/>
          <w:b/>
          <w:snapToGrid w:val="0"/>
          <w:color w:val="000000" w:themeColor="text1"/>
          <w:kern w:val="0"/>
          <w:szCs w:val="21"/>
          <w:highlight w:val="none"/>
        </w:rPr>
        <w:t>(如有)</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24.3.1成交供应商应在签署合同后10天内提交履约保证金，履约保证金金额应按《谈判须知前附表》中规定的金额。提交方式可按照下述方式提交：</w:t>
      </w:r>
    </w:p>
    <w:p>
      <w:pPr>
        <w:tabs>
          <w:tab w:val="left" w:pos="540"/>
        </w:tabs>
        <w:spacing w:line="360" w:lineRule="auto"/>
        <w:ind w:left="420" w:leftChars="200"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(1)履约保证金采用电汇、转帐方式提交( 注明成交通知书编号)。成交供应商必须保证资金在签订合同后的十个日历日内到帐,以银行收到为准）。保证金汇入采购人指定的履约保证金专用账户，待项目验收合格及结算完毕后28日内，采购人将把履约保证金无息退还成交供应商。</w:t>
      </w:r>
    </w:p>
    <w:p>
      <w:pPr>
        <w:tabs>
          <w:tab w:val="left" w:pos="540"/>
        </w:tabs>
        <w:spacing w:line="360" w:lineRule="auto"/>
        <w:ind w:left="420" w:leftChars="200"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采用履约保函方式：应按照合同条款的规定，向采购人提交由银行支行及以上机构出具的履约保函。保函格式如与谈判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谈判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(3)采购人认可的其它方式。</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24.3.2  如果成交供应商不按照谈判文件或合同条款规定提交履约保证金，招标采购单位将有充分理由取消该成交决定，并没收其谈判保证金。采购人可以与排位在成交供应商之后第一位的成交候选人签订政府采购合同，以此类推，或者重新进行组织采购。</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 合同的履行</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报同级政府采购监督管理部门备案。</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26.  发票</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26.1 该项目获得成交的成交供应商在执行合同过程中，向采购人出具的发票必须是由成交供应商开具，不得以其他单位或个人名义出具。</w:t>
      </w:r>
    </w:p>
    <w:p>
      <w:pPr>
        <w:spacing w:line="360" w:lineRule="auto"/>
        <w:ind w:left="630" w:hanging="630" w:hangingChars="300"/>
        <w:rPr>
          <w:rFonts w:ascii="宋体" w:hAnsi="宋体"/>
          <w:color w:val="000000" w:themeColor="text1"/>
          <w:szCs w:val="21"/>
          <w:highlight w:val="none"/>
        </w:rPr>
      </w:pPr>
    </w:p>
    <w:p>
      <w:pPr>
        <w:pStyle w:val="23"/>
        <w:adjustRightInd w:val="0"/>
        <w:snapToGrid w:val="0"/>
        <w:spacing w:line="360" w:lineRule="auto"/>
        <w:outlineLvl w:val="1"/>
        <w:rPr>
          <w:rFonts w:hAnsi="宋体" w:cs="Times New Roman"/>
          <w:b/>
          <w:color w:val="000000" w:themeColor="text1"/>
          <w:highlight w:val="none"/>
        </w:rPr>
      </w:pPr>
      <w:bookmarkStart w:id="101" w:name="_Toc322033399"/>
      <w:bookmarkStart w:id="102" w:name="_Toc24357"/>
      <w:bookmarkStart w:id="103" w:name="_Toc459971459"/>
      <w:bookmarkStart w:id="104" w:name="_Toc345675376"/>
      <w:r>
        <w:rPr>
          <w:rFonts w:hint="eastAsia" w:hAnsi="宋体" w:cs="Times New Roman"/>
          <w:b/>
          <w:color w:val="000000" w:themeColor="text1"/>
          <w:highlight w:val="none"/>
        </w:rPr>
        <w:t>十二、适用法律</w:t>
      </w:r>
      <w:bookmarkEnd w:id="101"/>
      <w:bookmarkEnd w:id="102"/>
      <w:bookmarkEnd w:id="103"/>
      <w:bookmarkEnd w:id="104"/>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27. 采购人及响应供应商的一切招标投标活动均适用《中华人民共和国政府采购法》及其配套的法规、规章、政策。工程类项目适用《中华人民共和国招标投标法》及其配套的法规、规章、政策。</w:t>
      </w:r>
    </w:p>
    <w:p>
      <w:pPr>
        <w:spacing w:line="300" w:lineRule="auto"/>
        <w:ind w:left="630" w:hanging="630" w:hangingChars="300"/>
        <w:rPr>
          <w:rFonts w:ascii="宋体" w:hAnsi="宋体"/>
          <w:color w:val="000000" w:themeColor="text1"/>
          <w:szCs w:val="21"/>
          <w:highlight w:val="none"/>
        </w:rPr>
      </w:pPr>
      <w:r>
        <w:rPr>
          <w:rFonts w:ascii="宋体" w:hAnsi="宋体"/>
          <w:color w:val="000000" w:themeColor="text1"/>
          <w:szCs w:val="21"/>
          <w:highlight w:val="none"/>
        </w:rPr>
        <w:br w:type="page"/>
      </w:r>
    </w:p>
    <w:p>
      <w:pPr>
        <w:pStyle w:val="3"/>
        <w:numPr>
          <w:ilvl w:val="0"/>
          <w:numId w:val="0"/>
        </w:numPr>
        <w:jc w:val="center"/>
        <w:rPr>
          <w:rFonts w:ascii="宋体" w:hAnsi="宋体"/>
          <w:color w:val="000000" w:themeColor="text1"/>
          <w:sz w:val="21"/>
          <w:szCs w:val="21"/>
          <w:highlight w:val="none"/>
        </w:rPr>
      </w:pPr>
      <w:bookmarkStart w:id="105" w:name="_Toc333935355"/>
      <w:bookmarkStart w:id="106" w:name="_Toc339020024"/>
      <w:bookmarkStart w:id="107" w:name="_Toc365967081"/>
      <w:bookmarkStart w:id="108" w:name="_Toc333935696"/>
      <w:bookmarkStart w:id="109" w:name="_Toc339020104"/>
      <w:bookmarkStart w:id="110" w:name="_Toc365985187"/>
      <w:bookmarkStart w:id="111" w:name="_Toc331512907"/>
      <w:bookmarkStart w:id="112" w:name="_Toc349143598"/>
      <w:bookmarkStart w:id="113" w:name="_Toc350756459"/>
      <w:bookmarkStart w:id="114" w:name="_Toc337632367"/>
      <w:bookmarkStart w:id="115" w:name="_Toc345513910"/>
      <w:bookmarkStart w:id="116" w:name="_Toc340677079"/>
      <w:bookmarkStart w:id="117" w:name="_Toc339362309"/>
      <w:bookmarkStart w:id="118" w:name="_Toc339019898"/>
      <w:bookmarkStart w:id="119" w:name="_Toc339020242"/>
      <w:bookmarkStart w:id="120" w:name="_Toc333238642"/>
      <w:bookmarkStart w:id="121" w:name="_Toc366072538"/>
      <w:bookmarkStart w:id="122" w:name="_Toc341348347"/>
      <w:bookmarkStart w:id="123" w:name="_Toc340507451"/>
      <w:bookmarkStart w:id="124" w:name="_Toc374454610"/>
      <w:bookmarkStart w:id="125" w:name="_Toc340672878"/>
      <w:bookmarkStart w:id="126" w:name="_Toc332270355"/>
      <w:bookmarkStart w:id="127" w:name="_Toc330459994"/>
      <w:bookmarkStart w:id="128" w:name="_Toc342060383"/>
      <w:bookmarkStart w:id="129" w:name="_Toc339441096"/>
      <w:bookmarkStart w:id="130" w:name="_Toc333237686"/>
      <w:bookmarkStart w:id="131" w:name="_Toc332206717"/>
      <w:bookmarkStart w:id="132" w:name="_Toc336681589"/>
      <w:bookmarkStart w:id="133" w:name="_Toc333237797"/>
      <w:bookmarkStart w:id="134" w:name="_Toc349127635"/>
      <w:bookmarkStart w:id="135" w:name="_Toc350438758"/>
      <w:bookmarkStart w:id="136" w:name="_Toc342296769"/>
      <w:bookmarkStart w:id="137" w:name="_Toc336681944"/>
      <w:bookmarkStart w:id="138" w:name="_Toc331684047"/>
      <w:bookmarkStart w:id="139" w:name="_Toc2696"/>
      <w:bookmarkStart w:id="140" w:name="_Toc24660"/>
      <w:bookmarkStart w:id="141" w:name="_Toc459971462"/>
      <w:r>
        <w:rPr>
          <w:rFonts w:hint="eastAsia" w:ascii="宋体" w:hAnsi="宋体"/>
          <w:color w:val="000000" w:themeColor="text1"/>
          <w:sz w:val="21"/>
          <w:szCs w:val="21"/>
          <w:highlight w:val="none"/>
        </w:rPr>
        <w:t xml:space="preserve">第四部分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2" w:name="_Hlt97188170"/>
      <w:bookmarkEnd w:id="142"/>
      <w:r>
        <w:rPr>
          <w:rFonts w:hint="eastAsia" w:ascii="宋体" w:hAnsi="宋体"/>
          <w:color w:val="000000" w:themeColor="text1"/>
          <w:sz w:val="21"/>
          <w:szCs w:val="21"/>
          <w:highlight w:val="none"/>
        </w:rPr>
        <w:t>采购项目合同（参考范本）</w:t>
      </w:r>
      <w:bookmarkEnd w:id="139"/>
      <w:bookmarkEnd w:id="140"/>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pStyle w:val="2"/>
        <w:rPr>
          <w:rFonts w:hint="eastAsia" w:ascii="宋体" w:hAnsi="宋体"/>
          <w:b/>
          <w:color w:val="000000" w:themeColor="text1"/>
          <w:sz w:val="36"/>
          <w:szCs w:val="36"/>
          <w:highlight w:val="none"/>
        </w:rPr>
      </w:pPr>
    </w:p>
    <w:p>
      <w:pPr>
        <w:pStyle w:val="2"/>
        <w:rPr>
          <w:rFonts w:hint="eastAsia" w:ascii="宋体" w:hAnsi="宋体"/>
          <w:b/>
          <w:color w:val="000000" w:themeColor="text1"/>
          <w:sz w:val="36"/>
          <w:szCs w:val="36"/>
          <w:highlight w:val="none"/>
        </w:rPr>
      </w:pPr>
    </w:p>
    <w:p>
      <w:pPr>
        <w:pStyle w:val="2"/>
        <w:rPr>
          <w:rFonts w:hint="eastAsia" w:ascii="宋体" w:hAnsi="宋体"/>
          <w:b/>
          <w:color w:val="000000" w:themeColor="text1"/>
          <w:sz w:val="36"/>
          <w:szCs w:val="36"/>
          <w:highlight w:val="none"/>
        </w:rPr>
      </w:pPr>
    </w:p>
    <w:p>
      <w:pPr>
        <w:pStyle w:val="2"/>
        <w:rPr>
          <w:rFonts w:hint="eastAsia" w:ascii="宋体" w:hAnsi="宋体"/>
          <w:b/>
          <w:color w:val="000000" w:themeColor="text1"/>
          <w:sz w:val="36"/>
          <w:szCs w:val="36"/>
          <w:highlight w:val="none"/>
        </w:rPr>
      </w:pPr>
    </w:p>
    <w:p>
      <w:pPr>
        <w:pStyle w:val="2"/>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pStyle w:val="19"/>
        <w:rPr>
          <w:rFonts w:hint="eastAsia"/>
          <w:color w:val="000000" w:themeColor="text1"/>
          <w:highlight w:val="none"/>
        </w:rPr>
      </w:pPr>
    </w:p>
    <w:p>
      <w:pPr>
        <w:rPr>
          <w:rFonts w:hint="eastAsia" w:ascii="宋体" w:hAnsi="宋体"/>
          <w:b/>
          <w:color w:val="000000" w:themeColor="text1"/>
          <w:sz w:val="28"/>
          <w:szCs w:val="28"/>
          <w:highlight w:val="none"/>
        </w:rPr>
      </w:pPr>
    </w:p>
    <w:p>
      <w:pPr>
        <w:spacing w:line="360" w:lineRule="exact"/>
        <w:rPr>
          <w:rFonts w:hint="eastAsia" w:ascii="宋体" w:hAnsi="宋体"/>
          <w:bCs/>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spacing w:line="360" w:lineRule="exact"/>
        <w:rPr>
          <w:rFonts w:hint="eastAsia" w:ascii="宋体" w:hAnsi="宋体"/>
          <w:bCs/>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spacing w:line="360" w:lineRule="exact"/>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项目名称：                                   采购编号：</w:t>
      </w:r>
    </w:p>
    <w:p>
      <w:pPr>
        <w:spacing w:line="360" w:lineRule="exact"/>
        <w:rPr>
          <w:rFonts w:ascii="宋体" w:hAnsi="宋体"/>
          <w:bCs/>
          <w:color w:val="000000" w:themeColor="text1"/>
          <w:szCs w:val="21"/>
          <w:highlight w:val="none"/>
        </w:rPr>
      </w:pPr>
      <w:r>
        <w:rPr>
          <w:rFonts w:ascii="宋体" w:hAnsi="宋体"/>
          <w:bCs/>
          <w:color w:val="000000" w:themeColor="text1"/>
          <w:szCs w:val="21"/>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cs="宋体"/>
          <w:color w:val="000000" w:themeColor="text1"/>
          <w:sz w:val="21"/>
          <w:szCs w:val="21"/>
          <w:highlight w:val="none"/>
          <w:lang w:val="en-US" w:eastAsia="zh-CN"/>
        </w:rPr>
        <w:t>谈判文件</w:t>
      </w:r>
      <w:r>
        <w:rPr>
          <w:rFonts w:hint="eastAsia" w:ascii="宋体" w:hAnsi="宋体" w:eastAsia="宋体" w:cs="宋体"/>
          <w:color w:val="000000" w:themeColor="text1"/>
          <w:sz w:val="21"/>
          <w:szCs w:val="21"/>
          <w:highlight w:val="none"/>
        </w:rPr>
        <w:t>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pPr>
        <w:pStyle w:val="2"/>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pPr>
        <w:pStyle w:val="2"/>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w:t>
      </w:r>
      <w:r>
        <w:rPr>
          <w:rFonts w:hint="eastAsia" w:ascii="宋体" w:hAnsi="宋体" w:cs="宋体"/>
          <w:color w:val="000000" w:themeColor="text1"/>
          <w:sz w:val="21"/>
          <w:szCs w:val="21"/>
          <w:highlight w:val="none"/>
          <w:lang w:val="en-US" w:eastAsia="zh-CN"/>
        </w:rPr>
        <w:t>谈判</w:t>
      </w:r>
      <w:r>
        <w:rPr>
          <w:rFonts w:hint="eastAsia" w:ascii="宋体" w:hAnsi="宋体" w:eastAsia="宋体" w:cs="宋体"/>
          <w:color w:val="000000" w:themeColor="text1"/>
          <w:sz w:val="21"/>
          <w:szCs w:val="21"/>
          <w:highlight w:val="none"/>
        </w:rPr>
        <w:t>文件、</w:t>
      </w:r>
      <w:r>
        <w:rPr>
          <w:rFonts w:hint="eastAsia" w:ascii="宋体" w:hAnsi="宋体" w:cs="宋体"/>
          <w:color w:val="000000" w:themeColor="text1"/>
          <w:sz w:val="21"/>
          <w:szCs w:val="21"/>
          <w:highlight w:val="none"/>
          <w:lang w:val="en-US" w:eastAsia="zh-CN"/>
        </w:rPr>
        <w:t>谈判响应</w:t>
      </w:r>
      <w:r>
        <w:rPr>
          <w:rFonts w:hint="eastAsia" w:ascii="宋体" w:hAnsi="宋体" w:eastAsia="宋体" w:cs="宋体"/>
          <w:color w:val="000000" w:themeColor="text1"/>
          <w:sz w:val="21"/>
          <w:szCs w:val="21"/>
          <w:highlight w:val="none"/>
        </w:rPr>
        <w:t>文件、</w:t>
      </w:r>
      <w:r>
        <w:rPr>
          <w:rFonts w:hint="eastAsia" w:ascii="宋体" w:hAnsi="宋体" w:cs="宋体"/>
          <w:color w:val="000000" w:themeColor="text1"/>
          <w:sz w:val="21"/>
          <w:szCs w:val="21"/>
          <w:highlight w:val="none"/>
          <w:lang w:val="en-US" w:eastAsia="zh-CN"/>
        </w:rPr>
        <w:t>成交</w:t>
      </w:r>
      <w:r>
        <w:rPr>
          <w:rFonts w:hint="eastAsia" w:ascii="宋体" w:hAnsi="宋体" w:eastAsia="宋体" w:cs="宋体"/>
          <w:color w:val="000000" w:themeColor="text1"/>
          <w:sz w:val="21"/>
          <w:szCs w:val="21"/>
          <w:highlight w:val="none"/>
        </w:rPr>
        <w:t>通知书均为合同的有效组成部分，与本合同具有同等法律效力。</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cs="宋体"/>
          <w:color w:val="000000" w:themeColor="text1"/>
          <w:sz w:val="21"/>
          <w:szCs w:val="21"/>
          <w:highlight w:val="none"/>
          <w:u w:val="single"/>
          <w:lang w:eastAsia="zh-CN"/>
        </w:rPr>
        <w:t>广东业信招标有限公司</w:t>
      </w:r>
      <w:r>
        <w:rPr>
          <w:rFonts w:hint="eastAsia" w:ascii="宋体" w:hAnsi="宋体" w:eastAsia="宋体" w:cs="宋体"/>
          <w:color w:val="000000" w:themeColor="text1"/>
          <w:sz w:val="21"/>
          <w:szCs w:val="21"/>
          <w:highlight w:val="none"/>
        </w:rPr>
        <w:t xml:space="preserve">备案； </w:t>
      </w:r>
    </w:p>
    <w:p>
      <w:pPr>
        <w:tabs>
          <w:tab w:val="left" w:pos="1004"/>
          <w:tab w:val="left" w:pos="4267"/>
        </w:tabs>
        <w:spacing w:line="360" w:lineRule="exact"/>
        <w:rPr>
          <w:rFonts w:ascii="宋体" w:hAnsi="宋体"/>
          <w:bCs/>
          <w:color w:val="000000" w:themeColor="text1"/>
          <w:szCs w:val="21"/>
          <w:highlight w:val="none"/>
        </w:rPr>
      </w:pPr>
    </w:p>
    <w:p>
      <w:pPr>
        <w:tabs>
          <w:tab w:val="left" w:pos="1004"/>
          <w:tab w:val="left" w:pos="4267"/>
        </w:tabs>
        <w:spacing w:line="360" w:lineRule="exact"/>
        <w:rPr>
          <w:rFonts w:ascii="宋体" w:hAnsi="宋体"/>
          <w:bCs/>
          <w:color w:val="000000" w:themeColor="text1"/>
          <w:szCs w:val="21"/>
          <w:highlight w:val="none"/>
        </w:rPr>
      </w:pPr>
    </w:p>
    <w:p>
      <w:pPr>
        <w:tabs>
          <w:tab w:val="left" w:pos="1004"/>
          <w:tab w:val="left" w:pos="4267"/>
        </w:tabs>
        <w:spacing w:line="360" w:lineRule="exact"/>
        <w:rPr>
          <w:rFonts w:ascii="宋体" w:hAnsi="宋体"/>
          <w:bCs/>
          <w:color w:val="000000" w:themeColor="text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tabs>
          <w:tab w:val="left" w:pos="1004"/>
        </w:tabs>
        <w:spacing w:line="360" w:lineRule="exact"/>
        <w:jc w:val="center"/>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tabs>
          <w:tab w:val="left" w:pos="1004"/>
        </w:tabs>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pPr>
        <w:tabs>
          <w:tab w:val="left" w:pos="1004"/>
        </w:tabs>
        <w:spacing w:line="360" w:lineRule="exact"/>
        <w:rPr>
          <w:rFonts w:ascii="宋体" w:hAnsi="宋体"/>
          <w:bCs/>
          <w:color w:val="000000" w:themeColor="text1"/>
          <w:szCs w:val="21"/>
          <w:highlight w:val="none"/>
        </w:rPr>
      </w:pPr>
    </w:p>
    <w:p>
      <w:pPr>
        <w:pStyle w:val="3"/>
        <w:numPr>
          <w:ilvl w:val="0"/>
          <w:numId w:val="0"/>
        </w:numPr>
        <w:spacing w:before="100" w:beforeAutospacing="1" w:after="100" w:afterAutospacing="1" w:line="240" w:lineRule="auto"/>
        <w:jc w:val="center"/>
        <w:rPr>
          <w:rFonts w:ascii="宋体" w:hAnsi="宋体"/>
          <w:color w:val="000000" w:themeColor="text1"/>
          <w:sz w:val="21"/>
          <w:szCs w:val="21"/>
          <w:highlight w:val="none"/>
        </w:rPr>
      </w:pPr>
      <w:bookmarkStart w:id="143" w:name="_Toc29937"/>
      <w:r>
        <w:rPr>
          <w:rFonts w:hint="eastAsia" w:ascii="宋体" w:hAnsi="宋体"/>
          <w:color w:val="000000" w:themeColor="text1"/>
          <w:sz w:val="21"/>
          <w:szCs w:val="21"/>
          <w:highlight w:val="none"/>
        </w:rPr>
        <w:t>第五部分  单一来源谈判响应文件格式</w:t>
      </w:r>
      <w:bookmarkEnd w:id="141"/>
      <w:bookmarkEnd w:id="143"/>
    </w:p>
    <w:p>
      <w:pPr>
        <w:pStyle w:val="4"/>
        <w:numPr>
          <w:ilvl w:val="0"/>
          <w:numId w:val="0"/>
        </w:numPr>
        <w:jc w:val="center"/>
        <w:rPr>
          <w:rFonts w:ascii="宋体" w:hAnsi="宋体" w:eastAsia="宋体"/>
          <w:color w:val="000000" w:themeColor="text1"/>
          <w:sz w:val="21"/>
          <w:szCs w:val="21"/>
          <w:highlight w:val="none"/>
        </w:rPr>
      </w:pPr>
      <w:bookmarkStart w:id="144" w:name="_Toc22535"/>
      <w:bookmarkStart w:id="145" w:name="_Toc200414513"/>
      <w:r>
        <w:rPr>
          <w:rFonts w:hint="eastAsia" w:ascii="宋体" w:hAnsi="宋体" w:eastAsia="宋体"/>
          <w:color w:val="000000" w:themeColor="text1"/>
          <w:sz w:val="21"/>
          <w:szCs w:val="21"/>
          <w:highlight w:val="none"/>
        </w:rPr>
        <w:t>封面格式</w:t>
      </w:r>
      <w:bookmarkEnd w:id="144"/>
      <w:bookmarkEnd w:id="145"/>
    </w:p>
    <w:p>
      <w:pPr>
        <w:pStyle w:val="5"/>
        <w:rPr>
          <w:rFonts w:hAnsi="宋体"/>
          <w:bCs/>
          <w:color w:val="000000" w:themeColor="text1"/>
          <w:szCs w:val="24"/>
          <w:highlight w:val="none"/>
        </w:rPr>
      </w:pPr>
    </w:p>
    <w:p>
      <w:pPr>
        <w:pStyle w:val="5"/>
        <w:rPr>
          <w:rFonts w:hAnsi="宋体"/>
          <w:bCs/>
          <w:color w:val="000000" w:themeColor="text1"/>
          <w:szCs w:val="24"/>
          <w:highlight w:val="none"/>
        </w:rPr>
      </w:pPr>
    </w:p>
    <w:p>
      <w:pPr>
        <w:pStyle w:val="5"/>
        <w:spacing w:line="440" w:lineRule="exact"/>
        <w:ind w:left="315" w:leftChars="150" w:firstLineChars="200"/>
        <w:rPr>
          <w:rFonts w:hAnsi="宋体"/>
          <w:bCs/>
          <w:color w:val="000000" w:themeColor="text1"/>
          <w:szCs w:val="24"/>
          <w:highlight w:val="none"/>
        </w:rPr>
      </w:pPr>
      <w:r>
        <w:rPr>
          <w:rFonts w:hint="eastAsia" w:hAnsi="宋体"/>
          <w:bCs/>
          <w:color w:val="000000" w:themeColor="text1"/>
          <w:szCs w:val="24"/>
          <w:highlight w:val="none"/>
        </w:rPr>
        <w:t>谈判响应文件的封面格式由供应商自拟，并应注明“谈判响应文件、项目编号、项目名称、供应商名称及地址、</w:t>
      </w:r>
      <w:r>
        <w:rPr>
          <w:rFonts w:hint="eastAsia" w:hAnsi="宋体"/>
          <w:bCs/>
          <w:color w:val="000000" w:themeColor="text1"/>
          <w:szCs w:val="24"/>
          <w:highlight w:val="none"/>
          <w:lang w:eastAsia="zh-CN"/>
        </w:rPr>
        <w:t>法定代表人（负责人）</w:t>
      </w:r>
      <w:r>
        <w:rPr>
          <w:rFonts w:hint="eastAsia" w:hAnsi="宋体"/>
          <w:bCs/>
          <w:color w:val="000000" w:themeColor="text1"/>
          <w:szCs w:val="24"/>
          <w:highlight w:val="none"/>
        </w:rPr>
        <w:t>或授权代理人、联系电话、传真、邮编，并加盖供应商公章。如：</w:t>
      </w:r>
    </w:p>
    <w:p>
      <w:pPr>
        <w:pStyle w:val="5"/>
        <w:rPr>
          <w:rFonts w:hAnsi="宋体"/>
          <w:bCs/>
          <w:color w:val="000000" w:themeColor="text1"/>
          <w:szCs w:val="24"/>
          <w:highlight w:val="none"/>
        </w:rPr>
      </w:pPr>
    </w:p>
    <w:p>
      <w:pPr>
        <w:pStyle w:val="5"/>
        <w:rPr>
          <w:rFonts w:hAnsi="宋体"/>
          <w:bCs/>
          <w:color w:val="000000" w:themeColor="text1"/>
          <w:szCs w:val="24"/>
          <w:highlight w:val="none"/>
        </w:rPr>
      </w:pPr>
    </w:p>
    <w:p>
      <w:pPr>
        <w:pStyle w:val="5"/>
        <w:rPr>
          <w:rFonts w:hAnsi="宋体"/>
          <w:bCs/>
          <w:color w:val="000000" w:themeColor="text1"/>
          <w:szCs w:val="24"/>
          <w:highlight w:val="none"/>
        </w:rPr>
      </w:pPr>
    </w:p>
    <w:p>
      <w:pPr>
        <w:pStyle w:val="5"/>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谈判响应文件（□正本、□副本）</w:t>
      </w:r>
    </w:p>
    <w:p>
      <w:pPr>
        <w:pStyle w:val="5"/>
        <w:spacing w:line="440" w:lineRule="exact"/>
        <w:rPr>
          <w:rFonts w:hAnsi="宋体"/>
          <w:bCs/>
          <w:color w:val="000000" w:themeColor="text1"/>
          <w:szCs w:val="24"/>
          <w:highlight w:val="none"/>
        </w:rPr>
      </w:pPr>
      <w:r>
        <w:rPr>
          <w:rFonts w:hint="eastAsia" w:hAnsi="宋体"/>
          <w:bCs/>
          <w:color w:val="000000" w:themeColor="text1"/>
          <w:szCs w:val="24"/>
          <w:highlight w:val="none"/>
        </w:rPr>
        <w:t>项目编号：</w:t>
      </w:r>
      <w:r>
        <w:rPr>
          <w:rFonts w:hint="eastAsia" w:hAnsi="宋体"/>
          <w:bCs/>
          <w:color w:val="000000" w:themeColor="text1"/>
          <w:szCs w:val="24"/>
          <w:highlight w:val="none"/>
          <w:u w:val="single"/>
        </w:rPr>
        <w:t xml:space="preserve"> </w:t>
      </w:r>
      <w:r>
        <w:rPr>
          <w:rFonts w:hint="eastAsia" w:hAnsi="宋体"/>
          <w:b/>
          <w:bCs/>
          <w:color w:val="000000" w:themeColor="text1"/>
          <w:szCs w:val="24"/>
          <w:highlight w:val="none"/>
          <w:u w:val="single"/>
          <w:lang w:eastAsia="zh-CN"/>
        </w:rPr>
        <w:t>YXZB-20230620</w:t>
      </w:r>
      <w:r>
        <w:rPr>
          <w:rFonts w:hint="eastAsia" w:hAnsi="宋体"/>
          <w:b/>
          <w:bCs/>
          <w:color w:val="000000" w:themeColor="text1"/>
          <w:szCs w:val="24"/>
          <w:highlight w:val="none"/>
          <w:u w:val="single"/>
        </w:rPr>
        <w:t xml:space="preserve"> </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 xml:space="preserve">             </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项目名称：</w:t>
      </w:r>
      <w:r>
        <w:rPr>
          <w:rFonts w:hint="eastAsia" w:hAnsi="宋体"/>
          <w:bCs/>
          <w:color w:val="000000" w:themeColor="text1"/>
          <w:szCs w:val="24"/>
          <w:highlight w:val="none"/>
          <w:u w:val="single"/>
        </w:rPr>
        <w:t xml:space="preserve">  </w:t>
      </w:r>
      <w:r>
        <w:rPr>
          <w:rFonts w:hint="eastAsia" w:hAnsi="宋体" w:cs="宋体"/>
          <w:b/>
          <w:color w:val="000000" w:themeColor="text1"/>
          <w:szCs w:val="21"/>
          <w:highlight w:val="none"/>
          <w:u w:val="single"/>
        </w:rPr>
        <w:t xml:space="preserve">项目名称，由供应商填写               </w:t>
      </w:r>
      <w:r>
        <w:rPr>
          <w:rFonts w:hint="eastAsia" w:hAnsi="宋体"/>
          <w:bCs/>
          <w:color w:val="000000" w:themeColor="text1"/>
          <w:szCs w:val="24"/>
          <w:highlight w:val="none"/>
          <w:u w:val="single"/>
        </w:rPr>
        <w:t xml:space="preserve">         </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供应商名称（加盖公章）：</w:t>
      </w:r>
      <w:r>
        <w:rPr>
          <w:rFonts w:hint="eastAsia" w:hAnsi="宋体"/>
          <w:bCs/>
          <w:color w:val="000000" w:themeColor="text1"/>
          <w:szCs w:val="24"/>
          <w:highlight w:val="none"/>
          <w:u w:val="single"/>
        </w:rPr>
        <w:t xml:space="preserve">                                                   </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r>
        <w:rPr>
          <w:rFonts w:hint="eastAsia" w:hAnsi="宋体"/>
          <w:bCs/>
          <w:color w:val="000000" w:themeColor="text1"/>
          <w:szCs w:val="24"/>
          <w:highlight w:val="none"/>
          <w:u w:val="single"/>
        </w:rPr>
        <w:t xml:space="preserve">                                                              </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lang w:eastAsia="zh-CN"/>
        </w:rPr>
        <w:t>法定代表人（负责人）</w:t>
      </w:r>
      <w:r>
        <w:rPr>
          <w:rFonts w:hint="eastAsia" w:hAnsi="宋体"/>
          <w:bCs/>
          <w:color w:val="000000" w:themeColor="text1"/>
          <w:szCs w:val="24"/>
          <w:highlight w:val="none"/>
        </w:rPr>
        <w:t>或授权代理人（签字）</w:t>
      </w:r>
      <w:r>
        <w:rPr>
          <w:rFonts w:hAnsi="宋体"/>
          <w:bCs/>
          <w:color w:val="000000" w:themeColor="text1"/>
          <w:szCs w:val="24"/>
          <w:highlight w:val="none"/>
        </w:rPr>
        <w:t>：</w:t>
      </w:r>
      <w:r>
        <w:rPr>
          <w:rFonts w:hAnsi="宋体"/>
          <w:bCs/>
          <w:color w:val="000000" w:themeColor="text1"/>
          <w:szCs w:val="24"/>
          <w:highlight w:val="none"/>
          <w:u w:val="single"/>
        </w:rPr>
        <w:t xml:space="preserve">           </w:t>
      </w:r>
      <w:r>
        <w:rPr>
          <w:rFonts w:hint="eastAsia" w:hAnsi="宋体"/>
          <w:bCs/>
          <w:color w:val="000000" w:themeColor="text1"/>
          <w:szCs w:val="24"/>
          <w:highlight w:val="none"/>
          <w:u w:val="single"/>
        </w:rPr>
        <w:t xml:space="preserve">                  </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u w:val="single"/>
        </w:rPr>
        <w:t xml:space="preserve">                           </w:t>
      </w:r>
      <w:r>
        <w:rPr>
          <w:rFonts w:hAnsi="宋体"/>
          <w:bCs/>
          <w:color w:val="000000" w:themeColor="text1"/>
          <w:szCs w:val="24"/>
          <w:highlight w:val="none"/>
        </w:rPr>
        <w:t xml:space="preserve">   </w:t>
      </w:r>
      <w:r>
        <w:rPr>
          <w:rFonts w:hint="eastAsia" w:hAnsi="宋体"/>
          <w:bCs/>
          <w:color w:val="000000" w:themeColor="text1"/>
          <w:szCs w:val="24"/>
          <w:highlight w:val="none"/>
        </w:rPr>
        <w:t>传真：</w:t>
      </w:r>
      <w:r>
        <w:rPr>
          <w:rFonts w:hint="eastAsia" w:hAnsi="宋体"/>
          <w:bCs/>
          <w:color w:val="000000" w:themeColor="text1"/>
          <w:szCs w:val="24"/>
          <w:highlight w:val="none"/>
          <w:u w:val="single"/>
        </w:rPr>
        <w:t xml:space="preserve">                            </w:t>
      </w:r>
    </w:p>
    <w:p>
      <w:pPr>
        <w:pStyle w:val="5"/>
        <w:spacing w:line="440" w:lineRule="exact"/>
        <w:rPr>
          <w:rFonts w:hAnsi="宋体"/>
          <w:bCs/>
          <w:color w:val="000000" w:themeColor="text1"/>
          <w:szCs w:val="24"/>
          <w:highlight w:val="none"/>
          <w:u w:val="single"/>
        </w:rPr>
      </w:pPr>
      <w:r>
        <w:rPr>
          <w:rFonts w:hAnsi="宋体"/>
          <w:bCs/>
          <w:color w:val="000000" w:themeColor="text1"/>
          <w:szCs w:val="24"/>
          <w:highlight w:val="none"/>
        </w:rPr>
        <w:t>邮编：</w:t>
      </w:r>
      <w:r>
        <w:rPr>
          <w:rFonts w:hint="eastAsia" w:hAnsi="宋体"/>
          <w:bCs/>
          <w:color w:val="000000" w:themeColor="text1"/>
          <w:szCs w:val="24"/>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Cs w:val="24"/>
          <w:highlight w:val="none"/>
        </w:rPr>
        <w:t>编制日期：</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年</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月</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pStyle w:val="4"/>
        <w:numPr>
          <w:ilvl w:val="1"/>
          <w:numId w:val="0"/>
        </w:numPr>
        <w:spacing w:line="360" w:lineRule="auto"/>
        <w:jc w:val="center"/>
        <w:rPr>
          <w:rFonts w:ascii="宋体" w:hAnsi="宋体" w:eastAsia="宋体"/>
          <w:color w:val="000000" w:themeColor="text1"/>
          <w:sz w:val="21"/>
          <w:szCs w:val="21"/>
          <w:highlight w:val="none"/>
        </w:rPr>
      </w:pPr>
      <w:bookmarkStart w:id="146" w:name="_Toc20398"/>
      <w:bookmarkStart w:id="147" w:name="_Toc519865432"/>
      <w:bookmarkStart w:id="148" w:name="_Toc200414514"/>
      <w:r>
        <w:rPr>
          <w:rFonts w:hint="eastAsia" w:ascii="宋体" w:hAnsi="宋体" w:eastAsia="宋体"/>
          <w:color w:val="000000" w:themeColor="text1"/>
          <w:sz w:val="21"/>
          <w:szCs w:val="21"/>
          <w:highlight w:val="none"/>
        </w:rPr>
        <w:t>第一章  资格性/符合性自查表</w:t>
      </w:r>
      <w:bookmarkEnd w:id="146"/>
      <w:bookmarkEnd w:id="147"/>
      <w:bookmarkEnd w:id="148"/>
    </w:p>
    <w:tbl>
      <w:tblPr>
        <w:tblStyle w:val="44"/>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50"/>
        <w:gridCol w:w="2605"/>
        <w:gridCol w:w="1728"/>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r>
              <w:rPr>
                <w:rFonts w:hint="eastAsia" w:ascii="宋体" w:hAnsi="宋体"/>
                <w:b/>
                <w:bCs/>
                <w:color w:val="000000" w:themeColor="text1"/>
                <w:sz w:val="21"/>
                <w:szCs w:val="21"/>
                <w:highlight w:val="none"/>
              </w:rPr>
              <w:t>评审内容</w:t>
            </w:r>
          </w:p>
        </w:tc>
        <w:tc>
          <w:tcPr>
            <w:tcW w:w="2605"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r>
              <w:rPr>
                <w:rFonts w:hint="eastAsia" w:ascii="宋体" w:hAnsi="宋体"/>
                <w:b/>
                <w:bCs/>
                <w:color w:val="000000" w:themeColor="text1"/>
                <w:sz w:val="21"/>
                <w:szCs w:val="21"/>
                <w:highlight w:val="none"/>
              </w:rPr>
              <w:t>谈判文件要求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r>
              <w:rPr>
                <w:rFonts w:hint="eastAsia" w:ascii="宋体" w:hAnsi="宋体"/>
                <w:b/>
                <w:bCs/>
                <w:color w:val="000000" w:themeColor="text1"/>
                <w:sz w:val="21"/>
                <w:szCs w:val="21"/>
                <w:highlight w:val="none"/>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 w:val="21"/>
                <w:szCs w:val="21"/>
                <w:highlight w:val="none"/>
              </w:rPr>
            </w:pPr>
            <w:r>
              <w:rPr>
                <w:rFonts w:hint="eastAsia" w:ascii="宋体" w:hAnsi="宋体"/>
                <w:bCs/>
                <w:color w:val="000000" w:themeColor="text1"/>
                <w:sz w:val="21"/>
                <w:szCs w:val="21"/>
                <w:highlight w:val="none"/>
              </w:rPr>
              <w:t>（通过/不通过）</w:t>
            </w:r>
          </w:p>
        </w:tc>
        <w:tc>
          <w:tcPr>
            <w:tcW w:w="2786"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r>
              <w:rPr>
                <w:rFonts w:hint="eastAsia" w:ascii="宋体" w:hAnsi="宋体"/>
                <w:b/>
                <w:bCs/>
                <w:color w:val="000000" w:themeColor="text1"/>
                <w:sz w:val="2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684"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资</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格</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检</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查</w:t>
            </w:r>
          </w:p>
        </w:tc>
        <w:tc>
          <w:tcPr>
            <w:tcW w:w="1950"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投标人要求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rPr>
            </w:pPr>
            <w:r>
              <w:rPr>
                <w:rFonts w:hint="eastAsia" w:ascii="宋体" w:hAnsi="宋体"/>
                <w:b/>
                <w:color w:val="000000" w:themeColor="text1"/>
                <w:sz w:val="21"/>
                <w:szCs w:val="21"/>
                <w:highlight w:val="none"/>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rPr>
            </w:pPr>
            <w:r>
              <w:rPr>
                <w:rFonts w:hint="eastAsia" w:ascii="宋体" w:hAnsi="宋体"/>
                <w:b/>
                <w:color w:val="000000" w:themeColor="text1"/>
                <w:sz w:val="21"/>
                <w:szCs w:val="21"/>
                <w:highlight w:val="none"/>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要求：提交合法有效的营业执照复印件加盖公章、</w:t>
            </w:r>
            <w:r>
              <w:rPr>
                <w:rFonts w:hint="eastAsia" w:ascii="宋体" w:hAnsi="宋体"/>
                <w:color w:val="000000" w:themeColor="text1"/>
                <w:kern w:val="0"/>
                <w:sz w:val="21"/>
                <w:szCs w:val="21"/>
                <w:highlight w:val="none"/>
              </w:rPr>
              <w:t>财务报表</w:t>
            </w:r>
            <w:r>
              <w:rPr>
                <w:rFonts w:hint="eastAsia" w:ascii="宋体" w:hAnsi="宋体"/>
                <w:color w:val="000000" w:themeColor="text1"/>
                <w:sz w:val="2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 w:val="21"/>
                <w:szCs w:val="21"/>
                <w:highlight w:val="none"/>
              </w:rPr>
            </w:pPr>
          </w:p>
        </w:tc>
        <w:tc>
          <w:tcPr>
            <w:tcW w:w="1950"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 w:val="21"/>
                <w:szCs w:val="21"/>
                <w:highlight w:val="none"/>
              </w:rPr>
            </w:pPr>
          </w:p>
        </w:tc>
        <w:tc>
          <w:tcPr>
            <w:tcW w:w="2605" w:type="dxa"/>
            <w:vAlign w:val="center"/>
          </w:tcPr>
          <w:p>
            <w:pPr>
              <w:tabs>
                <w:tab w:val="left" w:pos="0"/>
              </w:tabs>
              <w:rPr>
                <w:rFonts w:ascii="宋体" w:hAnsi="宋体"/>
                <w:color w:val="000000" w:themeColor="text1"/>
                <w:sz w:val="21"/>
                <w:szCs w:val="21"/>
                <w:highlight w:val="none"/>
              </w:rPr>
            </w:pPr>
            <w:r>
              <w:rPr>
                <w:rFonts w:hint="eastAsia" w:ascii="宋体" w:hAnsi="宋体"/>
                <w:color w:val="000000" w:themeColor="text1"/>
                <w:szCs w:val="21"/>
                <w:highlight w:val="none"/>
                <w:lang w:val="zh-CN"/>
              </w:rPr>
              <w:t>投标人若是分公司或其分支机构，需提供总公司对分公司或其分支机构的授权文件并加盖公章</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 w:val="21"/>
                <w:szCs w:val="21"/>
                <w:highlight w:val="none"/>
              </w:rPr>
            </w:pPr>
          </w:p>
        </w:tc>
        <w:tc>
          <w:tcPr>
            <w:tcW w:w="1950"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 w:val="21"/>
                <w:szCs w:val="21"/>
                <w:highlight w:val="none"/>
              </w:rPr>
            </w:pPr>
          </w:p>
        </w:tc>
        <w:tc>
          <w:tcPr>
            <w:tcW w:w="2605" w:type="dxa"/>
            <w:vAlign w:val="center"/>
          </w:tcPr>
          <w:p>
            <w:pPr>
              <w:tabs>
                <w:tab w:val="left" w:pos="0"/>
              </w:tabs>
              <w:rPr>
                <w:rFonts w:ascii="宋体" w:hAnsi="宋体"/>
                <w:color w:val="000000" w:themeColor="text1"/>
                <w:sz w:val="21"/>
                <w:szCs w:val="21"/>
                <w:highlight w:val="none"/>
              </w:rPr>
            </w:pPr>
            <w:r>
              <w:rPr>
                <w:rFonts w:hint="eastAsia" w:ascii="宋体" w:hAnsi="宋体"/>
                <w:color w:val="000000" w:themeColor="text1"/>
                <w:szCs w:val="21"/>
                <w:highlight w:val="none"/>
                <w:lang w:val="zh-CN"/>
              </w:rPr>
              <w:t>须持有《营业执照》、《卫生许可证》、《特种行业许可证》、消防安全检查审核通过的相关证明</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highlight w:val="none"/>
              </w:rPr>
            </w:pPr>
            <w:r>
              <w:rPr>
                <w:rFonts w:hint="eastAsia" w:ascii="宋体" w:hAnsi="宋体"/>
                <w:color w:val="000000" w:themeColor="text1"/>
                <w:sz w:val="2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 w:val="21"/>
                <w:szCs w:val="21"/>
                <w:highlight w:val="none"/>
                <w:lang w:eastAsia="zh-CN"/>
              </w:rPr>
              <w:t>服务期</w:t>
            </w:r>
            <w:r>
              <w:rPr>
                <w:rFonts w:hint="eastAsia" w:ascii="宋体" w:hAnsi="宋体"/>
                <w:color w:val="000000" w:themeColor="text1"/>
                <w:sz w:val="21"/>
                <w:szCs w:val="21"/>
                <w:highlight w:val="none"/>
              </w:rPr>
              <w:t>须满足要求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 w:val="21"/>
                <w:szCs w:val="21"/>
                <w:highlight w:val="none"/>
              </w:rPr>
              <w:t>按</w:t>
            </w:r>
            <w:r>
              <w:rPr>
                <w:rFonts w:hint="eastAsia" w:ascii="宋体" w:hAnsi="宋体"/>
                <w:bCs/>
                <w:color w:val="000000" w:themeColor="text1"/>
                <w:sz w:val="21"/>
                <w:szCs w:val="21"/>
                <w:highlight w:val="none"/>
              </w:rPr>
              <w:t>谈判</w:t>
            </w:r>
            <w:r>
              <w:rPr>
                <w:rFonts w:hint="eastAsia" w:ascii="宋体" w:hAnsi="宋体"/>
                <w:color w:val="000000" w:themeColor="text1"/>
                <w:sz w:val="21"/>
                <w:szCs w:val="21"/>
                <w:highlight w:val="none"/>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000000" w:themeColor="text1"/>
                <w:kern w:val="2"/>
                <w:sz w:val="21"/>
                <w:szCs w:val="21"/>
                <w:highlight w:val="none"/>
                <w:lang w:val="en-US" w:eastAsia="zh-CN" w:bidi="ar-SA"/>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 w:val="2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highlight w:val="none"/>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color w:val="000000" w:themeColor="text1"/>
                <w:sz w:val="21"/>
                <w:szCs w:val="21"/>
                <w:highlight w:val="none"/>
                <w:lang w:eastAsia="zh-CN"/>
              </w:rPr>
            </w:pPr>
            <w:r>
              <w:rPr>
                <w:rFonts w:hint="eastAsia" w:ascii="宋体" w:hAnsi="宋体"/>
                <w:color w:val="000000" w:themeColor="text1"/>
                <w:szCs w:val="21"/>
                <w:highlight w:val="none"/>
              </w:rPr>
              <w:t>投标报价未超出报价上限</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 w:val="21"/>
                <w:szCs w:val="21"/>
                <w:highlight w:val="none"/>
              </w:rPr>
              <w:t>按</w:t>
            </w:r>
            <w:r>
              <w:rPr>
                <w:rFonts w:hint="eastAsia" w:ascii="宋体" w:hAnsi="宋体"/>
                <w:bCs/>
                <w:color w:val="000000" w:themeColor="text1"/>
                <w:sz w:val="21"/>
                <w:szCs w:val="21"/>
                <w:highlight w:val="none"/>
              </w:rPr>
              <w:t>谈判</w:t>
            </w:r>
            <w:r>
              <w:rPr>
                <w:rFonts w:hint="eastAsia" w:ascii="宋体" w:hAnsi="宋体"/>
                <w:color w:val="000000" w:themeColor="text1"/>
                <w:sz w:val="21"/>
                <w:szCs w:val="21"/>
                <w:highlight w:val="none"/>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000000" w:themeColor="text1"/>
                <w:kern w:val="2"/>
                <w:sz w:val="21"/>
                <w:szCs w:val="21"/>
                <w:highlight w:val="none"/>
                <w:lang w:val="en-US" w:eastAsia="zh-CN" w:bidi="ar-SA"/>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 w:val="2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保证金须满足要求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按</w:t>
            </w:r>
            <w:r>
              <w:rPr>
                <w:rFonts w:hint="eastAsia" w:ascii="宋体" w:hAnsi="宋体"/>
                <w:bCs/>
                <w:color w:val="000000" w:themeColor="text1"/>
                <w:sz w:val="21"/>
                <w:szCs w:val="21"/>
                <w:highlight w:val="none"/>
              </w:rPr>
              <w:t>谈判</w:t>
            </w:r>
            <w:r>
              <w:rPr>
                <w:rFonts w:hint="eastAsia" w:ascii="宋体" w:hAnsi="宋体"/>
                <w:color w:val="000000" w:themeColor="text1"/>
                <w:sz w:val="21"/>
                <w:szCs w:val="21"/>
                <w:highlight w:val="none"/>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法定代表人/负责人资格证明书及授权委托书</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按对应格式文件签署、盖章(原件)</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 w:val="21"/>
                <w:szCs w:val="21"/>
                <w:highlight w:val="none"/>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rPr>
            </w:pPr>
            <w:r>
              <w:rPr>
                <w:rFonts w:hint="eastAsia" w:ascii="宋体" w:hAnsi="宋体"/>
                <w:color w:val="000000" w:themeColor="text1"/>
                <w:szCs w:val="21"/>
                <w:highlight w:val="none"/>
              </w:rPr>
              <w:t>接受联合体投标</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按</w:t>
            </w:r>
            <w:r>
              <w:rPr>
                <w:rFonts w:hint="eastAsia" w:ascii="宋体" w:hAnsi="宋体"/>
                <w:bCs/>
                <w:color w:val="000000" w:themeColor="text1"/>
                <w:sz w:val="21"/>
                <w:szCs w:val="21"/>
                <w:highlight w:val="none"/>
              </w:rPr>
              <w:t>谈判</w:t>
            </w:r>
            <w:r>
              <w:rPr>
                <w:rFonts w:hint="eastAsia" w:ascii="宋体" w:hAnsi="宋体"/>
                <w:color w:val="000000" w:themeColor="text1"/>
                <w:sz w:val="21"/>
                <w:szCs w:val="21"/>
                <w:highlight w:val="none"/>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 w:val="21"/>
                <w:szCs w:val="21"/>
                <w:highlight w:val="none"/>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highlight w:val="none"/>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其他要求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按资料清单中规定提供“必须提交”的文件资料</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highlight w:val="none"/>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highlight w:val="none"/>
              </w:rPr>
            </w:pPr>
            <w:r>
              <w:rPr>
                <w:rFonts w:hint="eastAsia" w:ascii="宋体" w:hAnsi="宋体"/>
                <w:color w:val="000000" w:themeColor="text1"/>
                <w:sz w:val="21"/>
                <w:szCs w:val="21"/>
                <w:highlight w:val="none"/>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highlight w:val="none"/>
              </w:rPr>
            </w:pPr>
            <w:r>
              <w:rPr>
                <w:rFonts w:hint="eastAsia" w:ascii="宋体" w:hAnsi="宋体"/>
                <w:color w:val="000000" w:themeColor="text1"/>
                <w:sz w:val="21"/>
                <w:szCs w:val="21"/>
                <w:highlight w:val="none"/>
              </w:rPr>
              <w:t>第（  ）页</w:t>
            </w:r>
          </w:p>
        </w:tc>
      </w:tr>
    </w:tbl>
    <w:p>
      <w:pPr>
        <w:tabs>
          <w:tab w:val="center" w:pos="4483"/>
        </w:tabs>
        <w:ind w:left="420" w:hanging="420" w:hangingChars="200"/>
        <w:rPr>
          <w:rFonts w:hint="eastAsia" w:ascii="宋体" w:hAnsi="宋体"/>
          <w:color w:val="000000" w:themeColor="text1"/>
          <w:sz w:val="21"/>
          <w:szCs w:val="21"/>
          <w:highlight w:val="none"/>
        </w:rPr>
      </w:pPr>
    </w:p>
    <w:p>
      <w:pPr>
        <w:tabs>
          <w:tab w:val="center" w:pos="4483"/>
        </w:tabs>
        <w:ind w:left="420" w:hanging="420" w:hangingChars="200"/>
        <w:rPr>
          <w:rFonts w:ascii="宋体" w:hAnsi="宋体"/>
          <w:color w:val="000000" w:themeColor="text1"/>
          <w:sz w:val="21"/>
          <w:szCs w:val="21"/>
          <w:highlight w:val="none"/>
        </w:rPr>
      </w:pPr>
      <w:r>
        <w:rPr>
          <w:rFonts w:hint="eastAsia" w:ascii="宋体" w:hAnsi="宋体"/>
          <w:color w:val="000000" w:themeColor="text1"/>
          <w:sz w:val="21"/>
          <w:szCs w:val="21"/>
          <w:highlight w:val="none"/>
        </w:rPr>
        <w:t>注：1、以上材料将作为</w:t>
      </w:r>
      <w:r>
        <w:rPr>
          <w:rFonts w:hint="eastAsia" w:ascii="宋体" w:hAnsi="宋体"/>
          <w:bCs/>
          <w:color w:val="000000" w:themeColor="text1"/>
          <w:sz w:val="21"/>
          <w:szCs w:val="21"/>
          <w:highlight w:val="none"/>
        </w:rPr>
        <w:t>投标供应商</w:t>
      </w:r>
      <w:r>
        <w:rPr>
          <w:rFonts w:hint="eastAsia" w:ascii="宋体" w:hAnsi="宋体"/>
          <w:color w:val="000000" w:themeColor="text1"/>
          <w:sz w:val="21"/>
          <w:szCs w:val="21"/>
          <w:highlight w:val="none"/>
        </w:rPr>
        <w:t>资格性和符合性审核的重要内容之一，</w:t>
      </w:r>
      <w:r>
        <w:rPr>
          <w:rFonts w:hint="eastAsia" w:ascii="宋体" w:hAnsi="宋体"/>
          <w:bCs/>
          <w:color w:val="000000" w:themeColor="text1"/>
          <w:sz w:val="21"/>
          <w:szCs w:val="21"/>
          <w:highlight w:val="none"/>
        </w:rPr>
        <w:t>投标供应商</w:t>
      </w:r>
      <w:r>
        <w:rPr>
          <w:rFonts w:hint="eastAsia" w:ascii="宋体" w:hAnsi="宋体"/>
          <w:color w:val="000000" w:themeColor="text1"/>
          <w:sz w:val="21"/>
          <w:szCs w:val="21"/>
          <w:highlight w:val="none"/>
        </w:rPr>
        <w:t>必须严格按照其内容及序列要求在谈判响应文件中对应如实提供，对缺漏和不符合项或</w:t>
      </w:r>
      <w:r>
        <w:rPr>
          <w:rFonts w:hint="eastAsia" w:ascii="宋体" w:hAnsi="宋体"/>
          <w:bCs/>
          <w:color w:val="000000" w:themeColor="text1"/>
          <w:sz w:val="21"/>
          <w:szCs w:val="21"/>
          <w:highlight w:val="none"/>
        </w:rPr>
        <w:t>提交的资料字迹模糊不清而现场无法提供原件核实的</w:t>
      </w:r>
      <w:r>
        <w:rPr>
          <w:rFonts w:hint="eastAsia" w:ascii="宋体" w:hAnsi="宋体"/>
          <w:color w:val="000000" w:themeColor="text1"/>
          <w:sz w:val="21"/>
          <w:szCs w:val="21"/>
          <w:highlight w:val="none"/>
        </w:rPr>
        <w:t>将会直接导致无效投标。</w:t>
      </w:r>
      <w:r>
        <w:rPr>
          <w:rFonts w:hint="eastAsia" w:ascii="宋体" w:hAnsi="宋体"/>
          <w:bCs/>
          <w:color w:val="000000" w:themeColor="text1"/>
          <w:sz w:val="21"/>
          <w:szCs w:val="21"/>
          <w:highlight w:val="none"/>
        </w:rPr>
        <w:t>废标后，除采购任务取消情形外，应当重新组织采购。</w:t>
      </w:r>
      <w:r>
        <w:rPr>
          <w:rFonts w:hint="eastAsia" w:ascii="宋体" w:hAnsi="宋体"/>
          <w:color w:val="000000" w:themeColor="text1"/>
          <w:sz w:val="2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 w:val="21"/>
          <w:szCs w:val="21"/>
          <w:highlight w:val="none"/>
        </w:rPr>
      </w:pPr>
      <w:r>
        <w:rPr>
          <w:rFonts w:ascii="宋体" w:hAnsi="宋体"/>
          <w:bCs/>
          <w:color w:val="000000" w:themeColor="text1"/>
          <w:sz w:val="21"/>
          <w:szCs w:val="21"/>
          <w:highlight w:val="none"/>
        </w:rPr>
        <w:t xml:space="preserve">   2</w:t>
      </w:r>
      <w:r>
        <w:rPr>
          <w:rFonts w:hint="eastAsia" w:ascii="宋体" w:hAnsi="宋体"/>
          <w:bCs/>
          <w:color w:val="000000" w:themeColor="text1"/>
          <w:sz w:val="21"/>
          <w:szCs w:val="21"/>
          <w:highlight w:val="none"/>
        </w:rPr>
        <w:t>、投标供应商的</w:t>
      </w:r>
      <w:r>
        <w:rPr>
          <w:rFonts w:hint="eastAsia" w:ascii="宋体" w:hAnsi="宋体"/>
          <w:color w:val="000000" w:themeColor="text1"/>
          <w:sz w:val="21"/>
          <w:szCs w:val="21"/>
          <w:highlight w:val="none"/>
        </w:rPr>
        <w:t>谈判响应</w:t>
      </w:r>
      <w:r>
        <w:rPr>
          <w:rFonts w:hint="eastAsia" w:ascii="宋体" w:hAnsi="宋体"/>
          <w:bCs/>
          <w:color w:val="000000" w:themeColor="text1"/>
          <w:sz w:val="21"/>
          <w:szCs w:val="21"/>
          <w:highlight w:val="none"/>
        </w:rPr>
        <w:t>文件为法定代表人签署并由法定代表人亲自递交</w:t>
      </w:r>
      <w:r>
        <w:rPr>
          <w:rFonts w:hint="eastAsia" w:ascii="宋体" w:hAnsi="宋体"/>
          <w:color w:val="000000" w:themeColor="text1"/>
          <w:sz w:val="21"/>
          <w:szCs w:val="21"/>
          <w:highlight w:val="none"/>
        </w:rPr>
        <w:t>谈判响应</w:t>
      </w:r>
      <w:r>
        <w:rPr>
          <w:rFonts w:hint="eastAsia" w:ascii="宋体" w:hAnsi="宋体"/>
          <w:bCs/>
          <w:color w:val="000000" w:themeColor="text1"/>
          <w:sz w:val="21"/>
          <w:szCs w:val="21"/>
          <w:highlight w:val="none"/>
        </w:rPr>
        <w:t>文件和参加</w:t>
      </w:r>
      <w:r>
        <w:rPr>
          <w:rFonts w:hint="eastAsia" w:ascii="宋体" w:hAnsi="宋体"/>
          <w:color w:val="000000" w:themeColor="text1"/>
          <w:sz w:val="21"/>
          <w:szCs w:val="21"/>
          <w:highlight w:val="none"/>
        </w:rPr>
        <w:t>谈判</w:t>
      </w:r>
      <w:r>
        <w:rPr>
          <w:rFonts w:hint="eastAsia" w:ascii="宋体" w:hAnsi="宋体"/>
          <w:bCs/>
          <w:color w:val="000000" w:themeColor="text1"/>
          <w:sz w:val="21"/>
          <w:szCs w:val="21"/>
          <w:highlight w:val="none"/>
        </w:rPr>
        <w:t>的，可不提供“法定代表人授权书”及“代理人身份证”。</w:t>
      </w:r>
    </w:p>
    <w:p>
      <w:pPr>
        <w:tabs>
          <w:tab w:val="center" w:pos="4483"/>
        </w:tabs>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sectPr>
          <w:headerReference r:id="rId7" w:type="first"/>
          <w:footerReference r:id="rId10" w:type="first"/>
          <w:headerReference r:id="rId6" w:type="default"/>
          <w:footerReference r:id="rId8" w:type="default"/>
          <w:footerReference r:id="rId9" w:type="even"/>
          <w:pgSz w:w="11906" w:h="16838"/>
          <w:pgMar w:top="1134" w:right="1361" w:bottom="1134" w:left="1361" w:header="851" w:footer="992" w:gutter="0"/>
          <w:cols w:space="720" w:num="1"/>
          <w:docGrid w:linePitch="312" w:charSpace="0"/>
        </w:sectPr>
      </w:pPr>
      <w:r>
        <w:rPr>
          <w:rFonts w:hint="eastAsia" w:ascii="宋体" w:hAnsi="宋体"/>
          <w:bCs/>
          <w:color w:val="000000" w:themeColor="text1"/>
          <w:szCs w:val="21"/>
          <w:highlight w:val="none"/>
        </w:rPr>
        <w:t>日期：   年   月   日</w:t>
      </w:r>
    </w:p>
    <w:p>
      <w:pPr>
        <w:pStyle w:val="4"/>
        <w:numPr>
          <w:ilvl w:val="0"/>
          <w:numId w:val="0"/>
        </w:numPr>
        <w:jc w:val="center"/>
        <w:rPr>
          <w:color w:val="000000" w:themeColor="text1"/>
          <w:sz w:val="28"/>
          <w:szCs w:val="28"/>
          <w:highlight w:val="none"/>
        </w:rPr>
      </w:pPr>
      <w:bookmarkStart w:id="149" w:name="_Toc200414515"/>
      <w:bookmarkStart w:id="150" w:name="_Toc15088"/>
      <w:r>
        <w:rPr>
          <w:rFonts w:hint="eastAsia"/>
          <w:color w:val="000000" w:themeColor="text1"/>
          <w:sz w:val="28"/>
          <w:szCs w:val="28"/>
          <w:highlight w:val="none"/>
        </w:rPr>
        <w:t>（一）无重大违法记录声明函</w:t>
      </w:r>
      <w:bookmarkEnd w:id="149"/>
      <w:bookmarkEnd w:id="150"/>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rPr>
          <w:color w:val="000000" w:themeColor="text1"/>
          <w:szCs w:val="21"/>
          <w:highlight w:val="none"/>
        </w:rPr>
      </w:pPr>
      <w:r>
        <w:rPr>
          <w:rFonts w:hint="eastAsia"/>
          <w:color w:val="000000" w:themeColor="text1"/>
          <w:szCs w:val="21"/>
          <w:highlight w:val="none"/>
        </w:rPr>
        <w:t xml:space="preserve">    针对贵方组织的</w:t>
      </w:r>
      <w:r>
        <w:rPr>
          <w:rFonts w:hint="eastAsia"/>
          <w:color w:val="000000" w:themeColor="text1"/>
          <w:szCs w:val="21"/>
          <w:highlight w:val="none"/>
          <w:u w:val="single"/>
        </w:rPr>
        <w:t xml:space="preserve"> </w:t>
      </w:r>
      <w:r>
        <w:rPr>
          <w:rFonts w:hint="eastAsia"/>
          <w:color w:val="000000" w:themeColor="text1"/>
          <w:szCs w:val="21"/>
          <w:highlight w:val="none"/>
          <w:u w:val="single"/>
          <w:lang w:eastAsia="zh-CN"/>
        </w:rPr>
        <w:t>2023年-2024年江城区机关和事业单位会议定点场所(增补)采购项目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w:t>
      </w:r>
      <w:r>
        <w:rPr>
          <w:rFonts w:hint="eastAsia" w:ascii="宋体" w:hAnsi="宋体"/>
          <w:b/>
          <w:bCs/>
          <w:color w:val="000000" w:themeColor="text1"/>
          <w:szCs w:val="21"/>
          <w:highlight w:val="none"/>
          <w:u w:val="single"/>
          <w:lang w:eastAsia="zh-CN"/>
        </w:rPr>
        <w:t>YXZB-20230620</w:t>
      </w:r>
      <w:r>
        <w:rPr>
          <w:rFonts w:hint="eastAsia"/>
          <w:color w:val="000000" w:themeColor="text1"/>
          <w:szCs w:val="21"/>
          <w:highlight w:val="none"/>
          <w:u w:val="single"/>
        </w:rPr>
        <w:t>）</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rFonts w:hint="eastAsia" w:ascii="Times New Roman" w:hAnsi="Times New Roman" w:cs="Times New Roman"/>
          <w:color w:val="000000" w:themeColor="text1"/>
          <w:szCs w:val="21"/>
          <w:highlight w:val="none"/>
        </w:rPr>
      </w:pPr>
      <w:r>
        <w:rPr>
          <w:rFonts w:hint="eastAsia"/>
          <w:color w:val="000000" w:themeColor="text1"/>
          <w:sz w:val="24"/>
          <w:highlight w:val="none"/>
        </w:rPr>
        <w:t xml:space="preserve">   </w:t>
      </w:r>
      <w:r>
        <w:rPr>
          <w:rFonts w:hint="eastAsia" w:ascii="Times New Roman" w:hAnsi="Times New Roman" w:cs="Times New Roman"/>
          <w:color w:val="000000" w:themeColor="text1"/>
          <w:szCs w:val="21"/>
          <w:highlight w:val="none"/>
        </w:rPr>
        <w:t>本公司对上述声明的真实性负责。如有虚假，将依法承担相关责任。</w:t>
      </w:r>
    </w:p>
    <w:p>
      <w:pPr>
        <w:spacing w:line="360" w:lineRule="auto"/>
        <w:rPr>
          <w:rFonts w:hint="eastAsia" w:ascii="Times New Roman" w:hAnsi="Times New Roman" w:cs="Times New Roman"/>
          <w:color w:val="000000" w:themeColor="text1"/>
          <w:szCs w:val="21"/>
          <w:highlight w:val="none"/>
        </w:rPr>
      </w:pPr>
      <w:r>
        <w:rPr>
          <w:rFonts w:hint="eastAsia" w:ascii="Times New Roman" w:hAnsi="Times New Roman" w:cs="Times New Roman"/>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供应商</w:t>
      </w:r>
      <w:r>
        <w:rPr>
          <w:rFonts w:hint="eastAsia"/>
          <w:color w:val="000000" w:themeColor="text1"/>
          <w:szCs w:val="21"/>
          <w:highlight w:val="none"/>
          <w:lang w:eastAsia="zh-CN"/>
        </w:rPr>
        <w:t>法定代表人（负责人）</w:t>
      </w:r>
      <w:r>
        <w:rPr>
          <w:rFonts w:hint="eastAsia"/>
          <w:color w:val="000000" w:themeColor="text1"/>
          <w:szCs w:val="21"/>
          <w:highlight w:val="none"/>
        </w:rPr>
        <w:t>或授权代理人（签字）：</w:t>
      </w:r>
      <w:r>
        <w:rPr>
          <w:rFonts w:hint="eastAsia"/>
          <w:color w:val="000000" w:themeColor="text1"/>
          <w:szCs w:val="21"/>
          <w:highlight w:val="none"/>
          <w:u w:val="single"/>
        </w:rPr>
        <w:t xml:space="preserve">              </w:t>
      </w:r>
      <w:r>
        <w:rPr>
          <w:rFonts w:hint="eastAsia"/>
          <w:color w:val="000000" w:themeColor="text1"/>
          <w:szCs w:val="21"/>
          <w:highlight w:val="none"/>
        </w:rPr>
        <w:t xml:space="preserve">          </w:t>
      </w:r>
    </w:p>
    <w:p>
      <w:pPr>
        <w:spacing w:line="360" w:lineRule="auto"/>
        <w:rPr>
          <w:color w:val="000000" w:themeColor="text1"/>
          <w:szCs w:val="21"/>
          <w:highlight w:val="none"/>
        </w:rPr>
      </w:pPr>
      <w:r>
        <w:rPr>
          <w:rFonts w:hint="eastAsia"/>
          <w:color w:val="000000" w:themeColor="text1"/>
          <w:szCs w:val="21"/>
          <w:highlight w:val="none"/>
        </w:rPr>
        <w:t>供应商名称（加盖公章）：</w:t>
      </w:r>
      <w:r>
        <w:rPr>
          <w:rFonts w:hint="eastAsia"/>
          <w:color w:val="000000" w:themeColor="text1"/>
          <w:szCs w:val="21"/>
          <w:highlight w:val="none"/>
          <w:u w:val="single"/>
        </w:rPr>
        <w:t xml:space="preserve">                        </w:t>
      </w:r>
      <w:r>
        <w:rPr>
          <w:rFonts w:hint="eastAsia"/>
          <w:color w:val="000000" w:themeColor="text1"/>
          <w:szCs w:val="21"/>
          <w:highlight w:val="none"/>
        </w:rPr>
        <w:t xml:space="preserve">                        </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4"/>
        <w:numPr>
          <w:ilvl w:val="0"/>
          <w:numId w:val="0"/>
        </w:numPr>
        <w:jc w:val="center"/>
        <w:rPr>
          <w:color w:val="000000" w:themeColor="text1"/>
          <w:kern w:val="0"/>
          <w:sz w:val="28"/>
          <w:szCs w:val="28"/>
          <w:highlight w:val="none"/>
        </w:rPr>
      </w:pPr>
      <w:bookmarkStart w:id="151" w:name="_Toc200414516"/>
      <w:bookmarkStart w:id="152" w:name="_Toc9145"/>
      <w:r>
        <w:rPr>
          <w:rFonts w:hint="eastAsia"/>
          <w:color w:val="000000" w:themeColor="text1"/>
          <w:kern w:val="0"/>
          <w:sz w:val="28"/>
          <w:szCs w:val="28"/>
          <w:highlight w:val="none"/>
        </w:rPr>
        <w:t>（二）</w:t>
      </w:r>
      <w:bookmarkEnd w:id="151"/>
      <w:r>
        <w:rPr>
          <w:rFonts w:hint="eastAsia"/>
          <w:color w:val="000000" w:themeColor="text1"/>
          <w:kern w:val="0"/>
          <w:sz w:val="28"/>
          <w:szCs w:val="28"/>
          <w:highlight w:val="none"/>
        </w:rPr>
        <w:t>法定代表人（负责人）证明书</w:t>
      </w:r>
      <w:bookmarkEnd w:id="152"/>
    </w:p>
    <w:p>
      <w:pPr>
        <w:pStyle w:val="5"/>
        <w:rPr>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r>
        <w:rPr>
          <w:color w:val="000000" w:themeColor="text1"/>
          <w:highlight w:val="none"/>
        </w:rPr>
        <w:pict>
          <v:shape id="_x0000_s1217" o:spid="_x0000_s1217" o:spt="176" type="#_x0000_t176" style="position:absolute;left:0pt;margin-left:62.75pt;margin-top:6.95pt;height:140.3pt;width:275.8pt;z-index:251660288;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color w:val="000000" w:themeColor="text1"/>
          <w:highlight w:val="none"/>
        </w:rPr>
        <w:t xml:space="preserve">    </w:t>
      </w:r>
    </w:p>
    <w:p>
      <w:pPr>
        <w:pStyle w:val="5"/>
        <w:ind w:firstLine="0"/>
        <w:rPr>
          <w:color w:val="000000" w:themeColor="text1"/>
          <w:highlight w:val="none"/>
        </w:rPr>
      </w:pPr>
    </w:p>
    <w:p>
      <w:pPr>
        <w:pStyle w:val="5"/>
        <w:ind w:firstLine="0"/>
        <w:rPr>
          <w:color w:val="000000" w:themeColor="text1"/>
          <w:highlight w:val="none"/>
        </w:rPr>
      </w:pPr>
      <w:r>
        <w:rPr>
          <w:rFonts w:hint="eastAsia"/>
          <w:color w:val="000000" w:themeColor="text1"/>
          <w:highlight w:val="none"/>
        </w:rPr>
        <w:t xml:space="preserve">   </w:t>
      </w: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jc w:val="center"/>
        <w:rPr>
          <w:color w:val="000000" w:themeColor="text1"/>
          <w:sz w:val="28"/>
          <w:szCs w:val="28"/>
          <w:highlight w:val="none"/>
        </w:rPr>
      </w:pPr>
      <w:bookmarkStart w:id="153" w:name="_Toc200414517"/>
      <w:bookmarkStart w:id="154" w:name="_Toc17960"/>
      <w:r>
        <w:rPr>
          <w:rFonts w:hint="eastAsia"/>
          <w:color w:val="000000" w:themeColor="text1"/>
          <w:sz w:val="28"/>
          <w:szCs w:val="28"/>
          <w:highlight w:val="none"/>
        </w:rPr>
        <w:t>（三）</w:t>
      </w:r>
      <w:bookmarkEnd w:id="153"/>
      <w:r>
        <w:rPr>
          <w:rFonts w:hint="eastAsia"/>
          <w:color w:val="000000" w:themeColor="text1"/>
          <w:sz w:val="28"/>
          <w:szCs w:val="28"/>
          <w:highlight w:val="none"/>
        </w:rPr>
        <w:t>法定代表人（负责人）授权书</w:t>
      </w:r>
      <w:bookmarkEnd w:id="154"/>
    </w:p>
    <w:p>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w:t>
      </w:r>
      <w:r>
        <w:rPr>
          <w:rFonts w:hint="eastAsia" w:ascii="宋体" w:hAnsi="宋体"/>
          <w:bCs/>
          <w:color w:val="000000" w:themeColor="text1"/>
          <w:kern w:val="0"/>
          <w:highlight w:val="none"/>
        </w:rPr>
        <w:t>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szCs w:val="21"/>
          <w:highlight w:val="none"/>
          <w:u w:val="single"/>
        </w:rPr>
        <w:t>（供应商名称）</w:t>
      </w:r>
      <w:r>
        <w:rPr>
          <w:rFonts w:hint="eastAsia" w:ascii="宋体" w:hAnsi="宋体"/>
          <w:bCs/>
          <w:color w:val="000000" w:themeColor="text1"/>
          <w:kern w:val="0"/>
          <w:highlight w:val="none"/>
        </w:rPr>
        <w:t>的法定代表人（负责人）</w:t>
      </w:r>
      <w:r>
        <w:rPr>
          <w:rFonts w:hint="eastAsia" w:ascii="宋体" w:hAnsi="宋体"/>
          <w:bCs/>
          <w:color w:val="000000" w:themeColor="text1"/>
          <w:kern w:val="0"/>
          <w:szCs w:val="21"/>
          <w:highlight w:val="none"/>
        </w:rPr>
        <w:t>，现授权委托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w:t>
      </w:r>
      <w:r>
        <w:rPr>
          <w:rFonts w:hint="eastAsia" w:ascii="宋体" w:hAnsi="宋体"/>
          <w:bCs/>
          <w:color w:val="000000" w:themeColor="text1"/>
          <w:kern w:val="0"/>
          <w:szCs w:val="21"/>
          <w:highlight w:val="none"/>
          <w:lang w:eastAsia="zh-CN"/>
        </w:rPr>
        <w:t>广东业信招标有限公司</w:t>
      </w:r>
      <w:r>
        <w:rPr>
          <w:rFonts w:hint="eastAsia" w:ascii="宋体" w:hAnsi="宋体"/>
          <w:bCs/>
          <w:color w:val="000000" w:themeColor="text1"/>
          <w:kern w:val="0"/>
          <w:szCs w:val="21"/>
          <w:highlight w:val="none"/>
        </w:rPr>
        <w:t>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 xml:space="preserve">谈判项目（项目编号: </w:t>
      </w:r>
      <w:r>
        <w:rPr>
          <w:rFonts w:hint="eastAsia" w:ascii="宋体" w:hAnsi="宋体" w:cs="宋体"/>
          <w:b/>
          <w:color w:val="000000" w:themeColor="text1"/>
          <w:szCs w:val="21"/>
          <w:highlight w:val="none"/>
          <w:u w:val="single"/>
          <w:lang w:eastAsia="zh-CN"/>
        </w:rPr>
        <w:t>YXZB-20230620</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szCs w:val="21"/>
          <w:highlight w:val="none"/>
        </w:rPr>
      </w:pPr>
    </w:p>
    <w:p>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spacing w:line="5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w:t>
      </w:r>
      <w:r>
        <w:rPr>
          <w:rFonts w:hint="eastAsia" w:ascii="宋体" w:hAnsi="宋体"/>
          <w:b/>
          <w:color w:val="000000" w:themeColor="text1"/>
          <w:szCs w:val="21"/>
          <w:highlight w:val="none"/>
        </w:rPr>
        <w:t>亲自递交谈判响应文件和参加谈判的，不须提供该委托书，但需提供法定代表人证明书及法定代表人的身份证复印件。）</w:t>
      </w:r>
    </w:p>
    <w:p>
      <w:pPr>
        <w:rPr>
          <w:rFonts w:ascii="宋体" w:hAnsi="宋体"/>
          <w:color w:val="000000" w:themeColor="text1"/>
          <w:szCs w:val="21"/>
          <w:highlight w:val="none"/>
        </w:rPr>
      </w:pPr>
    </w:p>
    <w:p>
      <w:pPr>
        <w:rPr>
          <w:rFonts w:ascii="宋体" w:hAnsi="宋体"/>
          <w:color w:val="000000" w:themeColor="text1"/>
          <w:szCs w:val="21"/>
          <w:highlight w:val="none"/>
        </w:rPr>
      </w:pPr>
      <w:r>
        <w:rPr>
          <w:rFonts w:ascii="宋体" w:hAnsi="宋体"/>
          <w:color w:val="000000" w:themeColor="text1"/>
          <w:szCs w:val="21"/>
          <w:highlight w:val="none"/>
        </w:rPr>
        <w:pict>
          <v:shape id="_x0000_s1216" o:spid="_x0000_s1216"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ascii="宋体" w:hAnsi="宋体"/>
          <w:color w:val="000000" w:themeColor="text1"/>
          <w:szCs w:val="21"/>
          <w:highlight w:val="none"/>
          <w:u w:val="single"/>
        </w:rPr>
      </w:pPr>
    </w:p>
    <w:p>
      <w:pPr>
        <w:rPr>
          <w:rFonts w:ascii="宋体" w:hAnsi="宋体"/>
          <w:color w:val="000000" w:themeColor="text1"/>
          <w:szCs w:val="21"/>
          <w:highlight w:val="none"/>
          <w:u w:val="single"/>
        </w:rPr>
      </w:pPr>
    </w:p>
    <w:p>
      <w:pPr>
        <w:rPr>
          <w:rFonts w:ascii="宋体" w:hAnsi="宋体"/>
          <w:color w:val="000000" w:themeColor="text1"/>
          <w:szCs w:val="21"/>
          <w:highlight w:val="none"/>
          <w:u w:val="single"/>
        </w:rPr>
      </w:pPr>
    </w:p>
    <w:p>
      <w:pPr>
        <w:rPr>
          <w:rFonts w:ascii="宋体" w:hAnsi="宋体"/>
          <w:color w:val="000000" w:themeColor="text1"/>
          <w:szCs w:val="21"/>
          <w:highlight w:val="none"/>
          <w:u w:val="single"/>
        </w:rPr>
      </w:pPr>
    </w:p>
    <w:p>
      <w:pPr>
        <w:pStyle w:val="4"/>
        <w:numPr>
          <w:ilvl w:val="0"/>
          <w:numId w:val="0"/>
        </w:numPr>
        <w:jc w:val="center"/>
        <w:rPr>
          <w:color w:val="000000" w:themeColor="text1"/>
          <w:sz w:val="28"/>
          <w:szCs w:val="28"/>
          <w:highlight w:val="none"/>
        </w:rPr>
      </w:pPr>
      <w:bookmarkStart w:id="155" w:name="_Toc200414519"/>
      <w:bookmarkStart w:id="156" w:name="_Toc29480"/>
      <w:r>
        <w:rPr>
          <w:rFonts w:hint="eastAsia"/>
          <w:color w:val="000000" w:themeColor="text1"/>
          <w:sz w:val="28"/>
          <w:szCs w:val="28"/>
          <w:highlight w:val="none"/>
        </w:rPr>
        <w:t>（四）</w:t>
      </w:r>
      <w:bookmarkEnd w:id="155"/>
      <w:bookmarkStart w:id="157" w:name="_Toc200414522"/>
      <w:r>
        <w:rPr>
          <w:rFonts w:hint="eastAsia"/>
          <w:color w:val="000000" w:themeColor="text1"/>
          <w:sz w:val="28"/>
          <w:szCs w:val="28"/>
          <w:highlight w:val="none"/>
        </w:rPr>
        <w:t>财务报表、缴税证明、社会保险登记证明</w:t>
      </w:r>
      <w:bookmarkEnd w:id="156"/>
      <w:bookmarkEnd w:id="157"/>
    </w:p>
    <w:p>
      <w:pPr>
        <w:tabs>
          <w:tab w:val="center" w:pos="4483"/>
        </w:tabs>
        <w:rPr>
          <w:rFonts w:ascii="宋体" w:hAnsi="宋体"/>
          <w:color w:val="000000" w:themeColor="text1"/>
          <w:kern w:val="0"/>
          <w:szCs w:val="21"/>
          <w:highlight w:val="none"/>
        </w:rPr>
      </w:pPr>
    </w:p>
    <w:p>
      <w:pPr>
        <w:adjustRightInd w:val="0"/>
        <w:snapToGrid w:val="0"/>
        <w:spacing w:line="360" w:lineRule="auto"/>
        <w:jc w:val="left"/>
        <w:rPr>
          <w:rFonts w:hint="eastAsia" w:ascii="宋体" w:hAnsi="宋体" w:eastAsia="宋体"/>
          <w:color w:val="000000" w:themeColor="text1"/>
          <w:kern w:val="0"/>
          <w:szCs w:val="21"/>
          <w:highlight w:val="none"/>
          <w:lang w:eastAsia="zh-CN"/>
        </w:rPr>
      </w:pPr>
      <w:r>
        <w:rPr>
          <w:rFonts w:hint="eastAsia" w:ascii="宋体" w:hAnsi="宋体"/>
          <w:color w:val="000000" w:themeColor="text1"/>
          <w:kern w:val="0"/>
          <w:szCs w:val="21"/>
          <w:highlight w:val="none"/>
        </w:rPr>
        <w:t xml:space="preserve">项目编号: </w:t>
      </w:r>
      <w:r>
        <w:rPr>
          <w:rFonts w:hint="eastAsia" w:ascii="宋体" w:hAnsi="宋体"/>
          <w:b/>
          <w:color w:val="000000" w:themeColor="text1"/>
          <w:kern w:val="0"/>
          <w:szCs w:val="21"/>
          <w:highlight w:val="none"/>
          <w:u w:val="single"/>
          <w:lang w:eastAsia="zh-CN"/>
        </w:rPr>
        <w:t>YXZB-20230620</w:t>
      </w:r>
    </w:p>
    <w:p>
      <w:pPr>
        <w:tabs>
          <w:tab w:val="center" w:pos="4483"/>
        </w:tabs>
        <w:rPr>
          <w:rFonts w:hint="eastAsia" w:ascii="宋体" w:hAnsi="宋体" w:eastAsia="宋体"/>
          <w:b/>
          <w:color w:val="000000" w:themeColor="text1"/>
          <w:kern w:val="0"/>
          <w:szCs w:val="21"/>
          <w:highlight w:val="none"/>
          <w:u w:val="single"/>
          <w:lang w:eastAsia="zh-CN"/>
        </w:rPr>
      </w:pPr>
      <w:r>
        <w:rPr>
          <w:rFonts w:hint="eastAsia" w:ascii="宋体" w:hAnsi="宋体"/>
          <w:color w:val="000000" w:themeColor="text1"/>
          <w:kern w:val="0"/>
          <w:szCs w:val="21"/>
          <w:highlight w:val="none"/>
        </w:rPr>
        <w:t>项目名称：</w:t>
      </w:r>
      <w:r>
        <w:rPr>
          <w:rFonts w:hint="eastAsia" w:ascii="宋体" w:hAnsi="宋体"/>
          <w:b/>
          <w:color w:val="000000" w:themeColor="text1"/>
          <w:kern w:val="0"/>
          <w:szCs w:val="21"/>
          <w:highlight w:val="none"/>
          <w:u w:val="single"/>
          <w:lang w:eastAsia="zh-CN"/>
        </w:rPr>
        <w:t>2023年-2024年江城区机关和事业单位会议定点场所(增补)采购项目</w:t>
      </w:r>
    </w:p>
    <w:p>
      <w:pPr>
        <w:tabs>
          <w:tab w:val="center" w:pos="4483"/>
        </w:tabs>
        <w:rPr>
          <w:rFonts w:ascii="宋体" w:hAnsi="宋体"/>
          <w:b/>
          <w:bCs/>
          <w:color w:val="000000" w:themeColor="text1"/>
          <w:highlight w:val="none"/>
          <w:u w:val="single"/>
        </w:rPr>
      </w:pPr>
    </w:p>
    <w:p>
      <w:pPr>
        <w:tabs>
          <w:tab w:val="center" w:pos="4483"/>
        </w:tabs>
        <w:rPr>
          <w:rFonts w:ascii="宋体" w:hAnsi="宋体"/>
          <w:b/>
          <w:bCs/>
          <w:color w:val="000000" w:themeColor="text1"/>
          <w:highlight w:val="none"/>
          <w:u w:val="single"/>
        </w:rPr>
      </w:pPr>
    </w:p>
    <w:p>
      <w:pPr>
        <w:tabs>
          <w:tab w:val="center" w:pos="4483"/>
        </w:tabs>
        <w:rPr>
          <w:rFonts w:ascii="宋体" w:hAnsi="宋体"/>
          <w:color w:val="000000" w:themeColor="text1"/>
          <w:kern w:val="0"/>
          <w:szCs w:val="21"/>
          <w:highlight w:val="none"/>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提供财务报表复印件加盖公章、缴税证明复印件加盖公章、社会保险登记证明复印件加盖公章</w:t>
      </w:r>
    </w:p>
    <w:p>
      <w:pPr>
        <w:pStyle w:val="4"/>
        <w:numPr>
          <w:ilvl w:val="0"/>
          <w:numId w:val="0"/>
        </w:numPr>
        <w:jc w:val="center"/>
        <w:rPr>
          <w:color w:val="000000" w:themeColor="text1"/>
          <w:sz w:val="28"/>
          <w:szCs w:val="28"/>
          <w:highlight w:val="none"/>
        </w:rPr>
      </w:pPr>
      <w:bookmarkStart w:id="158" w:name="_Toc28460"/>
      <w:bookmarkStart w:id="159" w:name="_Toc200414523"/>
      <w:r>
        <w:rPr>
          <w:rFonts w:hint="eastAsia"/>
          <w:color w:val="000000" w:themeColor="text1"/>
          <w:sz w:val="28"/>
          <w:szCs w:val="28"/>
          <w:highlight w:val="none"/>
        </w:rPr>
        <w:t>（五） 资格审查文件要求提交的其它有效证明文件</w:t>
      </w:r>
      <w:bookmarkEnd w:id="158"/>
      <w:bookmarkEnd w:id="159"/>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2、财务报表复印件加盖公章；</w:t>
      </w:r>
    </w:p>
    <w:p>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、无重大违法记录声明函；</w:t>
      </w:r>
    </w:p>
    <w:p>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、法定代表人（负责人）证明书；</w:t>
      </w:r>
    </w:p>
    <w:p>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、法定代表人（负责人）授权书；</w:t>
      </w:r>
    </w:p>
    <w:p>
      <w:pPr>
        <w:spacing w:line="440" w:lineRule="exact"/>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相关资质证明文件：</w:t>
      </w:r>
    </w:p>
    <w:p>
      <w:pPr>
        <w:spacing w:line="44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9</w:t>
      </w:r>
      <w:r>
        <w:rPr>
          <w:rFonts w:hint="eastAsia" w:ascii="宋体" w:hAnsi="宋体"/>
          <w:color w:val="000000" w:themeColor="text1"/>
          <w:szCs w:val="21"/>
          <w:highlight w:val="none"/>
        </w:rPr>
        <w:t>、……</w:t>
      </w: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pStyle w:val="4"/>
        <w:numPr>
          <w:ilvl w:val="0"/>
          <w:numId w:val="0"/>
        </w:numPr>
        <w:spacing w:line="276" w:lineRule="auto"/>
        <w:ind w:firstLine="2249" w:firstLineChars="800"/>
        <w:rPr>
          <w:color w:val="000000" w:themeColor="text1"/>
          <w:sz w:val="28"/>
          <w:szCs w:val="28"/>
          <w:highlight w:val="none"/>
        </w:rPr>
      </w:pPr>
      <w:bookmarkStart w:id="160" w:name="_Toc29257"/>
      <w:bookmarkStart w:id="161" w:name="_Toc200414524"/>
      <w:r>
        <w:rPr>
          <w:rFonts w:hint="eastAsia"/>
          <w:color w:val="000000" w:themeColor="text1"/>
          <w:sz w:val="28"/>
          <w:szCs w:val="28"/>
          <w:highlight w:val="none"/>
        </w:rPr>
        <w:t>第二章  谈判响应文件商务及技术部分</w:t>
      </w:r>
      <w:bookmarkEnd w:id="160"/>
      <w:bookmarkEnd w:id="161"/>
    </w:p>
    <w:p>
      <w:pPr>
        <w:pStyle w:val="4"/>
        <w:numPr>
          <w:ilvl w:val="0"/>
          <w:numId w:val="0"/>
        </w:numPr>
        <w:spacing w:line="276" w:lineRule="auto"/>
        <w:ind w:firstLine="3373" w:firstLineChars="1200"/>
        <w:rPr>
          <w:color w:val="000000" w:themeColor="text1"/>
          <w:sz w:val="28"/>
          <w:szCs w:val="28"/>
          <w:highlight w:val="none"/>
        </w:rPr>
      </w:pPr>
      <w:bookmarkStart w:id="162" w:name="_Toc200414525"/>
      <w:bookmarkStart w:id="163" w:name="_Toc17127"/>
      <w:r>
        <w:rPr>
          <w:rFonts w:hint="eastAsia"/>
          <w:color w:val="000000" w:themeColor="text1"/>
          <w:sz w:val="28"/>
          <w:szCs w:val="28"/>
          <w:highlight w:val="none"/>
        </w:rPr>
        <w:t>附件一：谈判邀请函</w:t>
      </w:r>
      <w:bookmarkEnd w:id="162"/>
      <w:bookmarkEnd w:id="163"/>
    </w:p>
    <w:p>
      <w:pPr>
        <w:widowControl/>
        <w:spacing w:line="400" w:lineRule="exact"/>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360" w:lineRule="exact"/>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lang w:eastAsia="zh-CN"/>
        </w:rPr>
        <w:t>YXZB-20230620</w:t>
      </w:r>
      <w:r>
        <w:rPr>
          <w:rFonts w:hint="eastAsia" w:ascii="宋体" w:hAnsi="宋体"/>
          <w:bCs/>
          <w:color w:val="000000" w:themeColor="text1"/>
          <w:szCs w:val="21"/>
          <w:highlight w:val="none"/>
        </w:rPr>
        <w:t>），我方正式响应谈判文件内容并提交下述文件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和电子文件</w:t>
      </w:r>
      <w:r>
        <w:rPr>
          <w:rFonts w:hint="eastAsia" w:ascii="宋体" w:hAnsi="宋体"/>
          <w:b/>
          <w:bCs/>
          <w:color w:val="000000" w:themeColor="text1"/>
          <w:szCs w:val="21"/>
          <w:highlight w:val="none"/>
          <w:u w:val="single"/>
        </w:rPr>
        <w:t>1</w:t>
      </w:r>
      <w:r>
        <w:rPr>
          <w:rFonts w:hint="eastAsia" w:ascii="宋体" w:hAnsi="宋体"/>
          <w:b/>
          <w:bCs/>
          <w:color w:val="000000" w:themeColor="text1"/>
          <w:szCs w:val="21"/>
          <w:highlight w:val="none"/>
        </w:rPr>
        <w:t>份</w:t>
      </w:r>
      <w:r>
        <w:rPr>
          <w:rFonts w:hint="eastAsia" w:ascii="宋体" w:hAnsi="宋体"/>
          <w:bCs/>
          <w:color w:val="000000" w:themeColor="text1"/>
          <w:szCs w:val="21"/>
          <w:highlight w:val="none"/>
        </w:rPr>
        <w:t>：</w:t>
      </w:r>
    </w:p>
    <w:p>
      <w:pPr>
        <w:widowControl/>
        <w:numPr>
          <w:ilvl w:val="1"/>
          <w:numId w:val="13"/>
        </w:numPr>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谈判邀请函；</w:t>
      </w:r>
    </w:p>
    <w:p>
      <w:pPr>
        <w:widowControl/>
        <w:numPr>
          <w:ilvl w:val="1"/>
          <w:numId w:val="13"/>
        </w:numPr>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highlight w:val="none"/>
        </w:rPr>
        <w:t>承诺书；</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3、报价一览表；</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4</w:t>
      </w:r>
      <w:r>
        <w:rPr>
          <w:rFonts w:hint="eastAsia" w:ascii="宋体" w:hAnsi="宋体"/>
          <w:bCs/>
          <w:color w:val="000000" w:themeColor="text1"/>
          <w:szCs w:val="21"/>
          <w:highlight w:val="none"/>
        </w:rPr>
        <w:t>、商务条款偏离一览表；</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5</w:t>
      </w:r>
      <w:r>
        <w:rPr>
          <w:rFonts w:hint="eastAsia" w:ascii="宋体" w:hAnsi="宋体"/>
          <w:bCs/>
          <w:color w:val="000000" w:themeColor="text1"/>
          <w:szCs w:val="21"/>
          <w:highlight w:val="none"/>
        </w:rPr>
        <w:t>、技术条款偏离一览表；</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、项目实施方案；</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7</w:t>
      </w:r>
      <w:r>
        <w:rPr>
          <w:rFonts w:hint="eastAsia" w:ascii="宋体" w:hAnsi="宋体"/>
          <w:bCs/>
          <w:color w:val="000000" w:themeColor="text1"/>
          <w:szCs w:val="21"/>
          <w:highlight w:val="none"/>
        </w:rPr>
        <w:t xml:space="preserve">、同类业绩一览表； </w:t>
      </w:r>
    </w:p>
    <w:p>
      <w:pPr>
        <w:widowControl/>
        <w:tabs>
          <w:tab w:val="left" w:pos="502"/>
        </w:tabs>
        <w:adjustRightInd w:val="0"/>
        <w:snapToGrid w:val="0"/>
        <w:spacing w:line="360" w:lineRule="exact"/>
        <w:ind w:left="374" w:leftChars="178" w:firstLine="315" w:firstLineChars="150"/>
        <w:rPr>
          <w:rFonts w:hint="eastAsia" w:ascii="宋体" w:hAnsi="宋体"/>
          <w:bCs/>
          <w:color w:val="000000" w:themeColor="text1"/>
          <w:szCs w:val="21"/>
          <w:highlight w:val="none"/>
        </w:rPr>
      </w:pPr>
      <w:r>
        <w:rPr>
          <w:rFonts w:hint="eastAsia" w:ascii="宋体" w:hAnsi="宋体"/>
          <w:bCs/>
          <w:color w:val="000000" w:themeColor="text1"/>
          <w:szCs w:val="21"/>
          <w:highlight w:val="none"/>
          <w:lang w:val="en-US" w:eastAsia="zh-CN"/>
        </w:rPr>
        <w:t>8</w:t>
      </w:r>
      <w:r>
        <w:rPr>
          <w:rFonts w:hint="eastAsia" w:ascii="宋体" w:hAnsi="宋体"/>
          <w:bCs/>
          <w:color w:val="000000" w:themeColor="text1"/>
          <w:szCs w:val="21"/>
          <w:highlight w:val="none"/>
        </w:rPr>
        <w:t>、谈判供应商提交的其他资料</w:t>
      </w:r>
    </w:p>
    <w:p>
      <w:pPr>
        <w:widowControl/>
        <w:tabs>
          <w:tab w:val="left" w:pos="502"/>
        </w:tabs>
        <w:adjustRightInd w:val="0"/>
        <w:snapToGrid w:val="0"/>
        <w:spacing w:line="360" w:lineRule="exact"/>
        <w:ind w:left="374" w:leftChars="178" w:firstLine="315" w:firstLineChars="150"/>
        <w:rPr>
          <w:rFonts w:ascii="宋体" w:hAnsi="宋体"/>
          <w:color w:val="000000" w:themeColor="text1"/>
          <w:szCs w:val="21"/>
          <w:highlight w:val="none"/>
        </w:rPr>
      </w:pPr>
      <w:r>
        <w:rPr>
          <w:rFonts w:hint="eastAsia" w:ascii="宋体" w:hAnsi="宋体"/>
          <w:bCs/>
          <w:color w:val="000000" w:themeColor="text1"/>
          <w:szCs w:val="21"/>
          <w:highlight w:val="none"/>
        </w:rPr>
        <w:t>以</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形式提交的谈判保证金，金额为大写</w:t>
      </w:r>
      <w:r>
        <w:rPr>
          <w:rFonts w:hint="eastAsia" w:ascii="宋体"/>
          <w:color w:val="000000" w:themeColor="text1"/>
          <w:szCs w:val="21"/>
          <w:highlight w:val="none"/>
        </w:rPr>
        <w:t>人民币</w:t>
      </w:r>
      <w:r>
        <w:rPr>
          <w:rFonts w:hint="eastAsia" w:ascii="宋体"/>
          <w:color w:val="000000" w:themeColor="text1"/>
          <w:szCs w:val="21"/>
          <w:highlight w:val="none"/>
          <w:u w:val="single"/>
        </w:rPr>
        <w:t xml:space="preserve">                 </w:t>
      </w:r>
      <w:r>
        <w:rPr>
          <w:rFonts w:hint="eastAsia" w:ascii="宋体"/>
          <w:color w:val="000000" w:themeColor="text1"/>
          <w:szCs w:val="21"/>
          <w:highlight w:val="none"/>
        </w:rPr>
        <w:t>（</w:t>
      </w:r>
      <w:r>
        <w:rPr>
          <w:rFonts w:hint="eastAsia" w:ascii="宋体" w:hAnsi="宋体"/>
          <w:bCs/>
          <w:color w:val="000000" w:themeColor="text1"/>
          <w:szCs w:val="21"/>
          <w:highlight w:val="none"/>
        </w:rPr>
        <w:t xml:space="preserve">¥ </w:t>
      </w:r>
      <w:r>
        <w:rPr>
          <w:rFonts w:hint="eastAsia" w:ascii="宋体"/>
          <w:bCs/>
          <w:color w:val="000000" w:themeColor="text1"/>
          <w:szCs w:val="21"/>
          <w:highlight w:val="none"/>
          <w:u w:val="single"/>
        </w:rPr>
        <w:t xml:space="preserve">        </w:t>
      </w:r>
      <w:r>
        <w:rPr>
          <w:rFonts w:hint="eastAsia" w:ascii="宋体"/>
          <w:bCs/>
          <w:color w:val="000000" w:themeColor="text1"/>
          <w:szCs w:val="21"/>
          <w:highlight w:val="none"/>
        </w:rPr>
        <w:t>）。</w:t>
      </w:r>
    </w:p>
    <w:p>
      <w:pPr>
        <w:widowControl/>
        <w:tabs>
          <w:tab w:val="left" w:pos="502"/>
        </w:tabs>
        <w:adjustRightInd w:val="0"/>
        <w:snapToGrid w:val="0"/>
        <w:spacing w:line="360" w:lineRule="exact"/>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pPr>
        <w:pStyle w:val="19"/>
        <w:rPr>
          <w:rFonts w:hint="eastAsia" w:ascii="宋体" w:hAnsi="宋体"/>
          <w:bCs/>
          <w:color w:val="000000" w:themeColor="text1"/>
          <w:szCs w:val="21"/>
          <w:highlight w:val="none"/>
        </w:rPr>
      </w:pPr>
    </w:p>
    <w:p>
      <w:pPr>
        <w:pStyle w:val="19"/>
        <w:rPr>
          <w:rFonts w:hint="eastAsia" w:ascii="宋体" w:hAnsi="宋体"/>
          <w:bCs/>
          <w:color w:val="000000" w:themeColor="text1"/>
          <w:szCs w:val="21"/>
          <w:highlight w:val="none"/>
        </w:rPr>
      </w:pPr>
    </w:p>
    <w:p>
      <w:pPr>
        <w:pStyle w:val="19"/>
        <w:rPr>
          <w:rFonts w:hint="eastAsia" w:ascii="宋体" w:hAnsi="宋体"/>
          <w:bCs/>
          <w:color w:val="000000" w:themeColor="text1"/>
          <w:szCs w:val="21"/>
          <w:highlight w:val="none"/>
        </w:rPr>
      </w:pPr>
    </w:p>
    <w:p>
      <w:pPr>
        <w:adjustRightInd w:val="0"/>
        <w:snapToGrid w:val="0"/>
        <w:spacing w:line="36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 xml:space="preserve">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pStyle w:val="23"/>
        <w:spacing w:line="360" w:lineRule="exact"/>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pPr>
        <w:pStyle w:val="4"/>
        <w:numPr>
          <w:ilvl w:val="0"/>
          <w:numId w:val="0"/>
        </w:numPr>
        <w:jc w:val="both"/>
        <w:rPr>
          <w:rFonts w:hint="eastAsia"/>
          <w:color w:val="000000" w:themeColor="text1"/>
          <w:sz w:val="28"/>
          <w:szCs w:val="28"/>
          <w:highlight w:val="none"/>
        </w:rPr>
      </w:pPr>
      <w:bookmarkStart w:id="164" w:name="_Toc333238656"/>
      <w:bookmarkStart w:id="165" w:name="_Toc78816017"/>
      <w:bookmarkStart w:id="166" w:name="_Toc336681957"/>
      <w:bookmarkStart w:id="167" w:name="_Toc333237700"/>
      <w:bookmarkStart w:id="168" w:name="_Toc350438771"/>
      <w:bookmarkStart w:id="169" w:name="_Toc332270369"/>
      <w:bookmarkStart w:id="170" w:name="_Toc333935709"/>
      <w:bookmarkStart w:id="171" w:name="_Toc345312619"/>
      <w:bookmarkStart w:id="172" w:name="_Toc342060397"/>
      <w:bookmarkStart w:id="173" w:name="_Toc342398152"/>
      <w:bookmarkStart w:id="174" w:name="_Toc343247122"/>
      <w:bookmarkStart w:id="175" w:name="_Toc342296783"/>
      <w:bookmarkStart w:id="176" w:name="_Toc343612942"/>
      <w:bookmarkStart w:id="177" w:name="_Toc337632380"/>
      <w:bookmarkStart w:id="178" w:name="_Toc333935368"/>
      <w:bookmarkStart w:id="179" w:name="_Toc339020255"/>
      <w:bookmarkStart w:id="180" w:name="_Toc366072551"/>
      <w:bookmarkStart w:id="181" w:name="_Toc341348362"/>
      <w:bookmarkStart w:id="182" w:name="_Toc343248440"/>
      <w:bookmarkStart w:id="183" w:name="_Toc332206731"/>
      <w:bookmarkStart w:id="184" w:name="_Toc340672891"/>
      <w:bookmarkStart w:id="185" w:name="_Toc342312465"/>
      <w:bookmarkStart w:id="186" w:name="_Toc340677092"/>
      <w:bookmarkStart w:id="187" w:name="_Toc340507464"/>
      <w:bookmarkStart w:id="188" w:name="_Toc339362322"/>
      <w:bookmarkStart w:id="189" w:name="_Toc350756472"/>
      <w:bookmarkStart w:id="190" w:name="_Toc339020037"/>
      <w:bookmarkStart w:id="191" w:name="_Toc339441109"/>
      <w:bookmarkStart w:id="192" w:name="_Toc331684064"/>
      <w:bookmarkStart w:id="193" w:name="_Toc331512923"/>
      <w:bookmarkStart w:id="194" w:name="_Toc336681602"/>
      <w:bookmarkStart w:id="195" w:name="_Toc339020117"/>
      <w:bookmarkStart w:id="196" w:name="_Toc365985200"/>
      <w:bookmarkStart w:id="197" w:name="_Toc339019911"/>
      <w:bookmarkStart w:id="198" w:name="_Toc333237811"/>
      <w:bookmarkStart w:id="199" w:name="_Toc330460008"/>
      <w:bookmarkStart w:id="200" w:name="_Toc365967094"/>
      <w:bookmarkStart w:id="201" w:name="_Toc438589238"/>
      <w:bookmarkStart w:id="202" w:name="_Toc427330699"/>
    </w:p>
    <w:p>
      <w:pPr>
        <w:rPr>
          <w:rFonts w:hint="eastAsia"/>
          <w:color w:val="000000" w:themeColor="text1"/>
          <w:sz w:val="28"/>
          <w:szCs w:val="28"/>
          <w:highlight w:val="none"/>
        </w:rPr>
      </w:pPr>
    </w:p>
    <w:p>
      <w:pPr>
        <w:pStyle w:val="4"/>
        <w:numPr>
          <w:ilvl w:val="0"/>
          <w:numId w:val="0"/>
        </w:numPr>
        <w:jc w:val="center"/>
        <w:rPr>
          <w:color w:val="000000" w:themeColor="text1"/>
          <w:sz w:val="28"/>
          <w:szCs w:val="28"/>
          <w:highlight w:val="none"/>
        </w:rPr>
      </w:pPr>
      <w:bookmarkStart w:id="203" w:name="_Toc17630"/>
      <w:r>
        <w:rPr>
          <w:rFonts w:hint="eastAsia"/>
          <w:color w:val="000000" w:themeColor="text1"/>
          <w:sz w:val="28"/>
          <w:szCs w:val="28"/>
          <w:highlight w:val="none"/>
        </w:rPr>
        <w:t>附件二：</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color w:val="000000" w:themeColor="text1"/>
          <w:sz w:val="28"/>
          <w:szCs w:val="28"/>
          <w:highlight w:val="none"/>
        </w:rPr>
        <w:t>承诺书</w:t>
      </w:r>
      <w:bookmarkEnd w:id="201"/>
      <w:bookmarkEnd w:id="202"/>
      <w:bookmarkEnd w:id="203"/>
    </w:p>
    <w:p>
      <w:pPr>
        <w:spacing w:line="500" w:lineRule="exact"/>
        <w:rPr>
          <w:rFonts w:ascii="宋体" w:hAnsi="宋体"/>
          <w:color w:val="000000" w:themeColor="text1"/>
          <w:szCs w:val="21"/>
          <w:highlight w:val="none"/>
        </w:rPr>
      </w:pPr>
      <w:r>
        <w:rPr>
          <w:rFonts w:hint="eastAsia" w:ascii="宋体" w:hAnsi="宋体"/>
          <w:color w:val="000000" w:themeColor="text1"/>
          <w:szCs w:val="21"/>
          <w:highlight w:val="none"/>
        </w:rPr>
        <w:t>致：</w:t>
      </w:r>
      <w:r>
        <w:rPr>
          <w:rFonts w:hint="eastAsia" w:ascii="宋体" w:hAnsi="宋体"/>
          <w:color w:val="000000" w:themeColor="text1"/>
          <w:szCs w:val="21"/>
          <w:highlight w:val="none"/>
          <w:u w:val="single"/>
        </w:rPr>
        <w:t xml:space="preserve">                                </w:t>
      </w:r>
    </w:p>
    <w:p>
      <w:pPr>
        <w:spacing w:line="500" w:lineRule="exact"/>
        <w:ind w:firstLine="420" w:firstLineChars="200"/>
        <w:rPr>
          <w:rFonts w:ascii="宋体" w:hAnsi="宋体"/>
          <w:color w:val="000000" w:themeColor="text1"/>
          <w:szCs w:val="21"/>
          <w:highlight w:val="none"/>
        </w:rPr>
      </w:pPr>
    </w:p>
    <w:p>
      <w:pPr>
        <w:spacing w:line="5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为满足</w:t>
      </w:r>
      <w:r>
        <w:rPr>
          <w:rFonts w:hint="eastAsia" w:ascii="宋体" w:hAnsi="宋体"/>
          <w:b/>
          <w:bCs/>
          <w:color w:val="000000" w:themeColor="text1"/>
          <w:highlight w:val="none"/>
          <w:u w:val="single"/>
        </w:rPr>
        <w:t xml:space="preserve">                                  </w:t>
      </w:r>
      <w:r>
        <w:rPr>
          <w:rFonts w:hint="eastAsia" w:ascii="宋体" w:hAnsi="宋体"/>
          <w:b/>
          <w:bCs/>
          <w:color w:val="000000" w:themeColor="text1"/>
          <w:szCs w:val="21"/>
          <w:highlight w:val="none"/>
          <w:u w:val="single"/>
        </w:rPr>
        <w:t>(项目编号:             )</w:t>
      </w:r>
      <w:r>
        <w:rPr>
          <w:rFonts w:hint="eastAsia" w:ascii="宋体" w:hAnsi="宋体"/>
          <w:color w:val="000000" w:themeColor="text1"/>
          <w:szCs w:val="21"/>
          <w:highlight w:val="none"/>
        </w:rPr>
        <w:t>的要求，我方</w:t>
      </w:r>
      <w:r>
        <w:rPr>
          <w:rFonts w:ascii="宋体" w:hAnsi="宋体"/>
          <w:color w:val="000000" w:themeColor="text1"/>
          <w:szCs w:val="21"/>
          <w:highlight w:val="none"/>
          <w:u w:val="single"/>
        </w:rPr>
        <w:t xml:space="preserve">  </w:t>
      </w:r>
      <w:r>
        <w:rPr>
          <w:rFonts w:hint="eastAsia" w:ascii="宋体" w:hAnsi="宋体"/>
          <w:color w:val="000000" w:themeColor="text1"/>
          <w:szCs w:val="21"/>
          <w:highlight w:val="none"/>
          <w:u w:val="single"/>
        </w:rPr>
        <w:t>（供应商全称 ）</w:t>
      </w:r>
      <w:r>
        <w:rPr>
          <w:rFonts w:ascii="宋体" w:hAnsi="宋体"/>
          <w:color w:val="000000" w:themeColor="text1"/>
          <w:szCs w:val="21"/>
          <w:highlight w:val="none"/>
          <w:u w:val="single"/>
        </w:rPr>
        <w:t xml:space="preserve">  </w:t>
      </w:r>
      <w:r>
        <w:rPr>
          <w:rFonts w:hint="eastAsia" w:ascii="宋体" w:hAnsi="宋体"/>
          <w:color w:val="000000" w:themeColor="text1"/>
          <w:szCs w:val="21"/>
          <w:highlight w:val="none"/>
        </w:rPr>
        <w:t>在此承诺所提供的投标材料均为真实的，否则，愿意承担相应的法律责任和赔偿经济损失。</w:t>
      </w:r>
    </w:p>
    <w:p>
      <w:pPr>
        <w:spacing w:line="440" w:lineRule="exact"/>
        <w:ind w:firstLine="420" w:firstLineChars="200"/>
        <w:rPr>
          <w:rFonts w:ascii="宋体" w:hAnsi="宋体"/>
          <w:color w:val="000000" w:themeColor="text1"/>
          <w:szCs w:val="21"/>
          <w:highlight w:val="none"/>
        </w:rPr>
      </w:pPr>
    </w:p>
    <w:p>
      <w:pPr>
        <w:spacing w:line="440" w:lineRule="exact"/>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w:t>
      </w:r>
      <w:r>
        <w:rPr>
          <w:rFonts w:hint="eastAsia" w:ascii="宋体" w:hAnsi="宋体"/>
          <w:bCs/>
          <w:color w:val="000000" w:themeColor="text1"/>
          <w:highlight w:val="none"/>
          <w:lang w:eastAsia="zh-CN"/>
        </w:rPr>
        <w:t>法定代表人（负责人）</w:t>
      </w:r>
      <w:r>
        <w:rPr>
          <w:rFonts w:hint="eastAsia" w:ascii="宋体" w:hAnsi="宋体"/>
          <w:bCs/>
          <w:color w:val="000000" w:themeColor="text1"/>
          <w:highlight w:val="none"/>
        </w:rPr>
        <w:t>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adjustRightInd w:val="0"/>
        <w:snapToGrid w:val="0"/>
        <w:spacing w:line="400" w:lineRule="exact"/>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u w:val="singl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4"/>
        <w:numPr>
          <w:ilvl w:val="0"/>
          <w:numId w:val="0"/>
        </w:numPr>
        <w:jc w:val="center"/>
        <w:rPr>
          <w:color w:val="000000" w:themeColor="text1"/>
          <w:sz w:val="28"/>
          <w:szCs w:val="28"/>
          <w:highlight w:val="none"/>
        </w:rPr>
      </w:pPr>
      <w:bookmarkStart w:id="204" w:name="_Toc7796"/>
      <w:bookmarkStart w:id="205" w:name="_Toc200414526"/>
      <w:r>
        <w:rPr>
          <w:rFonts w:hint="eastAsia"/>
          <w:color w:val="000000" w:themeColor="text1"/>
          <w:sz w:val="28"/>
          <w:szCs w:val="28"/>
          <w:highlight w:val="none"/>
        </w:rPr>
        <w:t>附件三：报价一览表</w:t>
      </w:r>
      <w:bookmarkEnd w:id="204"/>
      <w:bookmarkEnd w:id="205"/>
    </w:p>
    <w:p>
      <w:pPr>
        <w:adjustRightInd w:val="0"/>
        <w:snapToGrid w:val="0"/>
        <w:spacing w:line="360" w:lineRule="auto"/>
        <w:jc w:val="left"/>
        <w:rPr>
          <w:rFonts w:ascii="宋体" w:hAnsi="宋体"/>
          <w:b/>
          <w:bCs/>
          <w:cap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
          <w:color w:val="000000" w:themeColor="text1"/>
          <w:szCs w:val="21"/>
          <w:highlight w:val="none"/>
        </w:rPr>
        <w:t>:</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YXZB-20230620</w:t>
      </w:r>
      <w:r>
        <w:rPr>
          <w:rFonts w:hint="eastAsia" w:ascii="宋体" w:hAnsi="宋体"/>
          <w:b/>
          <w:bCs/>
          <w:caps/>
          <w:color w:val="000000" w:themeColor="text1"/>
          <w:szCs w:val="21"/>
          <w:highlight w:val="none"/>
          <w:u w:val="none"/>
        </w:rPr>
        <w:t xml:space="preserve">  </w:t>
      </w:r>
      <w:r>
        <w:rPr>
          <w:rFonts w:hint="eastAsia" w:ascii="宋体" w:hAnsi="宋体"/>
          <w:b/>
          <w:bCs/>
          <w:caps/>
          <w:color w:val="000000" w:themeColor="text1"/>
          <w:szCs w:val="21"/>
          <w:highlight w:val="none"/>
          <w:u w:val="none"/>
          <w:lang w:val="en-US" w:eastAsia="zh-CN"/>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2023年-2024年江城区机关和事业单位会议定点场所(增补)采购项目</w:t>
      </w:r>
      <w:r>
        <w:rPr>
          <w:rFonts w:hint="eastAsia" w:ascii="宋体" w:hAnsi="宋体"/>
          <w:color w:val="000000" w:themeColor="text1"/>
          <w:spacing w:val="10"/>
          <w:szCs w:val="21"/>
          <w:highlight w:val="none"/>
        </w:rPr>
        <w:t xml:space="preserve"> </w:t>
      </w:r>
    </w:p>
    <w:tbl>
      <w:tblPr>
        <w:tblStyle w:val="44"/>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投标</w:t>
            </w:r>
            <w:r>
              <w:rPr>
                <w:rFonts w:hint="eastAsia" w:ascii="宋体" w:hAnsi="宋体"/>
                <w:bCs/>
                <w:color w:val="000000" w:themeColor="text1"/>
                <w:highlight w:val="none"/>
                <w:lang w:val="en-US" w:eastAsia="zh-CN"/>
              </w:rPr>
              <w:t>折扣率（%）</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460" w:lineRule="exact"/>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15"/>
        </w:numPr>
        <w:tabs>
          <w:tab w:val="left" w:pos="845"/>
        </w:tabs>
        <w:spacing w:line="460" w:lineRule="exact"/>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15"/>
        </w:numPr>
        <w:tabs>
          <w:tab w:val="left" w:pos="845"/>
        </w:tabs>
        <w:spacing w:line="460" w:lineRule="exact"/>
        <w:rPr>
          <w:bCs/>
          <w:color w:val="000000" w:themeColor="text1"/>
          <w:highlight w:val="none"/>
        </w:rPr>
      </w:pPr>
      <w:r>
        <w:rPr>
          <w:rFonts w:hint="eastAsia"/>
          <w:bCs/>
          <w:color w:val="000000" w:themeColor="text1"/>
          <w:highlight w:val="none"/>
        </w:rPr>
        <w:t>所投项目的内容必须填写完整。</w:t>
      </w:r>
    </w:p>
    <w:p>
      <w:pPr>
        <w:numPr>
          <w:ilvl w:val="0"/>
          <w:numId w:val="15"/>
        </w:numPr>
        <w:tabs>
          <w:tab w:val="left" w:pos="845"/>
        </w:tabs>
        <w:spacing w:line="460" w:lineRule="exact"/>
        <w:rPr>
          <w:rFonts w:ascii="宋体" w:hAnsi="宋体"/>
          <w:bCs/>
          <w:color w:val="000000" w:themeColor="text1"/>
          <w:highlight w:val="none"/>
        </w:rPr>
      </w:pPr>
      <w:r>
        <w:rPr>
          <w:rFonts w:hint="eastAsia"/>
          <w:bCs/>
          <w:color w:val="000000" w:themeColor="text1"/>
          <w:highlight w:val="none"/>
        </w:rPr>
        <w:t>如果供应商认为有应当说明而本表中无相应栏目的内容，请在“备注”栏中说明添加说明。</w:t>
      </w:r>
    </w:p>
    <w:p>
      <w:pPr>
        <w:tabs>
          <w:tab w:val="left" w:pos="845"/>
        </w:tabs>
        <w:spacing w:line="46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 xml:space="preserve">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widowControl/>
        <w:adjustRightInd w:val="0"/>
        <w:snapToGrid w:val="0"/>
        <w:spacing w:line="460" w:lineRule="exact"/>
        <w:rPr>
          <w:rFonts w:ascii="宋体" w:hAnsi="宋体"/>
          <w:bCs/>
          <w:color w:val="000000" w:themeColor="text1"/>
          <w:highlight w:val="none"/>
          <w:u w:val="singl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pPr>
    </w:p>
    <w:p>
      <w:pPr>
        <w:pStyle w:val="23"/>
        <w:spacing w:line="400" w:lineRule="exact"/>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4"/>
        <w:numPr>
          <w:ilvl w:val="0"/>
          <w:numId w:val="0"/>
        </w:numPr>
        <w:jc w:val="center"/>
        <w:rPr>
          <w:rFonts w:hint="eastAsia"/>
          <w:color w:val="000000" w:themeColor="text1"/>
          <w:sz w:val="28"/>
          <w:szCs w:val="28"/>
          <w:highlight w:val="none"/>
        </w:rPr>
      </w:pPr>
      <w:bookmarkStart w:id="206" w:name="_Toc627"/>
      <w:bookmarkStart w:id="207" w:name="_Toc200414528"/>
      <w:r>
        <w:rPr>
          <w:rFonts w:hint="eastAsia"/>
          <w:color w:val="000000" w:themeColor="text1"/>
          <w:sz w:val="28"/>
          <w:szCs w:val="28"/>
          <w:highlight w:val="none"/>
        </w:rPr>
        <w:t>附件</w:t>
      </w:r>
      <w:r>
        <w:rPr>
          <w:rFonts w:hint="eastAsia"/>
          <w:color w:val="000000" w:themeColor="text1"/>
          <w:sz w:val="28"/>
          <w:szCs w:val="28"/>
          <w:highlight w:val="none"/>
          <w:lang w:val="en-US" w:eastAsia="zh-CN"/>
        </w:rPr>
        <w:t>四</w:t>
      </w:r>
      <w:r>
        <w:rPr>
          <w:rFonts w:hint="eastAsia"/>
          <w:color w:val="000000" w:themeColor="text1"/>
          <w:sz w:val="28"/>
          <w:szCs w:val="28"/>
          <w:highlight w:val="none"/>
        </w:rPr>
        <w:t>：谈判分项报价</w:t>
      </w:r>
      <w:r>
        <w:rPr>
          <w:color w:val="000000" w:themeColor="text1"/>
          <w:sz w:val="28"/>
          <w:szCs w:val="28"/>
          <w:highlight w:val="none"/>
        </w:rPr>
        <w:t>表</w:t>
      </w:r>
      <w:bookmarkEnd w:id="206"/>
    </w:p>
    <w:p>
      <w:pPr>
        <w:bidi w:val="0"/>
        <w:rPr>
          <w:color w:val="000000" w:themeColor="text1"/>
          <w:highlight w:val="none"/>
        </w:rPr>
      </w:pP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p>
      <w:pPr>
        <w:spacing w:line="360" w:lineRule="auto"/>
        <w:rPr>
          <w:rFonts w:hint="eastAsia"/>
          <w:color w:val="000000" w:themeColor="text1"/>
          <w:highlight w:val="none"/>
        </w:rPr>
      </w:pPr>
    </w:p>
    <w:tbl>
      <w:tblPr>
        <w:tblStyle w:val="4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序号</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47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int="eastAsia" w:hAnsi="宋体" w:cs="宋体"/>
                <w:color w:val="000000" w:themeColor="text1"/>
                <w:sz w:val="21"/>
                <w:szCs w:val="21"/>
                <w:highlight w:val="none"/>
              </w:rPr>
            </w:pPr>
            <w:r>
              <w:rPr>
                <w:rFonts w:hint="eastAsia" w:hAnsi="宋体" w:cs="宋体"/>
                <w:color w:val="000000" w:themeColor="text1"/>
                <w:sz w:val="21"/>
                <w:szCs w:val="21"/>
                <w:highlight w:val="none"/>
              </w:rPr>
              <w:t>项目内容</w:t>
            </w:r>
          </w:p>
          <w:p>
            <w:pPr>
              <w:pStyle w:val="5"/>
              <w:snapToGrid w:val="0"/>
              <w:ind w:firstLine="0"/>
              <w:jc w:val="center"/>
              <w:rPr>
                <w:rFonts w:hAnsi="宋体" w:cs="宋体"/>
                <w:color w:val="000000" w:themeColor="text1"/>
                <w:sz w:val="21"/>
                <w:szCs w:val="21"/>
                <w:highlight w:val="none"/>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类会议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47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rPr>
            </w:pPr>
            <w:r>
              <w:rPr>
                <w:rFonts w:hint="eastAsia" w:hAnsi="宋体" w:cs="宋体"/>
                <w:color w:val="000000" w:themeColor="text1"/>
                <w:sz w:val="21"/>
                <w:szCs w:val="21"/>
                <w:highlight w:val="none"/>
                <w:lang w:val="en-US" w:eastAsia="zh-CN"/>
              </w:rPr>
              <w:t>2</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服务</w:t>
            </w:r>
            <w:r>
              <w:rPr>
                <w:rFonts w:hint="eastAsia" w:hAnsi="宋体" w:cs="宋体"/>
                <w:color w:val="000000" w:themeColor="text1"/>
                <w:sz w:val="21"/>
                <w:szCs w:val="21"/>
                <w:highlight w:val="none"/>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rPr>
            </w:pPr>
            <w:r>
              <w:rPr>
                <w:rFonts w:hint="eastAsia" w:hAnsi="宋体" w:cs="宋体"/>
                <w:color w:val="000000" w:themeColor="text1"/>
                <w:sz w:val="21"/>
                <w:szCs w:val="21"/>
                <w:highlight w:val="none"/>
                <w:lang w:val="en-US" w:eastAsia="zh-CN"/>
              </w:rPr>
              <w:t>3</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val="en-US" w:eastAsia="zh-CN"/>
              </w:rPr>
            </w:pPr>
            <w:r>
              <w:rPr>
                <w:rFonts w:hint="eastAsia" w:hAnsi="宋体" w:cs="宋体"/>
                <w:color w:val="000000" w:themeColor="text1"/>
                <w:sz w:val="21"/>
                <w:szCs w:val="21"/>
                <w:highlight w:val="none"/>
                <w:lang w:val="en-US" w:eastAsia="zh-CN"/>
              </w:rPr>
              <w:t>4</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rPr>
            </w:pPr>
            <w:r>
              <w:rPr>
                <w:rFonts w:hint="eastAsia" w:hAnsi="宋体" w:cs="宋体"/>
                <w:color w:val="000000" w:themeColor="text1"/>
                <w:sz w:val="21"/>
                <w:szCs w:val="21"/>
                <w:highlight w:val="none"/>
                <w:lang w:val="en-US" w:eastAsia="zh-CN"/>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bl>
    <w:p>
      <w:pPr>
        <w:spacing w:line="360" w:lineRule="auto"/>
        <w:rPr>
          <w:rFonts w:hint="eastAsia"/>
          <w:color w:val="000000" w:themeColor="text1"/>
          <w:highlight w:val="none"/>
        </w:rPr>
      </w:pPr>
    </w:p>
    <w:p>
      <w:pPr>
        <w:spacing w:line="360" w:lineRule="auto"/>
        <w:rPr>
          <w:color w:val="000000" w:themeColor="text1"/>
          <w:highlight w:val="none"/>
        </w:rPr>
      </w:pPr>
      <w:r>
        <w:rPr>
          <w:rFonts w:hint="eastAsia"/>
          <w:color w:val="000000" w:themeColor="text1"/>
          <w:highlight w:val="none"/>
        </w:rPr>
        <w:t>注：</w:t>
      </w:r>
      <w:r>
        <w:rPr>
          <w:rFonts w:hint="eastAsia" w:ascii="宋体" w:hAnsi="宋体"/>
          <w:color w:val="000000" w:themeColor="text1"/>
          <w:highlight w:val="none"/>
        </w:rPr>
        <w:t>1、如本表格式内容不能满足需要，供应商可自行划表填写，但必须体现以上内容。</w:t>
      </w:r>
    </w:p>
    <w:p>
      <w:pPr>
        <w:rPr>
          <w:rFonts w:hint="eastAsia"/>
          <w:color w:val="000000" w:themeColor="text1"/>
          <w:sz w:val="28"/>
          <w:szCs w:val="28"/>
          <w:highlight w:val="none"/>
        </w:rPr>
      </w:pP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 xml:space="preserve">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rPr>
          <w:rFonts w:hint="eastAsia"/>
          <w:color w:val="000000" w:themeColor="text1"/>
          <w:sz w:val="28"/>
          <w:szCs w:val="28"/>
          <w:highlight w:val="none"/>
        </w:rPr>
      </w:pPr>
      <w:r>
        <w:rPr>
          <w:rFonts w:hint="eastAsia"/>
          <w:color w:val="000000" w:themeColor="text1"/>
          <w:sz w:val="28"/>
          <w:szCs w:val="28"/>
          <w:highlight w:val="none"/>
        </w:rPr>
        <w:br w:type="page"/>
      </w:r>
    </w:p>
    <w:p>
      <w:pPr>
        <w:pStyle w:val="4"/>
        <w:numPr>
          <w:ilvl w:val="0"/>
          <w:numId w:val="0"/>
        </w:numPr>
        <w:jc w:val="center"/>
        <w:rPr>
          <w:color w:val="000000" w:themeColor="text1"/>
          <w:sz w:val="28"/>
          <w:szCs w:val="28"/>
          <w:highlight w:val="none"/>
        </w:rPr>
      </w:pPr>
      <w:bookmarkStart w:id="208" w:name="_Toc5792"/>
      <w:r>
        <w:rPr>
          <w:rFonts w:hint="eastAsia"/>
          <w:color w:val="000000" w:themeColor="text1"/>
          <w:sz w:val="28"/>
          <w:szCs w:val="28"/>
          <w:highlight w:val="none"/>
        </w:rPr>
        <w:t>附件</w:t>
      </w:r>
      <w:r>
        <w:rPr>
          <w:rFonts w:hint="eastAsia"/>
          <w:color w:val="000000" w:themeColor="text1"/>
          <w:sz w:val="28"/>
          <w:szCs w:val="28"/>
          <w:highlight w:val="none"/>
          <w:lang w:val="en-US" w:eastAsia="zh-CN"/>
        </w:rPr>
        <w:t>五</w:t>
      </w:r>
      <w:r>
        <w:rPr>
          <w:rFonts w:hint="eastAsia"/>
          <w:color w:val="000000" w:themeColor="text1"/>
          <w:sz w:val="28"/>
          <w:szCs w:val="28"/>
          <w:highlight w:val="none"/>
        </w:rPr>
        <w:t>：商务条款偏离一览表</w:t>
      </w:r>
      <w:bookmarkEnd w:id="207"/>
      <w:bookmarkEnd w:id="208"/>
    </w:p>
    <w:p>
      <w:pPr>
        <w:adjustRightInd w:val="0"/>
        <w:snapToGrid w:val="0"/>
        <w:spacing w:line="360" w:lineRule="auto"/>
        <w:jc w:val="left"/>
        <w:rPr>
          <w:rFonts w:hint="default" w:ascii="宋体" w:hAnsi="宋体" w:eastAsia="宋体"/>
          <w:b/>
          <w:bCs/>
          <w:caps/>
          <w:color w:val="000000" w:themeColor="text1"/>
          <w:szCs w:val="21"/>
          <w:highlight w:val="none"/>
          <w:u w:val="none"/>
          <w:lang w:val="en-US"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YXZB-20230620</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u w:val="none"/>
          <w:lang w:val="en-US" w:eastAsia="zh-CN"/>
        </w:rPr>
        <w:t xml:space="preserve">                   </w:t>
      </w:r>
    </w:p>
    <w:p>
      <w:pPr>
        <w:adjustRightInd w:val="0"/>
        <w:snapToGrid w:val="0"/>
        <w:spacing w:line="360" w:lineRule="auto"/>
        <w:jc w:val="left"/>
        <w:rPr>
          <w:rFonts w:hint="eastAsia" w:ascii="宋体" w:hAnsi="宋体" w:eastAsia="宋体"/>
          <w:color w:val="000000" w:themeColor="text1"/>
          <w:spacing w:val="10"/>
          <w:szCs w:val="21"/>
          <w:highlight w:val="none"/>
          <w:u w:val="singl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2023年-2024年江城区机关和事业单位会议定点场所(增补)采购项目</w:t>
      </w:r>
    </w:p>
    <w:tbl>
      <w:tblPr>
        <w:tblStyle w:val="44"/>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说明：1）对“偏离”一栏，填写“无偏离、负偏离、正偏离”；</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pStyle w:val="4"/>
        <w:numPr>
          <w:ilvl w:val="0"/>
          <w:numId w:val="0"/>
        </w:numPr>
        <w:jc w:val="center"/>
        <w:rPr>
          <w:color w:val="000000" w:themeColor="text1"/>
          <w:sz w:val="28"/>
          <w:szCs w:val="28"/>
          <w:highlight w:val="none"/>
        </w:rPr>
      </w:pPr>
      <w:bookmarkStart w:id="209" w:name="_Toc200414529"/>
      <w:bookmarkStart w:id="210" w:name="_Toc8779"/>
      <w:r>
        <w:rPr>
          <w:rFonts w:hint="eastAsia"/>
          <w:color w:val="000000" w:themeColor="text1"/>
          <w:sz w:val="28"/>
          <w:szCs w:val="28"/>
          <w:highlight w:val="none"/>
        </w:rPr>
        <w:t>附件</w:t>
      </w:r>
      <w:r>
        <w:rPr>
          <w:rFonts w:hint="eastAsia"/>
          <w:color w:val="000000" w:themeColor="text1"/>
          <w:sz w:val="28"/>
          <w:szCs w:val="28"/>
          <w:highlight w:val="none"/>
          <w:lang w:val="en-US" w:eastAsia="zh-CN"/>
        </w:rPr>
        <w:t>六</w:t>
      </w:r>
      <w:r>
        <w:rPr>
          <w:rFonts w:hint="eastAsia"/>
          <w:color w:val="000000" w:themeColor="text1"/>
          <w:sz w:val="28"/>
          <w:szCs w:val="28"/>
          <w:highlight w:val="none"/>
        </w:rPr>
        <w:t>：技术条款偏离一览表</w:t>
      </w:r>
      <w:bookmarkEnd w:id="209"/>
      <w:bookmarkEnd w:id="210"/>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YXZB-20230620</w:t>
      </w:r>
      <w:r>
        <w:rPr>
          <w:rFonts w:hint="eastAsia" w:ascii="宋体" w:hAnsi="宋体"/>
          <w:b/>
          <w:bCs/>
          <w:color w:val="000000" w:themeColor="text1"/>
          <w:szCs w:val="21"/>
          <w:highlight w:val="none"/>
          <w:u w:val="single"/>
          <w:lang w:val="en-US" w:eastAsia="zh-CN"/>
        </w:rPr>
        <w:t xml:space="preserve"> </w:t>
      </w:r>
      <w:r>
        <w:rPr>
          <w:rFonts w:hint="eastAsia" w:ascii="宋体" w:hAnsi="宋体"/>
          <w:b/>
          <w:bCs/>
          <w:color w:val="000000" w:themeColor="text1"/>
          <w:szCs w:val="21"/>
          <w:highlight w:val="none"/>
          <w:u w:val="none"/>
          <w:lang w:val="en-US" w:eastAsia="zh-CN"/>
        </w:rPr>
        <w:t xml:space="preserve">                    </w:t>
      </w:r>
      <w:r>
        <w:rPr>
          <w:rFonts w:hint="eastAsia" w:ascii="宋体" w:hAnsi="宋体"/>
          <w:color w:val="000000" w:themeColor="text1"/>
          <w:szCs w:val="21"/>
          <w:highlight w:val="none"/>
          <w:u w:val="none"/>
        </w:rPr>
        <w:t xml:space="preserve"> </w:t>
      </w: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2023年-2024年江城区机关和事业单位会议定点场所(增补)采购项目</w:t>
      </w:r>
      <w:r>
        <w:rPr>
          <w:rFonts w:hint="eastAsia" w:ascii="宋体" w:hAnsi="宋体"/>
          <w:b/>
          <w:bCs/>
          <w:color w:val="000000" w:themeColor="text1"/>
          <w:szCs w:val="21"/>
          <w:highlight w:val="none"/>
          <w:u w:val="single"/>
        </w:rPr>
        <w:t xml:space="preserve"> </w:t>
      </w:r>
    </w:p>
    <w:tbl>
      <w:tblPr>
        <w:tblStyle w:val="44"/>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bl>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说明：1）对“偏离”一栏，填写“无偏离、负偏离、正偏离”；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w:t>
      </w:r>
    </w:p>
    <w:p>
      <w:pPr>
        <w:adjustRightInd w:val="0"/>
        <w:snapToGrid w:val="0"/>
        <w:spacing w:line="360" w:lineRule="auto"/>
        <w:ind w:left="-271" w:leftChars="-129"/>
        <w:rPr>
          <w:rFonts w:ascii="宋体" w:hAnsi="宋体"/>
          <w:b/>
          <w:bCs/>
          <w:color w:val="000000" w:themeColor="text1"/>
          <w:szCs w:val="21"/>
          <w:highlight w:val="none"/>
        </w:rPr>
      </w:pP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adjustRightInd w:val="0"/>
        <w:snapToGrid w:val="0"/>
        <w:spacing w:line="360" w:lineRule="auto"/>
        <w:rPr>
          <w:rFonts w:ascii="宋体" w:hAnsi="宋体"/>
          <w:bCs/>
          <w:color w:val="000000" w:themeColor="text1"/>
          <w:highlight w:val="none"/>
          <w:u w:val="single"/>
        </w:rPr>
        <w:sectPr>
          <w:footerReference r:id="rId12" w:type="default"/>
          <w:pgSz w:w="11906" w:h="16838"/>
          <w:pgMar w:top="1418" w:right="1474" w:bottom="1418" w:left="1474" w:header="851" w:footer="851" w:gutter="0"/>
          <w:cols w:space="425" w:num="1"/>
          <w:titlePg/>
          <w:docGrid w:linePitch="312" w:charSpace="0"/>
        </w:sectPr>
      </w:pPr>
    </w:p>
    <w:p>
      <w:pPr>
        <w:pStyle w:val="4"/>
        <w:numPr>
          <w:ilvl w:val="0"/>
          <w:numId w:val="0"/>
        </w:numPr>
        <w:spacing w:line="400" w:lineRule="exact"/>
        <w:jc w:val="center"/>
        <w:rPr>
          <w:color w:val="000000" w:themeColor="text1"/>
          <w:sz w:val="28"/>
          <w:szCs w:val="28"/>
          <w:highlight w:val="none"/>
        </w:rPr>
      </w:pPr>
      <w:bookmarkStart w:id="211" w:name="_Toc343248444"/>
      <w:bookmarkStart w:id="212" w:name="_Toc331512927"/>
      <w:bookmarkStart w:id="213" w:name="_Toc342398156"/>
      <w:bookmarkStart w:id="214" w:name="_Toc333237815"/>
      <w:bookmarkStart w:id="215" w:name="_Toc333935713"/>
      <w:bookmarkStart w:id="216" w:name="_Toc339362326"/>
      <w:bookmarkStart w:id="217" w:name="_Toc339020259"/>
      <w:bookmarkStart w:id="218" w:name="_Toc343247126"/>
      <w:bookmarkStart w:id="219" w:name="_Toc339020041"/>
      <w:bookmarkStart w:id="220" w:name="_Toc427330702"/>
      <w:bookmarkStart w:id="221" w:name="_Toc336681606"/>
      <w:bookmarkStart w:id="222" w:name="_Toc366072555"/>
      <w:bookmarkStart w:id="223" w:name="_Toc339019915"/>
      <w:bookmarkStart w:id="224" w:name="_Toc332270373"/>
      <w:bookmarkStart w:id="225" w:name="_Toc340672895"/>
      <w:bookmarkStart w:id="226" w:name="_Toc339441113"/>
      <w:bookmarkStart w:id="227" w:name="_Toc350438775"/>
      <w:bookmarkStart w:id="228" w:name="_Toc342060401"/>
      <w:bookmarkStart w:id="229" w:name="_Toc336681961"/>
      <w:bookmarkStart w:id="230" w:name="_Toc331684068"/>
      <w:bookmarkStart w:id="231" w:name="_Toc365967098"/>
      <w:bookmarkStart w:id="232" w:name="_Toc350756476"/>
      <w:bookmarkStart w:id="233" w:name="_Toc330460012"/>
      <w:bookmarkStart w:id="234" w:name="_Toc333237704"/>
      <w:bookmarkStart w:id="235" w:name="_Toc333238660"/>
      <w:bookmarkStart w:id="236" w:name="_Toc340507468"/>
      <w:bookmarkStart w:id="237" w:name="_Toc337632384"/>
      <w:bookmarkStart w:id="238" w:name="_Toc343612946"/>
      <w:bookmarkStart w:id="239" w:name="_Toc345312623"/>
      <w:bookmarkStart w:id="240" w:name="_Toc333935372"/>
      <w:bookmarkStart w:id="241" w:name="_Toc365985204"/>
      <w:bookmarkStart w:id="242" w:name="_Toc341348366"/>
      <w:bookmarkStart w:id="243" w:name="_Toc339020121"/>
      <w:bookmarkStart w:id="244" w:name="_Toc438589241"/>
      <w:bookmarkStart w:id="245" w:name="_Toc332206735"/>
      <w:bookmarkStart w:id="246" w:name="_Toc342312469"/>
      <w:bookmarkStart w:id="247" w:name="_Toc340677096"/>
      <w:bookmarkStart w:id="248" w:name="_Toc342296787"/>
      <w:bookmarkStart w:id="249" w:name="_Toc19623"/>
      <w:r>
        <w:rPr>
          <w:rFonts w:hint="eastAsia"/>
          <w:color w:val="000000" w:themeColor="text1"/>
          <w:sz w:val="28"/>
          <w:szCs w:val="28"/>
          <w:highlight w:val="none"/>
        </w:rPr>
        <w:t>附件</w:t>
      </w:r>
      <w:r>
        <w:rPr>
          <w:rFonts w:hint="eastAsia"/>
          <w:color w:val="000000" w:themeColor="text1"/>
          <w:sz w:val="28"/>
          <w:szCs w:val="28"/>
          <w:highlight w:val="none"/>
          <w:lang w:val="en-US" w:eastAsia="zh-CN"/>
        </w:rPr>
        <w:t>七</w:t>
      </w:r>
      <w:r>
        <w:rPr>
          <w:rFonts w:hint="eastAsia"/>
          <w:color w:val="000000" w:themeColor="text1"/>
          <w:sz w:val="28"/>
          <w:szCs w:val="28"/>
          <w:highlight w:val="none"/>
        </w:rPr>
        <w: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color w:val="000000" w:themeColor="text1"/>
          <w:sz w:val="28"/>
          <w:szCs w:val="28"/>
          <w:highlight w:val="none"/>
        </w:rPr>
        <w:t>项目实施方案</w:t>
      </w:r>
      <w:bookmarkEnd w:id="249"/>
    </w:p>
    <w:p>
      <w:pPr>
        <w:adjustRightInd w:val="0"/>
        <w:snapToGrid w:val="0"/>
        <w:spacing w:line="360" w:lineRule="auto"/>
        <w:ind w:left="1054" w:hanging="1054" w:hangingChars="500"/>
        <w:jc w:val="left"/>
        <w:rPr>
          <w:rFonts w:hint="default" w:ascii="宋体" w:hAnsi="宋体" w:eastAsia="宋体"/>
          <w:b/>
          <w:bCs/>
          <w:caps/>
          <w:color w:val="000000" w:themeColor="text1"/>
          <w:highlight w:val="none"/>
          <w:u w:val="none"/>
          <w:lang w:val="en-US" w:eastAsia="zh-CN"/>
        </w:rPr>
      </w:pPr>
      <w:r>
        <w:rPr>
          <w:rFonts w:hint="eastAsia" w:ascii="宋体" w:hAnsi="宋体"/>
          <w:b/>
          <w:bCs/>
          <w:caps/>
          <w:color w:val="000000" w:themeColor="text1"/>
          <w:highlight w:val="none"/>
          <w:u w:val="none"/>
        </w:rPr>
        <w:t>项目编号：</w:t>
      </w:r>
      <w:r>
        <w:rPr>
          <w:rFonts w:hint="eastAsia" w:ascii="宋体" w:hAnsi="宋体"/>
          <w:b/>
          <w:bCs/>
          <w:caps/>
          <w:color w:val="000000" w:themeColor="text1"/>
          <w:highlight w:val="none"/>
          <w:u w:val="single"/>
          <w:lang w:eastAsia="zh-CN"/>
        </w:rPr>
        <w:t>YXZB-20230620</w:t>
      </w:r>
      <w:r>
        <w:rPr>
          <w:rFonts w:hint="eastAsia" w:ascii="宋体" w:hAnsi="宋体"/>
          <w:b/>
          <w:bCs/>
          <w:caps/>
          <w:color w:val="000000" w:themeColor="text1"/>
          <w:highlight w:val="none"/>
          <w:u w:val="none"/>
        </w:rPr>
        <w:t xml:space="preserve"> </w:t>
      </w:r>
      <w:r>
        <w:rPr>
          <w:rFonts w:hint="eastAsia" w:ascii="宋体" w:hAnsi="宋体"/>
          <w:b/>
          <w:bCs/>
          <w:caps/>
          <w:color w:val="000000" w:themeColor="text1"/>
          <w:highlight w:val="none"/>
          <w:u w:val="none"/>
          <w:lang w:val="en-US" w:eastAsia="zh-CN"/>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u w:val="single"/>
        </w:rPr>
      </w:pPr>
      <w:r>
        <w:rPr>
          <w:rFonts w:hint="eastAsia" w:ascii="宋体" w:hAnsi="宋体"/>
          <w:b/>
          <w:bCs/>
          <w:caps/>
          <w:color w:val="000000" w:themeColor="text1"/>
          <w:highlight w:val="none"/>
          <w:u w:val="none"/>
        </w:rPr>
        <w:t>项目名称：</w:t>
      </w:r>
      <w:r>
        <w:rPr>
          <w:rFonts w:hint="eastAsia" w:ascii="宋体" w:hAnsi="宋体"/>
          <w:b/>
          <w:bCs/>
          <w:caps/>
          <w:color w:val="000000" w:themeColor="text1"/>
          <w:highlight w:val="none"/>
          <w:u w:val="single"/>
          <w:lang w:eastAsia="zh-CN"/>
        </w:rPr>
        <w:t>2023年-2024年江城区机关和事业单位会议定点场所(增补)采购项目</w:t>
      </w:r>
      <w:r>
        <w:rPr>
          <w:rFonts w:hint="eastAsia" w:ascii="宋体" w:hAnsi="宋体"/>
          <w:b/>
          <w:bCs/>
          <w:caps/>
          <w:color w:val="000000" w:themeColor="text1"/>
          <w:highlight w:val="none"/>
          <w:u w:val="single"/>
        </w:rPr>
        <w:t xml:space="preserve"> </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w:t>
      </w:r>
      <w:r>
        <w:rPr>
          <w:rFonts w:hint="eastAsia" w:ascii="宋体" w:hAnsi="宋体"/>
          <w:bCs/>
          <w:color w:val="000000" w:themeColor="text1"/>
          <w:highlight w:val="none"/>
          <w:lang w:eastAsia="zh-CN"/>
        </w:rPr>
        <w:t>法定代表人（负责人）</w:t>
      </w:r>
      <w:r>
        <w:rPr>
          <w:rFonts w:hint="eastAsia" w:ascii="宋体" w:hAnsi="宋体"/>
          <w:bCs/>
          <w:color w:val="000000" w:themeColor="text1"/>
          <w:highlight w:val="none"/>
        </w:rPr>
        <w:t>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80" w:lineRule="auto"/>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rPr>
          <w:color w:val="000000" w:themeColor="text1"/>
          <w:highlight w:val="none"/>
        </w:rPr>
      </w:pPr>
    </w:p>
    <w:p>
      <w:pPr>
        <w:rPr>
          <w:color w:val="000000" w:themeColor="text1"/>
          <w:highlight w:val="none"/>
        </w:rPr>
        <w:sectPr>
          <w:pgSz w:w="11906" w:h="16838"/>
          <w:pgMar w:top="1418" w:right="1474" w:bottom="1418" w:left="1474" w:header="851" w:footer="992" w:gutter="0"/>
          <w:cols w:space="720" w:num="1"/>
          <w:docGrid w:linePitch="312" w:charSpace="0"/>
        </w:sectPr>
      </w:pPr>
    </w:p>
    <w:p>
      <w:pPr>
        <w:pStyle w:val="4"/>
        <w:numPr>
          <w:ilvl w:val="0"/>
          <w:numId w:val="0"/>
        </w:numPr>
        <w:jc w:val="center"/>
        <w:rPr>
          <w:color w:val="000000" w:themeColor="text1"/>
          <w:sz w:val="28"/>
          <w:szCs w:val="28"/>
          <w:highlight w:val="none"/>
        </w:rPr>
      </w:pPr>
      <w:bookmarkStart w:id="250" w:name="_Toc200414533"/>
      <w:bookmarkStart w:id="251" w:name="_Toc13226"/>
      <w:r>
        <w:rPr>
          <w:rFonts w:hint="eastAsia"/>
          <w:color w:val="000000" w:themeColor="text1"/>
          <w:sz w:val="28"/>
          <w:szCs w:val="28"/>
          <w:highlight w:val="none"/>
        </w:rPr>
        <w:t>附件</w:t>
      </w:r>
      <w:r>
        <w:rPr>
          <w:rFonts w:hint="eastAsia"/>
          <w:color w:val="000000" w:themeColor="text1"/>
          <w:sz w:val="28"/>
          <w:szCs w:val="28"/>
          <w:highlight w:val="none"/>
          <w:lang w:val="en-US" w:eastAsia="zh-CN"/>
        </w:rPr>
        <w:t>八</w:t>
      </w:r>
      <w:r>
        <w:rPr>
          <w:rFonts w:hint="eastAsia"/>
          <w:color w:val="000000" w:themeColor="text1"/>
          <w:sz w:val="28"/>
          <w:szCs w:val="28"/>
          <w:highlight w:val="none"/>
        </w:rPr>
        <w:t>：同类业绩一览表</w:t>
      </w:r>
      <w:bookmarkEnd w:id="250"/>
      <w:bookmarkEnd w:id="251"/>
    </w:p>
    <w:p>
      <w:pPr>
        <w:adjustRightInd w:val="0"/>
        <w:snapToGrid w:val="0"/>
        <w:spacing w:line="360" w:lineRule="auto"/>
        <w:jc w:val="left"/>
        <w:rPr>
          <w:rFonts w:hint="default" w:ascii="宋体" w:hAnsi="宋体" w:eastAsia="宋体"/>
          <w:b/>
          <w:bCs/>
          <w:caps/>
          <w:color w:val="000000" w:themeColor="text1"/>
          <w:szCs w:val="21"/>
          <w:highlight w:val="none"/>
          <w:u w:val="single"/>
          <w:lang w:val="en-US"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YXZB-20230620</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u w:val="none"/>
        </w:rPr>
        <w:t xml:space="preserve"> </w:t>
      </w:r>
      <w:r>
        <w:rPr>
          <w:rFonts w:hint="eastAsia" w:ascii="宋体" w:hAnsi="宋体"/>
          <w:b/>
          <w:bCs/>
          <w:caps/>
          <w:color w:val="000000" w:themeColor="text1"/>
          <w:szCs w:val="21"/>
          <w:highlight w:val="none"/>
          <w:u w:val="none"/>
          <w:lang w:val="en-US" w:eastAsia="zh-CN"/>
        </w:rPr>
        <w:t xml:space="preserve">                  </w:t>
      </w:r>
    </w:p>
    <w:p>
      <w:pPr>
        <w:adjustRightInd w:val="0"/>
        <w:snapToGrid w:val="0"/>
        <w:spacing w:line="360" w:lineRule="auto"/>
        <w:jc w:val="left"/>
        <w:rPr>
          <w:rFonts w:hint="eastAsia" w:ascii="宋体" w:hAnsi="宋体"/>
          <w:b/>
          <w:bCs/>
          <w:color w:val="000000" w:themeColor="text1"/>
          <w:szCs w:val="21"/>
          <w:highlight w:val="none"/>
          <w:u w:val="singl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2023年-2024年江城区机关和事业单位会议定点场所(增补)采购项目</w:t>
      </w:r>
    </w:p>
    <w:tbl>
      <w:tblPr>
        <w:tblStyle w:val="44"/>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19"/>
        <w:rPr>
          <w:rFonts w:hint="eastAsia"/>
          <w:color w:val="000000" w:themeColor="text1"/>
          <w:highlight w:val="none"/>
          <w:lang w:eastAsia="zh-CN"/>
        </w:rPr>
      </w:pPr>
    </w:p>
    <w:p>
      <w:pPr>
        <w:pStyle w:val="5"/>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pPr>
        <w:pStyle w:val="5"/>
        <w:snapToGrid w:val="0"/>
        <w:spacing w:afterLines="50" w:line="360" w:lineRule="auto"/>
        <w:ind w:firstLineChars="200"/>
        <w:rPr>
          <w:rFonts w:hAnsi="宋体"/>
          <w:bCs/>
          <w:color w:val="000000" w:themeColor="text1"/>
          <w:highlight w:val="none"/>
        </w:rPr>
      </w:pPr>
    </w:p>
    <w:p>
      <w:pPr>
        <w:pStyle w:val="5"/>
        <w:snapToGrid w:val="0"/>
        <w:spacing w:afterLines="50" w:line="360" w:lineRule="auto"/>
        <w:ind w:firstLineChars="200"/>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w:t>
      </w:r>
      <w:r>
        <w:rPr>
          <w:rFonts w:hint="eastAsia" w:ascii="宋体" w:hAnsi="宋体"/>
          <w:bCs/>
          <w:color w:val="000000" w:themeColor="text1"/>
          <w:highlight w:val="none"/>
          <w:lang w:eastAsia="zh-CN"/>
        </w:rPr>
        <w:t>法定代表人（负责人）</w:t>
      </w:r>
      <w:r>
        <w:rPr>
          <w:rFonts w:hint="eastAsia" w:ascii="宋体" w:hAnsi="宋体"/>
          <w:bCs/>
          <w:color w:val="000000" w:themeColor="text1"/>
          <w:highlight w:val="none"/>
        </w:rPr>
        <w:t xml:space="preserve">或授权代理人（签字）：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供应商名称（加盖公章）：</w:t>
      </w:r>
      <w:r>
        <w:rPr>
          <w:rFonts w:hint="eastAsia" w:ascii="宋体" w:hAnsi="宋体"/>
          <w:bCs/>
          <w:color w:val="000000" w:themeColor="text1"/>
          <w:highlight w:val="none"/>
          <w:u w:val="single"/>
        </w:rPr>
        <w:t xml:space="preserve">                                       </w:t>
      </w:r>
      <w:r>
        <w:rPr>
          <w:rFonts w:ascii="宋体" w:hAnsi="宋体"/>
          <w:bCs/>
          <w:color w:val="000000" w:themeColor="text1"/>
          <w:highlight w:val="none"/>
        </w:rPr>
        <w:t xml:space="preserve"> </w:t>
      </w:r>
    </w:p>
    <w:p>
      <w:pPr>
        <w:adjustRightInd w:val="0"/>
        <w:snapToGrid w:val="0"/>
        <w:spacing w:line="360" w:lineRule="auto"/>
        <w:rPr>
          <w:rFonts w:ascii="宋体" w:hAnsi="宋体"/>
          <w:bCs/>
          <w:color w:val="000000" w:themeColor="text1"/>
          <w:highlight w:val="none"/>
        </w:rPr>
        <w:sectPr>
          <w:pgSz w:w="11906" w:h="16838"/>
          <w:pgMar w:top="1418" w:right="1474" w:bottom="1418" w:left="1474" w:header="851" w:footer="992" w:gutter="0"/>
          <w:cols w:space="720" w:num="1"/>
          <w:docGrid w:linePitch="312" w:charSpace="0"/>
        </w:sect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r>
        <w:rPr>
          <w:rFonts w:ascii="宋体" w:hAnsi="宋体"/>
          <w:bCs/>
          <w:color w:val="000000" w:themeColor="text1"/>
          <w:highlight w:val="none"/>
        </w:rPr>
        <w:t xml:space="preserve">   </w:t>
      </w:r>
    </w:p>
    <w:p>
      <w:pPr>
        <w:pStyle w:val="4"/>
        <w:numPr>
          <w:ilvl w:val="0"/>
          <w:numId w:val="0"/>
        </w:numPr>
        <w:jc w:val="center"/>
        <w:rPr>
          <w:color w:val="000000" w:themeColor="text1"/>
          <w:sz w:val="28"/>
          <w:szCs w:val="28"/>
          <w:highlight w:val="none"/>
        </w:rPr>
      </w:pPr>
      <w:bookmarkStart w:id="252" w:name="_Toc8654"/>
      <w:bookmarkStart w:id="253" w:name="_Toc200414535"/>
      <w:r>
        <w:rPr>
          <w:rFonts w:hint="eastAsia"/>
          <w:color w:val="000000" w:themeColor="text1"/>
          <w:sz w:val="28"/>
          <w:szCs w:val="28"/>
          <w:highlight w:val="none"/>
        </w:rPr>
        <w:t>附件</w:t>
      </w:r>
      <w:r>
        <w:rPr>
          <w:rFonts w:hint="eastAsia"/>
          <w:color w:val="000000" w:themeColor="text1"/>
          <w:sz w:val="28"/>
          <w:szCs w:val="28"/>
          <w:highlight w:val="none"/>
          <w:lang w:val="en-US" w:eastAsia="zh-CN"/>
        </w:rPr>
        <w:t>九</w:t>
      </w:r>
      <w:r>
        <w:rPr>
          <w:rFonts w:hint="eastAsia"/>
          <w:color w:val="000000" w:themeColor="text1"/>
          <w:sz w:val="28"/>
          <w:szCs w:val="28"/>
          <w:highlight w:val="none"/>
        </w:rPr>
        <w:t>：谈判供应商提交的其他资料</w:t>
      </w:r>
      <w:bookmarkEnd w:id="252"/>
      <w:bookmarkEnd w:id="253"/>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hint="default" w:ascii="宋体" w:hAnsi="宋体" w:eastAsia="宋体"/>
          <w:b/>
          <w:bCs/>
          <w:caps/>
          <w:color w:val="000000" w:themeColor="text1"/>
          <w:szCs w:val="21"/>
          <w:highlight w:val="none"/>
          <w:u w:val="single"/>
          <w:lang w:val="en-US"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YXZB-20230620</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u w:val="none"/>
        </w:rPr>
        <w:t xml:space="preserve"> </w:t>
      </w:r>
      <w:r>
        <w:rPr>
          <w:rFonts w:hint="eastAsia" w:ascii="宋体" w:hAnsi="宋体"/>
          <w:b/>
          <w:bCs/>
          <w:caps/>
          <w:color w:val="000000" w:themeColor="text1"/>
          <w:szCs w:val="21"/>
          <w:highlight w:val="none"/>
          <w:u w:val="none"/>
          <w:lang w:val="en-US" w:eastAsia="zh-CN"/>
        </w:rPr>
        <w:t xml:space="preserve">                   </w:t>
      </w:r>
    </w:p>
    <w:p>
      <w:pPr>
        <w:adjustRightInd w:val="0"/>
        <w:snapToGrid w:val="0"/>
        <w:spacing w:line="360" w:lineRule="auto"/>
        <w:jc w:val="left"/>
        <w:rPr>
          <w:rFonts w:hint="eastAsia" w:ascii="宋体" w:hAnsi="宋体" w:eastAsia="宋体"/>
          <w:bCs/>
          <w:color w:val="000000" w:themeColor="text1"/>
          <w:szCs w:val="21"/>
          <w:highlight w:val="non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2023年-2024年江城区机关和事业单位会议定点场所(增补)采购项目</w:t>
      </w:r>
    </w:p>
    <w:p>
      <w:pPr>
        <w:adjustRightInd w:val="0"/>
        <w:snapToGrid w:val="0"/>
        <w:spacing w:line="360" w:lineRule="auto"/>
        <w:jc w:val="left"/>
        <w:rPr>
          <w:rFonts w:ascii="宋体" w:hAnsi="宋体"/>
          <w:bCs/>
          <w:color w:val="000000" w:themeColor="text1"/>
          <w:szCs w:val="21"/>
          <w:highlight w:val="none"/>
          <w:u w:val="single"/>
        </w:rPr>
      </w:pPr>
    </w:p>
    <w:p>
      <w:pPr>
        <w:pStyle w:val="5"/>
        <w:spacing w:line="360" w:lineRule="auto"/>
        <w:rPr>
          <w:color w:val="000000" w:themeColor="text1"/>
          <w:szCs w:val="21"/>
          <w:highlight w:val="none"/>
        </w:rPr>
      </w:pPr>
    </w:p>
    <w:p>
      <w:pPr>
        <w:pStyle w:val="5"/>
        <w:spacing w:line="360" w:lineRule="auto"/>
        <w:rPr>
          <w:rFonts w:hAnsi="宋体"/>
          <w:bCs/>
          <w:color w:val="000000" w:themeColor="text1"/>
          <w:szCs w:val="21"/>
          <w:highlight w:val="none"/>
        </w:rPr>
      </w:pPr>
      <w:r>
        <w:rPr>
          <w:rFonts w:hint="eastAsia" w:hAnsi="宋体"/>
          <w:bCs/>
          <w:color w:val="000000" w:themeColor="text1"/>
          <w:szCs w:val="21"/>
          <w:highlight w:val="none"/>
        </w:rPr>
        <w:t>本节无格式要求，供应商可根据自身实际情况以及谈判文件规定的“谈判采购项目要求”等进行编制。</w:t>
      </w:r>
    </w:p>
    <w:p>
      <w:pPr>
        <w:pStyle w:val="5"/>
        <w:spacing w:line="360" w:lineRule="auto"/>
        <w:rPr>
          <w:rFonts w:hAnsi="宋体"/>
          <w:bCs/>
          <w:color w:val="000000" w:themeColor="text1"/>
          <w:szCs w:val="21"/>
          <w:highlight w:val="none"/>
        </w:rPr>
      </w:pPr>
      <w:r>
        <w:rPr>
          <w:rFonts w:hint="eastAsia" w:hAnsi="宋体"/>
          <w:bCs/>
          <w:color w:val="000000" w:themeColor="text1"/>
          <w:szCs w:val="21"/>
          <w:highlight w:val="none"/>
        </w:rPr>
        <w:t>一、</w:t>
      </w:r>
    </w:p>
    <w:p>
      <w:pPr>
        <w:pStyle w:val="5"/>
        <w:spacing w:line="360" w:lineRule="auto"/>
        <w:rPr>
          <w:rFonts w:hAnsi="宋体"/>
          <w:bCs/>
          <w:color w:val="000000" w:themeColor="text1"/>
          <w:szCs w:val="21"/>
          <w:highlight w:val="none"/>
        </w:rPr>
      </w:pPr>
      <w:r>
        <w:rPr>
          <w:rFonts w:hint="eastAsia" w:hAnsi="宋体"/>
          <w:bCs/>
          <w:color w:val="000000" w:themeColor="text1"/>
          <w:szCs w:val="21"/>
          <w:highlight w:val="none"/>
        </w:rPr>
        <w:t>二、</w:t>
      </w:r>
    </w:p>
    <w:p>
      <w:pPr>
        <w:pStyle w:val="5"/>
        <w:spacing w:line="360" w:lineRule="auto"/>
        <w:rPr>
          <w:rFonts w:hAnsi="宋体"/>
          <w:bCs/>
          <w:color w:val="000000" w:themeColor="text1"/>
          <w:szCs w:val="21"/>
          <w:highlight w:val="none"/>
        </w:rPr>
      </w:pPr>
      <w:r>
        <w:rPr>
          <w:rFonts w:hint="eastAsia" w:hAnsi="宋体"/>
          <w:bCs/>
          <w:color w:val="000000" w:themeColor="text1"/>
          <w:szCs w:val="21"/>
          <w:highlight w:val="none"/>
        </w:rPr>
        <w:t>三、</w:t>
      </w:r>
      <w:r>
        <w:rPr>
          <w:rFonts w:hAnsi="宋体"/>
          <w:bCs/>
          <w:color w:val="000000" w:themeColor="text1"/>
          <w:szCs w:val="21"/>
          <w:highlight w:val="none"/>
        </w:rPr>
        <w:t>...</w:t>
      </w:r>
    </w:p>
    <w:p>
      <w:pPr>
        <w:pStyle w:val="5"/>
        <w:spacing w:line="360" w:lineRule="auto"/>
        <w:rPr>
          <w:rFonts w:hAnsi="宋体"/>
          <w:bCs/>
          <w:color w:val="000000" w:themeColor="text1"/>
          <w:szCs w:val="21"/>
          <w:highlight w:val="none"/>
        </w:rPr>
      </w:pPr>
      <w:r>
        <w:rPr>
          <w:rFonts w:hint="eastAsia" w:hAnsi="宋体"/>
          <w:bCs/>
          <w:color w:val="000000" w:themeColor="text1"/>
          <w:szCs w:val="21"/>
          <w:highlight w:val="none"/>
        </w:rPr>
        <w:t>四、</w:t>
      </w:r>
      <w:r>
        <w:rPr>
          <w:rFonts w:hAnsi="宋体"/>
          <w:bCs/>
          <w:color w:val="000000" w:themeColor="text1"/>
          <w:szCs w:val="21"/>
          <w:highlight w:val="none"/>
        </w:rPr>
        <w:t>...</w:t>
      </w: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rPr>
          <w:color w:val="000000" w:themeColor="text1"/>
          <w:szCs w:val="21"/>
          <w:highlight w:val="none"/>
        </w:rPr>
      </w:pPr>
    </w:p>
    <w:p>
      <w:pPr>
        <w:adjustRightInd w:val="0"/>
        <w:snapToGrid w:val="0"/>
        <w:spacing w:line="440" w:lineRule="exact"/>
        <w:rPr>
          <w:color w:val="000000" w:themeColor="text1"/>
          <w:szCs w:val="21"/>
          <w:highlight w:val="none"/>
        </w:rPr>
      </w:pPr>
      <w:r>
        <w:rPr>
          <w:rFonts w:hint="eastAsia"/>
          <w:color w:val="000000" w:themeColor="text1"/>
          <w:szCs w:val="21"/>
          <w:highlight w:val="none"/>
        </w:rPr>
        <w:t>（供应商认为本节无须提交的，应当注明“本节空白”字样）。</w:t>
      </w: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5"/>
        <w:spacing w:line="460" w:lineRule="exact"/>
        <w:rPr>
          <w:color w:val="000000" w:themeColor="text1"/>
          <w:highlight w:val="none"/>
        </w:rPr>
      </w:pPr>
    </w:p>
    <w:p>
      <w:pPr>
        <w:pStyle w:val="4"/>
        <w:numPr>
          <w:ilvl w:val="0"/>
          <w:numId w:val="0"/>
        </w:numPr>
        <w:spacing w:line="360" w:lineRule="auto"/>
        <w:jc w:val="center"/>
        <w:rPr>
          <w:color w:val="000000" w:themeColor="text1"/>
          <w:sz w:val="52"/>
          <w:highlight w:val="none"/>
        </w:rPr>
      </w:pPr>
      <w:bookmarkStart w:id="254" w:name="_Toc459822893"/>
      <w:bookmarkStart w:id="255" w:name="_Toc11661"/>
      <w:r>
        <w:rPr>
          <w:rFonts w:hint="eastAsia"/>
          <w:color w:val="000000" w:themeColor="text1"/>
          <w:sz w:val="52"/>
          <w:highlight w:val="none"/>
        </w:rPr>
        <w:t>其 他 格 式</w:t>
      </w:r>
      <w:bookmarkEnd w:id="254"/>
      <w:bookmarkEnd w:id="255"/>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pStyle w:val="6"/>
        <w:tabs>
          <w:tab w:val="left" w:pos="142"/>
        </w:tabs>
        <w:spacing w:afterLines="50" w:line="360" w:lineRule="auto"/>
        <w:jc w:val="center"/>
        <w:rPr>
          <w:color w:val="000000" w:themeColor="text1"/>
          <w:sz w:val="28"/>
          <w:highlight w:val="none"/>
        </w:rPr>
      </w:pPr>
      <w:bookmarkStart w:id="256" w:name="_Toc2238"/>
      <w:bookmarkStart w:id="257" w:name="_Toc459822894"/>
      <w:r>
        <w:rPr>
          <w:rFonts w:hint="eastAsia"/>
          <w:color w:val="000000" w:themeColor="text1"/>
          <w:sz w:val="28"/>
          <w:highlight w:val="none"/>
        </w:rPr>
        <w:t>投标保证金退付书</w:t>
      </w:r>
      <w:bookmarkEnd w:id="256"/>
      <w:bookmarkEnd w:id="257"/>
    </w:p>
    <w:p>
      <w:pPr>
        <w:spacing w:line="360" w:lineRule="auto"/>
        <w:rPr>
          <w:rFonts w:hint="eastAsia" w:ascii="宋体" w:hAnsi="宋体" w:eastAsia="宋体"/>
          <w:b/>
          <w:color w:val="000000" w:themeColor="text1"/>
          <w:highlight w:val="none"/>
          <w:lang w:eastAsia="zh-CN"/>
        </w:rPr>
      </w:pPr>
      <w:r>
        <w:rPr>
          <w:rFonts w:hint="eastAsia" w:ascii="宋体" w:hAnsi="宋体"/>
          <w:b/>
          <w:color w:val="000000" w:themeColor="text1"/>
          <w:highlight w:val="none"/>
        </w:rPr>
        <w:t>致：</w:t>
      </w:r>
      <w:r>
        <w:rPr>
          <w:rFonts w:hint="eastAsia" w:ascii="宋体" w:hAnsi="宋体"/>
          <w:b/>
          <w:color w:val="000000" w:themeColor="text1"/>
          <w:highlight w:val="none"/>
          <w:lang w:eastAsia="zh-CN"/>
        </w:rPr>
        <w:t>广东业信招标有限公司</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本公司为本项目的投标已提交了足额投标保证金，请贵司在符合退还条件时请代划入下列账户：</w:t>
      </w:r>
    </w:p>
    <w:tbl>
      <w:tblPr>
        <w:tblStyle w:val="44"/>
        <w:tblpPr w:leftFromText="180" w:rightFromText="180" w:vertAnchor="text" w:tblpY="1"/>
        <w:tblOverlap w:val="never"/>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rPr>
            </w:pPr>
            <w:r>
              <w:rPr>
                <w:rStyle w:val="133"/>
                <w:rFonts w:hint="eastAsia" w:ascii="宋体" w:hAnsi="宋体" w:eastAsia="宋体" w:cs="宋体"/>
                <w:b/>
                <w:color w:val="000000" w:themeColor="text1"/>
                <w:spacing w:val="10"/>
                <w:sz w:val="21"/>
                <w:szCs w:val="21"/>
                <w:highlight w:val="none"/>
                <w:lang w:val="zh-CN"/>
              </w:rPr>
              <w:t>项目名称</w:t>
            </w:r>
          </w:p>
        </w:tc>
        <w:tc>
          <w:tcPr>
            <w:tcW w:w="6095" w:type="dxa"/>
            <w:gridSpan w:val="3"/>
          </w:tcPr>
          <w:p>
            <w:pPr>
              <w:spacing w:line="360" w:lineRule="auto"/>
              <w:ind w:right="206" w:rightChars="98"/>
              <w:rPr>
                <w:rStyle w:val="133"/>
                <w:rFonts w:hint="eastAsia" w:ascii="宋体" w:hAnsi="宋体" w:eastAsia="宋体" w:cs="宋体"/>
                <w:color w:val="000000" w:themeColor="text1"/>
                <w:spacing w:val="10"/>
                <w:sz w:val="21"/>
                <w:szCs w:val="21"/>
                <w:highlight w:val="none"/>
                <w:lang w:val="zh-CN" w:eastAsia="zh-CN"/>
              </w:rPr>
            </w:pPr>
            <w:r>
              <w:rPr>
                <w:rFonts w:hint="eastAsia" w:ascii="宋体" w:hAnsi="宋体" w:cs="宋体"/>
                <w:b/>
                <w:bCs/>
                <w:color w:val="000000" w:themeColor="text1"/>
                <w:szCs w:val="21"/>
                <w:highlight w:val="none"/>
                <w:u w:val="single"/>
                <w:lang w:eastAsia="zh-CN"/>
              </w:rPr>
              <w:t>2023年-2024年江城区机关和事业单位会议定点场所(增补)采购项目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rPr>
            </w:pPr>
            <w:r>
              <w:rPr>
                <w:rStyle w:val="133"/>
                <w:rFonts w:hint="eastAsia" w:ascii="宋体" w:hAnsi="宋体" w:eastAsia="宋体" w:cs="宋体"/>
                <w:b/>
                <w:color w:val="000000" w:themeColor="text1"/>
                <w:spacing w:val="10"/>
                <w:sz w:val="21"/>
                <w:szCs w:val="21"/>
                <w:highlight w:val="none"/>
                <w:lang w:val="zh-CN"/>
              </w:rPr>
              <w:t>项目编号</w:t>
            </w:r>
          </w:p>
        </w:tc>
        <w:tc>
          <w:tcPr>
            <w:tcW w:w="6095" w:type="dxa"/>
            <w:gridSpan w:val="3"/>
          </w:tcPr>
          <w:p>
            <w:pPr>
              <w:spacing w:line="360" w:lineRule="auto"/>
              <w:ind w:right="206" w:rightChars="98"/>
              <w:rPr>
                <w:rStyle w:val="133"/>
                <w:rFonts w:ascii="宋体" w:hAnsi="宋体" w:eastAsia="宋体" w:cs="宋体"/>
                <w:color w:val="000000" w:themeColor="text1"/>
                <w:spacing w:val="10"/>
                <w:sz w:val="21"/>
                <w:szCs w:val="21"/>
                <w:highlight w:val="none"/>
                <w:lang w:val="zh-CN"/>
              </w:rPr>
            </w:pPr>
            <w:r>
              <w:rPr>
                <w:rStyle w:val="133"/>
                <w:rFonts w:hint="eastAsia" w:ascii="宋体" w:hAnsi="宋体" w:cs="宋体"/>
                <w:color w:val="000000" w:themeColor="text1"/>
                <w:spacing w:val="10"/>
                <w:sz w:val="21"/>
                <w:szCs w:val="21"/>
                <w:highlight w:val="none"/>
                <w:lang w:val="zh-CN"/>
              </w:rPr>
              <w:t>YXZB-20230620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51" w:type="dxa"/>
            <w:vMerge w:val="restart"/>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rPr>
            </w:pPr>
            <w:r>
              <w:rPr>
                <w:rStyle w:val="133"/>
                <w:rFonts w:hint="eastAsia" w:ascii="宋体" w:hAnsi="宋体" w:eastAsia="宋体" w:cs="宋体"/>
                <w:b/>
                <w:color w:val="000000" w:themeColor="text1"/>
                <w:spacing w:val="10"/>
                <w:sz w:val="21"/>
                <w:szCs w:val="21"/>
                <w:highlight w:val="none"/>
                <w:lang w:val="zh-CN"/>
              </w:rPr>
              <w:t>收款单位</w:t>
            </w:r>
          </w:p>
        </w:tc>
        <w:tc>
          <w:tcPr>
            <w:tcW w:w="2836" w:type="dxa"/>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rPr>
            </w:pPr>
            <w:r>
              <w:rPr>
                <w:rStyle w:val="133"/>
                <w:rFonts w:hint="eastAsia" w:ascii="宋体" w:hAnsi="宋体" w:eastAsia="宋体" w:cs="宋体"/>
                <w:b/>
                <w:color w:val="000000" w:themeColor="text1"/>
                <w:spacing w:val="10"/>
                <w:sz w:val="21"/>
                <w:szCs w:val="21"/>
                <w:highlight w:val="none"/>
                <w:lang w:val="zh-CN"/>
              </w:rPr>
              <w:t>收款单位名称</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highlight w:val="none"/>
                <w:u w:val="single"/>
                <w:lang w:val="zh-CN"/>
              </w:rPr>
            </w:pPr>
            <w:r>
              <w:rPr>
                <w:rStyle w:val="133"/>
                <w:rFonts w:hint="eastAsia" w:ascii="宋体" w:hAnsi="宋体" w:eastAsia="宋体" w:cs="宋体"/>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rPr>
            </w:pPr>
          </w:p>
        </w:tc>
        <w:tc>
          <w:tcPr>
            <w:tcW w:w="2836" w:type="dxa"/>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rPr>
            </w:pPr>
            <w:r>
              <w:rPr>
                <w:rStyle w:val="133"/>
                <w:rFonts w:hint="eastAsia" w:ascii="宋体" w:hAnsi="宋体" w:eastAsia="宋体" w:cs="宋体"/>
                <w:b/>
                <w:color w:val="000000" w:themeColor="text1"/>
                <w:spacing w:val="10"/>
                <w:sz w:val="21"/>
                <w:szCs w:val="21"/>
                <w:highlight w:val="none"/>
                <w:lang w:val="zh-CN"/>
              </w:rPr>
              <w:t>收款单位地址</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rPr>
            </w:pPr>
            <w:r>
              <w:rPr>
                <w:rStyle w:val="133"/>
                <w:rFonts w:hint="eastAsia" w:ascii="宋体" w:hAnsi="宋体" w:eastAsia="宋体" w:cs="宋体"/>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rPr>
            </w:pPr>
            <w:r>
              <w:rPr>
                <w:rStyle w:val="133"/>
                <w:rFonts w:hint="eastAsia" w:ascii="宋体" w:hAnsi="宋体" w:eastAsia="宋体" w:cs="宋体"/>
                <w:b/>
                <w:color w:val="000000" w:themeColor="text1"/>
                <w:spacing w:val="10"/>
                <w:sz w:val="21"/>
                <w:szCs w:val="21"/>
                <w:highlight w:val="none"/>
                <w:lang w:val="zh-CN"/>
              </w:rPr>
              <w:t>开户银行</w:t>
            </w:r>
            <w:r>
              <w:rPr>
                <w:rStyle w:val="133"/>
                <w:rFonts w:hint="eastAsia" w:ascii="宋体" w:hAnsi="宋体" w:eastAsia="宋体" w:cs="宋体"/>
                <w:color w:val="000000" w:themeColor="text1"/>
                <w:spacing w:val="10"/>
                <w:sz w:val="21"/>
                <w:szCs w:val="21"/>
                <w:highlight w:val="none"/>
                <w:lang w:val="zh-CN"/>
              </w:rPr>
              <w:t>（含汇入地点）</w:t>
            </w:r>
          </w:p>
        </w:tc>
        <w:tc>
          <w:tcPr>
            <w:tcW w:w="6095" w:type="dxa"/>
            <w:gridSpan w:val="3"/>
            <w:vAlign w:val="center"/>
          </w:tcPr>
          <w:p>
            <w:pPr>
              <w:spacing w:line="360" w:lineRule="auto"/>
              <w:ind w:right="206" w:rightChars="98" w:firstLine="460" w:firstLineChars="200"/>
              <w:rPr>
                <w:rStyle w:val="133"/>
                <w:rFonts w:ascii="宋体" w:hAnsi="宋体" w:eastAsia="宋体" w:cs="宋体"/>
                <w:color w:val="000000" w:themeColor="text1"/>
                <w:spacing w:val="10"/>
                <w:sz w:val="21"/>
                <w:szCs w:val="21"/>
                <w:highlight w:val="none"/>
                <w:lang w:val="zh-CN"/>
              </w:rPr>
            </w:pPr>
            <w:r>
              <w:rPr>
                <w:rStyle w:val="133"/>
                <w:rFonts w:hint="eastAsia" w:ascii="宋体" w:hAnsi="宋体" w:eastAsia="宋体" w:cs="宋体"/>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rPr>
            </w:pPr>
            <w:r>
              <w:rPr>
                <w:rStyle w:val="133"/>
                <w:rFonts w:hint="eastAsia" w:ascii="宋体" w:hAnsi="宋体" w:eastAsia="宋体" w:cs="宋体"/>
                <w:b/>
                <w:color w:val="000000" w:themeColor="text1"/>
                <w:spacing w:val="10"/>
                <w:sz w:val="21"/>
                <w:szCs w:val="21"/>
                <w:highlight w:val="none"/>
                <w:lang w:val="zh-CN"/>
              </w:rPr>
              <w:t>银行账号</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highlight w:val="none"/>
                <w:u w:val="single"/>
                <w:lang w:val="zh-CN"/>
              </w:rPr>
            </w:pPr>
            <w:r>
              <w:rPr>
                <w:rStyle w:val="133"/>
                <w:rFonts w:hint="eastAsia" w:ascii="宋体" w:hAnsi="宋体" w:eastAsia="宋体" w:cs="宋体"/>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rPr>
            </w:pPr>
            <w:r>
              <w:rPr>
                <w:rStyle w:val="133"/>
                <w:rFonts w:hint="eastAsia" w:ascii="宋体" w:hAnsi="宋体" w:eastAsia="宋体" w:cs="宋体"/>
                <w:b/>
                <w:color w:val="000000" w:themeColor="text1"/>
                <w:spacing w:val="10"/>
                <w:sz w:val="21"/>
                <w:szCs w:val="21"/>
                <w:highlight w:val="none"/>
                <w:lang w:val="zh-CN"/>
              </w:rPr>
              <w:t>总金额（投标保证金）</w:t>
            </w:r>
          </w:p>
        </w:tc>
        <w:tc>
          <w:tcPr>
            <w:tcW w:w="6095" w:type="dxa"/>
            <w:gridSpan w:val="3"/>
            <w:vAlign w:val="center"/>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rPr>
            </w:pPr>
            <w:r>
              <w:rPr>
                <w:rFonts w:hint="eastAsia" w:ascii="宋体" w:hAnsi="宋体" w:cs="宋体"/>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rPr>
            </w:pPr>
          </w:p>
        </w:tc>
        <w:tc>
          <w:tcPr>
            <w:tcW w:w="2836" w:type="dxa"/>
            <w:vMerge w:val="restart"/>
            <w:vAlign w:val="center"/>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rPr>
            </w:pPr>
            <w:r>
              <w:rPr>
                <w:rStyle w:val="133"/>
                <w:rFonts w:hint="eastAsia" w:ascii="宋体" w:hAnsi="宋体" w:eastAsia="宋体" w:cs="宋体"/>
                <w:b/>
                <w:color w:val="000000" w:themeColor="text1"/>
                <w:spacing w:val="10"/>
                <w:sz w:val="21"/>
                <w:szCs w:val="21"/>
                <w:highlight w:val="none"/>
                <w:lang w:val="zh-CN"/>
              </w:rPr>
              <w:t>财务联系人</w:t>
            </w:r>
          </w:p>
        </w:tc>
        <w:tc>
          <w:tcPr>
            <w:tcW w:w="1498" w:type="dxa"/>
            <w:vMerge w:val="restart"/>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rPr>
            </w:pPr>
          </w:p>
        </w:tc>
        <w:tc>
          <w:tcPr>
            <w:tcW w:w="1481" w:type="dxa"/>
            <w:vAlign w:val="center"/>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rPr>
            </w:pPr>
            <w:r>
              <w:rPr>
                <w:rStyle w:val="133"/>
                <w:rFonts w:hint="eastAsia" w:ascii="宋体" w:hAnsi="宋体" w:eastAsia="宋体" w:cs="宋体"/>
                <w:color w:val="000000" w:themeColor="text1"/>
                <w:spacing w:val="10"/>
                <w:sz w:val="21"/>
                <w:szCs w:val="21"/>
                <w:highlight w:val="none"/>
                <w:lang w:val="zh-CN"/>
              </w:rPr>
              <w:t>联系电话</w:t>
            </w:r>
          </w:p>
        </w:tc>
        <w:tc>
          <w:tcPr>
            <w:tcW w:w="3116" w:type="dxa"/>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highlight w:val="none"/>
                <w:lang w:val="zh-CN"/>
              </w:rPr>
            </w:pPr>
          </w:p>
        </w:tc>
        <w:tc>
          <w:tcPr>
            <w:tcW w:w="2836" w:type="dxa"/>
            <w:vMerge w:val="continue"/>
          </w:tcPr>
          <w:p>
            <w:pPr>
              <w:spacing w:line="360" w:lineRule="auto"/>
              <w:ind w:right="206" w:rightChars="98"/>
              <w:jc w:val="center"/>
              <w:rPr>
                <w:rStyle w:val="133"/>
                <w:rFonts w:ascii="宋体" w:hAnsi="宋体" w:eastAsia="宋体" w:cs="宋体"/>
                <w:b/>
                <w:color w:val="000000" w:themeColor="text1"/>
                <w:spacing w:val="10"/>
                <w:sz w:val="21"/>
                <w:szCs w:val="21"/>
                <w:highlight w:val="none"/>
                <w:lang w:val="zh-CN"/>
              </w:rPr>
            </w:pPr>
          </w:p>
        </w:tc>
        <w:tc>
          <w:tcPr>
            <w:tcW w:w="1498" w:type="dxa"/>
            <w:vMerge w:val="continue"/>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rPr>
            </w:pPr>
          </w:p>
        </w:tc>
        <w:tc>
          <w:tcPr>
            <w:tcW w:w="1481" w:type="dxa"/>
            <w:vAlign w:val="center"/>
          </w:tcPr>
          <w:p>
            <w:pPr>
              <w:spacing w:line="360" w:lineRule="auto"/>
              <w:ind w:right="206" w:rightChars="98"/>
              <w:jc w:val="center"/>
              <w:rPr>
                <w:rStyle w:val="133"/>
                <w:rFonts w:ascii="宋体" w:hAnsi="宋体" w:eastAsia="宋体" w:cs="宋体"/>
                <w:color w:val="000000" w:themeColor="text1"/>
                <w:spacing w:val="10"/>
                <w:sz w:val="21"/>
                <w:szCs w:val="21"/>
                <w:highlight w:val="none"/>
                <w:lang w:val="zh-CN"/>
              </w:rPr>
            </w:pPr>
            <w:r>
              <w:rPr>
                <w:rStyle w:val="133"/>
                <w:rFonts w:hint="eastAsia" w:ascii="宋体" w:hAnsi="宋体" w:eastAsia="宋体" w:cs="宋体"/>
                <w:color w:val="000000" w:themeColor="text1"/>
                <w:spacing w:val="10"/>
                <w:sz w:val="21"/>
                <w:szCs w:val="21"/>
                <w:highlight w:val="none"/>
                <w:lang w:val="zh-CN"/>
              </w:rPr>
              <w:t>传真</w:t>
            </w:r>
          </w:p>
        </w:tc>
        <w:tc>
          <w:tcPr>
            <w:tcW w:w="3116" w:type="dxa"/>
            <w:vAlign w:val="center"/>
          </w:tcPr>
          <w:p>
            <w:pPr>
              <w:spacing w:line="360" w:lineRule="auto"/>
              <w:ind w:right="206" w:rightChars="98"/>
              <w:rPr>
                <w:rStyle w:val="133"/>
                <w:rFonts w:ascii="宋体" w:hAnsi="宋体" w:eastAsia="宋体" w:cs="宋体"/>
                <w:color w:val="000000" w:themeColor="text1"/>
                <w:spacing w:val="10"/>
                <w:sz w:val="21"/>
                <w:szCs w:val="21"/>
                <w:highlight w:val="none"/>
                <w:lang w:val="zh-CN"/>
              </w:rPr>
            </w:pPr>
          </w:p>
        </w:tc>
      </w:tr>
    </w:tbl>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注：保证金退还账户必须为对公账户。</w:t>
      </w:r>
    </w:p>
    <w:tbl>
      <w:tblPr>
        <w:tblStyle w:val="44"/>
        <w:tblpPr w:leftFromText="180" w:rightFromText="180" w:vertAnchor="text" w:tblpY="1"/>
        <w:tblOverlap w:val="never"/>
        <w:tblW w:w="9391"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391"/>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trPr>
        <w:tc>
          <w:tcPr>
            <w:tcW w:w="9391" w:type="dxa"/>
            <w:shd w:val="clear" w:color="auto" w:fill="auto"/>
            <w:vAlign w:val="center"/>
          </w:tcPr>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ascii="宋体" w:hAnsi="宋体"/>
          <w:color w:val="000000" w:themeColor="text1"/>
          <w:szCs w:val="21"/>
          <w:highlight w:val="none"/>
          <w:u w:val="single"/>
        </w:rPr>
        <w:t xml:space="preserve">         （公司名称）          </w:t>
      </w:r>
      <w:r>
        <w:rPr>
          <w:rFonts w:hint="eastAsia" w:ascii="宋体" w:hAnsi="宋体"/>
          <w:color w:val="000000" w:themeColor="text1"/>
          <w:szCs w:val="21"/>
          <w:highlight w:val="none"/>
        </w:rPr>
        <w:t>（盖公章）</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spacing w:line="460" w:lineRule="exact"/>
        <w:ind w:firstLine="0"/>
        <w:rPr>
          <w:rFonts w:ascii="宋体" w:hAnsi="宋体"/>
          <w:b/>
          <w:color w:val="000000" w:themeColor="text1"/>
          <w:szCs w:val="21"/>
          <w:highlight w:val="none"/>
        </w:rPr>
        <w:sectPr>
          <w:headerReference r:id="rId13" w:type="default"/>
          <w:pgSz w:w="11906" w:h="16838"/>
          <w:pgMar w:top="1440" w:right="849" w:bottom="1440" w:left="1418" w:header="851" w:footer="992" w:gutter="0"/>
          <w:cols w:space="720" w:num="1"/>
          <w:docGrid w:type="lines" w:linePitch="312" w:charSpace="0"/>
        </w:sectPr>
      </w:pPr>
      <w:r>
        <w:rPr>
          <w:rFonts w:hint="eastAsia" w:ascii="宋体" w:hAnsi="宋体"/>
          <w:b/>
          <w:color w:val="000000" w:themeColor="text1"/>
          <w:szCs w:val="21"/>
          <w:highlight w:val="none"/>
        </w:rPr>
        <w:t>注：本退付书原件须放入唱标信封内，勿装订在投标文件内。</w:t>
      </w:r>
    </w:p>
    <w:p>
      <w:pPr>
        <w:jc w:val="center"/>
        <w:rPr>
          <w:b/>
          <w:bCs/>
          <w:color w:val="000000" w:themeColor="text1"/>
          <w:szCs w:val="21"/>
          <w:highlight w:val="none"/>
        </w:rPr>
      </w:pPr>
      <w:r>
        <w:rPr>
          <w:rFonts w:hint="eastAsia"/>
          <w:b/>
          <w:bCs/>
          <w:color w:val="000000" w:themeColor="text1"/>
          <w:sz w:val="44"/>
          <w:szCs w:val="44"/>
          <w:highlight w:val="none"/>
        </w:rPr>
        <w:t>购买标书登记表</w:t>
      </w:r>
    </w:p>
    <w:p>
      <w:pPr>
        <w:jc w:val="center"/>
        <w:rPr>
          <w:color w:val="000000" w:themeColor="text1"/>
          <w:szCs w:val="21"/>
          <w:highlight w:val="none"/>
        </w:rPr>
      </w:pPr>
    </w:p>
    <w:tbl>
      <w:tblPr>
        <w:tblStyle w:val="4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pPr>
              <w:rPr>
                <w:color w:val="000000" w:themeColor="text1"/>
                <w:sz w:val="28"/>
                <w:szCs w:val="28"/>
                <w:highlight w:val="none"/>
              </w:rPr>
            </w:pPr>
          </w:p>
        </w:tc>
      </w:tr>
    </w:tbl>
    <w:p>
      <w:pPr>
        <w:spacing w:line="360" w:lineRule="auto"/>
        <w:jc w:val="center"/>
        <w:rPr>
          <w:rFonts w:ascii="宋体" w:hAnsi="宋体"/>
          <w:b/>
          <w:color w:val="000000" w:themeColor="text1"/>
          <w:sz w:val="24"/>
          <w:highlight w:val="none"/>
        </w:rPr>
      </w:pPr>
    </w:p>
    <w:p>
      <w:pPr>
        <w:pStyle w:val="5"/>
        <w:spacing w:line="460" w:lineRule="exact"/>
        <w:ind w:firstLine="0"/>
        <w:rPr>
          <w:rFonts w:ascii="宋体" w:hAnsi="宋体"/>
          <w:b/>
          <w:color w:val="000000" w:themeColor="text1"/>
          <w:szCs w:val="21"/>
          <w:highlight w:val="none"/>
        </w:rPr>
      </w:pPr>
    </w:p>
    <w:sectPr>
      <w:pgSz w:w="11906" w:h="16838"/>
      <w:pgMar w:top="1440" w:right="849"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sdt>
      <w:sdtPr>
        <w:id w:val="28234777"/>
      </w:sdtPr>
      <w:sdtContent/>
    </w:sdt>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w:t>
    </w:r>
  </w:p>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13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3">
    <w:nsid w:val="07A8694A"/>
    <w:multiLevelType w:val="multilevel"/>
    <w:tmpl w:val="07A8694A"/>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4">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6">
    <w:nsid w:val="11B03064"/>
    <w:multiLevelType w:val="multilevel"/>
    <w:tmpl w:val="11B03064"/>
    <w:lvl w:ilvl="0" w:tentative="0">
      <w:start w:val="4"/>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7">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06B33BD"/>
    <w:multiLevelType w:val="multilevel"/>
    <w:tmpl w:val="306B33BD"/>
    <w:lvl w:ilvl="0" w:tentative="0">
      <w:start w:val="1"/>
      <w:numFmt w:val="decimal"/>
      <w:lvlText w:val="%1."/>
      <w:lvlJc w:val="left"/>
      <w:pPr>
        <w:tabs>
          <w:tab w:val="left" w:pos="363"/>
        </w:tabs>
        <w:ind w:left="363"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lowerRoman"/>
      <w:lvlText w:val="%3."/>
      <w:lvlJc w:val="right"/>
      <w:pPr>
        <w:tabs>
          <w:tab w:val="left" w:pos="1263"/>
        </w:tabs>
        <w:ind w:left="1263" w:hanging="420"/>
      </w:p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9">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10">
    <w:nsid w:val="42CD84B7"/>
    <w:multiLevelType w:val="singleLevel"/>
    <w:tmpl w:val="42CD84B7"/>
    <w:lvl w:ilvl="0" w:tentative="0">
      <w:start w:val="1"/>
      <w:numFmt w:val="decimal"/>
      <w:lvlText w:val="%1."/>
      <w:lvlJc w:val="left"/>
      <w:pPr>
        <w:ind w:left="425" w:hanging="425"/>
      </w:pPr>
      <w:rPr>
        <w:rFonts w:hint="default"/>
      </w:rPr>
    </w:lvl>
  </w:abstractNum>
  <w:abstractNum w:abstractNumId="11">
    <w:nsid w:val="557073B5"/>
    <w:multiLevelType w:val="multilevel"/>
    <w:tmpl w:val="557073B5"/>
    <w:lvl w:ilvl="0" w:tentative="0">
      <w:start w:val="1"/>
      <w:numFmt w:val="chineseCountingThousand"/>
      <w:lvlText w:val="%1、"/>
      <w:lvlJc w:val="left"/>
      <w:pPr>
        <w:tabs>
          <w:tab w:val="left" w:pos="704"/>
        </w:tabs>
        <w:ind w:left="704" w:hanging="420"/>
      </w:pPr>
      <w:rPr>
        <w:lang w:val="en-US"/>
      </w:r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2">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0B1CDA"/>
    <w:multiLevelType w:val="multilevel"/>
    <w:tmpl w:val="690B1CDA"/>
    <w:lvl w:ilvl="0" w:tentative="0">
      <w:start w:val="1"/>
      <w:numFmt w:val="japaneseCounting"/>
      <w:pStyle w:val="116"/>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num w:numId="1">
    <w:abstractNumId w:val="5"/>
  </w:num>
  <w:num w:numId="2">
    <w:abstractNumId w:val="13"/>
  </w:num>
  <w:num w:numId="3">
    <w:abstractNumId w:val="2"/>
  </w:num>
  <w:num w:numId="4">
    <w:abstractNumId w:val="7"/>
  </w:num>
  <w:num w:numId="5">
    <w:abstractNumId w:val="11"/>
  </w:num>
  <w:num w:numId="6">
    <w:abstractNumId w:val="4"/>
  </w:num>
  <w:num w:numId="7">
    <w:abstractNumId w:val="6"/>
  </w:num>
  <w:num w:numId="8">
    <w:abstractNumId w:val="8"/>
  </w:num>
  <w:num w:numId="9">
    <w:abstractNumId w:val="9"/>
  </w:num>
  <w:num w:numId="10">
    <w:abstractNumId w:val="1"/>
  </w:num>
  <w:num w:numId="11">
    <w:abstractNumId w:val="0"/>
  </w:num>
  <w:num w:numId="12">
    <w:abstractNumId w:val="10"/>
  </w:num>
  <w:num w:numId="13">
    <w:abstractNumId w:val="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docVars>
    <w:docVar w:name="commondata" w:val="eyJoZGlkIjoiYmE2Zjc5NzZhNWNmMDhhN2NiYjQ5NjNiNzUyYWQ2ZTQifQ=="/>
  </w:docVars>
  <w:rsids>
    <w:rsidRoot w:val="009833EC"/>
    <w:rsid w:val="00000C7F"/>
    <w:rsid w:val="00000CDA"/>
    <w:rsid w:val="00000E9F"/>
    <w:rsid w:val="000018DB"/>
    <w:rsid w:val="000019D4"/>
    <w:rsid w:val="000020EE"/>
    <w:rsid w:val="000030EC"/>
    <w:rsid w:val="0000339F"/>
    <w:rsid w:val="0000391B"/>
    <w:rsid w:val="0000392E"/>
    <w:rsid w:val="00003DE4"/>
    <w:rsid w:val="000049BA"/>
    <w:rsid w:val="00005FCB"/>
    <w:rsid w:val="000062F0"/>
    <w:rsid w:val="00007C9D"/>
    <w:rsid w:val="00007D36"/>
    <w:rsid w:val="00010614"/>
    <w:rsid w:val="00011381"/>
    <w:rsid w:val="0001156A"/>
    <w:rsid w:val="00011688"/>
    <w:rsid w:val="000120FB"/>
    <w:rsid w:val="000127D7"/>
    <w:rsid w:val="0001315A"/>
    <w:rsid w:val="00013671"/>
    <w:rsid w:val="000145F4"/>
    <w:rsid w:val="00014CAB"/>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4523"/>
    <w:rsid w:val="00024860"/>
    <w:rsid w:val="000248E7"/>
    <w:rsid w:val="000268CD"/>
    <w:rsid w:val="00026FC3"/>
    <w:rsid w:val="000278C1"/>
    <w:rsid w:val="00027BD5"/>
    <w:rsid w:val="0003063D"/>
    <w:rsid w:val="00030865"/>
    <w:rsid w:val="00031768"/>
    <w:rsid w:val="00032300"/>
    <w:rsid w:val="00032A2C"/>
    <w:rsid w:val="0003413E"/>
    <w:rsid w:val="00034518"/>
    <w:rsid w:val="00034573"/>
    <w:rsid w:val="00034E6E"/>
    <w:rsid w:val="00036ABE"/>
    <w:rsid w:val="000377F0"/>
    <w:rsid w:val="00040462"/>
    <w:rsid w:val="00040736"/>
    <w:rsid w:val="0004087D"/>
    <w:rsid w:val="00040FEE"/>
    <w:rsid w:val="000413C6"/>
    <w:rsid w:val="000415D4"/>
    <w:rsid w:val="00041A63"/>
    <w:rsid w:val="0004277B"/>
    <w:rsid w:val="00043105"/>
    <w:rsid w:val="00043EBB"/>
    <w:rsid w:val="000453A8"/>
    <w:rsid w:val="00046265"/>
    <w:rsid w:val="00046FB6"/>
    <w:rsid w:val="00047B7B"/>
    <w:rsid w:val="00050048"/>
    <w:rsid w:val="00051247"/>
    <w:rsid w:val="00051476"/>
    <w:rsid w:val="0005176E"/>
    <w:rsid w:val="00055140"/>
    <w:rsid w:val="00055BE2"/>
    <w:rsid w:val="00055E36"/>
    <w:rsid w:val="00055F28"/>
    <w:rsid w:val="000562D3"/>
    <w:rsid w:val="00056C25"/>
    <w:rsid w:val="0005770B"/>
    <w:rsid w:val="00057F61"/>
    <w:rsid w:val="00060245"/>
    <w:rsid w:val="0006027D"/>
    <w:rsid w:val="0006054E"/>
    <w:rsid w:val="00060689"/>
    <w:rsid w:val="000614F6"/>
    <w:rsid w:val="00061ADA"/>
    <w:rsid w:val="00062546"/>
    <w:rsid w:val="00063214"/>
    <w:rsid w:val="00064185"/>
    <w:rsid w:val="00064276"/>
    <w:rsid w:val="000642CD"/>
    <w:rsid w:val="000649DE"/>
    <w:rsid w:val="000652FF"/>
    <w:rsid w:val="00066B7A"/>
    <w:rsid w:val="000673CC"/>
    <w:rsid w:val="0007084F"/>
    <w:rsid w:val="00070D3D"/>
    <w:rsid w:val="00070DCE"/>
    <w:rsid w:val="0007120B"/>
    <w:rsid w:val="00071508"/>
    <w:rsid w:val="00072C00"/>
    <w:rsid w:val="00074BDF"/>
    <w:rsid w:val="00076023"/>
    <w:rsid w:val="0007627A"/>
    <w:rsid w:val="00076434"/>
    <w:rsid w:val="0007711F"/>
    <w:rsid w:val="00080133"/>
    <w:rsid w:val="00080574"/>
    <w:rsid w:val="00080AE7"/>
    <w:rsid w:val="00080DE8"/>
    <w:rsid w:val="00080E11"/>
    <w:rsid w:val="00081C2C"/>
    <w:rsid w:val="00082013"/>
    <w:rsid w:val="000822CA"/>
    <w:rsid w:val="00082512"/>
    <w:rsid w:val="000837A6"/>
    <w:rsid w:val="000843F8"/>
    <w:rsid w:val="00084816"/>
    <w:rsid w:val="00084CED"/>
    <w:rsid w:val="00085996"/>
    <w:rsid w:val="00085A61"/>
    <w:rsid w:val="0008670A"/>
    <w:rsid w:val="00087F54"/>
    <w:rsid w:val="00090CB0"/>
    <w:rsid w:val="000911A1"/>
    <w:rsid w:val="00091739"/>
    <w:rsid w:val="000936BB"/>
    <w:rsid w:val="00093E9C"/>
    <w:rsid w:val="00093F6F"/>
    <w:rsid w:val="000940E1"/>
    <w:rsid w:val="000945D5"/>
    <w:rsid w:val="00094C2A"/>
    <w:rsid w:val="00095BE6"/>
    <w:rsid w:val="000960A6"/>
    <w:rsid w:val="000A025A"/>
    <w:rsid w:val="000A040E"/>
    <w:rsid w:val="000A1A04"/>
    <w:rsid w:val="000A1AD0"/>
    <w:rsid w:val="000A24B9"/>
    <w:rsid w:val="000A4F7A"/>
    <w:rsid w:val="000A588E"/>
    <w:rsid w:val="000A6C12"/>
    <w:rsid w:val="000A70BC"/>
    <w:rsid w:val="000B00D4"/>
    <w:rsid w:val="000B0421"/>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76"/>
    <w:rsid w:val="000C3069"/>
    <w:rsid w:val="000C41BC"/>
    <w:rsid w:val="000C4379"/>
    <w:rsid w:val="000C4614"/>
    <w:rsid w:val="000C464F"/>
    <w:rsid w:val="000C63CB"/>
    <w:rsid w:val="000C6902"/>
    <w:rsid w:val="000C6B06"/>
    <w:rsid w:val="000C6E00"/>
    <w:rsid w:val="000C7F20"/>
    <w:rsid w:val="000D0CD2"/>
    <w:rsid w:val="000D0D31"/>
    <w:rsid w:val="000D0E1F"/>
    <w:rsid w:val="000D1822"/>
    <w:rsid w:val="000D27A2"/>
    <w:rsid w:val="000D2F76"/>
    <w:rsid w:val="000D3682"/>
    <w:rsid w:val="000D3D03"/>
    <w:rsid w:val="000D3F6A"/>
    <w:rsid w:val="000D47B2"/>
    <w:rsid w:val="000D4CC4"/>
    <w:rsid w:val="000D5955"/>
    <w:rsid w:val="000D5A26"/>
    <w:rsid w:val="000D5DB7"/>
    <w:rsid w:val="000D5FFF"/>
    <w:rsid w:val="000D675C"/>
    <w:rsid w:val="000D693D"/>
    <w:rsid w:val="000D69E5"/>
    <w:rsid w:val="000D75D0"/>
    <w:rsid w:val="000D7675"/>
    <w:rsid w:val="000D7C72"/>
    <w:rsid w:val="000E07CB"/>
    <w:rsid w:val="000E19C9"/>
    <w:rsid w:val="000E1BC0"/>
    <w:rsid w:val="000E1F01"/>
    <w:rsid w:val="000E3AD6"/>
    <w:rsid w:val="000E5AA4"/>
    <w:rsid w:val="000E659F"/>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823"/>
    <w:rsid w:val="000F623B"/>
    <w:rsid w:val="000F6278"/>
    <w:rsid w:val="000F67BA"/>
    <w:rsid w:val="000F6885"/>
    <w:rsid w:val="00100929"/>
    <w:rsid w:val="00100A59"/>
    <w:rsid w:val="00100A85"/>
    <w:rsid w:val="00100B16"/>
    <w:rsid w:val="001013B4"/>
    <w:rsid w:val="001017F3"/>
    <w:rsid w:val="00101823"/>
    <w:rsid w:val="001028F3"/>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6E35"/>
    <w:rsid w:val="0011743D"/>
    <w:rsid w:val="00120686"/>
    <w:rsid w:val="00120C3C"/>
    <w:rsid w:val="00122AC9"/>
    <w:rsid w:val="001234B2"/>
    <w:rsid w:val="00123A44"/>
    <w:rsid w:val="00124863"/>
    <w:rsid w:val="0012494A"/>
    <w:rsid w:val="00125117"/>
    <w:rsid w:val="00126736"/>
    <w:rsid w:val="00126B17"/>
    <w:rsid w:val="00126D44"/>
    <w:rsid w:val="001279A1"/>
    <w:rsid w:val="00127CAC"/>
    <w:rsid w:val="00130F99"/>
    <w:rsid w:val="0013184E"/>
    <w:rsid w:val="001327AF"/>
    <w:rsid w:val="0013370A"/>
    <w:rsid w:val="00134075"/>
    <w:rsid w:val="0013457A"/>
    <w:rsid w:val="00134979"/>
    <w:rsid w:val="001351C4"/>
    <w:rsid w:val="00135655"/>
    <w:rsid w:val="001370A8"/>
    <w:rsid w:val="00137668"/>
    <w:rsid w:val="00137F56"/>
    <w:rsid w:val="00140886"/>
    <w:rsid w:val="00141762"/>
    <w:rsid w:val="00141B7E"/>
    <w:rsid w:val="00141BF3"/>
    <w:rsid w:val="00141CAA"/>
    <w:rsid w:val="0014226C"/>
    <w:rsid w:val="00142861"/>
    <w:rsid w:val="00142EAA"/>
    <w:rsid w:val="00142F3D"/>
    <w:rsid w:val="001433B9"/>
    <w:rsid w:val="00143A78"/>
    <w:rsid w:val="00144079"/>
    <w:rsid w:val="00144588"/>
    <w:rsid w:val="00144CD2"/>
    <w:rsid w:val="00144D40"/>
    <w:rsid w:val="00144F28"/>
    <w:rsid w:val="00145EED"/>
    <w:rsid w:val="001473FF"/>
    <w:rsid w:val="001477D2"/>
    <w:rsid w:val="00151956"/>
    <w:rsid w:val="00152D75"/>
    <w:rsid w:val="00152FC5"/>
    <w:rsid w:val="00153598"/>
    <w:rsid w:val="001536B6"/>
    <w:rsid w:val="00153A47"/>
    <w:rsid w:val="00153D3E"/>
    <w:rsid w:val="001542D0"/>
    <w:rsid w:val="00154D1A"/>
    <w:rsid w:val="00155726"/>
    <w:rsid w:val="001579F5"/>
    <w:rsid w:val="001605FD"/>
    <w:rsid w:val="001606C6"/>
    <w:rsid w:val="00161C97"/>
    <w:rsid w:val="001622D6"/>
    <w:rsid w:val="00162583"/>
    <w:rsid w:val="00162800"/>
    <w:rsid w:val="0016298B"/>
    <w:rsid w:val="00162F9F"/>
    <w:rsid w:val="00163B25"/>
    <w:rsid w:val="001647AE"/>
    <w:rsid w:val="00165DE8"/>
    <w:rsid w:val="00165F41"/>
    <w:rsid w:val="00166019"/>
    <w:rsid w:val="00166BB6"/>
    <w:rsid w:val="00167257"/>
    <w:rsid w:val="001701A8"/>
    <w:rsid w:val="00170898"/>
    <w:rsid w:val="00170C45"/>
    <w:rsid w:val="00170DB2"/>
    <w:rsid w:val="00170DC2"/>
    <w:rsid w:val="001714A7"/>
    <w:rsid w:val="00171E3A"/>
    <w:rsid w:val="00172551"/>
    <w:rsid w:val="001726A5"/>
    <w:rsid w:val="00172DDC"/>
    <w:rsid w:val="001732F4"/>
    <w:rsid w:val="00173594"/>
    <w:rsid w:val="001737DA"/>
    <w:rsid w:val="00174D50"/>
    <w:rsid w:val="0017611F"/>
    <w:rsid w:val="0017628C"/>
    <w:rsid w:val="001762E0"/>
    <w:rsid w:val="001776D9"/>
    <w:rsid w:val="00177FE0"/>
    <w:rsid w:val="00180C47"/>
    <w:rsid w:val="0018109B"/>
    <w:rsid w:val="0018128C"/>
    <w:rsid w:val="00181599"/>
    <w:rsid w:val="00181779"/>
    <w:rsid w:val="00181BCB"/>
    <w:rsid w:val="00182320"/>
    <w:rsid w:val="00182C90"/>
    <w:rsid w:val="00182DCA"/>
    <w:rsid w:val="00183342"/>
    <w:rsid w:val="00183AF6"/>
    <w:rsid w:val="001844B7"/>
    <w:rsid w:val="00184690"/>
    <w:rsid w:val="001849A5"/>
    <w:rsid w:val="00185F4E"/>
    <w:rsid w:val="00187221"/>
    <w:rsid w:val="00187246"/>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AF4"/>
    <w:rsid w:val="001A0204"/>
    <w:rsid w:val="001A0BC3"/>
    <w:rsid w:val="001A2128"/>
    <w:rsid w:val="001A27BA"/>
    <w:rsid w:val="001A436E"/>
    <w:rsid w:val="001A4393"/>
    <w:rsid w:val="001A4F87"/>
    <w:rsid w:val="001A559F"/>
    <w:rsid w:val="001A60B3"/>
    <w:rsid w:val="001A6293"/>
    <w:rsid w:val="001A6547"/>
    <w:rsid w:val="001A73F0"/>
    <w:rsid w:val="001A7BFB"/>
    <w:rsid w:val="001B0095"/>
    <w:rsid w:val="001B028E"/>
    <w:rsid w:val="001B0944"/>
    <w:rsid w:val="001B0B72"/>
    <w:rsid w:val="001B0F2C"/>
    <w:rsid w:val="001B1B67"/>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C07AA"/>
    <w:rsid w:val="001C0A20"/>
    <w:rsid w:val="001C1955"/>
    <w:rsid w:val="001C3079"/>
    <w:rsid w:val="001C3705"/>
    <w:rsid w:val="001C37C0"/>
    <w:rsid w:val="001C4000"/>
    <w:rsid w:val="001C41C2"/>
    <w:rsid w:val="001C4607"/>
    <w:rsid w:val="001C4BF9"/>
    <w:rsid w:val="001C4FC6"/>
    <w:rsid w:val="001C5234"/>
    <w:rsid w:val="001C5B04"/>
    <w:rsid w:val="001C61D4"/>
    <w:rsid w:val="001C6F86"/>
    <w:rsid w:val="001C7632"/>
    <w:rsid w:val="001C7773"/>
    <w:rsid w:val="001C7A7B"/>
    <w:rsid w:val="001C7C88"/>
    <w:rsid w:val="001D0021"/>
    <w:rsid w:val="001D0C08"/>
    <w:rsid w:val="001D11ED"/>
    <w:rsid w:val="001D23E8"/>
    <w:rsid w:val="001D23E9"/>
    <w:rsid w:val="001D3124"/>
    <w:rsid w:val="001D32AD"/>
    <w:rsid w:val="001D3AC1"/>
    <w:rsid w:val="001D4712"/>
    <w:rsid w:val="001D6941"/>
    <w:rsid w:val="001E09A9"/>
    <w:rsid w:val="001E1A4F"/>
    <w:rsid w:val="001E2B7B"/>
    <w:rsid w:val="001E2D65"/>
    <w:rsid w:val="001E34CE"/>
    <w:rsid w:val="001E38A0"/>
    <w:rsid w:val="001E41FA"/>
    <w:rsid w:val="001E55B5"/>
    <w:rsid w:val="001E5AA2"/>
    <w:rsid w:val="001E5EBB"/>
    <w:rsid w:val="001E617C"/>
    <w:rsid w:val="001E67BC"/>
    <w:rsid w:val="001E6CCF"/>
    <w:rsid w:val="001E6D68"/>
    <w:rsid w:val="001E792E"/>
    <w:rsid w:val="001F05A5"/>
    <w:rsid w:val="001F0759"/>
    <w:rsid w:val="001F0EC5"/>
    <w:rsid w:val="001F15B4"/>
    <w:rsid w:val="001F1A39"/>
    <w:rsid w:val="001F1BE2"/>
    <w:rsid w:val="001F2585"/>
    <w:rsid w:val="001F271A"/>
    <w:rsid w:val="001F35CF"/>
    <w:rsid w:val="001F3BF5"/>
    <w:rsid w:val="001F3F92"/>
    <w:rsid w:val="001F440E"/>
    <w:rsid w:val="001F45D2"/>
    <w:rsid w:val="001F49F8"/>
    <w:rsid w:val="001F5C81"/>
    <w:rsid w:val="00201546"/>
    <w:rsid w:val="002028A5"/>
    <w:rsid w:val="00203B2D"/>
    <w:rsid w:val="00203F9F"/>
    <w:rsid w:val="00204036"/>
    <w:rsid w:val="0020560B"/>
    <w:rsid w:val="002062BA"/>
    <w:rsid w:val="00207089"/>
    <w:rsid w:val="00207F75"/>
    <w:rsid w:val="00210084"/>
    <w:rsid w:val="002110D3"/>
    <w:rsid w:val="00212D44"/>
    <w:rsid w:val="00212F81"/>
    <w:rsid w:val="0021371A"/>
    <w:rsid w:val="00213ECC"/>
    <w:rsid w:val="00214C34"/>
    <w:rsid w:val="00214EC7"/>
    <w:rsid w:val="0021573E"/>
    <w:rsid w:val="00215DC8"/>
    <w:rsid w:val="00216992"/>
    <w:rsid w:val="00216D99"/>
    <w:rsid w:val="00217911"/>
    <w:rsid w:val="002207DD"/>
    <w:rsid w:val="00221041"/>
    <w:rsid w:val="0022151A"/>
    <w:rsid w:val="00221A93"/>
    <w:rsid w:val="00221D44"/>
    <w:rsid w:val="0022295D"/>
    <w:rsid w:val="002229B0"/>
    <w:rsid w:val="00222AF5"/>
    <w:rsid w:val="0022302C"/>
    <w:rsid w:val="00223767"/>
    <w:rsid w:val="00224B1C"/>
    <w:rsid w:val="00227E5F"/>
    <w:rsid w:val="00230897"/>
    <w:rsid w:val="00231BEC"/>
    <w:rsid w:val="00231DC9"/>
    <w:rsid w:val="0023221C"/>
    <w:rsid w:val="002323E3"/>
    <w:rsid w:val="00232F54"/>
    <w:rsid w:val="0023312F"/>
    <w:rsid w:val="0023385C"/>
    <w:rsid w:val="002339EB"/>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C6"/>
    <w:rsid w:val="00246CE1"/>
    <w:rsid w:val="002475B1"/>
    <w:rsid w:val="00247E17"/>
    <w:rsid w:val="00250F3F"/>
    <w:rsid w:val="002532D8"/>
    <w:rsid w:val="002537A8"/>
    <w:rsid w:val="002550C3"/>
    <w:rsid w:val="0025511C"/>
    <w:rsid w:val="00256E35"/>
    <w:rsid w:val="0025741D"/>
    <w:rsid w:val="0025772A"/>
    <w:rsid w:val="00257C70"/>
    <w:rsid w:val="0026034D"/>
    <w:rsid w:val="00260933"/>
    <w:rsid w:val="00260D78"/>
    <w:rsid w:val="00261034"/>
    <w:rsid w:val="00261C36"/>
    <w:rsid w:val="00261FF8"/>
    <w:rsid w:val="00263A0D"/>
    <w:rsid w:val="00264151"/>
    <w:rsid w:val="002660A5"/>
    <w:rsid w:val="0026655C"/>
    <w:rsid w:val="00266587"/>
    <w:rsid w:val="00266771"/>
    <w:rsid w:val="00266AC5"/>
    <w:rsid w:val="00266AD7"/>
    <w:rsid w:val="0026773B"/>
    <w:rsid w:val="0027014F"/>
    <w:rsid w:val="002704DA"/>
    <w:rsid w:val="002714FA"/>
    <w:rsid w:val="00272466"/>
    <w:rsid w:val="00273277"/>
    <w:rsid w:val="00273C23"/>
    <w:rsid w:val="002741D1"/>
    <w:rsid w:val="00274289"/>
    <w:rsid w:val="00274464"/>
    <w:rsid w:val="00275B41"/>
    <w:rsid w:val="00276526"/>
    <w:rsid w:val="00276748"/>
    <w:rsid w:val="00276AE2"/>
    <w:rsid w:val="0027796E"/>
    <w:rsid w:val="002805F7"/>
    <w:rsid w:val="002807F6"/>
    <w:rsid w:val="00281B43"/>
    <w:rsid w:val="00281DBE"/>
    <w:rsid w:val="00282FE1"/>
    <w:rsid w:val="00283549"/>
    <w:rsid w:val="00284120"/>
    <w:rsid w:val="0028436A"/>
    <w:rsid w:val="00286015"/>
    <w:rsid w:val="002866DF"/>
    <w:rsid w:val="002868C2"/>
    <w:rsid w:val="00287252"/>
    <w:rsid w:val="00287F0D"/>
    <w:rsid w:val="00290453"/>
    <w:rsid w:val="00291A4E"/>
    <w:rsid w:val="00293E05"/>
    <w:rsid w:val="00294145"/>
    <w:rsid w:val="00294164"/>
    <w:rsid w:val="002943B8"/>
    <w:rsid w:val="00294C2D"/>
    <w:rsid w:val="002960FC"/>
    <w:rsid w:val="00296DBC"/>
    <w:rsid w:val="002979A8"/>
    <w:rsid w:val="002A02D5"/>
    <w:rsid w:val="002A1C7F"/>
    <w:rsid w:val="002A1EEC"/>
    <w:rsid w:val="002A2749"/>
    <w:rsid w:val="002A39DE"/>
    <w:rsid w:val="002A3F5B"/>
    <w:rsid w:val="002A4037"/>
    <w:rsid w:val="002A4EA1"/>
    <w:rsid w:val="002A5763"/>
    <w:rsid w:val="002A5779"/>
    <w:rsid w:val="002A6519"/>
    <w:rsid w:val="002A6DF0"/>
    <w:rsid w:val="002B0738"/>
    <w:rsid w:val="002B100C"/>
    <w:rsid w:val="002B1D45"/>
    <w:rsid w:val="002B1D52"/>
    <w:rsid w:val="002B2AA1"/>
    <w:rsid w:val="002B2EAE"/>
    <w:rsid w:val="002B35A7"/>
    <w:rsid w:val="002B3FD2"/>
    <w:rsid w:val="002B4E7A"/>
    <w:rsid w:val="002B5600"/>
    <w:rsid w:val="002B5EE7"/>
    <w:rsid w:val="002B5F4F"/>
    <w:rsid w:val="002C1069"/>
    <w:rsid w:val="002C1527"/>
    <w:rsid w:val="002C1544"/>
    <w:rsid w:val="002C4B80"/>
    <w:rsid w:val="002C618B"/>
    <w:rsid w:val="002C6CED"/>
    <w:rsid w:val="002D02B8"/>
    <w:rsid w:val="002D042D"/>
    <w:rsid w:val="002D0BEA"/>
    <w:rsid w:val="002D1B53"/>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3EF"/>
    <w:rsid w:val="002E5483"/>
    <w:rsid w:val="002E55D3"/>
    <w:rsid w:val="002E759D"/>
    <w:rsid w:val="002E7A65"/>
    <w:rsid w:val="002F015D"/>
    <w:rsid w:val="002F0C5F"/>
    <w:rsid w:val="002F112F"/>
    <w:rsid w:val="002F29C3"/>
    <w:rsid w:val="002F37BE"/>
    <w:rsid w:val="002F38E4"/>
    <w:rsid w:val="002F73E7"/>
    <w:rsid w:val="002F7F9C"/>
    <w:rsid w:val="003007C7"/>
    <w:rsid w:val="00301024"/>
    <w:rsid w:val="003015A9"/>
    <w:rsid w:val="00301877"/>
    <w:rsid w:val="0030249C"/>
    <w:rsid w:val="0030264E"/>
    <w:rsid w:val="00302796"/>
    <w:rsid w:val="00302E11"/>
    <w:rsid w:val="00303A67"/>
    <w:rsid w:val="003042ED"/>
    <w:rsid w:val="00304573"/>
    <w:rsid w:val="00304745"/>
    <w:rsid w:val="00305920"/>
    <w:rsid w:val="00305F17"/>
    <w:rsid w:val="00307A37"/>
    <w:rsid w:val="003116EF"/>
    <w:rsid w:val="003133AE"/>
    <w:rsid w:val="003133CA"/>
    <w:rsid w:val="00313768"/>
    <w:rsid w:val="00313BBD"/>
    <w:rsid w:val="00314B90"/>
    <w:rsid w:val="00314CF5"/>
    <w:rsid w:val="00314F07"/>
    <w:rsid w:val="00315060"/>
    <w:rsid w:val="00315F01"/>
    <w:rsid w:val="0032032A"/>
    <w:rsid w:val="0032198F"/>
    <w:rsid w:val="00322654"/>
    <w:rsid w:val="003235DE"/>
    <w:rsid w:val="00323700"/>
    <w:rsid w:val="00324DA0"/>
    <w:rsid w:val="00324DF7"/>
    <w:rsid w:val="003253DF"/>
    <w:rsid w:val="003255E2"/>
    <w:rsid w:val="00325858"/>
    <w:rsid w:val="00325D19"/>
    <w:rsid w:val="00325E6D"/>
    <w:rsid w:val="0033001F"/>
    <w:rsid w:val="00330025"/>
    <w:rsid w:val="00330AF9"/>
    <w:rsid w:val="00330BB9"/>
    <w:rsid w:val="00330C89"/>
    <w:rsid w:val="00330CC5"/>
    <w:rsid w:val="0033102A"/>
    <w:rsid w:val="00331AF4"/>
    <w:rsid w:val="00332E80"/>
    <w:rsid w:val="00334E0F"/>
    <w:rsid w:val="00335099"/>
    <w:rsid w:val="00335232"/>
    <w:rsid w:val="003368B1"/>
    <w:rsid w:val="00337A0F"/>
    <w:rsid w:val="0034025A"/>
    <w:rsid w:val="003402A7"/>
    <w:rsid w:val="003413CC"/>
    <w:rsid w:val="00342233"/>
    <w:rsid w:val="00342A99"/>
    <w:rsid w:val="00342BB6"/>
    <w:rsid w:val="0034332D"/>
    <w:rsid w:val="00343BA7"/>
    <w:rsid w:val="00343F05"/>
    <w:rsid w:val="00344080"/>
    <w:rsid w:val="00344A26"/>
    <w:rsid w:val="00345278"/>
    <w:rsid w:val="00345916"/>
    <w:rsid w:val="00345977"/>
    <w:rsid w:val="00346626"/>
    <w:rsid w:val="003475B4"/>
    <w:rsid w:val="00350226"/>
    <w:rsid w:val="003502CE"/>
    <w:rsid w:val="003506E9"/>
    <w:rsid w:val="00351A93"/>
    <w:rsid w:val="00352386"/>
    <w:rsid w:val="00352A62"/>
    <w:rsid w:val="003530A7"/>
    <w:rsid w:val="00353854"/>
    <w:rsid w:val="0035390D"/>
    <w:rsid w:val="00354724"/>
    <w:rsid w:val="00354E7A"/>
    <w:rsid w:val="00354F42"/>
    <w:rsid w:val="003553BF"/>
    <w:rsid w:val="0035582F"/>
    <w:rsid w:val="00355857"/>
    <w:rsid w:val="00356CF8"/>
    <w:rsid w:val="0035738E"/>
    <w:rsid w:val="003573D2"/>
    <w:rsid w:val="00357FCD"/>
    <w:rsid w:val="0036081D"/>
    <w:rsid w:val="003626D2"/>
    <w:rsid w:val="00362B80"/>
    <w:rsid w:val="00363608"/>
    <w:rsid w:val="003637C2"/>
    <w:rsid w:val="0036401D"/>
    <w:rsid w:val="00364703"/>
    <w:rsid w:val="00364C3D"/>
    <w:rsid w:val="00365AF0"/>
    <w:rsid w:val="00365D8C"/>
    <w:rsid w:val="003669BC"/>
    <w:rsid w:val="00366EEA"/>
    <w:rsid w:val="00367B01"/>
    <w:rsid w:val="003700B6"/>
    <w:rsid w:val="0037124A"/>
    <w:rsid w:val="00371989"/>
    <w:rsid w:val="00371BF8"/>
    <w:rsid w:val="00372542"/>
    <w:rsid w:val="00373B74"/>
    <w:rsid w:val="0037472E"/>
    <w:rsid w:val="00374C88"/>
    <w:rsid w:val="003756FF"/>
    <w:rsid w:val="003765E5"/>
    <w:rsid w:val="003769D6"/>
    <w:rsid w:val="00376F0D"/>
    <w:rsid w:val="00377A58"/>
    <w:rsid w:val="00377EF9"/>
    <w:rsid w:val="00380C2A"/>
    <w:rsid w:val="00380E27"/>
    <w:rsid w:val="00380E99"/>
    <w:rsid w:val="00381BCF"/>
    <w:rsid w:val="00382B41"/>
    <w:rsid w:val="00383158"/>
    <w:rsid w:val="00383E5C"/>
    <w:rsid w:val="00384EFB"/>
    <w:rsid w:val="0038754B"/>
    <w:rsid w:val="003876A1"/>
    <w:rsid w:val="00387703"/>
    <w:rsid w:val="003906A1"/>
    <w:rsid w:val="00391088"/>
    <w:rsid w:val="00391797"/>
    <w:rsid w:val="00392059"/>
    <w:rsid w:val="003923E5"/>
    <w:rsid w:val="00392439"/>
    <w:rsid w:val="003931E6"/>
    <w:rsid w:val="00394CC4"/>
    <w:rsid w:val="0039511C"/>
    <w:rsid w:val="003951A1"/>
    <w:rsid w:val="003953FE"/>
    <w:rsid w:val="00395C81"/>
    <w:rsid w:val="0039625C"/>
    <w:rsid w:val="003972B1"/>
    <w:rsid w:val="00397754"/>
    <w:rsid w:val="00397A35"/>
    <w:rsid w:val="003A018F"/>
    <w:rsid w:val="003A0315"/>
    <w:rsid w:val="003A0B1A"/>
    <w:rsid w:val="003A0D42"/>
    <w:rsid w:val="003A0D46"/>
    <w:rsid w:val="003A205F"/>
    <w:rsid w:val="003A2B20"/>
    <w:rsid w:val="003A32D0"/>
    <w:rsid w:val="003A4365"/>
    <w:rsid w:val="003A49BA"/>
    <w:rsid w:val="003A4D6D"/>
    <w:rsid w:val="003A5DE0"/>
    <w:rsid w:val="003A5F45"/>
    <w:rsid w:val="003A7E7E"/>
    <w:rsid w:val="003A7F66"/>
    <w:rsid w:val="003B07FA"/>
    <w:rsid w:val="003B087D"/>
    <w:rsid w:val="003B097B"/>
    <w:rsid w:val="003B193D"/>
    <w:rsid w:val="003B1AA8"/>
    <w:rsid w:val="003B26D9"/>
    <w:rsid w:val="003B33A0"/>
    <w:rsid w:val="003B37ED"/>
    <w:rsid w:val="003B3A84"/>
    <w:rsid w:val="003B3F74"/>
    <w:rsid w:val="003B4F11"/>
    <w:rsid w:val="003B509F"/>
    <w:rsid w:val="003B5937"/>
    <w:rsid w:val="003B5BAD"/>
    <w:rsid w:val="003B7187"/>
    <w:rsid w:val="003B7A7F"/>
    <w:rsid w:val="003B7AEE"/>
    <w:rsid w:val="003B7CE6"/>
    <w:rsid w:val="003C08E5"/>
    <w:rsid w:val="003C1704"/>
    <w:rsid w:val="003C170F"/>
    <w:rsid w:val="003C1BBA"/>
    <w:rsid w:val="003C2BB7"/>
    <w:rsid w:val="003C39F5"/>
    <w:rsid w:val="003C4678"/>
    <w:rsid w:val="003C470F"/>
    <w:rsid w:val="003C4C9C"/>
    <w:rsid w:val="003C56DC"/>
    <w:rsid w:val="003C5FC8"/>
    <w:rsid w:val="003C7779"/>
    <w:rsid w:val="003D08B8"/>
    <w:rsid w:val="003D0EEE"/>
    <w:rsid w:val="003D177D"/>
    <w:rsid w:val="003D202B"/>
    <w:rsid w:val="003D2AD0"/>
    <w:rsid w:val="003D2BDE"/>
    <w:rsid w:val="003D371B"/>
    <w:rsid w:val="003D3BA1"/>
    <w:rsid w:val="003D439B"/>
    <w:rsid w:val="003D5038"/>
    <w:rsid w:val="003D5E06"/>
    <w:rsid w:val="003D5EF4"/>
    <w:rsid w:val="003D642A"/>
    <w:rsid w:val="003D6715"/>
    <w:rsid w:val="003D753B"/>
    <w:rsid w:val="003D79EB"/>
    <w:rsid w:val="003E0652"/>
    <w:rsid w:val="003E1CF7"/>
    <w:rsid w:val="003E3AF2"/>
    <w:rsid w:val="003E4952"/>
    <w:rsid w:val="003E4C4D"/>
    <w:rsid w:val="003E626F"/>
    <w:rsid w:val="003E629B"/>
    <w:rsid w:val="003E74C7"/>
    <w:rsid w:val="003E7670"/>
    <w:rsid w:val="003E798A"/>
    <w:rsid w:val="003E7D38"/>
    <w:rsid w:val="003F1695"/>
    <w:rsid w:val="003F1F14"/>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1089"/>
    <w:rsid w:val="00411354"/>
    <w:rsid w:val="0041135C"/>
    <w:rsid w:val="0041268F"/>
    <w:rsid w:val="00412F03"/>
    <w:rsid w:val="00413AF6"/>
    <w:rsid w:val="004154F3"/>
    <w:rsid w:val="0041561B"/>
    <w:rsid w:val="0041742D"/>
    <w:rsid w:val="00417E60"/>
    <w:rsid w:val="00417FDA"/>
    <w:rsid w:val="0042074E"/>
    <w:rsid w:val="00421014"/>
    <w:rsid w:val="004211E8"/>
    <w:rsid w:val="00421A0C"/>
    <w:rsid w:val="00421D1B"/>
    <w:rsid w:val="0042203A"/>
    <w:rsid w:val="00423995"/>
    <w:rsid w:val="004239D2"/>
    <w:rsid w:val="004257B0"/>
    <w:rsid w:val="00425D3E"/>
    <w:rsid w:val="00425D42"/>
    <w:rsid w:val="004267CE"/>
    <w:rsid w:val="00430471"/>
    <w:rsid w:val="00430ADC"/>
    <w:rsid w:val="00431742"/>
    <w:rsid w:val="00431758"/>
    <w:rsid w:val="00431A01"/>
    <w:rsid w:val="00432211"/>
    <w:rsid w:val="0043224D"/>
    <w:rsid w:val="00432E39"/>
    <w:rsid w:val="004336EC"/>
    <w:rsid w:val="00433875"/>
    <w:rsid w:val="00434E99"/>
    <w:rsid w:val="00435012"/>
    <w:rsid w:val="00435855"/>
    <w:rsid w:val="00436776"/>
    <w:rsid w:val="004368A7"/>
    <w:rsid w:val="00437565"/>
    <w:rsid w:val="00440473"/>
    <w:rsid w:val="004421CD"/>
    <w:rsid w:val="00443261"/>
    <w:rsid w:val="00443FE8"/>
    <w:rsid w:val="00444271"/>
    <w:rsid w:val="00444299"/>
    <w:rsid w:val="004445A3"/>
    <w:rsid w:val="00445EF3"/>
    <w:rsid w:val="00446A38"/>
    <w:rsid w:val="00446A7A"/>
    <w:rsid w:val="00447694"/>
    <w:rsid w:val="00450B7B"/>
    <w:rsid w:val="00450F59"/>
    <w:rsid w:val="00451386"/>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7EF9"/>
    <w:rsid w:val="004700FA"/>
    <w:rsid w:val="0047055F"/>
    <w:rsid w:val="0047201E"/>
    <w:rsid w:val="00473D3B"/>
    <w:rsid w:val="00474A2F"/>
    <w:rsid w:val="00475F83"/>
    <w:rsid w:val="004761EB"/>
    <w:rsid w:val="004772DE"/>
    <w:rsid w:val="004778AC"/>
    <w:rsid w:val="00477A16"/>
    <w:rsid w:val="0048007E"/>
    <w:rsid w:val="0048191D"/>
    <w:rsid w:val="00481DD2"/>
    <w:rsid w:val="0048226A"/>
    <w:rsid w:val="004825EF"/>
    <w:rsid w:val="00482772"/>
    <w:rsid w:val="0048294D"/>
    <w:rsid w:val="004855FB"/>
    <w:rsid w:val="004856B5"/>
    <w:rsid w:val="0048667C"/>
    <w:rsid w:val="0049155F"/>
    <w:rsid w:val="004915AD"/>
    <w:rsid w:val="004916B1"/>
    <w:rsid w:val="00492338"/>
    <w:rsid w:val="004928C3"/>
    <w:rsid w:val="004928ED"/>
    <w:rsid w:val="00493633"/>
    <w:rsid w:val="0049450C"/>
    <w:rsid w:val="004947C6"/>
    <w:rsid w:val="004948DE"/>
    <w:rsid w:val="00495608"/>
    <w:rsid w:val="00495EFA"/>
    <w:rsid w:val="00496829"/>
    <w:rsid w:val="00497CB1"/>
    <w:rsid w:val="004A0102"/>
    <w:rsid w:val="004A086D"/>
    <w:rsid w:val="004A0EE0"/>
    <w:rsid w:val="004A1647"/>
    <w:rsid w:val="004A1ED7"/>
    <w:rsid w:val="004A2469"/>
    <w:rsid w:val="004A2C9F"/>
    <w:rsid w:val="004A42FB"/>
    <w:rsid w:val="004A4565"/>
    <w:rsid w:val="004A5A54"/>
    <w:rsid w:val="004A5AB1"/>
    <w:rsid w:val="004A6338"/>
    <w:rsid w:val="004A66BE"/>
    <w:rsid w:val="004A6806"/>
    <w:rsid w:val="004A692F"/>
    <w:rsid w:val="004A6A50"/>
    <w:rsid w:val="004A6DFF"/>
    <w:rsid w:val="004A6E95"/>
    <w:rsid w:val="004A7BA8"/>
    <w:rsid w:val="004A7D73"/>
    <w:rsid w:val="004A7ECB"/>
    <w:rsid w:val="004B1B8A"/>
    <w:rsid w:val="004B2274"/>
    <w:rsid w:val="004B2D23"/>
    <w:rsid w:val="004B35F4"/>
    <w:rsid w:val="004B392D"/>
    <w:rsid w:val="004B3E77"/>
    <w:rsid w:val="004B3E7C"/>
    <w:rsid w:val="004B5E53"/>
    <w:rsid w:val="004B6A39"/>
    <w:rsid w:val="004B7F3C"/>
    <w:rsid w:val="004C1498"/>
    <w:rsid w:val="004C1E85"/>
    <w:rsid w:val="004C2069"/>
    <w:rsid w:val="004C2A5C"/>
    <w:rsid w:val="004C2DE6"/>
    <w:rsid w:val="004C30BE"/>
    <w:rsid w:val="004C3B0E"/>
    <w:rsid w:val="004C45E6"/>
    <w:rsid w:val="004C5250"/>
    <w:rsid w:val="004C5512"/>
    <w:rsid w:val="004C574A"/>
    <w:rsid w:val="004C5994"/>
    <w:rsid w:val="004C5E6D"/>
    <w:rsid w:val="004C6590"/>
    <w:rsid w:val="004C666D"/>
    <w:rsid w:val="004C6D6F"/>
    <w:rsid w:val="004C6E58"/>
    <w:rsid w:val="004C7028"/>
    <w:rsid w:val="004D0C3C"/>
    <w:rsid w:val="004D17D1"/>
    <w:rsid w:val="004D1B50"/>
    <w:rsid w:val="004D1F16"/>
    <w:rsid w:val="004D339B"/>
    <w:rsid w:val="004D33D8"/>
    <w:rsid w:val="004D3503"/>
    <w:rsid w:val="004D36B1"/>
    <w:rsid w:val="004D3A27"/>
    <w:rsid w:val="004D4193"/>
    <w:rsid w:val="004D4E34"/>
    <w:rsid w:val="004D70F5"/>
    <w:rsid w:val="004D75C1"/>
    <w:rsid w:val="004E02ED"/>
    <w:rsid w:val="004E044D"/>
    <w:rsid w:val="004E0A90"/>
    <w:rsid w:val="004E255E"/>
    <w:rsid w:val="004E3816"/>
    <w:rsid w:val="004E38C6"/>
    <w:rsid w:val="004E3C34"/>
    <w:rsid w:val="004E470D"/>
    <w:rsid w:val="004E55D3"/>
    <w:rsid w:val="004E69E0"/>
    <w:rsid w:val="004E72C7"/>
    <w:rsid w:val="004E77F6"/>
    <w:rsid w:val="004E7FDB"/>
    <w:rsid w:val="004F0051"/>
    <w:rsid w:val="004F030D"/>
    <w:rsid w:val="004F039A"/>
    <w:rsid w:val="004F0BE3"/>
    <w:rsid w:val="004F1F48"/>
    <w:rsid w:val="004F1FF1"/>
    <w:rsid w:val="004F2FA6"/>
    <w:rsid w:val="004F33B7"/>
    <w:rsid w:val="004F353C"/>
    <w:rsid w:val="004F4957"/>
    <w:rsid w:val="004F5749"/>
    <w:rsid w:val="004F5F41"/>
    <w:rsid w:val="004F62FD"/>
    <w:rsid w:val="004F7437"/>
    <w:rsid w:val="004F78C8"/>
    <w:rsid w:val="00501129"/>
    <w:rsid w:val="00501843"/>
    <w:rsid w:val="005037C0"/>
    <w:rsid w:val="00505D9D"/>
    <w:rsid w:val="00505F3B"/>
    <w:rsid w:val="005061D7"/>
    <w:rsid w:val="00506252"/>
    <w:rsid w:val="00506C39"/>
    <w:rsid w:val="0050720C"/>
    <w:rsid w:val="00507694"/>
    <w:rsid w:val="00510FD9"/>
    <w:rsid w:val="00511A34"/>
    <w:rsid w:val="00511E5D"/>
    <w:rsid w:val="005134BB"/>
    <w:rsid w:val="005138FC"/>
    <w:rsid w:val="00513F8B"/>
    <w:rsid w:val="00514167"/>
    <w:rsid w:val="00514668"/>
    <w:rsid w:val="00514865"/>
    <w:rsid w:val="0051519E"/>
    <w:rsid w:val="00515FC2"/>
    <w:rsid w:val="00516518"/>
    <w:rsid w:val="00516E41"/>
    <w:rsid w:val="005206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6466"/>
    <w:rsid w:val="005271BF"/>
    <w:rsid w:val="00527C58"/>
    <w:rsid w:val="00527CC7"/>
    <w:rsid w:val="005307B5"/>
    <w:rsid w:val="00530DF9"/>
    <w:rsid w:val="00530E53"/>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796E"/>
    <w:rsid w:val="00537EE5"/>
    <w:rsid w:val="00540936"/>
    <w:rsid w:val="0054141A"/>
    <w:rsid w:val="0054147B"/>
    <w:rsid w:val="00541CB0"/>
    <w:rsid w:val="00543862"/>
    <w:rsid w:val="00543B27"/>
    <w:rsid w:val="005444A8"/>
    <w:rsid w:val="00545746"/>
    <w:rsid w:val="00545F54"/>
    <w:rsid w:val="00546472"/>
    <w:rsid w:val="005466D0"/>
    <w:rsid w:val="0054689F"/>
    <w:rsid w:val="00547D1F"/>
    <w:rsid w:val="005512E3"/>
    <w:rsid w:val="005512EC"/>
    <w:rsid w:val="00551B7D"/>
    <w:rsid w:val="00551D10"/>
    <w:rsid w:val="005531B3"/>
    <w:rsid w:val="00553522"/>
    <w:rsid w:val="005539D6"/>
    <w:rsid w:val="005546E0"/>
    <w:rsid w:val="00555473"/>
    <w:rsid w:val="00556644"/>
    <w:rsid w:val="0055710E"/>
    <w:rsid w:val="005572AD"/>
    <w:rsid w:val="0055746A"/>
    <w:rsid w:val="00561A33"/>
    <w:rsid w:val="00561B91"/>
    <w:rsid w:val="00561C39"/>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20E"/>
    <w:rsid w:val="005767D5"/>
    <w:rsid w:val="00576A2C"/>
    <w:rsid w:val="00580BCA"/>
    <w:rsid w:val="00580EB5"/>
    <w:rsid w:val="00580F71"/>
    <w:rsid w:val="005812EB"/>
    <w:rsid w:val="00581AAE"/>
    <w:rsid w:val="0058263A"/>
    <w:rsid w:val="00582BAE"/>
    <w:rsid w:val="00582D38"/>
    <w:rsid w:val="005838C2"/>
    <w:rsid w:val="00583BC3"/>
    <w:rsid w:val="0058495D"/>
    <w:rsid w:val="005871E5"/>
    <w:rsid w:val="00587DF0"/>
    <w:rsid w:val="005904DB"/>
    <w:rsid w:val="00590F19"/>
    <w:rsid w:val="00591175"/>
    <w:rsid w:val="0059132C"/>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79C3"/>
    <w:rsid w:val="005A0DCA"/>
    <w:rsid w:val="005A0EAF"/>
    <w:rsid w:val="005A0F89"/>
    <w:rsid w:val="005A14C6"/>
    <w:rsid w:val="005A1574"/>
    <w:rsid w:val="005A1B14"/>
    <w:rsid w:val="005A3156"/>
    <w:rsid w:val="005A3A84"/>
    <w:rsid w:val="005A43EB"/>
    <w:rsid w:val="005A4FF4"/>
    <w:rsid w:val="005A5FBA"/>
    <w:rsid w:val="005A6104"/>
    <w:rsid w:val="005A6641"/>
    <w:rsid w:val="005B0936"/>
    <w:rsid w:val="005B0CB9"/>
    <w:rsid w:val="005B0F5F"/>
    <w:rsid w:val="005B1085"/>
    <w:rsid w:val="005B1AEB"/>
    <w:rsid w:val="005B2F8F"/>
    <w:rsid w:val="005B4460"/>
    <w:rsid w:val="005B50C5"/>
    <w:rsid w:val="005B5B8A"/>
    <w:rsid w:val="005B5F74"/>
    <w:rsid w:val="005B66C4"/>
    <w:rsid w:val="005B6B93"/>
    <w:rsid w:val="005B6BF9"/>
    <w:rsid w:val="005B6E45"/>
    <w:rsid w:val="005B7806"/>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1544"/>
    <w:rsid w:val="005D39EF"/>
    <w:rsid w:val="005D3EFE"/>
    <w:rsid w:val="005D4333"/>
    <w:rsid w:val="005D56ED"/>
    <w:rsid w:val="005D5921"/>
    <w:rsid w:val="005D6F48"/>
    <w:rsid w:val="005D7E7F"/>
    <w:rsid w:val="005E025F"/>
    <w:rsid w:val="005E0CB3"/>
    <w:rsid w:val="005E0DE1"/>
    <w:rsid w:val="005E18C8"/>
    <w:rsid w:val="005E1AF1"/>
    <w:rsid w:val="005E30AA"/>
    <w:rsid w:val="005E33D0"/>
    <w:rsid w:val="005E359F"/>
    <w:rsid w:val="005E39EB"/>
    <w:rsid w:val="005E474F"/>
    <w:rsid w:val="005E47A2"/>
    <w:rsid w:val="005E4DDA"/>
    <w:rsid w:val="005E51D7"/>
    <w:rsid w:val="005E600B"/>
    <w:rsid w:val="005E6683"/>
    <w:rsid w:val="005E6F92"/>
    <w:rsid w:val="005E7099"/>
    <w:rsid w:val="005E7418"/>
    <w:rsid w:val="005E7D45"/>
    <w:rsid w:val="005E7E4A"/>
    <w:rsid w:val="005E7FD2"/>
    <w:rsid w:val="005F00AE"/>
    <w:rsid w:val="005F0BDA"/>
    <w:rsid w:val="005F20CC"/>
    <w:rsid w:val="005F2803"/>
    <w:rsid w:val="005F293C"/>
    <w:rsid w:val="005F2DA8"/>
    <w:rsid w:val="005F353C"/>
    <w:rsid w:val="005F3745"/>
    <w:rsid w:val="005F416E"/>
    <w:rsid w:val="005F4D43"/>
    <w:rsid w:val="005F5F4E"/>
    <w:rsid w:val="005F64D9"/>
    <w:rsid w:val="005F7132"/>
    <w:rsid w:val="00600690"/>
    <w:rsid w:val="00600D28"/>
    <w:rsid w:val="0060208D"/>
    <w:rsid w:val="0060231E"/>
    <w:rsid w:val="00602398"/>
    <w:rsid w:val="006033F9"/>
    <w:rsid w:val="00603548"/>
    <w:rsid w:val="0060394D"/>
    <w:rsid w:val="00603977"/>
    <w:rsid w:val="00603FA8"/>
    <w:rsid w:val="0060441F"/>
    <w:rsid w:val="0060549A"/>
    <w:rsid w:val="006058E2"/>
    <w:rsid w:val="00605BDD"/>
    <w:rsid w:val="006061CE"/>
    <w:rsid w:val="00606420"/>
    <w:rsid w:val="00606442"/>
    <w:rsid w:val="00606791"/>
    <w:rsid w:val="00606842"/>
    <w:rsid w:val="0061098E"/>
    <w:rsid w:val="00610E34"/>
    <w:rsid w:val="00610E52"/>
    <w:rsid w:val="00611227"/>
    <w:rsid w:val="006112E2"/>
    <w:rsid w:val="006118C1"/>
    <w:rsid w:val="00611A66"/>
    <w:rsid w:val="00611EEF"/>
    <w:rsid w:val="006137D9"/>
    <w:rsid w:val="006139B8"/>
    <w:rsid w:val="00614253"/>
    <w:rsid w:val="00615251"/>
    <w:rsid w:val="0061548E"/>
    <w:rsid w:val="006156F7"/>
    <w:rsid w:val="00615871"/>
    <w:rsid w:val="00615C79"/>
    <w:rsid w:val="00616416"/>
    <w:rsid w:val="006176C5"/>
    <w:rsid w:val="0062024B"/>
    <w:rsid w:val="00620A3F"/>
    <w:rsid w:val="00621E29"/>
    <w:rsid w:val="00622643"/>
    <w:rsid w:val="006251E3"/>
    <w:rsid w:val="0062553E"/>
    <w:rsid w:val="00625FD7"/>
    <w:rsid w:val="006263CC"/>
    <w:rsid w:val="00626605"/>
    <w:rsid w:val="006266B4"/>
    <w:rsid w:val="00627B4F"/>
    <w:rsid w:val="00630546"/>
    <w:rsid w:val="00630591"/>
    <w:rsid w:val="006310F2"/>
    <w:rsid w:val="006312EF"/>
    <w:rsid w:val="006317EB"/>
    <w:rsid w:val="00631A10"/>
    <w:rsid w:val="00633592"/>
    <w:rsid w:val="006335DC"/>
    <w:rsid w:val="00633A8A"/>
    <w:rsid w:val="006340A5"/>
    <w:rsid w:val="00634243"/>
    <w:rsid w:val="00634729"/>
    <w:rsid w:val="00635677"/>
    <w:rsid w:val="00635FA1"/>
    <w:rsid w:val="006361B6"/>
    <w:rsid w:val="0063698B"/>
    <w:rsid w:val="0063720D"/>
    <w:rsid w:val="006379C5"/>
    <w:rsid w:val="006406DC"/>
    <w:rsid w:val="006416DA"/>
    <w:rsid w:val="00641725"/>
    <w:rsid w:val="00641B1D"/>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C"/>
    <w:rsid w:val="00655DDF"/>
    <w:rsid w:val="00656815"/>
    <w:rsid w:val="00657409"/>
    <w:rsid w:val="00657447"/>
    <w:rsid w:val="00657825"/>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6475"/>
    <w:rsid w:val="006771B9"/>
    <w:rsid w:val="00677222"/>
    <w:rsid w:val="0067794F"/>
    <w:rsid w:val="00681500"/>
    <w:rsid w:val="00681AE4"/>
    <w:rsid w:val="00681C00"/>
    <w:rsid w:val="00682C90"/>
    <w:rsid w:val="00683387"/>
    <w:rsid w:val="0068356C"/>
    <w:rsid w:val="00683F40"/>
    <w:rsid w:val="00684519"/>
    <w:rsid w:val="006846C8"/>
    <w:rsid w:val="006852C8"/>
    <w:rsid w:val="00686FE9"/>
    <w:rsid w:val="00687F4B"/>
    <w:rsid w:val="00690627"/>
    <w:rsid w:val="00691140"/>
    <w:rsid w:val="00691548"/>
    <w:rsid w:val="00693BE4"/>
    <w:rsid w:val="006940AF"/>
    <w:rsid w:val="00694561"/>
    <w:rsid w:val="006945BF"/>
    <w:rsid w:val="006959B3"/>
    <w:rsid w:val="00695B52"/>
    <w:rsid w:val="0069605B"/>
    <w:rsid w:val="006962C2"/>
    <w:rsid w:val="00697093"/>
    <w:rsid w:val="00697AC8"/>
    <w:rsid w:val="006A0D46"/>
    <w:rsid w:val="006A1BC4"/>
    <w:rsid w:val="006A21D5"/>
    <w:rsid w:val="006A2D84"/>
    <w:rsid w:val="006A3A96"/>
    <w:rsid w:val="006A4398"/>
    <w:rsid w:val="006A47E8"/>
    <w:rsid w:val="006A4802"/>
    <w:rsid w:val="006A488E"/>
    <w:rsid w:val="006A4970"/>
    <w:rsid w:val="006A555F"/>
    <w:rsid w:val="006A6BF4"/>
    <w:rsid w:val="006A74D3"/>
    <w:rsid w:val="006A7510"/>
    <w:rsid w:val="006B1F78"/>
    <w:rsid w:val="006B1F7E"/>
    <w:rsid w:val="006B2012"/>
    <w:rsid w:val="006B26E5"/>
    <w:rsid w:val="006B27B2"/>
    <w:rsid w:val="006B2E93"/>
    <w:rsid w:val="006B3F7E"/>
    <w:rsid w:val="006B4360"/>
    <w:rsid w:val="006B4F0B"/>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1694"/>
    <w:rsid w:val="006D171E"/>
    <w:rsid w:val="006D240E"/>
    <w:rsid w:val="006D273C"/>
    <w:rsid w:val="006D2F6B"/>
    <w:rsid w:val="006D30E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6A55"/>
    <w:rsid w:val="006E73C7"/>
    <w:rsid w:val="006E7795"/>
    <w:rsid w:val="006F093C"/>
    <w:rsid w:val="006F0C47"/>
    <w:rsid w:val="006F1391"/>
    <w:rsid w:val="006F2476"/>
    <w:rsid w:val="006F3443"/>
    <w:rsid w:val="006F34F7"/>
    <w:rsid w:val="006F40B4"/>
    <w:rsid w:val="006F4580"/>
    <w:rsid w:val="006F45AC"/>
    <w:rsid w:val="006F4AF5"/>
    <w:rsid w:val="006F4B7D"/>
    <w:rsid w:val="006F522F"/>
    <w:rsid w:val="006F56FE"/>
    <w:rsid w:val="006F57C7"/>
    <w:rsid w:val="006F5982"/>
    <w:rsid w:val="006F6E4D"/>
    <w:rsid w:val="006F7076"/>
    <w:rsid w:val="006F7422"/>
    <w:rsid w:val="006F7F28"/>
    <w:rsid w:val="0070086E"/>
    <w:rsid w:val="007010CA"/>
    <w:rsid w:val="00701CF6"/>
    <w:rsid w:val="007021AC"/>
    <w:rsid w:val="00702779"/>
    <w:rsid w:val="00704234"/>
    <w:rsid w:val="00704493"/>
    <w:rsid w:val="007048F6"/>
    <w:rsid w:val="00704AE8"/>
    <w:rsid w:val="00705405"/>
    <w:rsid w:val="007060EA"/>
    <w:rsid w:val="0070726C"/>
    <w:rsid w:val="00707CCD"/>
    <w:rsid w:val="00710C08"/>
    <w:rsid w:val="00711AB8"/>
    <w:rsid w:val="00711CBA"/>
    <w:rsid w:val="00711DD3"/>
    <w:rsid w:val="00711ED9"/>
    <w:rsid w:val="00713133"/>
    <w:rsid w:val="00713907"/>
    <w:rsid w:val="00714F8F"/>
    <w:rsid w:val="00715024"/>
    <w:rsid w:val="00715204"/>
    <w:rsid w:val="00715313"/>
    <w:rsid w:val="0071547F"/>
    <w:rsid w:val="0071588B"/>
    <w:rsid w:val="00715B3E"/>
    <w:rsid w:val="00716138"/>
    <w:rsid w:val="007202A0"/>
    <w:rsid w:val="00720A0C"/>
    <w:rsid w:val="007213F6"/>
    <w:rsid w:val="00722242"/>
    <w:rsid w:val="007230B8"/>
    <w:rsid w:val="00723250"/>
    <w:rsid w:val="0072356C"/>
    <w:rsid w:val="00724A24"/>
    <w:rsid w:val="0072595B"/>
    <w:rsid w:val="0072660B"/>
    <w:rsid w:val="00726739"/>
    <w:rsid w:val="007268B3"/>
    <w:rsid w:val="007271DD"/>
    <w:rsid w:val="00727BB8"/>
    <w:rsid w:val="0073076D"/>
    <w:rsid w:val="0073095E"/>
    <w:rsid w:val="00733036"/>
    <w:rsid w:val="0073305F"/>
    <w:rsid w:val="00734327"/>
    <w:rsid w:val="0073438F"/>
    <w:rsid w:val="007345A5"/>
    <w:rsid w:val="007346D3"/>
    <w:rsid w:val="00735EF1"/>
    <w:rsid w:val="00736C26"/>
    <w:rsid w:val="00741280"/>
    <w:rsid w:val="007415C0"/>
    <w:rsid w:val="007422E4"/>
    <w:rsid w:val="007426CB"/>
    <w:rsid w:val="00742826"/>
    <w:rsid w:val="00743DBE"/>
    <w:rsid w:val="00744032"/>
    <w:rsid w:val="00744874"/>
    <w:rsid w:val="00745258"/>
    <w:rsid w:val="00746D99"/>
    <w:rsid w:val="00746FEC"/>
    <w:rsid w:val="00747DA7"/>
    <w:rsid w:val="0075077A"/>
    <w:rsid w:val="00753561"/>
    <w:rsid w:val="00755333"/>
    <w:rsid w:val="0075653C"/>
    <w:rsid w:val="00756788"/>
    <w:rsid w:val="007568D6"/>
    <w:rsid w:val="0075768B"/>
    <w:rsid w:val="007608DB"/>
    <w:rsid w:val="00760B61"/>
    <w:rsid w:val="007610FE"/>
    <w:rsid w:val="00761EC4"/>
    <w:rsid w:val="007636F3"/>
    <w:rsid w:val="0076548F"/>
    <w:rsid w:val="00766FC1"/>
    <w:rsid w:val="0076746D"/>
    <w:rsid w:val="00767D49"/>
    <w:rsid w:val="00770707"/>
    <w:rsid w:val="0077202B"/>
    <w:rsid w:val="00773047"/>
    <w:rsid w:val="00774087"/>
    <w:rsid w:val="007753FF"/>
    <w:rsid w:val="00775F84"/>
    <w:rsid w:val="007765CB"/>
    <w:rsid w:val="007767DF"/>
    <w:rsid w:val="00776825"/>
    <w:rsid w:val="00777016"/>
    <w:rsid w:val="007774D4"/>
    <w:rsid w:val="00777D1A"/>
    <w:rsid w:val="00777D2F"/>
    <w:rsid w:val="00777D9A"/>
    <w:rsid w:val="00780575"/>
    <w:rsid w:val="00781E73"/>
    <w:rsid w:val="0078346D"/>
    <w:rsid w:val="0078478F"/>
    <w:rsid w:val="00786880"/>
    <w:rsid w:val="00787D60"/>
    <w:rsid w:val="00791665"/>
    <w:rsid w:val="0079189A"/>
    <w:rsid w:val="007919E7"/>
    <w:rsid w:val="00794156"/>
    <w:rsid w:val="00795057"/>
    <w:rsid w:val="007960B0"/>
    <w:rsid w:val="007962CE"/>
    <w:rsid w:val="007965A8"/>
    <w:rsid w:val="0079683B"/>
    <w:rsid w:val="00796B68"/>
    <w:rsid w:val="007A0BCF"/>
    <w:rsid w:val="007A13C1"/>
    <w:rsid w:val="007A1704"/>
    <w:rsid w:val="007A2819"/>
    <w:rsid w:val="007A2D76"/>
    <w:rsid w:val="007A3636"/>
    <w:rsid w:val="007A4215"/>
    <w:rsid w:val="007A4D6D"/>
    <w:rsid w:val="007A53F5"/>
    <w:rsid w:val="007A56DA"/>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1DEE"/>
    <w:rsid w:val="007C2253"/>
    <w:rsid w:val="007C39A1"/>
    <w:rsid w:val="007C3B29"/>
    <w:rsid w:val="007C4316"/>
    <w:rsid w:val="007C45E3"/>
    <w:rsid w:val="007C5809"/>
    <w:rsid w:val="007C5909"/>
    <w:rsid w:val="007C5E2B"/>
    <w:rsid w:val="007C5F30"/>
    <w:rsid w:val="007C5FAB"/>
    <w:rsid w:val="007C66AF"/>
    <w:rsid w:val="007C7761"/>
    <w:rsid w:val="007D0568"/>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AC2"/>
    <w:rsid w:val="007E62DA"/>
    <w:rsid w:val="007E6B93"/>
    <w:rsid w:val="007E6CE9"/>
    <w:rsid w:val="007E7083"/>
    <w:rsid w:val="007F1357"/>
    <w:rsid w:val="007F2A1A"/>
    <w:rsid w:val="007F2F5D"/>
    <w:rsid w:val="007F359E"/>
    <w:rsid w:val="007F3B0F"/>
    <w:rsid w:val="007F3D45"/>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364F"/>
    <w:rsid w:val="008043A4"/>
    <w:rsid w:val="00804B8A"/>
    <w:rsid w:val="00805586"/>
    <w:rsid w:val="00805DD5"/>
    <w:rsid w:val="0080611C"/>
    <w:rsid w:val="00806653"/>
    <w:rsid w:val="00807706"/>
    <w:rsid w:val="00807A3B"/>
    <w:rsid w:val="00810B97"/>
    <w:rsid w:val="008110F9"/>
    <w:rsid w:val="00811C0C"/>
    <w:rsid w:val="00812E0B"/>
    <w:rsid w:val="0081367A"/>
    <w:rsid w:val="0081378F"/>
    <w:rsid w:val="008144DC"/>
    <w:rsid w:val="00815499"/>
    <w:rsid w:val="00815B75"/>
    <w:rsid w:val="00815BD9"/>
    <w:rsid w:val="00815DF6"/>
    <w:rsid w:val="00815E17"/>
    <w:rsid w:val="00815F6E"/>
    <w:rsid w:val="00820829"/>
    <w:rsid w:val="00820A16"/>
    <w:rsid w:val="00820D2D"/>
    <w:rsid w:val="00820F1B"/>
    <w:rsid w:val="0082208C"/>
    <w:rsid w:val="00822FD2"/>
    <w:rsid w:val="00823636"/>
    <w:rsid w:val="0082418C"/>
    <w:rsid w:val="00827429"/>
    <w:rsid w:val="00827EA9"/>
    <w:rsid w:val="00830573"/>
    <w:rsid w:val="00831466"/>
    <w:rsid w:val="00831783"/>
    <w:rsid w:val="00831939"/>
    <w:rsid w:val="008323FD"/>
    <w:rsid w:val="00832C3C"/>
    <w:rsid w:val="00832FA9"/>
    <w:rsid w:val="008347DE"/>
    <w:rsid w:val="00834C87"/>
    <w:rsid w:val="0083541A"/>
    <w:rsid w:val="00835D23"/>
    <w:rsid w:val="00835E9B"/>
    <w:rsid w:val="00836B2A"/>
    <w:rsid w:val="008404D7"/>
    <w:rsid w:val="00841FA1"/>
    <w:rsid w:val="008422E9"/>
    <w:rsid w:val="0084298F"/>
    <w:rsid w:val="00844172"/>
    <w:rsid w:val="0084417A"/>
    <w:rsid w:val="00844FCA"/>
    <w:rsid w:val="00844FCB"/>
    <w:rsid w:val="0084601D"/>
    <w:rsid w:val="00846A94"/>
    <w:rsid w:val="008470A9"/>
    <w:rsid w:val="008472A5"/>
    <w:rsid w:val="008479F8"/>
    <w:rsid w:val="008504A2"/>
    <w:rsid w:val="008520DE"/>
    <w:rsid w:val="0085261D"/>
    <w:rsid w:val="008546F0"/>
    <w:rsid w:val="008553D8"/>
    <w:rsid w:val="0085557A"/>
    <w:rsid w:val="00855C91"/>
    <w:rsid w:val="00856202"/>
    <w:rsid w:val="00856ABD"/>
    <w:rsid w:val="00860850"/>
    <w:rsid w:val="00860A08"/>
    <w:rsid w:val="00861082"/>
    <w:rsid w:val="00861650"/>
    <w:rsid w:val="00861AE4"/>
    <w:rsid w:val="00861E7B"/>
    <w:rsid w:val="00862C85"/>
    <w:rsid w:val="00862EE7"/>
    <w:rsid w:val="00863178"/>
    <w:rsid w:val="00863DB1"/>
    <w:rsid w:val="00864225"/>
    <w:rsid w:val="008647E2"/>
    <w:rsid w:val="008654B2"/>
    <w:rsid w:val="008656E3"/>
    <w:rsid w:val="008658C6"/>
    <w:rsid w:val="00865C3F"/>
    <w:rsid w:val="008666CE"/>
    <w:rsid w:val="00867105"/>
    <w:rsid w:val="008712AF"/>
    <w:rsid w:val="00871AB2"/>
    <w:rsid w:val="008725F8"/>
    <w:rsid w:val="00872D2B"/>
    <w:rsid w:val="00873D63"/>
    <w:rsid w:val="008740DB"/>
    <w:rsid w:val="008744E8"/>
    <w:rsid w:val="008746DF"/>
    <w:rsid w:val="00875803"/>
    <w:rsid w:val="00875FD5"/>
    <w:rsid w:val="00876348"/>
    <w:rsid w:val="00876362"/>
    <w:rsid w:val="00876ED7"/>
    <w:rsid w:val="0087751A"/>
    <w:rsid w:val="008808E3"/>
    <w:rsid w:val="00880B6E"/>
    <w:rsid w:val="00880DB9"/>
    <w:rsid w:val="0088152D"/>
    <w:rsid w:val="00881DB4"/>
    <w:rsid w:val="00881FF2"/>
    <w:rsid w:val="00882836"/>
    <w:rsid w:val="00883ABA"/>
    <w:rsid w:val="008845F8"/>
    <w:rsid w:val="00884B0E"/>
    <w:rsid w:val="00884DAF"/>
    <w:rsid w:val="008852D0"/>
    <w:rsid w:val="0088574B"/>
    <w:rsid w:val="00885B14"/>
    <w:rsid w:val="00885C9C"/>
    <w:rsid w:val="00887082"/>
    <w:rsid w:val="0088745E"/>
    <w:rsid w:val="0088777F"/>
    <w:rsid w:val="00891A7E"/>
    <w:rsid w:val="00892D61"/>
    <w:rsid w:val="008933A7"/>
    <w:rsid w:val="00893B6D"/>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6279"/>
    <w:rsid w:val="008A6E50"/>
    <w:rsid w:val="008A7029"/>
    <w:rsid w:val="008B01C4"/>
    <w:rsid w:val="008B01D9"/>
    <w:rsid w:val="008B0825"/>
    <w:rsid w:val="008B3EB0"/>
    <w:rsid w:val="008B48D5"/>
    <w:rsid w:val="008B5970"/>
    <w:rsid w:val="008B6288"/>
    <w:rsid w:val="008C13DA"/>
    <w:rsid w:val="008C1833"/>
    <w:rsid w:val="008C2EB1"/>
    <w:rsid w:val="008C3812"/>
    <w:rsid w:val="008C3B2F"/>
    <w:rsid w:val="008C3C2D"/>
    <w:rsid w:val="008C3EB8"/>
    <w:rsid w:val="008C4006"/>
    <w:rsid w:val="008C440F"/>
    <w:rsid w:val="008C51F7"/>
    <w:rsid w:val="008C5DB2"/>
    <w:rsid w:val="008C5E06"/>
    <w:rsid w:val="008C6F9C"/>
    <w:rsid w:val="008C705C"/>
    <w:rsid w:val="008C7142"/>
    <w:rsid w:val="008C7288"/>
    <w:rsid w:val="008C73A0"/>
    <w:rsid w:val="008C77E8"/>
    <w:rsid w:val="008C780C"/>
    <w:rsid w:val="008C7C06"/>
    <w:rsid w:val="008D0FD1"/>
    <w:rsid w:val="008D2030"/>
    <w:rsid w:val="008D223A"/>
    <w:rsid w:val="008D2E97"/>
    <w:rsid w:val="008D328E"/>
    <w:rsid w:val="008D392A"/>
    <w:rsid w:val="008D3FE3"/>
    <w:rsid w:val="008D43A0"/>
    <w:rsid w:val="008D441D"/>
    <w:rsid w:val="008D4719"/>
    <w:rsid w:val="008D489E"/>
    <w:rsid w:val="008D53E7"/>
    <w:rsid w:val="008D592F"/>
    <w:rsid w:val="008D5E9A"/>
    <w:rsid w:val="008D600B"/>
    <w:rsid w:val="008D66BD"/>
    <w:rsid w:val="008D6A4D"/>
    <w:rsid w:val="008D6A68"/>
    <w:rsid w:val="008D6BC3"/>
    <w:rsid w:val="008D77C4"/>
    <w:rsid w:val="008D7840"/>
    <w:rsid w:val="008D7BF4"/>
    <w:rsid w:val="008E0EDB"/>
    <w:rsid w:val="008E1692"/>
    <w:rsid w:val="008E5642"/>
    <w:rsid w:val="008E5EBE"/>
    <w:rsid w:val="008E69B5"/>
    <w:rsid w:val="008F0067"/>
    <w:rsid w:val="008F068F"/>
    <w:rsid w:val="008F0724"/>
    <w:rsid w:val="008F1B92"/>
    <w:rsid w:val="008F1BEB"/>
    <w:rsid w:val="008F1CC5"/>
    <w:rsid w:val="008F229B"/>
    <w:rsid w:val="008F32ED"/>
    <w:rsid w:val="008F393E"/>
    <w:rsid w:val="008F4E01"/>
    <w:rsid w:val="008F6776"/>
    <w:rsid w:val="008F788C"/>
    <w:rsid w:val="008F7901"/>
    <w:rsid w:val="00900962"/>
    <w:rsid w:val="00900DF9"/>
    <w:rsid w:val="00900E34"/>
    <w:rsid w:val="00900FA8"/>
    <w:rsid w:val="00901304"/>
    <w:rsid w:val="0090136D"/>
    <w:rsid w:val="00902053"/>
    <w:rsid w:val="009029A6"/>
    <w:rsid w:val="00902FB5"/>
    <w:rsid w:val="00904D95"/>
    <w:rsid w:val="009055E3"/>
    <w:rsid w:val="00905B29"/>
    <w:rsid w:val="00906967"/>
    <w:rsid w:val="00906A87"/>
    <w:rsid w:val="00906C76"/>
    <w:rsid w:val="0090770D"/>
    <w:rsid w:val="0091030D"/>
    <w:rsid w:val="009109C6"/>
    <w:rsid w:val="0091137F"/>
    <w:rsid w:val="00911D57"/>
    <w:rsid w:val="00911DD4"/>
    <w:rsid w:val="00912207"/>
    <w:rsid w:val="00912DB5"/>
    <w:rsid w:val="009139CE"/>
    <w:rsid w:val="00913AE2"/>
    <w:rsid w:val="00913B86"/>
    <w:rsid w:val="0091475B"/>
    <w:rsid w:val="00914D60"/>
    <w:rsid w:val="00920AF3"/>
    <w:rsid w:val="00922586"/>
    <w:rsid w:val="00922A3E"/>
    <w:rsid w:val="00922A4C"/>
    <w:rsid w:val="00922AE7"/>
    <w:rsid w:val="00923736"/>
    <w:rsid w:val="009244C7"/>
    <w:rsid w:val="00924E5A"/>
    <w:rsid w:val="00925B21"/>
    <w:rsid w:val="00925D23"/>
    <w:rsid w:val="0092616C"/>
    <w:rsid w:val="00926244"/>
    <w:rsid w:val="00926C7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30A7"/>
    <w:rsid w:val="00943184"/>
    <w:rsid w:val="009433DC"/>
    <w:rsid w:val="00943FF0"/>
    <w:rsid w:val="00944998"/>
    <w:rsid w:val="00944B77"/>
    <w:rsid w:val="00944C35"/>
    <w:rsid w:val="00945192"/>
    <w:rsid w:val="00945304"/>
    <w:rsid w:val="00945E86"/>
    <w:rsid w:val="00945EDD"/>
    <w:rsid w:val="00947718"/>
    <w:rsid w:val="00947DFE"/>
    <w:rsid w:val="009501DA"/>
    <w:rsid w:val="0095050B"/>
    <w:rsid w:val="00950BE4"/>
    <w:rsid w:val="009517B3"/>
    <w:rsid w:val="00951BF1"/>
    <w:rsid w:val="009520BA"/>
    <w:rsid w:val="00952509"/>
    <w:rsid w:val="00954782"/>
    <w:rsid w:val="00956C75"/>
    <w:rsid w:val="00957DE8"/>
    <w:rsid w:val="00960333"/>
    <w:rsid w:val="00960EE3"/>
    <w:rsid w:val="009638E1"/>
    <w:rsid w:val="00963EE6"/>
    <w:rsid w:val="00963FC5"/>
    <w:rsid w:val="0096518B"/>
    <w:rsid w:val="00965356"/>
    <w:rsid w:val="009659F6"/>
    <w:rsid w:val="00965DC1"/>
    <w:rsid w:val="00965FEE"/>
    <w:rsid w:val="00966D0D"/>
    <w:rsid w:val="00966D46"/>
    <w:rsid w:val="00966D74"/>
    <w:rsid w:val="0096721E"/>
    <w:rsid w:val="009673A5"/>
    <w:rsid w:val="00970510"/>
    <w:rsid w:val="00970744"/>
    <w:rsid w:val="00970968"/>
    <w:rsid w:val="00970F7F"/>
    <w:rsid w:val="00971828"/>
    <w:rsid w:val="009720A8"/>
    <w:rsid w:val="0097275B"/>
    <w:rsid w:val="00973329"/>
    <w:rsid w:val="00973F8B"/>
    <w:rsid w:val="00973FB4"/>
    <w:rsid w:val="0097444B"/>
    <w:rsid w:val="00975F43"/>
    <w:rsid w:val="00976C48"/>
    <w:rsid w:val="0097707E"/>
    <w:rsid w:val="009775C8"/>
    <w:rsid w:val="00977F02"/>
    <w:rsid w:val="00980A7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305F"/>
    <w:rsid w:val="0099497D"/>
    <w:rsid w:val="00995202"/>
    <w:rsid w:val="00995929"/>
    <w:rsid w:val="00996682"/>
    <w:rsid w:val="009967CF"/>
    <w:rsid w:val="00996CF7"/>
    <w:rsid w:val="00996D51"/>
    <w:rsid w:val="009A06B8"/>
    <w:rsid w:val="009A0D63"/>
    <w:rsid w:val="009A141E"/>
    <w:rsid w:val="009A1483"/>
    <w:rsid w:val="009A24DD"/>
    <w:rsid w:val="009A2EA0"/>
    <w:rsid w:val="009A3767"/>
    <w:rsid w:val="009A379E"/>
    <w:rsid w:val="009A3BB7"/>
    <w:rsid w:val="009A403B"/>
    <w:rsid w:val="009A4A3F"/>
    <w:rsid w:val="009A4EFF"/>
    <w:rsid w:val="009A7F9D"/>
    <w:rsid w:val="009B01BD"/>
    <w:rsid w:val="009B1131"/>
    <w:rsid w:val="009B12D0"/>
    <w:rsid w:val="009B159B"/>
    <w:rsid w:val="009B189D"/>
    <w:rsid w:val="009B276A"/>
    <w:rsid w:val="009B32E2"/>
    <w:rsid w:val="009B38BC"/>
    <w:rsid w:val="009B4177"/>
    <w:rsid w:val="009B4BB3"/>
    <w:rsid w:val="009B4C15"/>
    <w:rsid w:val="009B56C4"/>
    <w:rsid w:val="009B690A"/>
    <w:rsid w:val="009B71F7"/>
    <w:rsid w:val="009C0CC9"/>
    <w:rsid w:val="009C0DA0"/>
    <w:rsid w:val="009C136D"/>
    <w:rsid w:val="009C208B"/>
    <w:rsid w:val="009C3208"/>
    <w:rsid w:val="009C3E79"/>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A71"/>
    <w:rsid w:val="009D5E2B"/>
    <w:rsid w:val="009D5E51"/>
    <w:rsid w:val="009D6B8F"/>
    <w:rsid w:val="009D707F"/>
    <w:rsid w:val="009D7470"/>
    <w:rsid w:val="009D7AB0"/>
    <w:rsid w:val="009E01BC"/>
    <w:rsid w:val="009E09A8"/>
    <w:rsid w:val="009E2204"/>
    <w:rsid w:val="009E226A"/>
    <w:rsid w:val="009E22AB"/>
    <w:rsid w:val="009E2CC8"/>
    <w:rsid w:val="009E306D"/>
    <w:rsid w:val="009E35A3"/>
    <w:rsid w:val="009E3821"/>
    <w:rsid w:val="009E3BE9"/>
    <w:rsid w:val="009E3BFA"/>
    <w:rsid w:val="009E3ED5"/>
    <w:rsid w:val="009E411E"/>
    <w:rsid w:val="009E4890"/>
    <w:rsid w:val="009E514C"/>
    <w:rsid w:val="009E53D6"/>
    <w:rsid w:val="009E5586"/>
    <w:rsid w:val="009E5F55"/>
    <w:rsid w:val="009E6632"/>
    <w:rsid w:val="009E6944"/>
    <w:rsid w:val="009E7278"/>
    <w:rsid w:val="009E74CF"/>
    <w:rsid w:val="009E7DDB"/>
    <w:rsid w:val="009F04F4"/>
    <w:rsid w:val="009F0617"/>
    <w:rsid w:val="009F0920"/>
    <w:rsid w:val="009F1774"/>
    <w:rsid w:val="009F1A10"/>
    <w:rsid w:val="009F1AC5"/>
    <w:rsid w:val="009F294C"/>
    <w:rsid w:val="009F3208"/>
    <w:rsid w:val="009F3E04"/>
    <w:rsid w:val="009F4C59"/>
    <w:rsid w:val="009F4D97"/>
    <w:rsid w:val="009F5817"/>
    <w:rsid w:val="009F7A10"/>
    <w:rsid w:val="009F7A6F"/>
    <w:rsid w:val="00A008EA"/>
    <w:rsid w:val="00A033CE"/>
    <w:rsid w:val="00A038D0"/>
    <w:rsid w:val="00A03BA4"/>
    <w:rsid w:val="00A03BF0"/>
    <w:rsid w:val="00A04032"/>
    <w:rsid w:val="00A04A79"/>
    <w:rsid w:val="00A05979"/>
    <w:rsid w:val="00A059B9"/>
    <w:rsid w:val="00A06E1F"/>
    <w:rsid w:val="00A11C7A"/>
    <w:rsid w:val="00A13B11"/>
    <w:rsid w:val="00A156AE"/>
    <w:rsid w:val="00A16390"/>
    <w:rsid w:val="00A169AC"/>
    <w:rsid w:val="00A16D82"/>
    <w:rsid w:val="00A16EF8"/>
    <w:rsid w:val="00A2077F"/>
    <w:rsid w:val="00A20C67"/>
    <w:rsid w:val="00A20E03"/>
    <w:rsid w:val="00A22034"/>
    <w:rsid w:val="00A2257E"/>
    <w:rsid w:val="00A231FD"/>
    <w:rsid w:val="00A2378B"/>
    <w:rsid w:val="00A240B9"/>
    <w:rsid w:val="00A25302"/>
    <w:rsid w:val="00A25437"/>
    <w:rsid w:val="00A263E0"/>
    <w:rsid w:val="00A263FC"/>
    <w:rsid w:val="00A26685"/>
    <w:rsid w:val="00A26B8F"/>
    <w:rsid w:val="00A26FBA"/>
    <w:rsid w:val="00A27E95"/>
    <w:rsid w:val="00A313DD"/>
    <w:rsid w:val="00A31433"/>
    <w:rsid w:val="00A31F68"/>
    <w:rsid w:val="00A32731"/>
    <w:rsid w:val="00A33C59"/>
    <w:rsid w:val="00A34586"/>
    <w:rsid w:val="00A35515"/>
    <w:rsid w:val="00A357D6"/>
    <w:rsid w:val="00A35BF4"/>
    <w:rsid w:val="00A35E51"/>
    <w:rsid w:val="00A36465"/>
    <w:rsid w:val="00A36C39"/>
    <w:rsid w:val="00A374C5"/>
    <w:rsid w:val="00A37A78"/>
    <w:rsid w:val="00A40069"/>
    <w:rsid w:val="00A40502"/>
    <w:rsid w:val="00A40A97"/>
    <w:rsid w:val="00A41176"/>
    <w:rsid w:val="00A41C90"/>
    <w:rsid w:val="00A425F4"/>
    <w:rsid w:val="00A434AB"/>
    <w:rsid w:val="00A44235"/>
    <w:rsid w:val="00A462E4"/>
    <w:rsid w:val="00A46543"/>
    <w:rsid w:val="00A466BC"/>
    <w:rsid w:val="00A46858"/>
    <w:rsid w:val="00A47543"/>
    <w:rsid w:val="00A47A19"/>
    <w:rsid w:val="00A502D2"/>
    <w:rsid w:val="00A5136B"/>
    <w:rsid w:val="00A514C7"/>
    <w:rsid w:val="00A51E7D"/>
    <w:rsid w:val="00A52219"/>
    <w:rsid w:val="00A523BF"/>
    <w:rsid w:val="00A52A2A"/>
    <w:rsid w:val="00A53A9F"/>
    <w:rsid w:val="00A540E5"/>
    <w:rsid w:val="00A5455B"/>
    <w:rsid w:val="00A5461D"/>
    <w:rsid w:val="00A5702F"/>
    <w:rsid w:val="00A5730F"/>
    <w:rsid w:val="00A5739F"/>
    <w:rsid w:val="00A57AA1"/>
    <w:rsid w:val="00A61F90"/>
    <w:rsid w:val="00A621C8"/>
    <w:rsid w:val="00A62863"/>
    <w:rsid w:val="00A6365E"/>
    <w:rsid w:val="00A64A00"/>
    <w:rsid w:val="00A64A85"/>
    <w:rsid w:val="00A6552A"/>
    <w:rsid w:val="00A655C3"/>
    <w:rsid w:val="00A65BEA"/>
    <w:rsid w:val="00A66BB3"/>
    <w:rsid w:val="00A7011E"/>
    <w:rsid w:val="00A703CE"/>
    <w:rsid w:val="00A7080F"/>
    <w:rsid w:val="00A72169"/>
    <w:rsid w:val="00A7253D"/>
    <w:rsid w:val="00A72E27"/>
    <w:rsid w:val="00A73548"/>
    <w:rsid w:val="00A73F34"/>
    <w:rsid w:val="00A74996"/>
    <w:rsid w:val="00A755AD"/>
    <w:rsid w:val="00A75A42"/>
    <w:rsid w:val="00A75B79"/>
    <w:rsid w:val="00A761E4"/>
    <w:rsid w:val="00A769A2"/>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78F0"/>
    <w:rsid w:val="00A87C01"/>
    <w:rsid w:val="00A90906"/>
    <w:rsid w:val="00A91764"/>
    <w:rsid w:val="00A93065"/>
    <w:rsid w:val="00A9363C"/>
    <w:rsid w:val="00A93DF6"/>
    <w:rsid w:val="00A94BA5"/>
    <w:rsid w:val="00A94C61"/>
    <w:rsid w:val="00A94D91"/>
    <w:rsid w:val="00A966CE"/>
    <w:rsid w:val="00A966DE"/>
    <w:rsid w:val="00A96A4B"/>
    <w:rsid w:val="00A97FB7"/>
    <w:rsid w:val="00AA0163"/>
    <w:rsid w:val="00AA0663"/>
    <w:rsid w:val="00AA082C"/>
    <w:rsid w:val="00AA18B4"/>
    <w:rsid w:val="00AA2128"/>
    <w:rsid w:val="00AA2BAA"/>
    <w:rsid w:val="00AA30DD"/>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6D07"/>
    <w:rsid w:val="00AA75F7"/>
    <w:rsid w:val="00AA7F76"/>
    <w:rsid w:val="00AB0341"/>
    <w:rsid w:val="00AB03D8"/>
    <w:rsid w:val="00AB0555"/>
    <w:rsid w:val="00AB09FF"/>
    <w:rsid w:val="00AB0FE0"/>
    <w:rsid w:val="00AB1588"/>
    <w:rsid w:val="00AB19C7"/>
    <w:rsid w:val="00AB1B2C"/>
    <w:rsid w:val="00AB1CA6"/>
    <w:rsid w:val="00AB2A62"/>
    <w:rsid w:val="00AB4A95"/>
    <w:rsid w:val="00AB4B98"/>
    <w:rsid w:val="00AB585A"/>
    <w:rsid w:val="00AB65A3"/>
    <w:rsid w:val="00AB772F"/>
    <w:rsid w:val="00AC1C40"/>
    <w:rsid w:val="00AC1EF2"/>
    <w:rsid w:val="00AC2AD2"/>
    <w:rsid w:val="00AC31F6"/>
    <w:rsid w:val="00AC3F69"/>
    <w:rsid w:val="00AC4CED"/>
    <w:rsid w:val="00AC58CA"/>
    <w:rsid w:val="00AC5B6B"/>
    <w:rsid w:val="00AC66C2"/>
    <w:rsid w:val="00AC7A05"/>
    <w:rsid w:val="00AC7C2F"/>
    <w:rsid w:val="00AD2D07"/>
    <w:rsid w:val="00AD334B"/>
    <w:rsid w:val="00AD3CC8"/>
    <w:rsid w:val="00AD4FFA"/>
    <w:rsid w:val="00AD57E2"/>
    <w:rsid w:val="00AD5B29"/>
    <w:rsid w:val="00AD6D20"/>
    <w:rsid w:val="00AD6E55"/>
    <w:rsid w:val="00AD6E58"/>
    <w:rsid w:val="00AD7795"/>
    <w:rsid w:val="00AD7D54"/>
    <w:rsid w:val="00AE0363"/>
    <w:rsid w:val="00AE04B2"/>
    <w:rsid w:val="00AE0D42"/>
    <w:rsid w:val="00AE1D38"/>
    <w:rsid w:val="00AE24A3"/>
    <w:rsid w:val="00AE253B"/>
    <w:rsid w:val="00AE33B8"/>
    <w:rsid w:val="00AE402A"/>
    <w:rsid w:val="00AE4CE7"/>
    <w:rsid w:val="00AE53EC"/>
    <w:rsid w:val="00AE5BED"/>
    <w:rsid w:val="00AE72C8"/>
    <w:rsid w:val="00AF0D16"/>
    <w:rsid w:val="00AF0D7A"/>
    <w:rsid w:val="00AF120C"/>
    <w:rsid w:val="00AF1C10"/>
    <w:rsid w:val="00AF20BF"/>
    <w:rsid w:val="00AF21AB"/>
    <w:rsid w:val="00AF23AC"/>
    <w:rsid w:val="00AF29DD"/>
    <w:rsid w:val="00AF2D8F"/>
    <w:rsid w:val="00AF2DE7"/>
    <w:rsid w:val="00AF3DBB"/>
    <w:rsid w:val="00AF4C2F"/>
    <w:rsid w:val="00AF5BDA"/>
    <w:rsid w:val="00AF5F61"/>
    <w:rsid w:val="00AF79E7"/>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712"/>
    <w:rsid w:val="00B172AD"/>
    <w:rsid w:val="00B2060B"/>
    <w:rsid w:val="00B216A1"/>
    <w:rsid w:val="00B216F1"/>
    <w:rsid w:val="00B231EE"/>
    <w:rsid w:val="00B2323C"/>
    <w:rsid w:val="00B23BC9"/>
    <w:rsid w:val="00B2400D"/>
    <w:rsid w:val="00B24653"/>
    <w:rsid w:val="00B2491D"/>
    <w:rsid w:val="00B24AC5"/>
    <w:rsid w:val="00B24F03"/>
    <w:rsid w:val="00B250AA"/>
    <w:rsid w:val="00B252F0"/>
    <w:rsid w:val="00B25632"/>
    <w:rsid w:val="00B25EF3"/>
    <w:rsid w:val="00B266C3"/>
    <w:rsid w:val="00B30117"/>
    <w:rsid w:val="00B30E74"/>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95"/>
    <w:rsid w:val="00B421EA"/>
    <w:rsid w:val="00B429F0"/>
    <w:rsid w:val="00B42CAB"/>
    <w:rsid w:val="00B43715"/>
    <w:rsid w:val="00B4415C"/>
    <w:rsid w:val="00B44D10"/>
    <w:rsid w:val="00B451DD"/>
    <w:rsid w:val="00B46176"/>
    <w:rsid w:val="00B508F5"/>
    <w:rsid w:val="00B512A8"/>
    <w:rsid w:val="00B51748"/>
    <w:rsid w:val="00B5217E"/>
    <w:rsid w:val="00B52D50"/>
    <w:rsid w:val="00B53CC3"/>
    <w:rsid w:val="00B546EA"/>
    <w:rsid w:val="00B5627B"/>
    <w:rsid w:val="00B56D67"/>
    <w:rsid w:val="00B570A2"/>
    <w:rsid w:val="00B572E9"/>
    <w:rsid w:val="00B574F2"/>
    <w:rsid w:val="00B60734"/>
    <w:rsid w:val="00B622CE"/>
    <w:rsid w:val="00B62598"/>
    <w:rsid w:val="00B632F2"/>
    <w:rsid w:val="00B6449A"/>
    <w:rsid w:val="00B65517"/>
    <w:rsid w:val="00B65E35"/>
    <w:rsid w:val="00B66EFF"/>
    <w:rsid w:val="00B6716E"/>
    <w:rsid w:val="00B71A15"/>
    <w:rsid w:val="00B7245D"/>
    <w:rsid w:val="00B734AA"/>
    <w:rsid w:val="00B75512"/>
    <w:rsid w:val="00B75AE7"/>
    <w:rsid w:val="00B75D7C"/>
    <w:rsid w:val="00B7675C"/>
    <w:rsid w:val="00B76913"/>
    <w:rsid w:val="00B76945"/>
    <w:rsid w:val="00B7736D"/>
    <w:rsid w:val="00B77578"/>
    <w:rsid w:val="00B80F0C"/>
    <w:rsid w:val="00B81577"/>
    <w:rsid w:val="00B8185B"/>
    <w:rsid w:val="00B83392"/>
    <w:rsid w:val="00B8392B"/>
    <w:rsid w:val="00B83D63"/>
    <w:rsid w:val="00B847A2"/>
    <w:rsid w:val="00B8545C"/>
    <w:rsid w:val="00B86055"/>
    <w:rsid w:val="00B86280"/>
    <w:rsid w:val="00B86D0A"/>
    <w:rsid w:val="00B87745"/>
    <w:rsid w:val="00B913C9"/>
    <w:rsid w:val="00B91537"/>
    <w:rsid w:val="00B915AC"/>
    <w:rsid w:val="00B91827"/>
    <w:rsid w:val="00B91848"/>
    <w:rsid w:val="00B92049"/>
    <w:rsid w:val="00B92A20"/>
    <w:rsid w:val="00B933CA"/>
    <w:rsid w:val="00B93B2A"/>
    <w:rsid w:val="00B93B4E"/>
    <w:rsid w:val="00B93F7A"/>
    <w:rsid w:val="00B94213"/>
    <w:rsid w:val="00B949C6"/>
    <w:rsid w:val="00B94B4C"/>
    <w:rsid w:val="00B96231"/>
    <w:rsid w:val="00B96D52"/>
    <w:rsid w:val="00B977A7"/>
    <w:rsid w:val="00B97ED4"/>
    <w:rsid w:val="00BA024C"/>
    <w:rsid w:val="00BA13E0"/>
    <w:rsid w:val="00BA250E"/>
    <w:rsid w:val="00BA32B0"/>
    <w:rsid w:val="00BA492A"/>
    <w:rsid w:val="00BA602B"/>
    <w:rsid w:val="00BA69B0"/>
    <w:rsid w:val="00BA6D98"/>
    <w:rsid w:val="00BA7381"/>
    <w:rsid w:val="00BA7585"/>
    <w:rsid w:val="00BA7D0F"/>
    <w:rsid w:val="00BB14E9"/>
    <w:rsid w:val="00BB1A07"/>
    <w:rsid w:val="00BB23C2"/>
    <w:rsid w:val="00BB340F"/>
    <w:rsid w:val="00BB39F9"/>
    <w:rsid w:val="00BB3AE4"/>
    <w:rsid w:val="00BB3EF6"/>
    <w:rsid w:val="00BB4988"/>
    <w:rsid w:val="00BB4F1A"/>
    <w:rsid w:val="00BB528E"/>
    <w:rsid w:val="00BB68D2"/>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55E6"/>
    <w:rsid w:val="00BC61B0"/>
    <w:rsid w:val="00BC66F6"/>
    <w:rsid w:val="00BC6944"/>
    <w:rsid w:val="00BC6F03"/>
    <w:rsid w:val="00BD0350"/>
    <w:rsid w:val="00BD10C4"/>
    <w:rsid w:val="00BD1943"/>
    <w:rsid w:val="00BD30FA"/>
    <w:rsid w:val="00BD4CC7"/>
    <w:rsid w:val="00BD4D60"/>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A56"/>
    <w:rsid w:val="00BF6E08"/>
    <w:rsid w:val="00BF6FDE"/>
    <w:rsid w:val="00BF70AB"/>
    <w:rsid w:val="00BF7C09"/>
    <w:rsid w:val="00BF7FE2"/>
    <w:rsid w:val="00C005FF"/>
    <w:rsid w:val="00C012DB"/>
    <w:rsid w:val="00C0139B"/>
    <w:rsid w:val="00C01434"/>
    <w:rsid w:val="00C02280"/>
    <w:rsid w:val="00C02966"/>
    <w:rsid w:val="00C02E6D"/>
    <w:rsid w:val="00C0306D"/>
    <w:rsid w:val="00C03133"/>
    <w:rsid w:val="00C031A7"/>
    <w:rsid w:val="00C0324B"/>
    <w:rsid w:val="00C035B0"/>
    <w:rsid w:val="00C0375D"/>
    <w:rsid w:val="00C06417"/>
    <w:rsid w:val="00C070DE"/>
    <w:rsid w:val="00C07414"/>
    <w:rsid w:val="00C078EE"/>
    <w:rsid w:val="00C07BC3"/>
    <w:rsid w:val="00C106E7"/>
    <w:rsid w:val="00C10C58"/>
    <w:rsid w:val="00C10C5E"/>
    <w:rsid w:val="00C11150"/>
    <w:rsid w:val="00C112EC"/>
    <w:rsid w:val="00C11A34"/>
    <w:rsid w:val="00C11F3E"/>
    <w:rsid w:val="00C1275E"/>
    <w:rsid w:val="00C12C5E"/>
    <w:rsid w:val="00C12D0D"/>
    <w:rsid w:val="00C13768"/>
    <w:rsid w:val="00C14DA0"/>
    <w:rsid w:val="00C14DFB"/>
    <w:rsid w:val="00C15068"/>
    <w:rsid w:val="00C1671F"/>
    <w:rsid w:val="00C16964"/>
    <w:rsid w:val="00C16B54"/>
    <w:rsid w:val="00C2115F"/>
    <w:rsid w:val="00C2181F"/>
    <w:rsid w:val="00C22B87"/>
    <w:rsid w:val="00C23364"/>
    <w:rsid w:val="00C234DF"/>
    <w:rsid w:val="00C2391D"/>
    <w:rsid w:val="00C23BA6"/>
    <w:rsid w:val="00C23C13"/>
    <w:rsid w:val="00C2410D"/>
    <w:rsid w:val="00C24887"/>
    <w:rsid w:val="00C24C37"/>
    <w:rsid w:val="00C24C8B"/>
    <w:rsid w:val="00C24CB1"/>
    <w:rsid w:val="00C24EBB"/>
    <w:rsid w:val="00C251EB"/>
    <w:rsid w:val="00C25652"/>
    <w:rsid w:val="00C259AB"/>
    <w:rsid w:val="00C26156"/>
    <w:rsid w:val="00C26F9C"/>
    <w:rsid w:val="00C279FA"/>
    <w:rsid w:val="00C30E3A"/>
    <w:rsid w:val="00C32D2B"/>
    <w:rsid w:val="00C33393"/>
    <w:rsid w:val="00C343C2"/>
    <w:rsid w:val="00C3589E"/>
    <w:rsid w:val="00C37148"/>
    <w:rsid w:val="00C375B0"/>
    <w:rsid w:val="00C40086"/>
    <w:rsid w:val="00C40A5B"/>
    <w:rsid w:val="00C40C9B"/>
    <w:rsid w:val="00C4275F"/>
    <w:rsid w:val="00C4320A"/>
    <w:rsid w:val="00C43631"/>
    <w:rsid w:val="00C4371A"/>
    <w:rsid w:val="00C43748"/>
    <w:rsid w:val="00C437DB"/>
    <w:rsid w:val="00C43A15"/>
    <w:rsid w:val="00C4473A"/>
    <w:rsid w:val="00C44A94"/>
    <w:rsid w:val="00C44F4F"/>
    <w:rsid w:val="00C476C3"/>
    <w:rsid w:val="00C47881"/>
    <w:rsid w:val="00C47CA2"/>
    <w:rsid w:val="00C504ED"/>
    <w:rsid w:val="00C50C56"/>
    <w:rsid w:val="00C51375"/>
    <w:rsid w:val="00C52716"/>
    <w:rsid w:val="00C52E42"/>
    <w:rsid w:val="00C53F3C"/>
    <w:rsid w:val="00C54175"/>
    <w:rsid w:val="00C54206"/>
    <w:rsid w:val="00C54958"/>
    <w:rsid w:val="00C54B4B"/>
    <w:rsid w:val="00C55A4C"/>
    <w:rsid w:val="00C55EC9"/>
    <w:rsid w:val="00C55FB1"/>
    <w:rsid w:val="00C60680"/>
    <w:rsid w:val="00C607BC"/>
    <w:rsid w:val="00C6088A"/>
    <w:rsid w:val="00C61011"/>
    <w:rsid w:val="00C61B6D"/>
    <w:rsid w:val="00C61DE6"/>
    <w:rsid w:val="00C62DED"/>
    <w:rsid w:val="00C63E97"/>
    <w:rsid w:val="00C64416"/>
    <w:rsid w:val="00C6492E"/>
    <w:rsid w:val="00C649DC"/>
    <w:rsid w:val="00C64E0E"/>
    <w:rsid w:val="00C64E68"/>
    <w:rsid w:val="00C65106"/>
    <w:rsid w:val="00C6709C"/>
    <w:rsid w:val="00C67631"/>
    <w:rsid w:val="00C705AF"/>
    <w:rsid w:val="00C70895"/>
    <w:rsid w:val="00C70DA2"/>
    <w:rsid w:val="00C7192D"/>
    <w:rsid w:val="00C71B1C"/>
    <w:rsid w:val="00C7205A"/>
    <w:rsid w:val="00C7248E"/>
    <w:rsid w:val="00C72649"/>
    <w:rsid w:val="00C73739"/>
    <w:rsid w:val="00C74F4B"/>
    <w:rsid w:val="00C75017"/>
    <w:rsid w:val="00C75196"/>
    <w:rsid w:val="00C752B1"/>
    <w:rsid w:val="00C7585B"/>
    <w:rsid w:val="00C75A0F"/>
    <w:rsid w:val="00C764E9"/>
    <w:rsid w:val="00C766E8"/>
    <w:rsid w:val="00C76BD0"/>
    <w:rsid w:val="00C7784C"/>
    <w:rsid w:val="00C779D8"/>
    <w:rsid w:val="00C77C64"/>
    <w:rsid w:val="00C77EED"/>
    <w:rsid w:val="00C77F97"/>
    <w:rsid w:val="00C81796"/>
    <w:rsid w:val="00C82171"/>
    <w:rsid w:val="00C8287F"/>
    <w:rsid w:val="00C828E2"/>
    <w:rsid w:val="00C8357D"/>
    <w:rsid w:val="00C83C69"/>
    <w:rsid w:val="00C840AD"/>
    <w:rsid w:val="00C842A8"/>
    <w:rsid w:val="00C8433A"/>
    <w:rsid w:val="00C845AF"/>
    <w:rsid w:val="00C87D9F"/>
    <w:rsid w:val="00C9174E"/>
    <w:rsid w:val="00C92753"/>
    <w:rsid w:val="00C92E7A"/>
    <w:rsid w:val="00C92F8B"/>
    <w:rsid w:val="00C930F0"/>
    <w:rsid w:val="00C9331A"/>
    <w:rsid w:val="00C93A4E"/>
    <w:rsid w:val="00C969AE"/>
    <w:rsid w:val="00C96A28"/>
    <w:rsid w:val="00CA0567"/>
    <w:rsid w:val="00CA092A"/>
    <w:rsid w:val="00CA0C90"/>
    <w:rsid w:val="00CA1AEA"/>
    <w:rsid w:val="00CA1FBB"/>
    <w:rsid w:val="00CA27CC"/>
    <w:rsid w:val="00CA2A05"/>
    <w:rsid w:val="00CA3585"/>
    <w:rsid w:val="00CA522B"/>
    <w:rsid w:val="00CA5572"/>
    <w:rsid w:val="00CA5AD4"/>
    <w:rsid w:val="00CA5F54"/>
    <w:rsid w:val="00CA6BE6"/>
    <w:rsid w:val="00CA7128"/>
    <w:rsid w:val="00CA7592"/>
    <w:rsid w:val="00CA7A9B"/>
    <w:rsid w:val="00CA7D58"/>
    <w:rsid w:val="00CB0709"/>
    <w:rsid w:val="00CB10DF"/>
    <w:rsid w:val="00CB1447"/>
    <w:rsid w:val="00CB1F78"/>
    <w:rsid w:val="00CB2585"/>
    <w:rsid w:val="00CB382E"/>
    <w:rsid w:val="00CB398C"/>
    <w:rsid w:val="00CB3AA9"/>
    <w:rsid w:val="00CB3ADC"/>
    <w:rsid w:val="00CB42C5"/>
    <w:rsid w:val="00CB4668"/>
    <w:rsid w:val="00CB5F5A"/>
    <w:rsid w:val="00CB6AA7"/>
    <w:rsid w:val="00CC18B5"/>
    <w:rsid w:val="00CC2B18"/>
    <w:rsid w:val="00CC30F3"/>
    <w:rsid w:val="00CC3395"/>
    <w:rsid w:val="00CC34D2"/>
    <w:rsid w:val="00CC3962"/>
    <w:rsid w:val="00CC640C"/>
    <w:rsid w:val="00CC6AAA"/>
    <w:rsid w:val="00CC6AD5"/>
    <w:rsid w:val="00CC6D78"/>
    <w:rsid w:val="00CC6F92"/>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429C"/>
    <w:rsid w:val="00CE5134"/>
    <w:rsid w:val="00CE5562"/>
    <w:rsid w:val="00CE557C"/>
    <w:rsid w:val="00CE5C0D"/>
    <w:rsid w:val="00CE66BD"/>
    <w:rsid w:val="00CE77B3"/>
    <w:rsid w:val="00CF099D"/>
    <w:rsid w:val="00CF26F5"/>
    <w:rsid w:val="00CF2931"/>
    <w:rsid w:val="00CF3163"/>
    <w:rsid w:val="00CF364C"/>
    <w:rsid w:val="00CF3B7A"/>
    <w:rsid w:val="00CF3F2F"/>
    <w:rsid w:val="00CF45F7"/>
    <w:rsid w:val="00CF66C5"/>
    <w:rsid w:val="00CF7F6D"/>
    <w:rsid w:val="00D003D8"/>
    <w:rsid w:val="00D005C9"/>
    <w:rsid w:val="00D007D4"/>
    <w:rsid w:val="00D00D15"/>
    <w:rsid w:val="00D00E93"/>
    <w:rsid w:val="00D00F41"/>
    <w:rsid w:val="00D01C02"/>
    <w:rsid w:val="00D03611"/>
    <w:rsid w:val="00D037A5"/>
    <w:rsid w:val="00D03B37"/>
    <w:rsid w:val="00D04114"/>
    <w:rsid w:val="00D04599"/>
    <w:rsid w:val="00D04D97"/>
    <w:rsid w:val="00D0527D"/>
    <w:rsid w:val="00D06AA0"/>
    <w:rsid w:val="00D10759"/>
    <w:rsid w:val="00D11171"/>
    <w:rsid w:val="00D11357"/>
    <w:rsid w:val="00D113BC"/>
    <w:rsid w:val="00D118C1"/>
    <w:rsid w:val="00D118C4"/>
    <w:rsid w:val="00D118DF"/>
    <w:rsid w:val="00D1300F"/>
    <w:rsid w:val="00D13806"/>
    <w:rsid w:val="00D13D25"/>
    <w:rsid w:val="00D14256"/>
    <w:rsid w:val="00D14EEA"/>
    <w:rsid w:val="00D15460"/>
    <w:rsid w:val="00D1590B"/>
    <w:rsid w:val="00D15BFA"/>
    <w:rsid w:val="00D16092"/>
    <w:rsid w:val="00D1622D"/>
    <w:rsid w:val="00D16387"/>
    <w:rsid w:val="00D16622"/>
    <w:rsid w:val="00D16856"/>
    <w:rsid w:val="00D16B6B"/>
    <w:rsid w:val="00D1776E"/>
    <w:rsid w:val="00D17BCE"/>
    <w:rsid w:val="00D17D77"/>
    <w:rsid w:val="00D2079E"/>
    <w:rsid w:val="00D212CF"/>
    <w:rsid w:val="00D22087"/>
    <w:rsid w:val="00D22374"/>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E86"/>
    <w:rsid w:val="00D42AE1"/>
    <w:rsid w:val="00D4309C"/>
    <w:rsid w:val="00D436E7"/>
    <w:rsid w:val="00D44DA4"/>
    <w:rsid w:val="00D4538B"/>
    <w:rsid w:val="00D463FC"/>
    <w:rsid w:val="00D47280"/>
    <w:rsid w:val="00D47335"/>
    <w:rsid w:val="00D503B8"/>
    <w:rsid w:val="00D50A26"/>
    <w:rsid w:val="00D52CA8"/>
    <w:rsid w:val="00D53012"/>
    <w:rsid w:val="00D5382E"/>
    <w:rsid w:val="00D546AA"/>
    <w:rsid w:val="00D549A9"/>
    <w:rsid w:val="00D55725"/>
    <w:rsid w:val="00D5691F"/>
    <w:rsid w:val="00D57416"/>
    <w:rsid w:val="00D61936"/>
    <w:rsid w:val="00D62DD4"/>
    <w:rsid w:val="00D62E80"/>
    <w:rsid w:val="00D6306D"/>
    <w:rsid w:val="00D637AA"/>
    <w:rsid w:val="00D63A97"/>
    <w:rsid w:val="00D63C8D"/>
    <w:rsid w:val="00D6453B"/>
    <w:rsid w:val="00D6457D"/>
    <w:rsid w:val="00D66C84"/>
    <w:rsid w:val="00D6721C"/>
    <w:rsid w:val="00D673E9"/>
    <w:rsid w:val="00D677AD"/>
    <w:rsid w:val="00D6795B"/>
    <w:rsid w:val="00D70346"/>
    <w:rsid w:val="00D708E2"/>
    <w:rsid w:val="00D71008"/>
    <w:rsid w:val="00D71313"/>
    <w:rsid w:val="00D73535"/>
    <w:rsid w:val="00D73796"/>
    <w:rsid w:val="00D737D0"/>
    <w:rsid w:val="00D75A31"/>
    <w:rsid w:val="00D779FC"/>
    <w:rsid w:val="00D805D8"/>
    <w:rsid w:val="00D80926"/>
    <w:rsid w:val="00D80B2D"/>
    <w:rsid w:val="00D81923"/>
    <w:rsid w:val="00D82CCC"/>
    <w:rsid w:val="00D841D5"/>
    <w:rsid w:val="00D866DD"/>
    <w:rsid w:val="00D868F5"/>
    <w:rsid w:val="00D86DA8"/>
    <w:rsid w:val="00D878A5"/>
    <w:rsid w:val="00D87C04"/>
    <w:rsid w:val="00D87CE8"/>
    <w:rsid w:val="00D87D70"/>
    <w:rsid w:val="00D87EC1"/>
    <w:rsid w:val="00D91249"/>
    <w:rsid w:val="00D9151B"/>
    <w:rsid w:val="00D91AFD"/>
    <w:rsid w:val="00D92297"/>
    <w:rsid w:val="00D923EE"/>
    <w:rsid w:val="00D926A5"/>
    <w:rsid w:val="00D928C3"/>
    <w:rsid w:val="00D92D7E"/>
    <w:rsid w:val="00D930FE"/>
    <w:rsid w:val="00D9322C"/>
    <w:rsid w:val="00D936A4"/>
    <w:rsid w:val="00D93A06"/>
    <w:rsid w:val="00D94301"/>
    <w:rsid w:val="00D94605"/>
    <w:rsid w:val="00D948F4"/>
    <w:rsid w:val="00D95153"/>
    <w:rsid w:val="00D96283"/>
    <w:rsid w:val="00D96926"/>
    <w:rsid w:val="00D97256"/>
    <w:rsid w:val="00DA00B6"/>
    <w:rsid w:val="00DA1C7A"/>
    <w:rsid w:val="00DA2758"/>
    <w:rsid w:val="00DA3EC9"/>
    <w:rsid w:val="00DA3F15"/>
    <w:rsid w:val="00DA4123"/>
    <w:rsid w:val="00DA4247"/>
    <w:rsid w:val="00DA44B4"/>
    <w:rsid w:val="00DA5516"/>
    <w:rsid w:val="00DA574F"/>
    <w:rsid w:val="00DA6AC9"/>
    <w:rsid w:val="00DB187C"/>
    <w:rsid w:val="00DB1F26"/>
    <w:rsid w:val="00DB2C18"/>
    <w:rsid w:val="00DB36A2"/>
    <w:rsid w:val="00DB38EF"/>
    <w:rsid w:val="00DB4276"/>
    <w:rsid w:val="00DB47F1"/>
    <w:rsid w:val="00DB5094"/>
    <w:rsid w:val="00DB6B5F"/>
    <w:rsid w:val="00DB6FD4"/>
    <w:rsid w:val="00DC0076"/>
    <w:rsid w:val="00DC19C3"/>
    <w:rsid w:val="00DC1D6B"/>
    <w:rsid w:val="00DC3009"/>
    <w:rsid w:val="00DC36B9"/>
    <w:rsid w:val="00DC3F5E"/>
    <w:rsid w:val="00DC43FB"/>
    <w:rsid w:val="00DC6002"/>
    <w:rsid w:val="00DC626F"/>
    <w:rsid w:val="00DC67FC"/>
    <w:rsid w:val="00DC6E6F"/>
    <w:rsid w:val="00DC70CA"/>
    <w:rsid w:val="00DC71D8"/>
    <w:rsid w:val="00DC753A"/>
    <w:rsid w:val="00DC7A73"/>
    <w:rsid w:val="00DD08DD"/>
    <w:rsid w:val="00DD091F"/>
    <w:rsid w:val="00DD136E"/>
    <w:rsid w:val="00DD29FE"/>
    <w:rsid w:val="00DD315A"/>
    <w:rsid w:val="00DD3283"/>
    <w:rsid w:val="00DD5A71"/>
    <w:rsid w:val="00DD6565"/>
    <w:rsid w:val="00DD6FB9"/>
    <w:rsid w:val="00DD6FF6"/>
    <w:rsid w:val="00DD7213"/>
    <w:rsid w:val="00DD73EF"/>
    <w:rsid w:val="00DD7624"/>
    <w:rsid w:val="00DD7B4F"/>
    <w:rsid w:val="00DE112F"/>
    <w:rsid w:val="00DE19BA"/>
    <w:rsid w:val="00DE1E21"/>
    <w:rsid w:val="00DE2144"/>
    <w:rsid w:val="00DE3037"/>
    <w:rsid w:val="00DE337B"/>
    <w:rsid w:val="00DE3926"/>
    <w:rsid w:val="00DE407A"/>
    <w:rsid w:val="00DE543E"/>
    <w:rsid w:val="00DE5D72"/>
    <w:rsid w:val="00DE63FC"/>
    <w:rsid w:val="00DE6B99"/>
    <w:rsid w:val="00DF0ED1"/>
    <w:rsid w:val="00DF1670"/>
    <w:rsid w:val="00DF2846"/>
    <w:rsid w:val="00DF2A30"/>
    <w:rsid w:val="00DF2F77"/>
    <w:rsid w:val="00DF322F"/>
    <w:rsid w:val="00DF36B9"/>
    <w:rsid w:val="00DF42D6"/>
    <w:rsid w:val="00DF494C"/>
    <w:rsid w:val="00DF530B"/>
    <w:rsid w:val="00DF57A6"/>
    <w:rsid w:val="00DF6606"/>
    <w:rsid w:val="00DF7B7D"/>
    <w:rsid w:val="00DF7F12"/>
    <w:rsid w:val="00E00601"/>
    <w:rsid w:val="00E01AA3"/>
    <w:rsid w:val="00E01FB2"/>
    <w:rsid w:val="00E02F34"/>
    <w:rsid w:val="00E03418"/>
    <w:rsid w:val="00E06A25"/>
    <w:rsid w:val="00E10168"/>
    <w:rsid w:val="00E11964"/>
    <w:rsid w:val="00E11D16"/>
    <w:rsid w:val="00E11F51"/>
    <w:rsid w:val="00E124CD"/>
    <w:rsid w:val="00E12CAB"/>
    <w:rsid w:val="00E13D12"/>
    <w:rsid w:val="00E13FC7"/>
    <w:rsid w:val="00E14246"/>
    <w:rsid w:val="00E14886"/>
    <w:rsid w:val="00E14B45"/>
    <w:rsid w:val="00E14F85"/>
    <w:rsid w:val="00E15324"/>
    <w:rsid w:val="00E16ED0"/>
    <w:rsid w:val="00E178D8"/>
    <w:rsid w:val="00E20030"/>
    <w:rsid w:val="00E201AE"/>
    <w:rsid w:val="00E20913"/>
    <w:rsid w:val="00E2095E"/>
    <w:rsid w:val="00E20A20"/>
    <w:rsid w:val="00E22148"/>
    <w:rsid w:val="00E22A4C"/>
    <w:rsid w:val="00E23BA7"/>
    <w:rsid w:val="00E252B8"/>
    <w:rsid w:val="00E25311"/>
    <w:rsid w:val="00E27005"/>
    <w:rsid w:val="00E275E0"/>
    <w:rsid w:val="00E27854"/>
    <w:rsid w:val="00E30111"/>
    <w:rsid w:val="00E30379"/>
    <w:rsid w:val="00E30704"/>
    <w:rsid w:val="00E30FC4"/>
    <w:rsid w:val="00E31539"/>
    <w:rsid w:val="00E31FCD"/>
    <w:rsid w:val="00E326D5"/>
    <w:rsid w:val="00E32716"/>
    <w:rsid w:val="00E32730"/>
    <w:rsid w:val="00E33AE9"/>
    <w:rsid w:val="00E33CF0"/>
    <w:rsid w:val="00E344AA"/>
    <w:rsid w:val="00E3478C"/>
    <w:rsid w:val="00E34AE0"/>
    <w:rsid w:val="00E35A0B"/>
    <w:rsid w:val="00E40027"/>
    <w:rsid w:val="00E40F7A"/>
    <w:rsid w:val="00E41024"/>
    <w:rsid w:val="00E41E40"/>
    <w:rsid w:val="00E428FF"/>
    <w:rsid w:val="00E42B4A"/>
    <w:rsid w:val="00E43471"/>
    <w:rsid w:val="00E4464A"/>
    <w:rsid w:val="00E45A77"/>
    <w:rsid w:val="00E45CC8"/>
    <w:rsid w:val="00E473E7"/>
    <w:rsid w:val="00E47D23"/>
    <w:rsid w:val="00E50FA7"/>
    <w:rsid w:val="00E52120"/>
    <w:rsid w:val="00E527DB"/>
    <w:rsid w:val="00E52A96"/>
    <w:rsid w:val="00E52BCA"/>
    <w:rsid w:val="00E53673"/>
    <w:rsid w:val="00E5433A"/>
    <w:rsid w:val="00E54D58"/>
    <w:rsid w:val="00E552ED"/>
    <w:rsid w:val="00E558B9"/>
    <w:rsid w:val="00E56A9B"/>
    <w:rsid w:val="00E56CC2"/>
    <w:rsid w:val="00E60187"/>
    <w:rsid w:val="00E605A2"/>
    <w:rsid w:val="00E6065D"/>
    <w:rsid w:val="00E60FAA"/>
    <w:rsid w:val="00E62207"/>
    <w:rsid w:val="00E62BB1"/>
    <w:rsid w:val="00E639A8"/>
    <w:rsid w:val="00E63E2E"/>
    <w:rsid w:val="00E64548"/>
    <w:rsid w:val="00E667F3"/>
    <w:rsid w:val="00E67D25"/>
    <w:rsid w:val="00E67E1C"/>
    <w:rsid w:val="00E700C1"/>
    <w:rsid w:val="00E70E2E"/>
    <w:rsid w:val="00E7103A"/>
    <w:rsid w:val="00E71663"/>
    <w:rsid w:val="00E71783"/>
    <w:rsid w:val="00E72E14"/>
    <w:rsid w:val="00E732BC"/>
    <w:rsid w:val="00E73CF6"/>
    <w:rsid w:val="00E73F90"/>
    <w:rsid w:val="00E74E4A"/>
    <w:rsid w:val="00E75245"/>
    <w:rsid w:val="00E76FA9"/>
    <w:rsid w:val="00E7710C"/>
    <w:rsid w:val="00E77508"/>
    <w:rsid w:val="00E803D5"/>
    <w:rsid w:val="00E804C5"/>
    <w:rsid w:val="00E808FC"/>
    <w:rsid w:val="00E80D8D"/>
    <w:rsid w:val="00E80DD2"/>
    <w:rsid w:val="00E82160"/>
    <w:rsid w:val="00E824B8"/>
    <w:rsid w:val="00E82EB1"/>
    <w:rsid w:val="00E83ECB"/>
    <w:rsid w:val="00E84406"/>
    <w:rsid w:val="00E84878"/>
    <w:rsid w:val="00E85CFF"/>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24B2"/>
    <w:rsid w:val="00EA293D"/>
    <w:rsid w:val="00EA3448"/>
    <w:rsid w:val="00EA43EB"/>
    <w:rsid w:val="00EA5EED"/>
    <w:rsid w:val="00EA6069"/>
    <w:rsid w:val="00EA6445"/>
    <w:rsid w:val="00EA6A52"/>
    <w:rsid w:val="00EA76F5"/>
    <w:rsid w:val="00EA7B3B"/>
    <w:rsid w:val="00EA7E3F"/>
    <w:rsid w:val="00EA7E81"/>
    <w:rsid w:val="00EB1576"/>
    <w:rsid w:val="00EB184D"/>
    <w:rsid w:val="00EB2082"/>
    <w:rsid w:val="00EB4F77"/>
    <w:rsid w:val="00EB5733"/>
    <w:rsid w:val="00EB7272"/>
    <w:rsid w:val="00EC0F55"/>
    <w:rsid w:val="00EC1934"/>
    <w:rsid w:val="00EC2719"/>
    <w:rsid w:val="00EC4FB2"/>
    <w:rsid w:val="00EC5CFF"/>
    <w:rsid w:val="00ED06C9"/>
    <w:rsid w:val="00ED19EC"/>
    <w:rsid w:val="00ED2E30"/>
    <w:rsid w:val="00ED395D"/>
    <w:rsid w:val="00ED45A0"/>
    <w:rsid w:val="00ED4C30"/>
    <w:rsid w:val="00ED5730"/>
    <w:rsid w:val="00ED6056"/>
    <w:rsid w:val="00ED63E0"/>
    <w:rsid w:val="00EE0486"/>
    <w:rsid w:val="00EE198F"/>
    <w:rsid w:val="00EE28FD"/>
    <w:rsid w:val="00EE5950"/>
    <w:rsid w:val="00EE7609"/>
    <w:rsid w:val="00EE7967"/>
    <w:rsid w:val="00EF0F32"/>
    <w:rsid w:val="00EF1508"/>
    <w:rsid w:val="00EF26E5"/>
    <w:rsid w:val="00EF4126"/>
    <w:rsid w:val="00EF42FF"/>
    <w:rsid w:val="00EF5082"/>
    <w:rsid w:val="00EF6A3C"/>
    <w:rsid w:val="00EF6C9B"/>
    <w:rsid w:val="00F0019E"/>
    <w:rsid w:val="00F00200"/>
    <w:rsid w:val="00F0111E"/>
    <w:rsid w:val="00F01441"/>
    <w:rsid w:val="00F01862"/>
    <w:rsid w:val="00F02238"/>
    <w:rsid w:val="00F034F9"/>
    <w:rsid w:val="00F04C12"/>
    <w:rsid w:val="00F0573A"/>
    <w:rsid w:val="00F05B39"/>
    <w:rsid w:val="00F05BE0"/>
    <w:rsid w:val="00F0795E"/>
    <w:rsid w:val="00F100F1"/>
    <w:rsid w:val="00F10C20"/>
    <w:rsid w:val="00F11436"/>
    <w:rsid w:val="00F11BC2"/>
    <w:rsid w:val="00F12215"/>
    <w:rsid w:val="00F12842"/>
    <w:rsid w:val="00F13FDB"/>
    <w:rsid w:val="00F1408D"/>
    <w:rsid w:val="00F144C2"/>
    <w:rsid w:val="00F15540"/>
    <w:rsid w:val="00F16089"/>
    <w:rsid w:val="00F209DF"/>
    <w:rsid w:val="00F20BA9"/>
    <w:rsid w:val="00F23082"/>
    <w:rsid w:val="00F24200"/>
    <w:rsid w:val="00F24E4A"/>
    <w:rsid w:val="00F25466"/>
    <w:rsid w:val="00F2619B"/>
    <w:rsid w:val="00F261FB"/>
    <w:rsid w:val="00F2620E"/>
    <w:rsid w:val="00F26BCA"/>
    <w:rsid w:val="00F27269"/>
    <w:rsid w:val="00F276EC"/>
    <w:rsid w:val="00F3012A"/>
    <w:rsid w:val="00F302BB"/>
    <w:rsid w:val="00F30CDB"/>
    <w:rsid w:val="00F31402"/>
    <w:rsid w:val="00F3164A"/>
    <w:rsid w:val="00F31DAD"/>
    <w:rsid w:val="00F33078"/>
    <w:rsid w:val="00F3362F"/>
    <w:rsid w:val="00F33A2E"/>
    <w:rsid w:val="00F34341"/>
    <w:rsid w:val="00F34678"/>
    <w:rsid w:val="00F34AA0"/>
    <w:rsid w:val="00F3597D"/>
    <w:rsid w:val="00F3601A"/>
    <w:rsid w:val="00F36A79"/>
    <w:rsid w:val="00F3762E"/>
    <w:rsid w:val="00F400EB"/>
    <w:rsid w:val="00F40CC2"/>
    <w:rsid w:val="00F41856"/>
    <w:rsid w:val="00F41A0C"/>
    <w:rsid w:val="00F42612"/>
    <w:rsid w:val="00F44272"/>
    <w:rsid w:val="00F44924"/>
    <w:rsid w:val="00F44BA0"/>
    <w:rsid w:val="00F44EBB"/>
    <w:rsid w:val="00F45520"/>
    <w:rsid w:val="00F457D1"/>
    <w:rsid w:val="00F46497"/>
    <w:rsid w:val="00F47072"/>
    <w:rsid w:val="00F471C0"/>
    <w:rsid w:val="00F47662"/>
    <w:rsid w:val="00F479F0"/>
    <w:rsid w:val="00F505D7"/>
    <w:rsid w:val="00F50A7D"/>
    <w:rsid w:val="00F50CCB"/>
    <w:rsid w:val="00F52E12"/>
    <w:rsid w:val="00F541A4"/>
    <w:rsid w:val="00F5612E"/>
    <w:rsid w:val="00F57C87"/>
    <w:rsid w:val="00F601E6"/>
    <w:rsid w:val="00F6114C"/>
    <w:rsid w:val="00F61980"/>
    <w:rsid w:val="00F61BA1"/>
    <w:rsid w:val="00F622A9"/>
    <w:rsid w:val="00F63EAC"/>
    <w:rsid w:val="00F644BE"/>
    <w:rsid w:val="00F64CC7"/>
    <w:rsid w:val="00F64E41"/>
    <w:rsid w:val="00F6505E"/>
    <w:rsid w:val="00F6620E"/>
    <w:rsid w:val="00F66834"/>
    <w:rsid w:val="00F67397"/>
    <w:rsid w:val="00F6776C"/>
    <w:rsid w:val="00F70417"/>
    <w:rsid w:val="00F707B7"/>
    <w:rsid w:val="00F70858"/>
    <w:rsid w:val="00F70ADA"/>
    <w:rsid w:val="00F71914"/>
    <w:rsid w:val="00F72F6E"/>
    <w:rsid w:val="00F739F5"/>
    <w:rsid w:val="00F7429F"/>
    <w:rsid w:val="00F7470A"/>
    <w:rsid w:val="00F75001"/>
    <w:rsid w:val="00F751FF"/>
    <w:rsid w:val="00F755F9"/>
    <w:rsid w:val="00F75E65"/>
    <w:rsid w:val="00F76F32"/>
    <w:rsid w:val="00F7750C"/>
    <w:rsid w:val="00F802C0"/>
    <w:rsid w:val="00F80A8C"/>
    <w:rsid w:val="00F811CF"/>
    <w:rsid w:val="00F82A53"/>
    <w:rsid w:val="00F83001"/>
    <w:rsid w:val="00F83CB7"/>
    <w:rsid w:val="00F85399"/>
    <w:rsid w:val="00F85505"/>
    <w:rsid w:val="00F85E21"/>
    <w:rsid w:val="00F86B8F"/>
    <w:rsid w:val="00F86C7E"/>
    <w:rsid w:val="00F86EA7"/>
    <w:rsid w:val="00F902DF"/>
    <w:rsid w:val="00F90DD0"/>
    <w:rsid w:val="00F9105A"/>
    <w:rsid w:val="00F913E0"/>
    <w:rsid w:val="00F91C30"/>
    <w:rsid w:val="00F91C97"/>
    <w:rsid w:val="00F92191"/>
    <w:rsid w:val="00F925EC"/>
    <w:rsid w:val="00F9301D"/>
    <w:rsid w:val="00F934D9"/>
    <w:rsid w:val="00F9375A"/>
    <w:rsid w:val="00F944C6"/>
    <w:rsid w:val="00F947FA"/>
    <w:rsid w:val="00F95030"/>
    <w:rsid w:val="00F95436"/>
    <w:rsid w:val="00F95921"/>
    <w:rsid w:val="00F95E22"/>
    <w:rsid w:val="00F96476"/>
    <w:rsid w:val="00F9753F"/>
    <w:rsid w:val="00FA0EE9"/>
    <w:rsid w:val="00FA1026"/>
    <w:rsid w:val="00FA2DD4"/>
    <w:rsid w:val="00FA2EB7"/>
    <w:rsid w:val="00FA310E"/>
    <w:rsid w:val="00FA6397"/>
    <w:rsid w:val="00FA6984"/>
    <w:rsid w:val="00FA7C7D"/>
    <w:rsid w:val="00FB1A1A"/>
    <w:rsid w:val="00FB1EB4"/>
    <w:rsid w:val="00FB3658"/>
    <w:rsid w:val="00FB3B0E"/>
    <w:rsid w:val="00FB62CF"/>
    <w:rsid w:val="00FB66CD"/>
    <w:rsid w:val="00FB68C5"/>
    <w:rsid w:val="00FB6E69"/>
    <w:rsid w:val="00FB7035"/>
    <w:rsid w:val="00FB7493"/>
    <w:rsid w:val="00FB7A2C"/>
    <w:rsid w:val="00FB7A74"/>
    <w:rsid w:val="00FC11B3"/>
    <w:rsid w:val="00FC13F1"/>
    <w:rsid w:val="00FC1E7E"/>
    <w:rsid w:val="00FC2E4A"/>
    <w:rsid w:val="00FC3503"/>
    <w:rsid w:val="00FC362D"/>
    <w:rsid w:val="00FC36E4"/>
    <w:rsid w:val="00FC5486"/>
    <w:rsid w:val="00FC5FDD"/>
    <w:rsid w:val="00FC67C9"/>
    <w:rsid w:val="00FC6E59"/>
    <w:rsid w:val="00FC7C02"/>
    <w:rsid w:val="00FD03C2"/>
    <w:rsid w:val="00FD05CE"/>
    <w:rsid w:val="00FD1732"/>
    <w:rsid w:val="00FD29B7"/>
    <w:rsid w:val="00FD2B0D"/>
    <w:rsid w:val="00FD2D2C"/>
    <w:rsid w:val="00FD4C8B"/>
    <w:rsid w:val="00FD63DF"/>
    <w:rsid w:val="00FD72A0"/>
    <w:rsid w:val="00FD78E0"/>
    <w:rsid w:val="00FD7939"/>
    <w:rsid w:val="00FE0A22"/>
    <w:rsid w:val="00FE0AA1"/>
    <w:rsid w:val="00FE1115"/>
    <w:rsid w:val="00FE138A"/>
    <w:rsid w:val="00FE167F"/>
    <w:rsid w:val="00FE2700"/>
    <w:rsid w:val="00FE3423"/>
    <w:rsid w:val="00FE37EA"/>
    <w:rsid w:val="00FE3DE0"/>
    <w:rsid w:val="00FE467B"/>
    <w:rsid w:val="00FE6102"/>
    <w:rsid w:val="00FE626E"/>
    <w:rsid w:val="00FE7338"/>
    <w:rsid w:val="00FE7F17"/>
    <w:rsid w:val="00FF0947"/>
    <w:rsid w:val="00FF1A60"/>
    <w:rsid w:val="00FF1E17"/>
    <w:rsid w:val="00FF1EB4"/>
    <w:rsid w:val="00FF1F24"/>
    <w:rsid w:val="00FF30A4"/>
    <w:rsid w:val="00FF3B74"/>
    <w:rsid w:val="00FF3B77"/>
    <w:rsid w:val="00FF46C2"/>
    <w:rsid w:val="00FF52E3"/>
    <w:rsid w:val="00FF53CE"/>
    <w:rsid w:val="00FF65BD"/>
    <w:rsid w:val="00FF6772"/>
    <w:rsid w:val="00FF6FEB"/>
    <w:rsid w:val="00FF7843"/>
    <w:rsid w:val="01953B5D"/>
    <w:rsid w:val="01EC01DF"/>
    <w:rsid w:val="02B66219"/>
    <w:rsid w:val="02FA6E3A"/>
    <w:rsid w:val="033B1098"/>
    <w:rsid w:val="04796711"/>
    <w:rsid w:val="05347652"/>
    <w:rsid w:val="057D00EF"/>
    <w:rsid w:val="059A1C9D"/>
    <w:rsid w:val="05F05787"/>
    <w:rsid w:val="060002E9"/>
    <w:rsid w:val="060B0A71"/>
    <w:rsid w:val="062F59C1"/>
    <w:rsid w:val="06AA0A01"/>
    <w:rsid w:val="076D1B70"/>
    <w:rsid w:val="07FC4512"/>
    <w:rsid w:val="0830185F"/>
    <w:rsid w:val="08E54F34"/>
    <w:rsid w:val="0A2E457F"/>
    <w:rsid w:val="0A311901"/>
    <w:rsid w:val="0A563D67"/>
    <w:rsid w:val="0ACA785C"/>
    <w:rsid w:val="0B077103"/>
    <w:rsid w:val="0B0A5387"/>
    <w:rsid w:val="0B7A0A9C"/>
    <w:rsid w:val="0B9D7F6A"/>
    <w:rsid w:val="0BDE7E15"/>
    <w:rsid w:val="0C4454F0"/>
    <w:rsid w:val="0D00246A"/>
    <w:rsid w:val="0D263E51"/>
    <w:rsid w:val="0E3463B3"/>
    <w:rsid w:val="0F15187D"/>
    <w:rsid w:val="0F7D081D"/>
    <w:rsid w:val="0F9B7012"/>
    <w:rsid w:val="0FA0248B"/>
    <w:rsid w:val="11633345"/>
    <w:rsid w:val="11BF61FC"/>
    <w:rsid w:val="127F60AB"/>
    <w:rsid w:val="135A4481"/>
    <w:rsid w:val="1596620C"/>
    <w:rsid w:val="15A970FC"/>
    <w:rsid w:val="160015E1"/>
    <w:rsid w:val="16A34AF0"/>
    <w:rsid w:val="16E01D8D"/>
    <w:rsid w:val="189017A6"/>
    <w:rsid w:val="18AC1037"/>
    <w:rsid w:val="19ED4482"/>
    <w:rsid w:val="1ABB279C"/>
    <w:rsid w:val="1AF51954"/>
    <w:rsid w:val="1B25089C"/>
    <w:rsid w:val="1B9B54FD"/>
    <w:rsid w:val="1B9F7EB6"/>
    <w:rsid w:val="1C5E0E6C"/>
    <w:rsid w:val="1C6C7EF4"/>
    <w:rsid w:val="1C7143DF"/>
    <w:rsid w:val="1C8C51C6"/>
    <w:rsid w:val="1CF06E21"/>
    <w:rsid w:val="1DA0430A"/>
    <w:rsid w:val="1DA22FB8"/>
    <w:rsid w:val="1DEB15A3"/>
    <w:rsid w:val="1E41397D"/>
    <w:rsid w:val="1EA97168"/>
    <w:rsid w:val="1F2E7C9E"/>
    <w:rsid w:val="1F4724AC"/>
    <w:rsid w:val="1F590CB5"/>
    <w:rsid w:val="1F7A041D"/>
    <w:rsid w:val="1FFC578E"/>
    <w:rsid w:val="20FD4C2E"/>
    <w:rsid w:val="219B6B4D"/>
    <w:rsid w:val="223F1D24"/>
    <w:rsid w:val="22455FAA"/>
    <w:rsid w:val="227029C9"/>
    <w:rsid w:val="22C80F21"/>
    <w:rsid w:val="22CA5F30"/>
    <w:rsid w:val="23004123"/>
    <w:rsid w:val="2301534A"/>
    <w:rsid w:val="23653D29"/>
    <w:rsid w:val="23B34CA4"/>
    <w:rsid w:val="240B167F"/>
    <w:rsid w:val="24354CBD"/>
    <w:rsid w:val="24D25916"/>
    <w:rsid w:val="254F18D4"/>
    <w:rsid w:val="25AB1587"/>
    <w:rsid w:val="26CE635A"/>
    <w:rsid w:val="272760F1"/>
    <w:rsid w:val="27D173CF"/>
    <w:rsid w:val="28214C6A"/>
    <w:rsid w:val="28E34FEC"/>
    <w:rsid w:val="2A4D1789"/>
    <w:rsid w:val="2AC770E5"/>
    <w:rsid w:val="2B740DA4"/>
    <w:rsid w:val="2C804DA2"/>
    <w:rsid w:val="2CF972DD"/>
    <w:rsid w:val="2D7602FA"/>
    <w:rsid w:val="2DC91946"/>
    <w:rsid w:val="2E110313"/>
    <w:rsid w:val="2E3738EA"/>
    <w:rsid w:val="2E3968BD"/>
    <w:rsid w:val="2E604BFD"/>
    <w:rsid w:val="2E711FE8"/>
    <w:rsid w:val="2F9A4552"/>
    <w:rsid w:val="30773381"/>
    <w:rsid w:val="31105727"/>
    <w:rsid w:val="319B6A24"/>
    <w:rsid w:val="31AB2015"/>
    <w:rsid w:val="32300A82"/>
    <w:rsid w:val="325165D4"/>
    <w:rsid w:val="3260395B"/>
    <w:rsid w:val="32C134AE"/>
    <w:rsid w:val="33877857"/>
    <w:rsid w:val="339903C8"/>
    <w:rsid w:val="33D32711"/>
    <w:rsid w:val="341C43C3"/>
    <w:rsid w:val="34347541"/>
    <w:rsid w:val="352A4A7C"/>
    <w:rsid w:val="35B648A5"/>
    <w:rsid w:val="35D8031A"/>
    <w:rsid w:val="362E16C5"/>
    <w:rsid w:val="37180D2B"/>
    <w:rsid w:val="37681083"/>
    <w:rsid w:val="377F77E3"/>
    <w:rsid w:val="37B13643"/>
    <w:rsid w:val="394F31E7"/>
    <w:rsid w:val="3A860190"/>
    <w:rsid w:val="3B6D61EE"/>
    <w:rsid w:val="3C121C80"/>
    <w:rsid w:val="3C1D51E8"/>
    <w:rsid w:val="3D8C2BCB"/>
    <w:rsid w:val="3DD011E4"/>
    <w:rsid w:val="3DD531EB"/>
    <w:rsid w:val="3E10293F"/>
    <w:rsid w:val="3E1E6C56"/>
    <w:rsid w:val="3EBB16B4"/>
    <w:rsid w:val="404B2F5D"/>
    <w:rsid w:val="404C25FD"/>
    <w:rsid w:val="40B1639D"/>
    <w:rsid w:val="40CC7591"/>
    <w:rsid w:val="41354BF0"/>
    <w:rsid w:val="424D4BC9"/>
    <w:rsid w:val="43BF0570"/>
    <w:rsid w:val="43F34A3C"/>
    <w:rsid w:val="44092CAA"/>
    <w:rsid w:val="458C04F3"/>
    <w:rsid w:val="45DC270F"/>
    <w:rsid w:val="46792B93"/>
    <w:rsid w:val="478F6979"/>
    <w:rsid w:val="48EB7E8E"/>
    <w:rsid w:val="48EE3125"/>
    <w:rsid w:val="49373C2C"/>
    <w:rsid w:val="49CB1FA4"/>
    <w:rsid w:val="4B594EA0"/>
    <w:rsid w:val="4BF72A64"/>
    <w:rsid w:val="4C55171E"/>
    <w:rsid w:val="4C711190"/>
    <w:rsid w:val="4DFB5F75"/>
    <w:rsid w:val="4E177E9A"/>
    <w:rsid w:val="4F530BD7"/>
    <w:rsid w:val="4FA979F0"/>
    <w:rsid w:val="501B2E97"/>
    <w:rsid w:val="50B605B9"/>
    <w:rsid w:val="52204890"/>
    <w:rsid w:val="52A81CF3"/>
    <w:rsid w:val="53485B37"/>
    <w:rsid w:val="54E6255F"/>
    <w:rsid w:val="54FF30A4"/>
    <w:rsid w:val="55050666"/>
    <w:rsid w:val="556D33E3"/>
    <w:rsid w:val="58C425E6"/>
    <w:rsid w:val="58D42829"/>
    <w:rsid w:val="59127760"/>
    <w:rsid w:val="591B36A2"/>
    <w:rsid w:val="59910DF7"/>
    <w:rsid w:val="59F26D84"/>
    <w:rsid w:val="5A0B353B"/>
    <w:rsid w:val="5A376A6B"/>
    <w:rsid w:val="5B8B10A3"/>
    <w:rsid w:val="5BE84057"/>
    <w:rsid w:val="5C42534F"/>
    <w:rsid w:val="5C7464E5"/>
    <w:rsid w:val="5D18567F"/>
    <w:rsid w:val="5D6E7FE8"/>
    <w:rsid w:val="5DD551F3"/>
    <w:rsid w:val="5DE963D8"/>
    <w:rsid w:val="5EE155D3"/>
    <w:rsid w:val="5EF455D8"/>
    <w:rsid w:val="5FAC49FB"/>
    <w:rsid w:val="5FFA7423"/>
    <w:rsid w:val="602B6AA7"/>
    <w:rsid w:val="60C610F9"/>
    <w:rsid w:val="61DE0AFC"/>
    <w:rsid w:val="625F15E5"/>
    <w:rsid w:val="62A964F7"/>
    <w:rsid w:val="63963E28"/>
    <w:rsid w:val="63CC1485"/>
    <w:rsid w:val="63E31B72"/>
    <w:rsid w:val="6420257D"/>
    <w:rsid w:val="658B403A"/>
    <w:rsid w:val="660940D3"/>
    <w:rsid w:val="68451AAF"/>
    <w:rsid w:val="686F73B7"/>
    <w:rsid w:val="68F62A33"/>
    <w:rsid w:val="690D0CCA"/>
    <w:rsid w:val="6913353C"/>
    <w:rsid w:val="69224EEB"/>
    <w:rsid w:val="69522FD3"/>
    <w:rsid w:val="69923CFB"/>
    <w:rsid w:val="6A9458DA"/>
    <w:rsid w:val="6B372B75"/>
    <w:rsid w:val="6B4013F9"/>
    <w:rsid w:val="6B4078AA"/>
    <w:rsid w:val="6B8605F4"/>
    <w:rsid w:val="6BD74546"/>
    <w:rsid w:val="6C32718C"/>
    <w:rsid w:val="6D3528A6"/>
    <w:rsid w:val="6DBE6668"/>
    <w:rsid w:val="6E401453"/>
    <w:rsid w:val="6FCD684B"/>
    <w:rsid w:val="70340760"/>
    <w:rsid w:val="711D585E"/>
    <w:rsid w:val="72965E7A"/>
    <w:rsid w:val="731927C5"/>
    <w:rsid w:val="742429A4"/>
    <w:rsid w:val="750C6A4F"/>
    <w:rsid w:val="75800D25"/>
    <w:rsid w:val="7593652E"/>
    <w:rsid w:val="75CC7FA2"/>
    <w:rsid w:val="761A6B08"/>
    <w:rsid w:val="763D788C"/>
    <w:rsid w:val="77654F47"/>
    <w:rsid w:val="792F796E"/>
    <w:rsid w:val="798F10CC"/>
    <w:rsid w:val="7AE21E7B"/>
    <w:rsid w:val="7B9A68D1"/>
    <w:rsid w:val="7BC04D73"/>
    <w:rsid w:val="7BDD0EA4"/>
    <w:rsid w:val="7C6D24C9"/>
    <w:rsid w:val="7CD01E6D"/>
    <w:rsid w:val="7D475DE2"/>
    <w:rsid w:val="7DB2735C"/>
    <w:rsid w:val="7DB75DAD"/>
    <w:rsid w:val="7E065469"/>
    <w:rsid w:val="7F1F715E"/>
    <w:rsid w:val="7F2367F5"/>
    <w:rsid w:val="7F60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link w:val="13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7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5"/>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qFormat/>
    <w:uiPriority w:val="0"/>
    <w:pPr>
      <w:keepNext/>
      <w:keepLines/>
      <w:spacing w:before="240" w:after="64" w:line="320" w:lineRule="auto"/>
      <w:outlineLvl w:val="6"/>
    </w:pPr>
    <w:rPr>
      <w:b/>
      <w:sz w:val="24"/>
      <w:szCs w:val="20"/>
    </w:rPr>
  </w:style>
  <w:style w:type="paragraph" w:styleId="11">
    <w:name w:val="heading 8"/>
    <w:basedOn w:val="1"/>
    <w:next w:val="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79"/>
    <w:qFormat/>
    <w:uiPriority w:val="0"/>
    <w:pPr>
      <w:ind w:firstLine="420"/>
    </w:pPr>
    <w:rPr>
      <w:szCs w:val="20"/>
    </w:r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caption"/>
    <w:basedOn w:val="1"/>
    <w:next w:val="1"/>
    <w:link w:val="69"/>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81"/>
    <w:semiHidden/>
    <w:qFormat/>
    <w:uiPriority w:val="0"/>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4"/>
    <w:qFormat/>
    <w:uiPriority w:val="0"/>
    <w:pPr>
      <w:ind w:firstLine="830" w:firstLineChars="352"/>
    </w:pPr>
    <w:rPr>
      <w:rFonts w:ascii="仿宋_GB2312" w:eastAsia="仿宋_GB2312"/>
      <w:sz w:val="32"/>
      <w:szCs w:val="20"/>
    </w:rPr>
  </w:style>
  <w:style w:type="paragraph" w:styleId="21">
    <w:name w:val="toc 5"/>
    <w:basedOn w:val="1"/>
    <w:next w:val="1"/>
    <w:unhideWhenUsed/>
    <w:qFormat/>
    <w:uiPriority w:val="0"/>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8"/>
    <w:qFormat/>
    <w:uiPriority w:val="0"/>
    <w:rPr>
      <w:rFonts w:ascii="宋体" w:hAnsi="Courier New" w:cs="Courier New"/>
      <w:szCs w:val="21"/>
    </w:rPr>
  </w:style>
  <w:style w:type="paragraph" w:styleId="24">
    <w:name w:val="toc 8"/>
    <w:basedOn w:val="1"/>
    <w:next w:val="1"/>
    <w:qFormat/>
    <w:uiPriority w:val="0"/>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semiHidden/>
    <w:qFormat/>
    <w:uiPriority w:val="0"/>
    <w:rPr>
      <w:sz w:val="18"/>
      <w:szCs w:val="18"/>
    </w:rPr>
  </w:style>
  <w:style w:type="paragraph" w:styleId="29">
    <w:name w:val="footer"/>
    <w:basedOn w:val="1"/>
    <w:link w:val="67"/>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trike/>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0"/>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0"/>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qFormat/>
    <w:uiPriority w:val="0"/>
    <w:pPr>
      <w:spacing w:before="240" w:after="60"/>
      <w:jc w:val="center"/>
      <w:outlineLvl w:val="0"/>
    </w:pPr>
    <w:rPr>
      <w:rFonts w:ascii="Arial" w:hAnsi="Arial" w:cs="Arial"/>
      <w:b/>
      <w:bCs/>
      <w:sz w:val="32"/>
      <w:szCs w:val="32"/>
    </w:rPr>
  </w:style>
  <w:style w:type="paragraph" w:styleId="41">
    <w:name w:val="annotation subject"/>
    <w:basedOn w:val="17"/>
    <w:next w:val="17"/>
    <w:semiHidden/>
    <w:qFormat/>
    <w:uiPriority w:val="0"/>
    <w:rPr>
      <w:b/>
      <w:bCs/>
    </w:rPr>
  </w:style>
  <w:style w:type="paragraph" w:styleId="42">
    <w:name w:val="Body Text First Indent"/>
    <w:basedOn w:val="19"/>
    <w:qFormat/>
    <w:uiPriority w:val="0"/>
    <w:pPr>
      <w:spacing w:after="120" w:line="240" w:lineRule="auto"/>
      <w:ind w:firstLine="420" w:firstLineChars="100"/>
    </w:pPr>
    <w:rPr>
      <w:szCs w:val="24"/>
    </w:rPr>
  </w:style>
  <w:style w:type="paragraph" w:styleId="43">
    <w:name w:val="Body Text First Indent 2"/>
    <w:basedOn w:val="20"/>
    <w:unhideWhenUsed/>
    <w:qFormat/>
    <w:uiPriority w:val="99"/>
    <w:pPr>
      <w:ind w:firstLine="420" w:firstLine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0"/>
    <w:rPr>
      <w:rFonts w:ascii="Tahoma" w:hAnsi="Tahoma" w:eastAsia="宋体"/>
      <w:b/>
      <w:bCs/>
      <w:spacing w:val="10"/>
      <w:sz w:val="24"/>
      <w:lang w:val="en-US" w:eastAsia="zh-CN" w:bidi="ar-SA"/>
    </w:rPr>
  </w:style>
  <w:style w:type="character" w:styleId="48">
    <w:name w:val="page number"/>
    <w:basedOn w:val="46"/>
    <w:qFormat/>
    <w:uiPriority w:val="0"/>
  </w:style>
  <w:style w:type="character" w:styleId="49">
    <w:name w:val="FollowedHyperlink"/>
    <w:basedOn w:val="46"/>
    <w:qFormat/>
    <w:uiPriority w:val="0"/>
    <w:rPr>
      <w:color w:val="800080"/>
      <w:u w:val="single"/>
    </w:rPr>
  </w:style>
  <w:style w:type="character" w:styleId="50">
    <w:name w:val="Emphasis"/>
    <w:basedOn w:val="46"/>
    <w:qFormat/>
    <w:uiPriority w:val="0"/>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basedOn w:val="46"/>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basedOn w:val="46"/>
    <w:semiHidden/>
    <w:qFormat/>
    <w:uiPriority w:val="0"/>
    <w:rPr>
      <w:sz w:val="21"/>
      <w:szCs w:val="21"/>
    </w:rPr>
  </w:style>
  <w:style w:type="character" w:styleId="57">
    <w:name w:val="HTML Cite"/>
    <w:basedOn w:val="46"/>
    <w:qFormat/>
    <w:uiPriority w:val="0"/>
  </w:style>
  <w:style w:type="character" w:customStyle="1" w:styleId="58">
    <w:name w:val="标题 2 Char"/>
    <w:basedOn w:val="46"/>
    <w:qFormat/>
    <w:uiPriority w:val="0"/>
    <w:rPr>
      <w:rFonts w:ascii="Arial" w:hAnsi="Arial" w:eastAsia="黑体"/>
      <w:b/>
      <w:bCs/>
      <w:kern w:val="2"/>
      <w:sz w:val="32"/>
      <w:szCs w:val="32"/>
      <w:lang w:val="en-US" w:eastAsia="zh-CN" w:bidi="ar-SA"/>
    </w:rPr>
  </w:style>
  <w:style w:type="character" w:customStyle="1" w:styleId="59">
    <w:name w:val="font1"/>
    <w:basedOn w:val="46"/>
    <w:qFormat/>
    <w:uiPriority w:val="0"/>
    <w:rPr>
      <w:sz w:val="18"/>
      <w:szCs w:val="18"/>
      <w:u w:val="none"/>
    </w:rPr>
  </w:style>
  <w:style w:type="character" w:customStyle="1" w:styleId="60">
    <w:name w:val="nine-11"/>
    <w:basedOn w:val="46"/>
    <w:qFormat/>
    <w:uiPriority w:val="0"/>
    <w:rPr>
      <w:rFonts w:hint="default"/>
      <w:sz w:val="18"/>
      <w:szCs w:val="18"/>
    </w:rPr>
  </w:style>
  <w:style w:type="character" w:customStyle="1" w:styleId="61">
    <w:name w:val="mark8"/>
    <w:basedOn w:val="46"/>
    <w:qFormat/>
    <w:uiPriority w:val="0"/>
    <w:rPr>
      <w:b/>
      <w:bCs/>
      <w:sz w:val="21"/>
      <w:szCs w:val="21"/>
    </w:rPr>
  </w:style>
  <w:style w:type="character" w:customStyle="1" w:styleId="62">
    <w:name w:val="列出段落 Char"/>
    <w:link w:val="63"/>
    <w:qFormat/>
    <w:uiPriority w:val="0"/>
    <w:rPr>
      <w:rFonts w:ascii="Calibri" w:hAnsi="Calibri"/>
      <w:kern w:val="2"/>
      <w:sz w:val="21"/>
      <w:szCs w:val="22"/>
    </w:rPr>
  </w:style>
  <w:style w:type="paragraph" w:styleId="63">
    <w:name w:val="List Paragraph"/>
    <w:basedOn w:val="1"/>
    <w:link w:val="62"/>
    <w:qFormat/>
    <w:uiPriority w:val="0"/>
    <w:pPr>
      <w:ind w:firstLine="420" w:firstLineChars="200"/>
    </w:pPr>
    <w:rPr>
      <w:rFonts w:ascii="Calibri" w:hAnsi="Calibri"/>
      <w:szCs w:val="22"/>
    </w:rPr>
  </w:style>
  <w:style w:type="character" w:customStyle="1" w:styleId="64">
    <w:name w:val="正文文本缩进 Char"/>
    <w:basedOn w:val="46"/>
    <w:link w:val="20"/>
    <w:qFormat/>
    <w:uiPriority w:val="0"/>
    <w:rPr>
      <w:rFonts w:ascii="仿宋_GB2312" w:eastAsia="仿宋_GB2312"/>
      <w:kern w:val="2"/>
      <w:sz w:val="32"/>
    </w:rPr>
  </w:style>
  <w:style w:type="character" w:customStyle="1" w:styleId="65">
    <w:name w:val="xl25 Char"/>
    <w:basedOn w:val="46"/>
    <w:link w:val="66"/>
    <w:qFormat/>
    <w:uiPriority w:val="0"/>
    <w:rPr>
      <w:rFonts w:ascii="宋体" w:hAnsi="宋体" w:eastAsia="宋体"/>
      <w:sz w:val="21"/>
      <w:szCs w:val="21"/>
      <w:lang w:val="en-US" w:eastAsia="zh-CN" w:bidi="ar-SA"/>
    </w:rPr>
  </w:style>
  <w:style w:type="paragraph" w:customStyle="1" w:styleId="66">
    <w:name w:val="xl25"/>
    <w:basedOn w:val="1"/>
    <w:link w:val="65"/>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7">
    <w:name w:val="页脚 Char"/>
    <w:basedOn w:val="46"/>
    <w:link w:val="29"/>
    <w:qFormat/>
    <w:uiPriority w:val="99"/>
    <w:rPr>
      <w:rFonts w:eastAsia="宋体"/>
      <w:kern w:val="2"/>
      <w:sz w:val="18"/>
      <w:szCs w:val="18"/>
      <w:lang w:val="en-US" w:eastAsia="zh-CN" w:bidi="ar-SA"/>
    </w:rPr>
  </w:style>
  <w:style w:type="character" w:customStyle="1" w:styleId="68">
    <w:name w:val="纯文本 Char"/>
    <w:basedOn w:val="46"/>
    <w:link w:val="23"/>
    <w:qFormat/>
    <w:uiPriority w:val="0"/>
    <w:rPr>
      <w:rFonts w:ascii="宋体" w:hAnsi="Courier New" w:eastAsia="宋体" w:cs="Courier New"/>
      <w:kern w:val="2"/>
      <w:sz w:val="21"/>
      <w:szCs w:val="21"/>
      <w:lang w:val="en-US" w:eastAsia="zh-CN" w:bidi="ar-SA"/>
    </w:rPr>
  </w:style>
  <w:style w:type="character" w:customStyle="1" w:styleId="69">
    <w:name w:val="题注 Char"/>
    <w:link w:val="14"/>
    <w:qFormat/>
    <w:uiPriority w:val="0"/>
    <w:rPr>
      <w:rFonts w:ascii="Arial" w:hAnsi="Arial" w:eastAsia="黑体" w:cs="Arial"/>
      <w:kern w:val="2"/>
    </w:rPr>
  </w:style>
  <w:style w:type="character" w:customStyle="1" w:styleId="70">
    <w:name w:val="mark"/>
    <w:basedOn w:val="46"/>
    <w:qFormat/>
    <w:uiPriority w:val="0"/>
  </w:style>
  <w:style w:type="character" w:customStyle="1" w:styleId="71">
    <w:name w:val="标题 3 Char"/>
    <w:basedOn w:val="46"/>
    <w:link w:val="6"/>
    <w:qFormat/>
    <w:uiPriority w:val="0"/>
    <w:rPr>
      <w:rFonts w:eastAsia="宋体"/>
      <w:b/>
      <w:bCs/>
      <w:kern w:val="2"/>
      <w:sz w:val="32"/>
      <w:szCs w:val="32"/>
      <w:lang w:val="en-US" w:eastAsia="zh-CN" w:bidi="ar-SA"/>
    </w:rPr>
  </w:style>
  <w:style w:type="character" w:customStyle="1" w:styleId="72">
    <w:name w:val="正文 A Char Char"/>
    <w:link w:val="73"/>
    <w:qFormat/>
    <w:uiPriority w:val="0"/>
    <w:rPr>
      <w:rFonts w:ascii="仿宋_GB2312" w:hAnsi="Heiti SC Light" w:eastAsia="仿宋_GB2312"/>
      <w:kern w:val="2"/>
      <w:sz w:val="24"/>
      <w:lang w:val="en-US" w:eastAsia="zh-CN" w:bidi="ar-SA"/>
    </w:rPr>
  </w:style>
  <w:style w:type="paragraph" w:customStyle="1" w:styleId="73">
    <w:name w:val="正文 A"/>
    <w:link w:val="72"/>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74">
    <w:name w:val="Char Char3"/>
    <w:basedOn w:val="46"/>
    <w:qFormat/>
    <w:uiPriority w:val="0"/>
    <w:rPr>
      <w:rFonts w:eastAsia="宋体"/>
      <w:kern w:val="2"/>
      <w:sz w:val="18"/>
      <w:lang w:val="en-US" w:eastAsia="zh-CN" w:bidi="ar-SA"/>
    </w:rPr>
  </w:style>
  <w:style w:type="character" w:customStyle="1" w:styleId="75">
    <w:name w:val="正文缩进 Char2"/>
    <w:basedOn w:val="46"/>
    <w:link w:val="76"/>
    <w:qFormat/>
    <w:uiPriority w:val="0"/>
    <w:rPr>
      <w:rFonts w:eastAsia="宋体"/>
      <w:szCs w:val="24"/>
      <w:lang w:bidi="ar-SA"/>
    </w:rPr>
  </w:style>
  <w:style w:type="paragraph" w:customStyle="1" w:styleId="76">
    <w:name w:val="正文缩进1"/>
    <w:basedOn w:val="1"/>
    <w:link w:val="75"/>
    <w:qFormat/>
    <w:uiPriority w:val="0"/>
    <w:pPr>
      <w:ind w:firstLine="420" w:firstLineChars="200"/>
    </w:pPr>
    <w:rPr>
      <w:kern w:val="0"/>
      <w:sz w:val="20"/>
    </w:rPr>
  </w:style>
  <w:style w:type="character" w:customStyle="1" w:styleId="77">
    <w:name w:val="Char Char8"/>
    <w:basedOn w:val="46"/>
    <w:qFormat/>
    <w:uiPriority w:val="0"/>
    <w:rPr>
      <w:rFonts w:ascii="宋体" w:hAnsi="Courier New" w:eastAsia="宋体"/>
      <w:kern w:val="2"/>
      <w:sz w:val="21"/>
      <w:lang w:val="en-US" w:eastAsia="zh-CN" w:bidi="ar-SA"/>
    </w:rPr>
  </w:style>
  <w:style w:type="character" w:customStyle="1" w:styleId="78">
    <w:name w:val="Char Char10"/>
    <w:basedOn w:val="46"/>
    <w:qFormat/>
    <w:uiPriority w:val="0"/>
    <w:rPr>
      <w:rFonts w:eastAsia="宋体"/>
      <w:kern w:val="2"/>
      <w:sz w:val="18"/>
      <w:szCs w:val="18"/>
      <w:lang w:val="en-US" w:eastAsia="zh-CN" w:bidi="ar-SA"/>
    </w:rPr>
  </w:style>
  <w:style w:type="character" w:customStyle="1" w:styleId="79">
    <w:name w:val="正文缩进 Char"/>
    <w:basedOn w:val="46"/>
    <w:link w:val="5"/>
    <w:qFormat/>
    <w:uiPriority w:val="0"/>
    <w:rPr>
      <w:rFonts w:eastAsia="宋体"/>
      <w:kern w:val="2"/>
      <w:sz w:val="21"/>
      <w:lang w:val="en-US" w:eastAsia="zh-CN" w:bidi="ar-SA"/>
    </w:rPr>
  </w:style>
  <w:style w:type="character" w:customStyle="1" w:styleId="80">
    <w:name w:val="页眉 Char"/>
    <w:basedOn w:val="46"/>
    <w:link w:val="30"/>
    <w:qFormat/>
    <w:uiPriority w:val="99"/>
    <w:rPr>
      <w:strike/>
      <w:kern w:val="2"/>
      <w:sz w:val="18"/>
      <w:szCs w:val="18"/>
    </w:rPr>
  </w:style>
  <w:style w:type="character" w:customStyle="1" w:styleId="81">
    <w:name w:val="批注文字 Char"/>
    <w:basedOn w:val="46"/>
    <w:link w:val="17"/>
    <w:semiHidden/>
    <w:qFormat/>
    <w:uiPriority w:val="0"/>
    <w:rPr>
      <w:kern w:val="2"/>
      <w:sz w:val="21"/>
      <w:szCs w:val="24"/>
    </w:rPr>
  </w:style>
  <w:style w:type="paragraph" w:customStyle="1" w:styleId="8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3">
    <w:name w:val="Char Char3 Char Char"/>
    <w:basedOn w:val="1"/>
    <w:qFormat/>
    <w:uiPriority w:val="0"/>
    <w:pPr>
      <w:spacing w:line="360" w:lineRule="auto"/>
      <w:ind w:firstLine="200" w:firstLineChars="200"/>
    </w:pPr>
    <w:rPr>
      <w:rFonts w:ascii="宋体" w:hAnsi="宋体" w:cs="宋体"/>
      <w:sz w:val="24"/>
    </w:rPr>
  </w:style>
  <w:style w:type="paragraph" w:customStyle="1" w:styleId="84">
    <w:name w:val="办公自动化专用标题"/>
    <w:basedOn w:val="40"/>
    <w:qFormat/>
    <w:uiPriority w:val="0"/>
    <w:pPr>
      <w:spacing w:line="560" w:lineRule="atLeast"/>
    </w:pPr>
    <w:rPr>
      <w:rFonts w:ascii="宋体" w:cs="Times New Roman"/>
      <w:bCs w:val="0"/>
      <w:sz w:val="44"/>
      <w:szCs w:val="20"/>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Char Char Char Char Char Char Char Char Char"/>
    <w:basedOn w:val="1"/>
    <w:qFormat/>
    <w:uiPriority w:val="0"/>
    <w:rPr>
      <w:sz w:val="28"/>
    </w:rPr>
  </w:style>
  <w:style w:type="paragraph" w:customStyle="1" w:styleId="8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88">
    <w:name w:val="Char Char Char Char Char Char Char"/>
    <w:basedOn w:val="1"/>
    <w:qFormat/>
    <w:uiPriority w:val="0"/>
    <w:pPr>
      <w:tabs>
        <w:tab w:val="left" w:pos="425"/>
      </w:tabs>
      <w:ind w:left="425" w:hanging="425"/>
    </w:pPr>
    <w:rPr>
      <w:rFonts w:eastAsia="仿宋_GB2312"/>
      <w:kern w:val="24"/>
      <w:sz w:val="24"/>
    </w:rPr>
  </w:style>
  <w:style w:type="paragraph" w:customStyle="1" w:styleId="89">
    <w:name w:val="p0"/>
    <w:basedOn w:val="1"/>
    <w:qFormat/>
    <w:uiPriority w:val="0"/>
    <w:pPr>
      <w:widowControl/>
    </w:pPr>
    <w:rPr>
      <w:kern w:val="0"/>
      <w:szCs w:val="21"/>
    </w:rPr>
  </w:style>
  <w:style w:type="paragraph" w:customStyle="1" w:styleId="90">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9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92">
    <w:name w:val="Char3"/>
    <w:basedOn w:val="1"/>
    <w:qFormat/>
    <w:uiPriority w:val="0"/>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4">
    <w:name w:val="正文段落"/>
    <w:basedOn w:val="1"/>
    <w:qFormat/>
    <w:uiPriority w:val="0"/>
    <w:pPr>
      <w:widowControl/>
      <w:spacing w:after="40" w:line="360" w:lineRule="auto"/>
      <w:ind w:firstLine="200" w:firstLineChars="200"/>
    </w:pPr>
    <w:rPr>
      <w:kern w:val="0"/>
      <w:sz w:val="24"/>
    </w:rPr>
  </w:style>
  <w:style w:type="paragraph" w:customStyle="1" w:styleId="95">
    <w:name w:val="默认段落字体 Para Char"/>
    <w:basedOn w:val="1"/>
    <w:qFormat/>
    <w:uiPriority w:val="0"/>
    <w:rPr>
      <w:rFonts w:ascii="宋体" w:hAnsi="宋体"/>
      <w:b/>
      <w:sz w:val="28"/>
      <w:szCs w:val="28"/>
    </w:rPr>
  </w:style>
  <w:style w:type="paragraph" w:customStyle="1" w:styleId="96">
    <w:name w:val="题注5"/>
    <w:basedOn w:val="1"/>
    <w:next w:val="14"/>
    <w:qFormat/>
    <w:uiPriority w:val="0"/>
    <w:pPr>
      <w:jc w:val="center"/>
    </w:pPr>
    <w:rPr>
      <w:b/>
      <w:color w:val="000000"/>
      <w:sz w:val="24"/>
      <w:szCs w:val="21"/>
    </w:rPr>
  </w:style>
  <w:style w:type="paragraph" w:customStyle="1" w:styleId="9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98">
    <w:name w:val="Char Char"/>
    <w:basedOn w:val="1"/>
    <w:qFormat/>
    <w:uiPriority w:val="0"/>
    <w:rPr>
      <w:rFonts w:ascii="宋体" w:hAnsi="宋体"/>
      <w:b/>
      <w:sz w:val="28"/>
      <w:szCs w:val="28"/>
    </w:rPr>
  </w:style>
  <w:style w:type="paragraph" w:customStyle="1" w:styleId="99">
    <w:name w:val="题注4"/>
    <w:basedOn w:val="1"/>
    <w:next w:val="14"/>
    <w:qFormat/>
    <w:uiPriority w:val="0"/>
    <w:pPr>
      <w:ind w:left="-132" w:leftChars="-64" w:right="-105" w:rightChars="-50" w:hanging="2"/>
      <w:jc w:val="center"/>
    </w:pPr>
    <w:rPr>
      <w:b/>
      <w:color w:val="FF0000"/>
      <w:szCs w:val="21"/>
      <w:lang w:val="en-GB"/>
    </w:rPr>
  </w:style>
  <w:style w:type="paragraph" w:customStyle="1" w:styleId="100">
    <w:name w:val="字元 字元"/>
    <w:basedOn w:val="1"/>
    <w:qFormat/>
    <w:uiPriority w:val="0"/>
    <w:pPr>
      <w:spacing w:line="360" w:lineRule="auto"/>
      <w:ind w:firstLine="200" w:firstLineChars="200"/>
    </w:pPr>
    <w:rPr>
      <w:rFonts w:ascii="宋体" w:hAnsi="宋体" w:cs="宋体"/>
      <w:sz w:val="24"/>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正文1"/>
    <w:qFormat/>
    <w:uiPriority w:val="0"/>
    <w:pPr>
      <w:widowControl w:val="0"/>
      <w:jc w:val="both"/>
    </w:pPr>
    <w:rPr>
      <w:rFonts w:ascii="Times New Roman" w:hAnsi="Times New Roman" w:eastAsia="宋体" w:cs="Times New Roman"/>
      <w:lang w:val="en-US" w:eastAsia="zh-CN" w:bidi="ar-SA"/>
    </w:rPr>
  </w:style>
  <w:style w:type="paragraph" w:customStyle="1" w:styleId="104">
    <w:name w:val="表格"/>
    <w:basedOn w:val="1"/>
    <w:qFormat/>
    <w:uiPriority w:val="0"/>
    <w:pPr>
      <w:jc w:val="center"/>
    </w:pPr>
    <w:rPr>
      <w:rFonts w:ascii="宋体"/>
      <w:b/>
      <w:szCs w:val="20"/>
    </w:rPr>
  </w:style>
  <w:style w:type="paragraph" w:customStyle="1" w:styleId="105">
    <w:name w:val="表格文字"/>
    <w:basedOn w:val="1"/>
    <w:qFormat/>
    <w:uiPriority w:val="0"/>
    <w:pPr>
      <w:spacing w:before="25" w:after="25"/>
      <w:jc w:val="left"/>
    </w:pPr>
    <w:rPr>
      <w:bCs/>
      <w:spacing w:val="10"/>
      <w:kern w:val="0"/>
      <w:sz w:val="24"/>
      <w:szCs w:val="20"/>
    </w:rPr>
  </w:style>
  <w:style w:type="paragraph" w:customStyle="1" w:styleId="106">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7">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0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13">
    <w:name w:val="Char Char2 Char"/>
    <w:basedOn w:val="1"/>
    <w:qFormat/>
    <w:uiPriority w:val="0"/>
    <w:rPr>
      <w:rFonts w:ascii="宋体" w:hAnsi="宋体"/>
      <w:b/>
      <w:sz w:val="28"/>
      <w:szCs w:val="28"/>
    </w:rPr>
  </w:style>
  <w:style w:type="paragraph" w:customStyle="1" w:styleId="114">
    <w:name w:val="List Paragraph1"/>
    <w:basedOn w:val="1"/>
    <w:qFormat/>
    <w:uiPriority w:val="0"/>
    <w:pPr>
      <w:ind w:firstLine="420" w:firstLineChars="200"/>
    </w:pPr>
    <w:rPr>
      <w:rFonts w:ascii="Calibri" w:hAnsi="Calibri" w:cs="黑体"/>
      <w:szCs w:val="22"/>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Char1 Char Char Char"/>
    <w:basedOn w:val="1"/>
    <w:qFormat/>
    <w:uiPriority w:val="0"/>
    <w:pPr>
      <w:numPr>
        <w:ilvl w:val="0"/>
        <w:numId w:val="2"/>
      </w:numPr>
    </w:pPr>
    <w:rPr>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8">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9">
    <w:name w:val="图框内的文字"/>
    <w:basedOn w:val="1"/>
    <w:qFormat/>
    <w:uiPriority w:val="0"/>
    <w:pPr>
      <w:jc w:val="center"/>
    </w:pPr>
    <w:rPr>
      <w:position w:val="6"/>
      <w:szCs w:val="20"/>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_Style 4"/>
    <w:basedOn w:val="1"/>
    <w:qFormat/>
    <w:uiPriority w:val="0"/>
    <w:pPr>
      <w:spacing w:beforeLines="50" w:afterLines="50"/>
    </w:p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2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28">
    <w:name w:val="样式1"/>
    <w:basedOn w:val="7"/>
    <w:qFormat/>
    <w:uiPriority w:val="0"/>
    <w:pPr>
      <w:spacing w:line="416" w:lineRule="auto"/>
      <w:ind w:left="560" w:leftChars="200"/>
    </w:pPr>
    <w:rPr>
      <w:rFonts w:ascii="宋体"/>
      <w:bCs w:val="0"/>
      <w:color w:val="FF0000"/>
    </w:rPr>
  </w:style>
  <w:style w:type="paragraph" w:customStyle="1" w:styleId="129">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0">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table" w:customStyle="1" w:styleId="131">
    <w:name w:val="网格型1"/>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2">
    <w:name w:val="标题 2 Char1"/>
    <w:link w:val="4"/>
    <w:qFormat/>
    <w:locked/>
    <w:uiPriority w:val="0"/>
    <w:rPr>
      <w:rFonts w:ascii="Arial" w:hAnsi="Arial" w:eastAsia="黑体"/>
      <w:b/>
      <w:bCs/>
      <w:kern w:val="2"/>
      <w:sz w:val="32"/>
      <w:szCs w:val="32"/>
    </w:rPr>
  </w:style>
  <w:style w:type="character" w:customStyle="1" w:styleId="133">
    <w:name w:val="Font Style17"/>
    <w:qFormat/>
    <w:uiPriority w:val="0"/>
    <w:rPr>
      <w:rFonts w:ascii="黑体" w:eastAsia="黑体" w:cs="黑体"/>
      <w:sz w:val="28"/>
      <w:szCs w:val="28"/>
    </w:rPr>
  </w:style>
  <w:style w:type="character" w:customStyle="1" w:styleId="134">
    <w:name w:val="纯文本 Char1"/>
    <w:qFormat/>
    <w:uiPriority w:val="0"/>
    <w:rPr>
      <w:rFonts w:ascii="宋体" w:hAnsi="Courier New" w:eastAsia="宋体" w:cs="Courier New"/>
      <w:kern w:val="2"/>
      <w:sz w:val="21"/>
      <w:szCs w:val="21"/>
      <w:lang w:val="en-US" w:eastAsia="zh-CN" w:bidi="ar-SA"/>
    </w:rPr>
  </w:style>
  <w:style w:type="character" w:customStyle="1" w:styleId="135">
    <w:name w:val="方案正文 Char"/>
    <w:link w:val="136"/>
    <w:qFormat/>
    <w:uiPriority w:val="0"/>
    <w:rPr>
      <w:rFonts w:ascii="宋体" w:hAnsi="宋体"/>
      <w:b/>
      <w:kern w:val="2"/>
      <w:sz w:val="28"/>
      <w:szCs w:val="24"/>
    </w:rPr>
  </w:style>
  <w:style w:type="paragraph" w:customStyle="1" w:styleId="136">
    <w:name w:val="方案正文"/>
    <w:link w:val="135"/>
    <w:qFormat/>
    <w:uiPriority w:val="0"/>
    <w:pPr>
      <w:spacing w:beforeLines="50" w:line="560" w:lineRule="exact"/>
      <w:ind w:firstLine="200" w:firstLineChars="200"/>
      <w:jc w:val="both"/>
    </w:pPr>
    <w:rPr>
      <w:rFonts w:ascii="宋体" w:hAnsi="宋体" w:eastAsia="宋体" w:cs="Times New Roman"/>
      <w:b/>
      <w:kern w:val="2"/>
      <w:sz w:val="28"/>
      <w:szCs w:val="24"/>
      <w:lang w:val="en-US" w:eastAsia="zh-CN" w:bidi="ar-SA"/>
    </w:rPr>
  </w:style>
  <w:style w:type="character" w:customStyle="1" w:styleId="137">
    <w:name w:val="标题 1 Char"/>
    <w:link w:val="3"/>
    <w:qFormat/>
    <w:locked/>
    <w:uiPriority w:val="0"/>
    <w:rPr>
      <w:b/>
      <w:bCs/>
      <w:kern w:val="44"/>
      <w:sz w:val="44"/>
      <w:szCs w:val="44"/>
    </w:rPr>
  </w:style>
  <w:style w:type="paragraph" w:customStyle="1" w:styleId="138">
    <w:name w:val="样式 样式 标题 4Alt+41.1.1.1 Heading 4bulletblbbH44h4H41h41H42... + 自动..."/>
    <w:basedOn w:val="1"/>
    <w:qFormat/>
    <w:uiPriority w:val="0"/>
    <w:pPr>
      <w:keepNext/>
      <w:keepLines/>
      <w:numPr>
        <w:ilvl w:val="3"/>
        <w:numId w:val="3"/>
      </w:numPr>
      <w:spacing w:before="120" w:after="120" w:line="376" w:lineRule="auto"/>
      <w:outlineLvl w:val="3"/>
    </w:pPr>
    <w:rPr>
      <w:rFonts w:ascii="宋体" w:hAnsi="宋体" w:eastAsia="黑体"/>
      <w:b/>
      <w:bCs/>
      <w:sz w:val="28"/>
      <w:szCs w:val="28"/>
    </w:rPr>
  </w:style>
  <w:style w:type="paragraph" w:styleId="139">
    <w:name w:val="No Spacing"/>
    <w:link w:val="140"/>
    <w:qFormat/>
    <w:uiPriority w:val="1"/>
    <w:rPr>
      <w:rFonts w:asciiTheme="minorHAnsi" w:hAnsiTheme="minorHAnsi" w:eastAsiaTheme="minorEastAsia" w:cstheme="minorBidi"/>
      <w:sz w:val="22"/>
      <w:szCs w:val="22"/>
      <w:lang w:val="en-US" w:eastAsia="zh-CN" w:bidi="ar-SA"/>
    </w:rPr>
  </w:style>
  <w:style w:type="character" w:customStyle="1" w:styleId="140">
    <w:name w:val="无间隔 Char"/>
    <w:basedOn w:val="46"/>
    <w:link w:val="139"/>
    <w:qFormat/>
    <w:uiPriority w:val="1"/>
    <w:rPr>
      <w:rFonts w:asciiTheme="minorHAnsi" w:hAnsiTheme="minorHAnsi" w:eastAsiaTheme="minorEastAsia" w:cstheme="minorBidi"/>
      <w:sz w:val="22"/>
      <w:szCs w:val="22"/>
    </w:rPr>
  </w:style>
  <w:style w:type="paragraph" w:customStyle="1" w:styleId="141">
    <w:name w:val="正文格式"/>
    <w:basedOn w:val="1"/>
    <w:qFormat/>
    <w:uiPriority w:val="0"/>
    <w:pPr>
      <w:spacing w:beforeLines="50" w:afterLines="50" w:line="360" w:lineRule="auto"/>
      <w:ind w:firstLine="480" w:firstLineChars="200"/>
    </w:pPr>
    <w:rPr>
      <w:rFonts w:ascii="宋体" w:hAnsi="宋体"/>
      <w:lang w:val="en-GB"/>
    </w:rPr>
  </w:style>
  <w:style w:type="character" w:customStyle="1" w:styleId="142">
    <w:name w:val="nth-child(1)"/>
    <w:basedOn w:val="46"/>
    <w:qFormat/>
    <w:uiPriority w:val="0"/>
  </w:style>
  <w:style w:type="character" w:customStyle="1" w:styleId="143">
    <w:name w:val="hover24"/>
    <w:basedOn w:val="46"/>
    <w:qFormat/>
    <w:uiPriority w:val="0"/>
  </w:style>
  <w:style w:type="character" w:customStyle="1" w:styleId="144">
    <w:name w:val="hover25"/>
    <w:basedOn w:val="46"/>
    <w:qFormat/>
    <w:uiPriority w:val="0"/>
    <w:rPr>
      <w:shd w:val="clear" w:color="auto" w:fill="F6F6F6"/>
    </w:rPr>
  </w:style>
  <w:style w:type="character" w:customStyle="1" w:styleId="145">
    <w:name w:val="hover26"/>
    <w:basedOn w:val="46"/>
    <w:qFormat/>
    <w:uiPriority w:val="0"/>
    <w:rPr>
      <w:color w:val="3C88FF"/>
    </w:rPr>
  </w:style>
  <w:style w:type="character" w:customStyle="1" w:styleId="146">
    <w:name w:val="first-child"/>
    <w:basedOn w:val="46"/>
    <w:qFormat/>
    <w:uiPriority w:val="0"/>
    <w:rPr>
      <w:color w:val="FFA800"/>
    </w:rPr>
  </w:style>
  <w:style w:type="character" w:customStyle="1" w:styleId="147">
    <w:name w:val="index-name-935ff1"/>
    <w:basedOn w:val="46"/>
    <w:qFormat/>
    <w:uiPriority w:val="0"/>
    <w:rPr>
      <w:sz w:val="24"/>
      <w:szCs w:val="24"/>
    </w:rPr>
  </w:style>
  <w:style w:type="character" w:customStyle="1" w:styleId="148">
    <w:name w:val="index-disable-b2173"/>
    <w:basedOn w:val="46"/>
    <w:qFormat/>
    <w:uiPriority w:val="0"/>
  </w:style>
  <w:style w:type="character" w:customStyle="1" w:styleId="149">
    <w:name w:val="nth-child(2)"/>
    <w:basedOn w:val="46"/>
    <w:qFormat/>
    <w:uiPriority w:val="0"/>
  </w:style>
  <w:style w:type="character" w:customStyle="1" w:styleId="150">
    <w:name w:val="text"/>
    <w:basedOn w:val="46"/>
    <w:qFormat/>
    <w:uiPriority w:val="0"/>
    <w:rPr>
      <w:color w:val="666666"/>
    </w:rPr>
  </w:style>
  <w:style w:type="character" w:customStyle="1" w:styleId="151">
    <w:name w:val="text1"/>
    <w:basedOn w:val="46"/>
    <w:qFormat/>
    <w:uiPriority w:val="0"/>
    <w:rPr>
      <w:color w:val="666666"/>
    </w:rPr>
  </w:style>
  <w:style w:type="character" w:customStyle="1" w:styleId="152">
    <w:name w:val="back"/>
    <w:basedOn w:val="46"/>
    <w:qFormat/>
    <w:uiPriority w:val="0"/>
    <w:rPr>
      <w:shd w:val="clear" w:color="auto" w:fill="111111"/>
    </w:rPr>
  </w:style>
  <w:style w:type="character" w:customStyle="1" w:styleId="153">
    <w:name w:val="back1"/>
    <w:basedOn w:val="46"/>
    <w:qFormat/>
    <w:uiPriority w:val="0"/>
    <w:rPr>
      <w:shd w:val="clear" w:color="auto" w:fill="111111"/>
    </w:rPr>
  </w:style>
  <w:style w:type="character" w:customStyle="1" w:styleId="154">
    <w:name w:val="nth-child(1)1"/>
    <w:basedOn w:val="46"/>
    <w:qFormat/>
    <w:uiPriority w:val="0"/>
  </w:style>
  <w:style w:type="character" w:customStyle="1" w:styleId="155">
    <w:name w:val="index-name-935ff"/>
    <w:basedOn w:val="46"/>
    <w:qFormat/>
    <w:uiPriority w:val="0"/>
    <w:rPr>
      <w:sz w:val="24"/>
      <w:szCs w:val="24"/>
    </w:rPr>
  </w:style>
  <w:style w:type="character" w:customStyle="1" w:styleId="156">
    <w:name w:val="rili11"/>
    <w:qFormat/>
    <w:uiPriority w:val="99"/>
    <w:rPr>
      <w:sz w:val="21"/>
    </w:rPr>
  </w:style>
  <w:style w:type="character" w:styleId="157">
    <w:name w:val="Placeholder Text"/>
    <w:basedOn w:val="4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217"/>
    <customShpInfo spid="_x0000_s121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86E59-AF63-4CCC-9F04-A009127308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17504</Words>
  <Characters>18537</Characters>
  <Lines>171</Lines>
  <Paragraphs>48</Paragraphs>
  <TotalTime>8</TotalTime>
  <ScaleCrop>false</ScaleCrop>
  <LinksUpToDate>false</LinksUpToDate>
  <CharactersWithSpaces>21451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2016-11-05T10:23:00Z</dcterms:created>
  <dc:creator>ibm</dc:creator>
  <cp:lastModifiedBy>RX</cp:lastModifiedBy>
  <cp:lastPrinted>2021-07-02T03:20:00Z</cp:lastPrinted>
  <dcterms:modified xsi:type="dcterms:W3CDTF">2023-09-08T08:39:34Z</dcterms:modified>
  <dc:title>第三部分  政府采购规范文本</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627329B4981F4C0DBFE80258EC864D34</vt:lpwstr>
  </property>
</Properties>
</file>