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hAnsi="宋体"/>
          <w:bCs/>
          <w:color w:val="000000" w:themeColor="text1"/>
          <w:sz w:val="32"/>
          <w:highlight w:val="none"/>
          <w14:textFill>
            <w14:solidFill>
              <w14:schemeClr w14:val="tx1"/>
            </w14:solidFill>
          </w14:textFill>
        </w:rPr>
        <w:drawing>
          <wp:inline distT="0" distB="0" distL="0" distR="0">
            <wp:extent cx="2320290" cy="37084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4"/>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4"/>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4"/>
        <w:tblW w:w="7163" w:type="dxa"/>
        <w:jc w:val="center"/>
        <w:tblLayout w:type="fixed"/>
        <w:tblCellMar>
          <w:top w:w="0" w:type="dxa"/>
          <w:left w:w="108" w:type="dxa"/>
          <w:bottom w:w="0" w:type="dxa"/>
          <w:right w:w="108" w:type="dxa"/>
        </w:tblCellMar>
      </w:tblPr>
      <w:tblGrid>
        <w:gridCol w:w="1951"/>
        <w:gridCol w:w="284"/>
        <w:gridCol w:w="4928"/>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vAlign w:val="top"/>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928" w:type="dxa"/>
            <w:vAlign w:val="center"/>
          </w:tcPr>
          <w:p>
            <w:pPr>
              <w:pStyle w:val="24"/>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YXCG-20230713</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928"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阳江海关口岸快速检测设备采购项目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928"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中华人民共和国阳江海关</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928"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4"/>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w:t>
      </w:r>
      <w:r>
        <w:rPr>
          <w:rFonts w:hint="eastAsia" w:hAnsi="宋体"/>
          <w:b/>
          <w:bCs/>
          <w:color w:val="000000" w:themeColor="text1"/>
          <w:sz w:val="24"/>
          <w:szCs w:val="24"/>
          <w:highlight w:val="none"/>
          <w:lang w:val="en-US" w:eastAsia="zh-CN"/>
          <w14:textFill>
            <w14:solidFill>
              <w14:schemeClr w14:val="tx1"/>
            </w14:solidFill>
          </w14:textFill>
        </w:rPr>
        <w:t>二三</w:t>
      </w:r>
      <w:r>
        <w:rPr>
          <w:rFonts w:hint="eastAsia" w:hAnsi="宋体"/>
          <w:b/>
          <w:bCs/>
          <w:color w:val="000000" w:themeColor="text1"/>
          <w:sz w:val="24"/>
          <w:szCs w:val="24"/>
          <w:highlight w:val="none"/>
          <w14:textFill>
            <w14:solidFill>
              <w14:schemeClr w14:val="tx1"/>
            </w14:solidFill>
          </w14:textFill>
        </w:rPr>
        <w:t>年</w:t>
      </w:r>
      <w:r>
        <w:rPr>
          <w:rFonts w:hint="eastAsia" w:hAnsi="宋体"/>
          <w:b/>
          <w:bCs/>
          <w:color w:val="000000" w:themeColor="text1"/>
          <w:sz w:val="24"/>
          <w:szCs w:val="24"/>
          <w:highlight w:val="none"/>
          <w:lang w:val="en-US" w:eastAsia="zh-CN"/>
          <w14:textFill>
            <w14:solidFill>
              <w14:schemeClr w14:val="tx1"/>
            </w14:solidFill>
          </w14:textFill>
        </w:rPr>
        <w:t>七</w:t>
      </w:r>
      <w:r>
        <w:rPr>
          <w:rFonts w:hint="eastAsia" w:hAnsi="宋体"/>
          <w:b/>
          <w:bCs/>
          <w:color w:val="000000" w:themeColor="text1"/>
          <w:sz w:val="24"/>
          <w:szCs w:val="24"/>
          <w:highlight w:val="none"/>
          <w14:textFill>
            <w14:solidFill>
              <w14:schemeClr w14:val="tx1"/>
            </w14:solidFill>
          </w14:textFill>
        </w:rPr>
        <w:t>月</w:t>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w:t>
      </w:r>
      <w:r>
        <w:rPr>
          <w:rFonts w:ascii="宋体" w:hAnsi="宋体"/>
          <w:color w:val="000000" w:themeColor="text1"/>
          <w:szCs w:val="21"/>
          <w:highlight w:val="none"/>
          <w14:textFill>
            <w14:solidFill>
              <w14:schemeClr w14:val="tx1"/>
            </w14:solidFill>
          </w14:textFill>
        </w:rPr>
        <w:t>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w:t>
      </w:r>
      <w:r>
        <w:rPr>
          <w:rFonts w:ascii="宋体" w:hAnsi="宋体"/>
          <w:color w:val="000000" w:themeColor="text1"/>
          <w:szCs w:val="21"/>
          <w:highlight w:val="none"/>
          <w14:textFill>
            <w14:solidFill>
              <w14:schemeClr w14:val="tx1"/>
            </w14:solidFill>
          </w14:textFill>
        </w:rPr>
        <w:t>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4"/>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7" w:h="16840"/>
          <w:pgMar w:top="1247" w:right="1247" w:bottom="1247" w:left="1247" w:header="851" w:footer="851" w:gutter="0"/>
          <w:cols w:space="720" w:num="1"/>
          <w:titlePg/>
          <w:docGrid w:linePitch="380" w:charSpace="-5735"/>
        </w:sectPr>
      </w:pPr>
    </w:p>
    <w:p>
      <w:pPr>
        <w:pStyle w:val="38"/>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目     录</w:t>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_Toc29910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_Toc15149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_Toc31923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YXCG-20230713</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_Toc29613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阳江海关口岸快速检测设备采购项目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_Toc12431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_Toc22312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_Toc13782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_Toc10440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_Toc15302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_Toc12619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_Toc20398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_Toc6242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_Toc14120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_Toc22286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_Toc27674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_Toc4444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_Toc3929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_Toc29934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_Toc22784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_Toc4549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_Toc3642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投标</w:t>
      </w:r>
      <w:r>
        <w:rPr>
          <w:rFonts w:hint="eastAsia"/>
          <w:color w:val="000000" w:themeColor="text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_Toc25473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_Toc26993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_Toc30792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_Toc4703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_Toc29304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_Toc24361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_Toc11746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_Toc12985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_Toc32161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_Toc19278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_Toc26381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_Toc5548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_Toc5031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_Toc3549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_Toc19896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_Toc8671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_Toc28399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_Toc5613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_Toc22077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_Toc6878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_Toc3068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_Toc7210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_Toc20929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_Toc31379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_Toc16201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_Toc8144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_Toc28085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_Toc847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_Toc7061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_Toc691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_Toc19446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_Toc14385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_Toc28739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_Toc17398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_Toc15956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_Toc29511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bidi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_Toc6903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ind w:left="0" w:left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pStyle w:val="3"/>
        <w:numPr>
          <w:ilvl w:val="0"/>
          <w:numId w:val="0"/>
        </w:numPr>
        <w:autoSpaceDE w:val="0"/>
        <w:autoSpaceDN w:val="0"/>
        <w:adjustRightInd w:val="0"/>
        <w:snapToGrid w:val="0"/>
        <w:spacing w:beforeLines="100" w:after="0" w:line="360" w:lineRule="auto"/>
        <w:jc w:val="center"/>
        <w:textAlignment w:val="baseline"/>
        <w:rPr>
          <w:rFonts w:hint="default" w:ascii="宋体" w:hAnsi="宋体" w:eastAsia="宋体"/>
          <w:color w:val="000000" w:themeColor="text1"/>
          <w:sz w:val="21"/>
          <w:szCs w:val="21"/>
          <w:highlight w:val="none"/>
          <w:lang w:val="en-US" w:eastAsia="zh-CN"/>
          <w14:textFill>
            <w14:solidFill>
              <w14:schemeClr w14:val="tx1"/>
            </w14:solidFill>
          </w14:textFill>
        </w:rPr>
      </w:pPr>
      <w:bookmarkStart w:id="0" w:name="_Toc29910"/>
      <w:bookmarkStart w:id="1" w:name="_Toc452826425"/>
      <w:bookmarkStart w:id="2" w:name="_Toc4611"/>
      <w:bookmarkStart w:id="3" w:name="_Toc3085"/>
      <w:bookmarkStart w:id="4" w:name="_Toc351988709"/>
      <w:bookmarkStart w:id="5" w:name="_Toc351990145"/>
      <w:bookmarkStart w:id="6" w:name="_Toc351987768"/>
      <w:bookmarkStart w:id="7" w:name="_Toc351987964"/>
      <w:bookmarkStart w:id="8" w:name="_Toc357151175"/>
      <w:bookmarkStart w:id="9" w:name="_Toc353522392"/>
      <w:bookmarkStart w:id="10" w:name="_Toc369180022"/>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1"/>
      <w:bookmarkEnd w:id="2"/>
      <w:bookmarkEnd w:id="3"/>
      <w:r>
        <w:rPr>
          <w:rFonts w:hint="eastAsia" w:ascii="宋体" w:hAnsi="宋体"/>
          <w:color w:val="000000" w:themeColor="text1"/>
          <w:sz w:val="21"/>
          <w:szCs w:val="21"/>
          <w:highlight w:val="none"/>
          <w:lang w:val="en-US" w:eastAsia="zh-CN"/>
          <w14:textFill>
            <w14:solidFill>
              <w14:schemeClr w14:val="tx1"/>
            </w14:solidFill>
          </w14:textFill>
        </w:rPr>
        <w:t xml:space="preserve">  </w:t>
      </w:r>
    </w:p>
    <w:p>
      <w:pPr>
        <w:rPr>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广东业信采购招标有限公司受</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中华人民共和国阳江海关</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阳江海关口岸快速检测设备采购项目</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4）有依法缴纳税收和社会保障资金的良好记录；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5）参加政府采购活动前三年内，在经营活动中没有重大违法记录；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6）法律、行政法规规定的其他条件。</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2.投标人</w:t>
      </w:r>
      <w:r>
        <w:rPr>
          <w:rFonts w:hint="eastAsia" w:ascii="宋体" w:hAnsi="宋体"/>
          <w:color w:val="000000" w:themeColor="text1"/>
          <w:szCs w:val="21"/>
          <w:highlight w:val="none"/>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b w:val="0"/>
          <w:bCs w:val="0"/>
          <w:color w:val="000000" w:themeColor="text1"/>
          <w:szCs w:val="21"/>
          <w:highlight w:val="none"/>
          <w:lang w:val="en-US" w:eastAsia="zh-CN"/>
          <w14:textFill>
            <w14:solidFill>
              <w14:schemeClr w14:val="tx1"/>
            </w14:solidFill>
          </w14:textFill>
        </w:rPr>
        <w:t>谈判响应函</w:t>
      </w:r>
      <w:r>
        <w:rPr>
          <w:rFonts w:hint="eastAsia" w:ascii="宋体" w:hAnsi="宋体"/>
          <w:color w:val="000000" w:themeColor="text1"/>
          <w:szCs w:val="21"/>
          <w:highlight w:val="none"/>
          <w:lang w:val="en-US" w:eastAsia="zh-CN"/>
          <w14:textFill>
            <w14:solidFill>
              <w14:schemeClr w14:val="tx1"/>
            </w14:solidFill>
          </w14:textFill>
        </w:rPr>
        <w:t>》承诺</w:t>
      </w:r>
      <w:r>
        <w:rPr>
          <w:rFonts w:hint="eastAsia" w:ascii="宋体" w:hAnsi="宋体"/>
          <w:color w:val="000000" w:themeColor="text1"/>
          <w:szCs w:val="21"/>
          <w:highlight w:val="none"/>
          <w:lang w:eastAsia="zh-CN"/>
          <w14:textFill>
            <w14:solidFill>
              <w14:schemeClr w14:val="tx1"/>
            </w14:solidFill>
          </w14:textFill>
        </w:rPr>
        <w:t>）</w:t>
      </w:r>
    </w:p>
    <w:p>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为采购项目提供整体设计、规范编制或者项目管理、监理、检测等服务的供应商，不得再参加该采购该包组的其他采购活动。</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b w:val="0"/>
          <w:bCs w:val="0"/>
          <w:color w:val="000000" w:themeColor="text1"/>
          <w:szCs w:val="21"/>
          <w:highlight w:val="none"/>
          <w:lang w:val="en-US" w:eastAsia="zh-CN"/>
          <w14:textFill>
            <w14:solidFill>
              <w14:schemeClr w14:val="tx1"/>
            </w14:solidFill>
          </w14:textFill>
        </w:rPr>
        <w:t>谈判响应函</w:t>
      </w:r>
      <w:r>
        <w:rPr>
          <w:rFonts w:hint="eastAsia" w:ascii="宋体" w:hAnsi="宋体"/>
          <w:color w:val="000000" w:themeColor="text1"/>
          <w:szCs w:val="21"/>
          <w:highlight w:val="none"/>
          <w:lang w:val="en-US" w:eastAsia="zh-CN"/>
          <w14:textFill>
            <w14:solidFill>
              <w14:schemeClr w14:val="tx1"/>
            </w14:solidFill>
          </w14:textFill>
        </w:rPr>
        <w:t>》承诺</w:t>
      </w:r>
      <w:r>
        <w:rPr>
          <w:rFonts w:hint="eastAsia" w:ascii="宋体" w:hAnsi="宋体"/>
          <w:color w:val="000000" w:themeColor="text1"/>
          <w:szCs w:val="21"/>
          <w:highlight w:val="none"/>
          <w:lang w:eastAsia="zh-CN"/>
          <w14:textFill>
            <w14:solidFill>
              <w14:schemeClr w14:val="tx1"/>
            </w14:solidFill>
          </w14:textFill>
        </w:rPr>
        <w:t>）</w:t>
      </w:r>
    </w:p>
    <w:p>
      <w:pPr>
        <w:spacing w:line="360" w:lineRule="auto"/>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5.投标人具有《医疗器械生产许可证》或《医疗器械经营许可证》。</w:t>
      </w:r>
    </w:p>
    <w:p>
      <w:pPr>
        <w:spacing w:line="360" w:lineRule="auto"/>
        <w:ind w:firstLine="420" w:firstLineChars="200"/>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.本项目不接受联合体投标</w:t>
      </w:r>
      <w:r>
        <w:rPr>
          <w:rFonts w:hint="eastAsia" w:ascii="宋体" w:hAnsi="宋体"/>
          <w:color w:val="000000" w:themeColor="text1"/>
          <w:szCs w:val="21"/>
          <w:highlight w:val="none"/>
          <w:lang w:eastAsia="zh-CN"/>
          <w14:textFill>
            <w14:solidFill>
              <w14:schemeClr w14:val="tx1"/>
            </w14:solidFill>
          </w14:textFill>
        </w:rPr>
        <w:t>。</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7</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bookmarkStart w:id="425" w:name="_GoBack"/>
      <w:bookmarkEnd w:id="425"/>
    </w:p>
    <w:p>
      <w:pPr>
        <w:widowControl/>
        <w:adjustRightInd w:val="0"/>
        <w:snapToGrid w:val="0"/>
        <w:spacing w:line="360" w:lineRule="auto"/>
        <w:ind w:firstLine="420" w:firstLineChars="2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YXCG-20230713</w:t>
      </w:r>
    </w:p>
    <w:p>
      <w:pPr>
        <w:widowControl/>
        <w:adjustRightInd w:val="0"/>
        <w:snapToGrid w:val="0"/>
        <w:spacing w:line="360" w:lineRule="auto"/>
        <w:ind w:firstLine="420" w:firstLineChars="2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2．谈判项目名称：</w:t>
      </w:r>
      <w:r>
        <w:rPr>
          <w:rFonts w:hint="eastAsia" w:ascii="宋体" w:hAnsi="宋体"/>
          <w:bCs/>
          <w:color w:val="000000" w:themeColor="text1"/>
          <w:szCs w:val="21"/>
          <w:highlight w:val="none"/>
          <w:lang w:eastAsia="zh-CN"/>
          <w14:textFill>
            <w14:solidFill>
              <w14:schemeClr w14:val="tx1"/>
            </w14:solidFill>
          </w14:textFill>
        </w:rPr>
        <w:t>阳江海关口岸快速检测设备采购项目</w:t>
      </w:r>
    </w:p>
    <w:p>
      <w:pPr>
        <w:widowControl/>
        <w:adjustRightInd w:val="0"/>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3．采购预算：人民币</w:t>
      </w:r>
      <w:r>
        <w:rPr>
          <w:rFonts w:hint="eastAsia" w:ascii="宋体" w:hAnsi="宋体" w:cs="宋体"/>
          <w:bCs/>
          <w:color w:val="000000" w:themeColor="text1"/>
          <w:kern w:val="0"/>
          <w:szCs w:val="21"/>
          <w:highlight w:val="none"/>
          <w:lang w:val="en-US" w:eastAsia="zh-CN"/>
          <w14:textFill>
            <w14:solidFill>
              <w14:schemeClr w14:val="tx1"/>
            </w14:solidFill>
          </w14:textFill>
        </w:rPr>
        <w:t>500000.00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adjustRightInd w:val="0"/>
        <w:snapToGrid w:val="0"/>
        <w:spacing w:line="360" w:lineRule="auto"/>
        <w:ind w:firstLine="420" w:firstLineChars="2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4．数  量：</w:t>
      </w:r>
      <w:r>
        <w:rPr>
          <w:rFonts w:hint="eastAsia" w:ascii="宋体" w:hAnsi="宋体"/>
          <w:bCs/>
          <w:color w:val="000000" w:themeColor="text1"/>
          <w:szCs w:val="21"/>
          <w:highlight w:val="none"/>
          <w:lang w:val="en-US" w:eastAsia="zh-CN"/>
          <w14:textFill>
            <w14:solidFill>
              <w14:schemeClr w14:val="tx1"/>
            </w14:solidFill>
          </w14:textFill>
        </w:rPr>
        <w:t>两台</w:t>
      </w:r>
    </w:p>
    <w:p>
      <w:pPr>
        <w:adjustRightInd w:val="0"/>
        <w:snapToGrid w:val="0"/>
        <w:spacing w:line="360" w:lineRule="auto"/>
        <w:ind w:left="0" w:leftChars="0"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5．交货期：</w:t>
      </w:r>
      <w:r>
        <w:rPr>
          <w:rFonts w:hint="eastAsia" w:ascii="宋体" w:hAnsi="宋体"/>
          <w:color w:val="000000" w:themeColor="text1"/>
          <w:highlight w:val="none"/>
          <w14:textFill>
            <w14:solidFill>
              <w14:schemeClr w14:val="tx1"/>
            </w14:solidFill>
          </w14:textFill>
        </w:rPr>
        <w:t>自合同签订后10天内，包含硬件设备供货、安装调试、系统软件联调、测试等。</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超出该交货期作无效投标处理</w:t>
      </w:r>
      <w:r>
        <w:rPr>
          <w:rFonts w:hint="eastAsia" w:ascii="宋体" w:hAnsi="宋体"/>
          <w:color w:val="000000" w:themeColor="text1"/>
          <w:highlight w:val="none"/>
          <w:lang w:eastAsia="zh-CN"/>
          <w14:textFill>
            <w14:solidFill>
              <w14:schemeClr w14:val="tx1"/>
            </w14:solidFill>
          </w14:textFill>
        </w:rPr>
        <w:t>）</w:t>
      </w:r>
    </w:p>
    <w:p>
      <w:pPr>
        <w:adjustRightInd w:val="0"/>
        <w:snapToGrid w:val="0"/>
        <w:spacing w:line="360" w:lineRule="auto"/>
        <w:ind w:firstLine="420" w:firstLineChars="200"/>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2023年7月28日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2023年8月2日</w:t>
      </w:r>
      <w:r>
        <w:rPr>
          <w:rFonts w:hint="eastAsia" w:ascii="宋体" w:hAnsi="宋体"/>
          <w:color w:val="000000" w:themeColor="text1"/>
          <w:szCs w:val="21"/>
          <w:highlight w:val="none"/>
          <w14:textFill>
            <w14:solidFill>
              <w14:schemeClr w14:val="tx1"/>
            </w14:solidFill>
          </w14:textFill>
        </w:rPr>
        <w:t>。</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2023年7月28日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2023年8月2日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205</w:t>
      </w:r>
      <w:r>
        <w:rPr>
          <w:rFonts w:hint="eastAsia" w:ascii="宋体" w:hAnsi="宋体"/>
          <w:color w:val="000000" w:themeColor="text1"/>
          <w:szCs w:val="21"/>
          <w:highlight w:val="none"/>
          <w14:textFill>
            <w14:solidFill>
              <w14:schemeClr w14:val="tx1"/>
            </w14:solidFill>
          </w14:textFill>
        </w:rPr>
        <w:t>室。</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2023年8月4日</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14:30-15:00(北京时间)。</w:t>
      </w:r>
    </w:p>
    <w:p>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2023年8月4日</w:t>
      </w:r>
      <w:r>
        <w:rPr>
          <w:rFonts w:hint="eastAsia" w:ascii="宋体" w:hAnsi="宋体" w:cs="宋体"/>
          <w:color w:val="000000" w:themeColor="text1"/>
          <w:kern w:val="0"/>
          <w:szCs w:val="21"/>
          <w:highlight w:val="none"/>
          <w14:textFill>
            <w14:solidFill>
              <w14:schemeClr w14:val="tx1"/>
            </w14:solidFill>
          </w14:textFill>
        </w:rPr>
        <w:t xml:space="preserve">  15:00(北京时间)。</w:t>
      </w:r>
    </w:p>
    <w:p>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2023年8月4日</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15:00(北京时间)。</w:t>
      </w:r>
    </w:p>
    <w:p>
      <w:pPr>
        <w:widowControl/>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202评</w:t>
      </w:r>
      <w:r>
        <w:rPr>
          <w:rFonts w:hint="eastAsia" w:ascii="宋体" w:hAnsi="宋体" w:cs="Tahoma"/>
          <w:color w:val="000000" w:themeColor="text1"/>
          <w:highlight w:val="none"/>
          <w14:textFill>
            <w14:solidFill>
              <w14:schemeClr w14:val="tx1"/>
            </w14:solidFill>
          </w14:textFill>
        </w:rPr>
        <w:t>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420" w:firstLineChars="2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中华人民共和国阳江海关</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地址：广东省阳江市江城区金山路一号</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 xml:space="preserve">江女士、梁先生  </w:t>
      </w:r>
    </w:p>
    <w:p>
      <w:pPr>
        <w:spacing w:line="360" w:lineRule="auto"/>
        <w:ind w:firstLine="420" w:firstLineChars="200"/>
        <w:rPr>
          <w:rFonts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联系电话：0750-8681816</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p>
    <w:p>
      <w:pPr>
        <w:tabs>
          <w:tab w:val="left" w:pos="735"/>
          <w:tab w:val="left" w:pos="4680"/>
        </w:tabs>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称：广东业信采购招标有限公司</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联系人：冯国辉</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s="Tahoma"/>
          <w:color w:val="000000" w:themeColor="text1"/>
          <w:highlight w:val="none"/>
          <w14:textFill>
            <w14:solidFill>
              <w14:schemeClr w14:val="tx1"/>
            </w14:solidFill>
          </w14:textFill>
        </w:rPr>
        <w:t>阳江市江城区猫山四街33号A座2楼</w:t>
      </w:r>
    </w:p>
    <w:p>
      <w:pPr>
        <w:widowControl/>
        <w:tabs>
          <w:tab w:val="left" w:pos="502"/>
        </w:tabs>
        <w:adjustRightInd w:val="0"/>
        <w:snapToGrid w:val="0"/>
        <w:spacing w:line="360" w:lineRule="auto"/>
        <w:ind w:firstLine="420" w:firstLineChars="200"/>
        <w:rPr>
          <w:rFonts w:ascii="宋体" w:hAnsi="宋体" w:cs="Tahoma"/>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p>
    <w:p>
      <w:pPr>
        <w:spacing w:line="360" w:lineRule="auto"/>
        <w:ind w:firstLine="3255" w:firstLineChars="1550"/>
        <w:rPr>
          <w:rFonts w:ascii="宋体" w:hAnsi="宋体"/>
          <w:color w:val="000000" w:themeColor="text1"/>
          <w:szCs w:val="21"/>
          <w:highlight w:val="none"/>
          <w14:textFill>
            <w14:solidFill>
              <w14:schemeClr w14:val="tx1"/>
            </w14:solidFill>
          </w14:textFill>
        </w:rPr>
      </w:pPr>
      <w:bookmarkStart w:id="11" w:name="_Toc351986193"/>
      <w:bookmarkStart w:id="12" w:name="_Toc351986013"/>
      <w:bookmarkStart w:id="13" w:name="_Toc351987959"/>
      <w:bookmarkStart w:id="14" w:name="_Toc353522387"/>
      <w:bookmarkStart w:id="15" w:name="_Toc357151163"/>
      <w:bookmarkStart w:id="16" w:name="_Toc351985908"/>
      <w:bookmarkStart w:id="17" w:name="_Toc351987763"/>
      <w:bookmarkStart w:id="18" w:name="_Toc351988704"/>
      <w:bookmarkStart w:id="19" w:name="_Toc329242667"/>
      <w:bookmarkStart w:id="20" w:name="_Toc351990140"/>
      <w:bookmarkStart w:id="21" w:name="_Toc369180017"/>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spacing w:line="360" w:lineRule="auto"/>
        <w:ind w:left="6615" w:leftChars="2450" w:hanging="1470" w:hangingChars="700"/>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2023</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28</w:t>
      </w:r>
      <w:r>
        <w:rPr>
          <w:rFonts w:hint="eastAsia" w:ascii="宋体" w:hAnsi="宋体"/>
          <w:color w:val="000000" w:themeColor="text1"/>
          <w:szCs w:val="21"/>
          <w:highlight w:val="none"/>
          <w14:textFill>
            <w14:solidFill>
              <w14:schemeClr w14:val="tx1"/>
            </w14:solidFill>
          </w14:textFill>
        </w:rPr>
        <w:t>日</w:t>
      </w:r>
    </w:p>
    <w:p>
      <w:pP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pPr>
        <w:pStyle w:val="43"/>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2" w:name="_Toc452826426"/>
      <w:bookmarkStart w:id="23" w:name="_Toc17343"/>
      <w:bookmarkStart w:id="24" w:name="_Toc15149"/>
      <w:bookmarkStart w:id="25" w:name="_Toc28393"/>
      <w:r>
        <w:rPr>
          <w:rFonts w:hint="eastAsia" w:ascii="宋体" w:hAnsi="宋体"/>
          <w:color w:val="000000" w:themeColor="text1"/>
          <w:sz w:val="21"/>
          <w:szCs w:val="21"/>
          <w:highlight w:val="none"/>
          <w14:textFill>
            <w14:solidFill>
              <w14:schemeClr w14:val="tx1"/>
            </w14:solidFill>
          </w14:textFill>
        </w:rPr>
        <w:t>第二部分  采购项目内容</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Start w:id="26"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7" w:name="_Toc351986194"/>
      <w:bookmarkStart w:id="28" w:name="_Toc351990141"/>
      <w:bookmarkStart w:id="29" w:name="_Toc351987764"/>
      <w:bookmarkStart w:id="30" w:name="_Toc357151164"/>
      <w:bookmarkStart w:id="31" w:name="_Toc329242668"/>
      <w:bookmarkStart w:id="32" w:name="_Toc452826427"/>
      <w:bookmarkStart w:id="33" w:name="_Toc353522388"/>
      <w:bookmarkStart w:id="34" w:name="_Toc351985909"/>
      <w:bookmarkStart w:id="35" w:name="_Toc351987960"/>
      <w:bookmarkStart w:id="36" w:name="_Toc351988705"/>
      <w:bookmarkStart w:id="37" w:name="_Toc369180018"/>
      <w:bookmarkStart w:id="38" w:name="_Toc351986014"/>
      <w:bookmarkStart w:id="39" w:name="_Toc1852"/>
      <w:bookmarkStart w:id="40" w:name="_Toc8331"/>
      <w:bookmarkStart w:id="41" w:name="_Toc31923"/>
      <w:r>
        <w:rPr>
          <w:rFonts w:hint="eastAsia" w:ascii="宋体" w:hAnsi="宋体"/>
          <w:color w:val="000000" w:themeColor="text1"/>
          <w:sz w:val="21"/>
          <w:szCs w:val="21"/>
          <w:highlight w:val="none"/>
          <w14:textFill>
            <w14:solidFill>
              <w14:schemeClr w14:val="tx1"/>
            </w14:solidFill>
          </w14:textFill>
        </w:rPr>
        <w:t>项目编号：</w:t>
      </w:r>
      <w:bookmarkEnd w:id="27"/>
      <w:bookmarkEnd w:id="28"/>
      <w:bookmarkEnd w:id="29"/>
      <w:bookmarkEnd w:id="30"/>
      <w:bookmarkEnd w:id="31"/>
      <w:bookmarkEnd w:id="32"/>
      <w:bookmarkEnd w:id="33"/>
      <w:bookmarkEnd w:id="34"/>
      <w:bookmarkEnd w:id="35"/>
      <w:bookmarkEnd w:id="36"/>
      <w:bookmarkEnd w:id="37"/>
      <w:bookmarkEnd w:id="38"/>
      <w:bookmarkEnd w:id="39"/>
      <w:r>
        <w:rPr>
          <w:rFonts w:hint="eastAsia" w:ascii="宋体" w:hAnsi="宋体"/>
          <w:color w:val="000000" w:themeColor="text1"/>
          <w:sz w:val="21"/>
          <w:szCs w:val="21"/>
          <w:highlight w:val="none"/>
          <w:u w:val="single"/>
          <w:lang w:eastAsia="zh-CN"/>
          <w14:textFill>
            <w14:solidFill>
              <w14:schemeClr w14:val="tx1"/>
            </w14:solidFill>
          </w14:textFill>
        </w:rPr>
        <w:t>YXCG-20230713</w:t>
      </w:r>
      <w:bookmarkEnd w:id="40"/>
      <w:bookmarkEnd w:id="41"/>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2" w:name="_Toc351985910"/>
      <w:bookmarkStart w:id="43" w:name="_Toc353522389"/>
      <w:bookmarkStart w:id="44" w:name="_Toc351986195"/>
      <w:bookmarkStart w:id="45" w:name="_Toc15035"/>
      <w:bookmarkStart w:id="46" w:name="_Toc351988706"/>
      <w:bookmarkStart w:id="47" w:name="_Toc452826428"/>
      <w:bookmarkStart w:id="48" w:name="_Toc329242669"/>
      <w:bookmarkStart w:id="49" w:name="_Toc351987961"/>
      <w:bookmarkStart w:id="50" w:name="_Toc351987765"/>
      <w:bookmarkStart w:id="51" w:name="_Toc351986015"/>
      <w:bookmarkStart w:id="52" w:name="_Toc369180019"/>
      <w:bookmarkStart w:id="53" w:name="_Toc357151165"/>
      <w:bookmarkStart w:id="54" w:name="_Toc351990142"/>
      <w:bookmarkStart w:id="55" w:name="_Toc26774"/>
      <w:bookmarkStart w:id="56" w:name="_Toc29613"/>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2"/>
      <w:bookmarkEnd w:id="43"/>
      <w:bookmarkEnd w:id="44"/>
      <w:bookmarkEnd w:id="45"/>
      <w:bookmarkEnd w:id="46"/>
      <w:bookmarkEnd w:id="47"/>
      <w:bookmarkEnd w:id="48"/>
      <w:bookmarkEnd w:id="49"/>
      <w:bookmarkEnd w:id="50"/>
      <w:bookmarkEnd w:id="51"/>
      <w:bookmarkEnd w:id="52"/>
      <w:bookmarkEnd w:id="53"/>
      <w:bookmarkEnd w:id="54"/>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阳江海关口岸快速检测设备采购项目</w:t>
      </w:r>
      <w:bookmarkEnd w:id="55"/>
      <w:bookmarkEnd w:id="56"/>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7" w:name="_Toc351985911"/>
      <w:bookmarkStart w:id="58" w:name="_Toc329242670"/>
      <w:bookmarkStart w:id="59" w:name="_Toc351987766"/>
      <w:bookmarkStart w:id="60" w:name="_Toc351987962"/>
      <w:bookmarkStart w:id="61" w:name="_Toc11598"/>
      <w:bookmarkStart w:id="62" w:name="_Toc6095"/>
      <w:bookmarkStart w:id="63" w:name="_Toc12431"/>
      <w:bookmarkStart w:id="64" w:name="_Toc369180020"/>
      <w:bookmarkStart w:id="65" w:name="_Toc351990143"/>
      <w:bookmarkStart w:id="66" w:name="_Toc452826429"/>
      <w:bookmarkStart w:id="67" w:name="_Toc351988707"/>
      <w:bookmarkStart w:id="68" w:name="_Toc351986016"/>
      <w:bookmarkStart w:id="69" w:name="_Toc357151166"/>
      <w:bookmarkStart w:id="70" w:name="_Toc353522390"/>
      <w:bookmarkStart w:id="71" w:name="_Toc35198619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bl>
      <w:tblPr>
        <w:tblStyle w:val="44"/>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交货期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基本</w:t>
            </w:r>
            <w:r>
              <w:rPr>
                <w:rFonts w:hint="eastAsia"/>
                <w:b/>
                <w:color w:val="000000" w:themeColor="text1"/>
                <w:highlight w:val="none"/>
                <w14:textFill>
                  <w14:solidFill>
                    <w14:schemeClr w14:val="tx1"/>
                  </w14:solidFill>
                </w14:textFill>
              </w:rPr>
              <w:t>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）供应商必须承诺提供厂商原装、全新的、符合采购人提出的有关质量标准的货物。</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）所有货物在开箱检验时必须完好，无破损，配置与装箱单相符。货物外观清洁</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数量、质量及性能不低于</w:t>
            </w:r>
            <w:r>
              <w:rPr>
                <w:rFonts w:hint="eastAsia"/>
                <w:color w:val="000000" w:themeColor="text1"/>
                <w:highlight w:val="none"/>
                <w:lang w:val="en-US" w:eastAsia="zh-CN"/>
                <w14:textFill>
                  <w14:solidFill>
                    <w14:schemeClr w14:val="tx1"/>
                  </w14:solidFill>
                </w14:textFill>
              </w:rPr>
              <w:t>文件</w:t>
            </w:r>
            <w:r>
              <w:rPr>
                <w:rFonts w:hint="eastAsia"/>
                <w:color w:val="000000" w:themeColor="text1"/>
                <w:highlight w:val="none"/>
                <w14:textFill>
                  <w14:solidFill>
                    <w14:schemeClr w14:val="tx1"/>
                  </w14:solidFill>
                </w14:textFill>
              </w:rPr>
              <w:t>提出的要求。</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）对于影响货物正常工作的必要组成部分，无论在技术规范中指出与否，供应商都应提供并在响应文件中明确列出。</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）供应商响应时所提供的货物如在实际供货时已经停产（不列入该厂家当时的产品系统），如果未能按原价提供更优质的货物，则按违约处理。</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）供应商在实际供货时，若被发现提供的货物未能达到</w:t>
            </w:r>
            <w:r>
              <w:rPr>
                <w:rFonts w:hint="eastAsia"/>
                <w:color w:val="000000" w:themeColor="text1"/>
                <w:highlight w:val="none"/>
                <w:lang w:val="en-US" w:eastAsia="zh-CN"/>
                <w14:textFill>
                  <w14:solidFill>
                    <w14:schemeClr w14:val="tx1"/>
                  </w14:solidFill>
                </w14:textFill>
              </w:rPr>
              <w:t>谈判</w:t>
            </w:r>
            <w:r>
              <w:rPr>
                <w:rFonts w:hint="eastAsia"/>
                <w:color w:val="000000" w:themeColor="text1"/>
                <w:highlight w:val="none"/>
                <w14:textFill>
                  <w14:solidFill>
                    <w14:schemeClr w14:val="tx1"/>
                  </w14:solidFill>
                </w14:textFill>
              </w:rPr>
              <w:t>文件和响应文件中的有关要求，将按有关法规进行处罚，采购人将有权单方面终止合同的执行,并追究因</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所提供的未达到所承诺准确率产品而产生的所有损失和责任。</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）由</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负责按国家相关标准进行货物包装，设备的包装均应有良好的防湿、防锈、防潮、防雨、防腐及防碰撞的措施，并适宜本项目实施地点的气候条件。凡由于包装不良造成的损失和由此产生的费用均由</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承担。</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承包及负责</w:t>
            </w:r>
            <w:r>
              <w:rPr>
                <w:rFonts w:hint="eastAsia"/>
                <w:color w:val="000000" w:themeColor="text1"/>
                <w:highlight w:val="none"/>
                <w:lang w:val="en-US" w:eastAsia="zh-CN"/>
                <w14:textFill>
                  <w14:solidFill>
                    <w14:schemeClr w14:val="tx1"/>
                  </w14:solidFill>
                </w14:textFill>
              </w:rPr>
              <w:t>谈判</w:t>
            </w:r>
            <w:r>
              <w:rPr>
                <w:rFonts w:hint="eastAsia"/>
                <w:color w:val="000000" w:themeColor="text1"/>
                <w:highlight w:val="none"/>
                <w14:textFill>
                  <w14:solidFill>
                    <w14:schemeClr w14:val="tx1"/>
                  </w14:solidFill>
                </w14:textFill>
              </w:rPr>
              <w:t>文件对</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要求的一切事宜及责任。包括货物供货、软件提供、运输、保管、安装、调试、验收、培训及相关服务等。</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）除采购人有明确规定外，</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不得以任何方式转包或分包本项目。</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）凡属于《中华人民共和国实施强制性产品认证的产品目录》的产品，请供应商承诺在交货时提供该产品的《中国强制认证》（CCC认证）。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供应商凭《</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通知书》与采购人双方签订，签订时间为《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交货地点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广东省阳江市高新区平冈镇阳江港吉树作业区疏港大道口岸联检综合大楼三楼阳江海关物流监控科卫生检疫实验室。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交货</w:t>
            </w:r>
            <w:r>
              <w:rPr>
                <w:rFonts w:hint="eastAsia"/>
                <w:b/>
                <w:color w:val="000000" w:themeColor="text1"/>
                <w:highlight w:val="none"/>
                <w:lang w:val="en-US" w:eastAsia="zh-CN"/>
                <w14:textFill>
                  <w14:solidFill>
                    <w14:schemeClr w14:val="tx1"/>
                  </w14:solidFill>
                </w14:textFill>
              </w:rPr>
              <w:t>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1.成交供应商将货物送到采购人指定地点完成安装调试，实现正常运行并达到合同要求的性能和产品技术规格中的性能，相关费用已包含在响应报价中。</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2.质量保证：保证所提供设备为原厂生产，全新未使用的产品，没有材料和工艺上的缺陷，并与响应文件描述一致。</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3.设备包装和标记：</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（1）设备包装</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设备包装使用适于运输的坚固材料，并根据合同货物的不同特性和要求采取防潮、防雨、防锈、防震、防腐等保护措施，以确保合同货物安全无损地送达交货地点。</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（2）设备标记</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在包装箱相对的二个侧面上用中文标记“勿倒置”、“小心轻放”、“防潮”等标志和“重心”等装卸搬运时适用的通用图案，以利于装卸和搬运。</w:t>
            </w:r>
          </w:p>
          <w:p>
            <w:pPr>
              <w:spacing w:line="320" w:lineRule="exact"/>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4.设备清点和接收</w:t>
            </w:r>
          </w:p>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在设备运抵用户指定地点后，由成交供应商与采购人接收人员按照货物清单进行设备清点和接受，并双方共同确认货物在运输过程中无明显包装损坏。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安装调试要求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1.设备到货后在规定的项目现场进行并完成安装，安装、配件等产生费用均由</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负责。采购人只负责提供场地，协调办理安装区域的通行手续。调试完毕后，由</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安排人员搬运、安装等工作。</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按</w:t>
            </w:r>
            <w:r>
              <w:rPr>
                <w:rFonts w:hint="eastAsia"/>
                <w:color w:val="000000" w:themeColor="text1"/>
                <w:highlight w:val="none"/>
                <w:lang w:val="en-US" w:eastAsia="zh-CN"/>
                <w14:textFill>
                  <w14:solidFill>
                    <w14:schemeClr w14:val="tx1"/>
                  </w14:solidFill>
                </w14:textFill>
              </w:rPr>
              <w:t>谈判</w:t>
            </w:r>
            <w:r>
              <w:rPr>
                <w:rFonts w:hint="eastAsia"/>
                <w:color w:val="000000" w:themeColor="text1"/>
                <w:highlight w:val="none"/>
                <w14:textFill>
                  <w14:solidFill>
                    <w14:schemeClr w14:val="tx1"/>
                  </w14:solidFill>
                </w14:textFill>
              </w:rPr>
              <w:t>文件对其产品的性能和配置要求进行安装、调测检查，并做出安装、调测报告。所供设备应在采购人指定的地点和环境下，实现正常运行并达到合同要求的性能和产品技术规格中的性能。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设备安装完成后，</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w:t>
            </w:r>
            <w:r>
              <w:rPr>
                <w:rFonts w:hint="eastAsia"/>
                <w:color w:val="000000" w:themeColor="text1"/>
                <w:highlight w:val="none"/>
                <w14:textFill>
                  <w14:solidFill>
                    <w14:schemeClr w14:val="tx1"/>
                  </w14:solidFill>
                </w14:textFill>
              </w:rPr>
              <w:t>应与采购人共同商定测试方法和验收标准，负责在规定的试运行测试时间内进行设备的试运行测试，并接受采购人的监督。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履约保证金</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签订本项目合同后10个工作日内，</w:t>
            </w:r>
            <w:r>
              <w:rPr>
                <w:rFonts w:hint="eastAsia"/>
                <w:color w:val="000000" w:themeColor="text1"/>
                <w:highlight w:val="none"/>
                <w:lang w:val="en-US" w:eastAsia="zh-CN"/>
                <w14:textFill>
                  <w14:solidFill>
                    <w14:schemeClr w14:val="tx1"/>
                  </w14:solidFill>
                </w14:textFill>
              </w:rPr>
              <w:t>成交</w:t>
            </w:r>
            <w:r>
              <w:rPr>
                <w:rFonts w:hint="eastAsia"/>
                <w:color w:val="000000" w:themeColor="text1"/>
                <w:highlight w:val="none"/>
                <w:lang w:eastAsia="zh-CN"/>
                <w14:textFill>
                  <w14:solidFill>
                    <w14:schemeClr w14:val="tx1"/>
                  </w14:solidFill>
                </w14:textFill>
              </w:rPr>
              <w:t>供应商须以银行保函或电汇形式按合同金额的3%（向采购人递交履约保证金。履约保证金有效期截止到收到验收报告之日起3年。有效期满后收到供应商申请后采购人于10个工作日内</w:t>
            </w:r>
            <w:r>
              <w:rPr>
                <w:rFonts w:hint="eastAsia"/>
                <w:color w:val="000000" w:themeColor="text1"/>
                <w:highlight w:val="none"/>
                <w:lang w:val="en-US" w:eastAsia="zh-CN"/>
                <w14:textFill>
                  <w14:solidFill>
                    <w14:schemeClr w14:val="tx1"/>
                  </w14:solidFill>
                </w14:textFill>
              </w:rPr>
              <w:t>无息</w:t>
            </w:r>
            <w:r>
              <w:rPr>
                <w:rFonts w:hint="eastAsia"/>
                <w:color w:val="000000" w:themeColor="text1"/>
                <w:highlight w:val="none"/>
                <w:lang w:eastAsia="zh-CN"/>
                <w14:textFill>
                  <w14:solidFill>
                    <w14:schemeClr w14:val="tx1"/>
                  </w14:solidFill>
                </w14:textFill>
              </w:rPr>
              <w:t>退还。如成交供应商未按合同条款履行合同义务，采购人有权利扣除或没收履约保证金。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1.采购人收到全部货物并验收合格后，供应商向采购人提供以下材料20个工作日内支付全部货款。</w:t>
            </w:r>
          </w:p>
          <w:p>
            <w:pPr>
              <w:spacing w:line="32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2.供应商提交材料：等额发票（原件）、设备检测报告和合格证明（原件）、设备调试记录、系统试运行记录、付款申请。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1.维保方案</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（1）质保服务：供应商须承诺对本次采购产品提供不少于3年的整体质保服务（自签署最终验收报告之日起计算）。质保期内如产品故障产生的一切维修费用已包含在响应报价中。</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（2）维保期内，</w:t>
            </w:r>
            <w:r>
              <w:rPr>
                <w:rFonts w:hint="eastAsia" w:ascii="宋体" w:hAnsi="宋体" w:eastAsia="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负责及时对设备的软件系统进行升级，如设备硬件发生故障，</w:t>
            </w:r>
            <w:r>
              <w:rPr>
                <w:rFonts w:hint="eastAsia" w:ascii="宋体" w:hAnsi="宋体" w:eastAsia="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需24小时内响应，48小时内解除故障或提供替代设备，保证检测工作正常运行。</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远程支持：运维保障提供远程技术支持服务，包括：电话/微信，即时在线通讯等多种服务手段。提供售后服务电话，在接到要求时，将向用户提供设备的各种技术问题咨询，并在24小时内提出解决方案。若远程支持仍无法协助采购人解决问题时，供应商应派专业人员在48小时内抵达现场开展维保。</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（4）在设备安装或迁移时，</w:t>
            </w:r>
            <w:r>
              <w:rPr>
                <w:rFonts w:hint="eastAsia" w:ascii="宋体" w:hAnsi="宋体" w:eastAsia="宋体" w:cs="宋体"/>
                <w:color w:val="000000" w:themeColor="text1"/>
                <w:highlight w:val="none"/>
                <w:lang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应派驻专业人员协助完成。</w:t>
            </w:r>
          </w:p>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（5）供应商须提供详细、科学、合理的售后服务方案，包括质保期内服务方案以及超过质保期限之后的维保服务方案。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培训要求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成交供应商</w:t>
            </w:r>
            <w:r>
              <w:rPr>
                <w:rFonts w:hint="eastAsia"/>
                <w:color w:val="000000" w:themeColor="text1"/>
                <w:highlight w:val="none"/>
                <w14:textFill>
                  <w14:solidFill>
                    <w14:schemeClr w14:val="tx1"/>
                  </w14:solidFill>
                </w14:textFill>
              </w:rPr>
              <w:t>须提供不少于两次现场培训和集中培训，并提供相关技术资料。</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现场培训内容应包括技术原理、操作、日常基本维护与保养，</w:t>
            </w:r>
            <w:r>
              <w:rPr>
                <w:rFonts w:hint="eastAsia"/>
                <w:color w:val="000000" w:themeColor="text1"/>
                <w:highlight w:val="none"/>
                <w:lang w:eastAsia="zh-CN"/>
                <w14:textFill>
                  <w14:solidFill>
                    <w14:schemeClr w14:val="tx1"/>
                  </w14:solidFill>
                </w14:textFill>
              </w:rPr>
              <w:t>成交供应商</w:t>
            </w:r>
            <w:r>
              <w:rPr>
                <w:rFonts w:hint="eastAsia"/>
                <w:color w:val="000000" w:themeColor="text1"/>
                <w:highlight w:val="none"/>
                <w14:textFill>
                  <w14:solidFill>
                    <w14:schemeClr w14:val="tx1"/>
                  </w14:solidFill>
                </w14:textFill>
              </w:rPr>
              <w:t>负责参加培训人员使用的培训设备、教材等相关所有费用，培训详细内容、计划、人数，具体地点和开课日期等由双方协商解决，相关费用已包含在本次响应报价中，采购人不额外支付任何费用。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伍</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5</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14</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2" w:name="_Toc351986017"/>
      <w:bookmarkStart w:id="73" w:name="_Toc351985912"/>
      <w:bookmarkStart w:id="74" w:name="_Toc357151167"/>
      <w:bookmarkStart w:id="75" w:name="_Toc369180021"/>
      <w:bookmarkStart w:id="76" w:name="_Toc351986197"/>
      <w:bookmarkStart w:id="77" w:name="_Toc452826430"/>
      <w:bookmarkStart w:id="78" w:name="_Toc329242671"/>
      <w:bookmarkStart w:id="79" w:name="_Toc22312"/>
      <w:bookmarkStart w:id="80" w:name="_Toc353522391"/>
      <w:bookmarkStart w:id="81" w:name="_Toc351988708"/>
      <w:bookmarkStart w:id="82" w:name="_Toc22918"/>
      <w:bookmarkStart w:id="83" w:name="_Toc351987767"/>
      <w:bookmarkStart w:id="84" w:name="_Toc351990144"/>
      <w:bookmarkStart w:id="85" w:name="_Toc351987963"/>
      <w:bookmarkStart w:id="86" w:name="_Toc22928"/>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rPr>
          <w:color w:val="000000" w:themeColor="text1"/>
          <w:highlight w:val="none"/>
          <w14:textFill>
            <w14:solidFill>
              <w14:schemeClr w14:val="tx1"/>
            </w14:solidFill>
          </w14:textFill>
        </w:rPr>
      </w:pPr>
    </w:p>
    <w:p>
      <w:pPr>
        <w:widowControl w:val="0"/>
        <w:spacing w:after="120"/>
        <w:jc w:val="both"/>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highlight w:val="none"/>
          <w:lang w:val="en-US" w:eastAsia="zh-CN" w:bidi="ar-SA"/>
          <w14:textFill>
            <w14:solidFill>
              <w14:schemeClr w14:val="tx1"/>
            </w14:solidFill>
          </w14:textFill>
        </w:rPr>
        <w:t>一、采购内容</w:t>
      </w:r>
    </w:p>
    <w:tbl>
      <w:tblPr>
        <w:tblStyle w:val="44"/>
        <w:tblW w:w="9045" w:type="dxa"/>
        <w:tblInd w:w="9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5310"/>
        <w:gridCol w:w="26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61" w:type="dxa"/>
            <w:tcBorders>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5310" w:type="dxa"/>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名称</w:t>
            </w:r>
          </w:p>
        </w:tc>
        <w:tc>
          <w:tcPr>
            <w:tcW w:w="2674" w:type="dxa"/>
            <w:tcBorders>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trPr>
        <w:tc>
          <w:tcPr>
            <w:tcW w:w="1061"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口岸传染病快速核酸检测设备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（全自动核酸检测系统）</w:t>
            </w:r>
          </w:p>
        </w:tc>
        <w:tc>
          <w:tcPr>
            <w:tcW w:w="2674" w:type="dxa"/>
            <w:tcBorders>
              <w:top w:val="single" w:color="000000" w:sz="4" w:space="0"/>
              <w:left w:val="single" w:color="000000" w:sz="4" w:space="0"/>
              <w:bottom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61"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5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免疫法快速检测设备（上转发光免疫分析仪）</w:t>
            </w:r>
          </w:p>
        </w:tc>
        <w:tc>
          <w:tcPr>
            <w:tcW w:w="2674"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1台</w:t>
            </w:r>
          </w:p>
        </w:tc>
      </w:tr>
    </w:tbl>
    <w:p>
      <w:pPr>
        <w:spacing w:line="36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二、</w:t>
      </w:r>
      <w:r>
        <w:rPr>
          <w:rFonts w:hint="eastAsia" w:ascii="宋体" w:hAnsi="宋体" w:eastAsia="宋体" w:cs="宋体"/>
          <w:b/>
          <w:bCs/>
          <w:color w:val="000000" w:themeColor="text1"/>
          <w:highlight w:val="none"/>
          <w14:textFill>
            <w14:solidFill>
              <w14:schemeClr w14:val="tx1"/>
            </w14:solidFill>
          </w14:textFill>
        </w:rPr>
        <w:t>快速核酸检测设备技术要求：</w:t>
      </w:r>
    </w:p>
    <w:p>
      <w:pPr>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★1.快速核酸检测设备应设置网络化模块，能够充分对接现有的海关系统卫生处置模块或传染病个案报送系统，具有智慧化数据收集分析和联网传输功能，检测结果实时上传。</w:t>
      </w:r>
      <w:r>
        <w:rPr>
          <w:rFonts w:hint="eastAsia" w:ascii="宋体" w:hAnsi="宋体" w:eastAsia="宋体" w:cs="宋体"/>
          <w:b/>
          <w:bCs/>
          <w:color w:val="000000" w:themeColor="text1"/>
          <w:highlight w:val="none"/>
          <w:lang w:val="en-US" w:eastAsia="zh-CN"/>
          <w14:textFill>
            <w14:solidFill>
              <w14:schemeClr w14:val="tx1"/>
            </w14:solidFill>
          </w14:textFill>
        </w:rPr>
        <w:t>（提供相关证明材料）</w:t>
      </w:r>
    </w:p>
    <w:p>
      <w:pPr>
        <w:spacing w:line="360" w:lineRule="auto"/>
        <w:rPr>
          <w:rFonts w:hint="eastAsia" w:ascii="宋体" w:hAnsi="宋体" w:eastAsia="宋体" w:cs="宋体"/>
          <w:b/>
          <w:bCs/>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★2.快速核酸检测设备需获得国内三类医疗器械注册证。</w:t>
      </w:r>
      <w:r>
        <w:rPr>
          <w:rFonts w:hint="eastAsia" w:ascii="宋体" w:hAnsi="宋体" w:eastAsia="宋体" w:cs="宋体"/>
          <w:b/>
          <w:bCs/>
          <w:color w:val="000000" w:themeColor="text1"/>
          <w:highlight w:val="none"/>
          <w:lang w:val="en-US" w:eastAsia="zh-CN"/>
          <w14:textFill>
            <w14:solidFill>
              <w14:schemeClr w14:val="tx1"/>
            </w14:solidFill>
          </w14:textFill>
        </w:rPr>
        <w:t>（提供证书复印件）</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★3.检测方法为荧光 PCR 的多重检测方法，设备包含核酸提取、体系配制、加样、扩增全部功能。</w:t>
      </w:r>
      <w:r>
        <w:rPr>
          <w:rFonts w:hint="eastAsia" w:ascii="宋体" w:hAnsi="宋体" w:eastAsia="宋体" w:cs="宋体"/>
          <w:b/>
          <w:bCs/>
          <w:color w:val="000000" w:themeColor="text1"/>
          <w:highlight w:val="none"/>
          <w:lang w:val="en-US" w:eastAsia="zh-CN"/>
          <w14:textFill>
            <w14:solidFill>
              <w14:schemeClr w14:val="tx1"/>
            </w14:solidFill>
          </w14:textFill>
        </w:rPr>
        <w:t>（提供相关证明材料）</w:t>
      </w:r>
    </w:p>
    <w:p>
      <w:pPr>
        <w:spacing w:line="36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★4.对于封闭试剂的设备，生产商应提供不高于市场价格的国境口岸重点关注传染病病原体快检试剂，并承诺在设备有效使用年限内（不少于10年），可持续提供相应的封闭试剂和耗材。</w:t>
      </w:r>
      <w:r>
        <w:rPr>
          <w:rFonts w:hint="eastAsia" w:ascii="宋体" w:hAnsi="宋体" w:eastAsia="宋体" w:cs="宋体"/>
          <w:b/>
          <w:bCs/>
          <w:color w:val="000000" w:themeColor="text1"/>
          <w:highlight w:val="none"/>
          <w:lang w:val="en-US"/>
          <w14:textFill>
            <w14:solidFill>
              <w14:schemeClr w14:val="tx1"/>
            </w14:solidFill>
          </w14:textFill>
        </w:rPr>
        <w:t>（提供承诺函，格式自拟）</w:t>
      </w:r>
    </w:p>
    <w:p>
      <w:pPr>
        <w:spacing w:line="36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★5.新冠病毒检测要求“双证”，即设备和试剂均获得国内三类医疗器械注册证。</w:t>
      </w:r>
      <w:r>
        <w:rPr>
          <w:rFonts w:hint="eastAsia" w:ascii="宋体" w:hAnsi="宋体" w:eastAsia="宋体" w:cs="宋体"/>
          <w:b/>
          <w:bCs/>
          <w:color w:val="000000" w:themeColor="text1"/>
          <w:highlight w:val="none"/>
          <w:lang w:val="en-US" w:eastAsia="zh-CN"/>
          <w14:textFill>
            <w14:solidFill>
              <w14:schemeClr w14:val="tx1"/>
            </w14:solidFill>
          </w14:textFill>
        </w:rPr>
        <w:t>（提供证书复印件）</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★6.扩增检测时长应控制在30±5 分钟。</w:t>
      </w:r>
      <w:r>
        <w:rPr>
          <w:rFonts w:hint="eastAsia" w:ascii="宋体" w:hAnsi="宋体" w:eastAsia="宋体" w:cs="宋体"/>
          <w:b/>
          <w:bCs/>
          <w:color w:val="000000" w:themeColor="text1"/>
          <w:highlight w:val="none"/>
          <w:lang w:val="en-US" w:eastAsia="zh-CN"/>
          <w14:textFill>
            <w14:solidFill>
              <w14:schemeClr w14:val="tx1"/>
            </w14:solidFill>
          </w14:textFill>
        </w:rPr>
        <w:t>（提供相关证明材料）</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14:textFill>
            <w14:solidFill>
              <w14:schemeClr w14:val="tx1"/>
            </w14:solidFill>
          </w14:textFill>
        </w:rPr>
        <w:t>★7.快速核酸检测设备及试剂能够针对国境口岸重点关注病原体开展检测。</w:t>
      </w:r>
      <w:r>
        <w:rPr>
          <w:rFonts w:hint="eastAsia" w:ascii="宋体" w:hAnsi="宋体" w:eastAsia="宋体" w:cs="宋体"/>
          <w:b/>
          <w:bCs/>
          <w:color w:val="000000" w:themeColor="text1"/>
          <w:highlight w:val="none"/>
          <w:lang w:val="en-US" w:eastAsia="zh-CN"/>
          <w14:textFill>
            <w14:solidFill>
              <w14:schemeClr w14:val="tx1"/>
            </w14:solidFill>
          </w14:textFill>
        </w:rPr>
        <w:t>（提供相关证明材料）</w:t>
      </w:r>
    </w:p>
    <w:p>
      <w:pPr>
        <w:rPr>
          <w:rFonts w:hint="eastAsia"/>
          <w:b/>
          <w:bCs/>
          <w:color w:val="000000" w:themeColor="text1"/>
          <w:highlight w:val="none"/>
          <w14:textFill>
            <w14:solidFill>
              <w14:schemeClr w14:val="tx1"/>
            </w14:solidFill>
          </w14:textFill>
        </w:rPr>
      </w:pPr>
      <w:bookmarkStart w:id="87" w:name="_Toc13806"/>
      <w:r>
        <w:rPr>
          <w:rFonts w:hint="eastAsia"/>
          <w:b/>
          <w:bCs/>
          <w:color w:val="000000" w:themeColor="text1"/>
          <w:highlight w:val="none"/>
          <w:lang w:val="en-US" w:eastAsia="zh-CN"/>
          <w14:textFill>
            <w14:solidFill>
              <w14:schemeClr w14:val="tx1"/>
            </w14:solidFill>
          </w14:textFill>
        </w:rPr>
        <w:t>三</w:t>
      </w:r>
      <w:r>
        <w:rPr>
          <w:rFonts w:hint="eastAsia"/>
          <w:b/>
          <w:bCs/>
          <w:color w:val="000000" w:themeColor="text1"/>
          <w:highlight w:val="none"/>
          <w14:textFill>
            <w14:solidFill>
              <w14:schemeClr w14:val="tx1"/>
            </w14:solidFill>
          </w14:textFill>
        </w:rPr>
        <w:t>、口岸传染病快速核酸检测设备的技术参数</w:t>
      </w:r>
      <w:bookmarkEnd w:id="87"/>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7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1970" w:type="dxa"/>
            <w:vAlign w:val="center"/>
          </w:tcPr>
          <w:p>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设备名称</w:t>
            </w:r>
          </w:p>
        </w:tc>
        <w:tc>
          <w:tcPr>
            <w:tcW w:w="7318" w:type="dxa"/>
            <w:vAlign w:val="center"/>
          </w:tcPr>
          <w:p>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rPr>
                <w:rFonts w:hint="eastAsia" w:ascii="宋体" w:hAnsi="宋体" w:eastAsia="宋体" w:cs="宋体"/>
                <w:color w:val="000000" w:themeColor="text1"/>
                <w:sz w:val="21"/>
                <w:szCs w:val="21"/>
                <w:highlight w:val="none"/>
                <w14:textFill>
                  <w14:solidFill>
                    <w14:schemeClr w14:val="tx1"/>
                  </w14:solidFill>
                </w14:textFill>
              </w:rPr>
            </w:pPr>
            <w:bookmarkStart w:id="88" w:name="_Toc19704"/>
            <w:r>
              <w:rPr>
                <w:rFonts w:hint="eastAsia" w:ascii="宋体" w:hAnsi="宋体" w:eastAsia="宋体" w:cs="宋体"/>
                <w:color w:val="000000" w:themeColor="text1"/>
                <w:sz w:val="21"/>
                <w:szCs w:val="21"/>
                <w:highlight w:val="none"/>
                <w14:textFill>
                  <w14:solidFill>
                    <w14:schemeClr w14:val="tx1"/>
                  </w14:solidFill>
                </w14:textFill>
              </w:rPr>
              <w:t>口岸传染病快速核酸检测设备</w:t>
            </w:r>
            <w:bookmarkEnd w:id="88"/>
          </w:p>
        </w:tc>
        <w:tc>
          <w:tcPr>
            <w:tcW w:w="7318" w:type="dxa"/>
          </w:tcPr>
          <w:p>
            <w:pPr>
              <w:rPr>
                <w:rFonts w:hint="eastAsia" w:ascii="宋体" w:hAnsi="宋体" w:eastAsia="宋体" w:cs="宋体"/>
                <w:color w:val="000000" w:themeColor="text1"/>
                <w:sz w:val="21"/>
                <w:szCs w:val="21"/>
                <w:highlight w:val="none"/>
                <w14:textFill>
                  <w14:solidFill>
                    <w14:schemeClr w14:val="tx1"/>
                  </w14:solidFill>
                </w14:textFill>
              </w:rPr>
            </w:pPr>
            <w:bookmarkStart w:id="89" w:name="_Toc4168"/>
            <w:r>
              <w:rPr>
                <w:rFonts w:hint="eastAsia" w:ascii="宋体" w:hAnsi="宋体" w:eastAsia="宋体" w:cs="宋体"/>
                <w:color w:val="000000" w:themeColor="text1"/>
                <w:sz w:val="21"/>
                <w:szCs w:val="21"/>
                <w:highlight w:val="none"/>
                <w14:textFill>
                  <w14:solidFill>
                    <w14:schemeClr w14:val="tx1"/>
                  </w14:solidFill>
                </w14:textFill>
              </w:rPr>
              <w:t>（一）用途：基于荧光聚合酶链式反应（PCR）原理，搭配特异性一体化核酸检测盒，可完成：</w:t>
            </w:r>
            <w:bookmarkEnd w:id="89"/>
          </w:p>
          <w:p>
            <w:pPr>
              <w:rPr>
                <w:rFonts w:hint="eastAsia" w:ascii="宋体" w:hAnsi="宋体" w:eastAsia="宋体" w:cs="宋体"/>
                <w:color w:val="000000" w:themeColor="text1"/>
                <w:sz w:val="21"/>
                <w:szCs w:val="21"/>
                <w:highlight w:val="none"/>
                <w14:textFill>
                  <w14:solidFill>
                    <w14:schemeClr w14:val="tx1"/>
                  </w14:solidFill>
                </w14:textFill>
              </w:rPr>
            </w:pPr>
            <w:bookmarkStart w:id="90" w:name="_Toc17797"/>
            <w:r>
              <w:rPr>
                <w:rFonts w:hint="eastAsia" w:ascii="宋体" w:hAnsi="宋体" w:eastAsia="宋体" w:cs="宋体"/>
                <w:color w:val="000000" w:themeColor="text1"/>
                <w:sz w:val="21"/>
                <w:szCs w:val="21"/>
                <w:highlight w:val="none"/>
                <w14:textFill>
                  <w14:solidFill>
                    <w14:schemeClr w14:val="tx1"/>
                  </w14:solidFill>
                </w14:textFill>
              </w:rPr>
              <w:t>1.生物样本中靶核酸（DNA/RNA）的检测；</w:t>
            </w:r>
            <w:bookmarkEnd w:id="90"/>
          </w:p>
          <w:p>
            <w:pPr>
              <w:rPr>
                <w:rFonts w:hint="eastAsia" w:ascii="宋体" w:hAnsi="宋体" w:eastAsia="宋体" w:cs="宋体"/>
                <w:color w:val="000000" w:themeColor="text1"/>
                <w:sz w:val="21"/>
                <w:szCs w:val="21"/>
                <w:highlight w:val="none"/>
                <w14:textFill>
                  <w14:solidFill>
                    <w14:schemeClr w14:val="tx1"/>
                  </w14:solidFill>
                </w14:textFill>
              </w:rPr>
            </w:pPr>
            <w:bookmarkStart w:id="91" w:name="_Toc7924"/>
            <w:r>
              <w:rPr>
                <w:rFonts w:hint="eastAsia" w:ascii="宋体" w:hAnsi="宋体" w:eastAsia="宋体" w:cs="宋体"/>
                <w:color w:val="000000" w:themeColor="text1"/>
                <w:sz w:val="21"/>
                <w:szCs w:val="21"/>
                <w:highlight w:val="none"/>
                <w14:textFill>
                  <w14:solidFill>
                    <w14:schemeClr w14:val="tx1"/>
                  </w14:solidFill>
                </w14:textFill>
              </w:rPr>
              <w:t>2.待测样本进行定性及相对定量分析；</w:t>
            </w:r>
            <w:bookmarkEnd w:id="91"/>
          </w:p>
          <w:p>
            <w:pPr>
              <w:rPr>
                <w:rFonts w:hint="eastAsia" w:ascii="宋体" w:hAnsi="宋体" w:eastAsia="宋体" w:cs="宋体"/>
                <w:color w:val="000000" w:themeColor="text1"/>
                <w:sz w:val="21"/>
                <w:szCs w:val="21"/>
                <w:highlight w:val="none"/>
                <w14:textFill>
                  <w14:solidFill>
                    <w14:schemeClr w14:val="tx1"/>
                  </w14:solidFill>
                </w14:textFill>
              </w:rPr>
            </w:pPr>
            <w:bookmarkStart w:id="92" w:name="_Toc805"/>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可用于新冠病毒、甲型流感病毒、乙型流感病毒、沙门氏菌、诺如病毒、登革热、基孔肯雅、黄热等等的核酸检测。</w:t>
            </w:r>
            <w:bookmarkEnd w:id="92"/>
          </w:p>
          <w:p>
            <w:pPr>
              <w:rPr>
                <w:rFonts w:hint="eastAsia" w:ascii="宋体" w:hAnsi="宋体" w:eastAsia="宋体" w:cs="宋体"/>
                <w:color w:val="000000" w:themeColor="text1"/>
                <w:sz w:val="21"/>
                <w:szCs w:val="21"/>
                <w:highlight w:val="none"/>
                <w14:textFill>
                  <w14:solidFill>
                    <w14:schemeClr w14:val="tx1"/>
                  </w14:solidFill>
                </w14:textFill>
              </w:rPr>
            </w:pPr>
            <w:bookmarkStart w:id="93" w:name="_Toc12616"/>
            <w:r>
              <w:rPr>
                <w:rFonts w:hint="eastAsia" w:ascii="宋体" w:hAnsi="宋体" w:eastAsia="宋体" w:cs="宋体"/>
                <w:color w:val="000000" w:themeColor="text1"/>
                <w:sz w:val="21"/>
                <w:szCs w:val="21"/>
                <w:highlight w:val="none"/>
                <w14:textFill>
                  <w14:solidFill>
                    <w14:schemeClr w14:val="tx1"/>
                  </w14:solidFill>
                </w14:textFill>
              </w:rPr>
              <w:t>（二）使用环境：</w:t>
            </w:r>
            <w:bookmarkEnd w:id="93"/>
          </w:p>
          <w:p>
            <w:pPr>
              <w:rPr>
                <w:rFonts w:hint="eastAsia" w:ascii="宋体" w:hAnsi="宋体" w:eastAsia="宋体" w:cs="宋体"/>
                <w:color w:val="000000" w:themeColor="text1"/>
                <w:sz w:val="21"/>
                <w:szCs w:val="21"/>
                <w:highlight w:val="none"/>
                <w14:textFill>
                  <w14:solidFill>
                    <w14:schemeClr w14:val="tx1"/>
                  </w14:solidFill>
                </w14:textFill>
              </w:rPr>
            </w:pPr>
            <w:bookmarkStart w:id="94" w:name="_Toc21031"/>
            <w:r>
              <w:rPr>
                <w:rFonts w:hint="eastAsia" w:ascii="宋体" w:hAnsi="宋体" w:eastAsia="宋体" w:cs="宋体"/>
                <w:color w:val="000000" w:themeColor="text1"/>
                <w:sz w:val="21"/>
                <w:szCs w:val="21"/>
                <w:highlight w:val="none"/>
                <w14:textFill>
                  <w14:solidFill>
                    <w14:schemeClr w14:val="tx1"/>
                  </w14:solidFill>
                </w14:textFill>
              </w:rPr>
              <w:t>1.额定交流电电压范围：100–240 VAC～，50/60Hz；</w:t>
            </w:r>
            <w:bookmarkEnd w:id="94"/>
          </w:p>
          <w:p>
            <w:pPr>
              <w:rPr>
                <w:rFonts w:hint="eastAsia" w:ascii="宋体" w:hAnsi="宋体" w:eastAsia="宋体" w:cs="宋体"/>
                <w:color w:val="000000" w:themeColor="text1"/>
                <w:sz w:val="21"/>
                <w:szCs w:val="21"/>
                <w:highlight w:val="none"/>
                <w14:textFill>
                  <w14:solidFill>
                    <w14:schemeClr w14:val="tx1"/>
                  </w14:solidFill>
                </w14:textFill>
              </w:rPr>
            </w:pPr>
            <w:bookmarkStart w:id="95" w:name="_Toc31588"/>
            <w:r>
              <w:rPr>
                <w:rFonts w:hint="eastAsia" w:ascii="宋体" w:hAnsi="宋体" w:eastAsia="宋体" w:cs="宋体"/>
                <w:color w:val="000000" w:themeColor="text1"/>
                <w:sz w:val="21"/>
                <w:szCs w:val="21"/>
                <w:highlight w:val="none"/>
                <w14:textFill>
                  <w14:solidFill>
                    <w14:schemeClr w14:val="tx1"/>
                  </w14:solidFill>
                </w14:textFill>
              </w:rPr>
              <w:t>2.环境温度：10℃～40℃；</w:t>
            </w:r>
            <w:bookmarkEnd w:id="95"/>
          </w:p>
          <w:p>
            <w:pPr>
              <w:rPr>
                <w:rFonts w:hint="eastAsia" w:ascii="宋体" w:hAnsi="宋体" w:eastAsia="宋体" w:cs="宋体"/>
                <w:color w:val="000000" w:themeColor="text1"/>
                <w:sz w:val="21"/>
                <w:szCs w:val="21"/>
                <w:highlight w:val="none"/>
                <w14:textFill>
                  <w14:solidFill>
                    <w14:schemeClr w14:val="tx1"/>
                  </w14:solidFill>
                </w14:textFill>
              </w:rPr>
            </w:pPr>
            <w:bookmarkStart w:id="96" w:name="_Toc29459"/>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相对湿度：小于80%（相对湿度）；</w:t>
            </w:r>
            <w:bookmarkEnd w:id="96"/>
          </w:p>
          <w:p>
            <w:pPr>
              <w:rPr>
                <w:rFonts w:hint="eastAsia" w:ascii="宋体" w:hAnsi="宋体" w:eastAsia="宋体" w:cs="宋体"/>
                <w:color w:val="000000" w:themeColor="text1"/>
                <w:sz w:val="21"/>
                <w:szCs w:val="21"/>
                <w:highlight w:val="none"/>
                <w14:textFill>
                  <w14:solidFill>
                    <w14:schemeClr w14:val="tx1"/>
                  </w14:solidFill>
                </w14:textFill>
              </w:rPr>
            </w:pPr>
            <w:bookmarkStart w:id="97" w:name="_Toc11526"/>
            <w:r>
              <w:rPr>
                <w:rFonts w:hint="eastAsia" w:ascii="宋体" w:hAnsi="宋体" w:eastAsia="宋体" w:cs="宋体"/>
                <w:color w:val="000000" w:themeColor="text1"/>
                <w:sz w:val="21"/>
                <w:szCs w:val="21"/>
                <w:highlight w:val="none"/>
                <w14:textFill>
                  <w14:solidFill>
                    <w14:schemeClr w14:val="tx1"/>
                  </w14:solidFill>
                </w14:textFill>
              </w:rPr>
              <w:t>（三）性能参数：</w:t>
            </w:r>
            <w:bookmarkEnd w:id="97"/>
          </w:p>
          <w:p>
            <w:pPr>
              <w:rPr>
                <w:rFonts w:hint="eastAsia" w:ascii="宋体" w:hAnsi="宋体" w:eastAsia="宋体" w:cs="宋体"/>
                <w:color w:val="000000" w:themeColor="text1"/>
                <w:sz w:val="21"/>
                <w:szCs w:val="21"/>
                <w:highlight w:val="none"/>
                <w14:textFill>
                  <w14:solidFill>
                    <w14:schemeClr w14:val="tx1"/>
                  </w14:solidFill>
                </w14:textFill>
              </w:rPr>
            </w:pPr>
            <w:bookmarkStart w:id="98" w:name="_Toc27290"/>
            <w:r>
              <w:rPr>
                <w:rFonts w:hint="eastAsia" w:ascii="宋体" w:hAnsi="宋体" w:eastAsia="宋体" w:cs="宋体"/>
                <w:color w:val="000000" w:themeColor="text1"/>
                <w:sz w:val="21"/>
                <w:szCs w:val="21"/>
                <w:highlight w:val="none"/>
                <w14:textFill>
                  <w14:solidFill>
                    <w14:schemeClr w14:val="tx1"/>
                  </w14:solidFill>
                </w14:textFill>
              </w:rPr>
              <w:t>1.设备主机基于实时荧光定量PCR检测技术方法。</w:t>
            </w:r>
            <w:bookmarkEnd w:id="98"/>
          </w:p>
          <w:p>
            <w:pPr>
              <w:rPr>
                <w:rFonts w:hint="eastAsia" w:ascii="宋体" w:hAnsi="宋体" w:eastAsia="宋体" w:cs="宋体"/>
                <w:color w:val="000000" w:themeColor="text1"/>
                <w:sz w:val="21"/>
                <w:szCs w:val="21"/>
                <w:highlight w:val="none"/>
                <w14:textFill>
                  <w14:solidFill>
                    <w14:schemeClr w14:val="tx1"/>
                  </w14:solidFill>
                </w14:textFill>
              </w:rPr>
            </w:pPr>
            <w:bookmarkStart w:id="99" w:name="_Toc17479"/>
            <w:r>
              <w:rPr>
                <w:rFonts w:hint="eastAsia" w:ascii="宋体" w:hAnsi="宋体" w:eastAsia="宋体" w:cs="宋体"/>
                <w:color w:val="000000" w:themeColor="text1"/>
                <w:sz w:val="21"/>
                <w:szCs w:val="21"/>
                <w:highlight w:val="none"/>
                <w14:textFill>
                  <w14:solidFill>
                    <w14:schemeClr w14:val="tx1"/>
                  </w14:solidFill>
                </w14:textFill>
              </w:rPr>
              <w:t>2.光源：High Power LED，使用寿命≥10年。</w:t>
            </w:r>
            <w:bookmarkEnd w:id="99"/>
          </w:p>
          <w:p>
            <w:pPr>
              <w:rPr>
                <w:rFonts w:hint="eastAsia" w:ascii="宋体" w:hAnsi="宋体" w:eastAsia="宋体" w:cs="宋体"/>
                <w:color w:val="000000" w:themeColor="text1"/>
                <w:sz w:val="21"/>
                <w:szCs w:val="21"/>
                <w:highlight w:val="none"/>
                <w14:textFill>
                  <w14:solidFill>
                    <w14:schemeClr w14:val="tx1"/>
                  </w14:solidFill>
                </w14:textFill>
              </w:rPr>
            </w:pPr>
            <w:bookmarkStart w:id="100" w:name="_Toc16889"/>
            <w:r>
              <w:rPr>
                <w:rFonts w:hint="eastAsia" w:ascii="宋体" w:hAnsi="宋体" w:eastAsia="宋体" w:cs="宋体"/>
                <w:color w:val="000000" w:themeColor="text1"/>
                <w:sz w:val="21"/>
                <w:szCs w:val="21"/>
                <w:highlight w:val="none"/>
                <w14:textFill>
                  <w14:solidFill>
                    <w14:schemeClr w14:val="tx1"/>
                  </w14:solidFill>
                </w14:textFill>
              </w:rPr>
              <w:t>3.检测器：高灵敏度光电二极管，检测方式：实时动态监测 。</w:t>
            </w:r>
            <w:bookmarkEnd w:id="100"/>
          </w:p>
          <w:p>
            <w:pPr>
              <w:rPr>
                <w:rFonts w:hint="eastAsia" w:ascii="宋体" w:hAnsi="宋体" w:eastAsia="宋体" w:cs="宋体"/>
                <w:color w:val="000000" w:themeColor="text1"/>
                <w:sz w:val="21"/>
                <w:szCs w:val="21"/>
                <w:highlight w:val="none"/>
                <w14:textFill>
                  <w14:solidFill>
                    <w14:schemeClr w14:val="tx1"/>
                  </w14:solidFill>
                </w14:textFill>
              </w:rPr>
            </w:pPr>
            <w:bookmarkStart w:id="101" w:name="_Toc8936"/>
            <w:r>
              <w:rPr>
                <w:rFonts w:hint="eastAsia" w:ascii="宋体" w:hAnsi="宋体" w:eastAsia="宋体" w:cs="宋体"/>
                <w:color w:val="000000" w:themeColor="text1"/>
                <w:sz w:val="21"/>
                <w:szCs w:val="21"/>
                <w:highlight w:val="none"/>
                <w14:textFill>
                  <w14:solidFill>
                    <w14:schemeClr w14:val="tx1"/>
                  </w14:solidFill>
                </w14:textFill>
              </w:rPr>
              <w:t>4.热制冷模块：半导体。</w:t>
            </w:r>
            <w:bookmarkEnd w:id="101"/>
          </w:p>
          <w:p>
            <w:pPr>
              <w:rPr>
                <w:rFonts w:hint="eastAsia" w:ascii="宋体" w:hAnsi="宋体" w:eastAsia="宋体" w:cs="宋体"/>
                <w:color w:val="000000" w:themeColor="text1"/>
                <w:sz w:val="21"/>
                <w:szCs w:val="21"/>
                <w:highlight w:val="none"/>
                <w14:textFill>
                  <w14:solidFill>
                    <w14:schemeClr w14:val="tx1"/>
                  </w14:solidFill>
                </w14:textFill>
              </w:rPr>
            </w:pPr>
            <w:bookmarkStart w:id="102" w:name="_Toc17274"/>
            <w:r>
              <w:rPr>
                <w:rFonts w:hint="eastAsia" w:ascii="宋体" w:hAnsi="宋体" w:eastAsia="宋体" w:cs="宋体"/>
                <w:color w:val="000000" w:themeColor="text1"/>
                <w:sz w:val="21"/>
                <w:szCs w:val="21"/>
                <w:highlight w:val="none"/>
                <w14:textFill>
                  <w14:solidFill>
                    <w14:schemeClr w14:val="tx1"/>
                  </w14:solidFill>
                </w14:textFill>
              </w:rPr>
              <w:t>5.平均升温速率：不小于15℃/s (50℃-90℃)， 平均降温速率：不小于15℃/s (90℃-50℃)</w:t>
            </w:r>
            <w:bookmarkEnd w:id="102"/>
          </w:p>
          <w:p>
            <w:pPr>
              <w:rPr>
                <w:rFonts w:hint="eastAsia" w:ascii="宋体" w:hAnsi="宋体" w:eastAsia="宋体" w:cs="宋体"/>
                <w:color w:val="000000" w:themeColor="text1"/>
                <w:sz w:val="21"/>
                <w:szCs w:val="21"/>
                <w:highlight w:val="none"/>
                <w14:textFill>
                  <w14:solidFill>
                    <w14:schemeClr w14:val="tx1"/>
                  </w14:solidFill>
                </w14:textFill>
              </w:rPr>
            </w:pPr>
            <w:bookmarkStart w:id="103" w:name="_Toc25430"/>
            <w:r>
              <w:rPr>
                <w:rFonts w:hint="eastAsia" w:ascii="宋体" w:hAnsi="宋体" w:eastAsia="宋体" w:cs="宋体"/>
                <w:color w:val="000000" w:themeColor="text1"/>
                <w:sz w:val="21"/>
                <w:szCs w:val="21"/>
                <w:highlight w:val="none"/>
                <w14:textFill>
                  <w14:solidFill>
                    <w14:schemeClr w14:val="tx1"/>
                  </w14:solidFill>
                </w14:textFill>
              </w:rPr>
              <w:t>6.温度准确性：≤±0.5℃。</w:t>
            </w:r>
            <w:bookmarkEnd w:id="103"/>
          </w:p>
          <w:p>
            <w:pPr>
              <w:rPr>
                <w:rFonts w:hint="eastAsia" w:ascii="宋体" w:hAnsi="宋体" w:eastAsia="宋体" w:cs="宋体"/>
                <w:color w:val="000000" w:themeColor="text1"/>
                <w:sz w:val="21"/>
                <w:szCs w:val="21"/>
                <w:highlight w:val="none"/>
                <w14:textFill>
                  <w14:solidFill>
                    <w14:schemeClr w14:val="tx1"/>
                  </w14:solidFill>
                </w14:textFill>
              </w:rPr>
            </w:pPr>
            <w:bookmarkStart w:id="104" w:name="_Toc23545"/>
            <w:r>
              <w:rPr>
                <w:rFonts w:hint="eastAsia" w:ascii="宋体" w:hAnsi="宋体" w:eastAsia="宋体" w:cs="宋体"/>
                <w:color w:val="000000" w:themeColor="text1"/>
                <w:sz w:val="21"/>
                <w:szCs w:val="21"/>
                <w:highlight w:val="none"/>
                <w14:textFill>
                  <w14:solidFill>
                    <w14:schemeClr w14:val="tx1"/>
                  </w14:solidFill>
                </w14:textFill>
              </w:rPr>
              <w:t>7.荧光强度检测重复性：≤3%变异系数（CV,%）。</w:t>
            </w:r>
            <w:bookmarkEnd w:id="104"/>
          </w:p>
          <w:p>
            <w:pPr>
              <w:rPr>
                <w:rFonts w:hint="eastAsia" w:ascii="宋体" w:hAnsi="宋体" w:eastAsia="宋体" w:cs="宋体"/>
                <w:color w:val="000000" w:themeColor="text1"/>
                <w:sz w:val="21"/>
                <w:szCs w:val="21"/>
                <w:highlight w:val="none"/>
                <w14:textFill>
                  <w14:solidFill>
                    <w14:schemeClr w14:val="tx1"/>
                  </w14:solidFill>
                </w14:textFill>
              </w:rPr>
            </w:pPr>
            <w:bookmarkStart w:id="105" w:name="_Toc4760"/>
            <w:r>
              <w:rPr>
                <w:rFonts w:hint="eastAsia" w:ascii="宋体" w:hAnsi="宋体" w:eastAsia="宋体" w:cs="宋体"/>
                <w:color w:val="000000" w:themeColor="text1"/>
                <w:sz w:val="21"/>
                <w:szCs w:val="21"/>
                <w:highlight w:val="none"/>
                <w14:textFill>
                  <w14:solidFill>
                    <w14:schemeClr w14:val="tx1"/>
                  </w14:solidFill>
                </w14:textFill>
              </w:rPr>
              <w:t>8.荧光强度检测精密度：≤5%变异系数（CV,% ）。</w:t>
            </w:r>
            <w:bookmarkEnd w:id="105"/>
          </w:p>
          <w:p>
            <w:pPr>
              <w:rPr>
                <w:rFonts w:hint="eastAsia" w:ascii="宋体" w:hAnsi="宋体" w:eastAsia="宋体" w:cs="宋体"/>
                <w:color w:val="000000" w:themeColor="text1"/>
                <w:sz w:val="21"/>
                <w:szCs w:val="21"/>
                <w:highlight w:val="none"/>
                <w14:textFill>
                  <w14:solidFill>
                    <w14:schemeClr w14:val="tx1"/>
                  </w14:solidFill>
                </w14:textFill>
              </w:rPr>
            </w:pPr>
            <w:bookmarkStart w:id="106" w:name="_Toc20887"/>
            <w:r>
              <w:rPr>
                <w:rFonts w:hint="eastAsia" w:ascii="宋体" w:hAnsi="宋体" w:eastAsia="宋体" w:cs="宋体"/>
                <w:color w:val="000000" w:themeColor="text1"/>
                <w:sz w:val="21"/>
                <w:szCs w:val="21"/>
                <w:highlight w:val="none"/>
                <w14:textFill>
                  <w14:solidFill>
                    <w14:schemeClr w14:val="tx1"/>
                  </w14:solidFill>
                </w14:textFill>
              </w:rPr>
              <w:t>9.检测通道：≥4个（FAM/SYBR；HEX/VIC；ROX/Texas Red；Cy5）</w:t>
            </w:r>
            <w:bookmarkEnd w:id="106"/>
          </w:p>
          <w:p>
            <w:pPr>
              <w:rPr>
                <w:rFonts w:hint="eastAsia" w:ascii="宋体" w:hAnsi="宋体" w:eastAsia="宋体" w:cs="宋体"/>
                <w:color w:val="000000" w:themeColor="text1"/>
                <w:sz w:val="21"/>
                <w:szCs w:val="21"/>
                <w:highlight w:val="none"/>
                <w14:textFill>
                  <w14:solidFill>
                    <w14:schemeClr w14:val="tx1"/>
                  </w14:solidFill>
                </w14:textFill>
              </w:rPr>
            </w:pPr>
            <w:bookmarkStart w:id="107" w:name="_Toc24244"/>
            <w:r>
              <w:rPr>
                <w:rFonts w:hint="eastAsia" w:ascii="宋体" w:hAnsi="宋体" w:eastAsia="宋体" w:cs="宋体"/>
                <w:color w:val="000000" w:themeColor="text1"/>
                <w:sz w:val="21"/>
                <w:szCs w:val="21"/>
                <w:highlight w:val="none"/>
                <w14:textFill>
                  <w14:solidFill>
                    <w14:schemeClr w14:val="tx1"/>
                  </w14:solidFill>
                </w14:textFill>
              </w:rPr>
              <w:t>10.检测模块≥4个，每个检测模块独立升降温控制，可单独设定核酸检测，各模块无干扰，实现样本随到随检。在同一时间不同检测模块可同时检测多种不同项目。</w:t>
            </w:r>
            <w:bookmarkEnd w:id="107"/>
          </w:p>
          <w:p>
            <w:pPr>
              <w:rPr>
                <w:rFonts w:hint="eastAsia" w:ascii="宋体" w:hAnsi="宋体" w:eastAsia="宋体" w:cs="宋体"/>
                <w:color w:val="000000" w:themeColor="text1"/>
                <w:sz w:val="21"/>
                <w:szCs w:val="21"/>
                <w:highlight w:val="none"/>
                <w14:textFill>
                  <w14:solidFill>
                    <w14:schemeClr w14:val="tx1"/>
                  </w14:solidFill>
                </w14:textFill>
              </w:rPr>
            </w:pPr>
            <w:bookmarkStart w:id="108" w:name="_Toc16642"/>
            <w:r>
              <w:rPr>
                <w:rFonts w:hint="eastAsia" w:ascii="宋体" w:hAnsi="宋体" w:eastAsia="宋体" w:cs="宋体"/>
                <w:color w:val="000000" w:themeColor="text1"/>
                <w:sz w:val="21"/>
                <w:szCs w:val="21"/>
                <w:highlight w:val="none"/>
                <w14:textFill>
                  <w14:solidFill>
                    <w14:schemeClr w14:val="tx1"/>
                  </w14:solidFill>
                </w14:textFill>
              </w:rPr>
              <w:t>11.加样方式：配套一次性加样吸管，无需移液枪加样；单样本检测上样量：≥300μl。</w:t>
            </w:r>
            <w:bookmarkEnd w:id="108"/>
          </w:p>
          <w:p>
            <w:pPr>
              <w:rPr>
                <w:rFonts w:hint="eastAsia" w:ascii="宋体" w:hAnsi="宋体" w:eastAsia="宋体" w:cs="宋体"/>
                <w:color w:val="000000" w:themeColor="text1"/>
                <w:sz w:val="21"/>
                <w:szCs w:val="21"/>
                <w:highlight w:val="none"/>
                <w14:textFill>
                  <w14:solidFill>
                    <w14:schemeClr w14:val="tx1"/>
                  </w14:solidFill>
                </w14:textFill>
              </w:rPr>
            </w:pPr>
            <w:bookmarkStart w:id="109" w:name="_Toc1370"/>
            <w:r>
              <w:rPr>
                <w:rFonts w:hint="eastAsia" w:ascii="宋体" w:hAnsi="宋体" w:eastAsia="宋体" w:cs="宋体"/>
                <w:color w:val="000000" w:themeColor="text1"/>
                <w:sz w:val="21"/>
                <w:szCs w:val="21"/>
                <w:highlight w:val="none"/>
                <w14:textFill>
                  <w14:solidFill>
                    <w14:schemeClr w14:val="tx1"/>
                  </w14:solidFill>
                </w14:textFill>
              </w:rPr>
              <w:t>12.样本处理：具备自动磁珠法核酸提取纯化，在同一仪器内部全自动完成核酸提取、逆转录、扩增、结果输出，无需手动干预。</w:t>
            </w:r>
            <w:bookmarkEnd w:id="109"/>
          </w:p>
          <w:p>
            <w:pPr>
              <w:rPr>
                <w:rFonts w:hint="eastAsia" w:ascii="宋体" w:hAnsi="宋体" w:eastAsia="宋体" w:cs="宋体"/>
                <w:color w:val="000000" w:themeColor="text1"/>
                <w:sz w:val="21"/>
                <w:szCs w:val="21"/>
                <w:highlight w:val="none"/>
                <w14:textFill>
                  <w14:solidFill>
                    <w14:schemeClr w14:val="tx1"/>
                  </w14:solidFill>
                </w14:textFill>
              </w:rPr>
            </w:pPr>
            <w:bookmarkStart w:id="110" w:name="_Toc7673"/>
            <w:r>
              <w:rPr>
                <w:rFonts w:hint="eastAsia" w:ascii="宋体" w:hAnsi="宋体" w:eastAsia="宋体" w:cs="宋体"/>
                <w:color w:val="000000" w:themeColor="text1"/>
                <w:sz w:val="21"/>
                <w:szCs w:val="21"/>
                <w:highlight w:val="none"/>
                <w14:textFill>
                  <w14:solidFill>
                    <w14:schemeClr w14:val="tx1"/>
                  </w14:solidFill>
                </w14:textFill>
              </w:rPr>
              <w:t>13.配套检测试剂：独立预分装，常温运输及储存，并且可实现采检一体，检测过程无需再次开盖。</w:t>
            </w:r>
            <w:bookmarkEnd w:id="110"/>
          </w:p>
          <w:p>
            <w:pPr>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111" w:name="_Toc27865"/>
            <w:r>
              <w:rPr>
                <w:rFonts w:hint="eastAsia" w:ascii="宋体" w:hAnsi="宋体" w:eastAsia="宋体" w:cs="宋体"/>
                <w:color w:val="000000" w:themeColor="text1"/>
                <w:sz w:val="21"/>
                <w:szCs w:val="21"/>
                <w:highlight w:val="none"/>
                <w14:textFill>
                  <w14:solidFill>
                    <w14:schemeClr w14:val="tx1"/>
                  </w14:solidFill>
                </w14:textFill>
              </w:rPr>
              <w:t>14.具备新冠病毒配套检测试剂，具备有效期内的三类医疗器械注册证</w:t>
            </w:r>
            <w:r>
              <w:rPr>
                <w:rFonts w:hint="eastAsia" w:ascii="宋体" w:hAnsi="宋体" w:eastAsia="宋体" w:cs="宋体"/>
                <w:color w:val="000000" w:themeColor="text1"/>
                <w:sz w:val="21"/>
                <w:szCs w:val="21"/>
                <w:highlight w:val="none"/>
                <w:lang w:eastAsia="zh-CN"/>
                <w14:textFill>
                  <w14:solidFill>
                    <w14:schemeClr w14:val="tx1"/>
                  </w14:solidFill>
                </w14:textFill>
              </w:rPr>
              <w:t>。</w:t>
            </w:r>
            <w:bookmarkEnd w:id="111"/>
          </w:p>
          <w:p>
            <w:pPr>
              <w:rPr>
                <w:rFonts w:hint="eastAsia" w:ascii="宋体" w:hAnsi="宋体" w:eastAsia="宋体" w:cs="宋体"/>
                <w:color w:val="000000" w:themeColor="text1"/>
                <w:sz w:val="21"/>
                <w:szCs w:val="21"/>
                <w:highlight w:val="none"/>
                <w14:textFill>
                  <w14:solidFill>
                    <w14:schemeClr w14:val="tx1"/>
                  </w14:solidFill>
                </w14:textFill>
              </w:rPr>
            </w:pPr>
            <w:bookmarkStart w:id="112" w:name="_Toc6389"/>
            <w:r>
              <w:rPr>
                <w:rFonts w:hint="eastAsia" w:ascii="宋体" w:hAnsi="宋体" w:eastAsia="宋体" w:cs="宋体"/>
                <w:color w:val="000000" w:themeColor="text1"/>
                <w:sz w:val="21"/>
                <w:szCs w:val="21"/>
                <w:highlight w:val="none"/>
                <w14:textFill>
                  <w14:solidFill>
                    <w14:schemeClr w14:val="tx1"/>
                  </w14:solidFill>
                </w14:textFill>
              </w:rPr>
              <w:t>15.新冠病毒试剂上机检测时间≤25分钟，检测下限：≤100copies/ml。</w:t>
            </w:r>
            <w:bookmarkEnd w:id="112"/>
          </w:p>
          <w:p>
            <w:pPr>
              <w:rPr>
                <w:rFonts w:hint="eastAsia" w:ascii="宋体" w:hAnsi="宋体" w:eastAsia="宋体" w:cs="宋体"/>
                <w:color w:val="000000" w:themeColor="text1"/>
                <w:sz w:val="21"/>
                <w:szCs w:val="21"/>
                <w:highlight w:val="none"/>
                <w14:textFill>
                  <w14:solidFill>
                    <w14:schemeClr w14:val="tx1"/>
                  </w14:solidFill>
                </w14:textFill>
              </w:rPr>
            </w:pPr>
            <w:bookmarkStart w:id="113" w:name="_Toc24989"/>
            <w:r>
              <w:rPr>
                <w:rFonts w:hint="eastAsia" w:ascii="宋体" w:hAnsi="宋体" w:eastAsia="宋体" w:cs="宋体"/>
                <w:color w:val="000000" w:themeColor="text1"/>
                <w:sz w:val="21"/>
                <w:szCs w:val="21"/>
                <w:highlight w:val="none"/>
                <w14:textFill>
                  <w14:solidFill>
                    <w14:schemeClr w14:val="tx1"/>
                  </w14:solidFill>
                </w14:textFill>
              </w:rPr>
              <w:t>16.操作方式：主机具备扫码功能，可自动识别检测项目，自动设置各反应程序。触摸屏操作，无需外接电脑。</w:t>
            </w:r>
            <w:bookmarkEnd w:id="113"/>
          </w:p>
          <w:p>
            <w:pPr>
              <w:rPr>
                <w:rFonts w:hint="eastAsia" w:ascii="宋体" w:hAnsi="宋体" w:eastAsia="宋体" w:cs="宋体"/>
                <w:color w:val="000000" w:themeColor="text1"/>
                <w:sz w:val="21"/>
                <w:szCs w:val="21"/>
                <w:highlight w:val="none"/>
                <w14:textFill>
                  <w14:solidFill>
                    <w14:schemeClr w14:val="tx1"/>
                  </w14:solidFill>
                </w14:textFill>
              </w:rPr>
            </w:pPr>
            <w:bookmarkStart w:id="114" w:name="_Toc6945"/>
            <w:r>
              <w:rPr>
                <w:rFonts w:hint="eastAsia" w:ascii="宋体" w:hAnsi="宋体" w:eastAsia="宋体" w:cs="宋体"/>
                <w:color w:val="000000" w:themeColor="text1"/>
                <w:sz w:val="21"/>
                <w:szCs w:val="21"/>
                <w:highlight w:val="none"/>
                <w14:textFill>
                  <w14:solidFill>
                    <w14:schemeClr w14:val="tx1"/>
                  </w14:solidFill>
                </w14:textFill>
              </w:rPr>
              <w:t>17.检测通量可拓展性：可更具客户的检测需求，组成矩阵灵活拓展通量，满足不同场景检测需求；</w:t>
            </w:r>
            <w:bookmarkEnd w:id="114"/>
          </w:p>
          <w:p>
            <w:pPr>
              <w:rPr>
                <w:rFonts w:hint="eastAsia" w:ascii="宋体" w:hAnsi="宋体" w:eastAsia="宋体" w:cs="宋体"/>
                <w:color w:val="000000" w:themeColor="text1"/>
                <w:sz w:val="21"/>
                <w:szCs w:val="21"/>
                <w:highlight w:val="none"/>
                <w14:textFill>
                  <w14:solidFill>
                    <w14:schemeClr w14:val="tx1"/>
                  </w14:solidFill>
                </w14:textFill>
              </w:rPr>
            </w:pPr>
            <w:bookmarkStart w:id="115" w:name="_Toc1230"/>
            <w:r>
              <w:rPr>
                <w:rFonts w:hint="eastAsia" w:ascii="宋体" w:hAnsi="宋体" w:eastAsia="宋体" w:cs="宋体"/>
                <w:color w:val="000000" w:themeColor="text1"/>
                <w:sz w:val="21"/>
                <w:szCs w:val="21"/>
                <w:highlight w:val="none"/>
                <w14:textFill>
                  <w14:solidFill>
                    <w14:schemeClr w14:val="tx1"/>
                  </w14:solidFill>
                </w14:textFill>
              </w:rPr>
              <w:t>18.仪器尺寸：≤460mm(L)x320mm(W)x438mm(H)。</w:t>
            </w:r>
            <w:bookmarkEnd w:id="115"/>
          </w:p>
          <w:p>
            <w:pPr>
              <w:rPr>
                <w:rFonts w:hint="eastAsia" w:ascii="宋体" w:hAnsi="宋体" w:eastAsia="宋体" w:cs="宋体"/>
                <w:color w:val="000000" w:themeColor="text1"/>
                <w:sz w:val="21"/>
                <w:szCs w:val="21"/>
                <w:highlight w:val="none"/>
                <w14:textFill>
                  <w14:solidFill>
                    <w14:schemeClr w14:val="tx1"/>
                  </w14:solidFill>
                </w14:textFill>
              </w:rPr>
            </w:pPr>
            <w:bookmarkStart w:id="116" w:name="_Toc21254"/>
            <w:r>
              <w:rPr>
                <w:rFonts w:hint="eastAsia" w:ascii="宋体" w:hAnsi="宋体" w:eastAsia="宋体" w:cs="宋体"/>
                <w:color w:val="000000" w:themeColor="text1"/>
                <w:sz w:val="21"/>
                <w:szCs w:val="21"/>
                <w:highlight w:val="none"/>
                <w14:textFill>
                  <w14:solidFill>
                    <w14:schemeClr w14:val="tx1"/>
                  </w14:solidFill>
                </w14:textFill>
              </w:rPr>
              <w:t>19.仪器重量：≤30.5KG。</w:t>
            </w:r>
            <w:bookmarkEnd w:id="116"/>
          </w:p>
        </w:tc>
      </w:tr>
    </w:tbl>
    <w:p>
      <w:pPr>
        <w:rPr>
          <w:rFonts w:hint="eastAsia"/>
          <w:b/>
          <w:bCs/>
          <w:color w:val="000000" w:themeColor="text1"/>
          <w:highlight w:val="none"/>
          <w:lang w:val="en-US" w:eastAsia="zh-CN"/>
          <w14:textFill>
            <w14:solidFill>
              <w14:schemeClr w14:val="tx1"/>
            </w14:solidFill>
          </w14:textFill>
        </w:rPr>
      </w:pPr>
      <w:bookmarkStart w:id="117" w:name="_Toc7375"/>
    </w:p>
    <w:p>
      <w:pPr>
        <w:rPr>
          <w:rFonts w:hint="eastAsia"/>
          <w:b/>
          <w:bCs/>
          <w:color w:val="000000" w:themeColor="text1"/>
          <w:highlight w:val="none"/>
          <w:lang w:val="en-US" w:eastAsia="zh-CN"/>
          <w14:textFill>
            <w14:solidFill>
              <w14:schemeClr w14:val="tx1"/>
            </w14:solidFill>
          </w14:textFill>
        </w:rPr>
      </w:pPr>
    </w:p>
    <w:p>
      <w:pPr>
        <w:rPr>
          <w:rFonts w:hint="eastAsia"/>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四</w:t>
      </w:r>
      <w:r>
        <w:rPr>
          <w:rFonts w:hint="eastAsia"/>
          <w:b/>
          <w:bCs/>
          <w:color w:val="000000" w:themeColor="text1"/>
          <w:highlight w:val="none"/>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免疫法快速检测设备</w:t>
      </w:r>
      <w:r>
        <w:rPr>
          <w:rFonts w:hint="eastAsia"/>
          <w:b/>
          <w:bCs/>
          <w:color w:val="000000" w:themeColor="text1"/>
          <w:highlight w:val="none"/>
          <w14:textFill>
            <w14:solidFill>
              <w14:schemeClr w14:val="tx1"/>
            </w14:solidFill>
          </w14:textFill>
        </w:rPr>
        <w:t>的技术参数</w:t>
      </w:r>
      <w:bookmarkEnd w:id="117"/>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7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pPr>
              <w:widowControl w:val="0"/>
              <w:spacing w:after="120"/>
              <w:ind w:firstLine="211" w:firstLineChars="100"/>
              <w:jc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t>设备名称</w:t>
            </w:r>
          </w:p>
        </w:tc>
        <w:tc>
          <w:tcPr>
            <w:tcW w:w="7299" w:type="dxa"/>
            <w:vAlign w:val="center"/>
          </w:tcPr>
          <w:p>
            <w:pPr>
              <w:widowControl w:val="0"/>
              <w:spacing w:after="120"/>
              <w:ind w:firstLine="211" w:firstLineChars="100"/>
              <w:jc w:val="center"/>
              <w:rPr>
                <w:rFonts w:hint="eastAsia" w:ascii="宋体" w:hAnsi="宋体" w:eastAsia="宋体" w:cs="宋体"/>
                <w:b/>
                <w:bCs/>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center"/>
          </w:tcPr>
          <w:p>
            <w:pPr>
              <w:widowControl w:val="0"/>
              <w:spacing w:after="120"/>
              <w:ind w:left="0" w:leftChars="0" w:firstLine="0" w:firstLineChars="0"/>
              <w:jc w:val="cente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免疫法快速检测设备</w:t>
            </w:r>
          </w:p>
        </w:tc>
        <w:tc>
          <w:tcPr>
            <w:tcW w:w="7299" w:type="dxa"/>
            <w:vAlign w:val="center"/>
          </w:tcPr>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1.采集对象：粉末、水体、血液、腹泻样本等检测。</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2.检测范围：可在现场检测生物有害因子、微生物的病人或动物样本。</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3.仪器最低检测限：满量程信号值0.05%（提供第三方检测报告）；</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4.仪器稳定性：10次测量</w:t>
            </w: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，TC比值CV小于0.5（提供第三方检测报告）；</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5.仪器信噪比：0.01%（1；10000） （提供第三方检测报告）；</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6.荧光检测波段：365 / 610、470/540、525/610、610/690 （nm）</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7.胶体金光源波段：525（nm）</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8.支持网络连接，WIFI，GPRS</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9.检测数据自动上传</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10.故障自动报警，远程诊断</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11.标准曲线自动下载</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12.工作时间：6000mAh锂电池，可连续检测工作10小时。</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13.仪器接口：USB、WIFI、GPRS、蓝牙</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14.储存结果：8000条</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15.工作模式：单机、WIFI连接PC软件和云平台（提供软件操作界面截图）。</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16.项目识别：智能识别1200种项目和批次。</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17.检测通道数：单通道。</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18.单通道测试线数：最大支持4线。</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19.质控校准：内部质控校准。</w:t>
            </w:r>
          </w:p>
          <w:p>
            <w:pPr>
              <w:widowControl w:val="0"/>
              <w:spacing w:after="120"/>
              <w:ind w:left="0" w:leftChars="0" w:firstLine="0" w:firstLineChars="0"/>
              <w:jc w:val="left"/>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20.产品具有CFDA医疗器械注册证。</w:t>
            </w:r>
          </w:p>
        </w:tc>
      </w:tr>
    </w:tbl>
    <w:p>
      <w:pPr>
        <w:widowControl/>
        <w:spacing w:before="100" w:beforeAutospacing="1"/>
        <w:rPr>
          <w:rFonts w:ascii="宋体" w:hAnsi="宋体" w:cs="宋体"/>
          <w:color w:val="000000" w:themeColor="text1"/>
          <w:kern w:val="0"/>
          <w:szCs w:val="21"/>
          <w:highlight w:val="none"/>
          <w14:textFill>
            <w14:solidFill>
              <w14:schemeClr w14:val="tx1"/>
            </w14:solidFill>
          </w14:textFill>
        </w:rPr>
      </w:pP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118" w:name="_Toc17300"/>
      <w:bookmarkStart w:id="119" w:name="_Toc1861"/>
      <w:bookmarkStart w:id="120" w:name="_Toc24466"/>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118"/>
      <w:bookmarkEnd w:id="119"/>
      <w:bookmarkEnd w:id="120"/>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21" w:name="_Toc16032"/>
      <w:bookmarkStart w:id="122" w:name="_Toc434832495"/>
      <w:bookmarkStart w:id="123" w:name="_Toc13782"/>
      <w:bookmarkStart w:id="124" w:name="_Toc27498"/>
      <w:r>
        <w:rPr>
          <w:rFonts w:hint="eastAsia" w:ascii="宋体" w:hAnsi="宋体" w:eastAsia="宋体"/>
          <w:color w:val="000000" w:themeColor="text1"/>
          <w:sz w:val="21"/>
          <w:szCs w:val="21"/>
          <w:highlight w:val="none"/>
          <w14:textFill>
            <w14:solidFill>
              <w14:schemeClr w14:val="tx1"/>
            </w14:solidFill>
          </w14:textFill>
        </w:rPr>
        <w:t>投标人须知前附表</w:t>
      </w:r>
      <w:bookmarkEnd w:id="121"/>
      <w:bookmarkEnd w:id="122"/>
      <w:bookmarkEnd w:id="123"/>
      <w:bookmarkEnd w:id="124"/>
    </w:p>
    <w:tbl>
      <w:tblPr>
        <w:tblStyle w:val="44"/>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 w:val="0"/>
                <w:bCs w:val="0"/>
                <w:color w:val="000000" w:themeColor="text1"/>
                <w:highlight w:val="none"/>
                <w:lang w:val="en-US" w:eastAsia="zh-CN"/>
                <w14:textFill>
                  <w14:solidFill>
                    <w14:schemeClr w14:val="tx1"/>
                  </w14:solidFill>
                </w14:textFill>
              </w:rPr>
              <w:t>按采购人要求在采购人评审专家库内抽取不少于4人的专家和采购需求部门代表，组成5人评审小组</w:t>
            </w:r>
            <w:r>
              <w:rPr>
                <w:rFonts w:hint="eastAsia" w:ascii="宋体"/>
                <w:b w:val="0"/>
                <w:bCs w:val="0"/>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hint="eastAsia" w:ascii="宋体" w:hAnsi="宋体"/>
                <w:b/>
                <w:bCs/>
                <w:color w:val="000000" w:themeColor="text1"/>
                <w:highlight w:val="none"/>
                <w:u w:val="single"/>
                <w:lang w:val="en-US" w:eastAsia="zh-CN"/>
                <w14:textFill>
                  <w14:solidFill>
                    <w14:schemeClr w14:val="tx1"/>
                  </w14:solidFill>
                </w14:textFill>
              </w:rPr>
              <w:t>4</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9"/>
              <w:tabs>
                <w:tab w:val="left" w:pos="26"/>
              </w:tabs>
              <w:ind w:left="26" w:firstLine="0"/>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中国政府采购网</w:t>
            </w:r>
          </w:p>
        </w:tc>
        <w:tc>
          <w:tcPr>
            <w:tcW w:w="3431" w:type="dxa"/>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4"/>
    <w:bookmarkEnd w:id="5"/>
    <w:bookmarkEnd w:id="6"/>
    <w:bookmarkEnd w:id="7"/>
    <w:bookmarkEnd w:id="8"/>
    <w:bookmarkEnd w:id="9"/>
    <w:bookmarkEnd w:id="10"/>
    <w:p>
      <w:pPr>
        <w:spacing w:line="360" w:lineRule="auto"/>
        <w:rPr>
          <w:rFonts w:ascii="宋体" w:hAnsi="宋体"/>
          <w:b/>
          <w:color w:val="000000" w:themeColor="text1"/>
          <w:szCs w:val="21"/>
          <w:highlight w:val="none"/>
          <w14:textFill>
            <w14:solidFill>
              <w14:schemeClr w14:val="tx1"/>
            </w14:solidFill>
          </w14:textFill>
        </w:rPr>
      </w:pPr>
      <w:bookmarkStart w:id="125"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125"/>
    </w:p>
    <w:p>
      <w:pPr>
        <w:pStyle w:val="5"/>
        <w:spacing w:line="360" w:lineRule="auto"/>
        <w:rPr>
          <w:rFonts w:ascii="宋体" w:hAnsi="宋体"/>
          <w:color w:val="000000" w:themeColor="text1"/>
          <w:sz w:val="21"/>
          <w:szCs w:val="21"/>
          <w:highlight w:val="none"/>
          <w14:textFill>
            <w14:solidFill>
              <w14:schemeClr w14:val="tx1"/>
            </w14:solidFill>
          </w14:textFill>
        </w:rPr>
      </w:pPr>
      <w:bookmarkStart w:id="126" w:name="_Toc10526"/>
      <w:bookmarkStart w:id="127" w:name="_Toc367780304"/>
      <w:bookmarkStart w:id="128" w:name="_Toc21606"/>
      <w:bookmarkStart w:id="129" w:name="_Toc28653"/>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126"/>
      <w:bookmarkEnd w:id="127"/>
      <w:bookmarkEnd w:id="128"/>
      <w:bookmarkEnd w:id="12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阳江海关口岸快速检测设备采购项目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0" w:name="_Toc10440"/>
      <w:bookmarkStart w:id="131" w:name="_Toc16246"/>
      <w:bookmarkStart w:id="132" w:name="_Toc23493"/>
      <w:bookmarkStart w:id="133" w:name="_Toc367780305"/>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130"/>
      <w:bookmarkEnd w:id="131"/>
      <w:bookmarkEnd w:id="132"/>
      <w:bookmarkEnd w:id="133"/>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“代理采购机构”系指广东业信采购招标有限公司。</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中华人民共和国阳江海关</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4" w:name="_Toc15302"/>
      <w:bookmarkStart w:id="135" w:name="_Toc27024"/>
      <w:bookmarkStart w:id="136" w:name="_Toc367780306"/>
      <w:bookmarkStart w:id="137" w:name="_Toc16890"/>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134"/>
      <w:bookmarkEnd w:id="135"/>
      <w:bookmarkEnd w:id="136"/>
      <w:bookmarkEnd w:id="137"/>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8" w:name="_Toc6159"/>
      <w:bookmarkStart w:id="139" w:name="_Toc367780307"/>
      <w:bookmarkStart w:id="140" w:name="_Toc12619"/>
      <w:bookmarkStart w:id="141" w:name="_Toc4233"/>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138"/>
      <w:bookmarkEnd w:id="139"/>
      <w:bookmarkEnd w:id="140"/>
      <w:bookmarkEnd w:id="14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2" w:name="_Toc367780308"/>
      <w:bookmarkStart w:id="143" w:name="_Toc28225"/>
      <w:bookmarkStart w:id="144" w:name="_Toc31263"/>
      <w:bookmarkStart w:id="145" w:name="_Toc20398"/>
      <w:r>
        <w:rPr>
          <w:rFonts w:hint="eastAsia" w:ascii="宋体" w:hAnsi="宋体" w:eastAsia="宋体"/>
          <w:color w:val="000000" w:themeColor="text1"/>
          <w:sz w:val="21"/>
          <w:szCs w:val="21"/>
          <w:highlight w:val="none"/>
          <w14:textFill>
            <w14:solidFill>
              <w14:schemeClr w14:val="tx1"/>
            </w14:solidFill>
          </w14:textFill>
        </w:rPr>
        <w:t>Ｂ谈判文件说明</w:t>
      </w:r>
      <w:bookmarkEnd w:id="142"/>
      <w:bookmarkEnd w:id="143"/>
      <w:bookmarkEnd w:id="144"/>
      <w:bookmarkEnd w:id="145"/>
    </w:p>
    <w:p>
      <w:pPr>
        <w:pStyle w:val="5"/>
        <w:spacing w:line="360" w:lineRule="auto"/>
        <w:rPr>
          <w:rFonts w:ascii="宋体" w:hAnsi="宋体"/>
          <w:color w:val="000000" w:themeColor="text1"/>
          <w:sz w:val="21"/>
          <w:szCs w:val="21"/>
          <w:highlight w:val="none"/>
          <w14:textFill>
            <w14:solidFill>
              <w14:schemeClr w14:val="tx1"/>
            </w14:solidFill>
          </w14:textFill>
        </w:rPr>
      </w:pPr>
      <w:bookmarkStart w:id="146" w:name="_Toc28541"/>
      <w:bookmarkStart w:id="147" w:name="_Toc21021"/>
      <w:bookmarkStart w:id="148" w:name="_Toc6242"/>
      <w:bookmarkStart w:id="149" w:name="_Toc367780309"/>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46"/>
      <w:bookmarkEnd w:id="147"/>
      <w:bookmarkEnd w:id="148"/>
      <w:bookmarkEnd w:id="14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0" w:name="_Toc367780310"/>
      <w:bookmarkStart w:id="151" w:name="_Toc25585"/>
      <w:bookmarkStart w:id="152" w:name="_Toc12442"/>
      <w:bookmarkStart w:id="153" w:name="_Toc20520"/>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150"/>
      <w:bookmarkEnd w:id="151"/>
      <w:bookmarkEnd w:id="152"/>
      <w:bookmarkEnd w:id="15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4" w:name="_Toc367780311"/>
      <w:bookmarkStart w:id="155" w:name="_Toc6380"/>
      <w:bookmarkStart w:id="156" w:name="_Toc14120"/>
      <w:bookmarkStart w:id="157" w:name="_Toc29062"/>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154"/>
      <w:bookmarkEnd w:id="155"/>
      <w:bookmarkEnd w:id="156"/>
      <w:bookmarkEnd w:id="157"/>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58" w:name="_Toc4746"/>
      <w:bookmarkStart w:id="159" w:name="_Toc849"/>
      <w:bookmarkStart w:id="160" w:name="_Toc367780312"/>
      <w:bookmarkStart w:id="161" w:name="_Toc29247"/>
      <w:r>
        <w:rPr>
          <w:rFonts w:hint="eastAsia" w:ascii="宋体" w:hAnsi="宋体" w:eastAsia="宋体"/>
          <w:color w:val="000000" w:themeColor="text1"/>
          <w:sz w:val="21"/>
          <w:szCs w:val="21"/>
          <w:highlight w:val="none"/>
          <w14:textFill>
            <w14:solidFill>
              <w14:schemeClr w14:val="tx1"/>
            </w14:solidFill>
          </w14:textFill>
        </w:rPr>
        <w:t>Ｃ谈判文件的编制</w:t>
      </w:r>
      <w:bookmarkEnd w:id="158"/>
      <w:bookmarkEnd w:id="159"/>
      <w:bookmarkEnd w:id="160"/>
      <w:bookmarkEnd w:id="161"/>
    </w:p>
    <w:p>
      <w:pPr>
        <w:pStyle w:val="5"/>
        <w:spacing w:line="360" w:lineRule="auto"/>
        <w:rPr>
          <w:rFonts w:ascii="宋体" w:hAnsi="宋体"/>
          <w:color w:val="000000" w:themeColor="text1"/>
          <w:sz w:val="21"/>
          <w:szCs w:val="21"/>
          <w:highlight w:val="none"/>
          <w14:textFill>
            <w14:solidFill>
              <w14:schemeClr w14:val="tx1"/>
            </w14:solidFill>
          </w14:textFill>
        </w:rPr>
      </w:pPr>
      <w:bookmarkStart w:id="162" w:name="_Toc367780313"/>
      <w:bookmarkStart w:id="163" w:name="_Toc29899"/>
      <w:bookmarkStart w:id="164" w:name="_Toc5167"/>
      <w:bookmarkStart w:id="165" w:name="_Toc22286"/>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162"/>
      <w:bookmarkEnd w:id="163"/>
      <w:bookmarkEnd w:id="164"/>
      <w:bookmarkEnd w:id="165"/>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66" w:name="_Toc27674"/>
      <w:bookmarkStart w:id="167" w:name="_Toc367780314"/>
      <w:bookmarkStart w:id="168" w:name="_Toc23346"/>
      <w:bookmarkStart w:id="169" w:name="_Toc1392"/>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166"/>
      <w:bookmarkEnd w:id="167"/>
      <w:bookmarkEnd w:id="168"/>
      <w:bookmarkEnd w:id="16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70" w:name="_Toc7169"/>
      <w:bookmarkStart w:id="171" w:name="_Toc4444"/>
      <w:bookmarkStart w:id="172" w:name="_Toc22352"/>
      <w:bookmarkStart w:id="173" w:name="_Toc367780315"/>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70"/>
      <w:bookmarkEnd w:id="171"/>
      <w:bookmarkEnd w:id="172"/>
      <w:bookmarkEnd w:id="17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74" w:name="_Toc3929"/>
      <w:bookmarkStart w:id="175" w:name="_Toc27390"/>
      <w:bookmarkStart w:id="176" w:name="_Toc367780316"/>
      <w:bookmarkStart w:id="177" w:name="_Toc12344"/>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74"/>
      <w:bookmarkEnd w:id="175"/>
      <w:bookmarkEnd w:id="176"/>
      <w:bookmarkEnd w:id="177"/>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78" w:name="_Toc29934"/>
      <w:bookmarkStart w:id="179" w:name="_Toc367780317"/>
      <w:bookmarkStart w:id="180" w:name="_Toc27675"/>
      <w:bookmarkStart w:id="181" w:name="_Toc4350"/>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78"/>
      <w:bookmarkEnd w:id="179"/>
      <w:bookmarkEnd w:id="180"/>
      <w:bookmarkEnd w:id="181"/>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82" w:name="_Toc367780318"/>
      <w:bookmarkStart w:id="183" w:name="_Toc22784"/>
      <w:bookmarkStart w:id="184" w:name="_Toc3600"/>
      <w:bookmarkStart w:id="185" w:name="_Toc20614"/>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82"/>
      <w:bookmarkEnd w:id="183"/>
      <w:bookmarkEnd w:id="184"/>
      <w:bookmarkEnd w:id="185"/>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86" w:name="_Toc367780319"/>
      <w:bookmarkStart w:id="187" w:name="_Toc32260"/>
      <w:bookmarkStart w:id="188" w:name="_Toc4549"/>
      <w:bookmarkStart w:id="189" w:name="_Toc27400"/>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86"/>
      <w:bookmarkEnd w:id="187"/>
      <w:bookmarkEnd w:id="188"/>
      <w:bookmarkEnd w:id="189"/>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90" w:name="_Toc3642"/>
      <w:bookmarkStart w:id="191" w:name="_Toc135"/>
      <w:bookmarkStart w:id="192" w:name="_Toc367780320"/>
      <w:bookmarkStart w:id="193" w:name="_Toc28470"/>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lang w:val="en-US" w:eastAsia="zh-CN"/>
          <w14:textFill>
            <w14:solidFill>
              <w14:schemeClr w14:val="tx1"/>
            </w14:solidFill>
          </w14:textFill>
        </w:rPr>
        <w:t>投标</w:t>
      </w:r>
      <w:r>
        <w:rPr>
          <w:rFonts w:hint="eastAsia" w:ascii="宋体" w:hAnsi="宋体"/>
          <w:color w:val="000000" w:themeColor="text1"/>
          <w:sz w:val="21"/>
          <w:szCs w:val="21"/>
          <w:highlight w:val="none"/>
          <w14:textFill>
            <w14:solidFill>
              <w14:schemeClr w14:val="tx1"/>
            </w14:solidFill>
          </w14:textFill>
        </w:rPr>
        <w:t>保证金</w:t>
      </w:r>
      <w:bookmarkEnd w:id="190"/>
      <w:bookmarkEnd w:id="191"/>
      <w:bookmarkEnd w:id="192"/>
      <w:bookmarkEnd w:id="193"/>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投标</w:t>
      </w:r>
      <w:r>
        <w:rPr>
          <w:rFonts w:hint="eastAsia" w:ascii="宋体" w:hAnsi="宋体"/>
          <w:bCs/>
          <w:color w:val="000000" w:themeColor="text1"/>
          <w:szCs w:val="21"/>
          <w:highlight w:val="none"/>
          <w14:textFill>
            <w14:solidFill>
              <w14:schemeClr w14:val="tx1"/>
            </w14:solidFill>
          </w14:textFill>
        </w:rPr>
        <w:t>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w:t>
      </w:r>
      <w:r>
        <w:rPr>
          <w:rFonts w:hint="eastAsia" w:ascii="宋体" w:hAnsi="宋体"/>
          <w:bCs/>
          <w:color w:val="000000" w:themeColor="text1"/>
          <w:szCs w:val="21"/>
          <w:highlight w:val="none"/>
          <w:lang w:val="en-US" w:eastAsia="zh-CN"/>
          <w14:textFill>
            <w14:solidFill>
              <w14:schemeClr w14:val="tx1"/>
            </w14:solidFill>
          </w14:textFill>
        </w:rPr>
        <w:t>投标</w:t>
      </w:r>
      <w:r>
        <w:rPr>
          <w:rFonts w:hint="eastAsia" w:ascii="宋体" w:hAnsi="宋体"/>
          <w:bCs/>
          <w:color w:val="000000" w:themeColor="text1"/>
          <w:szCs w:val="21"/>
          <w:highlight w:val="none"/>
          <w14:textFill>
            <w14:solidFill>
              <w14:schemeClr w14:val="tx1"/>
            </w14:solidFill>
          </w14:textFill>
        </w:rPr>
        <w:t>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w:t>
      </w:r>
      <w:r>
        <w:rPr>
          <w:rFonts w:hint="eastAsia" w:ascii="宋体" w:hAnsi="宋体"/>
          <w:bCs/>
          <w:color w:val="000000" w:themeColor="text1"/>
          <w:szCs w:val="21"/>
          <w:highlight w:val="none"/>
          <w:lang w:val="en-US" w:eastAsia="zh-CN"/>
          <w14:textFill>
            <w14:solidFill>
              <w14:schemeClr w14:val="tx1"/>
            </w14:solidFill>
          </w14:textFill>
        </w:rPr>
        <w:t>投标</w:t>
      </w:r>
      <w:r>
        <w:rPr>
          <w:rFonts w:hint="eastAsia" w:ascii="宋体" w:hAnsi="宋体"/>
          <w:bCs/>
          <w:color w:val="000000" w:themeColor="text1"/>
          <w:szCs w:val="21"/>
          <w:highlight w:val="none"/>
          <w14:textFill>
            <w14:solidFill>
              <w14:schemeClr w14:val="tx1"/>
            </w14:solidFill>
          </w14:textFill>
        </w:rPr>
        <w:t>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w:t>
      </w:r>
      <w:r>
        <w:rPr>
          <w:rFonts w:hint="eastAsia" w:ascii="宋体" w:hAnsi="宋体"/>
          <w:bCs/>
          <w:color w:val="000000" w:themeColor="text1"/>
          <w:szCs w:val="21"/>
          <w:highlight w:val="none"/>
          <w:lang w:val="en-US" w:eastAsia="zh-CN"/>
          <w14:textFill>
            <w14:solidFill>
              <w14:schemeClr w14:val="tx1"/>
            </w14:solidFill>
          </w14:textFill>
        </w:rPr>
        <w:t>投标</w:t>
      </w:r>
      <w:r>
        <w:rPr>
          <w:rFonts w:hint="eastAsia" w:ascii="宋体" w:hAnsi="宋体"/>
          <w:bCs/>
          <w:color w:val="000000" w:themeColor="text1"/>
          <w:szCs w:val="21"/>
          <w:highlight w:val="none"/>
          <w14:textFill>
            <w14:solidFill>
              <w14:schemeClr w14:val="tx1"/>
            </w14:solidFill>
          </w14:textFill>
        </w:rPr>
        <w:t>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投标</w:t>
      </w:r>
      <w:r>
        <w:rPr>
          <w:rFonts w:hint="eastAsia" w:ascii="宋体" w:hAnsi="宋体"/>
          <w:bCs/>
          <w:color w:val="000000" w:themeColor="text1"/>
          <w:szCs w:val="21"/>
          <w:highlight w:val="none"/>
          <w14:textFill>
            <w14:solidFill>
              <w14:schemeClr w14:val="tx1"/>
            </w14:solidFill>
          </w14:textFill>
        </w:rPr>
        <w:t>保证金用于保护本次谈判免遭因供应商的行为而蒙受的损失。发生以下情况之一，</w:t>
      </w:r>
      <w:r>
        <w:rPr>
          <w:rFonts w:hint="eastAsia" w:ascii="宋体" w:hAnsi="宋体"/>
          <w:bCs/>
          <w:color w:val="000000" w:themeColor="text1"/>
          <w:szCs w:val="21"/>
          <w:highlight w:val="none"/>
          <w:lang w:val="en-US" w:eastAsia="zh-CN"/>
          <w14:textFill>
            <w14:solidFill>
              <w14:schemeClr w14:val="tx1"/>
            </w14:solidFill>
          </w14:textFill>
        </w:rPr>
        <w:t>投标</w:t>
      </w:r>
      <w:r>
        <w:rPr>
          <w:rFonts w:hint="eastAsia" w:ascii="宋体" w:hAnsi="宋体"/>
          <w:bCs/>
          <w:color w:val="000000" w:themeColor="text1"/>
          <w:szCs w:val="21"/>
          <w:highlight w:val="none"/>
          <w14:textFill>
            <w14:solidFill>
              <w14:schemeClr w14:val="tx1"/>
            </w14:solidFill>
          </w14:textFill>
        </w:rPr>
        <w:t>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94" w:name="_Toc367780321"/>
      <w:bookmarkStart w:id="195" w:name="_Toc7175"/>
      <w:bookmarkStart w:id="196" w:name="_Toc25473"/>
      <w:bookmarkStart w:id="197" w:name="_Toc13517"/>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94"/>
      <w:bookmarkEnd w:id="195"/>
      <w:bookmarkEnd w:id="196"/>
      <w:bookmarkEnd w:id="197"/>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w:t>
      </w:r>
      <w:r>
        <w:rPr>
          <w:rFonts w:hint="eastAsia" w:ascii="宋体" w:hAnsi="宋体"/>
          <w:bCs/>
          <w:color w:val="000000" w:themeColor="text1"/>
          <w:szCs w:val="21"/>
          <w:highlight w:val="none"/>
          <w:lang w:val="en-US" w:eastAsia="zh-CN"/>
          <w14:textFill>
            <w14:solidFill>
              <w14:schemeClr w14:val="tx1"/>
            </w14:solidFill>
          </w14:textFill>
        </w:rPr>
        <w:t>投标</w:t>
      </w:r>
      <w:r>
        <w:rPr>
          <w:rFonts w:hint="eastAsia" w:ascii="宋体" w:hAnsi="宋体"/>
          <w:bCs/>
          <w:color w:val="000000" w:themeColor="text1"/>
          <w:szCs w:val="21"/>
          <w:highlight w:val="none"/>
          <w14:textFill>
            <w14:solidFill>
              <w14:schemeClr w14:val="tx1"/>
            </w14:solidFill>
          </w14:textFill>
        </w:rPr>
        <w:t>保证金不被没收。有关退还和没收</w:t>
      </w:r>
      <w:r>
        <w:rPr>
          <w:rFonts w:hint="eastAsia" w:ascii="宋体" w:hAnsi="宋体"/>
          <w:bCs/>
          <w:color w:val="000000" w:themeColor="text1"/>
          <w:szCs w:val="21"/>
          <w:highlight w:val="none"/>
          <w:lang w:val="en-US" w:eastAsia="zh-CN"/>
          <w14:textFill>
            <w14:solidFill>
              <w14:schemeClr w14:val="tx1"/>
            </w14:solidFill>
          </w14:textFill>
        </w:rPr>
        <w:t>投标</w:t>
      </w:r>
      <w:r>
        <w:rPr>
          <w:rFonts w:hint="eastAsia" w:ascii="宋体" w:hAnsi="宋体"/>
          <w:bCs/>
          <w:color w:val="000000" w:themeColor="text1"/>
          <w:szCs w:val="21"/>
          <w:highlight w:val="none"/>
          <w14:textFill>
            <w14:solidFill>
              <w14:schemeClr w14:val="tx1"/>
            </w14:solidFill>
          </w14:textFill>
        </w:rPr>
        <w:t>保证金的规定在谈判有效期的延长期内继续有效。</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98" w:name="_Toc17906"/>
      <w:bookmarkStart w:id="199" w:name="_Toc1768"/>
      <w:bookmarkStart w:id="200" w:name="_Toc20993"/>
      <w:bookmarkStart w:id="201" w:name="_Toc367780322"/>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98"/>
      <w:bookmarkEnd w:id="199"/>
      <w:bookmarkEnd w:id="200"/>
      <w:bookmarkEnd w:id="201"/>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w:t>
      </w:r>
      <w:r>
        <w:rPr>
          <w:rFonts w:hint="eastAsia" w:ascii="宋体" w:hAnsi="宋体"/>
          <w:bCs/>
          <w:color w:val="000000" w:themeColor="text1"/>
          <w:szCs w:val="21"/>
          <w:highlight w:val="none"/>
          <w14:textFill>
            <w14:solidFill>
              <w14:schemeClr w14:val="tx1"/>
            </w14:solidFill>
          </w14:textFill>
        </w:rPr>
        <w:t>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202" w:name="_Toc26993"/>
      <w:bookmarkStart w:id="203" w:name="_Toc367780323"/>
      <w:bookmarkStart w:id="204" w:name="_Toc337"/>
      <w:bookmarkStart w:id="205" w:name="_Toc9334"/>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202"/>
      <w:bookmarkEnd w:id="203"/>
      <w:bookmarkEnd w:id="204"/>
      <w:bookmarkEnd w:id="205"/>
    </w:p>
    <w:p>
      <w:pPr>
        <w:pStyle w:val="5"/>
        <w:spacing w:line="360" w:lineRule="auto"/>
        <w:rPr>
          <w:rFonts w:ascii="宋体" w:hAnsi="宋体"/>
          <w:color w:val="000000" w:themeColor="text1"/>
          <w:sz w:val="21"/>
          <w:szCs w:val="21"/>
          <w:highlight w:val="none"/>
          <w14:textFill>
            <w14:solidFill>
              <w14:schemeClr w14:val="tx1"/>
            </w14:solidFill>
          </w14:textFill>
        </w:rPr>
      </w:pPr>
      <w:bookmarkStart w:id="206" w:name="_Toc367780324"/>
      <w:bookmarkStart w:id="207" w:name="_Toc27653"/>
      <w:bookmarkStart w:id="208" w:name="_Toc32660"/>
      <w:bookmarkStart w:id="209" w:name="_Toc30792"/>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206"/>
      <w:bookmarkEnd w:id="207"/>
      <w:bookmarkEnd w:id="208"/>
      <w:bookmarkEnd w:id="209"/>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w:t>
      </w:r>
      <w:r>
        <w:rPr>
          <w:rFonts w:hint="eastAsia" w:ascii="黑体" w:eastAsia="黑体"/>
          <w:bCs/>
          <w:color w:val="000000" w:themeColor="text1"/>
          <w:highlight w:val="none"/>
          <w:lang w:eastAsia="zh-CN"/>
          <w14:textFill>
            <w14:solidFill>
              <w14:schemeClr w14:val="tx1"/>
            </w14:solidFill>
          </w14:textFill>
        </w:rPr>
        <w:t>第三部分</w:t>
      </w:r>
      <w:r>
        <w:rPr>
          <w:rFonts w:hint="eastAsia" w:ascii="黑体" w:eastAsia="黑体"/>
          <w:bCs/>
          <w:color w:val="000000" w:themeColor="text1"/>
          <w:highlight w:val="none"/>
          <w14:textFill>
            <w14:solidFill>
              <w14:schemeClr w14:val="tx1"/>
            </w14:solidFill>
          </w14:textFill>
        </w:rPr>
        <w:t>《报价须知〈投标人须知前附表〉》</w:t>
      </w:r>
      <w:r>
        <w:rPr>
          <w:rFonts w:hint="eastAsia" w:ascii="宋体" w:hAnsi="宋体"/>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210" w:name="_Toc24885"/>
      <w:bookmarkStart w:id="211" w:name="_Toc4703"/>
      <w:bookmarkStart w:id="212" w:name="_Toc8293"/>
      <w:bookmarkStart w:id="213" w:name="_Toc36778032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210"/>
      <w:bookmarkEnd w:id="211"/>
      <w:bookmarkEnd w:id="212"/>
      <w:bookmarkEnd w:id="213"/>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214" w:name="_Toc32382"/>
      <w:bookmarkStart w:id="215" w:name="_Toc29304"/>
      <w:bookmarkStart w:id="216" w:name="_Toc27285"/>
      <w:bookmarkStart w:id="217" w:name="_Toc367780326"/>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214"/>
      <w:bookmarkEnd w:id="215"/>
      <w:bookmarkEnd w:id="216"/>
      <w:bookmarkEnd w:id="217"/>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218" w:name="_Toc20171"/>
      <w:bookmarkStart w:id="219" w:name="_Toc18376"/>
      <w:bookmarkStart w:id="220" w:name="_Toc367780327"/>
      <w:bookmarkStart w:id="221" w:name="_Toc126"/>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218"/>
      <w:bookmarkEnd w:id="219"/>
      <w:bookmarkEnd w:id="220"/>
      <w:bookmarkEnd w:id="221"/>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w:t>
      </w:r>
      <w:r>
        <w:rPr>
          <w:rFonts w:hint="eastAsia" w:ascii="宋体" w:hAnsi="宋体"/>
          <w:bCs/>
          <w:color w:val="000000" w:themeColor="text1"/>
          <w:szCs w:val="21"/>
          <w:highlight w:val="none"/>
          <w:lang w:val="en-US" w:eastAsia="zh-CN"/>
          <w14:textFill>
            <w14:solidFill>
              <w14:schemeClr w14:val="tx1"/>
            </w14:solidFill>
          </w14:textFill>
        </w:rPr>
        <w:t>投标</w:t>
      </w:r>
      <w:r>
        <w:rPr>
          <w:rFonts w:hint="eastAsia" w:ascii="宋体" w:hAnsi="宋体"/>
          <w:bCs/>
          <w:color w:val="000000" w:themeColor="text1"/>
          <w:szCs w:val="21"/>
          <w:highlight w:val="none"/>
          <w14:textFill>
            <w14:solidFill>
              <w14:schemeClr w14:val="tx1"/>
            </w14:solidFill>
          </w14:textFill>
        </w:rPr>
        <w:t>保证金。</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222" w:name="_Toc367780328"/>
      <w:bookmarkStart w:id="223" w:name="_Toc24361"/>
      <w:bookmarkStart w:id="224" w:name="_Toc18779"/>
      <w:bookmarkStart w:id="225" w:name="_Toc30681"/>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222"/>
      <w:bookmarkEnd w:id="223"/>
      <w:bookmarkEnd w:id="224"/>
      <w:bookmarkEnd w:id="225"/>
    </w:p>
    <w:p>
      <w:pPr>
        <w:pStyle w:val="5"/>
        <w:spacing w:line="360" w:lineRule="auto"/>
        <w:rPr>
          <w:rFonts w:ascii="宋体" w:hAnsi="宋体"/>
          <w:color w:val="000000" w:themeColor="text1"/>
          <w:sz w:val="21"/>
          <w:szCs w:val="21"/>
          <w:highlight w:val="none"/>
          <w14:textFill>
            <w14:solidFill>
              <w14:schemeClr w14:val="tx1"/>
            </w14:solidFill>
          </w14:textFill>
        </w:rPr>
      </w:pPr>
      <w:bookmarkStart w:id="226" w:name="_Toc11124"/>
      <w:bookmarkStart w:id="227" w:name="_Toc24535"/>
      <w:bookmarkStart w:id="228" w:name="_Toc11746"/>
      <w:bookmarkStart w:id="229" w:name="_Toc367780329"/>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230" w:name="_Toc367780330"/>
      <w:bookmarkStart w:id="231" w:name="_Toc4536"/>
      <w:bookmarkStart w:id="232" w:name="_Toc12985"/>
      <w:bookmarkStart w:id="233" w:name="_Toc4922"/>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230"/>
      <w:bookmarkEnd w:id="231"/>
      <w:bookmarkEnd w:id="232"/>
      <w:bookmarkEnd w:id="23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w:t>
      </w:r>
      <w:r>
        <w:rPr>
          <w:rFonts w:hint="eastAsia" w:ascii="黑体" w:eastAsia="黑体"/>
          <w:bCs/>
          <w:color w:val="000000" w:themeColor="text1"/>
          <w:highlight w:val="none"/>
          <w:lang w:val="en-US" w:eastAsia="zh-CN"/>
          <w14:textFill>
            <w14:solidFill>
              <w14:schemeClr w14:val="tx1"/>
            </w14:solidFill>
          </w14:textFill>
        </w:rPr>
        <w:t>分</w:t>
      </w:r>
      <w:r>
        <w:rPr>
          <w:rFonts w:hint="eastAsia" w:ascii="黑体" w:eastAsia="黑体"/>
          <w:bCs/>
          <w:color w:val="000000" w:themeColor="text1"/>
          <w:highlight w:val="none"/>
          <w14:textFill>
            <w14:solidFill>
              <w14:schemeClr w14:val="tx1"/>
            </w14:solidFill>
          </w14:textFill>
        </w:rPr>
        <w:t>《报价须知〈投标人须知前附表〉》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w:t>
      </w:r>
      <w:r>
        <w:rPr>
          <w:rFonts w:hint="eastAsia" w:ascii="宋体" w:hAnsi="宋体"/>
          <w:bCs/>
          <w:color w:val="000000" w:themeColor="text1"/>
          <w:szCs w:val="21"/>
          <w:highlight w:val="none"/>
          <w:lang w:val="en-US" w:eastAsia="zh-CN"/>
          <w14:textFill>
            <w14:solidFill>
              <w14:schemeClr w14:val="tx1"/>
            </w14:solidFill>
          </w14:textFill>
        </w:rPr>
        <w:t>按采购人要求</w:t>
      </w:r>
      <w:r>
        <w:rPr>
          <w:rFonts w:hint="eastAsia" w:ascii="宋体"/>
          <w:b w:val="0"/>
          <w:bCs w:val="0"/>
          <w:color w:val="000000" w:themeColor="text1"/>
          <w:highlight w:val="none"/>
          <w:lang w:val="en-US" w:eastAsia="zh-CN"/>
          <w14:textFill>
            <w14:solidFill>
              <w14:schemeClr w14:val="tx1"/>
            </w14:solidFill>
          </w14:textFill>
        </w:rPr>
        <w:t>在采购人评审专家库内抽取不少于4人的专家和采购需求部门代表，组成5人评审小组</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234" w:name="_Toc367780331"/>
      <w:bookmarkStart w:id="235" w:name="_Toc1847"/>
      <w:bookmarkStart w:id="236" w:name="_Toc32161"/>
      <w:bookmarkStart w:id="237" w:name="_Toc26467"/>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234"/>
      <w:bookmarkEnd w:id="235"/>
      <w:bookmarkEnd w:id="236"/>
      <w:bookmarkEnd w:id="237"/>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238" w:name="_Toc367780332"/>
      <w:bookmarkStart w:id="239" w:name="_Toc27463"/>
      <w:bookmarkStart w:id="240" w:name="_Toc26473"/>
      <w:bookmarkStart w:id="241" w:name="_Toc19278"/>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238"/>
      <w:bookmarkEnd w:id="239"/>
      <w:bookmarkEnd w:id="240"/>
      <w:bookmarkEnd w:id="241"/>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w:t>
      </w:r>
      <w:r>
        <w:rPr>
          <w:rFonts w:hint="eastAsia" w:ascii="宋体" w:hAnsi="宋体"/>
          <w:bCs/>
          <w:color w:val="000000" w:themeColor="text1"/>
          <w:szCs w:val="21"/>
          <w:highlight w:val="none"/>
          <w:lang w:val="en-US" w:eastAsia="zh-CN"/>
          <w14:textFill>
            <w14:solidFill>
              <w14:schemeClr w14:val="tx1"/>
            </w14:solidFill>
          </w14:textFill>
        </w:rPr>
        <w:t>投标</w:t>
      </w:r>
      <w:r>
        <w:rPr>
          <w:rFonts w:hint="eastAsia" w:ascii="宋体" w:hAnsi="宋体"/>
          <w:bCs/>
          <w:color w:val="000000" w:themeColor="text1"/>
          <w:szCs w:val="21"/>
          <w:highlight w:val="none"/>
          <w14:textFill>
            <w14:solidFill>
              <w14:schemeClr w14:val="tx1"/>
            </w14:solidFill>
          </w14:textFill>
        </w:rPr>
        <w:t>保证金或导致谈判被拒绝。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242" w:name="_Toc21768"/>
      <w:bookmarkStart w:id="243" w:name="_Toc367780333"/>
      <w:bookmarkStart w:id="244" w:name="_Toc26381"/>
      <w:bookmarkStart w:id="245" w:name="_Toc32670"/>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242"/>
      <w:bookmarkEnd w:id="243"/>
      <w:bookmarkEnd w:id="244"/>
      <w:bookmarkEnd w:id="245"/>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4"/>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246" w:name="_Toc367780334"/>
      <w:bookmarkStart w:id="247" w:name="_Toc5749"/>
      <w:bookmarkStart w:id="248" w:name="_Toc22915"/>
      <w:bookmarkStart w:id="249" w:name="_Toc5548"/>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246"/>
      <w:bookmarkEnd w:id="247"/>
      <w:bookmarkEnd w:id="248"/>
      <w:bookmarkEnd w:id="249"/>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250" w:name="_Toc22028"/>
      <w:bookmarkStart w:id="251" w:name="_Toc367780335"/>
      <w:bookmarkStart w:id="252" w:name="_Toc24763"/>
      <w:bookmarkStart w:id="253" w:name="_Toc5031"/>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250"/>
      <w:bookmarkEnd w:id="251"/>
      <w:bookmarkEnd w:id="252"/>
      <w:bookmarkEnd w:id="253"/>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4"/>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4"/>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254" w:name="_Toc367780336"/>
      <w:bookmarkStart w:id="255" w:name="_Toc22278"/>
      <w:bookmarkStart w:id="256" w:name="_Toc3549"/>
      <w:bookmarkStart w:id="257" w:name="_Toc19429"/>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254"/>
      <w:bookmarkEnd w:id="255"/>
      <w:bookmarkEnd w:id="256"/>
      <w:bookmarkEnd w:id="257"/>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258" w:name="_Toc18863"/>
      <w:bookmarkStart w:id="259" w:name="_Toc367780337"/>
      <w:bookmarkStart w:id="260" w:name="_Toc19896"/>
      <w:bookmarkStart w:id="261" w:name="_Toc12925"/>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258"/>
      <w:bookmarkEnd w:id="259"/>
      <w:bookmarkEnd w:id="260"/>
      <w:bookmarkEnd w:id="261"/>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w:t>
      </w:r>
      <w:r>
        <w:rPr>
          <w:rFonts w:hint="eastAsia" w:ascii="黑体" w:eastAsia="黑体"/>
          <w:bCs/>
          <w:color w:val="000000" w:themeColor="text1"/>
          <w:highlight w:val="none"/>
          <w:lang w:eastAsia="zh-CN"/>
          <w14:textFill>
            <w14:solidFill>
              <w14:schemeClr w14:val="tx1"/>
            </w14:solidFill>
          </w14:textFill>
        </w:rPr>
        <w:t>第三部分</w:t>
      </w:r>
      <w:r>
        <w:rPr>
          <w:rFonts w:hint="eastAsia" w:ascii="黑体" w:eastAsia="黑体"/>
          <w:bCs/>
          <w:color w:val="000000" w:themeColor="text1"/>
          <w:highlight w:val="none"/>
          <w14:textFill>
            <w14:solidFill>
              <w14:schemeClr w14:val="tx1"/>
            </w14:solidFill>
          </w14:textFill>
        </w:rPr>
        <w:t>《报价须知〈投标人须知前附表〉》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未成交供应商，广东业信采购招标有限公司不再以其它方式另行通知。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262" w:name="_Toc367780338"/>
      <w:bookmarkStart w:id="263" w:name="_Toc32387"/>
      <w:bookmarkStart w:id="264" w:name="_Toc31420"/>
      <w:bookmarkStart w:id="265" w:name="_Toc8671"/>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262"/>
      <w:bookmarkEnd w:id="263"/>
      <w:bookmarkEnd w:id="264"/>
      <w:bookmarkEnd w:id="265"/>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266" w:name="_Toc19641"/>
      <w:bookmarkStart w:id="267" w:name="_Toc29413"/>
      <w:bookmarkStart w:id="268" w:name="_Toc367780339"/>
      <w:bookmarkStart w:id="269" w:name="_Toc20233"/>
      <w:r>
        <w:rPr>
          <w:rFonts w:hint="eastAsia" w:ascii="宋体" w:hAnsi="宋体" w:eastAsia="宋体"/>
          <w:color w:val="000000" w:themeColor="text1"/>
          <w:sz w:val="21"/>
          <w:szCs w:val="21"/>
          <w:highlight w:val="none"/>
          <w14:textFill>
            <w14:solidFill>
              <w14:schemeClr w14:val="tx1"/>
            </w14:solidFill>
          </w14:textFill>
        </w:rPr>
        <w:t>Ｆ  授予合同</w:t>
      </w:r>
      <w:bookmarkEnd w:id="266"/>
      <w:bookmarkEnd w:id="267"/>
      <w:bookmarkEnd w:id="268"/>
      <w:bookmarkEnd w:id="269"/>
    </w:p>
    <w:p>
      <w:pPr>
        <w:pStyle w:val="5"/>
        <w:spacing w:line="360" w:lineRule="auto"/>
        <w:rPr>
          <w:rFonts w:ascii="宋体" w:hAnsi="宋体"/>
          <w:color w:val="000000" w:themeColor="text1"/>
          <w:sz w:val="21"/>
          <w:szCs w:val="21"/>
          <w:highlight w:val="none"/>
          <w14:textFill>
            <w14:solidFill>
              <w14:schemeClr w14:val="tx1"/>
            </w14:solidFill>
          </w14:textFill>
        </w:rPr>
      </w:pPr>
      <w:bookmarkStart w:id="270" w:name="_Toc29010"/>
      <w:bookmarkStart w:id="271" w:name="_Toc28399"/>
      <w:bookmarkStart w:id="272" w:name="_Toc10171"/>
      <w:bookmarkStart w:id="273" w:name="_Toc367780340"/>
      <w:r>
        <w:rPr>
          <w:rFonts w:hint="eastAsia" w:ascii="宋体" w:hAnsi="宋体"/>
          <w:color w:val="000000" w:themeColor="text1"/>
          <w:sz w:val="21"/>
          <w:szCs w:val="21"/>
          <w:highlight w:val="none"/>
          <w14:textFill>
            <w14:solidFill>
              <w14:schemeClr w14:val="tx1"/>
            </w14:solidFill>
          </w14:textFill>
        </w:rPr>
        <w:t>32     接受和拒绝投标的权利</w:t>
      </w:r>
      <w:bookmarkEnd w:id="270"/>
      <w:bookmarkEnd w:id="271"/>
      <w:bookmarkEnd w:id="272"/>
      <w:bookmarkEnd w:id="273"/>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274" w:name="_Toc14601"/>
      <w:bookmarkStart w:id="275" w:name="_Toc5613"/>
      <w:bookmarkStart w:id="276" w:name="_Toc29827"/>
      <w:bookmarkStart w:id="277" w:name="_Toc367780341"/>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274"/>
      <w:bookmarkEnd w:id="275"/>
      <w:bookmarkEnd w:id="276"/>
      <w:bookmarkEnd w:id="277"/>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278" w:name="_Toc22077"/>
      <w:bookmarkStart w:id="279" w:name="_Toc7778"/>
      <w:bookmarkStart w:id="280" w:name="_Toc31735"/>
      <w:bookmarkStart w:id="281" w:name="_Toc367780342"/>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278"/>
      <w:bookmarkEnd w:id="279"/>
      <w:bookmarkEnd w:id="280"/>
      <w:bookmarkEnd w:id="28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采购人应当自采购合同签订之日起七个工作日内，按照有关规定将采购合同副本报同级人民政府财政部门和广东业信采购招标有限公司备案。</w:t>
      </w:r>
      <w:bookmarkStart w:id="282"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283" w:name="_Toc432682726"/>
      <w:bookmarkStart w:id="284" w:name="_Toc8252"/>
      <w:bookmarkStart w:id="285" w:name="_Toc19765"/>
      <w:bookmarkStart w:id="286" w:name="_Toc499041071"/>
      <w:bookmarkStart w:id="287" w:name="_Toc430771059"/>
      <w:bookmarkStart w:id="288" w:name="_Toc687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283"/>
      <w:bookmarkEnd w:id="284"/>
      <w:bookmarkEnd w:id="285"/>
      <w:bookmarkEnd w:id="286"/>
      <w:bookmarkEnd w:id="287"/>
      <w:bookmarkEnd w:id="28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289" w:name="_Toc430185803"/>
      <w:bookmarkStart w:id="290" w:name="_Toc430771060"/>
      <w:r>
        <w:rPr>
          <w:rFonts w:hint="eastAsia" w:ascii="宋体" w:hAnsi="宋体" w:eastAsia="宋体" w:cs="宋体"/>
          <w:color w:val="000000" w:themeColor="text1"/>
          <w:highlight w:val="none"/>
          <w14:textFill>
            <w14:solidFill>
              <w14:schemeClr w14:val="tx1"/>
            </w14:solidFill>
          </w14:textFill>
        </w:rPr>
        <w:t xml:space="preserve">35     </w:t>
      </w:r>
      <w:bookmarkStart w:id="29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289"/>
      <w:bookmarkEnd w:id="290"/>
      <w:bookmarkEnd w:id="29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292" w:name="_Toc430185804"/>
      <w:bookmarkStart w:id="293" w:name="_Toc430771061"/>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292"/>
      <w:bookmarkEnd w:id="29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294" w:name="_Toc430771062"/>
      <w:bookmarkStart w:id="295" w:name="_Toc430185805"/>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294"/>
      <w:bookmarkEnd w:id="29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296" w:name="_Toc430185806"/>
      <w:bookmarkStart w:id="297" w:name="_Toc430771063"/>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296"/>
      <w:bookmarkEnd w:id="29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tbl>
      <w:tblPr>
        <w:tblStyle w:val="44"/>
        <w:tblW w:w="89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3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31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3163"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316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316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eastAsia="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298" w:name="_Toc4761"/>
      <w:bookmarkStart w:id="299" w:name="_Toc19438"/>
      <w:bookmarkStart w:id="300" w:name="_Toc3068"/>
      <w:r>
        <w:rPr>
          <w:rFonts w:hint="eastAsia" w:ascii="宋体" w:hAnsi="宋体"/>
          <w:color w:val="000000" w:themeColor="text1"/>
          <w:sz w:val="21"/>
          <w:szCs w:val="21"/>
          <w:highlight w:val="none"/>
          <w14:textFill>
            <w14:solidFill>
              <w14:schemeClr w14:val="tx1"/>
            </w14:solidFill>
          </w14:textFill>
        </w:rPr>
        <w:t>第四部分  合同书格式（参考范本）</w:t>
      </w:r>
      <w:bookmarkEnd w:id="282"/>
      <w:bookmarkEnd w:id="298"/>
      <w:bookmarkEnd w:id="299"/>
      <w:bookmarkEnd w:id="300"/>
    </w:p>
    <w:p>
      <w:pPr>
        <w:spacing w:line="560" w:lineRule="exact"/>
        <w:rPr>
          <w:rFonts w:ascii="宋体" w:hAnsi="宋体"/>
          <w:bCs/>
          <w:color w:val="000000" w:themeColor="text1"/>
          <w:szCs w:val="21"/>
          <w:highlight w:val="none"/>
          <w14:textFill>
            <w14:solidFill>
              <w14:schemeClr w14:val="tx1"/>
            </w14:solidFill>
          </w14:textFill>
        </w:rPr>
      </w:pPr>
    </w:p>
    <w:p>
      <w:pPr>
        <w:tabs>
          <w:tab w:val="left" w:pos="1620"/>
          <w:tab w:val="left" w:pos="5220"/>
        </w:tabs>
        <w:spacing w:before="156" w:beforeLines="50"/>
        <w:ind w:right="420"/>
        <w:jc w:val="center"/>
        <w:rPr>
          <w:rFonts w:hint="eastAsia" w:ascii="宋体" w:hAnsi="宋体" w:eastAsia="宋体" w:cs="宋体"/>
          <w:b/>
          <w:bCs/>
          <w:color w:val="000000" w:themeColor="text1"/>
          <w:sz w:val="44"/>
          <w:szCs w:val="44"/>
          <w:highlight w:val="none"/>
          <w14:textFill>
            <w14:solidFill>
              <w14:schemeClr w14:val="tx1"/>
            </w14:solidFill>
          </w14:textFill>
        </w:rPr>
      </w:pPr>
    </w:p>
    <w:p>
      <w:pPr>
        <w:tabs>
          <w:tab w:val="left" w:pos="1620"/>
          <w:tab w:val="left" w:pos="5220"/>
        </w:tabs>
        <w:spacing w:before="156" w:beforeLines="50"/>
        <w:ind w:right="420"/>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技术设备采购合同</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甲方（购货方）：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乙方（销货方）：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》及其他有关法律法规，遵循平等、自愿、公平和诚实信用的原则，经双方协商一致，签订本合同并遵守下列条款，共同严格履行。</w:t>
      </w:r>
    </w:p>
    <w:p>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一、合同标的物</w:t>
      </w:r>
    </w:p>
    <w:p>
      <w:pPr>
        <w:spacing w:line="360" w:lineRule="auto"/>
        <w:ind w:firstLine="378" w:firstLineChars="1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签订双方商妥订购产品总值人民币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元，产品的具体名称、规格、型号、品牌、质量、数量、计量单位、单价、总值、交货付款等详如附表。</w:t>
      </w:r>
    </w:p>
    <w:p>
      <w:pPr>
        <w:spacing w:before="156" w:beforeLines="50"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二、产品价款规定</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1、上述成交价为含税价，包含产品的包装费、运杂费、保险费及交付到甲方指定地点的所有费用。</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产品的安装由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负责，费用由</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承担。</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2、结算方式</w:t>
      </w:r>
    </w:p>
    <w:p>
      <w:pPr>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1）甲方</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收到全部货物并验收合格后，</w:t>
      </w:r>
      <w:r>
        <w:rPr>
          <w:rFonts w:hint="eastAsia" w:ascii="宋体" w:hAnsi="宋体" w:cs="宋体"/>
          <w:b w:val="0"/>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向</w:t>
      </w:r>
      <w:r>
        <w:rPr>
          <w:rFonts w:hint="eastAsia" w:ascii="宋体" w:hAnsi="宋体" w:cs="宋体"/>
          <w:b w:val="0"/>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提供以下材料20个工作日内支付全部货款。</w:t>
      </w:r>
    </w:p>
    <w:p>
      <w:pPr>
        <w:spacing w:line="360" w:lineRule="auto"/>
        <w:ind w:firstLine="420" w:firstLineChars="20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2）乙方</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提交材料：等额发票（原件）、设备检测报告和合格证明（原件）、设备调试记录、系统试运行记录、付款申请。</w:t>
      </w:r>
    </w:p>
    <w:p>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三、交付方式、地点和时间</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1、产品交付方式为：</w:t>
      </w:r>
      <w:r>
        <w:rPr>
          <w:rFonts w:hint="eastAsia" w:ascii="宋体" w:hAnsi="宋体" w:eastAsia="宋体" w:cs="宋体"/>
          <w:color w:val="000000" w:themeColor="text1"/>
          <w:sz w:val="21"/>
          <w:szCs w:val="21"/>
          <w:highlight w:val="none"/>
          <w:u w:val="single"/>
          <w14:textFill>
            <w14:solidFill>
              <w14:schemeClr w14:val="tx1"/>
            </w14:solidFill>
          </w14:textFill>
        </w:rPr>
        <w:t>乙方送货至甲方指定地点，并完成安装，经甲方验收合格后方视为完成交付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2、产品交付地点为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3、交付时间为合同生效后</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天，若甲方对乙方产品有特殊要求的，乙方应当在甲方提供相关确认文件后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天内交付。</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产品交付前，产品的灭失、毁损的风险由乙方承担；产品交付后产品的灭失、毁损的风险由甲方承担。</w:t>
      </w:r>
    </w:p>
    <w:p>
      <w:pPr>
        <w:spacing w:line="360" w:lineRule="auto"/>
        <w:ind w:firstLine="422" w:firstLineChars="200"/>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cs="宋体"/>
          <w:b/>
          <w:color w:val="000000" w:themeColor="text1"/>
          <w:sz w:val="21"/>
          <w:szCs w:val="21"/>
          <w:highlight w:val="none"/>
          <w:lang w:val="en-US" w:eastAsia="zh-CN"/>
          <w14:textFill>
            <w14:solidFill>
              <w14:schemeClr w14:val="tx1"/>
            </w14:solidFill>
          </w14:textFill>
        </w:rPr>
        <w:t>交货要求</w:t>
      </w:r>
    </w:p>
    <w:p>
      <w:pPr>
        <w:pStyle w:val="2"/>
        <w:ind w:firstLine="420" w:firstLineChars="200"/>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w:t>
      </w:r>
      <w:r>
        <w:rPr>
          <w:rFonts w:hint="default" w:eastAsia="宋体"/>
          <w:color w:val="000000" w:themeColor="text1"/>
          <w:highlight w:val="none"/>
          <w:lang w:val="en-US" w:eastAsia="zh-CN"/>
          <w14:textFill>
            <w14:solidFill>
              <w14:schemeClr w14:val="tx1"/>
            </w14:solidFill>
          </w14:textFill>
        </w:rPr>
        <w:t>乙方将货物送到甲方指定地点完成安装调试，实现正常运行并达到合同要求的性能和产品技术规格中的性能，相关费用已包含在响应报价中。</w:t>
      </w:r>
    </w:p>
    <w:p>
      <w:pPr>
        <w:pStyle w:val="2"/>
        <w:ind w:firstLine="420" w:firstLineChars="200"/>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rFonts w:hint="default" w:eastAsia="宋体"/>
          <w:color w:val="000000" w:themeColor="text1"/>
          <w:highlight w:val="none"/>
          <w:lang w:val="en-US" w:eastAsia="zh-CN"/>
          <w14:textFill>
            <w14:solidFill>
              <w14:schemeClr w14:val="tx1"/>
            </w14:solidFill>
          </w14:textFill>
        </w:rPr>
        <w:t>质量保证：保证所提供设备为原厂生产，全新未使用的产品，没有材料和工艺上的缺陷，并与响应文件描述一致。</w:t>
      </w:r>
    </w:p>
    <w:p>
      <w:pPr>
        <w:pStyle w:val="2"/>
        <w:ind w:firstLine="420" w:firstLineChars="200"/>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w:t>
      </w:r>
      <w:r>
        <w:rPr>
          <w:rFonts w:hint="default" w:eastAsia="宋体"/>
          <w:color w:val="000000" w:themeColor="text1"/>
          <w:highlight w:val="none"/>
          <w:lang w:val="en-US" w:eastAsia="zh-CN"/>
          <w14:textFill>
            <w14:solidFill>
              <w14:schemeClr w14:val="tx1"/>
            </w14:solidFill>
          </w14:textFill>
        </w:rPr>
        <w:t>设备包装和标记：</w:t>
      </w:r>
    </w:p>
    <w:p>
      <w:pPr>
        <w:pStyle w:val="2"/>
        <w:ind w:firstLine="420" w:firstLineChars="200"/>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（1）设备包装</w:t>
      </w:r>
    </w:p>
    <w:p>
      <w:pPr>
        <w:pStyle w:val="2"/>
        <w:ind w:firstLine="420" w:firstLineChars="200"/>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设备包装使用适于运输的坚固材料，并根据合同货物的不同特性和要求采取防潮、防雨、防锈、防震、防腐等保护措施，以确保合同货物安全无损地送达交货地点。</w:t>
      </w:r>
    </w:p>
    <w:p>
      <w:pPr>
        <w:pStyle w:val="2"/>
        <w:ind w:firstLine="420" w:firstLineChars="200"/>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（2）设备标记</w:t>
      </w:r>
    </w:p>
    <w:p>
      <w:pPr>
        <w:pStyle w:val="2"/>
        <w:ind w:firstLine="420" w:firstLineChars="200"/>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在包装箱相对的二个侧面上用中文标记“勿倒置”、“小心轻放”、“防潮”等标志和“重心”等装卸搬运时适用的通用图案，以利于装卸和搬运。</w:t>
      </w:r>
    </w:p>
    <w:p>
      <w:pPr>
        <w:pStyle w:val="2"/>
        <w:ind w:firstLine="420" w:firstLineChars="200"/>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w:t>
      </w:r>
      <w:r>
        <w:rPr>
          <w:rFonts w:hint="default" w:eastAsia="宋体"/>
          <w:color w:val="000000" w:themeColor="text1"/>
          <w:highlight w:val="none"/>
          <w:lang w:val="en-US" w:eastAsia="zh-CN"/>
          <w14:textFill>
            <w14:solidFill>
              <w14:schemeClr w14:val="tx1"/>
            </w14:solidFill>
          </w14:textFill>
        </w:rPr>
        <w:t>设备清点和接收</w:t>
      </w:r>
    </w:p>
    <w:p>
      <w:pPr>
        <w:pStyle w:val="2"/>
        <w:ind w:firstLine="420" w:firstLineChars="200"/>
        <w:rPr>
          <w:rFonts w:hint="default" w:eastAsia="宋体"/>
          <w:color w:val="000000" w:themeColor="text1"/>
          <w:highlight w:val="none"/>
          <w:lang w:val="en-US" w:eastAsia="zh-CN"/>
          <w14:textFill>
            <w14:solidFill>
              <w14:schemeClr w14:val="tx1"/>
            </w14:solidFill>
          </w14:textFill>
        </w:rPr>
      </w:pPr>
      <w:r>
        <w:rPr>
          <w:rFonts w:hint="default" w:eastAsia="宋体"/>
          <w:color w:val="000000" w:themeColor="text1"/>
          <w:highlight w:val="none"/>
          <w:lang w:val="en-US" w:eastAsia="zh-CN"/>
          <w14:textFill>
            <w14:solidFill>
              <w14:schemeClr w14:val="tx1"/>
            </w14:solidFill>
          </w14:textFill>
        </w:rPr>
        <w:t>在设备运抵用户指定地点后，由乙方与甲方接收人员按照货物清单进行设备清点和接受，并双方共同确认货物在运输过程中无明显包装损坏。</w:t>
      </w:r>
    </w:p>
    <w:p>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color w:val="000000" w:themeColor="text1"/>
          <w:sz w:val="21"/>
          <w:szCs w:val="21"/>
          <w:highlight w:val="none"/>
          <w14:textFill>
            <w14:solidFill>
              <w14:schemeClr w14:val="tx1"/>
            </w14:solidFill>
          </w14:textFill>
        </w:rPr>
        <w:t>、安装调试条款</w:t>
      </w:r>
    </w:p>
    <w:p>
      <w:pPr>
        <w:spacing w:line="360" w:lineRule="auto"/>
        <w:ind w:left="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1、乙方根据甲方确认的安装调试图纸按图安装调试，双方验收以附表产品清单及图纸为标准。</w:t>
      </w:r>
    </w:p>
    <w:p>
      <w:pPr>
        <w:spacing w:line="360" w:lineRule="auto"/>
        <w:ind w:firstLine="42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2、对安装调试的要求</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14:textFill>
            <w14:solidFill>
              <w14:schemeClr w14:val="tx1"/>
            </w14:solidFill>
          </w14:textFill>
        </w:rPr>
        <w:t>、安装调试过程中，安装调试工具等设备由安装调试乙方自备自理。随着设备安装进展，若安装位置如有变化，则以变更后安装位置为准，乙方应无条件按甲方要求做好安装调试工作，且甲方不作任何补偿。安装完成后，由于甲方原因需要更改或者返工的，则经甲方签字确认后按实际情况另外结算，由于乙方原因造成安装调试质量问题的，均由乙方按要求重新安装调试，甲方无需另行支付费用，质量问题给甲方造成损失的，乙方向甲方进行等价赔偿。</w:t>
      </w:r>
    </w:p>
    <w:p>
      <w:pPr>
        <w:pStyle w:val="40"/>
        <w:spacing w:line="360" w:lineRule="auto"/>
        <w:ind w:firstLine="482" w:firstLineChars="230"/>
        <w:rPr>
          <w:rFonts w:hint="eastAsia" w:ascii="宋体" w:eastAsia="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w:t>
      </w:r>
      <w:r>
        <w:rPr>
          <w:rFonts w:hint="eastAsia" w:ascii="宋体" w:eastAsia="宋体"/>
          <w:color w:val="000000" w:themeColor="text1"/>
          <w:sz w:val="21"/>
          <w:szCs w:val="21"/>
          <w:highlight w:val="none"/>
          <w14:textFill>
            <w14:solidFill>
              <w14:schemeClr w14:val="tx1"/>
            </w14:solidFill>
          </w14:textFill>
        </w:rPr>
        <w:t>、安装调试过程中，乙方必须保证完全配合</w:t>
      </w:r>
      <w:r>
        <w:rPr>
          <w:rFonts w:hint="eastAsia" w:ascii="宋体" w:hAnsi="宋体" w:eastAsia="宋体"/>
          <w:color w:val="000000" w:themeColor="text1"/>
          <w:sz w:val="21"/>
          <w:szCs w:val="21"/>
          <w:highlight w:val="none"/>
          <w14:textFill>
            <w14:solidFill>
              <w14:schemeClr w14:val="tx1"/>
            </w14:solidFill>
          </w14:textFill>
        </w:rPr>
        <w:t>甲方</w:t>
      </w:r>
      <w:r>
        <w:rPr>
          <w:rFonts w:hint="eastAsia" w:ascii="宋体" w:eastAsia="宋体"/>
          <w:color w:val="000000" w:themeColor="text1"/>
          <w:sz w:val="21"/>
          <w:szCs w:val="21"/>
          <w:highlight w:val="none"/>
          <w14:textFill>
            <w14:solidFill>
              <w14:schemeClr w14:val="tx1"/>
            </w14:solidFill>
          </w14:textFill>
        </w:rPr>
        <w:t>的实际情况进行安装调试，避免发生影响甲方正常工作的事情发生，同时保证设备安装质量和做好全面的安全防护措施，严格执行安全生产规定，保证按质按量完成。</w:t>
      </w:r>
    </w:p>
    <w:p>
      <w:pPr>
        <w:pStyle w:val="40"/>
        <w:spacing w:line="360" w:lineRule="auto"/>
        <w:ind w:firstLine="482" w:firstLineChars="230"/>
        <w:rPr>
          <w:rFonts w:hint="eastAsia" w:ascii="宋体" w:eastAsia="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w:t>
      </w:r>
      <w:r>
        <w:rPr>
          <w:rFonts w:hint="eastAsia" w:ascii="宋体" w:eastAsia="宋体"/>
          <w:color w:val="000000" w:themeColor="text1"/>
          <w:sz w:val="21"/>
          <w:szCs w:val="21"/>
          <w:highlight w:val="none"/>
          <w14:textFill>
            <w14:solidFill>
              <w14:schemeClr w14:val="tx1"/>
            </w14:solidFill>
          </w14:textFill>
        </w:rPr>
        <w:t>、乙方应注意现场安装调试安全和劳动保护，</w:t>
      </w:r>
      <w:r>
        <w:rPr>
          <w:rFonts w:hint="eastAsia" w:ascii="宋体" w:hAnsi="宋体" w:eastAsia="宋体"/>
          <w:color w:val="000000" w:themeColor="text1"/>
          <w:sz w:val="21"/>
          <w:szCs w:val="21"/>
          <w:highlight w:val="none"/>
          <w14:textFill>
            <w14:solidFill>
              <w14:schemeClr w14:val="tx1"/>
            </w14:solidFill>
          </w14:textFill>
        </w:rPr>
        <w:t>安装调试人员不得在安装调试现场违法乱纪，一旦发生问题，后果自负。</w:t>
      </w:r>
      <w:r>
        <w:rPr>
          <w:rFonts w:hint="eastAsia" w:ascii="宋体" w:eastAsia="宋体"/>
          <w:color w:val="000000" w:themeColor="text1"/>
          <w:sz w:val="21"/>
          <w:szCs w:val="21"/>
          <w:highlight w:val="none"/>
          <w14:textFill>
            <w14:solidFill>
              <w14:schemeClr w14:val="tx1"/>
            </w14:solidFill>
          </w14:textFill>
        </w:rPr>
        <w:t>安装调试中发生的一切安全事故，除甲方人员自身原因外，乙方承担全部责任。</w:t>
      </w:r>
    </w:p>
    <w:p>
      <w:pPr>
        <w:pStyle w:val="40"/>
        <w:spacing w:line="360" w:lineRule="auto"/>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w:t>
      </w:r>
      <w:r>
        <w:rPr>
          <w:rFonts w:hint="eastAsia" w:asci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14:textFill>
            <w14:solidFill>
              <w14:schemeClr w14:val="tx1"/>
            </w14:solidFill>
          </w14:textFill>
        </w:rPr>
        <w:t>乙方负责及时清理安装调试过程遗留的垃圾，设备安装调试结束后方可离场。</w:t>
      </w:r>
    </w:p>
    <w:p>
      <w:pPr>
        <w:pStyle w:val="40"/>
        <w:spacing w:line="360" w:lineRule="auto"/>
        <w:ind w:firstLine="420" w:firstLineChars="200"/>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E、乙方安装调试人员要文明安装调试，禁止野蛮安装调试。</w:t>
      </w:r>
      <w:r>
        <w:rPr>
          <w:rFonts w:hint="eastAsia" w:ascii="宋体" w:hAnsi="宋体" w:eastAsia="宋体"/>
          <w:color w:val="000000" w:themeColor="text1"/>
          <w:sz w:val="21"/>
          <w:szCs w:val="21"/>
          <w:highlight w:val="none"/>
          <w:lang w:val="en-US" w:eastAsia="zh-CN"/>
          <w14:textFill>
            <w14:solidFill>
              <w14:schemeClr w14:val="tx1"/>
            </w14:solidFill>
          </w14:textFill>
        </w:rPr>
        <w:t>安装调试过程中，因乙方原因对甲方设施设备等造成损伤的，乙方应承担相应的赔偿责任。</w:t>
      </w:r>
      <w:r>
        <w:rPr>
          <w:rFonts w:hint="eastAsia" w:ascii="宋体" w:hAnsi="宋体" w:eastAsia="宋体"/>
          <w:color w:val="000000" w:themeColor="text1"/>
          <w:sz w:val="21"/>
          <w:szCs w:val="21"/>
          <w:highlight w:val="none"/>
          <w14:textFill>
            <w14:solidFill>
              <w14:schemeClr w14:val="tx1"/>
            </w14:solidFill>
          </w14:textFill>
        </w:rPr>
        <w:t>如：要爱护室内原有设施，甲方所有的物品未经许可，不得擅自处理等。甲方对表现不好的安装调试人员有权要求掉换，</w:t>
      </w:r>
      <w:r>
        <w:rPr>
          <w:rFonts w:hint="eastAsia" w:ascii="宋体" w:eastAsia="宋体"/>
          <w:color w:val="000000" w:themeColor="text1"/>
          <w:sz w:val="21"/>
          <w:szCs w:val="21"/>
          <w:highlight w:val="none"/>
          <w14:textFill>
            <w14:solidFill>
              <w14:schemeClr w14:val="tx1"/>
            </w14:solidFill>
          </w14:textFill>
        </w:rPr>
        <w:t>乙方</w:t>
      </w:r>
      <w:r>
        <w:rPr>
          <w:rFonts w:hint="eastAsia" w:ascii="宋体" w:hAnsi="宋体" w:eastAsia="宋体"/>
          <w:color w:val="000000" w:themeColor="text1"/>
          <w:sz w:val="21"/>
          <w:szCs w:val="21"/>
          <w:highlight w:val="none"/>
          <w14:textFill>
            <w14:solidFill>
              <w14:schemeClr w14:val="tx1"/>
            </w14:solidFill>
          </w14:textFill>
        </w:rPr>
        <w:t>不得拖延。</w:t>
      </w:r>
    </w:p>
    <w:p>
      <w:pPr>
        <w:spacing w:line="360" w:lineRule="auto"/>
        <w:ind w:left="2" w:leftChars="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F、乙方安装调试人员应具备在安装地暂住的一切证件，因证件不全引起的相关损失由乙方自行承担。</w:t>
      </w:r>
    </w:p>
    <w:p>
      <w:pPr>
        <w:spacing w:line="360" w:lineRule="auto"/>
        <w:ind w:left="2" w:leftChars="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乙方在设备安装中必须使用合同清单中列出的材料的规格、型号、厂家的合格产品，安装调试前须经甲方人员检验（按正厂线材质保期限质保）方可安装调试，达到甲方规定的质量要求，绝不可偷工减料，若有材料变更，应经甲方批准同意；因线材原因，造成产品不稳定或故障现象，所带来的损失，一切责任由乙方承担，甲方保留追究权利。</w:t>
      </w:r>
    </w:p>
    <w:p>
      <w:pPr>
        <w:spacing w:line="360" w:lineRule="auto"/>
        <w:ind w:left="2" w:leftChars="1"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H、因不可抗力导致设备安装停工，工期顺延；因甲方原因导致设备安装拖延，由甲方承担责任；因乙方安装调试质量原因导致的变更和修补，工期不予顺延。</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I、设备安装验收：产品安装调试完毕，经甲方验收合格，出具验收合格证明。</w:t>
      </w:r>
    </w:p>
    <w:p>
      <w:pPr>
        <w:spacing w:before="156" w:beforeLines="5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color w:val="000000" w:themeColor="text1"/>
          <w:sz w:val="21"/>
          <w:szCs w:val="21"/>
          <w:highlight w:val="none"/>
          <w14:textFill>
            <w14:solidFill>
              <w14:schemeClr w14:val="tx1"/>
            </w14:solidFill>
          </w14:textFill>
        </w:rPr>
        <w:t>、验收方法</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（合同应明确规定：１．验收时间；２．验收手段；３．验收标准；４．由谁负责验收和试验；５．在验收中发生纠纷后，由哪一级主管产品质量监督检查机构执行仲裁等等）。</w:t>
      </w:r>
    </w:p>
    <w:p>
      <w:pPr>
        <w:spacing w:before="156" w:beforeLines="50"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color w:val="000000" w:themeColor="text1"/>
          <w:sz w:val="21"/>
          <w:szCs w:val="21"/>
          <w:highlight w:val="none"/>
          <w14:textFill>
            <w14:solidFill>
              <w14:schemeClr w14:val="tx1"/>
            </w14:solidFill>
          </w14:textFill>
        </w:rPr>
        <w:t xml:space="preserve">、对产品提出异议的时间和办法 </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１．甲方如果发现产品的品种、型号、规格、花色和质量不合规定，应在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天内向乙方提出书面异议；期间，甲方有权拒付不符合合同规定部分的货款。甲方对货物进行验收后，发现货物不符合合同约定的，乙方仍应根据合同约定承担包换、保修及其他违约责任。 </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２．甲方因使用、保养不善等造成产品质量下降的，对产品质量下降部分不得提出异议。 </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３．乙方在接到甲方书面异议后，应在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天内（另有规定或当事人另行商定期限者除外）负责处理，否则，即视为默认甲方提出的异议和处理意见。</w:t>
      </w:r>
    </w:p>
    <w:p>
      <w:pPr>
        <w:spacing w:before="156" w:beforeLines="50"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b/>
          <w:color w:val="000000" w:themeColor="text1"/>
          <w:sz w:val="21"/>
          <w:szCs w:val="21"/>
          <w:highlight w:val="none"/>
          <w14:textFill>
            <w14:solidFill>
              <w14:schemeClr w14:val="tx1"/>
            </w14:solidFill>
          </w14:textFill>
        </w:rPr>
        <w:t>、履约保证金</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签订本项目合同后10个工作日内，</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eastAsia="zh-CN"/>
          <w14:textFill>
            <w14:solidFill>
              <w14:schemeClr w14:val="tx1"/>
            </w14:solidFill>
          </w14:textFill>
        </w:rPr>
        <w:t>须以银行保函或电汇形式按合同金额的3%（向甲方递交履约保证金。履约保证金有效期截止到收到验收报告之日起3年。有效期满后收到</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eastAsia="zh-CN"/>
          <w14:textFill>
            <w14:solidFill>
              <w14:schemeClr w14:val="tx1"/>
            </w14:solidFill>
          </w14:textFill>
        </w:rPr>
        <w:t>申请后甲方于10个工作日内</w:t>
      </w:r>
      <w:r>
        <w:rPr>
          <w:rFonts w:hint="eastAsia" w:ascii="宋体" w:hAnsi="宋体" w:eastAsia="宋体" w:cs="宋体"/>
          <w:color w:val="000000" w:themeColor="text1"/>
          <w:sz w:val="21"/>
          <w:szCs w:val="21"/>
          <w:highlight w:val="none"/>
          <w:lang w:val="en-US" w:eastAsia="zh-CN"/>
          <w14:textFill>
            <w14:solidFill>
              <w14:schemeClr w14:val="tx1"/>
            </w14:solidFill>
          </w14:textFill>
        </w:rPr>
        <w:t>无息</w:t>
      </w:r>
      <w:r>
        <w:rPr>
          <w:rFonts w:hint="eastAsia" w:ascii="宋体" w:hAnsi="宋体" w:eastAsia="宋体" w:cs="宋体"/>
          <w:color w:val="000000" w:themeColor="text1"/>
          <w:sz w:val="21"/>
          <w:szCs w:val="21"/>
          <w:highlight w:val="none"/>
          <w:lang w:eastAsia="zh-CN"/>
          <w14:textFill>
            <w14:solidFill>
              <w14:schemeClr w14:val="tx1"/>
            </w14:solidFill>
          </w14:textFill>
        </w:rPr>
        <w:t>退还。如乙方未按合同条款履行合同义务，甲方有权利扣除或没收履约保证金。</w:t>
      </w:r>
    </w:p>
    <w:p>
      <w:pPr>
        <w:spacing w:before="156" w:beforeLines="50"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九</w:t>
      </w:r>
      <w:r>
        <w:rPr>
          <w:rFonts w:hint="eastAsia" w:ascii="宋体" w:hAnsi="宋体" w:eastAsia="宋体" w:cs="宋体"/>
          <w:b/>
          <w:color w:val="000000" w:themeColor="text1"/>
          <w:sz w:val="21"/>
          <w:szCs w:val="21"/>
          <w:highlight w:val="none"/>
          <w14:textFill>
            <w14:solidFill>
              <w14:schemeClr w14:val="tx1"/>
            </w14:solidFill>
          </w14:textFill>
        </w:rPr>
        <w:t>、质量保证</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1.维保方案</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（1）质保服务：</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须承诺对本次采购产品提供不少于3年的整体质保服务（自签署最终验收报告之日起计算）。质保期内如产品故障产生的一切维修费用已包含在响应报价中。</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（2）维保期内，</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负责及时对设备的软件系统进行升级，如设备硬件发生故障，</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需24小时内响应，48小时内解除故障或提供替代设备，保证检测工作正常运行。</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远程支持：运维保障提供远程技术支持服务，包括：电话/微信，即时在线通讯等多种服务手段。提供售后服务电话，在接到要求时，将向用户提供设备的各种技术问题咨询，并在24小时内提出解决方案。若远程支持仍无法协助采购人解决问题时，</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应派专业人员在48小时内抵达现场开展维保。</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（4）在设备安装或迁移时，</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应派驻专业人员协助完成。</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须提供详细、科学、合理的售后服务方案，包括质保期内服务方案以及超过质保期限之后的维保服务方案。</w:t>
      </w:r>
    </w:p>
    <w:p>
      <w:pPr>
        <w:spacing w:before="156" w:beforeLines="50"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十</w:t>
      </w:r>
      <w:r>
        <w:rPr>
          <w:rFonts w:hint="eastAsia" w:ascii="宋体" w:hAnsi="宋体" w:eastAsia="宋体" w:cs="宋体"/>
          <w:b/>
          <w:color w:val="000000" w:themeColor="text1"/>
          <w:sz w:val="21"/>
          <w:szCs w:val="21"/>
          <w:highlight w:val="none"/>
          <w14:textFill>
            <w14:solidFill>
              <w14:schemeClr w14:val="tx1"/>
            </w14:solidFill>
          </w14:textFill>
        </w:rPr>
        <w:t>、培训要求</w:t>
      </w:r>
    </w:p>
    <w:p>
      <w:pPr>
        <w:pStyle w:val="2"/>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乙方须提供不少于两次现场培训和集中培训，并提供相关技术资料。</w:t>
      </w:r>
    </w:p>
    <w:p>
      <w:pPr>
        <w:pStyle w:val="2"/>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现场培训内容应包括技术原理、操作、日常基本维护与保养，乙方负责参加培训人员使用的培训设备、教材等相关所有费用，培训详细内容、计划、人数，具体地点和开课日期等由双方协商解决，相关费用已包含在本次响应报价中，甲方不额外支付任何费用。</w:t>
      </w:r>
    </w:p>
    <w:p>
      <w:pPr>
        <w:spacing w:before="156" w:beforeLines="50"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十一</w:t>
      </w:r>
      <w:r>
        <w:rPr>
          <w:rFonts w:hint="eastAsia" w:ascii="宋体" w:hAnsi="宋体" w:eastAsia="宋体" w:cs="宋体"/>
          <w:b/>
          <w:color w:val="000000" w:themeColor="text1"/>
          <w:sz w:val="21"/>
          <w:szCs w:val="21"/>
          <w:highlight w:val="none"/>
          <w14:textFill>
            <w14:solidFill>
              <w14:schemeClr w14:val="tx1"/>
            </w14:solidFill>
          </w14:textFill>
        </w:rPr>
        <w:t>、保密和权利转移约定</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乙方在签订和履行本合同中知悉的甲方的全部信息均为甲方的工作秘密。无论何种原因终止、解除本合同的，乙方同意对在签订和履行本合同中知悉的甲方的秘密承担保密义务。 乙方违反上述约定的，应当承担相应法律后果。该条约定的保密义务的期限为无限期，且保密义务不因本合同的中止、解除、终止而中止、解除、或终止。</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未经对方事先书面同意，任何一方均不得部分全部转让本协议项下的权利或义务。</w:t>
      </w:r>
    </w:p>
    <w:p>
      <w:pPr>
        <w:spacing w:before="156" w:beforeLines="50"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十二</w:t>
      </w:r>
      <w:r>
        <w:rPr>
          <w:rFonts w:hint="eastAsia" w:ascii="宋体" w:hAnsi="宋体" w:eastAsia="宋体" w:cs="宋体"/>
          <w:b/>
          <w:color w:val="000000" w:themeColor="text1"/>
          <w:sz w:val="21"/>
          <w:szCs w:val="21"/>
          <w:highlight w:val="none"/>
          <w14:textFill>
            <w14:solidFill>
              <w14:schemeClr w14:val="tx1"/>
            </w14:solidFill>
          </w14:textFill>
        </w:rPr>
        <w:t>、违约责任</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本合同签订后，任何一方违约，都应按合同约定向守约方支付违约金。若违约金不足以弥补守约方损失的，违约方应当赔偿给守约方造成的一切损失（包括直接损失、可得利益损失及主张权利的律师费、交通费等费用）。</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2、乙方不能交货的，应向甲方偿付不能交货部分货款的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％的违约金。 </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3、乙方逾期交货的，应每日按逾期交货金额的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%向甲方偿付逾期交货的违约金，并承担甲方因此所受的损失费用，逾期交货超过</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日的，甲方有权解除合同，拒绝支付未交货部分的货款，乙方还应向甲方支付合同总价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%的违约金。 </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乙方所交产品品种、型号、规格、质量不符合规定的，如果甲方同意利用，应当按质论价；如果甲方不能利用的，应根据产品的具体情况，由乙方负责包换或包修，并承担修理、调换或退货而支付的实际费用，因更换、返修导致逾期交货的，乙方还应按第九条第3点承担违约责任。</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5、乙方提前交货的产品，多交的产品，品种、型号、规格、质量不符合规定的产品，甲方在代保管期内实际支付的保管、保养等费用以及非因甲方保管不善而发生的损失，应当由乙方承担。 </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乙方提前交货的，甲方接货后，仍可按合同规定的交货时间付款；合同规定自提的，甲方可拒绝提货。乙方逾期交货的，乙方应在发货前与甲方协商，甲方仍需要的，乙方应照数补交，并应按第九条第3点承担违约责任；甲方不再需要的，应当在接到乙方通知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天内通知乙方，办理解除合同手续。 </w:t>
      </w:r>
    </w:p>
    <w:p>
      <w:pPr>
        <w:spacing w:before="156" w:beforeLines="50"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w:t>
      </w:r>
      <w:r>
        <w:rPr>
          <w:rFonts w:hint="eastAsia" w:ascii="宋体" w:hAnsi="宋体" w:cs="宋体"/>
          <w:b/>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、不可抗力免责条款</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因火灾、战争、自然灾害等不可抗力因素而致本合同不能履行的，双方终止合同的履行，各自的损失各自承担。不可抗力因素消失后，双方需要继续履行合同的，由双方另行协商。</w:t>
      </w:r>
    </w:p>
    <w:p>
      <w:pPr>
        <w:spacing w:before="156" w:before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因不可抗力终止合同履行的一方，应当于事件发生后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日内向对方提供有权部门出具的发生不可抗力事件的证明文件并及时通知对方。未履行通知义务而致损失扩大的，过错方应当承担赔偿责任。</w:t>
      </w:r>
    </w:p>
    <w:p>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w:t>
      </w:r>
      <w:r>
        <w:rPr>
          <w:rFonts w:hint="eastAsia" w:ascii="宋体" w:hAnsi="宋体" w:cs="宋体"/>
          <w:b/>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color w:val="000000" w:themeColor="text1"/>
          <w:sz w:val="21"/>
          <w:szCs w:val="21"/>
          <w:highlight w:val="none"/>
          <w14:textFill>
            <w14:solidFill>
              <w14:schemeClr w14:val="tx1"/>
            </w14:solidFill>
          </w14:textFill>
        </w:rPr>
        <w:t>、合同效力</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本合同依法签订，经甲乙双方盖章和代表签字，即具有法律效力，合同附件与本合同具有同等效力，双方必须全面履行，如因故需要变更或解除，需经双方协商同意，另立协议，任何一方违反本合同条款，均按《</w:t>
      </w:r>
      <w:r>
        <w:rPr>
          <w:rFonts w:hint="eastAsia" w:ascii="宋体" w:hAnsi="宋体" w:eastAsia="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》和有关规定追究一切责任。</w:t>
      </w:r>
    </w:p>
    <w:p>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w:t>
      </w:r>
      <w:r>
        <w:rPr>
          <w:rFonts w:hint="eastAsia" w:ascii="宋体" w:hAnsi="宋体" w:cs="宋体"/>
          <w:b/>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color w:val="000000" w:themeColor="text1"/>
          <w:sz w:val="21"/>
          <w:szCs w:val="21"/>
          <w:highlight w:val="none"/>
          <w14:textFill>
            <w14:solidFill>
              <w14:schemeClr w14:val="tx1"/>
            </w14:solidFill>
          </w14:textFill>
        </w:rPr>
        <w:t>、争议解决</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本合同履行过程中产生争议的，双方应协商解决。协商不成的，可向甲方所在地人民法院提起诉讼解决。</w:t>
      </w:r>
    </w:p>
    <w:p>
      <w:pPr>
        <w:spacing w:after="156" w:afterLines="5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w:t>
      </w:r>
      <w:r>
        <w:rPr>
          <w:rFonts w:hint="eastAsia" w:ascii="宋体" w:hAnsi="宋体" w:cs="宋体"/>
          <w:b/>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本合同自甲乙双方盖章及代表签字之日起生效，本合同一式【】份，甲方执【】份，乙方执【】份，均具有同等法律效力。</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pPr>
        <w:spacing w:line="360" w:lineRule="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甲方（盖章）：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乙方（盖章）：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1"/>
          <w:szCs w:val="21"/>
          <w:highlight w:val="none"/>
          <w:u w:val="single"/>
          <w14:textFill>
            <w14:solidFill>
              <w14:schemeClr w14:val="tx1"/>
            </w14:solidFill>
          </w14:textFill>
        </w:rPr>
      </w:pP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代表签名：                           代表签名：</w:t>
      </w: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电话/传真：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电话/传真：</w:t>
      </w:r>
    </w:p>
    <w:p>
      <w:pPr>
        <w:spacing w:line="360" w:lineRule="auto"/>
        <w:ind w:left="9600" w:hanging="6300" w:hangingChars="3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地址：</w:t>
      </w:r>
    </w:p>
    <w:p>
      <w:pPr>
        <w:tabs>
          <w:tab w:val="left" w:pos="2520"/>
        </w:tabs>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日期：  年   月   日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日期：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hint="eastAsia" w:ascii="宋体" w:hAnsi="宋体"/>
          <w:b/>
          <w:bCs/>
          <w:color w:val="000000" w:themeColor="text1"/>
          <w:szCs w:val="21"/>
          <w:highlight w:val="none"/>
          <w14:textFill>
            <w14:solidFill>
              <w14:schemeClr w14:val="tx1"/>
            </w14:solidFill>
          </w14:textFill>
        </w:rPr>
      </w:pPr>
    </w:p>
    <w:p>
      <w:pPr>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301" w:name="_Toc8261"/>
      <w:bookmarkStart w:id="302" w:name="_Toc19603"/>
      <w:bookmarkStart w:id="303" w:name="_Toc200414512"/>
      <w:bookmarkStart w:id="304" w:name="_Toc1859"/>
      <w:r>
        <w:rPr>
          <w:rFonts w:hint="eastAsia" w:ascii="宋体" w:hAnsi="宋体"/>
          <w:color w:val="000000" w:themeColor="text1"/>
          <w:sz w:val="21"/>
          <w:szCs w:val="21"/>
          <w:highlight w:val="none"/>
          <w14:textFill>
            <w14:solidFill>
              <w14:schemeClr w14:val="tx1"/>
            </w14:solidFill>
          </w14:textFill>
        </w:rPr>
        <w:t>第五部分  谈判文件格式</w:t>
      </w:r>
      <w:bookmarkEnd w:id="301"/>
      <w:bookmarkEnd w:id="302"/>
      <w:bookmarkEnd w:id="303"/>
      <w:bookmarkEnd w:id="304"/>
    </w:p>
    <w:p>
      <w:pPr>
        <w:pStyle w:val="4"/>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305" w:name="_Toc200414513"/>
      <w:bookmarkStart w:id="306" w:name="_Toc18997"/>
      <w:bookmarkStart w:id="307" w:name="_Toc7017"/>
      <w:bookmarkStart w:id="308" w:name="_Toc7210"/>
      <w:r>
        <w:rPr>
          <w:rFonts w:hint="eastAsia" w:ascii="宋体" w:hAnsi="宋体" w:eastAsia="宋体"/>
          <w:color w:val="000000" w:themeColor="text1"/>
          <w:highlight w:val="none"/>
          <w14:textFill>
            <w14:solidFill>
              <w14:schemeClr w14:val="tx1"/>
            </w14:solidFill>
          </w14:textFill>
        </w:rPr>
        <w:t>封面格式</w:t>
      </w:r>
      <w:bookmarkEnd w:id="305"/>
      <w:bookmarkEnd w:id="306"/>
      <w:bookmarkEnd w:id="307"/>
      <w:bookmarkEnd w:id="308"/>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9"/>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9"/>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9"/>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9"/>
        <w:spacing w:line="360" w:lineRule="auto"/>
        <w:jc w:val="center"/>
        <w:rPr>
          <w:rFonts w:ascii="宋体" w:hAnsi="宋体"/>
          <w:bCs/>
          <w:color w:val="000000" w:themeColor="text1"/>
          <w:szCs w:val="24"/>
          <w:highlight w:val="none"/>
          <w14:textFill>
            <w14:solidFill>
              <w14:schemeClr w14:val="tx1"/>
            </w14:solidFill>
          </w14:textFill>
        </w:rPr>
      </w:pPr>
    </w:p>
    <w:p>
      <w:pPr>
        <w:pStyle w:val="9"/>
        <w:spacing w:line="360" w:lineRule="auto"/>
        <w:jc w:val="center"/>
        <w:rPr>
          <w:rFonts w:ascii="宋体" w:hAnsi="宋体"/>
          <w:bCs/>
          <w:color w:val="000000" w:themeColor="text1"/>
          <w:szCs w:val="24"/>
          <w:highlight w:val="none"/>
          <w14:textFill>
            <w14:solidFill>
              <w14:schemeClr w14:val="tx1"/>
            </w14:solidFill>
          </w14:textFill>
        </w:rPr>
      </w:pPr>
    </w:p>
    <w:p>
      <w:pPr>
        <w:pStyle w:val="9"/>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YXCG-20230713</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9"/>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9"/>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9"/>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309" w:name="_Toc200414514"/>
      <w:bookmarkStart w:id="310" w:name="_Toc4158"/>
      <w:bookmarkStart w:id="311" w:name="_Toc1586"/>
      <w:bookmarkStart w:id="312" w:name="_Toc20929"/>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09"/>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10"/>
      <w:bookmarkEnd w:id="311"/>
      <w:bookmarkEnd w:id="312"/>
    </w:p>
    <w:p>
      <w:pPr>
        <w:spacing w:line="360" w:lineRule="auto"/>
        <w:rPr>
          <w:rFonts w:ascii="宋体" w:hAnsi="宋体"/>
          <w:b/>
          <w:bCs/>
          <w:color w:val="000000" w:themeColor="text1"/>
          <w:szCs w:val="21"/>
          <w:highlight w:val="none"/>
          <w14:textFill>
            <w14:solidFill>
              <w14:schemeClr w14:val="tx1"/>
            </w14:solidFill>
          </w14:textFill>
        </w:rPr>
      </w:pPr>
    </w:p>
    <w:tbl>
      <w:tblPr>
        <w:tblStyle w:val="44"/>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220"/>
        <w:gridCol w:w="3636"/>
        <w:gridCol w:w="138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16"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63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38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220" w:type="dxa"/>
            <w:vMerge w:val="restart"/>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lang w:val="en-US" w:eastAsia="zh-CN"/>
                <w14:textFill>
                  <w14:solidFill>
                    <w14:schemeClr w14:val="tx1"/>
                  </w14:solidFill>
                </w14:textFill>
              </w:rPr>
              <w:t>资格</w:t>
            </w:r>
            <w:r>
              <w:rPr>
                <w:rFonts w:hint="eastAsia" w:ascii="宋体" w:hAnsi="宋体"/>
                <w:color w:val="000000" w:themeColor="text1"/>
                <w:szCs w:val="21"/>
                <w:highlight w:val="none"/>
                <w14:textFill>
                  <w14:solidFill>
                    <w14:schemeClr w14:val="tx1"/>
                  </w14:solidFill>
                </w14:textFill>
              </w:rPr>
              <w:t>要求</w:t>
            </w:r>
          </w:p>
        </w:tc>
        <w:tc>
          <w:tcPr>
            <w:tcW w:w="363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38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220"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63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color w:val="000000" w:themeColor="text1"/>
                <w:szCs w:val="21"/>
                <w:highlight w:val="none"/>
                <w14:textFill>
                  <w14:solidFill>
                    <w14:schemeClr w14:val="tx1"/>
                  </w14:solidFill>
                </w14:textFill>
              </w:rPr>
              <w:t>(以采购机构于开标时间当天在“信用中国”网站（www.creditchina.gov.cn）及中国政府采购网(www.ccgp.gov.cn)查询结果为准，如相关记录信息已失效，供应商必须提供由该记录信息的执行或列入单位出具的相关证明材料)</w:t>
            </w:r>
          </w:p>
        </w:tc>
        <w:tc>
          <w:tcPr>
            <w:tcW w:w="138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220"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363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单位负责人为同一人或者存在直接控股、管理关系的不同供应商，不得参加同一合同项下的政府采购活动；（提供《谈判响应函》承诺）</w:t>
            </w:r>
          </w:p>
        </w:tc>
        <w:tc>
          <w:tcPr>
            <w:tcW w:w="138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09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2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63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为采购项目提供整体设计、规范编制或者项目管理、监理、检测等服务的供应商，不得再参加该采购该包组的其他采购活动。</w:t>
            </w:r>
            <w:r>
              <w:rPr>
                <w:rFonts w:hint="eastAsia" w:ascii="宋体" w:hAnsi="宋体"/>
                <w:b w:val="0"/>
                <w:bCs w:val="0"/>
                <w:color w:val="000000" w:themeColor="text1"/>
                <w:szCs w:val="21"/>
                <w:highlight w:val="none"/>
                <w:lang w:val="en-US" w:eastAsia="zh-CN"/>
                <w14:textFill>
                  <w14:solidFill>
                    <w14:schemeClr w14:val="tx1"/>
                  </w14:solidFill>
                </w14:textFill>
              </w:rPr>
              <w:t>（提供《谈判响应函》承诺）</w:t>
            </w:r>
          </w:p>
        </w:tc>
        <w:tc>
          <w:tcPr>
            <w:tcW w:w="138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1220"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须</w:t>
            </w:r>
            <w:r>
              <w:rPr>
                <w:rFonts w:hint="eastAsia" w:ascii="宋体" w:hAnsi="宋体"/>
                <w:color w:val="000000" w:themeColor="text1"/>
                <w:szCs w:val="21"/>
                <w:highlight w:val="none"/>
                <w14:textFill>
                  <w14:solidFill>
                    <w14:schemeClr w14:val="tx1"/>
                  </w14:solidFill>
                </w14:textFill>
              </w:rPr>
              <w:t>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363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38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1220" w:type="dxa"/>
            <w:vAlign w:val="center"/>
          </w:tcPr>
          <w:p>
            <w:pPr>
              <w:tabs>
                <w:tab w:val="left" w:pos="146"/>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交货期须满足要求</w:t>
            </w:r>
          </w:p>
        </w:tc>
        <w:tc>
          <w:tcPr>
            <w:tcW w:w="3636"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381"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220"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363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38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220" w:type="dxa"/>
            <w:vAlign w:val="center"/>
          </w:tcPr>
          <w:p>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363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38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220"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363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38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220" w:type="dxa"/>
            <w:vAlign w:val="center"/>
          </w:tcPr>
          <w:p>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363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38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220"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363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38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8" w:type="default"/>
          <w:pgSz w:w="11906" w:h="16838"/>
          <w:pgMar w:top="1134" w:right="1418" w:bottom="1134" w:left="113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313" w:name="_Toc31866"/>
      <w:bookmarkStart w:id="314" w:name="_Toc9004"/>
      <w:bookmarkStart w:id="315" w:name="_Toc200414515"/>
      <w:bookmarkStart w:id="316" w:name="_Toc31379"/>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313"/>
      <w:bookmarkEnd w:id="314"/>
      <w:bookmarkEnd w:id="315"/>
      <w:bookmarkEnd w:id="316"/>
    </w:p>
    <w:p>
      <w:pPr>
        <w:pStyle w:val="9"/>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317" w:name="_Toc200414516"/>
      <w:bookmarkStart w:id="318" w:name="_Toc16201"/>
      <w:bookmarkStart w:id="319" w:name="_Toc7791"/>
      <w:bookmarkStart w:id="320" w:name="_Toc31731"/>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317"/>
      <w:bookmarkEnd w:id="318"/>
      <w:bookmarkEnd w:id="319"/>
      <w:bookmarkEnd w:id="320"/>
    </w:p>
    <w:p>
      <w:pPr>
        <w:pStyle w:val="9"/>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321" w:name="_Toc14210"/>
      <w:bookmarkStart w:id="322" w:name="_Toc29549"/>
      <w:bookmarkStart w:id="323" w:name="_Toc200414517"/>
      <w:bookmarkStart w:id="324" w:name="_Toc8144"/>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321"/>
      <w:bookmarkEnd w:id="322"/>
      <w:bookmarkEnd w:id="323"/>
      <w:bookmarkEnd w:id="324"/>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autoSpaceDE w:val="0"/>
        <w:autoSpaceDN w:val="0"/>
        <w:adjustRightInd w:val="0"/>
        <w:snapToGrid w:val="0"/>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325" w:name="_Toc200414522"/>
      <w:bookmarkStart w:id="326" w:name="_Toc9212"/>
      <w:bookmarkStart w:id="327" w:name="_Toc1896"/>
      <w:bookmarkStart w:id="328" w:name="_Toc28085"/>
      <w:r>
        <w:rPr>
          <w:rFonts w:hint="eastAsia" w:ascii="宋体" w:hAnsi="宋体" w:eastAsia="宋体"/>
          <w:color w:val="000000" w:themeColor="text1"/>
          <w:sz w:val="28"/>
          <w:szCs w:val="28"/>
          <w:highlight w:val="none"/>
          <w14:textFill>
            <w14:solidFill>
              <w14:schemeClr w14:val="tx1"/>
            </w14:solidFill>
          </w14:textFill>
        </w:rPr>
        <w:t>（四）</w:t>
      </w:r>
      <w:bookmarkEnd w:id="325"/>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326"/>
      <w:bookmarkEnd w:id="327"/>
      <w:bookmarkEnd w:id="328"/>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9" w:type="default"/>
          <w:pgSz w:w="11906" w:h="16838"/>
          <w:pgMar w:top="1418" w:right="1474" w:bottom="1418" w:left="1474" w:header="851" w:footer="851" w:gutter="0"/>
          <w:cols w:space="720" w:num="1"/>
          <w:titlePg/>
          <w:docGrid w:linePitch="312" w:charSpace="0"/>
        </w:sectPr>
      </w:pPr>
    </w:p>
    <w:p>
      <w:pPr>
        <w:pStyle w:val="4"/>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329" w:name="_Toc9032"/>
      <w:bookmarkStart w:id="330" w:name="_Toc21322"/>
      <w:bookmarkStart w:id="331" w:name="_Toc200414524"/>
      <w:bookmarkStart w:id="332" w:name="_Toc847"/>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329"/>
      <w:bookmarkEnd w:id="330"/>
      <w:bookmarkEnd w:id="331"/>
      <w:bookmarkEnd w:id="332"/>
    </w:p>
    <w:p>
      <w:pPr>
        <w:pStyle w:val="4"/>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333" w:name="_Toc7061"/>
      <w:bookmarkStart w:id="334" w:name="_Toc12456"/>
      <w:bookmarkStart w:id="335" w:name="_Toc200414525"/>
      <w:bookmarkStart w:id="336" w:name="_Toc22036"/>
      <w:r>
        <w:rPr>
          <w:rFonts w:hint="eastAsia" w:ascii="宋体" w:hAnsi="宋体" w:eastAsia="宋体"/>
          <w:color w:val="000000" w:themeColor="text1"/>
          <w:sz w:val="28"/>
          <w:szCs w:val="28"/>
          <w:highlight w:val="none"/>
          <w14:textFill>
            <w14:solidFill>
              <w14:schemeClr w14:val="tx1"/>
            </w14:solidFill>
          </w14:textFill>
        </w:rPr>
        <w:t>附件一：谈判响应函</w:t>
      </w:r>
      <w:bookmarkEnd w:id="333"/>
      <w:bookmarkEnd w:id="334"/>
      <w:bookmarkEnd w:id="335"/>
      <w:bookmarkEnd w:id="336"/>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 ，我方正式响应谈判文件内容并提交谈判文件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lang w:val="en-US" w:eastAsia="zh-CN"/>
          <w14:textFill>
            <w14:solidFill>
              <w14:schemeClr w14:val="tx1"/>
            </w14:solidFill>
          </w14:textFill>
        </w:rPr>
        <w:t>4</w:t>
      </w:r>
      <w:r>
        <w:rPr>
          <w:rFonts w:hint="eastAsia" w:ascii="宋体" w:hAnsi="宋体"/>
          <w:b/>
          <w:bCs/>
          <w:color w:val="000000" w:themeColor="text1"/>
          <w:szCs w:val="21"/>
          <w:highlight w:val="none"/>
          <w:u w:val="single"/>
          <w14:textFill>
            <w14:solidFill>
              <w14:schemeClr w14:val="tx1"/>
            </w14:solidFill>
          </w14:textFill>
        </w:rPr>
        <w:t>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8"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以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形式提交的</w:t>
      </w:r>
      <w:r>
        <w:rPr>
          <w:rFonts w:hint="eastAsia" w:ascii="宋体" w:hAnsi="宋体"/>
          <w:b/>
          <w:bCs/>
          <w:color w:val="000000" w:themeColor="text1"/>
          <w:szCs w:val="21"/>
          <w:highlight w:val="none"/>
          <w:lang w:val="en-US" w:eastAsia="zh-CN"/>
          <w14:textFill>
            <w14:solidFill>
              <w14:schemeClr w14:val="tx1"/>
            </w14:solidFill>
          </w14:textFill>
        </w:rPr>
        <w:t>投标</w:t>
      </w:r>
      <w:r>
        <w:rPr>
          <w:rFonts w:hint="eastAsia" w:ascii="宋体" w:hAnsi="宋体"/>
          <w:b/>
          <w:bCs/>
          <w:color w:val="000000" w:themeColor="text1"/>
          <w:szCs w:val="21"/>
          <w:highlight w:val="none"/>
          <w14:textFill>
            <w14:solidFill>
              <w14:schemeClr w14:val="tx1"/>
            </w14:solidFill>
          </w14:textFill>
        </w:rPr>
        <w:t>保证金，金额为大写</w:t>
      </w: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据此函，签字代表宣布同意如下：</w:t>
      </w:r>
    </w:p>
    <w:p>
      <w:pPr>
        <w:widowControl/>
        <w:numPr>
          <w:ilvl w:val="0"/>
          <w:numId w:val="14"/>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4"/>
        </w:numPr>
        <w:tabs>
          <w:tab w:val="left" w:pos="840"/>
        </w:tabs>
        <w:adjustRightInd w:val="0"/>
        <w:snapToGrid w:val="0"/>
        <w:spacing w:line="480" w:lineRule="auto"/>
        <w:ind w:left="840" w:hanging="420"/>
        <w:rPr>
          <w:rFonts w:hint="eastAsia"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numPr>
          <w:ilvl w:val="0"/>
          <w:numId w:val="14"/>
        </w:numPr>
        <w:tabs>
          <w:tab w:val="left" w:pos="840"/>
        </w:tabs>
        <w:adjustRightInd w:val="0"/>
        <w:snapToGrid w:val="0"/>
        <w:spacing w:line="480" w:lineRule="auto"/>
        <w:ind w:left="840" w:hanging="420"/>
        <w:rPr>
          <w:rFonts w:hint="eastAsia"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为采购项目提供整体设计、规范编制或者项目管理、监理、检测等服务的供应商，不得再参加该采购该包组的其他采购活动。</w:t>
      </w:r>
    </w:p>
    <w:p>
      <w:pPr>
        <w:widowControl/>
        <w:numPr>
          <w:ilvl w:val="0"/>
          <w:numId w:val="14"/>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4"/>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4"/>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4"/>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4"/>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4"/>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4"/>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4"/>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br w:type="page"/>
      </w: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337" w:name="_Toc691"/>
      <w:bookmarkStart w:id="338" w:name="_Toc3792"/>
      <w:bookmarkStart w:id="339" w:name="_Toc200414526"/>
      <w:bookmarkStart w:id="340" w:name="_Toc27695"/>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337"/>
      <w:bookmarkEnd w:id="338"/>
      <w:bookmarkEnd w:id="339"/>
      <w:bookmarkEnd w:id="340"/>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4"/>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交货期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5"/>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5"/>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5"/>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5"/>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4"/>
        <w:spacing w:line="360" w:lineRule="auto"/>
        <w:rPr>
          <w:rFonts w:hAnsi="宋体"/>
          <w:color w:val="000000" w:themeColor="text1"/>
          <w:highlight w:val="none"/>
          <w14:textFill>
            <w14:solidFill>
              <w14:schemeClr w14:val="tx1"/>
            </w14:solidFill>
          </w14:textFill>
        </w:rPr>
      </w:pPr>
    </w:p>
    <w:p>
      <w:pPr>
        <w:pStyle w:val="24"/>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341" w:name="_Toc1026"/>
      <w:bookmarkStart w:id="342" w:name="_Toc200414527"/>
      <w:bookmarkStart w:id="343" w:name="_Toc19446"/>
      <w:bookmarkStart w:id="344" w:name="_Toc15955"/>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341"/>
      <w:bookmarkEnd w:id="342"/>
      <w:bookmarkEnd w:id="343"/>
      <w:bookmarkEnd w:id="344"/>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7665" w:firstLineChars="36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4"/>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序号</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内容</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c>
          <w:tcPr>
            <w:tcW w:w="1282" w:type="dxa"/>
            <w:gridSpan w:val="2"/>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p>
        </w:tc>
        <w:tc>
          <w:tcPr>
            <w:tcW w:w="128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设备名称</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型号及规格</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原产地</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设备单价</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数量</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设备总价</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备品备件价</w:t>
            </w: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gridSpan w:val="2"/>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2"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c>
          <w:tcPr>
            <w:tcW w:w="128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运输费、人工费</w:t>
            </w:r>
          </w:p>
        </w:tc>
        <w:tc>
          <w:tcPr>
            <w:tcW w:w="6411" w:type="dxa"/>
            <w:gridSpan w:val="6"/>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9</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保险费</w:t>
            </w:r>
          </w:p>
        </w:tc>
        <w:tc>
          <w:tcPr>
            <w:tcW w:w="6411" w:type="dxa"/>
            <w:gridSpan w:val="6"/>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安装调试费</w:t>
            </w:r>
          </w:p>
        </w:tc>
        <w:tc>
          <w:tcPr>
            <w:tcW w:w="6411" w:type="dxa"/>
            <w:gridSpan w:val="6"/>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技术服务费</w:t>
            </w:r>
          </w:p>
        </w:tc>
        <w:tc>
          <w:tcPr>
            <w:tcW w:w="6411" w:type="dxa"/>
            <w:gridSpan w:val="6"/>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税金</w:t>
            </w:r>
          </w:p>
        </w:tc>
        <w:tc>
          <w:tcPr>
            <w:tcW w:w="6411" w:type="dxa"/>
            <w:gridSpan w:val="6"/>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培训费</w:t>
            </w:r>
          </w:p>
        </w:tc>
        <w:tc>
          <w:tcPr>
            <w:tcW w:w="6411" w:type="dxa"/>
            <w:gridSpan w:val="6"/>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14</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质量保证期内的服务费用</w:t>
            </w:r>
          </w:p>
        </w:tc>
        <w:tc>
          <w:tcPr>
            <w:tcW w:w="6411" w:type="dxa"/>
            <w:gridSpan w:val="6"/>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15</w:t>
            </w:r>
          </w:p>
        </w:tc>
        <w:tc>
          <w:tcPr>
            <w:tcW w:w="1843" w:type="dxa"/>
            <w:vAlign w:val="center"/>
          </w:tcPr>
          <w:p>
            <w:pPr>
              <w:pStyle w:val="9"/>
              <w:snapToGrid w:val="0"/>
              <w:ind w:firstLine="0"/>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其他费用</w:t>
            </w:r>
          </w:p>
        </w:tc>
        <w:tc>
          <w:tcPr>
            <w:tcW w:w="6411" w:type="dxa"/>
            <w:gridSpan w:val="6"/>
            <w:vAlign w:val="center"/>
          </w:tcPr>
          <w:p>
            <w:pPr>
              <w:pStyle w:val="9"/>
              <w:snapToGrid w:val="0"/>
              <w:ind w:firstLine="0"/>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9"/>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16</w:t>
            </w:r>
          </w:p>
        </w:tc>
        <w:tc>
          <w:tcPr>
            <w:tcW w:w="1843" w:type="dxa"/>
            <w:vAlign w:val="center"/>
          </w:tcPr>
          <w:p>
            <w:pPr>
              <w:pStyle w:val="9"/>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3205" w:type="dxa"/>
            <w:gridSpan w:val="3"/>
            <w:vAlign w:val="center"/>
          </w:tcPr>
          <w:p>
            <w:pPr>
              <w:pStyle w:val="9"/>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tc>
        <w:tc>
          <w:tcPr>
            <w:tcW w:w="3206" w:type="dxa"/>
            <w:gridSpan w:val="3"/>
            <w:vAlign w:val="center"/>
          </w:tcPr>
          <w:p>
            <w:pPr>
              <w:pStyle w:val="9"/>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9"/>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17</w:t>
            </w:r>
          </w:p>
        </w:tc>
        <w:tc>
          <w:tcPr>
            <w:tcW w:w="1843" w:type="dxa"/>
            <w:vAlign w:val="center"/>
          </w:tcPr>
          <w:p>
            <w:pPr>
              <w:pStyle w:val="9"/>
              <w:snapToGrid w:val="0"/>
              <w:ind w:firstLine="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c>
          <w:tcPr>
            <w:tcW w:w="6411" w:type="dxa"/>
            <w:gridSpan w:val="6"/>
            <w:vAlign w:val="center"/>
          </w:tcPr>
          <w:p>
            <w:pPr>
              <w:pStyle w:val="9"/>
              <w:snapToGrid w:val="0"/>
              <w:ind w:firstLine="0"/>
              <w:jc w:val="center"/>
              <w:rPr>
                <w:rFonts w:ascii="宋体" w:hAnsi="宋体"/>
                <w:bCs/>
                <w:color w:val="000000" w:themeColor="text1"/>
                <w:highlight w:val="none"/>
                <w14:textFill>
                  <w14:solidFill>
                    <w14:schemeClr w14:val="tx1"/>
                  </w14:solidFill>
                </w14:textFill>
              </w:rPr>
            </w:pPr>
          </w:p>
        </w:tc>
      </w:tr>
    </w:tbl>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rPr>
          <w:rFonts w:ascii="宋体" w:hAnsi="宋体"/>
          <w:color w:val="000000" w:themeColor="text1"/>
          <w:highlight w:val="none"/>
          <w14:textFill>
            <w14:solidFill>
              <w14:schemeClr w14:val="tx1"/>
            </w14:solidFill>
          </w14:textFill>
        </w:rPr>
      </w:pPr>
      <w:bookmarkStart w:id="345" w:name="_Toc200414528"/>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346" w:name="_Toc2310"/>
      <w:bookmarkStart w:id="347" w:name="_Toc24108"/>
      <w:bookmarkStart w:id="348" w:name="_Toc27312"/>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345"/>
      <w:bookmarkEnd w:id="346"/>
      <w:bookmarkEnd w:id="347"/>
      <w:bookmarkEnd w:id="348"/>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4"/>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w:t>
      </w:r>
      <w:r>
        <w:rPr>
          <w:rFonts w:hint="eastAsia" w:ascii="宋体" w:hAnsi="宋体"/>
          <w:bCs/>
          <w:color w:val="000000" w:themeColor="text1"/>
          <w:szCs w:val="21"/>
          <w:highlight w:val="none"/>
          <w14:textFill>
            <w14:solidFill>
              <w14:schemeClr w14:val="tx1"/>
            </w14:solidFill>
          </w14:textFill>
        </w:rPr>
        <w:t>明：1）</w:t>
      </w:r>
      <w:r>
        <w:rPr>
          <w:rFonts w:hint="eastAsia" w:ascii="宋体" w:hAnsi="宋体"/>
          <w:bCs/>
          <w:color w:val="000000" w:themeColor="text1"/>
          <w:highlight w:val="none"/>
          <w14:textFill>
            <w14:solidFill>
              <w14:schemeClr w14:val="tx1"/>
            </w14:solidFill>
          </w14:textFill>
        </w:rPr>
        <w:t>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349" w:name="_Toc6812"/>
      <w:bookmarkStart w:id="350" w:name="_Toc10860"/>
      <w:bookmarkStart w:id="351" w:name="_Toc2366"/>
      <w:bookmarkStart w:id="352" w:name="_Toc20041452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349"/>
      <w:bookmarkEnd w:id="350"/>
      <w:bookmarkEnd w:id="351"/>
      <w:bookmarkEnd w:id="352"/>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4"/>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w:t>
      </w:r>
      <w:r>
        <w:rPr>
          <w:rFonts w:hint="eastAsia" w:ascii="宋体" w:hAnsi="宋体"/>
          <w:bCs/>
          <w:color w:val="000000" w:themeColor="text1"/>
          <w:highlight w:val="none"/>
          <w14:textFill>
            <w14:solidFill>
              <w14:schemeClr w14:val="tx1"/>
            </w14:solidFill>
          </w14:textFill>
        </w:rPr>
        <w:t>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w:t>
      </w:r>
    </w:p>
    <w:p>
      <w:pPr>
        <w:adjustRightInd w:val="0"/>
        <w:snapToGrid w:val="0"/>
        <w:spacing w:line="360" w:lineRule="auto"/>
        <w:ind w:left="-271" w:leftChars="-129" w:right="-384" w:rightChars="-183" w:firstLine="632" w:firstLineChars="300"/>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ind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widowControl/>
        <w:numPr>
          <w:ilvl w:val="1"/>
          <w:numId w:val="0"/>
        </w:numPr>
        <w:tabs>
          <w:tab w:val="left" w:pos="420"/>
        </w:tabs>
        <w:autoSpaceDE w:val="0"/>
        <w:autoSpaceDN w:val="0"/>
        <w:adjustRightInd w:val="0"/>
        <w:snapToGrid w:val="0"/>
        <w:spacing w:before="200" w:after="200" w:line="360" w:lineRule="auto"/>
        <w:ind w:left="420" w:hanging="420"/>
        <w:jc w:val="center"/>
        <w:textAlignment w:val="baseline"/>
        <w:rPr>
          <w:rFonts w:ascii="宋体" w:hAnsi="宋体" w:eastAsia="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353" w:name="_Toc21805"/>
      <w:bookmarkStart w:id="354" w:name="_Toc7308"/>
      <w:bookmarkStart w:id="355" w:name="_Toc200414533"/>
      <w:bookmarkStart w:id="356" w:name="_Toc23535"/>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353"/>
      <w:bookmarkEnd w:id="354"/>
      <w:bookmarkEnd w:id="355"/>
      <w:bookmarkEnd w:id="356"/>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4"/>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bl>
    <w:p>
      <w:pPr>
        <w:pStyle w:val="9"/>
        <w:snapToGrid w:val="0"/>
        <w:spacing w:line="360" w:lineRule="auto"/>
        <w:ind w:firstLine="0"/>
        <w:rPr>
          <w:rFonts w:ascii="宋体" w:hAnsi="宋体"/>
          <w:bCs/>
          <w:color w:val="000000" w:themeColor="text1"/>
          <w:highlight w:val="none"/>
          <w14:textFill>
            <w14:solidFill>
              <w14:schemeClr w14:val="tx1"/>
            </w14:solidFill>
          </w14:textFill>
        </w:rPr>
      </w:pPr>
    </w:p>
    <w:p>
      <w:pPr>
        <w:pStyle w:val="9"/>
        <w:snapToGrid w:val="0"/>
        <w:spacing w:line="360" w:lineRule="auto"/>
        <w:ind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注：如本表格式内容不能满足需要，供应商可自行划表填写，但必须体现以上内容。</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pStyle w:val="4"/>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357" w:name="_Toc7149"/>
      <w:bookmarkStart w:id="358" w:name="_Toc432682754"/>
      <w:bookmarkStart w:id="359" w:name="_Toc14385"/>
      <w:bookmarkStart w:id="360" w:name="_Toc430771089"/>
      <w:bookmarkStart w:id="361" w:name="_Toc28095"/>
      <w:bookmarkStart w:id="362" w:name="_Toc432695229"/>
      <w:bookmarkStart w:id="363" w:name="_Toc17914"/>
      <w:bookmarkStart w:id="364" w:name="_Toc11704"/>
      <w:bookmarkStart w:id="365" w:name="_Toc4253"/>
      <w:bookmarkStart w:id="366" w:name="_Toc343248448"/>
      <w:bookmarkStart w:id="367" w:name="_Toc342296791"/>
      <w:bookmarkStart w:id="368" w:name="_Toc339020045"/>
      <w:bookmarkStart w:id="369" w:name="_Toc333935376"/>
      <w:bookmarkStart w:id="370" w:name="_Toc350756480"/>
      <w:bookmarkStart w:id="371" w:name="_Toc339020125"/>
      <w:bookmarkStart w:id="372" w:name="_Toc340677100"/>
      <w:bookmarkStart w:id="373" w:name="_Toc339362330"/>
      <w:bookmarkStart w:id="374" w:name="_Toc342312473"/>
      <w:bookmarkStart w:id="375" w:name="_Toc330460016"/>
      <w:bookmarkStart w:id="376" w:name="_Toc365985211"/>
      <w:bookmarkStart w:id="377" w:name="_Toc339441117"/>
      <w:bookmarkStart w:id="378" w:name="_Toc343247130"/>
      <w:bookmarkStart w:id="379" w:name="_Toc331684072"/>
      <w:bookmarkStart w:id="380" w:name="_Toc343612950"/>
      <w:bookmarkStart w:id="381" w:name="_Toc331512931"/>
      <w:bookmarkStart w:id="382" w:name="_Toc332206739"/>
      <w:bookmarkStart w:id="383" w:name="_Toc333237708"/>
      <w:bookmarkStart w:id="384" w:name="_Toc333935717"/>
      <w:bookmarkStart w:id="385" w:name="_Toc342398160"/>
      <w:bookmarkStart w:id="386" w:name="_Toc332270377"/>
      <w:bookmarkStart w:id="387" w:name="_Toc339020263"/>
      <w:bookmarkStart w:id="388" w:name="_Toc339019919"/>
      <w:bookmarkStart w:id="389" w:name="_Toc341348370"/>
      <w:bookmarkStart w:id="390" w:name="_Toc336681965"/>
      <w:bookmarkStart w:id="391" w:name="_Toc342060405"/>
      <w:bookmarkStart w:id="392" w:name="_Toc333238664"/>
      <w:bookmarkStart w:id="393" w:name="_Toc365967105"/>
      <w:bookmarkStart w:id="394" w:name="_Toc337632388"/>
      <w:bookmarkStart w:id="395" w:name="_Toc102451601"/>
      <w:bookmarkStart w:id="396" w:name="_Toc345312627"/>
      <w:bookmarkStart w:id="397" w:name="_Toc350438779"/>
      <w:bookmarkStart w:id="398" w:name="_Toc340507472"/>
      <w:bookmarkStart w:id="399" w:name="_Toc366072562"/>
      <w:bookmarkStart w:id="400" w:name="_Toc336681610"/>
      <w:bookmarkStart w:id="401" w:name="_Toc333237819"/>
      <w:bookmarkStart w:id="402" w:name="_Toc340672899"/>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357"/>
      <w:bookmarkEnd w:id="358"/>
      <w:bookmarkEnd w:id="359"/>
      <w:bookmarkEnd w:id="360"/>
      <w:bookmarkEnd w:id="361"/>
      <w:bookmarkEnd w:id="362"/>
      <w:bookmarkEnd w:id="363"/>
      <w:bookmarkEnd w:id="364"/>
      <w:bookmarkEnd w:id="365"/>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ind w:firstLine="0"/>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403" w:name="_Toc28739"/>
      <w:bookmarkStart w:id="404" w:name="_Toc20242"/>
      <w:bookmarkStart w:id="405" w:name="_Toc14926"/>
      <w:bookmarkStart w:id="406" w:name="_Toc5532"/>
      <w:bookmarkStart w:id="407" w:name="_Toc31066"/>
      <w:bookmarkStart w:id="408" w:name="_Toc18918"/>
      <w:bookmarkStart w:id="409" w:name="_Toc32373"/>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403"/>
      <w:bookmarkEnd w:id="404"/>
      <w:bookmarkEnd w:id="405"/>
      <w:bookmarkEnd w:id="406"/>
      <w:bookmarkEnd w:id="407"/>
      <w:bookmarkEnd w:id="408"/>
      <w:bookmarkEnd w:id="40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sectPr>
          <w:type w:val="continuous"/>
          <w:pgSz w:w="11906" w:h="16838"/>
          <w:pgMar w:top="1418" w:right="1474" w:bottom="1418" w:left="1474" w:header="851" w:footer="992" w:gutter="0"/>
          <w:cols w:space="720" w:num="1"/>
          <w:docGrid w:linePitch="312" w:charSpace="0"/>
        </w:sectPr>
      </w:pPr>
      <w:r>
        <w:rPr>
          <w:rFonts w:hint="eastAsia" w:hAnsi="宋体" w:cs="宋体"/>
          <w:color w:val="000000" w:themeColor="text1"/>
          <w:highlight w:val="none"/>
          <w14:textFill>
            <w14:solidFill>
              <w14:schemeClr w14:val="tx1"/>
            </w14:solidFill>
          </w14:textFill>
        </w:rPr>
        <w:t>日期： 年月 日</w:t>
      </w: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410" w:name="_Toc2010"/>
      <w:bookmarkStart w:id="411" w:name="_Toc21905"/>
      <w:bookmarkStart w:id="412" w:name="_Toc17398"/>
      <w:bookmarkStart w:id="413" w:name="_Toc200414534"/>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410"/>
      <w:bookmarkEnd w:id="411"/>
      <w:bookmarkEnd w:id="412"/>
      <w:bookmarkEnd w:id="413"/>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414" w:name="_Toc2627"/>
      <w:bookmarkStart w:id="415" w:name="_Toc200414535"/>
      <w:bookmarkStart w:id="416" w:name="_Toc309"/>
      <w:bookmarkStart w:id="417" w:name="_Toc15956"/>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414"/>
      <w:bookmarkEnd w:id="415"/>
      <w:bookmarkEnd w:id="416"/>
      <w:bookmarkEnd w:id="417"/>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9"/>
        <w:spacing w:line="360" w:lineRule="auto"/>
        <w:rPr>
          <w:rFonts w:ascii="宋体" w:hAnsi="宋体"/>
          <w:color w:val="000000" w:themeColor="text1"/>
          <w:szCs w:val="21"/>
          <w:highlight w:val="none"/>
          <w14:textFill>
            <w14:solidFill>
              <w14:schemeClr w14:val="tx1"/>
            </w14:solidFill>
          </w14:textFill>
        </w:rPr>
      </w:pP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418" w:name="_Toc434832511"/>
      <w:bookmarkStart w:id="419" w:name="_Toc29511"/>
      <w:bookmarkStart w:id="420" w:name="_Toc15407"/>
      <w:bookmarkStart w:id="421" w:name="_Toc15405"/>
      <w:r>
        <w:rPr>
          <w:rFonts w:hint="eastAsia" w:ascii="宋体" w:hAnsi="宋体" w:eastAsia="宋体"/>
          <w:color w:val="000000" w:themeColor="text1"/>
          <w:sz w:val="52"/>
          <w:highlight w:val="none"/>
          <w14:textFill>
            <w14:solidFill>
              <w14:schemeClr w14:val="tx1"/>
            </w14:solidFill>
          </w14:textFill>
        </w:rPr>
        <w:t>其 他 格 式</w:t>
      </w:r>
      <w:bookmarkEnd w:id="418"/>
      <w:bookmarkEnd w:id="419"/>
      <w:bookmarkEnd w:id="420"/>
      <w:bookmarkEnd w:id="421"/>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spacing w:afterLines="50" w:line="360" w:lineRule="auto"/>
        <w:jc w:val="center"/>
        <w:rPr>
          <w:rFonts w:ascii="宋体" w:hAnsi="宋体"/>
          <w:color w:val="000000" w:themeColor="text1"/>
          <w:sz w:val="28"/>
          <w:highlight w:val="none"/>
          <w14:textFill>
            <w14:solidFill>
              <w14:schemeClr w14:val="tx1"/>
            </w14:solidFill>
          </w14:textFill>
        </w:rPr>
      </w:pPr>
      <w:bookmarkStart w:id="422" w:name="_Toc27992"/>
      <w:bookmarkStart w:id="423" w:name="_Toc6903"/>
      <w:bookmarkStart w:id="424" w:name="_Toc5152"/>
      <w:r>
        <w:rPr>
          <w:rFonts w:hint="eastAsia" w:ascii="宋体" w:hAnsi="宋体"/>
          <w:color w:val="000000" w:themeColor="text1"/>
          <w:sz w:val="28"/>
          <w:highlight w:val="none"/>
          <w14:textFill>
            <w14:solidFill>
              <w14:schemeClr w14:val="tx1"/>
            </w14:solidFill>
          </w14:textFill>
        </w:rPr>
        <w:t>投标保证金退付书</w:t>
      </w:r>
      <w:bookmarkEnd w:id="422"/>
      <w:bookmarkEnd w:id="423"/>
      <w:bookmarkEnd w:id="424"/>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致：广东业信采购招标有限公司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44"/>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81"/>
                <w:rFonts w:ascii="宋体" w:hAnsi="宋体" w:eastAsia="宋体"/>
                <w:b/>
                <w:color w:val="000000" w:themeColor="text1"/>
                <w:spacing w:val="10"/>
                <w:sz w:val="21"/>
                <w:szCs w:val="21"/>
                <w:highlight w:val="none"/>
                <w:lang w:val="zh-CN"/>
                <w14:textFill>
                  <w14:solidFill>
                    <w14:schemeClr w14:val="tx1"/>
                  </w14:solidFill>
                </w14:textFill>
              </w:rPr>
            </w:pPr>
            <w:r>
              <w:rPr>
                <w:rStyle w:val="81"/>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81"/>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81"/>
                <w:rFonts w:ascii="宋体" w:hAnsi="宋体" w:eastAsia="宋体"/>
                <w:b/>
                <w:color w:val="000000" w:themeColor="text1"/>
                <w:spacing w:val="10"/>
                <w:sz w:val="21"/>
                <w:szCs w:val="21"/>
                <w:highlight w:val="none"/>
                <w:lang w:val="zh-CN"/>
                <w14:textFill>
                  <w14:solidFill>
                    <w14:schemeClr w14:val="tx1"/>
                  </w14:solidFill>
                </w14:textFill>
              </w:rPr>
            </w:pPr>
            <w:r>
              <w:rPr>
                <w:rStyle w:val="81"/>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81"/>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81"/>
                <w:rFonts w:ascii="宋体" w:hAnsi="宋体" w:eastAsia="宋体"/>
                <w:b/>
                <w:color w:val="000000" w:themeColor="text1"/>
                <w:spacing w:val="10"/>
                <w:sz w:val="21"/>
                <w:szCs w:val="21"/>
                <w:highlight w:val="none"/>
                <w:lang w:val="zh-CN"/>
                <w14:textFill>
                  <w14:solidFill>
                    <w14:schemeClr w14:val="tx1"/>
                  </w14:solidFill>
                </w14:textFill>
              </w:rPr>
            </w:pPr>
            <w:r>
              <w:rPr>
                <w:rStyle w:val="81"/>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81"/>
                <w:rFonts w:ascii="宋体" w:hAnsi="宋体" w:eastAsia="宋体"/>
                <w:b/>
                <w:color w:val="000000" w:themeColor="text1"/>
                <w:spacing w:val="10"/>
                <w:sz w:val="21"/>
                <w:szCs w:val="21"/>
                <w:highlight w:val="none"/>
                <w:lang w:val="zh-CN"/>
                <w14:textFill>
                  <w14:solidFill>
                    <w14:schemeClr w14:val="tx1"/>
                  </w14:solidFill>
                </w14:textFill>
              </w:rPr>
            </w:pPr>
            <w:r>
              <w:rPr>
                <w:rStyle w:val="81"/>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81"/>
                <w:rFonts w:ascii="宋体" w:hAnsi="宋体" w:eastAsia="宋体"/>
                <w:color w:val="000000" w:themeColor="text1"/>
                <w:spacing w:val="10"/>
                <w:sz w:val="21"/>
                <w:szCs w:val="21"/>
                <w:highlight w:val="none"/>
                <w:u w:val="single"/>
                <w:lang w:val="zh-CN"/>
                <w14:textFill>
                  <w14:solidFill>
                    <w14:schemeClr w14:val="tx1"/>
                  </w14:solidFill>
                </w14:textFill>
              </w:rPr>
            </w:pPr>
            <w:r>
              <w:rPr>
                <w:rStyle w:val="81"/>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81"/>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81"/>
                <w:rFonts w:ascii="宋体" w:hAnsi="宋体" w:eastAsia="宋体"/>
                <w:b/>
                <w:color w:val="000000" w:themeColor="text1"/>
                <w:spacing w:val="10"/>
                <w:sz w:val="21"/>
                <w:szCs w:val="21"/>
                <w:highlight w:val="none"/>
                <w:lang w:val="zh-CN"/>
                <w14:textFill>
                  <w14:solidFill>
                    <w14:schemeClr w14:val="tx1"/>
                  </w14:solidFill>
                </w14:textFill>
              </w:rPr>
            </w:pPr>
            <w:r>
              <w:rPr>
                <w:rStyle w:val="81"/>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81"/>
                <w:rFonts w:ascii="宋体" w:hAnsi="宋体" w:eastAsia="宋体"/>
                <w:color w:val="000000" w:themeColor="text1"/>
                <w:spacing w:val="10"/>
                <w:sz w:val="21"/>
                <w:szCs w:val="21"/>
                <w:highlight w:val="none"/>
                <w:lang w:val="zh-CN"/>
                <w14:textFill>
                  <w14:solidFill>
                    <w14:schemeClr w14:val="tx1"/>
                  </w14:solidFill>
                </w14:textFill>
              </w:rPr>
            </w:pPr>
            <w:r>
              <w:rPr>
                <w:rStyle w:val="81"/>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81"/>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81"/>
                <w:rFonts w:ascii="宋体" w:hAnsi="宋体" w:eastAsia="宋体"/>
                <w:b/>
                <w:color w:val="000000" w:themeColor="text1"/>
                <w:spacing w:val="10"/>
                <w:sz w:val="21"/>
                <w:szCs w:val="21"/>
                <w:highlight w:val="none"/>
                <w:lang w:val="zh-CN"/>
                <w14:textFill>
                  <w14:solidFill>
                    <w14:schemeClr w14:val="tx1"/>
                  </w14:solidFill>
                </w14:textFill>
              </w:rPr>
            </w:pPr>
            <w:r>
              <w:rPr>
                <w:rStyle w:val="81"/>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81"/>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81"/>
                <w:rFonts w:ascii="宋体" w:hAnsi="宋体" w:eastAsia="宋体"/>
                <w:color w:val="000000" w:themeColor="text1"/>
                <w:spacing w:val="10"/>
                <w:sz w:val="21"/>
                <w:szCs w:val="21"/>
                <w:highlight w:val="none"/>
                <w:lang w:val="zh-CN"/>
                <w14:textFill>
                  <w14:solidFill>
                    <w14:schemeClr w14:val="tx1"/>
                  </w14:solidFill>
                </w14:textFill>
              </w:rPr>
            </w:pPr>
            <w:r>
              <w:rPr>
                <w:rStyle w:val="81"/>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81"/>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81"/>
                <w:rFonts w:ascii="宋体" w:hAnsi="宋体" w:eastAsia="宋体"/>
                <w:b/>
                <w:color w:val="000000" w:themeColor="text1"/>
                <w:spacing w:val="10"/>
                <w:sz w:val="21"/>
                <w:szCs w:val="21"/>
                <w:highlight w:val="none"/>
                <w:lang w:val="zh-CN"/>
                <w14:textFill>
                  <w14:solidFill>
                    <w14:schemeClr w14:val="tx1"/>
                  </w14:solidFill>
                </w14:textFill>
              </w:rPr>
            </w:pPr>
            <w:r>
              <w:rPr>
                <w:rStyle w:val="81"/>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81"/>
                <w:rFonts w:ascii="宋体" w:hAnsi="宋体" w:eastAsia="宋体"/>
                <w:color w:val="000000" w:themeColor="text1"/>
                <w:spacing w:val="10"/>
                <w:sz w:val="21"/>
                <w:szCs w:val="21"/>
                <w:highlight w:val="none"/>
                <w:u w:val="single"/>
                <w:lang w:val="zh-CN"/>
                <w14:textFill>
                  <w14:solidFill>
                    <w14:schemeClr w14:val="tx1"/>
                  </w14:solidFill>
                </w14:textFill>
              </w:rPr>
            </w:pPr>
            <w:r>
              <w:rPr>
                <w:rStyle w:val="81"/>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81"/>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81"/>
                <w:rFonts w:ascii="宋体" w:hAnsi="宋体" w:eastAsia="宋体"/>
                <w:b/>
                <w:color w:val="000000" w:themeColor="text1"/>
                <w:spacing w:val="10"/>
                <w:sz w:val="21"/>
                <w:szCs w:val="21"/>
                <w:highlight w:val="none"/>
                <w:lang w:val="zh-CN"/>
                <w14:textFill>
                  <w14:solidFill>
                    <w14:schemeClr w14:val="tx1"/>
                  </w14:solidFill>
                </w14:textFill>
              </w:rPr>
            </w:pPr>
            <w:r>
              <w:rPr>
                <w:rStyle w:val="81"/>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81"/>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81"/>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81"/>
                <w:rFonts w:ascii="宋体" w:hAnsi="宋体" w:eastAsia="宋体"/>
                <w:b/>
                <w:color w:val="000000" w:themeColor="text1"/>
                <w:spacing w:val="10"/>
                <w:sz w:val="21"/>
                <w:szCs w:val="21"/>
                <w:highlight w:val="none"/>
                <w:lang w:val="zh-CN"/>
                <w14:textFill>
                  <w14:solidFill>
                    <w14:schemeClr w14:val="tx1"/>
                  </w14:solidFill>
                </w14:textFill>
              </w:rPr>
            </w:pPr>
            <w:r>
              <w:rPr>
                <w:rStyle w:val="81"/>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81"/>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81"/>
                <w:rFonts w:ascii="宋体" w:hAnsi="宋体" w:eastAsia="宋体"/>
                <w:color w:val="000000" w:themeColor="text1"/>
                <w:spacing w:val="10"/>
                <w:sz w:val="21"/>
                <w:szCs w:val="21"/>
                <w:highlight w:val="none"/>
                <w:lang w:val="zh-CN"/>
                <w14:textFill>
                  <w14:solidFill>
                    <w14:schemeClr w14:val="tx1"/>
                  </w14:solidFill>
                </w14:textFill>
              </w:rPr>
            </w:pPr>
            <w:r>
              <w:rPr>
                <w:rStyle w:val="81"/>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81"/>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81"/>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81"/>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81"/>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81"/>
                <w:rFonts w:ascii="宋体" w:hAnsi="宋体" w:eastAsia="宋体"/>
                <w:color w:val="000000" w:themeColor="text1"/>
                <w:spacing w:val="10"/>
                <w:sz w:val="21"/>
                <w:szCs w:val="21"/>
                <w:highlight w:val="none"/>
                <w:lang w:val="zh-CN"/>
                <w14:textFill>
                  <w14:solidFill>
                    <w14:schemeClr w14:val="tx1"/>
                  </w14:solidFill>
                </w14:textFill>
              </w:rPr>
            </w:pPr>
            <w:r>
              <w:rPr>
                <w:rStyle w:val="81"/>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81"/>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4"/>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4"/>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pStyle w:val="9"/>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0"/>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0"/>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0"/>
        <w:spacing w:before="0" w:beforeAutospacing="0" w:after="0" w:afterAutospacing="0" w:line="360" w:lineRule="auto"/>
        <w:jc w:val="center"/>
        <w:rPr>
          <w:rStyle w:val="47"/>
          <w:color w:val="000000" w:themeColor="text1"/>
          <w:highlight w:val="none"/>
          <w14:textFill>
            <w14:solidFill>
              <w14:schemeClr w14:val="tx1"/>
            </w14:solidFill>
          </w14:textFill>
        </w:rPr>
      </w:pPr>
      <w:r>
        <w:rPr>
          <w:rStyle w:val="47"/>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0"/>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0"/>
        <w:spacing w:before="0" w:beforeAutospacing="0" w:after="0" w:afterAutospacing="0" w:line="360" w:lineRule="auto"/>
        <w:jc w:val="center"/>
        <w:rPr>
          <w:rStyle w:val="47"/>
          <w:color w:val="000000" w:themeColor="text1"/>
          <w:highlight w:val="none"/>
          <w14:textFill>
            <w14:solidFill>
              <w14:schemeClr w14:val="tx1"/>
            </w14:solidFill>
          </w14:textFill>
        </w:rPr>
      </w:pPr>
      <w:r>
        <w:rPr>
          <w:rStyle w:val="47"/>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sectPr>
      <w:headerReference r:id="rId10"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8"/>
      </w:rPr>
    </w:pPr>
    <w:r>
      <w:fldChar w:fldCharType="begin"/>
    </w:r>
    <w:r>
      <w:rPr>
        <w:rStyle w:val="48"/>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3"/>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7">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0">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1">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90B1CDA"/>
    <w:multiLevelType w:val="multilevel"/>
    <w:tmpl w:val="690B1CDA"/>
    <w:lvl w:ilvl="0" w:tentative="0">
      <w:start w:val="1"/>
      <w:numFmt w:val="japaneseCounting"/>
      <w:pStyle w:val="13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3">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4">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2"/>
  </w:num>
  <w:num w:numId="3">
    <w:abstractNumId w:val="2"/>
  </w:num>
  <w:num w:numId="4">
    <w:abstractNumId w:val="1"/>
  </w:num>
  <w:num w:numId="5">
    <w:abstractNumId w:val="0"/>
  </w:num>
  <w:num w:numId="6">
    <w:abstractNumId w:val="4"/>
  </w:num>
  <w:num w:numId="7">
    <w:abstractNumId w:val="6"/>
  </w:num>
  <w:num w:numId="8">
    <w:abstractNumId w:val="7"/>
  </w:num>
  <w:num w:numId="9">
    <w:abstractNumId w:val="10"/>
  </w:num>
  <w:num w:numId="10">
    <w:abstractNumId w:val="8"/>
  </w:num>
  <w:num w:numId="11">
    <w:abstractNumId w:val="14"/>
  </w:num>
  <w:num w:numId="12">
    <w:abstractNumId w:val="9"/>
  </w:num>
  <w:num w:numId="13">
    <w:abstractNumId w:val="5"/>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0E0F"/>
    <w:rsid w:val="0002163A"/>
    <w:rsid w:val="000216DA"/>
    <w:rsid w:val="000216E1"/>
    <w:rsid w:val="00021C76"/>
    <w:rsid w:val="00021CA5"/>
    <w:rsid w:val="00022C80"/>
    <w:rsid w:val="00022FCF"/>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4185"/>
    <w:rsid w:val="000453A8"/>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6A9"/>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29"/>
    <w:rsid w:val="00084CED"/>
    <w:rsid w:val="00085996"/>
    <w:rsid w:val="00085A61"/>
    <w:rsid w:val="00085AD7"/>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68B2"/>
    <w:rsid w:val="000A70BC"/>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D89"/>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4089"/>
    <w:rsid w:val="00104A82"/>
    <w:rsid w:val="00104AF0"/>
    <w:rsid w:val="00104ED8"/>
    <w:rsid w:val="00105209"/>
    <w:rsid w:val="00105FB8"/>
    <w:rsid w:val="00106103"/>
    <w:rsid w:val="00106113"/>
    <w:rsid w:val="00106A6A"/>
    <w:rsid w:val="00106B32"/>
    <w:rsid w:val="00106EB1"/>
    <w:rsid w:val="0010713D"/>
    <w:rsid w:val="00107366"/>
    <w:rsid w:val="001101C6"/>
    <w:rsid w:val="0011110A"/>
    <w:rsid w:val="001116CC"/>
    <w:rsid w:val="00112609"/>
    <w:rsid w:val="001126F0"/>
    <w:rsid w:val="00112879"/>
    <w:rsid w:val="001132C8"/>
    <w:rsid w:val="00113B4C"/>
    <w:rsid w:val="00113D8F"/>
    <w:rsid w:val="00113E15"/>
    <w:rsid w:val="001149BA"/>
    <w:rsid w:val="00114B2A"/>
    <w:rsid w:val="00114E2F"/>
    <w:rsid w:val="001151E8"/>
    <w:rsid w:val="00115967"/>
    <w:rsid w:val="00116441"/>
    <w:rsid w:val="00116E35"/>
    <w:rsid w:val="0011743D"/>
    <w:rsid w:val="00120686"/>
    <w:rsid w:val="00120C3C"/>
    <w:rsid w:val="00122AC9"/>
    <w:rsid w:val="001234B2"/>
    <w:rsid w:val="00123A4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E15"/>
    <w:rsid w:val="00193677"/>
    <w:rsid w:val="00193AF0"/>
    <w:rsid w:val="00193CE8"/>
    <w:rsid w:val="00194E0B"/>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06"/>
    <w:rsid w:val="001B4E8B"/>
    <w:rsid w:val="001B537F"/>
    <w:rsid w:val="001B579A"/>
    <w:rsid w:val="001B5D4F"/>
    <w:rsid w:val="001B645B"/>
    <w:rsid w:val="001B78A5"/>
    <w:rsid w:val="001B7D94"/>
    <w:rsid w:val="001C07AA"/>
    <w:rsid w:val="001C0A20"/>
    <w:rsid w:val="001C1439"/>
    <w:rsid w:val="001C1955"/>
    <w:rsid w:val="001C2F7E"/>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02E3"/>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1E45"/>
    <w:rsid w:val="00221F5E"/>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6BC"/>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5FF"/>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8F3"/>
    <w:rsid w:val="00281B43"/>
    <w:rsid w:val="00281DBE"/>
    <w:rsid w:val="00282232"/>
    <w:rsid w:val="00282FE1"/>
    <w:rsid w:val="00283549"/>
    <w:rsid w:val="00284120"/>
    <w:rsid w:val="002842D9"/>
    <w:rsid w:val="0028436A"/>
    <w:rsid w:val="0028548C"/>
    <w:rsid w:val="00286015"/>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16C"/>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64E"/>
    <w:rsid w:val="00302796"/>
    <w:rsid w:val="00303A67"/>
    <w:rsid w:val="003042EC"/>
    <w:rsid w:val="003042ED"/>
    <w:rsid w:val="00304573"/>
    <w:rsid w:val="00304588"/>
    <w:rsid w:val="00304745"/>
    <w:rsid w:val="00305920"/>
    <w:rsid w:val="00305F17"/>
    <w:rsid w:val="00307A37"/>
    <w:rsid w:val="00310D53"/>
    <w:rsid w:val="003116EF"/>
    <w:rsid w:val="003133AE"/>
    <w:rsid w:val="003133CA"/>
    <w:rsid w:val="00313768"/>
    <w:rsid w:val="00313BBD"/>
    <w:rsid w:val="00313E3C"/>
    <w:rsid w:val="00314B90"/>
    <w:rsid w:val="00314CF5"/>
    <w:rsid w:val="00314F07"/>
    <w:rsid w:val="00315060"/>
    <w:rsid w:val="00315F01"/>
    <w:rsid w:val="0032032A"/>
    <w:rsid w:val="0032198F"/>
    <w:rsid w:val="00321A54"/>
    <w:rsid w:val="003230A6"/>
    <w:rsid w:val="003235DE"/>
    <w:rsid w:val="00323700"/>
    <w:rsid w:val="003239DA"/>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3D69"/>
    <w:rsid w:val="0033414C"/>
    <w:rsid w:val="00334E0F"/>
    <w:rsid w:val="00335099"/>
    <w:rsid w:val="00335232"/>
    <w:rsid w:val="0033622F"/>
    <w:rsid w:val="00336534"/>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0BA6"/>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805"/>
    <w:rsid w:val="00382B41"/>
    <w:rsid w:val="00383158"/>
    <w:rsid w:val="00383561"/>
    <w:rsid w:val="00383E5C"/>
    <w:rsid w:val="00384413"/>
    <w:rsid w:val="00384A34"/>
    <w:rsid w:val="0038754B"/>
    <w:rsid w:val="003876A1"/>
    <w:rsid w:val="00387703"/>
    <w:rsid w:val="003906A1"/>
    <w:rsid w:val="00391088"/>
    <w:rsid w:val="00391797"/>
    <w:rsid w:val="00391C5B"/>
    <w:rsid w:val="00392059"/>
    <w:rsid w:val="003923E5"/>
    <w:rsid w:val="00392439"/>
    <w:rsid w:val="00392E57"/>
    <w:rsid w:val="00393196"/>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71DE"/>
    <w:rsid w:val="003B7438"/>
    <w:rsid w:val="003B7A7F"/>
    <w:rsid w:val="003B7AEE"/>
    <w:rsid w:val="003B7CA8"/>
    <w:rsid w:val="003B7CE6"/>
    <w:rsid w:val="003C08E5"/>
    <w:rsid w:val="003C1704"/>
    <w:rsid w:val="003C170F"/>
    <w:rsid w:val="003C2BB7"/>
    <w:rsid w:val="003C39F5"/>
    <w:rsid w:val="003C45D8"/>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D7B5D"/>
    <w:rsid w:val="003E0652"/>
    <w:rsid w:val="003E1CF7"/>
    <w:rsid w:val="003E38C6"/>
    <w:rsid w:val="003E3AF2"/>
    <w:rsid w:val="003E44DB"/>
    <w:rsid w:val="003E4947"/>
    <w:rsid w:val="003E4952"/>
    <w:rsid w:val="003E4C4D"/>
    <w:rsid w:val="003E626F"/>
    <w:rsid w:val="003E629B"/>
    <w:rsid w:val="003E67C1"/>
    <w:rsid w:val="003E74C7"/>
    <w:rsid w:val="003E798A"/>
    <w:rsid w:val="003E7D38"/>
    <w:rsid w:val="003F1695"/>
    <w:rsid w:val="003F2814"/>
    <w:rsid w:val="003F29FC"/>
    <w:rsid w:val="003F631E"/>
    <w:rsid w:val="003F6F47"/>
    <w:rsid w:val="004000FB"/>
    <w:rsid w:val="00400445"/>
    <w:rsid w:val="00400544"/>
    <w:rsid w:val="0040107A"/>
    <w:rsid w:val="0040175C"/>
    <w:rsid w:val="004023AD"/>
    <w:rsid w:val="004028B0"/>
    <w:rsid w:val="00402A0C"/>
    <w:rsid w:val="004033C1"/>
    <w:rsid w:val="00404224"/>
    <w:rsid w:val="00405B98"/>
    <w:rsid w:val="004061F2"/>
    <w:rsid w:val="00406587"/>
    <w:rsid w:val="00406AC8"/>
    <w:rsid w:val="00410B74"/>
    <w:rsid w:val="00411089"/>
    <w:rsid w:val="00411354"/>
    <w:rsid w:val="0041135C"/>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5DA9"/>
    <w:rsid w:val="00466535"/>
    <w:rsid w:val="00467EF9"/>
    <w:rsid w:val="004700FA"/>
    <w:rsid w:val="0047055F"/>
    <w:rsid w:val="0047201E"/>
    <w:rsid w:val="004723C5"/>
    <w:rsid w:val="00473D3B"/>
    <w:rsid w:val="00474A2F"/>
    <w:rsid w:val="00474C3F"/>
    <w:rsid w:val="00475F83"/>
    <w:rsid w:val="004761C4"/>
    <w:rsid w:val="004761EB"/>
    <w:rsid w:val="004768C4"/>
    <w:rsid w:val="004772DE"/>
    <w:rsid w:val="0048007E"/>
    <w:rsid w:val="0048191D"/>
    <w:rsid w:val="00481DD2"/>
    <w:rsid w:val="0048226A"/>
    <w:rsid w:val="004825EF"/>
    <w:rsid w:val="00482772"/>
    <w:rsid w:val="0048320F"/>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C7"/>
    <w:rsid w:val="004B7F3C"/>
    <w:rsid w:val="004C09FC"/>
    <w:rsid w:val="004C1467"/>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A2"/>
    <w:rsid w:val="004F62FD"/>
    <w:rsid w:val="004F7437"/>
    <w:rsid w:val="004F78C8"/>
    <w:rsid w:val="00501129"/>
    <w:rsid w:val="00501843"/>
    <w:rsid w:val="005037C0"/>
    <w:rsid w:val="00505F3B"/>
    <w:rsid w:val="005061D7"/>
    <w:rsid w:val="00506252"/>
    <w:rsid w:val="00506C39"/>
    <w:rsid w:val="00506EC2"/>
    <w:rsid w:val="0050720C"/>
    <w:rsid w:val="00507F1B"/>
    <w:rsid w:val="00507F27"/>
    <w:rsid w:val="00510FD9"/>
    <w:rsid w:val="00511A34"/>
    <w:rsid w:val="00511E5D"/>
    <w:rsid w:val="00513420"/>
    <w:rsid w:val="005134BB"/>
    <w:rsid w:val="005138FC"/>
    <w:rsid w:val="00513BE1"/>
    <w:rsid w:val="00513F8B"/>
    <w:rsid w:val="00514167"/>
    <w:rsid w:val="00514668"/>
    <w:rsid w:val="00514865"/>
    <w:rsid w:val="005149DB"/>
    <w:rsid w:val="0051519E"/>
    <w:rsid w:val="00515FC2"/>
    <w:rsid w:val="00516518"/>
    <w:rsid w:val="00516E41"/>
    <w:rsid w:val="005206D5"/>
    <w:rsid w:val="00521608"/>
    <w:rsid w:val="005217ED"/>
    <w:rsid w:val="00521BBB"/>
    <w:rsid w:val="00521D66"/>
    <w:rsid w:val="00522085"/>
    <w:rsid w:val="005227EB"/>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7B9"/>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62F1"/>
    <w:rsid w:val="0055662F"/>
    <w:rsid w:val="0055710E"/>
    <w:rsid w:val="005572AD"/>
    <w:rsid w:val="0055746A"/>
    <w:rsid w:val="00561A33"/>
    <w:rsid w:val="00561B91"/>
    <w:rsid w:val="00561C39"/>
    <w:rsid w:val="00562267"/>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CD5"/>
    <w:rsid w:val="00574FBA"/>
    <w:rsid w:val="00575DA1"/>
    <w:rsid w:val="00575EBA"/>
    <w:rsid w:val="00575EEF"/>
    <w:rsid w:val="0057620E"/>
    <w:rsid w:val="005767D5"/>
    <w:rsid w:val="00576A2C"/>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9B9"/>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C7039"/>
    <w:rsid w:val="005D04AD"/>
    <w:rsid w:val="005D1544"/>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2791"/>
    <w:rsid w:val="006137D9"/>
    <w:rsid w:val="006139B8"/>
    <w:rsid w:val="00614253"/>
    <w:rsid w:val="00615251"/>
    <w:rsid w:val="0061548E"/>
    <w:rsid w:val="006156F7"/>
    <w:rsid w:val="00615C79"/>
    <w:rsid w:val="00616416"/>
    <w:rsid w:val="00616DFC"/>
    <w:rsid w:val="006176C5"/>
    <w:rsid w:val="00620030"/>
    <w:rsid w:val="0062024B"/>
    <w:rsid w:val="0062037B"/>
    <w:rsid w:val="00620A3F"/>
    <w:rsid w:val="00621E29"/>
    <w:rsid w:val="00622643"/>
    <w:rsid w:val="006238DD"/>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D7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2C82"/>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6FE9"/>
    <w:rsid w:val="00687F4B"/>
    <w:rsid w:val="00690627"/>
    <w:rsid w:val="00691140"/>
    <w:rsid w:val="006915E5"/>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7553"/>
    <w:rsid w:val="006B7B72"/>
    <w:rsid w:val="006C09ED"/>
    <w:rsid w:val="006C0EF0"/>
    <w:rsid w:val="006C1371"/>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0AE3"/>
    <w:rsid w:val="006D1694"/>
    <w:rsid w:val="006D240E"/>
    <w:rsid w:val="006D273C"/>
    <w:rsid w:val="006D2F6B"/>
    <w:rsid w:val="006D30EF"/>
    <w:rsid w:val="006D3D7F"/>
    <w:rsid w:val="006D41B8"/>
    <w:rsid w:val="006D4377"/>
    <w:rsid w:val="006D49BE"/>
    <w:rsid w:val="006D4F29"/>
    <w:rsid w:val="006D5B5C"/>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4234"/>
    <w:rsid w:val="00704493"/>
    <w:rsid w:val="007048F6"/>
    <w:rsid w:val="007050F0"/>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7C6"/>
    <w:rsid w:val="00735EF1"/>
    <w:rsid w:val="0073614B"/>
    <w:rsid w:val="00736C26"/>
    <w:rsid w:val="00736FEC"/>
    <w:rsid w:val="00741280"/>
    <w:rsid w:val="007415C0"/>
    <w:rsid w:val="00741D4A"/>
    <w:rsid w:val="0074204E"/>
    <w:rsid w:val="007422E4"/>
    <w:rsid w:val="007426CB"/>
    <w:rsid w:val="00742826"/>
    <w:rsid w:val="00743DBE"/>
    <w:rsid w:val="00744032"/>
    <w:rsid w:val="00744874"/>
    <w:rsid w:val="00745258"/>
    <w:rsid w:val="00746D99"/>
    <w:rsid w:val="00746FEC"/>
    <w:rsid w:val="00747267"/>
    <w:rsid w:val="00747DA7"/>
    <w:rsid w:val="00753561"/>
    <w:rsid w:val="00754C2A"/>
    <w:rsid w:val="00754C7F"/>
    <w:rsid w:val="00755333"/>
    <w:rsid w:val="0075653C"/>
    <w:rsid w:val="00756788"/>
    <w:rsid w:val="007568D6"/>
    <w:rsid w:val="0075768B"/>
    <w:rsid w:val="007608DB"/>
    <w:rsid w:val="00760B61"/>
    <w:rsid w:val="007610FE"/>
    <w:rsid w:val="00761EC4"/>
    <w:rsid w:val="00763A8A"/>
    <w:rsid w:val="0076548F"/>
    <w:rsid w:val="00765538"/>
    <w:rsid w:val="00765707"/>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1B55"/>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B3B"/>
    <w:rsid w:val="007D6EE2"/>
    <w:rsid w:val="007E12D7"/>
    <w:rsid w:val="007E2C26"/>
    <w:rsid w:val="007E3E42"/>
    <w:rsid w:val="007E409D"/>
    <w:rsid w:val="007E4715"/>
    <w:rsid w:val="007E47AF"/>
    <w:rsid w:val="007E4AC2"/>
    <w:rsid w:val="007E62DA"/>
    <w:rsid w:val="007E6484"/>
    <w:rsid w:val="007E69EB"/>
    <w:rsid w:val="007E6CE9"/>
    <w:rsid w:val="007E7083"/>
    <w:rsid w:val="007F0ED8"/>
    <w:rsid w:val="007F1357"/>
    <w:rsid w:val="007F2A1A"/>
    <w:rsid w:val="007F2F5D"/>
    <w:rsid w:val="007F359E"/>
    <w:rsid w:val="007F3B0F"/>
    <w:rsid w:val="007F3D45"/>
    <w:rsid w:val="007F3E1A"/>
    <w:rsid w:val="007F441F"/>
    <w:rsid w:val="007F4ED1"/>
    <w:rsid w:val="007F5819"/>
    <w:rsid w:val="007F6396"/>
    <w:rsid w:val="007F7066"/>
    <w:rsid w:val="008009C0"/>
    <w:rsid w:val="0080177A"/>
    <w:rsid w:val="00802392"/>
    <w:rsid w:val="00802518"/>
    <w:rsid w:val="00802739"/>
    <w:rsid w:val="00802933"/>
    <w:rsid w:val="00802B06"/>
    <w:rsid w:val="00802BCB"/>
    <w:rsid w:val="00802F62"/>
    <w:rsid w:val="0080342D"/>
    <w:rsid w:val="008034E8"/>
    <w:rsid w:val="008043A4"/>
    <w:rsid w:val="00804B8A"/>
    <w:rsid w:val="00805586"/>
    <w:rsid w:val="00805DD5"/>
    <w:rsid w:val="008065A5"/>
    <w:rsid w:val="00806653"/>
    <w:rsid w:val="00807706"/>
    <w:rsid w:val="00807A3B"/>
    <w:rsid w:val="00810B97"/>
    <w:rsid w:val="008110F9"/>
    <w:rsid w:val="00812D8F"/>
    <w:rsid w:val="00812E0B"/>
    <w:rsid w:val="0081367A"/>
    <w:rsid w:val="0081378F"/>
    <w:rsid w:val="008144DC"/>
    <w:rsid w:val="00815499"/>
    <w:rsid w:val="00815BD9"/>
    <w:rsid w:val="00815DF6"/>
    <w:rsid w:val="00815E17"/>
    <w:rsid w:val="00815F6E"/>
    <w:rsid w:val="00817427"/>
    <w:rsid w:val="00820056"/>
    <w:rsid w:val="00820829"/>
    <w:rsid w:val="00820A16"/>
    <w:rsid w:val="00820D2D"/>
    <w:rsid w:val="00820F1B"/>
    <w:rsid w:val="0082208C"/>
    <w:rsid w:val="008226FA"/>
    <w:rsid w:val="00822BCC"/>
    <w:rsid w:val="00822FD2"/>
    <w:rsid w:val="0082418C"/>
    <w:rsid w:val="008258ED"/>
    <w:rsid w:val="00827429"/>
    <w:rsid w:val="00827EA9"/>
    <w:rsid w:val="00830573"/>
    <w:rsid w:val="008305C4"/>
    <w:rsid w:val="00831466"/>
    <w:rsid w:val="00831783"/>
    <w:rsid w:val="00831939"/>
    <w:rsid w:val="00832240"/>
    <w:rsid w:val="008323FD"/>
    <w:rsid w:val="00832C3C"/>
    <w:rsid w:val="00832C55"/>
    <w:rsid w:val="00832FA9"/>
    <w:rsid w:val="008342BC"/>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D12"/>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1082"/>
    <w:rsid w:val="00861650"/>
    <w:rsid w:val="00861AE4"/>
    <w:rsid w:val="00861E7B"/>
    <w:rsid w:val="008620B0"/>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6A4"/>
    <w:rsid w:val="00872D2B"/>
    <w:rsid w:val="00873D63"/>
    <w:rsid w:val="008740DB"/>
    <w:rsid w:val="008744E8"/>
    <w:rsid w:val="008746DF"/>
    <w:rsid w:val="00875803"/>
    <w:rsid w:val="00875FD5"/>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A7E"/>
    <w:rsid w:val="00892B1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4D7"/>
    <w:rsid w:val="008B36C5"/>
    <w:rsid w:val="008B3EB0"/>
    <w:rsid w:val="008B48D5"/>
    <w:rsid w:val="008B5970"/>
    <w:rsid w:val="008B6288"/>
    <w:rsid w:val="008B6D1E"/>
    <w:rsid w:val="008C0E33"/>
    <w:rsid w:val="008C13DA"/>
    <w:rsid w:val="008C1833"/>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5642"/>
    <w:rsid w:val="008E5EBE"/>
    <w:rsid w:val="008E69B5"/>
    <w:rsid w:val="008F0067"/>
    <w:rsid w:val="008F068F"/>
    <w:rsid w:val="008F0724"/>
    <w:rsid w:val="008F1B92"/>
    <w:rsid w:val="008F1BEB"/>
    <w:rsid w:val="008F1CC5"/>
    <w:rsid w:val="008F229B"/>
    <w:rsid w:val="008F2866"/>
    <w:rsid w:val="008F32ED"/>
    <w:rsid w:val="008F38DA"/>
    <w:rsid w:val="008F393E"/>
    <w:rsid w:val="008F3D46"/>
    <w:rsid w:val="008F4E01"/>
    <w:rsid w:val="008F6776"/>
    <w:rsid w:val="008F788C"/>
    <w:rsid w:val="008F7901"/>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4F43"/>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1A9B"/>
    <w:rsid w:val="009B276A"/>
    <w:rsid w:val="009B32E2"/>
    <w:rsid w:val="009B38BC"/>
    <w:rsid w:val="009B43C2"/>
    <w:rsid w:val="009B4B74"/>
    <w:rsid w:val="009B4BB3"/>
    <w:rsid w:val="009B4C15"/>
    <w:rsid w:val="009B56C4"/>
    <w:rsid w:val="009B690A"/>
    <w:rsid w:val="009B71F7"/>
    <w:rsid w:val="009B7463"/>
    <w:rsid w:val="009C0CC9"/>
    <w:rsid w:val="009C0DA0"/>
    <w:rsid w:val="009C136D"/>
    <w:rsid w:val="009C1DC1"/>
    <w:rsid w:val="009C208B"/>
    <w:rsid w:val="009C28D5"/>
    <w:rsid w:val="009C3208"/>
    <w:rsid w:val="009C3E79"/>
    <w:rsid w:val="009C581F"/>
    <w:rsid w:val="009C663A"/>
    <w:rsid w:val="009C6C9E"/>
    <w:rsid w:val="009C728D"/>
    <w:rsid w:val="009C7BA6"/>
    <w:rsid w:val="009C7FB8"/>
    <w:rsid w:val="009D0421"/>
    <w:rsid w:val="009D0A33"/>
    <w:rsid w:val="009D0ABD"/>
    <w:rsid w:val="009D25E4"/>
    <w:rsid w:val="009D2AB9"/>
    <w:rsid w:val="009D332C"/>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3CE"/>
    <w:rsid w:val="00A034F2"/>
    <w:rsid w:val="00A038D0"/>
    <w:rsid w:val="00A03BA4"/>
    <w:rsid w:val="00A03BF0"/>
    <w:rsid w:val="00A04032"/>
    <w:rsid w:val="00A04A79"/>
    <w:rsid w:val="00A05979"/>
    <w:rsid w:val="00A059B9"/>
    <w:rsid w:val="00A06D8A"/>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5CC4"/>
    <w:rsid w:val="00A462E4"/>
    <w:rsid w:val="00A46543"/>
    <w:rsid w:val="00A466BC"/>
    <w:rsid w:val="00A46858"/>
    <w:rsid w:val="00A46989"/>
    <w:rsid w:val="00A47A19"/>
    <w:rsid w:val="00A502D2"/>
    <w:rsid w:val="00A5136B"/>
    <w:rsid w:val="00A51E2D"/>
    <w:rsid w:val="00A52219"/>
    <w:rsid w:val="00A52756"/>
    <w:rsid w:val="00A52A2A"/>
    <w:rsid w:val="00A53830"/>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6BB3"/>
    <w:rsid w:val="00A66FDA"/>
    <w:rsid w:val="00A7011E"/>
    <w:rsid w:val="00A703CE"/>
    <w:rsid w:val="00A7080F"/>
    <w:rsid w:val="00A70CF2"/>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2D1"/>
    <w:rsid w:val="00A84C51"/>
    <w:rsid w:val="00A84C85"/>
    <w:rsid w:val="00A84EC6"/>
    <w:rsid w:val="00A85069"/>
    <w:rsid w:val="00A8541A"/>
    <w:rsid w:val="00A862B0"/>
    <w:rsid w:val="00A863F2"/>
    <w:rsid w:val="00A8649E"/>
    <w:rsid w:val="00A868BB"/>
    <w:rsid w:val="00A878F0"/>
    <w:rsid w:val="00A87BA3"/>
    <w:rsid w:val="00A87C01"/>
    <w:rsid w:val="00A90506"/>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B3B"/>
    <w:rsid w:val="00AB37A7"/>
    <w:rsid w:val="00AB3D36"/>
    <w:rsid w:val="00AB499E"/>
    <w:rsid w:val="00AB4A95"/>
    <w:rsid w:val="00AB4B98"/>
    <w:rsid w:val="00AB5736"/>
    <w:rsid w:val="00AB585A"/>
    <w:rsid w:val="00AB65A3"/>
    <w:rsid w:val="00AB69C7"/>
    <w:rsid w:val="00AB6B5D"/>
    <w:rsid w:val="00AB772F"/>
    <w:rsid w:val="00AC10F3"/>
    <w:rsid w:val="00AC1C40"/>
    <w:rsid w:val="00AC1EF2"/>
    <w:rsid w:val="00AC2053"/>
    <w:rsid w:val="00AC2AD2"/>
    <w:rsid w:val="00AC31F6"/>
    <w:rsid w:val="00AC3F69"/>
    <w:rsid w:val="00AC4CED"/>
    <w:rsid w:val="00AC58CA"/>
    <w:rsid w:val="00AC5B6B"/>
    <w:rsid w:val="00AC66C2"/>
    <w:rsid w:val="00AC7A05"/>
    <w:rsid w:val="00AC7C2F"/>
    <w:rsid w:val="00AD092D"/>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C2F"/>
    <w:rsid w:val="00AF5BDA"/>
    <w:rsid w:val="00AF5F61"/>
    <w:rsid w:val="00AF64C7"/>
    <w:rsid w:val="00AF71E4"/>
    <w:rsid w:val="00AF79E7"/>
    <w:rsid w:val="00AF7F04"/>
    <w:rsid w:val="00AF7FDC"/>
    <w:rsid w:val="00B00252"/>
    <w:rsid w:val="00B003FE"/>
    <w:rsid w:val="00B0057D"/>
    <w:rsid w:val="00B00F34"/>
    <w:rsid w:val="00B030E5"/>
    <w:rsid w:val="00B03A95"/>
    <w:rsid w:val="00B04496"/>
    <w:rsid w:val="00B0511D"/>
    <w:rsid w:val="00B05213"/>
    <w:rsid w:val="00B060A3"/>
    <w:rsid w:val="00B0709B"/>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8B0"/>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3607"/>
    <w:rsid w:val="00B3560A"/>
    <w:rsid w:val="00B359C0"/>
    <w:rsid w:val="00B36CE1"/>
    <w:rsid w:val="00B3762F"/>
    <w:rsid w:val="00B376AD"/>
    <w:rsid w:val="00B37BF9"/>
    <w:rsid w:val="00B37C88"/>
    <w:rsid w:val="00B37E39"/>
    <w:rsid w:val="00B401B4"/>
    <w:rsid w:val="00B4086F"/>
    <w:rsid w:val="00B40CEB"/>
    <w:rsid w:val="00B41595"/>
    <w:rsid w:val="00B4161D"/>
    <w:rsid w:val="00B421EA"/>
    <w:rsid w:val="00B425D6"/>
    <w:rsid w:val="00B429F0"/>
    <w:rsid w:val="00B42CAB"/>
    <w:rsid w:val="00B43715"/>
    <w:rsid w:val="00B4415C"/>
    <w:rsid w:val="00B4462F"/>
    <w:rsid w:val="00B44D10"/>
    <w:rsid w:val="00B451DD"/>
    <w:rsid w:val="00B46176"/>
    <w:rsid w:val="00B508F5"/>
    <w:rsid w:val="00B512A8"/>
    <w:rsid w:val="00B51748"/>
    <w:rsid w:val="00B5217E"/>
    <w:rsid w:val="00B52D50"/>
    <w:rsid w:val="00B53376"/>
    <w:rsid w:val="00B53CC3"/>
    <w:rsid w:val="00B546EA"/>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838"/>
    <w:rsid w:val="00B74E06"/>
    <w:rsid w:val="00B75512"/>
    <w:rsid w:val="00B75AE7"/>
    <w:rsid w:val="00B75D7C"/>
    <w:rsid w:val="00B7675C"/>
    <w:rsid w:val="00B76913"/>
    <w:rsid w:val="00B76945"/>
    <w:rsid w:val="00B77578"/>
    <w:rsid w:val="00B81618"/>
    <w:rsid w:val="00B8185B"/>
    <w:rsid w:val="00B83392"/>
    <w:rsid w:val="00B8392B"/>
    <w:rsid w:val="00B83C24"/>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245"/>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61B0"/>
    <w:rsid w:val="00BC66A6"/>
    <w:rsid w:val="00BC66F6"/>
    <w:rsid w:val="00BC6944"/>
    <w:rsid w:val="00BC6F03"/>
    <w:rsid w:val="00BC7E9A"/>
    <w:rsid w:val="00BD0350"/>
    <w:rsid w:val="00BD0C9B"/>
    <w:rsid w:val="00BD10C4"/>
    <w:rsid w:val="00BD1943"/>
    <w:rsid w:val="00BD30FA"/>
    <w:rsid w:val="00BD4A51"/>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65F2"/>
    <w:rsid w:val="00BE782D"/>
    <w:rsid w:val="00BF0A0D"/>
    <w:rsid w:val="00BF1DB9"/>
    <w:rsid w:val="00BF1F4B"/>
    <w:rsid w:val="00BF2D4B"/>
    <w:rsid w:val="00BF3367"/>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365"/>
    <w:rsid w:val="00C02966"/>
    <w:rsid w:val="00C02E6D"/>
    <w:rsid w:val="00C0306D"/>
    <w:rsid w:val="00C03133"/>
    <w:rsid w:val="00C031A7"/>
    <w:rsid w:val="00C0324B"/>
    <w:rsid w:val="00C035B0"/>
    <w:rsid w:val="00C036FE"/>
    <w:rsid w:val="00C0375D"/>
    <w:rsid w:val="00C0533A"/>
    <w:rsid w:val="00C06027"/>
    <w:rsid w:val="00C06DD7"/>
    <w:rsid w:val="00C070DE"/>
    <w:rsid w:val="00C07414"/>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27AB6"/>
    <w:rsid w:val="00C30E3A"/>
    <w:rsid w:val="00C3236C"/>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6"/>
    <w:rsid w:val="00C52E42"/>
    <w:rsid w:val="00C54175"/>
    <w:rsid w:val="00C54206"/>
    <w:rsid w:val="00C54958"/>
    <w:rsid w:val="00C54B4B"/>
    <w:rsid w:val="00C550DE"/>
    <w:rsid w:val="00C55A4C"/>
    <w:rsid w:val="00C55EC9"/>
    <w:rsid w:val="00C55FB1"/>
    <w:rsid w:val="00C57403"/>
    <w:rsid w:val="00C60166"/>
    <w:rsid w:val="00C60680"/>
    <w:rsid w:val="00C607BC"/>
    <w:rsid w:val="00C6088A"/>
    <w:rsid w:val="00C61011"/>
    <w:rsid w:val="00C61DE6"/>
    <w:rsid w:val="00C63E97"/>
    <w:rsid w:val="00C64416"/>
    <w:rsid w:val="00C6492E"/>
    <w:rsid w:val="00C649DC"/>
    <w:rsid w:val="00C64E68"/>
    <w:rsid w:val="00C65106"/>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30F3"/>
    <w:rsid w:val="00CC3395"/>
    <w:rsid w:val="00CC34D2"/>
    <w:rsid w:val="00CC3962"/>
    <w:rsid w:val="00CC472C"/>
    <w:rsid w:val="00CC5230"/>
    <w:rsid w:val="00CC640C"/>
    <w:rsid w:val="00CC6AAA"/>
    <w:rsid w:val="00CC6AD5"/>
    <w:rsid w:val="00CC6D78"/>
    <w:rsid w:val="00CC6F92"/>
    <w:rsid w:val="00CC6FD5"/>
    <w:rsid w:val="00CC723E"/>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0A9D"/>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6F63"/>
    <w:rsid w:val="00D370F7"/>
    <w:rsid w:val="00D40662"/>
    <w:rsid w:val="00D42117"/>
    <w:rsid w:val="00D429E8"/>
    <w:rsid w:val="00D42AE1"/>
    <w:rsid w:val="00D4309C"/>
    <w:rsid w:val="00D4379D"/>
    <w:rsid w:val="00D438A9"/>
    <w:rsid w:val="00D44DA4"/>
    <w:rsid w:val="00D4538B"/>
    <w:rsid w:val="00D463FC"/>
    <w:rsid w:val="00D47335"/>
    <w:rsid w:val="00D503B8"/>
    <w:rsid w:val="00D5200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77E04"/>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A772C"/>
    <w:rsid w:val="00DB187C"/>
    <w:rsid w:val="00DB1F26"/>
    <w:rsid w:val="00DB2721"/>
    <w:rsid w:val="00DB2931"/>
    <w:rsid w:val="00DB2C18"/>
    <w:rsid w:val="00DB36A2"/>
    <w:rsid w:val="00DB38EF"/>
    <w:rsid w:val="00DB3D0D"/>
    <w:rsid w:val="00DB4276"/>
    <w:rsid w:val="00DB47F1"/>
    <w:rsid w:val="00DB5094"/>
    <w:rsid w:val="00DB6522"/>
    <w:rsid w:val="00DB6CF8"/>
    <w:rsid w:val="00DB6FB0"/>
    <w:rsid w:val="00DB6FD4"/>
    <w:rsid w:val="00DC0076"/>
    <w:rsid w:val="00DC19C3"/>
    <w:rsid w:val="00DC1A83"/>
    <w:rsid w:val="00DC1D6B"/>
    <w:rsid w:val="00DC266D"/>
    <w:rsid w:val="00DC2B52"/>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D72"/>
    <w:rsid w:val="00DE63FC"/>
    <w:rsid w:val="00DE6B99"/>
    <w:rsid w:val="00DE7E01"/>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BA7"/>
    <w:rsid w:val="00E252B8"/>
    <w:rsid w:val="00E25311"/>
    <w:rsid w:val="00E27005"/>
    <w:rsid w:val="00E275E0"/>
    <w:rsid w:val="00E27854"/>
    <w:rsid w:val="00E27AF7"/>
    <w:rsid w:val="00E30111"/>
    <w:rsid w:val="00E30379"/>
    <w:rsid w:val="00E30704"/>
    <w:rsid w:val="00E30E9E"/>
    <w:rsid w:val="00E30FC4"/>
    <w:rsid w:val="00E31539"/>
    <w:rsid w:val="00E326D5"/>
    <w:rsid w:val="00E32716"/>
    <w:rsid w:val="00E32730"/>
    <w:rsid w:val="00E33AE9"/>
    <w:rsid w:val="00E33CF0"/>
    <w:rsid w:val="00E3402E"/>
    <w:rsid w:val="00E344AA"/>
    <w:rsid w:val="00E34AE0"/>
    <w:rsid w:val="00E35A0B"/>
    <w:rsid w:val="00E40027"/>
    <w:rsid w:val="00E40EFB"/>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015"/>
    <w:rsid w:val="00E60187"/>
    <w:rsid w:val="00E605A2"/>
    <w:rsid w:val="00E60FAA"/>
    <w:rsid w:val="00E62207"/>
    <w:rsid w:val="00E62BB1"/>
    <w:rsid w:val="00E639A8"/>
    <w:rsid w:val="00E63E2E"/>
    <w:rsid w:val="00E64548"/>
    <w:rsid w:val="00E667F3"/>
    <w:rsid w:val="00E67107"/>
    <w:rsid w:val="00E67D25"/>
    <w:rsid w:val="00E67E1C"/>
    <w:rsid w:val="00E70088"/>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1B5C"/>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6D9D"/>
    <w:rsid w:val="00E97BAC"/>
    <w:rsid w:val="00EA0A73"/>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3E70"/>
    <w:rsid w:val="00EB4636"/>
    <w:rsid w:val="00EB4F77"/>
    <w:rsid w:val="00EB5733"/>
    <w:rsid w:val="00EB7272"/>
    <w:rsid w:val="00EC1934"/>
    <w:rsid w:val="00EC1939"/>
    <w:rsid w:val="00EC2719"/>
    <w:rsid w:val="00EC2C2B"/>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5082"/>
    <w:rsid w:val="00EF58E7"/>
    <w:rsid w:val="00EF6A3C"/>
    <w:rsid w:val="00EF6C9B"/>
    <w:rsid w:val="00EF732B"/>
    <w:rsid w:val="00F0019E"/>
    <w:rsid w:val="00F00200"/>
    <w:rsid w:val="00F0111E"/>
    <w:rsid w:val="00F01441"/>
    <w:rsid w:val="00F01862"/>
    <w:rsid w:val="00F02238"/>
    <w:rsid w:val="00F034F9"/>
    <w:rsid w:val="00F04C12"/>
    <w:rsid w:val="00F0573A"/>
    <w:rsid w:val="00F05B39"/>
    <w:rsid w:val="00F05BCC"/>
    <w:rsid w:val="00F05BE0"/>
    <w:rsid w:val="00F07772"/>
    <w:rsid w:val="00F0795E"/>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9A8"/>
    <w:rsid w:val="00F44272"/>
    <w:rsid w:val="00F44343"/>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601E6"/>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709"/>
    <w:rsid w:val="00FA5440"/>
    <w:rsid w:val="00FA5A96"/>
    <w:rsid w:val="00FA5B2A"/>
    <w:rsid w:val="00FA6984"/>
    <w:rsid w:val="00FA6E78"/>
    <w:rsid w:val="00FA7C7D"/>
    <w:rsid w:val="00FB0136"/>
    <w:rsid w:val="00FB13DA"/>
    <w:rsid w:val="00FB1659"/>
    <w:rsid w:val="00FB1EB4"/>
    <w:rsid w:val="00FB1FA9"/>
    <w:rsid w:val="00FB3658"/>
    <w:rsid w:val="00FB3B0E"/>
    <w:rsid w:val="00FB59C9"/>
    <w:rsid w:val="00FB5BC2"/>
    <w:rsid w:val="00FB5FF2"/>
    <w:rsid w:val="00FB62CF"/>
    <w:rsid w:val="00FB68C5"/>
    <w:rsid w:val="00FB7035"/>
    <w:rsid w:val="00FB7A2C"/>
    <w:rsid w:val="00FB7A74"/>
    <w:rsid w:val="00FC0786"/>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0EEF"/>
    <w:rsid w:val="00FD1158"/>
    <w:rsid w:val="00FD1732"/>
    <w:rsid w:val="00FD29B7"/>
    <w:rsid w:val="00FD2B0D"/>
    <w:rsid w:val="00FD2D2C"/>
    <w:rsid w:val="00FD4C8B"/>
    <w:rsid w:val="00FD5402"/>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1844C23"/>
    <w:rsid w:val="028705FE"/>
    <w:rsid w:val="036B4971"/>
    <w:rsid w:val="04005FA1"/>
    <w:rsid w:val="054E514F"/>
    <w:rsid w:val="05A70A0D"/>
    <w:rsid w:val="05AC0574"/>
    <w:rsid w:val="05BC419D"/>
    <w:rsid w:val="05C516F6"/>
    <w:rsid w:val="063D71E4"/>
    <w:rsid w:val="0696086E"/>
    <w:rsid w:val="06C61066"/>
    <w:rsid w:val="06D70337"/>
    <w:rsid w:val="06F227DE"/>
    <w:rsid w:val="09D5199F"/>
    <w:rsid w:val="0A70684A"/>
    <w:rsid w:val="0A951F6E"/>
    <w:rsid w:val="0B5C4CDF"/>
    <w:rsid w:val="0BFA53E6"/>
    <w:rsid w:val="0C7F72BD"/>
    <w:rsid w:val="0D844120"/>
    <w:rsid w:val="0D9E60D7"/>
    <w:rsid w:val="0DF05B94"/>
    <w:rsid w:val="0DF321D3"/>
    <w:rsid w:val="0EDD1589"/>
    <w:rsid w:val="0F420E92"/>
    <w:rsid w:val="0F9A500F"/>
    <w:rsid w:val="10572E1C"/>
    <w:rsid w:val="116077A0"/>
    <w:rsid w:val="11FB3784"/>
    <w:rsid w:val="12427DF1"/>
    <w:rsid w:val="12561BD5"/>
    <w:rsid w:val="12BA5DE6"/>
    <w:rsid w:val="13FF2FB9"/>
    <w:rsid w:val="154A73F4"/>
    <w:rsid w:val="15E76A24"/>
    <w:rsid w:val="162437A1"/>
    <w:rsid w:val="16CB43D6"/>
    <w:rsid w:val="17827F02"/>
    <w:rsid w:val="182E7070"/>
    <w:rsid w:val="183F1D1A"/>
    <w:rsid w:val="188E3F8F"/>
    <w:rsid w:val="19F97358"/>
    <w:rsid w:val="1A553748"/>
    <w:rsid w:val="1A6754AF"/>
    <w:rsid w:val="1AE3378E"/>
    <w:rsid w:val="1AFA6EBD"/>
    <w:rsid w:val="1C7B3169"/>
    <w:rsid w:val="1C933E4A"/>
    <w:rsid w:val="1D4F1A4B"/>
    <w:rsid w:val="1E8230EE"/>
    <w:rsid w:val="1EED52E4"/>
    <w:rsid w:val="1F826A1B"/>
    <w:rsid w:val="206977D9"/>
    <w:rsid w:val="21A613C7"/>
    <w:rsid w:val="21F96602"/>
    <w:rsid w:val="223733C1"/>
    <w:rsid w:val="224E294F"/>
    <w:rsid w:val="226C214F"/>
    <w:rsid w:val="22854FFE"/>
    <w:rsid w:val="22E31283"/>
    <w:rsid w:val="2348000B"/>
    <w:rsid w:val="25A641D2"/>
    <w:rsid w:val="25BB7DA5"/>
    <w:rsid w:val="26B15FCC"/>
    <w:rsid w:val="28642123"/>
    <w:rsid w:val="294361DC"/>
    <w:rsid w:val="29852351"/>
    <w:rsid w:val="29A3464B"/>
    <w:rsid w:val="2CC827E0"/>
    <w:rsid w:val="2DD0465A"/>
    <w:rsid w:val="2FAF694F"/>
    <w:rsid w:val="313145D4"/>
    <w:rsid w:val="31C07988"/>
    <w:rsid w:val="34514DEA"/>
    <w:rsid w:val="34A5067E"/>
    <w:rsid w:val="34CC3D50"/>
    <w:rsid w:val="34E94A38"/>
    <w:rsid w:val="35645814"/>
    <w:rsid w:val="359441D9"/>
    <w:rsid w:val="36682807"/>
    <w:rsid w:val="36817FB4"/>
    <w:rsid w:val="37F86297"/>
    <w:rsid w:val="38077A24"/>
    <w:rsid w:val="39822E25"/>
    <w:rsid w:val="39A33E38"/>
    <w:rsid w:val="39E30BB5"/>
    <w:rsid w:val="39F775D0"/>
    <w:rsid w:val="3AB70F8D"/>
    <w:rsid w:val="3BD261FC"/>
    <w:rsid w:val="3DBC0F1B"/>
    <w:rsid w:val="3DD064AD"/>
    <w:rsid w:val="3E546CEB"/>
    <w:rsid w:val="3F657D6E"/>
    <w:rsid w:val="401C19E8"/>
    <w:rsid w:val="405D6A1C"/>
    <w:rsid w:val="418827F6"/>
    <w:rsid w:val="421440A0"/>
    <w:rsid w:val="42424E2B"/>
    <w:rsid w:val="427914F2"/>
    <w:rsid w:val="42926285"/>
    <w:rsid w:val="42DA0C6E"/>
    <w:rsid w:val="43AB748D"/>
    <w:rsid w:val="44FA1BC9"/>
    <w:rsid w:val="450966EF"/>
    <w:rsid w:val="45412657"/>
    <w:rsid w:val="465877C4"/>
    <w:rsid w:val="472471F5"/>
    <w:rsid w:val="476612EE"/>
    <w:rsid w:val="478B4272"/>
    <w:rsid w:val="47EA5B27"/>
    <w:rsid w:val="485453D4"/>
    <w:rsid w:val="48BD6E6E"/>
    <w:rsid w:val="48F15695"/>
    <w:rsid w:val="49782573"/>
    <w:rsid w:val="499767C9"/>
    <w:rsid w:val="49D07964"/>
    <w:rsid w:val="4A1C5E76"/>
    <w:rsid w:val="4B3A2F93"/>
    <w:rsid w:val="4B756271"/>
    <w:rsid w:val="4BD92987"/>
    <w:rsid w:val="4CDF200B"/>
    <w:rsid w:val="4D3F08E5"/>
    <w:rsid w:val="4D8818A4"/>
    <w:rsid w:val="4F813436"/>
    <w:rsid w:val="4FBF2B30"/>
    <w:rsid w:val="50070AD0"/>
    <w:rsid w:val="516F480A"/>
    <w:rsid w:val="51854483"/>
    <w:rsid w:val="524A1ECB"/>
    <w:rsid w:val="539B6370"/>
    <w:rsid w:val="54491131"/>
    <w:rsid w:val="54E831A5"/>
    <w:rsid w:val="55FF585A"/>
    <w:rsid w:val="581475BD"/>
    <w:rsid w:val="58636DEB"/>
    <w:rsid w:val="5980650D"/>
    <w:rsid w:val="5A4159A9"/>
    <w:rsid w:val="5A633C89"/>
    <w:rsid w:val="5B2E39B5"/>
    <w:rsid w:val="5B696393"/>
    <w:rsid w:val="5B7B1804"/>
    <w:rsid w:val="5B7D7635"/>
    <w:rsid w:val="5C475F9E"/>
    <w:rsid w:val="5D684457"/>
    <w:rsid w:val="5DB40FA5"/>
    <w:rsid w:val="5EAE747B"/>
    <w:rsid w:val="5F34520E"/>
    <w:rsid w:val="5FA72402"/>
    <w:rsid w:val="601C5B46"/>
    <w:rsid w:val="60674D24"/>
    <w:rsid w:val="606A15ED"/>
    <w:rsid w:val="60D62EB6"/>
    <w:rsid w:val="6223218F"/>
    <w:rsid w:val="637F7933"/>
    <w:rsid w:val="63C50638"/>
    <w:rsid w:val="65393A53"/>
    <w:rsid w:val="65D90B98"/>
    <w:rsid w:val="67F10FCD"/>
    <w:rsid w:val="6A2151A2"/>
    <w:rsid w:val="6AFB752E"/>
    <w:rsid w:val="6D0D797F"/>
    <w:rsid w:val="6D195710"/>
    <w:rsid w:val="6D881C70"/>
    <w:rsid w:val="6E0C11B0"/>
    <w:rsid w:val="6E3C0C9C"/>
    <w:rsid w:val="6E684705"/>
    <w:rsid w:val="6ED06FAE"/>
    <w:rsid w:val="6FDD6381"/>
    <w:rsid w:val="74FE5FD1"/>
    <w:rsid w:val="778A22C8"/>
    <w:rsid w:val="7849732E"/>
    <w:rsid w:val="78A72AF0"/>
    <w:rsid w:val="7B341873"/>
    <w:rsid w:val="7B4A52E9"/>
    <w:rsid w:val="7BA80745"/>
    <w:rsid w:val="7C8B3A23"/>
    <w:rsid w:val="7CDA7120"/>
    <w:rsid w:val="7D4D5A35"/>
    <w:rsid w:val="7DA75CF8"/>
    <w:rsid w:val="7DF37E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5"/>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86"/>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70"/>
    <w:qFormat/>
    <w:uiPriority w:val="0"/>
    <w:pPr>
      <w:keepNext/>
      <w:keepLines/>
      <w:spacing w:before="260" w:after="260" w:line="416" w:lineRule="auto"/>
      <w:outlineLvl w:val="2"/>
    </w:pPr>
    <w:rPr>
      <w:b/>
      <w:bCs/>
      <w:sz w:val="32"/>
      <w:szCs w:val="32"/>
    </w:rPr>
  </w:style>
  <w:style w:type="paragraph" w:styleId="6">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7"/>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9"/>
    <w:link w:val="88"/>
    <w:qFormat/>
    <w:uiPriority w:val="0"/>
    <w:pPr>
      <w:keepNext/>
      <w:keepLines/>
      <w:spacing w:before="240" w:after="64" w:line="320" w:lineRule="auto"/>
      <w:outlineLvl w:val="5"/>
    </w:pPr>
    <w:rPr>
      <w:rFonts w:ascii="Arial" w:hAnsi="Arial" w:eastAsia="黑体"/>
      <w:b/>
      <w:sz w:val="24"/>
      <w:szCs w:val="20"/>
    </w:rPr>
  </w:style>
  <w:style w:type="paragraph" w:styleId="12">
    <w:name w:val="heading 7"/>
    <w:basedOn w:val="1"/>
    <w:next w:val="9"/>
    <w:link w:val="52"/>
    <w:qFormat/>
    <w:uiPriority w:val="0"/>
    <w:pPr>
      <w:keepNext/>
      <w:keepLines/>
      <w:spacing w:before="240" w:after="64" w:line="320" w:lineRule="auto"/>
      <w:outlineLvl w:val="6"/>
    </w:pPr>
    <w:rPr>
      <w:b/>
      <w:sz w:val="24"/>
      <w:szCs w:val="20"/>
    </w:rPr>
  </w:style>
  <w:style w:type="paragraph" w:styleId="13">
    <w:name w:val="heading 8"/>
    <w:basedOn w:val="1"/>
    <w:next w:val="9"/>
    <w:link w:val="89"/>
    <w:qFormat/>
    <w:uiPriority w:val="0"/>
    <w:pPr>
      <w:keepNext/>
      <w:keepLines/>
      <w:spacing w:before="240" w:after="64" w:line="320" w:lineRule="auto"/>
      <w:outlineLvl w:val="7"/>
    </w:pPr>
    <w:rPr>
      <w:rFonts w:ascii="Arial" w:hAnsi="Arial" w:eastAsia="黑体"/>
      <w:sz w:val="24"/>
      <w:szCs w:val="20"/>
    </w:rPr>
  </w:style>
  <w:style w:type="paragraph" w:styleId="14">
    <w:name w:val="heading 9"/>
    <w:basedOn w:val="1"/>
    <w:next w:val="9"/>
    <w:link w:val="53"/>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9">
    <w:name w:val="Normal Indent"/>
    <w:basedOn w:val="1"/>
    <w:next w:val="10"/>
    <w:link w:val="57"/>
    <w:qFormat/>
    <w:uiPriority w:val="0"/>
    <w:pPr>
      <w:ind w:firstLine="420"/>
    </w:pPr>
    <w:rPr>
      <w:szCs w:val="20"/>
    </w:rPr>
  </w:style>
  <w:style w:type="paragraph" w:customStyle="1" w:styleId="10">
    <w:name w:val="Default"/>
    <w:next w:val="1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1">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5">
    <w:name w:val="toc 7"/>
    <w:basedOn w:val="1"/>
    <w:next w:val="1"/>
    <w:unhideWhenUsed/>
    <w:qFormat/>
    <w:uiPriority w:val="39"/>
    <w:pPr>
      <w:ind w:left="1260"/>
      <w:jc w:val="left"/>
    </w:pPr>
    <w:rPr>
      <w:rFonts w:ascii="Calibri" w:hAnsi="Calibri"/>
      <w:sz w:val="18"/>
      <w:szCs w:val="18"/>
    </w:rPr>
  </w:style>
  <w:style w:type="paragraph" w:styleId="16">
    <w:name w:val="caption"/>
    <w:basedOn w:val="1"/>
    <w:next w:val="1"/>
    <w:link w:val="76"/>
    <w:qFormat/>
    <w:uiPriority w:val="0"/>
    <w:rPr>
      <w:rFonts w:ascii="Arial" w:hAnsi="Arial" w:eastAsia="黑体"/>
      <w:sz w:val="20"/>
      <w:szCs w:val="20"/>
    </w:rPr>
  </w:style>
  <w:style w:type="paragraph" w:styleId="17">
    <w:name w:val="Document Map"/>
    <w:basedOn w:val="1"/>
    <w:semiHidden/>
    <w:qFormat/>
    <w:uiPriority w:val="0"/>
    <w:pPr>
      <w:shd w:val="clear" w:color="auto" w:fill="000080"/>
    </w:pPr>
  </w:style>
  <w:style w:type="paragraph" w:styleId="18">
    <w:name w:val="toa heading"/>
    <w:basedOn w:val="1"/>
    <w:next w:val="1"/>
    <w:semiHidden/>
    <w:qFormat/>
    <w:uiPriority w:val="0"/>
    <w:pPr>
      <w:spacing w:before="120"/>
    </w:pPr>
    <w:rPr>
      <w:rFonts w:ascii="Arial" w:hAnsi="Arial"/>
      <w:sz w:val="24"/>
      <w:szCs w:val="20"/>
    </w:rPr>
  </w:style>
  <w:style w:type="paragraph" w:styleId="19">
    <w:name w:val="annotation text"/>
    <w:basedOn w:val="1"/>
    <w:link w:val="69"/>
    <w:semiHidden/>
    <w:qFormat/>
    <w:uiPriority w:val="99"/>
    <w:pPr>
      <w:jc w:val="left"/>
    </w:pPr>
  </w:style>
  <w:style w:type="paragraph" w:styleId="20">
    <w:name w:val="Body Text 3"/>
    <w:basedOn w:val="1"/>
    <w:qFormat/>
    <w:uiPriority w:val="0"/>
    <w:pPr>
      <w:spacing w:after="120"/>
    </w:pPr>
    <w:rPr>
      <w:sz w:val="16"/>
      <w:szCs w:val="16"/>
    </w:rPr>
  </w:style>
  <w:style w:type="paragraph" w:styleId="21">
    <w:name w:val="Body Text Indent"/>
    <w:basedOn w:val="1"/>
    <w:link w:val="62"/>
    <w:qFormat/>
    <w:uiPriority w:val="99"/>
    <w:pPr>
      <w:ind w:firstLine="830" w:firstLineChars="352"/>
    </w:pPr>
    <w:rPr>
      <w:rFonts w:ascii="仿宋_GB2312" w:eastAsia="仿宋_GB2312"/>
      <w:sz w:val="32"/>
      <w:szCs w:val="20"/>
    </w:rPr>
  </w:style>
  <w:style w:type="paragraph" w:styleId="22">
    <w:name w:val="toc 5"/>
    <w:basedOn w:val="1"/>
    <w:next w:val="1"/>
    <w:unhideWhenUsed/>
    <w:qFormat/>
    <w:uiPriority w:val="39"/>
    <w:pPr>
      <w:ind w:left="840"/>
      <w:jc w:val="left"/>
    </w:pPr>
    <w:rPr>
      <w:rFonts w:ascii="Calibri" w:hAnsi="Calibri"/>
      <w:sz w:val="18"/>
      <w:szCs w:val="18"/>
    </w:rPr>
  </w:style>
  <w:style w:type="paragraph" w:styleId="23">
    <w:name w:val="toc 3"/>
    <w:basedOn w:val="1"/>
    <w:next w:val="1"/>
    <w:qFormat/>
    <w:uiPriority w:val="39"/>
    <w:pPr>
      <w:tabs>
        <w:tab w:val="left" w:pos="900"/>
        <w:tab w:val="left" w:pos="1080"/>
      </w:tabs>
      <w:ind w:left="100" w:leftChars="100"/>
    </w:pPr>
    <w:rPr>
      <w:rFonts w:ascii="宋体" w:hAnsi="宋体"/>
      <w:iCs/>
    </w:rPr>
  </w:style>
  <w:style w:type="paragraph" w:styleId="24">
    <w:name w:val="Plain Text"/>
    <w:basedOn w:val="1"/>
    <w:link w:val="66"/>
    <w:qFormat/>
    <w:uiPriority w:val="0"/>
    <w:rPr>
      <w:rFonts w:ascii="宋体" w:hAnsi="Courier New" w:cs="Courier New"/>
      <w:szCs w:val="21"/>
    </w:rPr>
  </w:style>
  <w:style w:type="paragraph" w:styleId="25">
    <w:name w:val="toc 8"/>
    <w:basedOn w:val="1"/>
    <w:next w:val="1"/>
    <w:qFormat/>
    <w:uiPriority w:val="39"/>
    <w:pPr>
      <w:ind w:left="1470"/>
      <w:jc w:val="left"/>
    </w:pPr>
    <w:rPr>
      <w:rFonts w:ascii="Calibri" w:hAnsi="Calibri"/>
      <w:sz w:val="18"/>
      <w:szCs w:val="18"/>
    </w:rPr>
  </w:style>
  <w:style w:type="paragraph" w:styleId="26">
    <w:name w:val="index 3"/>
    <w:basedOn w:val="1"/>
    <w:next w:val="1"/>
    <w:semiHidden/>
    <w:qFormat/>
    <w:uiPriority w:val="0"/>
    <w:pPr>
      <w:ind w:left="400" w:leftChars="400"/>
    </w:pPr>
  </w:style>
  <w:style w:type="paragraph" w:styleId="27">
    <w:name w:val="Date"/>
    <w:basedOn w:val="1"/>
    <w:next w:val="1"/>
    <w:qFormat/>
    <w:uiPriority w:val="0"/>
    <w:rPr>
      <w:rFonts w:ascii="宋体" w:hAnsi="Courier New"/>
      <w:b/>
      <w:sz w:val="48"/>
      <w:szCs w:val="20"/>
    </w:rPr>
  </w:style>
  <w:style w:type="paragraph" w:styleId="28">
    <w:name w:val="Body Text Indent 2"/>
    <w:basedOn w:val="1"/>
    <w:link w:val="91"/>
    <w:qFormat/>
    <w:uiPriority w:val="0"/>
    <w:pPr>
      <w:spacing w:after="120" w:line="480" w:lineRule="auto"/>
      <w:ind w:left="420" w:leftChars="200"/>
    </w:pPr>
  </w:style>
  <w:style w:type="paragraph" w:styleId="29">
    <w:name w:val="Balloon Text"/>
    <w:basedOn w:val="1"/>
    <w:link w:val="61"/>
    <w:semiHidden/>
    <w:qFormat/>
    <w:uiPriority w:val="0"/>
    <w:rPr>
      <w:sz w:val="18"/>
      <w:szCs w:val="18"/>
    </w:rPr>
  </w:style>
  <w:style w:type="paragraph" w:styleId="30">
    <w:name w:val="footer"/>
    <w:basedOn w:val="1"/>
    <w:link w:val="79"/>
    <w:qFormat/>
    <w:uiPriority w:val="0"/>
    <w:pPr>
      <w:tabs>
        <w:tab w:val="center" w:pos="4153"/>
        <w:tab w:val="right" w:pos="8306"/>
      </w:tabs>
      <w:snapToGrid w:val="0"/>
      <w:jc w:val="left"/>
    </w:pPr>
    <w:rPr>
      <w:sz w:val="18"/>
      <w:szCs w:val="18"/>
    </w:rPr>
  </w:style>
  <w:style w:type="paragraph" w:styleId="31">
    <w:name w:val="header"/>
    <w:basedOn w:val="1"/>
    <w:link w:val="58"/>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2">
    <w:name w:val="toc 1"/>
    <w:basedOn w:val="1"/>
    <w:next w:val="1"/>
    <w:qFormat/>
    <w:uiPriority w:val="39"/>
    <w:pPr>
      <w:tabs>
        <w:tab w:val="right" w:leader="dot" w:pos="8280"/>
      </w:tabs>
      <w:spacing w:line="360" w:lineRule="auto"/>
    </w:pPr>
    <w:rPr>
      <w:rFonts w:ascii="宋体" w:hAnsi="宋体"/>
      <w:b/>
      <w:sz w:val="22"/>
      <w:szCs w:val="21"/>
    </w:rPr>
  </w:style>
  <w:style w:type="paragraph" w:styleId="33">
    <w:name w:val="toc 4"/>
    <w:basedOn w:val="1"/>
    <w:next w:val="1"/>
    <w:unhideWhenUsed/>
    <w:qFormat/>
    <w:uiPriority w:val="39"/>
    <w:pPr>
      <w:ind w:left="630"/>
      <w:jc w:val="left"/>
    </w:pPr>
    <w:rPr>
      <w:rFonts w:ascii="Calibri" w:hAnsi="Calibri"/>
      <w:sz w:val="18"/>
      <w:szCs w:val="18"/>
    </w:rPr>
  </w:style>
  <w:style w:type="paragraph" w:styleId="34">
    <w:name w:val="index heading"/>
    <w:basedOn w:val="1"/>
    <w:next w:val="35"/>
    <w:semiHidden/>
    <w:qFormat/>
    <w:uiPriority w:val="0"/>
    <w:rPr>
      <w:szCs w:val="20"/>
    </w:rPr>
  </w:style>
  <w:style w:type="paragraph" w:styleId="35">
    <w:name w:val="index 1"/>
    <w:basedOn w:val="1"/>
    <w:next w:val="1"/>
    <w:semiHidden/>
    <w:qFormat/>
    <w:uiPriority w:val="0"/>
    <w:pPr>
      <w:tabs>
        <w:tab w:val="left" w:pos="7740"/>
      </w:tabs>
      <w:jc w:val="center"/>
    </w:pPr>
    <w:rPr>
      <w:rFonts w:ascii="仿宋" w:hAnsi="仿宋" w:eastAsia="仿宋"/>
      <w:b/>
      <w:sz w:val="28"/>
      <w:szCs w:val="28"/>
    </w:rPr>
  </w:style>
  <w:style w:type="paragraph" w:styleId="36">
    <w:name w:val="toc 6"/>
    <w:basedOn w:val="1"/>
    <w:next w:val="1"/>
    <w:unhideWhenUsed/>
    <w:qFormat/>
    <w:uiPriority w:val="39"/>
    <w:pPr>
      <w:ind w:left="1050"/>
      <w:jc w:val="left"/>
    </w:pPr>
    <w:rPr>
      <w:rFonts w:ascii="Calibri" w:hAnsi="Calibri"/>
      <w:sz w:val="18"/>
      <w:szCs w:val="18"/>
    </w:rPr>
  </w:style>
  <w:style w:type="paragraph" w:styleId="37">
    <w:name w:val="Body Text Indent 3"/>
    <w:basedOn w:val="1"/>
    <w:qFormat/>
    <w:uiPriority w:val="0"/>
    <w:pPr>
      <w:spacing w:line="360" w:lineRule="auto"/>
      <w:ind w:firstLine="420" w:firstLineChars="200"/>
    </w:pPr>
    <w:rPr>
      <w:szCs w:val="20"/>
    </w:rPr>
  </w:style>
  <w:style w:type="paragraph" w:styleId="38">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9">
    <w:name w:val="toc 9"/>
    <w:basedOn w:val="1"/>
    <w:next w:val="1"/>
    <w:unhideWhenUsed/>
    <w:qFormat/>
    <w:uiPriority w:val="39"/>
    <w:pPr>
      <w:ind w:left="1680"/>
      <w:jc w:val="left"/>
    </w:pPr>
    <w:rPr>
      <w:rFonts w:ascii="Calibri" w:hAnsi="Calibri"/>
      <w:sz w:val="18"/>
      <w:szCs w:val="18"/>
    </w:rPr>
  </w:style>
  <w:style w:type="paragraph" w:styleId="4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1">
    <w:name w:val="Title"/>
    <w:basedOn w:val="1"/>
    <w:link w:val="90"/>
    <w:qFormat/>
    <w:uiPriority w:val="0"/>
    <w:pPr>
      <w:spacing w:before="240" w:after="60"/>
      <w:jc w:val="center"/>
      <w:outlineLvl w:val="0"/>
    </w:pPr>
    <w:rPr>
      <w:rFonts w:ascii="Arial" w:hAnsi="Arial"/>
      <w:b/>
      <w:bCs/>
      <w:sz w:val="32"/>
      <w:szCs w:val="32"/>
    </w:rPr>
  </w:style>
  <w:style w:type="paragraph" w:styleId="42">
    <w:name w:val="annotation subject"/>
    <w:basedOn w:val="19"/>
    <w:next w:val="19"/>
    <w:semiHidden/>
    <w:qFormat/>
    <w:uiPriority w:val="0"/>
    <w:rPr>
      <w:b/>
      <w:bCs/>
    </w:rPr>
  </w:style>
  <w:style w:type="paragraph" w:styleId="43">
    <w:name w:val="Body Text First Indent"/>
    <w:basedOn w:val="2"/>
    <w:next w:val="36"/>
    <w:qFormat/>
    <w:uiPriority w:val="0"/>
    <w:pPr>
      <w:spacing w:after="120" w:line="240" w:lineRule="auto"/>
      <w:ind w:firstLine="420" w:firstLineChars="100"/>
    </w:pPr>
    <w:rPr>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rFonts w:ascii="Tahoma" w:hAnsi="Tahoma" w:eastAsia="宋体"/>
      <w:b/>
      <w:bCs/>
      <w:spacing w:val="10"/>
      <w:sz w:val="24"/>
      <w:lang w:val="en-US" w:eastAsia="zh-CN" w:bidi="ar-SA"/>
    </w:rPr>
  </w:style>
  <w:style w:type="character" w:styleId="48">
    <w:name w:val="page number"/>
    <w:basedOn w:val="46"/>
    <w:qFormat/>
    <w:uiPriority w:val="0"/>
  </w:style>
  <w:style w:type="character" w:styleId="49">
    <w:name w:val="Hyperlink"/>
    <w:qFormat/>
    <w:uiPriority w:val="99"/>
    <w:rPr>
      <w:color w:val="0000FF"/>
      <w:u w:val="single"/>
    </w:rPr>
  </w:style>
  <w:style w:type="character" w:styleId="50">
    <w:name w:val="annotation reference"/>
    <w:semiHidden/>
    <w:qFormat/>
    <w:uiPriority w:val="0"/>
    <w:rPr>
      <w:sz w:val="21"/>
      <w:szCs w:val="21"/>
    </w:rPr>
  </w:style>
  <w:style w:type="character" w:customStyle="1" w:styleId="51">
    <w:name w:val="已访问的超链接1"/>
    <w:qFormat/>
    <w:uiPriority w:val="0"/>
    <w:rPr>
      <w:color w:val="800080"/>
      <w:u w:val="single"/>
    </w:rPr>
  </w:style>
  <w:style w:type="character" w:customStyle="1" w:styleId="52">
    <w:name w:val="标题 7 Char"/>
    <w:link w:val="12"/>
    <w:qFormat/>
    <w:locked/>
    <w:uiPriority w:val="0"/>
    <w:rPr>
      <w:b/>
      <w:kern w:val="2"/>
      <w:sz w:val="24"/>
    </w:rPr>
  </w:style>
  <w:style w:type="character" w:customStyle="1" w:styleId="53">
    <w:name w:val="标题 9 Char"/>
    <w:link w:val="14"/>
    <w:qFormat/>
    <w:locked/>
    <w:uiPriority w:val="0"/>
    <w:rPr>
      <w:rFonts w:ascii="Arial" w:hAnsi="Arial" w:eastAsia="黑体"/>
      <w:kern w:val="2"/>
      <w:sz w:val="21"/>
    </w:rPr>
  </w:style>
  <w:style w:type="character" w:customStyle="1" w:styleId="54">
    <w:name w:val="标题 3 Char1"/>
    <w:qFormat/>
    <w:locked/>
    <w:uiPriority w:val="0"/>
    <w:rPr>
      <w:rFonts w:ascii="宋体" w:hAnsi="Times New Roman"/>
    </w:rPr>
  </w:style>
  <w:style w:type="character" w:customStyle="1" w:styleId="55">
    <w:name w:val="标题 4 Char"/>
    <w:link w:val="6"/>
    <w:qFormat/>
    <w:locked/>
    <w:uiPriority w:val="0"/>
    <w:rPr>
      <w:rFonts w:ascii="Arial" w:hAnsi="Arial" w:eastAsia="黑体"/>
      <w:b/>
      <w:bCs/>
      <w:kern w:val="2"/>
      <w:sz w:val="28"/>
      <w:szCs w:val="28"/>
    </w:rPr>
  </w:style>
  <w:style w:type="character" w:customStyle="1" w:styleId="56">
    <w:name w:val="Char Char8"/>
    <w:qFormat/>
    <w:uiPriority w:val="0"/>
    <w:rPr>
      <w:rFonts w:ascii="宋体" w:hAnsi="Courier New" w:eastAsia="宋体"/>
      <w:kern w:val="2"/>
      <w:sz w:val="21"/>
      <w:lang w:val="en-US" w:eastAsia="zh-CN" w:bidi="ar-SA"/>
    </w:rPr>
  </w:style>
  <w:style w:type="character" w:customStyle="1" w:styleId="57">
    <w:name w:val="正文缩进 Char"/>
    <w:link w:val="9"/>
    <w:qFormat/>
    <w:uiPriority w:val="0"/>
    <w:rPr>
      <w:rFonts w:eastAsia="宋体"/>
      <w:kern w:val="2"/>
      <w:sz w:val="21"/>
      <w:lang w:val="en-US" w:eastAsia="zh-CN" w:bidi="ar-SA"/>
    </w:rPr>
  </w:style>
  <w:style w:type="character" w:customStyle="1" w:styleId="58">
    <w:name w:val="页眉 Char"/>
    <w:link w:val="31"/>
    <w:qFormat/>
    <w:uiPriority w:val="0"/>
    <w:rPr>
      <w:rFonts w:hAnsi="宋体"/>
      <w:color w:val="000000"/>
      <w:kern w:val="2"/>
      <w:sz w:val="18"/>
      <w:szCs w:val="18"/>
    </w:rPr>
  </w:style>
  <w:style w:type="character" w:customStyle="1" w:styleId="59">
    <w:name w:val="正文 A Char Char"/>
    <w:link w:val="60"/>
    <w:qFormat/>
    <w:uiPriority w:val="0"/>
    <w:rPr>
      <w:rFonts w:ascii="仿宋_GB2312" w:hAnsi="Heiti SC Light" w:eastAsia="仿宋_GB2312"/>
      <w:kern w:val="2"/>
      <w:sz w:val="24"/>
      <w:lang w:val="en-US" w:eastAsia="zh-CN" w:bidi="ar-SA"/>
    </w:rPr>
  </w:style>
  <w:style w:type="paragraph" w:customStyle="1" w:styleId="60">
    <w:name w:val="正文 A"/>
    <w:link w:val="59"/>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1">
    <w:name w:val="批注框文本 Char"/>
    <w:link w:val="29"/>
    <w:semiHidden/>
    <w:qFormat/>
    <w:locked/>
    <w:uiPriority w:val="0"/>
    <w:rPr>
      <w:kern w:val="2"/>
      <w:sz w:val="18"/>
      <w:szCs w:val="18"/>
    </w:rPr>
  </w:style>
  <w:style w:type="character" w:customStyle="1" w:styleId="62">
    <w:name w:val="正文文本缩进 Char"/>
    <w:link w:val="21"/>
    <w:qFormat/>
    <w:uiPriority w:val="99"/>
    <w:rPr>
      <w:rFonts w:ascii="仿宋_GB2312" w:eastAsia="仿宋_GB2312"/>
      <w:kern w:val="2"/>
      <w:sz w:val="32"/>
    </w:rPr>
  </w:style>
  <w:style w:type="character" w:customStyle="1" w:styleId="63">
    <w:name w:val="xl25 Char"/>
    <w:link w:val="64"/>
    <w:qFormat/>
    <w:uiPriority w:val="0"/>
    <w:rPr>
      <w:rFonts w:ascii="宋体" w:hAnsi="宋体" w:eastAsia="宋体"/>
      <w:sz w:val="21"/>
      <w:szCs w:val="21"/>
      <w:lang w:val="en-US" w:eastAsia="zh-CN" w:bidi="ar-SA"/>
    </w:rPr>
  </w:style>
  <w:style w:type="paragraph" w:customStyle="1" w:styleId="64">
    <w:name w:val="xl25"/>
    <w:basedOn w:val="1"/>
    <w:link w:val="63"/>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5">
    <w:name w:val="font1"/>
    <w:qFormat/>
    <w:uiPriority w:val="0"/>
    <w:rPr>
      <w:sz w:val="18"/>
      <w:szCs w:val="18"/>
      <w:u w:val="none"/>
    </w:rPr>
  </w:style>
  <w:style w:type="character" w:customStyle="1" w:styleId="66">
    <w:name w:val="纯文本 Char"/>
    <w:link w:val="24"/>
    <w:qFormat/>
    <w:uiPriority w:val="0"/>
    <w:rPr>
      <w:rFonts w:ascii="宋体" w:hAnsi="Courier New" w:eastAsia="宋体" w:cs="Courier New"/>
      <w:kern w:val="2"/>
      <w:sz w:val="21"/>
      <w:szCs w:val="21"/>
      <w:lang w:val="en-US" w:eastAsia="zh-CN" w:bidi="ar-SA"/>
    </w:rPr>
  </w:style>
  <w:style w:type="character" w:customStyle="1" w:styleId="67">
    <w:name w:val="标题 2 Char"/>
    <w:qFormat/>
    <w:uiPriority w:val="0"/>
    <w:rPr>
      <w:rFonts w:ascii="Arial" w:hAnsi="Arial" w:eastAsia="黑体"/>
      <w:b/>
      <w:bCs/>
      <w:kern w:val="2"/>
      <w:sz w:val="32"/>
      <w:szCs w:val="32"/>
      <w:lang w:val="en-US" w:eastAsia="zh-CN" w:bidi="ar-SA"/>
    </w:rPr>
  </w:style>
  <w:style w:type="character" w:customStyle="1" w:styleId="68">
    <w:name w:val="纯文本 Char1"/>
    <w:qFormat/>
    <w:uiPriority w:val="0"/>
    <w:rPr>
      <w:rFonts w:ascii="宋体" w:hAnsi="Courier New" w:eastAsia="宋体" w:cs="Times New Roman"/>
      <w:kern w:val="0"/>
      <w:sz w:val="20"/>
      <w:szCs w:val="20"/>
    </w:rPr>
  </w:style>
  <w:style w:type="character" w:customStyle="1" w:styleId="69">
    <w:name w:val="批注文字 Char"/>
    <w:link w:val="19"/>
    <w:semiHidden/>
    <w:qFormat/>
    <w:uiPriority w:val="99"/>
    <w:rPr>
      <w:kern w:val="2"/>
      <w:sz w:val="21"/>
      <w:szCs w:val="24"/>
    </w:rPr>
  </w:style>
  <w:style w:type="character" w:customStyle="1" w:styleId="70">
    <w:name w:val="标题 3 Char"/>
    <w:link w:val="5"/>
    <w:qFormat/>
    <w:uiPriority w:val="0"/>
    <w:rPr>
      <w:rFonts w:eastAsia="宋体"/>
      <w:b/>
      <w:bCs/>
      <w:kern w:val="2"/>
      <w:sz w:val="32"/>
      <w:szCs w:val="32"/>
      <w:lang w:val="en-US" w:eastAsia="zh-CN" w:bidi="ar-SA"/>
    </w:rPr>
  </w:style>
  <w:style w:type="character" w:customStyle="1" w:styleId="71">
    <w:name w:val="mark8"/>
    <w:qFormat/>
    <w:uiPriority w:val="0"/>
    <w:rPr>
      <w:b/>
      <w:bCs/>
      <w:sz w:val="21"/>
      <w:szCs w:val="21"/>
    </w:rPr>
  </w:style>
  <w:style w:type="character" w:customStyle="1" w:styleId="72">
    <w:name w:val="列出段落 Char"/>
    <w:link w:val="73"/>
    <w:qFormat/>
    <w:uiPriority w:val="0"/>
    <w:rPr>
      <w:rFonts w:ascii="Calibri" w:hAnsi="Calibri"/>
      <w:kern w:val="2"/>
      <w:sz w:val="21"/>
      <w:szCs w:val="22"/>
    </w:rPr>
  </w:style>
  <w:style w:type="paragraph" w:styleId="73">
    <w:name w:val="List Paragraph"/>
    <w:basedOn w:val="1"/>
    <w:link w:val="72"/>
    <w:qFormat/>
    <w:uiPriority w:val="0"/>
    <w:pPr>
      <w:ind w:firstLine="420" w:firstLineChars="200"/>
    </w:pPr>
    <w:rPr>
      <w:rFonts w:ascii="Calibri" w:hAnsi="Calibri"/>
      <w:szCs w:val="22"/>
    </w:rPr>
  </w:style>
  <w:style w:type="character" w:customStyle="1" w:styleId="74">
    <w:name w:val="Char Char10"/>
    <w:qFormat/>
    <w:uiPriority w:val="0"/>
    <w:rPr>
      <w:rFonts w:eastAsia="宋体"/>
      <w:kern w:val="2"/>
      <w:sz w:val="18"/>
      <w:szCs w:val="18"/>
      <w:lang w:val="en-US" w:eastAsia="zh-CN" w:bidi="ar-SA"/>
    </w:rPr>
  </w:style>
  <w:style w:type="character" w:customStyle="1" w:styleId="75">
    <w:name w:val="nine-11"/>
    <w:qFormat/>
    <w:uiPriority w:val="0"/>
    <w:rPr>
      <w:rFonts w:hint="default"/>
      <w:sz w:val="18"/>
      <w:szCs w:val="18"/>
    </w:rPr>
  </w:style>
  <w:style w:type="character" w:customStyle="1" w:styleId="76">
    <w:name w:val="题注 Char"/>
    <w:link w:val="16"/>
    <w:qFormat/>
    <w:uiPriority w:val="0"/>
    <w:rPr>
      <w:rFonts w:ascii="Arial" w:hAnsi="Arial" w:eastAsia="黑体" w:cs="Arial"/>
      <w:kern w:val="2"/>
    </w:rPr>
  </w:style>
  <w:style w:type="character" w:customStyle="1" w:styleId="77">
    <w:name w:val="mark"/>
    <w:basedOn w:val="46"/>
    <w:qFormat/>
    <w:uiPriority w:val="0"/>
  </w:style>
  <w:style w:type="character" w:customStyle="1" w:styleId="78">
    <w:name w:val="Char Char3"/>
    <w:qFormat/>
    <w:uiPriority w:val="0"/>
    <w:rPr>
      <w:rFonts w:eastAsia="宋体"/>
      <w:kern w:val="2"/>
      <w:sz w:val="18"/>
      <w:lang w:val="en-US" w:eastAsia="zh-CN" w:bidi="ar-SA"/>
    </w:rPr>
  </w:style>
  <w:style w:type="character" w:customStyle="1" w:styleId="79">
    <w:name w:val="页脚 Char"/>
    <w:link w:val="30"/>
    <w:qFormat/>
    <w:uiPriority w:val="0"/>
    <w:rPr>
      <w:rFonts w:eastAsia="宋体"/>
      <w:kern w:val="2"/>
      <w:sz w:val="18"/>
      <w:szCs w:val="18"/>
      <w:lang w:val="en-US" w:eastAsia="zh-CN" w:bidi="ar-SA"/>
    </w:rPr>
  </w:style>
  <w:style w:type="character" w:customStyle="1" w:styleId="80">
    <w:name w:val="font31"/>
    <w:qFormat/>
    <w:uiPriority w:val="0"/>
    <w:rPr>
      <w:rFonts w:hint="eastAsia" w:ascii="宋体" w:hAnsi="宋体" w:eastAsia="宋体" w:cs="宋体"/>
      <w:color w:val="000000"/>
      <w:sz w:val="20"/>
      <w:szCs w:val="20"/>
      <w:u w:val="none"/>
    </w:rPr>
  </w:style>
  <w:style w:type="character" w:customStyle="1" w:styleId="81">
    <w:name w:val="Font Style17"/>
    <w:qFormat/>
    <w:uiPriority w:val="0"/>
    <w:rPr>
      <w:rFonts w:ascii="黑体" w:eastAsia="黑体" w:cs="黑体"/>
      <w:sz w:val="28"/>
      <w:szCs w:val="28"/>
    </w:rPr>
  </w:style>
  <w:style w:type="character" w:customStyle="1" w:styleId="82">
    <w:name w:val="标题 1 Char"/>
    <w:qFormat/>
    <w:uiPriority w:val="0"/>
    <w:rPr>
      <w:rFonts w:ascii="Times New Roman" w:hAnsi="Times New Roman" w:eastAsia="宋体" w:cs="Times New Roman"/>
      <w:b/>
      <w:bCs/>
      <w:kern w:val="44"/>
      <w:sz w:val="44"/>
      <w:szCs w:val="44"/>
    </w:rPr>
  </w:style>
  <w:style w:type="character" w:customStyle="1" w:styleId="83">
    <w:name w:val="List Paragraph Char"/>
    <w:link w:val="84"/>
    <w:qFormat/>
    <w:locked/>
    <w:uiPriority w:val="0"/>
    <w:rPr>
      <w:rFonts w:ascii="Calibri" w:hAnsi="Calibri"/>
      <w:kern w:val="2"/>
      <w:sz w:val="21"/>
      <w:szCs w:val="22"/>
    </w:rPr>
  </w:style>
  <w:style w:type="paragraph" w:customStyle="1" w:styleId="84">
    <w:name w:val="列出段落2"/>
    <w:basedOn w:val="1"/>
    <w:link w:val="83"/>
    <w:qFormat/>
    <w:uiPriority w:val="0"/>
    <w:pPr>
      <w:ind w:firstLine="420" w:firstLineChars="200"/>
    </w:pPr>
    <w:rPr>
      <w:rFonts w:ascii="Calibri" w:hAnsi="Calibri"/>
      <w:szCs w:val="22"/>
    </w:rPr>
  </w:style>
  <w:style w:type="character" w:customStyle="1" w:styleId="85">
    <w:name w:val="标题 1 Char1"/>
    <w:link w:val="3"/>
    <w:qFormat/>
    <w:locked/>
    <w:uiPriority w:val="0"/>
    <w:rPr>
      <w:b/>
      <w:bCs/>
      <w:kern w:val="44"/>
      <w:sz w:val="44"/>
      <w:szCs w:val="44"/>
    </w:rPr>
  </w:style>
  <w:style w:type="character" w:customStyle="1" w:styleId="86">
    <w:name w:val="标题 2 Char1"/>
    <w:link w:val="4"/>
    <w:qFormat/>
    <w:locked/>
    <w:uiPriority w:val="0"/>
    <w:rPr>
      <w:rFonts w:ascii="Arial" w:hAnsi="Arial" w:eastAsia="黑体"/>
      <w:b/>
      <w:bCs/>
      <w:kern w:val="2"/>
      <w:sz w:val="32"/>
      <w:szCs w:val="32"/>
    </w:rPr>
  </w:style>
  <w:style w:type="character" w:customStyle="1" w:styleId="87">
    <w:name w:val="标题 5 Char"/>
    <w:link w:val="7"/>
    <w:qFormat/>
    <w:locked/>
    <w:uiPriority w:val="0"/>
    <w:rPr>
      <w:b/>
      <w:sz w:val="28"/>
    </w:rPr>
  </w:style>
  <w:style w:type="character" w:customStyle="1" w:styleId="88">
    <w:name w:val="标题 6 Char"/>
    <w:link w:val="8"/>
    <w:qFormat/>
    <w:locked/>
    <w:uiPriority w:val="0"/>
    <w:rPr>
      <w:rFonts w:ascii="Arial" w:hAnsi="Arial" w:eastAsia="黑体"/>
      <w:b/>
      <w:kern w:val="2"/>
      <w:sz w:val="24"/>
    </w:rPr>
  </w:style>
  <w:style w:type="character" w:customStyle="1" w:styleId="89">
    <w:name w:val="标题 8 Char"/>
    <w:link w:val="13"/>
    <w:qFormat/>
    <w:locked/>
    <w:uiPriority w:val="0"/>
    <w:rPr>
      <w:rFonts w:ascii="Arial" w:hAnsi="Arial" w:eastAsia="黑体"/>
      <w:kern w:val="2"/>
      <w:sz w:val="24"/>
    </w:rPr>
  </w:style>
  <w:style w:type="character" w:customStyle="1" w:styleId="90">
    <w:name w:val="标题 Char"/>
    <w:link w:val="41"/>
    <w:qFormat/>
    <w:uiPriority w:val="0"/>
    <w:rPr>
      <w:rFonts w:ascii="Arial" w:hAnsi="Arial" w:cs="Arial"/>
      <w:b/>
      <w:bCs/>
      <w:kern w:val="2"/>
      <w:sz w:val="32"/>
      <w:szCs w:val="32"/>
    </w:rPr>
  </w:style>
  <w:style w:type="character" w:customStyle="1" w:styleId="91">
    <w:name w:val="正文文本缩进 2 Char"/>
    <w:link w:val="28"/>
    <w:qFormat/>
    <w:uiPriority w:val="0"/>
    <w:rPr>
      <w:kern w:val="2"/>
      <w:sz w:val="21"/>
      <w:szCs w:val="24"/>
    </w:rPr>
  </w:style>
  <w:style w:type="character" w:customStyle="1" w:styleId="92">
    <w:name w:val="表标题 Char Char"/>
    <w:link w:val="93"/>
    <w:qFormat/>
    <w:uiPriority w:val="0"/>
    <w:rPr>
      <w:b/>
    </w:rPr>
  </w:style>
  <w:style w:type="paragraph" w:customStyle="1" w:styleId="93">
    <w:name w:val="表标题"/>
    <w:basedOn w:val="9"/>
    <w:link w:val="92"/>
    <w:qFormat/>
    <w:uiPriority w:val="0"/>
    <w:pPr>
      <w:adjustRightInd w:val="0"/>
      <w:snapToGrid w:val="0"/>
      <w:spacing w:before="62" w:after="62"/>
      <w:ind w:firstLine="0"/>
      <w:jc w:val="center"/>
    </w:pPr>
    <w:rPr>
      <w:b/>
      <w:kern w:val="0"/>
      <w:sz w:val="20"/>
    </w:rPr>
  </w:style>
  <w:style w:type="paragraph" w:customStyle="1" w:styleId="9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_Style 4"/>
    <w:basedOn w:val="1"/>
    <w:qFormat/>
    <w:uiPriority w:val="0"/>
    <w:pPr>
      <w:spacing w:beforeLines="50" w:afterLines="50"/>
    </w:pPr>
  </w:style>
  <w:style w:type="paragraph" w:customStyle="1" w:styleId="96">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8">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办公自动化专用标题"/>
    <w:basedOn w:val="41"/>
    <w:qFormat/>
    <w:uiPriority w:val="0"/>
    <w:pPr>
      <w:spacing w:line="560" w:lineRule="atLeast"/>
    </w:pPr>
    <w:rPr>
      <w:rFonts w:ascii="宋体"/>
      <w:bCs w:val="0"/>
      <w:sz w:val="44"/>
      <w:szCs w:val="20"/>
    </w:rPr>
  </w:style>
  <w:style w:type="paragraph" w:customStyle="1" w:styleId="100">
    <w:name w:val="Char3"/>
    <w:basedOn w:val="1"/>
    <w:qFormat/>
    <w:uiPriority w:val="0"/>
  </w:style>
  <w:style w:type="paragraph" w:customStyle="1" w:styleId="101">
    <w:name w:val="表格"/>
    <w:basedOn w:val="1"/>
    <w:qFormat/>
    <w:uiPriority w:val="0"/>
    <w:pPr>
      <w:jc w:val="center"/>
    </w:pPr>
    <w:rPr>
      <w:rFonts w:ascii="宋体"/>
      <w:b/>
      <w:szCs w:val="20"/>
    </w:rPr>
  </w:style>
  <w:style w:type="paragraph" w:customStyle="1" w:styleId="102">
    <w:name w:val="Char Char3 Char Char"/>
    <w:basedOn w:val="1"/>
    <w:qFormat/>
    <w:uiPriority w:val="0"/>
    <w:pPr>
      <w:spacing w:line="360" w:lineRule="auto"/>
      <w:ind w:firstLine="200" w:firstLineChars="200"/>
    </w:pPr>
    <w:rPr>
      <w:rFonts w:ascii="宋体" w:hAnsi="宋体" w:cs="宋体"/>
      <w:sz w:val="24"/>
    </w:rPr>
  </w:style>
  <w:style w:type="paragraph" w:customStyle="1" w:styleId="103">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4">
    <w:name w:val="p0"/>
    <w:basedOn w:val="1"/>
    <w:qFormat/>
    <w:uiPriority w:val="0"/>
    <w:pPr>
      <w:widowControl/>
    </w:pPr>
    <w:rPr>
      <w:kern w:val="0"/>
      <w:szCs w:val="21"/>
    </w:rPr>
  </w:style>
  <w:style w:type="paragraph" w:customStyle="1" w:styleId="105">
    <w:name w:val="图框内的文字"/>
    <w:basedOn w:val="1"/>
    <w:qFormat/>
    <w:uiPriority w:val="0"/>
    <w:pPr>
      <w:jc w:val="center"/>
    </w:pPr>
    <w:rPr>
      <w:position w:val="6"/>
      <w:szCs w:val="20"/>
    </w:rPr>
  </w:style>
  <w:style w:type="paragraph" w:customStyle="1" w:styleId="106">
    <w:name w:val="默认段落字体 Para Char"/>
    <w:basedOn w:val="1"/>
    <w:qFormat/>
    <w:uiPriority w:val="0"/>
    <w:rPr>
      <w:rFonts w:ascii="宋体" w:hAnsi="宋体"/>
      <w:b/>
      <w:sz w:val="28"/>
      <w:szCs w:val="28"/>
    </w:rPr>
  </w:style>
  <w:style w:type="paragraph" w:customStyle="1" w:styleId="107">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8">
    <w:name w:val="字元 字元"/>
    <w:basedOn w:val="1"/>
    <w:qFormat/>
    <w:uiPriority w:val="0"/>
    <w:pPr>
      <w:spacing w:line="360" w:lineRule="auto"/>
      <w:ind w:firstLine="200" w:firstLineChars="200"/>
    </w:pPr>
    <w:rPr>
      <w:rFonts w:ascii="宋体" w:hAnsi="宋体" w:cs="宋体"/>
      <w:sz w:val="24"/>
    </w:rPr>
  </w:style>
  <w:style w:type="paragraph" w:customStyle="1" w:styleId="109">
    <w:name w:val="正文段落"/>
    <w:basedOn w:val="1"/>
    <w:qFormat/>
    <w:uiPriority w:val="0"/>
    <w:pPr>
      <w:widowControl/>
      <w:spacing w:after="40" w:line="360" w:lineRule="auto"/>
      <w:ind w:firstLine="200" w:firstLineChars="200"/>
    </w:pPr>
    <w:rPr>
      <w:kern w:val="0"/>
      <w:sz w:val="24"/>
    </w:rPr>
  </w:style>
  <w:style w:type="paragraph" w:customStyle="1" w:styleId="110">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1">
    <w:name w:val="Char Char2 Char"/>
    <w:basedOn w:val="1"/>
    <w:qFormat/>
    <w:uiPriority w:val="0"/>
    <w:rPr>
      <w:rFonts w:ascii="宋体" w:hAnsi="宋体"/>
      <w:b/>
      <w:sz w:val="28"/>
      <w:szCs w:val="28"/>
    </w:rPr>
  </w:style>
  <w:style w:type="paragraph" w:customStyle="1" w:styleId="11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3">
    <w:name w:val="Char Char"/>
    <w:basedOn w:val="1"/>
    <w:qFormat/>
    <w:uiPriority w:val="0"/>
    <w:rPr>
      <w:rFonts w:ascii="宋体" w:hAnsi="宋体"/>
      <w:b/>
      <w:sz w:val="28"/>
      <w:szCs w:val="28"/>
    </w:rPr>
  </w:style>
  <w:style w:type="paragraph" w:customStyle="1" w:styleId="114">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5">
    <w:name w:val="题注5"/>
    <w:basedOn w:val="1"/>
    <w:next w:val="16"/>
    <w:qFormat/>
    <w:uiPriority w:val="0"/>
    <w:pPr>
      <w:jc w:val="center"/>
    </w:pPr>
    <w:rPr>
      <w:b/>
      <w:color w:val="000000"/>
      <w:sz w:val="24"/>
      <w:szCs w:val="21"/>
    </w:rPr>
  </w:style>
  <w:style w:type="paragraph" w:customStyle="1" w:styleId="11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7">
    <w:name w:val="题注4"/>
    <w:basedOn w:val="1"/>
    <w:next w:val="16"/>
    <w:qFormat/>
    <w:uiPriority w:val="0"/>
    <w:pPr>
      <w:ind w:left="-132" w:leftChars="-64" w:right="-105" w:rightChars="-50" w:hanging="2"/>
      <w:jc w:val="center"/>
    </w:pPr>
    <w:rPr>
      <w:b/>
      <w:color w:val="FF0000"/>
      <w:szCs w:val="21"/>
      <w:lang w:val="en-GB"/>
    </w:rPr>
  </w:style>
  <w:style w:type="paragraph" w:customStyle="1" w:styleId="118">
    <w:name w:val="表格文字"/>
    <w:basedOn w:val="1"/>
    <w:qFormat/>
    <w:uiPriority w:val="0"/>
    <w:pPr>
      <w:spacing w:before="25" w:after="25"/>
      <w:jc w:val="left"/>
    </w:pPr>
    <w:rPr>
      <w:bCs/>
      <w:spacing w:val="10"/>
      <w:kern w:val="0"/>
      <w:sz w:val="24"/>
      <w:szCs w:val="20"/>
    </w:rPr>
  </w:style>
  <w:style w:type="paragraph" w:customStyle="1" w:styleId="11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1">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2">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5">
    <w:name w:val="Char Char Char Char Char Char Char Char Char"/>
    <w:basedOn w:val="1"/>
    <w:qFormat/>
    <w:uiPriority w:val="0"/>
    <w:rPr>
      <w:sz w:val="28"/>
    </w:rPr>
  </w:style>
  <w:style w:type="paragraph" w:customStyle="1" w:styleId="126">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7">
    <w:name w:val="Char Char Char Char Char Char Char"/>
    <w:basedOn w:val="1"/>
    <w:qFormat/>
    <w:uiPriority w:val="0"/>
    <w:pPr>
      <w:tabs>
        <w:tab w:val="left" w:pos="425"/>
      </w:tabs>
      <w:ind w:left="425" w:hanging="425"/>
    </w:pPr>
    <w:rPr>
      <w:rFonts w:eastAsia="仿宋_GB2312"/>
      <w:kern w:val="24"/>
      <w:sz w:val="24"/>
    </w:rPr>
  </w:style>
  <w:style w:type="paragraph" w:customStyle="1" w:styleId="128">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9">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1">
    <w:name w:val="样式1"/>
    <w:basedOn w:val="6"/>
    <w:qFormat/>
    <w:uiPriority w:val="0"/>
    <w:pPr>
      <w:spacing w:line="416" w:lineRule="auto"/>
      <w:ind w:left="560" w:leftChars="200"/>
    </w:pPr>
    <w:rPr>
      <w:rFonts w:ascii="宋体"/>
      <w:bCs w:val="0"/>
      <w:color w:val="FF0000"/>
    </w:rPr>
  </w:style>
  <w:style w:type="paragraph" w:customStyle="1" w:styleId="13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3">
    <w:name w:val="Char1 Char Char Char"/>
    <w:basedOn w:val="1"/>
    <w:qFormat/>
    <w:uiPriority w:val="0"/>
    <w:pPr>
      <w:numPr>
        <w:ilvl w:val="0"/>
        <w:numId w:val="2"/>
      </w:numPr>
    </w:pPr>
    <w:rPr>
      <w:sz w:val="24"/>
    </w:rPr>
  </w:style>
  <w:style w:type="paragraph" w:customStyle="1" w:styleId="134">
    <w:name w:val="正文1"/>
    <w:qFormat/>
    <w:uiPriority w:val="0"/>
    <w:pPr>
      <w:widowControl w:val="0"/>
      <w:jc w:val="both"/>
    </w:pPr>
    <w:rPr>
      <w:rFonts w:ascii="Times New Roman" w:hAnsi="Times New Roman" w:eastAsia="宋体" w:cs="Times New Roman"/>
      <w:lang w:val="en-US" w:eastAsia="zh-CN" w:bidi="ar-SA"/>
    </w:rPr>
  </w:style>
  <w:style w:type="paragraph" w:customStyle="1" w:styleId="135">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7">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1">
    <w:name w:val="List Paragraph1"/>
    <w:basedOn w:val="1"/>
    <w:qFormat/>
    <w:uiPriority w:val="0"/>
    <w:pPr>
      <w:ind w:firstLine="420" w:firstLineChars="200"/>
    </w:pPr>
    <w:rPr>
      <w:rFonts w:ascii="Calibri" w:hAnsi="Calibri" w:cs="黑体"/>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3">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4">
    <w:name w:val="Char Char Char1 Char Char Char Char Char Char Char"/>
    <w:basedOn w:val="1"/>
    <w:qFormat/>
    <w:uiPriority w:val="0"/>
    <w:rPr>
      <w:rFonts w:ascii="Arial" w:hAnsi="Arial" w:cs="Arial"/>
      <w:sz w:val="20"/>
      <w:szCs w:val="20"/>
    </w:rPr>
  </w:style>
  <w:style w:type="paragraph" w:customStyle="1" w:styleId="1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6">
    <w:name w:val="_Style 2"/>
    <w:basedOn w:val="1"/>
    <w:qFormat/>
    <w:uiPriority w:val="34"/>
    <w:pPr>
      <w:ind w:firstLine="420" w:firstLineChars="200"/>
    </w:pPr>
  </w:style>
  <w:style w:type="paragraph" w:customStyle="1" w:styleId="147">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8">
    <w:name w:val="列举"/>
    <w:basedOn w:val="1"/>
    <w:qFormat/>
    <w:uiPriority w:val="0"/>
    <w:pPr>
      <w:numPr>
        <w:ilvl w:val="0"/>
        <w:numId w:val="4"/>
      </w:numPr>
      <w:spacing w:line="360" w:lineRule="auto"/>
    </w:pPr>
    <w:rPr>
      <w:rFonts w:ascii="宋体"/>
    </w:rPr>
  </w:style>
  <w:style w:type="table" w:customStyle="1" w:styleId="149">
    <w:name w:val="网格型1"/>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0">
    <w:name w:val="Placeholder Text"/>
    <w:semiHidden/>
    <w:qFormat/>
    <w:uiPriority w:val="99"/>
    <w:rPr>
      <w:color w:val="808080"/>
    </w:rPr>
  </w:style>
  <w:style w:type="paragraph" w:customStyle="1" w:styleId="151">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ABBA7-B66A-4822-8834-324F1FE32839}">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53</Pages>
  <Words>25657</Words>
  <Characters>27082</Characters>
  <Lines>198</Lines>
  <Paragraphs>55</Paragraphs>
  <TotalTime>4</TotalTime>
  <ScaleCrop>false</ScaleCrop>
  <LinksUpToDate>false</LinksUpToDate>
  <CharactersWithSpaces>29376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2017-11-24T00:54:00Z</dcterms:created>
  <dc:creator>ibm</dc:creator>
  <cp:lastModifiedBy>Administrator</cp:lastModifiedBy>
  <cp:lastPrinted>2016-12-28T09:38:00Z</cp:lastPrinted>
  <dcterms:modified xsi:type="dcterms:W3CDTF">2023-07-28T09:16:26Z</dcterms:modified>
  <dc:title>第三部分  政府采购规范文本</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F5E2EC7D81F849A6A93F0BB329D9862A</vt:lpwstr>
  </property>
</Properties>
</file>