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18"/>
          <w:szCs w:val="18"/>
          <w:highlight w:val="none"/>
          <w14:textFill>
            <w14:solidFill>
              <w14:schemeClr w14:val="tx1"/>
            </w14:solidFill>
          </w14:textFill>
        </w:rPr>
      </w:pPr>
    </w:p>
    <w:tbl>
      <w:tblPr>
        <w:tblStyle w:val="48"/>
        <w:tblW w:w="9519" w:type="dxa"/>
        <w:jc w:val="center"/>
        <w:tblLayout w:type="fixed"/>
        <w:tblCellMar>
          <w:top w:w="0" w:type="dxa"/>
          <w:left w:w="108" w:type="dxa"/>
          <w:bottom w:w="0" w:type="dxa"/>
          <w:right w:w="108" w:type="dxa"/>
        </w:tblCellMar>
      </w:tblPr>
      <w:tblGrid>
        <w:gridCol w:w="1951"/>
        <w:gridCol w:w="284"/>
        <w:gridCol w:w="7284"/>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284" w:type="dxa"/>
            <w:vAlign w:val="center"/>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YXCG-20230628</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284"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阳江农村商业银行股份有限公司监理供应商入库采购项目</w:t>
            </w:r>
          </w:p>
        </w:tc>
      </w:tr>
      <w:tr>
        <w:tblPrEx>
          <w:tblCellMar>
            <w:top w:w="0" w:type="dxa"/>
            <w:left w:w="108" w:type="dxa"/>
            <w:bottom w:w="0" w:type="dxa"/>
            <w:right w:w="108" w:type="dxa"/>
          </w:tblCellMar>
        </w:tblPrEx>
        <w:trPr>
          <w:trHeight w:val="510"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招标人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284"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阳江农村商业银行股份有限公司</w:t>
            </w:r>
          </w:p>
        </w:tc>
      </w:tr>
      <w:tr>
        <w:tblPrEx>
          <w:tblCellMar>
            <w:top w:w="0" w:type="dxa"/>
            <w:left w:w="108" w:type="dxa"/>
            <w:bottom w:w="0" w:type="dxa"/>
            <w:right w:w="108" w:type="dxa"/>
          </w:tblCellMar>
        </w:tblPrEx>
        <w:trPr>
          <w:trHeight w:val="682"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招标代理机构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284"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二○二三年六月</w:t>
      </w: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p>
    <w:p>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，招标代理机构</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14:textFill>
            <w14:solidFill>
              <w14:schemeClr w14:val="tx1"/>
            </w14:solidFill>
          </w14:textFill>
        </w:rPr>
        <w:t>招标代理机构</w:t>
      </w:r>
      <w:r>
        <w:rPr>
          <w:rFonts w:ascii="宋体" w:hAnsi="宋体"/>
          <w:color w:val="000000" w:themeColor="text1"/>
          <w:szCs w:val="21"/>
          <w:highlight w:val="none"/>
          <w14:textFill>
            <w14:solidFill>
              <w14:schemeClr w14:val="tx1"/>
            </w14:solidFill>
          </w14:textFill>
        </w:rPr>
        <w:t>，不对供应商购买招标文件时提交的相关资料的真伪做出判断，如供应商发现相关资料被盗用或复制，建议遵循法律途径解决，追究侵权者责任。对一家供应商递交两份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_Toc19048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_Toc3534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_Toc13334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_Toc25198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_Toc24812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G、评标细则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_Toc18535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_Toc22829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_Toc4790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_Toc30993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1683994"/>
      <w:bookmarkStart w:id="2" w:name="_Toc332270305"/>
      <w:bookmarkStart w:id="3" w:name="_Toc365967002"/>
      <w:bookmarkStart w:id="4" w:name="_Toc340507403"/>
      <w:bookmarkStart w:id="5" w:name="_Toc365985108"/>
      <w:bookmarkStart w:id="6" w:name="_Toc339441044"/>
      <w:bookmarkStart w:id="7" w:name="_Toc350438702"/>
      <w:bookmarkStart w:id="8" w:name="_Toc336681537"/>
      <w:bookmarkStart w:id="9" w:name="_Toc339362257"/>
      <w:bookmarkStart w:id="10" w:name="_Toc342296708"/>
      <w:bookmarkStart w:id="11" w:name="_Toc345513762"/>
      <w:bookmarkStart w:id="12" w:name="_Toc21734"/>
      <w:bookmarkStart w:id="13" w:name="_Toc349127583"/>
      <w:bookmarkStart w:id="14" w:name="_Toc332206657"/>
      <w:bookmarkStart w:id="15" w:name="_Toc330459945"/>
      <w:bookmarkStart w:id="16" w:name="_Toc341348291"/>
      <w:bookmarkStart w:id="17" w:name="_Toc331512856"/>
      <w:bookmarkStart w:id="18" w:name="_Toc349143546"/>
      <w:bookmarkStart w:id="19" w:name="_Toc333237612"/>
      <w:bookmarkStart w:id="20" w:name="_Toc340672830"/>
      <w:bookmarkStart w:id="21" w:name="_Toc339020186"/>
      <w:bookmarkStart w:id="22" w:name="_Toc333935278"/>
      <w:bookmarkStart w:id="23" w:name="_Toc333238571"/>
      <w:bookmarkStart w:id="24" w:name="_Toc333237723"/>
      <w:bookmarkStart w:id="25" w:name="_Toc19048"/>
      <w:bookmarkStart w:id="26" w:name="_Toc337632315"/>
      <w:bookmarkStart w:id="27" w:name="_Toc333935619"/>
      <w:bookmarkStart w:id="28" w:name="_Toc339020048"/>
      <w:bookmarkStart w:id="29" w:name="_Toc336681892"/>
      <w:bookmarkStart w:id="30" w:name="_Toc342060322"/>
      <w:bookmarkStart w:id="31" w:name="_Toc339019828"/>
      <w:bookmarkStart w:id="32" w:name="_Toc339019954"/>
      <w:bookmarkStart w:id="33" w:name="_Toc340677031"/>
      <w:bookmarkStart w:id="34" w:name="_Toc366072457"/>
      <w:bookmarkStart w:id="35" w:name="_Toc350756403"/>
      <w:bookmarkStart w:id="36" w:name="_Toc500860978"/>
      <w:r>
        <w:rPr>
          <w:rFonts w:hint="eastAsia"/>
          <w:color w:val="000000" w:themeColor="text1"/>
          <w:highlight w:val="none"/>
          <w14:textFill>
            <w14:solidFill>
              <w14:schemeClr w14:val="tx1"/>
            </w14:solidFill>
          </w14:textFill>
        </w:rPr>
        <w:t>第一</w:t>
      </w:r>
      <w:bookmarkStart w:id="37" w:name="_Hlt23321731"/>
      <w:bookmarkEnd w:id="37"/>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widowControl/>
        <w:tabs>
          <w:tab w:val="left" w:pos="502"/>
          <w:tab w:val="left" w:pos="5145"/>
        </w:tabs>
        <w:adjustRightInd w:val="0"/>
        <w:snapToGrid w:val="0"/>
        <w:spacing w:line="400" w:lineRule="exact"/>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广东业信采购招标有限公司（以下简称“招标代理机构”）受阳江农村商业银行股份有限公司（以下简称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）的委托，就阳江农村商业银行股份有限公司监理供应商入库采购项目进行公开招标(项目编号:YXCG-20230628)，欢迎符合条件的投标人参加。有关事项如下：</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400" w:lineRule="exact"/>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项目名称：阳江农村商业银行股份有限公司监理供应商入库采购项目</w:t>
      </w:r>
    </w:p>
    <w:p>
      <w:pPr>
        <w:widowControl/>
        <w:numPr>
          <w:ilvl w:val="0"/>
          <w:numId w:val="20"/>
        </w:numPr>
        <w:tabs>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项目编号：YXCG-20230628</w:t>
      </w:r>
    </w:p>
    <w:p>
      <w:pPr>
        <w:widowControl/>
        <w:numPr>
          <w:ilvl w:val="0"/>
          <w:numId w:val="20"/>
        </w:numPr>
        <w:tabs>
          <w:tab w:val="left" w:pos="735"/>
          <w:tab w:val="clear" w:pos="528"/>
        </w:tabs>
        <w:adjustRightInd w:val="0"/>
        <w:snapToGrid w:val="0"/>
        <w:spacing w:line="400" w:lineRule="exact"/>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400" w:lineRule="exact"/>
        <w:ind w:left="736" w:leftChars="200" w:hanging="316" w:hangingChars="15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cs="宋体"/>
          <w:color w:val="000000" w:themeColor="text1"/>
          <w:szCs w:val="21"/>
          <w:highlight w:val="none"/>
          <w14:textFill>
            <w14:solidFill>
              <w14:schemeClr w14:val="tx1"/>
            </w14:solidFill>
          </w14:textFill>
        </w:rPr>
        <w:t>合同签订后3年。</w:t>
      </w:r>
      <w:r>
        <w:rPr>
          <w:rFonts w:hint="eastAsia" w:ascii="宋体" w:hAnsi="宋体"/>
          <w:color w:val="000000" w:themeColor="text1"/>
          <w:highlight w:val="none"/>
          <w14:textFill>
            <w14:solidFill>
              <w14:schemeClr w14:val="tx1"/>
            </w14:solidFill>
          </w14:textFill>
        </w:rPr>
        <w:t>（少于该服务期限将作为无效投标处理）。</w:t>
      </w:r>
    </w:p>
    <w:p>
      <w:pPr>
        <w:widowControl/>
        <w:numPr>
          <w:ilvl w:val="0"/>
          <w:numId w:val="20"/>
        </w:numPr>
        <w:tabs>
          <w:tab w:val="left" w:pos="315"/>
          <w:tab w:val="left" w:pos="735"/>
          <w:tab w:val="clear" w:pos="528"/>
        </w:tabs>
        <w:adjustRightInd w:val="0"/>
        <w:snapToGrid w:val="0"/>
        <w:spacing w:line="400" w:lineRule="exact"/>
        <w:ind w:left="420" w:leftChars="200" w:right="-212" w:rightChars="-101" w:firstLine="0"/>
        <w:rPr>
          <w:rFonts w:hint="eastAsia" w:ascii="宋体" w:hAnsi="宋体" w:cs="宋体"/>
          <w:color w:val="000000" w:themeColor="text1"/>
          <w:szCs w:val="21"/>
          <w:highlight w:val="none"/>
          <w:lang w:val="zh-CN" w:eastAsia="zh-CN"/>
          <w14:textFill>
            <w14:solidFill>
              <w14:schemeClr w14:val="tx1"/>
            </w14:solidFill>
          </w14:textFill>
        </w:rPr>
      </w:pPr>
      <w:r>
        <w:rPr>
          <w:rFonts w:hint="eastAsia" w:ascii="宋体" w:hAnsi="宋体"/>
          <w:bCs/>
          <w:color w:val="000000" w:themeColor="text1"/>
          <w:highlight w:val="none"/>
          <w:lang w:val="zh-CN"/>
          <w14:textFill>
            <w14:solidFill>
              <w14:schemeClr w14:val="tx1"/>
            </w14:solidFill>
          </w14:textFill>
        </w:rPr>
        <w:t>中标供应商数量：</w:t>
      </w:r>
      <w:r>
        <w:rPr>
          <w:rFonts w:hint="eastAsia" w:ascii="宋体" w:hAnsi="宋体" w:cs="宋体"/>
          <w:color w:val="000000" w:themeColor="text1"/>
          <w:szCs w:val="21"/>
          <w:highlight w:val="none"/>
          <w:lang w:val="zh-CN"/>
          <w14:textFill>
            <w14:solidFill>
              <w14:schemeClr w14:val="tx1"/>
            </w14:solidFill>
          </w14:textFill>
        </w:rPr>
        <w:t>择优选取3家供应商入围，1家供应商</w:t>
      </w:r>
      <w:r>
        <w:rPr>
          <w:rFonts w:hint="eastAsia" w:ascii="宋体" w:hAnsi="宋体" w:cs="宋体"/>
          <w:color w:val="000000" w:themeColor="text1"/>
          <w:szCs w:val="21"/>
          <w:highlight w:val="none"/>
          <w14:textFill>
            <w14:solidFill>
              <w14:schemeClr w14:val="tx1"/>
            </w14:solidFill>
          </w14:textFill>
        </w:rPr>
        <w:t>替</w:t>
      </w:r>
      <w:r>
        <w:rPr>
          <w:rFonts w:hint="eastAsia" w:ascii="宋体" w:hAnsi="宋体" w:cs="宋体"/>
          <w:color w:val="000000" w:themeColor="text1"/>
          <w:szCs w:val="21"/>
          <w:highlight w:val="none"/>
          <w:lang w:val="zh-CN"/>
          <w14:textFill>
            <w14:solidFill>
              <w14:schemeClr w14:val="tx1"/>
            </w14:solidFill>
          </w14:textFill>
        </w:rPr>
        <w:t>补。</w:t>
      </w:r>
      <w:r>
        <w:rPr>
          <w:rFonts w:hint="eastAsia" w:ascii="宋体" w:hAnsi="宋体" w:cs="宋体"/>
          <w:color w:val="000000" w:themeColor="text1"/>
          <w:szCs w:val="21"/>
          <w:highlight w:val="none"/>
          <w:lang w:val="zh-CN" w:eastAsia="zh-CN"/>
          <w14:textFill>
            <w14:solidFill>
              <w14:schemeClr w14:val="tx1"/>
            </w14:solidFill>
          </w14:textFill>
        </w:rPr>
        <w:t>（替补供应商不足不影响中标结果）</w:t>
      </w:r>
    </w:p>
    <w:p>
      <w:pPr>
        <w:widowControl/>
        <w:numPr>
          <w:ilvl w:val="0"/>
          <w:numId w:val="20"/>
        </w:numPr>
        <w:tabs>
          <w:tab w:val="left" w:pos="315"/>
          <w:tab w:val="left" w:pos="735"/>
          <w:tab w:val="clear" w:pos="528"/>
        </w:tabs>
        <w:adjustRightInd w:val="0"/>
        <w:snapToGrid w:val="0"/>
        <w:spacing w:line="400" w:lineRule="exact"/>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项目招标方式：公开招标</w:t>
      </w:r>
    </w:p>
    <w:p>
      <w:pPr>
        <w:widowControl/>
        <w:tabs>
          <w:tab w:val="left" w:pos="502"/>
        </w:tabs>
        <w:adjustRightInd w:val="0"/>
        <w:snapToGrid w:val="0"/>
        <w:spacing w:line="400" w:lineRule="exact"/>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tabs>
          <w:tab w:val="left" w:pos="525"/>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投标人必须是在中华人民共和国境内注册的具有独立承担民事责任能力的法人或其他组织。</w:t>
      </w:r>
    </w:p>
    <w:p>
      <w:pPr>
        <w:widowControl/>
        <w:tabs>
          <w:tab w:val="left" w:pos="525"/>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2.投标人须具有有效的工程监理专业甲级资质；</w:t>
      </w:r>
    </w:p>
    <w:p>
      <w:pPr>
        <w:widowControl/>
        <w:tabs>
          <w:tab w:val="left" w:pos="525"/>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3.近3年内（自本项目招标公告发布之日起往前顺推，以合同签订日期为准）具有不少于2个金融机构工程项目监理服务业绩经验； </w:t>
      </w:r>
    </w:p>
    <w:p>
      <w:pPr>
        <w:widowControl/>
        <w:tabs>
          <w:tab w:val="left" w:pos="525"/>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4.投标人没有处于被责令停业的状态；投标人没有处于财产被接管、冻结、破产的状态；近三年（自投标之日起往前顺推）在经营活动中没有重大违法及行政处罚记录。（提供《承诺函》，格式自拟）</w:t>
      </w:r>
    </w:p>
    <w:p>
      <w:pPr>
        <w:widowControl/>
        <w:tabs>
          <w:tab w:val="left" w:pos="525"/>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单位负责人为同一人、彼此存在投资与被投资、控股、管理关系的、或彼此的经营者、董事会（或同类管理机构）成员属于直系亲属或配偶关系的，不被接受作为同时参与本项目的投标人。（提供《承诺函》，格式自拟）</w:t>
      </w:r>
      <w:bookmarkStart w:id="2044" w:name="_GoBack"/>
      <w:bookmarkEnd w:id="2044"/>
    </w:p>
    <w:p>
      <w:pPr>
        <w:widowControl/>
        <w:tabs>
          <w:tab w:val="left" w:pos="525"/>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6.本项目不接受联合体投标；</w:t>
      </w:r>
    </w:p>
    <w:p>
      <w:pPr>
        <w:widowControl/>
        <w:tabs>
          <w:tab w:val="left" w:pos="420"/>
        </w:tabs>
        <w:adjustRightInd w:val="0"/>
        <w:snapToGrid w:val="0"/>
        <w:spacing w:line="400" w:lineRule="exact"/>
        <w:ind w:left="434" w:leftChars="200" w:hanging="14" w:hangingChars="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400" w:lineRule="exact"/>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cs="宋体"/>
          <w:bCs/>
          <w:color w:val="000000" w:themeColor="text1"/>
          <w:highlight w:val="none"/>
          <w14:textFill>
            <w14:solidFill>
              <w14:schemeClr w14:val="tx1"/>
            </w14:solidFill>
          </w14:textFill>
        </w:rPr>
        <w:t>间及下载：2023年7月7日至2023年7月14日。</w:t>
      </w:r>
    </w:p>
    <w:p>
      <w:pPr>
        <w:spacing w:line="400" w:lineRule="exact"/>
        <w:ind w:left="420" w:left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根据《广东省实施〈中华人民共和国政府采购法〉办法》第三十五条的规定，投标人认为采购</w:t>
      </w:r>
    </w:p>
    <w:p>
      <w:pPr>
        <w:spacing w:line="400" w:lineRule="exact"/>
        <w:rPr>
          <w:rFonts w:ascii="宋体" w:hAnsi="宋体" w:cs="宋体"/>
          <w:color w:val="000000" w:themeColor="text1"/>
          <w:kern w:val="0"/>
          <w:szCs w:val="2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w:t>
      </w:r>
      <w:r>
        <w:rPr>
          <w:rFonts w:hint="eastAsia" w:ascii="宋体" w:hAnsi="宋体" w:cs="宋体"/>
          <w:color w:val="000000" w:themeColor="text1"/>
          <w:kern w:val="0"/>
          <w:szCs w:val="21"/>
          <w:highlight w:val="none"/>
          <w14:textFill>
            <w14:solidFill>
              <w14:schemeClr w14:val="tx1"/>
            </w14:solidFill>
          </w14:textFill>
        </w:rPr>
        <w:t>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投标人的法定代表人（负责人）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授权代理人</w:t>
      </w:r>
      <w:r>
        <w:rPr>
          <w:rFonts w:ascii="宋体" w:hAnsi="宋体" w:cs="宋体"/>
          <w:color w:val="000000" w:themeColor="text1"/>
          <w:kern w:val="0"/>
          <w:szCs w:val="21"/>
          <w:highlight w:val="none"/>
          <w14:textFill>
            <w14:solidFill>
              <w14:schemeClr w14:val="tx1"/>
            </w14:solidFill>
          </w14:textFill>
        </w:rPr>
        <w:t>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，留有联系人及联系电话并提供营业执照复印件、法定代表人（负责人）证明书、授权委托书、</w:t>
      </w:r>
      <w:r>
        <w:rPr>
          <w:rFonts w:hint="eastAsia" w:ascii="宋体" w:hAnsi="宋体" w:cs="宋体"/>
          <w:bCs/>
          <w:color w:val="000000" w:themeColor="text1"/>
          <w:szCs w:val="21"/>
          <w:highlight w:val="none"/>
          <w14:textFill>
            <w14:solidFill>
              <w14:schemeClr w14:val="tx1"/>
            </w14:solidFill>
          </w14:textFill>
        </w:rPr>
        <w:t>法定代表人（负责人）身份证复印件、</w:t>
      </w:r>
      <w:r>
        <w:rPr>
          <w:rFonts w:hint="eastAsia" w:ascii="宋体" w:hAnsi="宋体" w:cs="宋体"/>
          <w:color w:val="000000" w:themeColor="text1"/>
          <w:kern w:val="0"/>
          <w:szCs w:val="21"/>
          <w:highlight w:val="none"/>
          <w14:textFill>
            <w14:solidFill>
              <w14:schemeClr w14:val="tx1"/>
            </w14:solidFill>
          </w14:textFill>
        </w:rPr>
        <w:t>授权代理人身份证复印件，并与招标代理机构工作人员做好确认工作，未被确认的质疑将作为无效质疑，招标人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招标代理机构可不予作答。</w:t>
      </w:r>
    </w:p>
    <w:p>
      <w:pPr>
        <w:widowControl/>
        <w:numPr>
          <w:ilvl w:val="0"/>
          <w:numId w:val="22"/>
        </w:numPr>
        <w:tabs>
          <w:tab w:val="left" w:pos="502"/>
        </w:tabs>
        <w:adjustRightInd w:val="0"/>
        <w:snapToGrid w:val="0"/>
        <w:spacing w:line="400" w:lineRule="exact"/>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400" w:lineRule="exact"/>
        <w:ind w:left="210" w:leftChars="100"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1.购买招标文件</w:t>
      </w:r>
      <w:r>
        <w:rPr>
          <w:rFonts w:hint="eastAsia" w:ascii="宋体" w:hAnsi="宋体" w:cs="宋体"/>
          <w:bCs/>
          <w:color w:val="000000" w:themeColor="text1"/>
          <w:highlight w:val="none"/>
          <w14:textFill>
            <w14:solidFill>
              <w14:schemeClr w14:val="tx1"/>
            </w14:solidFill>
          </w14:textFill>
        </w:rPr>
        <w:t>时间：2023年7月7日至2023年7月14日，上午9:00～12:00，下午2:30～5:30（节假日除外）（北</w:t>
      </w:r>
      <w:r>
        <w:rPr>
          <w:rFonts w:hint="eastAsia" w:ascii="宋体" w:hAnsi="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400" w:lineRule="exact"/>
        <w:ind w:left="210" w:leftChars="100"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cs="宋体"/>
          <w:color w:val="000000" w:themeColor="text1"/>
          <w:szCs w:val="21"/>
          <w:highlight w:val="none"/>
          <w14:textFill>
            <w14:solidFill>
              <w14:schemeClr w14:val="tx1"/>
            </w14:solidFill>
          </w14:textFill>
        </w:rPr>
        <w:t>205室。</w:t>
      </w:r>
    </w:p>
    <w:p>
      <w:pPr>
        <w:widowControl/>
        <w:tabs>
          <w:tab w:val="left" w:pos="735"/>
        </w:tabs>
        <w:adjustRightInd w:val="0"/>
        <w:snapToGrid w:val="0"/>
        <w:spacing w:line="400" w:lineRule="exact"/>
        <w:ind w:left="210" w:leftChars="100"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3.招标文件售价：</w:t>
      </w:r>
      <w:r>
        <w:rPr>
          <w:rFonts w:hint="eastAsia" w:ascii="宋体" w:hAnsi="宋体" w:cs="宋体"/>
          <w:bCs/>
          <w:color w:val="000000" w:themeColor="text1"/>
          <w:szCs w:val="21"/>
          <w:highlight w:val="none"/>
          <w14:textFill>
            <w14:solidFill>
              <w14:schemeClr w14:val="tx1"/>
            </w14:solidFill>
          </w14:textFill>
        </w:rPr>
        <w:t>招标文件每套人民币300元，售后不退</w:t>
      </w:r>
      <w:r>
        <w:rPr>
          <w:rFonts w:hint="eastAsia" w:ascii="宋体" w:hAnsi="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420" w:leftChars="2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400" w:lineRule="exact"/>
        <w:ind w:left="420" w:left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400" w:lineRule="exact"/>
        <w:ind w:left="657" w:leftChars="263" w:hanging="105" w:hangingChars="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w:t>
      </w:r>
      <w:r>
        <w:rPr>
          <w:rFonts w:hint="eastAsia" w:ascii="宋体" w:hAnsi="宋体" w:cs="宋体"/>
          <w:color w:val="000000" w:themeColor="text1"/>
          <w:kern w:val="0"/>
          <w:szCs w:val="21"/>
          <w:highlight w:val="none"/>
          <w14:textFill>
            <w14:solidFill>
              <w14:schemeClr w14:val="tx1"/>
            </w14:solidFill>
          </w14:textFill>
        </w:rPr>
        <w:t>授权代理人</w:t>
      </w:r>
      <w:r>
        <w:rPr>
          <w:rFonts w:hint="eastAsia" w:ascii="宋体" w:hAnsi="宋体" w:cs="宋体"/>
          <w:bCs/>
          <w:color w:val="000000" w:themeColor="text1"/>
          <w:szCs w:val="21"/>
          <w:highlight w:val="none"/>
          <w14:textFill>
            <w14:solidFill>
              <w14:schemeClr w14:val="tx1"/>
            </w14:solidFill>
          </w14:textFill>
        </w:rPr>
        <w:t>身份证复印件、营业执照副本复印件和相关资质证书复印件及《购买标书登记表》（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4"/>
          <w:rFonts w:hint="eastAsia" w:ascii="宋体" w:hAnsi="宋体" w:cs="宋体"/>
          <w:color w:val="000000" w:themeColor="text1"/>
          <w:highlight w:val="none"/>
          <w14:textFill>
            <w14:solidFill>
              <w14:schemeClr w14:val="tx1"/>
            </w14:solidFill>
          </w14:textFill>
        </w:rPr>
        <w:t>http://www.yjcg.cc</w:t>
      </w:r>
      <w:r>
        <w:rPr>
          <w:rStyle w:val="54"/>
          <w:rFonts w:hint="eastAsia" w:ascii="宋体" w:hAnsi="宋体" w:cs="宋体"/>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4"/>
          <w:rFonts w:hint="eastAsia" w:ascii="宋体" w:hAnsi="宋体" w:cs="宋体"/>
          <w:bCs/>
          <w:color w:val="000000" w:themeColor="text1"/>
          <w:highlight w:val="none"/>
          <w14:textFill>
            <w14:solidFill>
              <w14:schemeClr w14:val="tx1"/>
            </w14:solidFill>
          </w14:textFill>
        </w:rPr>
        <w:t>政府采购资料</w:t>
      </w:r>
      <w:r>
        <w:rPr>
          <w:rStyle w:val="54"/>
          <w:rFonts w:hint="eastAsia" w:ascii="宋体" w:hAnsi="宋体" w:cs="宋体"/>
          <w:bCs/>
          <w:color w:val="000000" w:themeColor="text1"/>
          <w:highlight w:val="none"/>
          <w14:textFill>
            <w14:solidFill>
              <w14:schemeClr w14:val="tx1"/>
            </w14:solidFill>
          </w14:textFill>
        </w:rPr>
        <w:fldChar w:fldCharType="end"/>
      </w:r>
      <w:r>
        <w:rPr>
          <w:rFonts w:hint="eastAsia" w:ascii="宋体" w:hAnsi="宋体" w:cs="宋体"/>
          <w:bCs/>
          <w:color w:val="000000" w:themeColor="text1"/>
          <w:szCs w:val="21"/>
          <w:highlight w:val="none"/>
          <w14:textFill>
            <w14:solidFill>
              <w14:schemeClr w14:val="tx1"/>
            </w14:solidFill>
          </w14:textFill>
        </w:rPr>
        <w:t>下载专区）加盖公章到指定地址购买。</w:t>
      </w:r>
      <w:r>
        <w:rPr>
          <w:rFonts w:hint="eastAsia" w:ascii="宋体" w:hAnsi="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cs="宋体"/>
          <w:bCs/>
          <w:color w:val="000000" w:themeColor="text1"/>
          <w:highlight w:val="none"/>
          <w14:textFill>
            <w14:solidFill>
              <w14:schemeClr w14:val="tx1"/>
            </w14:solidFill>
          </w14:textFill>
        </w:rPr>
        <w:t>。</w:t>
      </w:r>
    </w:p>
    <w:p>
      <w:pPr>
        <w:widowControl/>
        <w:tabs>
          <w:tab w:val="left" w:pos="735"/>
        </w:tabs>
        <w:adjustRightInd w:val="0"/>
        <w:snapToGrid w:val="0"/>
        <w:spacing w:line="400" w:lineRule="exact"/>
        <w:ind w:left="657" w:leftChars="263" w:hanging="105" w:hangingChars="50"/>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pPr>
        <w:widowControl/>
        <w:numPr>
          <w:ilvl w:val="0"/>
          <w:numId w:val="22"/>
        </w:numPr>
        <w:tabs>
          <w:tab w:val="left" w:pos="502"/>
        </w:tabs>
        <w:adjustRightInd w:val="0"/>
        <w:snapToGrid w:val="0"/>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4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1.递交投标文件时间：2023年7月28日14:30-15:00 (北京时间)。</w:t>
      </w:r>
    </w:p>
    <w:p>
      <w:pPr>
        <w:widowControl/>
        <w:tabs>
          <w:tab w:val="left" w:pos="735"/>
        </w:tabs>
        <w:adjustRightInd w:val="0"/>
        <w:snapToGrid w:val="0"/>
        <w:spacing w:line="400" w:lineRule="exact"/>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2.投标截止时间、开标时间：2023年7月28日15:00(北京时间)。</w:t>
      </w:r>
    </w:p>
    <w:p>
      <w:pPr>
        <w:widowControl/>
        <w:tabs>
          <w:tab w:val="left" w:pos="735"/>
        </w:tabs>
        <w:adjustRightInd w:val="0"/>
        <w:snapToGrid w:val="0"/>
        <w:spacing w:line="400" w:lineRule="exact"/>
        <w:ind w:firstLine="420" w:firstLineChars="2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3.递交投标文件地点、开标地点：阳江市江城区猫山四街33号A座2楼开标室。</w:t>
      </w:r>
    </w:p>
    <w:p>
      <w:pPr>
        <w:widowControl/>
        <w:tabs>
          <w:tab w:val="left" w:pos="735"/>
        </w:tabs>
        <w:adjustRightInd w:val="0"/>
        <w:snapToGrid w:val="0"/>
        <w:spacing w:line="40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六、招标人、招标代理机构的名称、地址和联系方式</w:t>
      </w:r>
    </w:p>
    <w:p>
      <w:pPr>
        <w:widowControl/>
        <w:tabs>
          <w:tab w:val="left" w:pos="630"/>
        </w:tabs>
        <w:adjustRightInd w:val="0"/>
        <w:snapToGrid w:val="0"/>
        <w:spacing w:line="400" w:lineRule="exact"/>
        <w:ind w:firstLine="525" w:firstLineChars="25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1．招标人联系方式：</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名称：阳江农村商业银行股份有限公司</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地址：阳江市江城区金山路3号美仑广场2幢、3幢1-2层、5幢1-3号铺、5-9号铺、201号铺</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联系人：李经理</w:t>
      </w:r>
    </w:p>
    <w:p>
      <w:pPr>
        <w:tabs>
          <w:tab w:val="left" w:pos="735"/>
          <w:tab w:val="left" w:pos="4680"/>
        </w:tabs>
        <w:adjustRightInd w:val="0"/>
        <w:snapToGrid w:val="0"/>
        <w:spacing w:line="400" w:lineRule="exact"/>
        <w:ind w:firstLine="630" w:firstLineChars="30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联系电话：0662-3100088</w:t>
      </w:r>
    </w:p>
    <w:p>
      <w:pPr>
        <w:tabs>
          <w:tab w:val="left" w:pos="735"/>
          <w:tab w:val="left" w:pos="4680"/>
        </w:tabs>
        <w:adjustRightInd w:val="0"/>
        <w:snapToGrid w:val="0"/>
        <w:spacing w:line="400" w:lineRule="exact"/>
        <w:ind w:firstLine="525" w:firstLineChars="25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招标代理机构联系方式：</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 系 人：冯先生</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400" w:lineRule="exact"/>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    真：0662-2669666</w:t>
      </w:r>
    </w:p>
    <w:p>
      <w:pPr>
        <w:tabs>
          <w:tab w:val="left" w:pos="4680"/>
        </w:tabs>
        <w:adjustRightInd w:val="0"/>
        <w:snapToGrid w:val="0"/>
        <w:spacing w:line="400" w:lineRule="exact"/>
        <w:ind w:firstLine="630" w:firstLineChars="300"/>
        <w:rPr>
          <w:rFonts w:ascii="宋体" w:hAnsi="宋体" w:cs="宋体"/>
          <w:b/>
          <w:color w:val="000000" w:themeColor="text1"/>
          <w:spacing w:val="2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网    址：</w:t>
      </w:r>
      <w:r>
        <w:rPr>
          <w:rFonts w:hint="eastAsia" w:ascii="宋体" w:hAnsi="宋体" w:cs="宋体"/>
          <w:bCs/>
          <w:color w:val="000000" w:themeColor="text1"/>
          <w:highlight w:val="none"/>
          <w14:textFill>
            <w14:solidFill>
              <w14:schemeClr w14:val="tx1"/>
            </w14:solidFill>
          </w14:textFill>
        </w:rPr>
        <w:t>http://www.yjcg.cc</w:t>
      </w:r>
    </w:p>
    <w:p>
      <w:pPr>
        <w:widowControl/>
        <w:tabs>
          <w:tab w:val="left" w:pos="4769"/>
        </w:tabs>
        <w:adjustRightInd w:val="0"/>
        <w:snapToGrid w:val="0"/>
        <w:spacing w:line="400" w:lineRule="exact"/>
        <w:ind w:left="105" w:leftChars="50" w:firstLine="420" w:firstLineChars="200"/>
        <w:jc w:val="right"/>
        <w:rPr>
          <w:rFonts w:ascii="宋体" w:hAnsi="宋体" w:cs="宋体"/>
          <w:bCs/>
          <w:color w:val="000000" w:themeColor="text1"/>
          <w:highlight w:val="none"/>
          <w14:textFill>
            <w14:solidFill>
              <w14:schemeClr w14:val="tx1"/>
            </w14:solidFill>
          </w14:textFill>
        </w:rPr>
      </w:pPr>
    </w:p>
    <w:p>
      <w:pPr>
        <w:widowControl/>
        <w:tabs>
          <w:tab w:val="left" w:pos="4769"/>
        </w:tabs>
        <w:adjustRightInd w:val="0"/>
        <w:snapToGrid w:val="0"/>
        <w:spacing w:line="400" w:lineRule="exact"/>
        <w:ind w:left="105" w:leftChars="50" w:firstLine="420" w:firstLineChars="200"/>
        <w:jc w:val="righ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400" w:lineRule="exact"/>
        <w:ind w:left="105" w:leftChars="50" w:firstLine="420" w:firstLineChars="200"/>
        <w:jc w:val="right"/>
        <w:rPr>
          <w:rFonts w:ascii="宋体" w:hAnsi="宋体" w:cs="宋体"/>
          <w:color w:val="000000" w:themeColor="text1"/>
          <w:highlight w:val="none"/>
          <w14:textFill>
            <w14:solidFill>
              <w14:schemeClr w14:val="tx1"/>
            </w14:solidFill>
          </w14:textFill>
        </w:rPr>
      </w:pPr>
      <w:bookmarkStart w:id="38" w:name="_Toc345513763"/>
      <w:bookmarkStart w:id="39" w:name="_Toc333238572"/>
      <w:bookmarkStart w:id="40" w:name="_Toc331512857"/>
      <w:bookmarkStart w:id="41" w:name="_Toc340677032"/>
      <w:bookmarkStart w:id="42" w:name="_Toc366072458"/>
      <w:bookmarkStart w:id="43" w:name="_Toc336681893"/>
      <w:bookmarkStart w:id="44" w:name="_Toc350438703"/>
      <w:bookmarkStart w:id="45" w:name="_Toc342296709"/>
      <w:bookmarkStart w:id="46" w:name="_Toc339019955"/>
      <w:bookmarkStart w:id="47" w:name="_Toc342060323"/>
      <w:bookmarkStart w:id="48" w:name="_Toc365967003"/>
      <w:bookmarkStart w:id="49" w:name="_Toc339362258"/>
      <w:bookmarkStart w:id="50" w:name="_Toc339020187"/>
      <w:bookmarkStart w:id="51" w:name="_Toc340507404"/>
      <w:bookmarkStart w:id="52" w:name="_Toc330459946"/>
      <w:bookmarkStart w:id="53" w:name="_Toc333237613"/>
      <w:bookmarkStart w:id="54" w:name="_Toc333237724"/>
      <w:bookmarkStart w:id="55" w:name="_Toc336681538"/>
      <w:bookmarkStart w:id="56" w:name="_Toc339019829"/>
      <w:bookmarkStart w:id="57" w:name="_Toc337632316"/>
      <w:bookmarkStart w:id="58" w:name="_Toc332206658"/>
      <w:bookmarkStart w:id="59" w:name="_Toc340672831"/>
      <w:bookmarkStart w:id="60" w:name="_Toc331683995"/>
      <w:bookmarkStart w:id="61" w:name="_Toc350756404"/>
      <w:bookmarkStart w:id="62" w:name="_Toc333935620"/>
      <w:bookmarkStart w:id="63" w:name="_Toc339020049"/>
      <w:bookmarkStart w:id="64" w:name="_Toc339441045"/>
      <w:bookmarkStart w:id="65" w:name="_Toc349127584"/>
      <w:bookmarkStart w:id="66" w:name="_Toc365985109"/>
      <w:bookmarkStart w:id="67" w:name="_Toc349143547"/>
      <w:bookmarkStart w:id="68" w:name="_Toc332270306"/>
      <w:bookmarkStart w:id="69" w:name="_Toc341348292"/>
      <w:bookmarkStart w:id="70" w:name="_Toc333935279"/>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2023</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日</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120" w:afterLines="50" w:line="390" w:lineRule="exact"/>
        <w:ind w:hanging="3"/>
        <w:rPr>
          <w:color w:val="000000" w:themeColor="text1"/>
          <w:highlight w:val="none"/>
          <w14:textFill>
            <w14:solidFill>
              <w14:schemeClr w14:val="tx1"/>
            </w14:solidFill>
          </w14:textFill>
        </w:rPr>
      </w:pPr>
      <w:bookmarkStart w:id="71" w:name="_Toc2881"/>
      <w:bookmarkStart w:id="72" w:name="_Toc25729"/>
      <w:r>
        <w:rPr>
          <w:rFonts w:hint="eastAsia"/>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3" w:name="_Hlt23321722"/>
      <w:bookmarkEnd w:id="73"/>
      <w:bookmarkStart w:id="74" w:name="_Toc333238573"/>
      <w:bookmarkStart w:id="75" w:name="_Toc330459949"/>
      <w:bookmarkStart w:id="76" w:name="_Toc75570886"/>
      <w:bookmarkStart w:id="77" w:name="_Toc333935621"/>
      <w:bookmarkStart w:id="78" w:name="_Toc333237725"/>
      <w:bookmarkStart w:id="79" w:name="_Toc333237614"/>
      <w:bookmarkStart w:id="80" w:name="_Toc333935280"/>
      <w:r>
        <w:rPr>
          <w:rFonts w:hint="eastAsia"/>
          <w:color w:val="000000" w:themeColor="text1"/>
          <w:highlight w:val="none"/>
          <w14:textFill>
            <w14:solidFill>
              <w14:schemeClr w14:val="tx1"/>
            </w14:solidFill>
          </w14:textFill>
        </w:rPr>
        <w:t>采购项目内容</w:t>
      </w:r>
      <w:bookmarkEnd w:id="71"/>
      <w:bookmarkEnd w:id="72"/>
    </w:p>
    <w:bookmarkEnd w:id="74"/>
    <w:bookmarkEnd w:id="75"/>
    <w:bookmarkEnd w:id="76"/>
    <w:bookmarkEnd w:id="77"/>
    <w:bookmarkEnd w:id="78"/>
    <w:bookmarkEnd w:id="79"/>
    <w:bookmarkEnd w:id="80"/>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81" w:name="_Toc16056"/>
      <w:bookmarkStart w:id="82" w:name="_Toc3534"/>
      <w:bookmarkStart w:id="83" w:name="_Toc365985146"/>
      <w:bookmarkStart w:id="84" w:name="_Toc332206675"/>
      <w:bookmarkStart w:id="85" w:name="_Toc333238600"/>
      <w:bookmarkStart w:id="86" w:name="_Toc330459952"/>
      <w:bookmarkStart w:id="87" w:name="_Toc340507409"/>
      <w:bookmarkStart w:id="88" w:name="_Toc366072495"/>
      <w:bookmarkStart w:id="89" w:name="_Toc339020200"/>
      <w:bookmarkStart w:id="90" w:name="_Toc340672836"/>
      <w:bookmarkStart w:id="91" w:name="_Toc350438716"/>
      <w:bookmarkStart w:id="92" w:name="_Toc331512865"/>
      <w:bookmarkStart w:id="93" w:name="_Toc333935654"/>
      <w:bookmarkStart w:id="94" w:name="_Toc349143556"/>
      <w:bookmarkStart w:id="95" w:name="_Toc333237755"/>
      <w:bookmarkStart w:id="96" w:name="_Toc339020062"/>
      <w:bookmarkStart w:id="97" w:name="_Toc333237644"/>
      <w:bookmarkStart w:id="98" w:name="_Toc337632325"/>
      <w:bookmarkStart w:id="99" w:name="_Toc331684005"/>
      <w:bookmarkStart w:id="100" w:name="_Toc350756417"/>
      <w:bookmarkStart w:id="101" w:name="_Toc349127593"/>
      <w:bookmarkStart w:id="102" w:name="_Toc342060341"/>
      <w:bookmarkStart w:id="103" w:name="_Toc342296727"/>
      <w:bookmarkStart w:id="104" w:name="_Toc336681547"/>
      <w:bookmarkStart w:id="105" w:name="_Toc339362267"/>
      <w:bookmarkStart w:id="106" w:name="_Toc339441054"/>
      <w:bookmarkStart w:id="107" w:name="_Toc339019982"/>
      <w:bookmarkStart w:id="108" w:name="_Toc339019856"/>
      <w:bookmarkStart w:id="109" w:name="_Toc340677037"/>
      <w:bookmarkStart w:id="110" w:name="_Toc332270313"/>
      <w:bookmarkStart w:id="111" w:name="_Toc365967040"/>
      <w:bookmarkStart w:id="112" w:name="_Toc345513834"/>
      <w:bookmarkStart w:id="113" w:name="_Toc333935313"/>
      <w:bookmarkStart w:id="114" w:name="_Toc336681902"/>
      <w:bookmarkStart w:id="115" w:name="_Toc34134830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81"/>
      <w:bookmarkEnd w:id="82"/>
    </w:p>
    <w:tbl>
      <w:tblPr>
        <w:tblStyle w:val="48"/>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20"/>
        <w:gridCol w:w="2203"/>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22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660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投标人投标资格要求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服务期</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合同签订要求</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采购合同由中标人凭《中标通知书》与采购人双方签订，签订时间为《中标通知书》发出之日起30日内。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服务地点</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73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监理服务费用及付款方式</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1.具体工程项目监理服务费用：由招标人与监理单位根据具体的委托项目进行协商确定。</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2.付款方式：银行转账。监理公司完成单个委托项目后由招标人向其付费，付费方式由双方另行约定，须向招标人出具合法有效完整的完税增值税专用发票及凭证资料后进行支付结算。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220" w:type="dxa"/>
            <w:tcBorders>
              <w:top w:val="single" w:color="auto" w:sz="4" w:space="0"/>
              <w:left w:val="single" w:color="auto" w:sz="4" w:space="0"/>
              <w:right w:val="single" w:color="auto" w:sz="4" w:space="0"/>
            </w:tcBorders>
            <w:vAlign w:val="center"/>
          </w:tcPr>
          <w:p>
            <w:pPr>
              <w:spacing w:line="320" w:lineRule="exact"/>
              <w:jc w:val="center"/>
              <w:rPr>
                <w:b/>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准入及退出机制</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间，招标人将根据基建工程管理实施细则等相关制度规定，对承接监理服务项目的入库公司进行综合评分考核，考核内容包括服务效率、服务态度、技术水平、服务质量等，考核不通过的将解除合作协议，解除合作协议的2年内不再列入准入名单。如入库公司数量减少，招标人可邀请替补公司入库或通过招标方式重新选取其他较优者作为替换机构。同意替补入库的，须按原招标文件、投标承诺与招标人签订合同，合同期限为自替补入库合同生效之日至本项目合同期满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220" w:type="dxa"/>
            <w:tcBorders>
              <w:top w:val="single" w:color="auto" w:sz="4" w:space="0"/>
              <w:left w:val="single" w:color="auto" w:sz="4" w:space="0"/>
              <w:right w:val="single" w:color="auto" w:sz="4" w:space="0"/>
            </w:tcBorders>
            <w:vAlign w:val="center"/>
          </w:tcPr>
          <w:p>
            <w:pPr>
              <w:spacing w:line="320" w:lineRule="exact"/>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入库后监理公司的选用</w:t>
            </w:r>
          </w:p>
        </w:tc>
        <w:tc>
          <w:tcPr>
            <w:tcW w:w="660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1.招标人可根据具体工程项目特征及需求，通过采取低价优先（询价）、循环派单、综合评价等一种或多种方式，从入库公司中确定具体工程项目监理服务实施单位。</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2.具体实施单位原则上优先选择入库公司，但招标人可保留根据工程项目实际情况，综合考虑其服务能力、价格水平、业绩等相关指标，择优使用入库公司以外的供应商提供服务的权利。</w:t>
            </w:r>
          </w:p>
          <w:p>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特别说明：本项目招标人对入库监理公司获得的项目数量及金额不作任何承诺或保证。即招标人不保证有足够的拟派任务以满足所有入库监理公司获得均等的项目承包机会。投标人在投标前对此应有足够的风险认识，一经投标，即视为投标人愿意无条件承担有关风险并放弃一切与此相关的求偿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220" w:type="dxa"/>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607" w:type="dxa"/>
            <w:gridSpan w:val="2"/>
            <w:tcBorders>
              <w:top w:val="single" w:color="auto" w:sz="4" w:space="0"/>
              <w:left w:val="single" w:color="auto" w:sz="4" w:space="0"/>
              <w:right w:val="single" w:color="auto" w:sz="4" w:space="0"/>
            </w:tcBorders>
            <w:vAlign w:val="center"/>
          </w:tcPr>
          <w:p>
            <w:pPr>
              <w:snapToGrid w:val="0"/>
              <w:spacing w:line="32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220"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，招标代理服务费实行市场调节价。中标供应商分别在领取《中标通知书》前应一次性交纳招标代理服务费贰</w:t>
            </w:r>
            <w:r>
              <w:rPr>
                <w:rFonts w:hint="eastAsia" w:ascii="宋体" w:hAnsi="宋体"/>
                <w:bCs/>
                <w:color w:val="000000" w:themeColor="text1"/>
                <w:highlight w:val="none"/>
                <w14:textFill>
                  <w14:solidFill>
                    <w14:schemeClr w14:val="tx1"/>
                  </w14:solidFill>
                </w14:textFill>
              </w:rPr>
              <w:t>仟伍佰</w:t>
            </w:r>
            <w:r>
              <w:rPr>
                <w:rFonts w:hint="eastAsia" w:ascii="宋体" w:hAnsi="宋体"/>
                <w:color w:val="000000" w:themeColor="text1"/>
                <w:szCs w:val="21"/>
                <w:highlight w:val="none"/>
                <w14:textFill>
                  <w14:solidFill>
                    <w14:schemeClr w14:val="tx1"/>
                  </w14:solidFill>
                </w14:textFill>
              </w:rPr>
              <w:t>元整（</w:t>
            </w:r>
            <w:r>
              <w:rPr>
                <w:rFonts w:ascii="Arial" w:hAnsi="Arial"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2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cs="宋体"/>
                <w:color w:val="000000" w:themeColor="text1"/>
                <w:szCs w:val="21"/>
                <w:highlight w:val="none"/>
                <w14:textFill>
                  <w14:solidFill>
                    <w14:schemeClr w14:val="tx1"/>
                  </w14:solidFill>
                </w14:textFill>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40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6" w:name="_Toc14221"/>
      <w:bookmarkStart w:id="117" w:name="_Toc19888"/>
      <w:r>
        <w:rPr>
          <w:rFonts w:hint="eastAsia"/>
          <w:color w:val="000000" w:themeColor="text1"/>
          <w:kern w:val="0"/>
          <w:sz w:val="24"/>
          <w:highlight w:val="none"/>
          <w14:textFill>
            <w14:solidFill>
              <w14:schemeClr w14:val="tx1"/>
            </w14:solidFill>
          </w14:textFill>
        </w:rPr>
        <w:t>B  技术要求</w:t>
      </w:r>
      <w:bookmarkEnd w:id="116"/>
      <w:bookmarkEnd w:id="117"/>
    </w:p>
    <w:p>
      <w:pPr>
        <w:spacing w:line="360" w:lineRule="auto"/>
        <w:rPr>
          <w:b/>
          <w:bCs/>
          <w:color w:val="000000" w:themeColor="text1"/>
          <w:highlight w:val="none"/>
          <w14:textFill>
            <w14:solidFill>
              <w14:schemeClr w14:val="tx1"/>
            </w14:solidFill>
          </w14:textFill>
        </w:rPr>
      </w:pPr>
      <w:bookmarkStart w:id="118" w:name="_Toc71823268"/>
      <w:r>
        <w:rPr>
          <w:rFonts w:hint="eastAsia"/>
          <w:b/>
          <w:bCs/>
          <w:color w:val="000000" w:themeColor="text1"/>
          <w:highlight w:val="none"/>
          <w14:textFill>
            <w14:solidFill>
              <w14:schemeClr w14:val="tx1"/>
            </w14:solidFill>
          </w14:textFill>
        </w:rPr>
        <w:t>一、具体服务要求</w:t>
      </w:r>
      <w:bookmarkEnd w:id="118"/>
    </w:p>
    <w:p>
      <w:pPr>
        <w:spacing w:line="520" w:lineRule="exact"/>
        <w:ind w:firstLine="422" w:firstLineChars="200"/>
        <w:rPr>
          <w:rFonts w:ascii="宋体" w:hAnsi="宋体"/>
          <w:b/>
          <w:color w:val="000000" w:themeColor="text1"/>
          <w:szCs w:val="21"/>
          <w:highlight w:val="none"/>
          <w14:textFill>
            <w14:solidFill>
              <w14:schemeClr w14:val="tx1"/>
            </w14:solidFill>
          </w14:textFill>
        </w:rPr>
      </w:pPr>
      <w:bookmarkStart w:id="119" w:name="_Toc71823269"/>
      <w:bookmarkStart w:id="120" w:name="_Toc524301516"/>
      <w:bookmarkStart w:id="121" w:name="_Toc526876021"/>
      <w:bookmarkStart w:id="122" w:name="_Toc18489091"/>
      <w:r>
        <w:rPr>
          <w:rFonts w:hint="eastAsia" w:ascii="宋体" w:hAnsi="宋体"/>
          <w:b/>
          <w:color w:val="000000" w:themeColor="text1"/>
          <w:szCs w:val="21"/>
          <w:highlight w:val="none"/>
          <w14:textFill>
            <w14:solidFill>
              <w14:schemeClr w14:val="tx1"/>
            </w14:solidFill>
          </w14:textFill>
        </w:rPr>
        <w:t>（一）总体要求</w:t>
      </w:r>
      <w:bookmarkEnd w:id="119"/>
      <w:bookmarkEnd w:id="120"/>
      <w:bookmarkEnd w:id="121"/>
      <w:bookmarkEnd w:id="122"/>
    </w:p>
    <w:p>
      <w:pPr>
        <w:tabs>
          <w:tab w:val="left" w:pos="426"/>
        </w:tabs>
        <w:spacing w:line="52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为保证各建设任务“按期、保质、高效、节约”的完成，现依据相关规定聘请3家监理单位准入，在启动、实施、验收、运维各个阶段对招标人委派的项目整体进行全方面的监督管理，借助监理单位丰富的工程项目管理和专业技术经验，对各建设项目实施全面的、按技术线条的监督管理，通过在工程实施的全过程中对原材料、软硬件设施进行监管、对施工进度进行控制和对施工质量进行管理，保证项目建设各部分、各环节和各个子系统的质量符合相关技术要求和国家规范，保证项目工作规范开展，从而确保项目高质量、按计划完成，高效提供运维服务。</w:t>
      </w:r>
    </w:p>
    <w:p>
      <w:pPr>
        <w:tabs>
          <w:tab w:val="left" w:pos="426"/>
        </w:tabs>
        <w:spacing w:line="52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监理单位需针对具体的项目提供监理服务，包括但不限于工程质量控制、工程进度控制、工程投资控制、合同管理、文档管理、数据安全管理、知识产权管理、保密管理、文明施工及安全生产管理、项目会议组织和项目协调工作等。</w:t>
      </w:r>
    </w:p>
    <w:p>
      <w:pPr>
        <w:tabs>
          <w:tab w:val="left" w:pos="426"/>
        </w:tabs>
        <w:spacing w:line="52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服务总体要求：监理单位必须坚持以“质量第一，预防为主，用科学、规范、诚信”作为监理原则，安排工作人员现场办公，做好工程和项目进度和质量控制管理，协助单位完成工程任务并提供项目管理和技术咨询服务。</w:t>
      </w:r>
    </w:p>
    <w:p>
      <w:pPr>
        <w:tabs>
          <w:tab w:val="left" w:pos="426"/>
        </w:tabs>
        <w:spacing w:line="52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4.服务方式要求：以现场监理为主方式进行，监理单位应委派监理工程师按招标人要求负责整个项目全过程监理工作。</w:t>
      </w:r>
    </w:p>
    <w:p>
      <w:pPr>
        <w:spacing w:line="520" w:lineRule="exact"/>
        <w:ind w:firstLine="422" w:firstLineChars="200"/>
        <w:rPr>
          <w:rFonts w:ascii="宋体" w:hAnsi="宋体"/>
          <w:b/>
          <w:color w:val="000000" w:themeColor="text1"/>
          <w:szCs w:val="21"/>
          <w:highlight w:val="none"/>
          <w14:textFill>
            <w14:solidFill>
              <w14:schemeClr w14:val="tx1"/>
            </w14:solidFill>
          </w14:textFill>
        </w:rPr>
      </w:pPr>
      <w:bookmarkStart w:id="123" w:name="_Toc71823270"/>
      <w:bookmarkStart w:id="124" w:name="_Toc526876022"/>
      <w:bookmarkStart w:id="125" w:name="_Toc18489092"/>
      <w:bookmarkStart w:id="126" w:name="_Toc524301517"/>
      <w:r>
        <w:rPr>
          <w:rFonts w:hint="eastAsia" w:ascii="宋体" w:hAnsi="宋体"/>
          <w:b/>
          <w:color w:val="000000" w:themeColor="text1"/>
          <w:szCs w:val="21"/>
          <w:highlight w:val="none"/>
          <w14:textFill>
            <w14:solidFill>
              <w14:schemeClr w14:val="tx1"/>
            </w14:solidFill>
          </w14:textFill>
        </w:rPr>
        <w:t>（二）监理职责</w:t>
      </w:r>
      <w:bookmarkEnd w:id="123"/>
      <w:bookmarkEnd w:id="124"/>
      <w:bookmarkEnd w:id="125"/>
      <w:bookmarkEnd w:id="126"/>
    </w:p>
    <w:p>
      <w:pPr>
        <w:tabs>
          <w:tab w:val="left" w:pos="426"/>
        </w:tabs>
        <w:spacing w:line="52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1.监理定位</w:t>
      </w:r>
    </w:p>
    <w:p>
      <w:pPr>
        <w:tabs>
          <w:tab w:val="left" w:pos="426"/>
        </w:tabs>
        <w:spacing w:line="52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（1）监理是在业主授权范围内，为启动阶段、实施阶段、验收阶段和运维阶段提供全过程监理的服务机构。</w:t>
      </w:r>
    </w:p>
    <w:p>
      <w:pPr>
        <w:tabs>
          <w:tab w:val="left" w:pos="426"/>
        </w:tabs>
        <w:spacing w:line="52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（2）监理应在国家法律法规、行业标准、技术标准、合同、设计文件和各种约束性文件规定的范围内独立开展监理工作。坚持公正、公开、公平的监理原则，是独立的第三方。</w:t>
      </w:r>
    </w:p>
    <w:p>
      <w:pPr>
        <w:tabs>
          <w:tab w:val="left" w:pos="426"/>
        </w:tabs>
        <w:spacing w:line="52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（3）监理对国家法律、法规、行业标准、技术标准的适用性全面负责，监理应以此为依据审核系统建设质量、验收标准、实施方案等。</w:t>
      </w:r>
    </w:p>
    <w:p>
      <w:pPr>
        <w:tabs>
          <w:tab w:val="left" w:pos="426"/>
        </w:tabs>
        <w:spacing w:line="52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（4）监理负责对项目进行质量、进度、成本控制，负责合同管理、信息管理，在项目各有关方之间进行协调，保持关系融洽顺畅，确保项目的质量、进度、成本符合建设单位的要求。</w:t>
      </w:r>
    </w:p>
    <w:p>
      <w:pPr>
        <w:tabs>
          <w:tab w:val="left" w:pos="426"/>
        </w:tabs>
        <w:spacing w:line="52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（5）制订公开、透明的监理工作流程，对各主要工作环节规定工作时限，对关键的工作设置检查点。</w:t>
      </w:r>
    </w:p>
    <w:p>
      <w:pPr>
        <w:tabs>
          <w:tab w:val="left" w:pos="426"/>
        </w:tabs>
        <w:spacing w:line="52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监理单位应对现场监理工程师及相关工作人员行使有效管理，对监理工作人员的工作过错、失职、渎职行为负完全责任，工程监理单位应采取有效措施确保监理工作人员能够坚持公正、公开、公平、独立的监理原则。</w:t>
      </w:r>
    </w:p>
    <w:p>
      <w:pPr>
        <w:tabs>
          <w:tab w:val="left" w:pos="426"/>
        </w:tabs>
        <w:spacing w:line="52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监理、建设单位以及承包人的项目管理人员共同组成监控中心升级及运维项目管理小组，一起对监控中心升级及运维项目招标实施活动中的各项工作任务进行计划、落实、监督与控制，以使项目能够实现或超过建设单位的需求和期望。</w:t>
      </w:r>
    </w:p>
    <w:p>
      <w:pPr>
        <w:tabs>
          <w:tab w:val="left" w:pos="426"/>
        </w:tabs>
        <w:spacing w:line="520" w:lineRule="exact"/>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2.</w:t>
      </w:r>
      <w:r>
        <w:rPr>
          <w:rFonts w:ascii="宋体" w:hAnsi="宋体"/>
          <w:color w:val="000000" w:themeColor="text1"/>
          <w:kern w:val="24"/>
          <w:szCs w:val="21"/>
          <w:highlight w:val="none"/>
          <w14:textFill>
            <w14:solidFill>
              <w14:schemeClr w14:val="tx1"/>
            </w14:solidFill>
          </w14:textFill>
        </w:rPr>
        <w:t>监理职责</w:t>
      </w:r>
    </w:p>
    <w:p>
      <w:pPr>
        <w:autoSpaceDE w:val="0"/>
        <w:autoSpaceDN w:val="0"/>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（1）监理单位指被招标人委派为项目提供监理服务的中标单位，是项目监理工作的责任主体。</w:t>
      </w:r>
    </w:p>
    <w:p>
      <w:pPr>
        <w:autoSpaceDE w:val="0"/>
        <w:autoSpaceDN w:val="0"/>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监理独立开展项目管理工作，对项目负责，其职责包括：遵循国家相关法律法规，对项目合同进行管理并落实合同相关事项，执行项目管理小组的决定，监督各子项目承包人严格遵循合同、协议的约定开展工作，严格控制项目三要素（质量、进度、成本）以保证项目按质如期完成，审核和控制工程变更，管理项目文档和资料等。</w:t>
      </w:r>
    </w:p>
    <w:p>
      <w:pPr>
        <w:autoSpaceDE w:val="0"/>
        <w:autoSpaceDN w:val="0"/>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负责制订项目整体的监理工作计划，保持与项目各相关方的沟通畅通，监理工作计划和监理实施细则要体现建设单位、承包人各方合理、合法的要求。工程监理单位的监理工作计划和监理实施细则需经建设单位审批方可执行。</w:t>
      </w:r>
    </w:p>
    <w:p>
      <w:pPr>
        <w:autoSpaceDE w:val="0"/>
        <w:autoSpaceDN w:val="0"/>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（4）坚持公正、公开、公平的监理原则，在国家法律法规、行业标准、技术标准、项目合同、设计文件和各种约束性文件规定的范围内独立开展监理工作。</w:t>
      </w:r>
    </w:p>
    <w:p>
      <w:pPr>
        <w:autoSpaceDE w:val="0"/>
        <w:autoSpaceDN w:val="0"/>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（5）对国家法律、法规、行业标准、技术标准在项目中的适用性全面负责，监理应以此为依据审核系统建设子项目的项目计划、采购计划、安装实施方案等。</w:t>
      </w:r>
    </w:p>
    <w:p>
      <w:pPr>
        <w:autoSpaceDE w:val="0"/>
        <w:autoSpaceDN w:val="0"/>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（6）制定项目建设总体监理计划，制定各子项的监理计划，提交建设单位审批。</w:t>
      </w:r>
    </w:p>
    <w:p>
      <w:pPr>
        <w:autoSpaceDE w:val="0"/>
        <w:autoSpaceDN w:val="0"/>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（7）监理负责对子项目进行质量、进度、成本控制，负责合同管理、信息管理，在项目各有关方之间进行协调，保持关系融洽顺畅，确保项目的质量、进度、成本符合建设单位的要求。</w:t>
      </w:r>
    </w:p>
    <w:p>
      <w:pPr>
        <w:autoSpaceDE w:val="0"/>
        <w:autoSpaceDN w:val="0"/>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（8）建立完整的项目建设验收标准和验收流程、设备存放管理规定、设备运输安全管理措施等规章制度，执行并提交过程记录。</w:t>
      </w:r>
    </w:p>
    <w:p>
      <w:pPr>
        <w:autoSpaceDE w:val="0"/>
        <w:autoSpaceDN w:val="0"/>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（9）建立现场管理控制流程，编制各子项的现场测试方案和表格模板。</w:t>
      </w:r>
    </w:p>
    <w:p>
      <w:pPr>
        <w:spacing w:line="520" w:lineRule="exact"/>
        <w:ind w:firstLine="422" w:firstLineChars="200"/>
        <w:rPr>
          <w:rFonts w:ascii="宋体" w:hAnsi="宋体"/>
          <w:color w:val="000000" w:themeColor="text1"/>
          <w:szCs w:val="21"/>
          <w:highlight w:val="none"/>
          <w14:textFill>
            <w14:solidFill>
              <w14:schemeClr w14:val="tx1"/>
            </w14:solidFill>
          </w14:textFill>
        </w:rPr>
      </w:pPr>
      <w:bookmarkStart w:id="127" w:name="_Toc71823271"/>
      <w:bookmarkStart w:id="128" w:name="_Toc526876024"/>
      <w:bookmarkStart w:id="129" w:name="_Toc524301519"/>
      <w:bookmarkStart w:id="130" w:name="_Toc18489093"/>
      <w:r>
        <w:rPr>
          <w:rFonts w:hint="eastAsia" w:ascii="宋体" w:hAnsi="宋体"/>
          <w:b/>
          <w:color w:val="000000" w:themeColor="text1"/>
          <w:szCs w:val="21"/>
          <w:highlight w:val="none"/>
          <w14:textFill>
            <w14:solidFill>
              <w14:schemeClr w14:val="tx1"/>
            </w14:solidFill>
          </w14:textFill>
        </w:rPr>
        <w:t>（三）监理服务内容</w:t>
      </w:r>
      <w:bookmarkEnd w:id="127"/>
      <w:bookmarkEnd w:id="128"/>
      <w:bookmarkEnd w:id="129"/>
      <w:bookmarkEnd w:id="130"/>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监理单位必须至少完成以下服务：</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1)协助开展项目方案的深化设计，到前端点位进行现场勘察；</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2)督促双方做好施工前的准备工作；</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3)对建设全过程实现施工工程监理；</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4)对其核心工程实施重点监理；</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)对</w:t>
      </w:r>
      <w:r>
        <w:rPr>
          <w:rFonts w:hint="eastAsia" w:ascii="宋体" w:hAnsi="宋体"/>
          <w:color w:val="000000" w:themeColor="text1"/>
          <w:szCs w:val="21"/>
          <w:highlight w:val="none"/>
          <w14:textFill>
            <w14:solidFill>
              <w14:schemeClr w14:val="tx1"/>
            </w14:solidFill>
          </w14:textFill>
        </w:rPr>
        <w:t>项目承建方提供的材料、设备性能指标及产品厂家供货证明函等进行严格审核，列入《中华人民共和国实施强制性产品认证的产品目录》的产品需审核CCC认证函和产品外部加施的认证标志；</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6)对承建方负责采购的设备、材料按合同规定的标准进行检验验收；</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7)工程施工前，对其施工方案进行审核；施工中，对其工程质量进行跟踪控制；完工后，对其工程质量进行检测并提交质量报告；</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8)对项目的资金使用情况进行监控，严格控制项目变更部分的成本；</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9)对根据实际情况，确需变更原设计方案的，提出审查意见，获批准后，监督执行；</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10)审查项目系统及竣工文件的齐全性、完整性，督促、检查工程竣工文档的移交；</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11)根据业主方对需求的改变，能够结合工程合理地提出更改方案，并实现与承建方的良好沟通；</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12)检查、督促施工工程进度；</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13)组织、督促、检查本项目工程的总体竣工验收；</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14)监督检查项目承建方对培训和售后服务工作的承诺、措施与落实；</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15)整理和检查全部文档；</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16)项目运维期的质保维护过程跟踪、运维服务考核等运维监理工作。</w:t>
      </w:r>
    </w:p>
    <w:p>
      <w:pPr>
        <w:spacing w:line="520" w:lineRule="exact"/>
        <w:ind w:firstLine="422" w:firstLineChars="200"/>
        <w:rPr>
          <w:rFonts w:ascii="宋体" w:hAnsi="宋体"/>
          <w:b/>
          <w:color w:val="000000" w:themeColor="text1"/>
          <w:szCs w:val="21"/>
          <w:highlight w:val="none"/>
          <w14:textFill>
            <w14:solidFill>
              <w14:schemeClr w14:val="tx1"/>
            </w14:solidFill>
          </w14:textFill>
        </w:rPr>
      </w:pPr>
      <w:bookmarkStart w:id="131" w:name="_Toc18489094"/>
      <w:bookmarkStart w:id="132" w:name="_Toc71823272"/>
      <w:bookmarkStart w:id="133" w:name="_Toc526876025"/>
      <w:bookmarkStart w:id="134" w:name="_Toc524301520"/>
      <w:r>
        <w:rPr>
          <w:rFonts w:hint="eastAsia" w:ascii="宋体" w:hAnsi="宋体"/>
          <w:b/>
          <w:color w:val="000000" w:themeColor="text1"/>
          <w:szCs w:val="21"/>
          <w:highlight w:val="none"/>
          <w14:textFill>
            <w14:solidFill>
              <w14:schemeClr w14:val="tx1"/>
            </w14:solidFill>
          </w14:textFill>
        </w:rPr>
        <w:t>（四）项目建设期监理工作要求</w:t>
      </w:r>
      <w:bookmarkEnd w:id="131"/>
      <w:bookmarkEnd w:id="132"/>
      <w:bookmarkEnd w:id="133"/>
      <w:bookmarkEnd w:id="134"/>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1）监理单位应依照相关标准以及招标人制定的各项需求，以招标人的项目利益为目标，本着科学、公正、严格、守信、守纪、守法等相关原则，为招标人提供监理服务。</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监理单位应对招标人委派的建设项目提供从合同签订之日起至项目全部通过最终验收之日止的全过程监理服务，监理单位应在合同签订之日起10个工作日内根据建设任务分别提交完整的监理方案。按具体的监理内容又可分为：工程质量控制、工程进度控制、工程投资的控制、合同的管理、文档的管理、数据安全的管理、知识产权的管理、保密管理和文明施工与安全生产管理等。</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3）具体监理任务的主要工作包括但不限于以下内容，描述如下： </w:t>
      </w:r>
    </w:p>
    <w:p>
      <w:pPr>
        <w:tabs>
          <w:tab w:val="left" w:pos="426"/>
        </w:tabs>
        <w:spacing w:line="520" w:lineRule="exact"/>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1.</w:t>
      </w:r>
      <w:r>
        <w:rPr>
          <w:rFonts w:ascii="宋体" w:hAnsi="宋体"/>
          <w:color w:val="000000" w:themeColor="text1"/>
          <w:kern w:val="24"/>
          <w:szCs w:val="21"/>
          <w:highlight w:val="none"/>
          <w14:textFill>
            <w14:solidFill>
              <w14:schemeClr w14:val="tx1"/>
            </w14:solidFill>
          </w14:textFill>
        </w:rPr>
        <w:t>质量控制</w:t>
      </w:r>
    </w:p>
    <w:p>
      <w:pPr>
        <w:spacing w:line="52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smallCaps/>
          <w:color w:val="000000" w:themeColor="text1"/>
          <w:kern w:val="0"/>
          <w:szCs w:val="21"/>
          <w:highlight w:val="none"/>
          <w14:textFill>
            <w14:solidFill>
              <w14:schemeClr w14:val="tx1"/>
            </w14:solidFill>
          </w14:textFill>
        </w:rPr>
        <w:t>（1）深化设计的质量控制</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协助用户审查和确认</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的深化设计方案；</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审查和确认</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的总体技术方案，并提交相应审核报告；</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审查和确认</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的组织实施方案；</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审查和确认</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的工程质量保证计划及质量控制体系；</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审查和确认</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的测试计划；</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审查和确认</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的工程进度计划；</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确定项目质量控制的关键节点。</w:t>
      </w:r>
    </w:p>
    <w:p>
      <w:pPr>
        <w:spacing w:line="520" w:lineRule="exact"/>
        <w:ind w:firstLine="420" w:firstLineChars="200"/>
        <w:rPr>
          <w:rFonts w:ascii="宋体" w:hAnsi="宋体"/>
          <w:smallCaps/>
          <w:color w:val="000000" w:themeColor="text1"/>
          <w:kern w:val="0"/>
          <w:szCs w:val="21"/>
          <w:highlight w:val="none"/>
          <w14:textFill>
            <w14:solidFill>
              <w14:schemeClr w14:val="tx1"/>
            </w14:solidFill>
          </w14:textFill>
        </w:rPr>
      </w:pPr>
      <w:r>
        <w:rPr>
          <w:rFonts w:hint="eastAsia" w:ascii="宋体" w:hAnsi="宋体"/>
          <w:smallCaps/>
          <w:color w:val="000000" w:themeColor="text1"/>
          <w:kern w:val="0"/>
          <w:szCs w:val="21"/>
          <w:highlight w:val="none"/>
          <w14:textFill>
            <w14:solidFill>
              <w14:schemeClr w14:val="tx1"/>
            </w14:solidFill>
          </w14:textFill>
        </w:rPr>
        <w:t>（2）工程实施的质量控制</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1）监督集成商执行项目实施质量计划；</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2）督促、检查集成商严格按工程承建合同、国家工程技术标准、施工规范进行项目实施；</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3）检查工程采用的主要设备及关键材料是否符合工程量清单或标书所规定的厂家、型号、规格和质量标准，严格核查主要设备、材料的原产地证明、出厂合格证明；</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4）在项目实施现场对实施情况进行旁站、巡视等监理工作，对工程质量情况进行跟踪；</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5）及时发现项目实施中的质量问题并提出专项监理报告；</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6）审核提交的工程实施进度月表，控制工程总进度；</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7）核查项目实施过程中的主要部位环节，督促进行隐蔽工程的随工复查验收、分项工程验收和工程竣工初步验收，并对此给出书面意见；</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8）核定工程分阶段完成情况，审核集成商进度报表及付款申请，签发工程付款凭证。</w:t>
      </w:r>
    </w:p>
    <w:p>
      <w:pPr>
        <w:spacing w:line="520" w:lineRule="exact"/>
        <w:ind w:firstLine="420" w:firstLineChars="200"/>
        <w:rPr>
          <w:rFonts w:ascii="宋体" w:hAnsi="宋体"/>
          <w:smallCaps/>
          <w:color w:val="000000" w:themeColor="text1"/>
          <w:kern w:val="0"/>
          <w:szCs w:val="21"/>
          <w:highlight w:val="none"/>
          <w14:textFill>
            <w14:solidFill>
              <w14:schemeClr w14:val="tx1"/>
            </w14:solidFill>
          </w14:textFill>
        </w:rPr>
      </w:pPr>
      <w:r>
        <w:rPr>
          <w:rFonts w:hint="eastAsia" w:ascii="宋体" w:hAnsi="宋体"/>
          <w:smallCaps/>
          <w:color w:val="000000" w:themeColor="text1"/>
          <w:kern w:val="0"/>
          <w:szCs w:val="21"/>
          <w:highlight w:val="none"/>
          <w14:textFill>
            <w14:solidFill>
              <w14:schemeClr w14:val="tx1"/>
            </w14:solidFill>
          </w14:textFill>
        </w:rPr>
        <w:t>（3）技术培训的质量控制</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1）审核确认</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的培训计划；</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2）监督</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实施培训计划，并征求用户的反馈意见；</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3）审核确认</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的培训总结报告。</w:t>
      </w:r>
    </w:p>
    <w:p>
      <w:pPr>
        <w:spacing w:line="520" w:lineRule="exact"/>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kern w:val="24"/>
          <w:szCs w:val="21"/>
          <w:highlight w:val="none"/>
          <w14:textFill>
            <w14:solidFill>
              <w14:schemeClr w14:val="tx1"/>
            </w14:solidFill>
          </w14:textFill>
        </w:rPr>
        <w:t>进度控制</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1）审核</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的进度分解计划，确认分解计划可以保证总体计划目标；</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2）对工程实施进度进行实时跟踪，并要求</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对进度计划进行动态调整，以确保工程的阶段和总体进度目标的实现；</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3）组织召开进度协调会议，解决进度控制中的重大问题，签发会议纪要；</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4）当工期严重偏离计划时，应及时指出，并提出对策建议，同时督促</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尽快采取措施。</w:t>
      </w:r>
    </w:p>
    <w:p>
      <w:pPr>
        <w:tabs>
          <w:tab w:val="left" w:pos="426"/>
        </w:tabs>
        <w:spacing w:line="520" w:lineRule="exact"/>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3.</w:t>
      </w:r>
      <w:r>
        <w:rPr>
          <w:rFonts w:ascii="宋体" w:hAnsi="宋体"/>
          <w:color w:val="000000" w:themeColor="text1"/>
          <w:kern w:val="24"/>
          <w:szCs w:val="21"/>
          <w:highlight w:val="none"/>
          <w14:textFill>
            <w14:solidFill>
              <w14:schemeClr w14:val="tx1"/>
            </w14:solidFill>
          </w14:textFill>
        </w:rPr>
        <w:t>投资控制</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1）通过对工程实施方案的优化，确保投资控制在合理、性价比高的范围内；</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2）协助用户做好工程支付预算的流量表，及时向用户提供项目质量和工程进度审核结果，以使付款进度能够与工程质量和工程进度结合起来。</w:t>
      </w:r>
    </w:p>
    <w:p>
      <w:pPr>
        <w:tabs>
          <w:tab w:val="left" w:pos="426"/>
        </w:tabs>
        <w:spacing w:line="520" w:lineRule="exact"/>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4.</w:t>
      </w:r>
      <w:r>
        <w:rPr>
          <w:rFonts w:ascii="宋体" w:hAnsi="宋体"/>
          <w:color w:val="000000" w:themeColor="text1"/>
          <w:kern w:val="24"/>
          <w:szCs w:val="21"/>
          <w:highlight w:val="none"/>
          <w14:textFill>
            <w14:solidFill>
              <w14:schemeClr w14:val="tx1"/>
            </w14:solidFill>
          </w14:textFill>
        </w:rPr>
        <w:t>合同管理</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1）跟踪检查合同的执行情况，确保</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按时履约；</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2）对合同工期的延误和延期进行审核确认；</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3）对合同变更、索赔、违约等事宜进行审核确认；</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4）对工程暂停、复工等事宜进行审核确认；</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5）根据合同约定，审核</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提交的付款申请，签发付款凭证。</w:t>
      </w:r>
    </w:p>
    <w:p>
      <w:pPr>
        <w:spacing w:line="520" w:lineRule="exact"/>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kern w:val="24"/>
          <w:szCs w:val="21"/>
          <w:highlight w:val="none"/>
          <w14:textFill>
            <w14:solidFill>
              <w14:schemeClr w14:val="tx1"/>
            </w14:solidFill>
          </w14:textFill>
        </w:rPr>
        <w:t>文档管理</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1）协助用户做好档案的管理，包括项目文件材料的收集、整理和归档等；</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2）做好项目建设监理日志、周报、工作简报及项目大事记；</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3）做好项目协调会、技术研讨会等各类会议纪要；</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4）管理好实施期间各类技术文件、合同、协议等；</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5）做好各阶段的监理文档（监理规划、监理工作实施细则、专题监理报告、验收监理报告及监理工作总结报告等），并按时提交给用户；</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6）组织阶段性项目总结；</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7）督促、检查</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及时完成各阶段设备资料、工程技术资料的整理和归档工作，并保管各</w:t>
      </w:r>
      <w:r>
        <w:rPr>
          <w:rFonts w:hint="eastAsia" w:ascii="宋体" w:hAnsi="宋体" w:cs="宋体"/>
          <w:color w:val="000000" w:themeColor="text1"/>
          <w:szCs w:val="21"/>
          <w:highlight w:val="none"/>
          <w14:textFill>
            <w14:solidFill>
              <w14:schemeClr w14:val="tx1"/>
            </w14:solidFill>
          </w14:textFill>
        </w:rPr>
        <w:t>中标人</w:t>
      </w:r>
      <w:r>
        <w:rPr>
          <w:rFonts w:hint="eastAsia" w:ascii="宋体" w:hAnsi="宋体"/>
          <w:color w:val="000000" w:themeColor="text1"/>
          <w:szCs w:val="21"/>
          <w:highlight w:val="none"/>
          <w14:textFill>
            <w14:solidFill>
              <w14:schemeClr w14:val="tx1"/>
            </w14:solidFill>
          </w14:textFill>
        </w:rPr>
        <w:t>提交的技术文件；</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8）各种文档的审查工作。</w:t>
      </w:r>
    </w:p>
    <w:p>
      <w:pPr>
        <w:tabs>
          <w:tab w:val="left" w:pos="426"/>
        </w:tabs>
        <w:spacing w:line="520" w:lineRule="exact"/>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6.</w:t>
      </w:r>
      <w:r>
        <w:rPr>
          <w:rFonts w:ascii="宋体" w:hAnsi="宋体"/>
          <w:color w:val="000000" w:themeColor="text1"/>
          <w:kern w:val="24"/>
          <w:szCs w:val="21"/>
          <w:highlight w:val="none"/>
          <w14:textFill>
            <w14:solidFill>
              <w14:schemeClr w14:val="tx1"/>
            </w14:solidFill>
          </w14:textFill>
        </w:rPr>
        <w:t>数据安全管理</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协助用户对项目建设过程中所涉及的敏感数据和资料进行保护，防止被非授权使用。</w:t>
      </w:r>
    </w:p>
    <w:p>
      <w:pPr>
        <w:tabs>
          <w:tab w:val="left" w:pos="426"/>
        </w:tabs>
        <w:spacing w:line="520" w:lineRule="exact"/>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7.</w:t>
      </w:r>
      <w:r>
        <w:rPr>
          <w:rFonts w:ascii="宋体" w:hAnsi="宋体"/>
          <w:color w:val="000000" w:themeColor="text1"/>
          <w:kern w:val="24"/>
          <w:szCs w:val="21"/>
          <w:highlight w:val="none"/>
          <w14:textFill>
            <w14:solidFill>
              <w14:schemeClr w14:val="tx1"/>
            </w14:solidFill>
          </w14:textFill>
        </w:rPr>
        <w:t>知识产权管理</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1）协助用户对项目建设过程中所产生成果的知识产权进行保护，防止被非授权使用；</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2）负责项目建设过程中涉及知识产权的产品和系统的使用审核，保证不在项目建设中出现违反知识产权的行为。</w:t>
      </w:r>
    </w:p>
    <w:p>
      <w:pPr>
        <w:tabs>
          <w:tab w:val="left" w:pos="426"/>
        </w:tabs>
        <w:spacing w:line="520" w:lineRule="exact"/>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8.</w:t>
      </w:r>
      <w:r>
        <w:rPr>
          <w:rFonts w:ascii="宋体" w:hAnsi="宋体"/>
          <w:color w:val="000000" w:themeColor="text1"/>
          <w:kern w:val="24"/>
          <w:szCs w:val="21"/>
          <w:highlight w:val="none"/>
          <w14:textFill>
            <w14:solidFill>
              <w14:schemeClr w14:val="tx1"/>
            </w14:solidFill>
          </w14:textFill>
        </w:rPr>
        <w:t>保密管理</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1）对建设项目的设计方案、施工方案以及所有施工过程资料和信息负有保密责任，未经用户许可不能外泄。</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2）中标人对履行本合同期间知悉的采购人秘密负有保密责任，且中标人的保密责任不因本项目合同的终止而终止。</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3）中标人不得向任何第三方透露采购人工作人员的信息。</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4）未经招标人同意，中标人服务人员不得擅自记录、复印、拍摄、摘抄、收藏招标人单位的任何文件资料和信息，不得随意翻阅与工作无关的文件和资料，严禁将招标人单位内部会议、谈话内容泄露给第三方。</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5）严禁私自下载、拷贝招标人计算机内的信息资料，不得擅自携带招标人记载工作内容的硬盘、软盘和打印资料外出；严禁将工作中使用计算机储存的敏感内容、内部程序、口令、密码等泄露给无关人员。</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6）在对外部门、单位交流中，不得泄露和发表涉及招标人工作秘密的技术文档和论文。</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7）不得带领无关人员进入办公场所。</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8）中标人工作人员如离开招标人工作岗位，不得泄露从招标人处所知悉的资料信息。</w:t>
      </w:r>
    </w:p>
    <w:p>
      <w:pPr>
        <w:tabs>
          <w:tab w:val="left" w:pos="426"/>
        </w:tabs>
        <w:spacing w:line="520" w:lineRule="exact"/>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9.</w:t>
      </w:r>
      <w:r>
        <w:rPr>
          <w:rFonts w:ascii="宋体" w:hAnsi="宋体"/>
          <w:color w:val="000000" w:themeColor="text1"/>
          <w:kern w:val="24"/>
          <w:szCs w:val="21"/>
          <w:highlight w:val="none"/>
          <w14:textFill>
            <w14:solidFill>
              <w14:schemeClr w14:val="tx1"/>
            </w14:solidFill>
          </w14:textFill>
        </w:rPr>
        <w:t>文明施工、安全生产管理</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1）负责监督施工单位按照国家规定进行文明施工；</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2）负责监督施工单位按照国家消防部门规定配备足够的消防设备；</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3）负责检查和审核施工单位安全生产管理制度的完整性、可行性；</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4）协助和督促施工单位根据施工现场情况和环境制定安全施工措施，建立安全生产保障体系；</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5）负责监督施工过程中的用电、用火、用水安全及防盗、防破坏等措施的执行；</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6）对高安全风险的施工项目或环节，必须要求施工单位指定周密的安全施工方案并经监理审核签字后，在监理的现场监督下方可实施；</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7）负责监督、检查和管理施工现场环境，保障施工现场卫生、整洁、有序。</w:t>
      </w:r>
    </w:p>
    <w:p>
      <w:pPr>
        <w:tabs>
          <w:tab w:val="left" w:pos="426"/>
        </w:tabs>
        <w:spacing w:line="520" w:lineRule="exact"/>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10.</w:t>
      </w:r>
      <w:r>
        <w:rPr>
          <w:rFonts w:ascii="宋体" w:hAnsi="宋体"/>
          <w:color w:val="000000" w:themeColor="text1"/>
          <w:kern w:val="24"/>
          <w:szCs w:val="21"/>
          <w:highlight w:val="none"/>
          <w14:textFill>
            <w14:solidFill>
              <w14:schemeClr w14:val="tx1"/>
            </w14:solidFill>
          </w14:textFill>
        </w:rPr>
        <w:t>项目会议</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为保证监理工作的开展和实施协调，监理单位可组织必要的会议来保证：</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1）项目协调会；</w:t>
      </w:r>
    </w:p>
    <w:p>
      <w:pPr>
        <w:spacing w:line="520" w:lineRule="exact"/>
        <w:ind w:firstLine="420" w:firstLineChars="200"/>
        <w:rPr>
          <w:rFonts w:ascii="宋体" w:hAnsi="宋体" w:cs="Calibri"/>
          <w:color w:val="000000" w:themeColor="text1"/>
          <w:szCs w:val="21"/>
          <w:highlight w:val="none"/>
          <w14:textFill>
            <w14:solidFill>
              <w14:schemeClr w14:val="tx1"/>
            </w14:solidFill>
          </w14:textFill>
        </w:rPr>
      </w:pPr>
      <w:r>
        <w:rPr>
          <w:rFonts w:hint="eastAsia" w:ascii="宋体" w:hAnsi="宋体" w:cs="Calibri"/>
          <w:color w:val="000000" w:themeColor="text1"/>
          <w:szCs w:val="21"/>
          <w:highlight w:val="none"/>
          <w14:textFill>
            <w14:solidFill>
              <w14:schemeClr w14:val="tx1"/>
            </w14:solidFill>
          </w14:textFill>
        </w:rPr>
        <w:t>2）项目现场会；</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3）项目周例会；</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4）项目专题研讨会；</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5）项目问题通报会；</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6）项目阶段及最终验收会。</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监理单位还应积极参加以下会议：</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1）项目专家论证评审会；</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2）项目阶段工作总结会。</w:t>
      </w:r>
    </w:p>
    <w:p>
      <w:pPr>
        <w:tabs>
          <w:tab w:val="left" w:pos="426"/>
        </w:tabs>
        <w:spacing w:line="520" w:lineRule="exact"/>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11.</w:t>
      </w:r>
      <w:r>
        <w:rPr>
          <w:rFonts w:ascii="宋体" w:hAnsi="宋体"/>
          <w:color w:val="000000" w:themeColor="text1"/>
          <w:kern w:val="24"/>
          <w:szCs w:val="21"/>
          <w:highlight w:val="none"/>
          <w14:textFill>
            <w14:solidFill>
              <w14:schemeClr w14:val="tx1"/>
            </w14:solidFill>
          </w14:textFill>
        </w:rPr>
        <w:t>组织协调</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1）监督各方履行职责，协调各方的工作关系；</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2）建立畅通的沟通平台和沟通渠道，采取有效措施使项目信息在有关各方之间保持顺畅流通，积极协调项目各方之间的关系，推动项目实施过程中问题的解决。</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3）采用信息化手段，如信息化工程监理管理平台软件对项目进行监理，提高业主单位、承建单位、监理单位等项目各参与方的沟通效率。</w:t>
      </w:r>
    </w:p>
    <w:p>
      <w:pPr>
        <w:spacing w:line="520" w:lineRule="exact"/>
        <w:ind w:firstLine="422" w:firstLineChars="200"/>
        <w:rPr>
          <w:rFonts w:ascii="宋体" w:hAnsi="宋体"/>
          <w:b/>
          <w:color w:val="000000" w:themeColor="text1"/>
          <w:szCs w:val="21"/>
          <w:highlight w:val="none"/>
          <w14:textFill>
            <w14:solidFill>
              <w14:schemeClr w14:val="tx1"/>
            </w14:solidFill>
          </w14:textFill>
        </w:rPr>
      </w:pPr>
      <w:bookmarkStart w:id="135" w:name="_Toc524301522"/>
      <w:bookmarkStart w:id="136" w:name="_Toc526876027"/>
      <w:bookmarkStart w:id="137" w:name="_Toc18489095"/>
      <w:bookmarkStart w:id="138" w:name="_Toc71823273"/>
      <w:r>
        <w:rPr>
          <w:rFonts w:hint="eastAsia" w:ascii="宋体" w:hAnsi="宋体"/>
          <w:b/>
          <w:color w:val="000000" w:themeColor="text1"/>
          <w:szCs w:val="21"/>
          <w:highlight w:val="none"/>
          <w14:textFill>
            <w14:solidFill>
              <w14:schemeClr w14:val="tx1"/>
            </w14:solidFill>
          </w14:textFill>
        </w:rPr>
        <w:t>(四)监理机构及人员要求</w:t>
      </w:r>
      <w:bookmarkEnd w:id="135"/>
      <w:bookmarkEnd w:id="136"/>
      <w:bookmarkEnd w:id="137"/>
      <w:bookmarkEnd w:id="138"/>
    </w:p>
    <w:p>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中标人应组建项目监理机构，该工程监理机构必须满足以下要求：</w:t>
      </w:r>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建立建设监理组，负责整个工程的全程监理工作。</w:t>
      </w:r>
    </w:p>
    <w:p>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实行总监理工程师负责制，对项目重大决策提出建议和意见。</w:t>
      </w:r>
    </w:p>
    <w:p>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项目监理要求以现场监理服务为主要方式进行。</w:t>
      </w:r>
    </w:p>
    <w:p>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总监理工程师和监理工程师必须具备与接受委派的项目类似的工作经验。</w:t>
      </w:r>
    </w:p>
    <w:p>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在项目建设期派遣</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名以上监理工程师提供现场服务,</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在相应阶段安排足够的监理工程师到场开展工作。</w:t>
      </w:r>
    </w:p>
    <w:p>
      <w:pPr>
        <w:spacing w:line="520" w:lineRule="exact"/>
        <w:ind w:firstLine="422" w:firstLineChars="200"/>
        <w:rPr>
          <w:rFonts w:ascii="宋体" w:hAnsi="宋体"/>
          <w:b/>
          <w:color w:val="000000" w:themeColor="text1"/>
          <w:szCs w:val="21"/>
          <w:highlight w:val="none"/>
          <w14:textFill>
            <w14:solidFill>
              <w14:schemeClr w14:val="tx1"/>
            </w14:solidFill>
          </w14:textFill>
        </w:rPr>
      </w:pPr>
      <w:bookmarkStart w:id="139" w:name="_Toc18489096"/>
      <w:bookmarkStart w:id="140" w:name="_Toc526876028"/>
      <w:bookmarkStart w:id="141" w:name="_Toc71823274"/>
      <w:bookmarkStart w:id="142" w:name="_Toc524301523"/>
      <w:r>
        <w:rPr>
          <w:rFonts w:hint="eastAsia" w:ascii="宋体" w:hAnsi="宋体"/>
          <w:b/>
          <w:color w:val="000000" w:themeColor="text1"/>
          <w:szCs w:val="21"/>
          <w:highlight w:val="none"/>
          <w14:textFill>
            <w14:solidFill>
              <w14:schemeClr w14:val="tx1"/>
            </w14:solidFill>
          </w14:textFill>
        </w:rPr>
        <w:t>（五）监理单位投入工具要求</w:t>
      </w:r>
      <w:bookmarkEnd w:id="139"/>
      <w:bookmarkEnd w:id="140"/>
      <w:bookmarkEnd w:id="141"/>
      <w:bookmarkEnd w:id="142"/>
    </w:p>
    <w:p>
      <w:pPr>
        <w:spacing w:line="5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针对建设项目，监理单位需提供必要的办公设备（电脑及办公软件、数码相机、资料文件柜）、办公汽车和检测设备。</w:t>
      </w:r>
    </w:p>
    <w:p>
      <w:pPr>
        <w:spacing w:line="520" w:lineRule="exact"/>
        <w:ind w:firstLine="422" w:firstLineChars="200"/>
        <w:rPr>
          <w:rFonts w:ascii="宋体" w:hAnsi="宋体"/>
          <w:b/>
          <w:color w:val="000000" w:themeColor="text1"/>
          <w:szCs w:val="21"/>
          <w:highlight w:val="none"/>
          <w14:textFill>
            <w14:solidFill>
              <w14:schemeClr w14:val="tx1"/>
            </w14:solidFill>
          </w14:textFill>
        </w:rPr>
      </w:pPr>
      <w:bookmarkStart w:id="143" w:name="_Toc71823275"/>
      <w:bookmarkStart w:id="144" w:name="_Toc526876029"/>
      <w:bookmarkStart w:id="145" w:name="_Toc18489097"/>
      <w:bookmarkStart w:id="146" w:name="_Toc524301524"/>
      <w:r>
        <w:rPr>
          <w:rFonts w:hint="eastAsia" w:ascii="宋体" w:hAnsi="宋体"/>
          <w:b/>
          <w:color w:val="000000" w:themeColor="text1"/>
          <w:szCs w:val="21"/>
          <w:highlight w:val="none"/>
          <w14:textFill>
            <w14:solidFill>
              <w14:schemeClr w14:val="tx1"/>
            </w14:solidFill>
          </w14:textFill>
        </w:rPr>
        <w:t>（六）监理服务考核要求</w:t>
      </w:r>
      <w:bookmarkEnd w:id="143"/>
      <w:bookmarkEnd w:id="144"/>
      <w:bookmarkEnd w:id="145"/>
      <w:bookmarkEnd w:id="146"/>
    </w:p>
    <w:p>
      <w:pPr>
        <w:spacing w:line="5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委托人对监理开展相关工作实行严格的服务质量考核办法，对其工作质量进行评价考核监督。</w:t>
      </w:r>
    </w:p>
    <w:p>
      <w:pPr>
        <w:spacing w:line="520" w:lineRule="exact"/>
        <w:ind w:firstLine="422" w:firstLineChars="200"/>
        <w:rPr>
          <w:rFonts w:ascii="宋体" w:hAnsi="宋体"/>
          <w:b/>
          <w:color w:val="000000" w:themeColor="text1"/>
          <w:szCs w:val="21"/>
          <w:highlight w:val="none"/>
          <w14:textFill>
            <w14:solidFill>
              <w14:schemeClr w14:val="tx1"/>
            </w14:solidFill>
          </w14:textFill>
        </w:rPr>
      </w:pPr>
      <w:bookmarkStart w:id="147" w:name="_Toc71823276"/>
      <w:bookmarkStart w:id="148" w:name="_Toc526876030"/>
      <w:bookmarkStart w:id="149" w:name="_Toc18489098"/>
      <w:bookmarkStart w:id="150" w:name="_Toc524301525"/>
      <w:r>
        <w:rPr>
          <w:rFonts w:hint="eastAsia" w:ascii="宋体" w:hAnsi="宋体"/>
          <w:b/>
          <w:color w:val="000000" w:themeColor="text1"/>
          <w:szCs w:val="21"/>
          <w:highlight w:val="none"/>
          <w14:textFill>
            <w14:solidFill>
              <w14:schemeClr w14:val="tx1"/>
            </w14:solidFill>
          </w14:textFill>
        </w:rPr>
        <w:t>（七）合同签订和安全保密协议要求</w:t>
      </w:r>
      <w:bookmarkEnd w:id="147"/>
      <w:bookmarkEnd w:id="148"/>
      <w:bookmarkEnd w:id="149"/>
      <w:bookmarkEnd w:id="150"/>
    </w:p>
    <w:p>
      <w:pPr>
        <w:widowControl/>
        <w:spacing w:line="520" w:lineRule="exact"/>
        <w:ind w:firstLine="420" w:firstLineChars="200"/>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投标人承诺按照合同模板要求签订项目采购合同和保密协议。</w:t>
      </w:r>
    </w:p>
    <w:p>
      <w:pPr>
        <w:pStyle w:val="2"/>
        <w:rPr>
          <w:rFonts w:hAnsi="宋体"/>
          <w:b/>
          <w:bCs/>
          <w:color w:val="000000" w:themeColor="text1"/>
          <w:spacing w:val="120"/>
          <w:sz w:val="24"/>
          <w:highlight w:val="none"/>
          <w14:textFill>
            <w14:solidFill>
              <w14:schemeClr w14:val="tx1"/>
            </w14:solidFill>
          </w14:textFill>
        </w:rPr>
      </w:pPr>
    </w:p>
    <w:p>
      <w:pPr>
        <w:pStyle w:val="2"/>
        <w:rPr>
          <w:rFonts w:hAnsi="宋体"/>
          <w:b/>
          <w:bCs/>
          <w:color w:val="000000" w:themeColor="text1"/>
          <w:spacing w:val="120"/>
          <w:sz w:val="24"/>
          <w:highlight w:val="none"/>
          <w14:textFill>
            <w14:solidFill>
              <w14:schemeClr w14:val="tx1"/>
            </w14:solidFill>
          </w14:textFill>
        </w:rPr>
      </w:pPr>
    </w:p>
    <w:p>
      <w:pPr>
        <w:pStyle w:val="2"/>
        <w:rPr>
          <w:rFonts w:hAnsi="宋体"/>
          <w:b/>
          <w:bCs/>
          <w:color w:val="000000" w:themeColor="text1"/>
          <w:spacing w:val="120"/>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51" w:name="_Toc24033"/>
      <w:bookmarkStart w:id="152" w:name="_Toc25613"/>
      <w:r>
        <w:rPr>
          <w:rFonts w:hint="eastAsia"/>
          <w:color w:val="000000" w:themeColor="text1"/>
          <w:highlight w:val="none"/>
          <w14:textFill>
            <w14:solidFill>
              <w14:schemeClr w14:val="tx1"/>
            </w14:solidFill>
          </w14:textFill>
        </w:rPr>
        <w:t>第三部分 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51"/>
      <w:bookmarkEnd w:id="152"/>
    </w:p>
    <w:p>
      <w:pPr>
        <w:pStyle w:val="4"/>
        <w:numPr>
          <w:ilvl w:val="0"/>
          <w:numId w:val="0"/>
        </w:numPr>
        <w:rPr>
          <w:color w:val="000000" w:themeColor="text1"/>
          <w:szCs w:val="21"/>
          <w:highlight w:val="none"/>
          <w14:textFill>
            <w14:solidFill>
              <w14:schemeClr w14:val="tx1"/>
            </w14:solidFill>
          </w14:textFill>
        </w:rPr>
      </w:pPr>
      <w:bookmarkStart w:id="153" w:name="_Toc456648358"/>
      <w:bookmarkStart w:id="154" w:name="_Toc434832495"/>
      <w:bookmarkStart w:id="155" w:name="_Toc20811"/>
      <w:bookmarkStart w:id="156" w:name="_Toc456272919"/>
      <w:bookmarkStart w:id="157" w:name="_Toc2671"/>
      <w:r>
        <w:rPr>
          <w:rFonts w:hint="eastAsia"/>
          <w:color w:val="000000" w:themeColor="text1"/>
          <w:szCs w:val="21"/>
          <w:highlight w:val="none"/>
          <w14:textFill>
            <w14:solidFill>
              <w14:schemeClr w14:val="tx1"/>
            </w14:solidFill>
          </w14:textFill>
        </w:rPr>
        <w:t>投标人须知前附表</w:t>
      </w:r>
      <w:bookmarkEnd w:id="153"/>
      <w:bookmarkEnd w:id="154"/>
      <w:bookmarkEnd w:id="155"/>
      <w:bookmarkEnd w:id="156"/>
      <w:bookmarkEnd w:id="157"/>
    </w:p>
    <w:tbl>
      <w:tblPr>
        <w:tblStyle w:val="4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04"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numPr>
                <w:ilvl w:val="0"/>
                <w:numId w:val="23"/>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317"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9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招标代理机构有权予以拒收，并退回给投标人。电报、电话、传真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04" w:type="dxa"/>
            <w:gridSpan w:val="3"/>
            <w:tcBorders>
              <w:top w:val="single" w:color="auto" w:sz="4" w:space="0"/>
              <w:left w:val="single" w:color="auto" w:sz="4" w:space="0"/>
              <w:bottom w:val="single" w:color="auto" w:sz="4" w:space="0"/>
              <w:right w:val="single" w:color="auto" w:sz="4" w:space="0"/>
            </w:tcBorders>
            <w:vAlign w:val="center"/>
          </w:tcPr>
          <w:p>
            <w:pPr>
              <w:pStyle w:val="2"/>
              <w:tabs>
                <w:tab w:val="left" w:pos="26"/>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1.招标文件中打“★”号条款必须实质性响应，负偏离（不满足要求）将导致投标无效。</w:t>
            </w:r>
          </w:p>
          <w:p>
            <w:pPr>
              <w:pStyle w:val="2"/>
              <w:tabs>
                <w:tab w:val="left" w:pos="26"/>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4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firstLine="0"/>
        <w:rPr>
          <w:color w:val="000000" w:themeColor="text1"/>
          <w:szCs w:val="21"/>
          <w:highlight w:val="none"/>
          <w14:textFill>
            <w14:solidFill>
              <w14:schemeClr w14:val="tx1"/>
            </w14:solidFill>
          </w14:textFill>
        </w:rPr>
      </w:pPr>
    </w:p>
    <w:p>
      <w:pPr>
        <w:pStyle w:val="2"/>
        <w:ind w:firstLine="0"/>
        <w:rPr>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8" w:name="_Hlt21938665"/>
      <w:bookmarkEnd w:id="158"/>
      <w:bookmarkStart w:id="159" w:name="_Hlt21938668"/>
      <w:bookmarkEnd w:id="159"/>
      <w:bookmarkStart w:id="160" w:name="_Toc333238601"/>
      <w:bookmarkStart w:id="161" w:name="_Toc342296728"/>
      <w:bookmarkStart w:id="162" w:name="_Toc350756418"/>
      <w:bookmarkStart w:id="163" w:name="_Toc366072496"/>
      <w:bookmarkStart w:id="164" w:name="_Toc336681548"/>
      <w:bookmarkStart w:id="165" w:name="_Toc340677038"/>
      <w:bookmarkStart w:id="166" w:name="_Toc336681903"/>
      <w:bookmarkStart w:id="167" w:name="_Toc340672837"/>
      <w:bookmarkStart w:id="168" w:name="_Toc333935655"/>
      <w:bookmarkStart w:id="169" w:name="_Toc341348306"/>
      <w:bookmarkStart w:id="170" w:name="_Toc349143557"/>
      <w:bookmarkStart w:id="171" w:name="_Toc339441055"/>
      <w:bookmarkStart w:id="172" w:name="_Toc333237645"/>
      <w:bookmarkStart w:id="173" w:name="_Toc28691"/>
      <w:bookmarkStart w:id="174" w:name="_Toc337632326"/>
      <w:bookmarkStart w:id="175" w:name="_Toc365967041"/>
      <w:bookmarkStart w:id="176" w:name="_Toc339020063"/>
      <w:bookmarkStart w:id="177" w:name="_Toc333237756"/>
      <w:bookmarkStart w:id="178" w:name="_Toc339019983"/>
      <w:bookmarkStart w:id="179" w:name="_Toc339362268"/>
      <w:bookmarkStart w:id="180" w:name="_Toc365985147"/>
      <w:bookmarkStart w:id="181" w:name="_Toc503785396"/>
      <w:bookmarkStart w:id="182" w:name="_Toc333935314"/>
      <w:bookmarkStart w:id="183" w:name="_Toc331684006"/>
      <w:bookmarkStart w:id="184" w:name="_Toc345513835"/>
      <w:bookmarkStart w:id="185" w:name="_Toc350438717"/>
      <w:bookmarkStart w:id="186" w:name="_Toc342060342"/>
      <w:bookmarkStart w:id="187" w:name="_Toc8582"/>
      <w:bookmarkStart w:id="188" w:name="_Toc339020201"/>
      <w:bookmarkStart w:id="189" w:name="_Toc349127594"/>
      <w:bookmarkStart w:id="190" w:name="_Toc339019857"/>
      <w:bookmarkStart w:id="191" w:name="_Toc497224194"/>
      <w:bookmarkStart w:id="192" w:name="_Toc332270314"/>
      <w:bookmarkStart w:id="193" w:name="_Toc332206676"/>
      <w:bookmarkStart w:id="194" w:name="_Toc331512866"/>
      <w:bookmarkStart w:id="195" w:name="_Toc330459953"/>
      <w:bookmarkStart w:id="196" w:name="_Toc340507410"/>
      <w:r>
        <w:rPr>
          <w:rFonts w:hint="eastAsia"/>
          <w:color w:val="000000" w:themeColor="text1"/>
          <w:sz w:val="24"/>
          <w:highlight w:val="none"/>
          <w14:textFill>
            <w14:solidFill>
              <w14:schemeClr w14:val="tx1"/>
            </w14:solidFill>
          </w14:textFill>
        </w:rPr>
        <w:t>Ａ说明</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97" w:name="_Toc497224195"/>
      <w:bookmarkStart w:id="198" w:name="_Toc503785397"/>
      <w:bookmarkStart w:id="199" w:name="_Toc365985148"/>
      <w:bookmarkStart w:id="200" w:name="_Toc337632327"/>
      <w:bookmarkStart w:id="201" w:name="_Toc333935656"/>
      <w:bookmarkStart w:id="202" w:name="_Toc366072497"/>
      <w:bookmarkStart w:id="203" w:name="_Toc350756419"/>
      <w:bookmarkStart w:id="204" w:name="_Toc339019858"/>
      <w:bookmarkStart w:id="205" w:name="_Toc336681549"/>
      <w:bookmarkStart w:id="206" w:name="_Toc340672838"/>
      <w:bookmarkStart w:id="207" w:name="_Toc336681904"/>
      <w:bookmarkStart w:id="208" w:name="_Toc332270315"/>
      <w:bookmarkStart w:id="209" w:name="_Toc339020202"/>
      <w:bookmarkStart w:id="210" w:name="_Toc339019984"/>
      <w:bookmarkStart w:id="211" w:name="_Toc342296729"/>
      <w:bookmarkStart w:id="212" w:name="_Toc339441056"/>
      <w:bookmarkStart w:id="213" w:name="_Toc13614"/>
      <w:bookmarkStart w:id="214" w:name="_Toc340507411"/>
      <w:bookmarkStart w:id="215" w:name="_Toc331512867"/>
      <w:bookmarkStart w:id="216" w:name="_Toc345513836"/>
      <w:bookmarkStart w:id="217" w:name="_Toc349127595"/>
      <w:bookmarkStart w:id="218" w:name="_Toc340677039"/>
      <w:bookmarkStart w:id="219" w:name="_Toc365967042"/>
      <w:bookmarkStart w:id="220" w:name="_Toc342060343"/>
      <w:bookmarkStart w:id="221" w:name="_Toc339020064"/>
      <w:bookmarkStart w:id="222" w:name="_Toc341348307"/>
      <w:bookmarkStart w:id="223" w:name="_Toc331684007"/>
      <w:bookmarkStart w:id="224" w:name="_Toc350438718"/>
      <w:bookmarkStart w:id="225" w:name="_Toc330459954"/>
      <w:bookmarkStart w:id="226" w:name="_Toc333237757"/>
      <w:bookmarkStart w:id="227" w:name="_Toc349143558"/>
      <w:bookmarkStart w:id="228" w:name="_Toc333238602"/>
      <w:bookmarkStart w:id="229" w:name="_Toc339362269"/>
      <w:bookmarkStart w:id="230" w:name="_Toc332206677"/>
      <w:bookmarkStart w:id="231" w:name="_Toc333935315"/>
      <w:bookmarkStart w:id="232" w:name="_Toc22628"/>
      <w:bookmarkStart w:id="233" w:name="_Toc333237646"/>
      <w:r>
        <w:rPr>
          <w:rFonts w:hint="eastAsia"/>
          <w:color w:val="000000" w:themeColor="text1"/>
          <w:highlight w:val="none"/>
          <w14:textFill>
            <w14:solidFill>
              <w14:schemeClr w14:val="tx1"/>
            </w14:solidFill>
          </w14:textFill>
        </w:rPr>
        <w:t>适用范围</w:t>
      </w:r>
      <w:bookmarkEnd w:id="197"/>
      <w:bookmarkEnd w:id="198"/>
      <w:r>
        <w:rPr>
          <w:rFonts w:hint="eastAsia"/>
          <w:color w:val="000000" w:themeColor="text1"/>
          <w:highlight w:val="none"/>
          <w14:textFill>
            <w14:solidFill>
              <w14:schemeClr w14:val="tx1"/>
            </w14:solidFill>
          </w14:textFill>
        </w:rPr>
        <w:t>和资金来源</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34" w:name="_Toc350438719"/>
      <w:bookmarkStart w:id="235" w:name="_Toc332270316"/>
      <w:bookmarkStart w:id="236" w:name="_Toc341348308"/>
      <w:bookmarkStart w:id="237" w:name="_Toc349143559"/>
      <w:bookmarkStart w:id="238" w:name="_Toc350756420"/>
      <w:bookmarkStart w:id="239" w:name="_Toc497224196"/>
      <w:bookmarkStart w:id="240" w:name="_Toc333935657"/>
      <w:bookmarkStart w:id="241" w:name="_Toc333935316"/>
      <w:bookmarkStart w:id="242" w:name="_Toc330459955"/>
      <w:bookmarkStart w:id="243" w:name="_Toc336681550"/>
      <w:bookmarkStart w:id="244" w:name="_Toc503785398"/>
      <w:bookmarkStart w:id="245" w:name="_Toc366072498"/>
      <w:bookmarkStart w:id="246" w:name="_Toc333237758"/>
      <w:bookmarkStart w:id="247" w:name="_Toc333238603"/>
      <w:bookmarkStart w:id="248" w:name="_Toc339441057"/>
      <w:bookmarkStart w:id="249" w:name="_Toc337632328"/>
      <w:bookmarkStart w:id="250" w:name="_Toc339019859"/>
      <w:bookmarkStart w:id="251" w:name="_Toc332206678"/>
      <w:bookmarkStart w:id="252" w:name="_Toc339019985"/>
      <w:bookmarkStart w:id="253" w:name="_Toc336681905"/>
      <w:bookmarkStart w:id="254" w:name="_Toc365985149"/>
      <w:bookmarkStart w:id="255" w:name="_Toc342060344"/>
      <w:bookmarkStart w:id="256" w:name="_Toc342296730"/>
      <w:bookmarkStart w:id="257" w:name="_Toc374454571"/>
      <w:bookmarkStart w:id="258" w:name="_Toc365967043"/>
      <w:bookmarkStart w:id="259" w:name="_Toc340507412"/>
      <w:bookmarkStart w:id="260" w:name="_Toc331512868"/>
      <w:bookmarkStart w:id="261" w:name="_Toc339362270"/>
      <w:bookmarkStart w:id="262" w:name="_Toc333237647"/>
      <w:bookmarkStart w:id="263" w:name="_Toc340677040"/>
      <w:bookmarkStart w:id="264" w:name="_Toc339020065"/>
      <w:bookmarkStart w:id="265" w:name="_Toc340672839"/>
      <w:bookmarkStart w:id="266" w:name="_Toc345513837"/>
      <w:bookmarkStart w:id="267" w:name="_Toc349127596"/>
      <w:bookmarkStart w:id="268" w:name="_Toc339020203"/>
      <w:bookmarkStart w:id="269" w:name="_Toc33168400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本项目的招标人已分别获得一笔资金用于支付本次招标项下的所有合同款项。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本招标文件由招标代理机构负责解释。</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70" w:name="_Toc7156"/>
      <w:bookmarkStart w:id="271" w:name="_Toc11975"/>
      <w:r>
        <w:rPr>
          <w:rFonts w:hint="eastAsia"/>
          <w:color w:val="000000" w:themeColor="text1"/>
          <w:highlight w:val="none"/>
          <w14:textFill>
            <w14:solidFill>
              <w14:schemeClr w14:val="tx1"/>
            </w14:solidFill>
          </w14:textFill>
        </w:rPr>
        <w:t>定义</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“招标代理机构”系指组织本次招标的广东业信采购招标有限公司。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“招标人”系指阳江农村商业银行股份有限公司，即项目采购用户方。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系指投标人根据招标文件规定，须向招标人提供的设备、材料、备品备件、工具、使用手册、软件及有关技术资料等。</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72" w:name="_Toc497224197"/>
      <w:bookmarkStart w:id="273" w:name="_Toc503785399"/>
      <w:bookmarkStart w:id="274" w:name="_Toc345513838"/>
      <w:bookmarkStart w:id="275" w:name="_Toc340507413"/>
      <w:bookmarkStart w:id="276" w:name="_Toc339020066"/>
      <w:bookmarkStart w:id="277" w:name="_Toc339019986"/>
      <w:bookmarkStart w:id="278" w:name="_Toc331684009"/>
      <w:bookmarkStart w:id="279" w:name="_Toc340672840"/>
      <w:bookmarkStart w:id="280" w:name="_Toc15565"/>
      <w:bookmarkStart w:id="281" w:name="_Toc332270317"/>
      <w:bookmarkStart w:id="282" w:name="_Toc330459956"/>
      <w:bookmarkStart w:id="283" w:name="_Toc336681906"/>
      <w:bookmarkStart w:id="284" w:name="_Toc349127597"/>
      <w:bookmarkStart w:id="285" w:name="_Toc333935658"/>
      <w:bookmarkStart w:id="286" w:name="_Toc339362271"/>
      <w:bookmarkStart w:id="287" w:name="_Toc339019860"/>
      <w:bookmarkStart w:id="288" w:name="_Toc366072499"/>
      <w:bookmarkStart w:id="289" w:name="_Toc349143560"/>
      <w:bookmarkStart w:id="290" w:name="_Toc333237648"/>
      <w:bookmarkStart w:id="291" w:name="_Toc365967044"/>
      <w:bookmarkStart w:id="292" w:name="_Toc365985150"/>
      <w:bookmarkStart w:id="293" w:name="_Toc339020204"/>
      <w:bookmarkStart w:id="294" w:name="_Toc374454572"/>
      <w:bookmarkStart w:id="295" w:name="_Toc336681551"/>
      <w:bookmarkStart w:id="296" w:name="_Toc331512869"/>
      <w:bookmarkStart w:id="297" w:name="_Toc342296731"/>
      <w:bookmarkStart w:id="298" w:name="_Toc342060345"/>
      <w:bookmarkStart w:id="299" w:name="_Toc9620"/>
      <w:bookmarkStart w:id="300" w:name="_Toc333238604"/>
      <w:bookmarkStart w:id="301" w:name="_Toc333237759"/>
      <w:bookmarkStart w:id="302" w:name="_Toc341348309"/>
      <w:bookmarkStart w:id="303" w:name="_Toc333935317"/>
      <w:bookmarkStart w:id="304" w:name="_Toc340677041"/>
      <w:bookmarkStart w:id="305" w:name="_Toc332206679"/>
      <w:bookmarkStart w:id="306" w:name="_Toc339441058"/>
      <w:bookmarkStart w:id="307" w:name="_Toc350756421"/>
      <w:bookmarkStart w:id="308" w:name="_Toc350438720"/>
      <w:bookmarkStart w:id="309" w:name="_Toc337632329"/>
      <w:r>
        <w:rPr>
          <w:rFonts w:hint="eastAsia"/>
          <w:color w:val="000000" w:themeColor="text1"/>
          <w:highlight w:val="none"/>
          <w14:textFill>
            <w14:solidFill>
              <w14:schemeClr w14:val="tx1"/>
            </w14:solidFill>
          </w14:textFill>
        </w:rPr>
        <w:t>合格的</w:t>
      </w:r>
      <w:bookmarkEnd w:id="272"/>
      <w:bookmarkEnd w:id="273"/>
      <w:r>
        <w:rPr>
          <w:rFonts w:hint="eastAsia"/>
          <w:color w:val="000000" w:themeColor="text1"/>
          <w:highlight w:val="none"/>
          <w14:textFill>
            <w14:solidFill>
              <w14:schemeClr w14:val="tx1"/>
            </w14:solidFill>
          </w14:textFill>
        </w:rPr>
        <w:t>投标人</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10" w:name="_Toc21115"/>
      <w:bookmarkStart w:id="311" w:name="_Toc350438721"/>
      <w:bookmarkStart w:id="312" w:name="_Toc333935659"/>
      <w:bookmarkStart w:id="313" w:name="_Toc349143561"/>
      <w:bookmarkStart w:id="314" w:name="_Toc332206680"/>
      <w:bookmarkStart w:id="315" w:name="_Toc332270318"/>
      <w:bookmarkStart w:id="316" w:name="_Toc13427"/>
      <w:bookmarkStart w:id="317" w:name="_Toc497224198"/>
      <w:bookmarkStart w:id="318" w:name="_Toc342296732"/>
      <w:bookmarkStart w:id="319" w:name="_Toc350756422"/>
      <w:bookmarkStart w:id="320" w:name="_Toc366072500"/>
      <w:bookmarkStart w:id="321" w:name="_Toc331684010"/>
      <w:bookmarkStart w:id="322" w:name="_Toc503785400"/>
      <w:bookmarkStart w:id="323" w:name="_Toc339441059"/>
      <w:bookmarkStart w:id="324" w:name="_Toc333935318"/>
      <w:bookmarkStart w:id="325" w:name="_Toc365985151"/>
      <w:bookmarkStart w:id="326" w:name="_Toc341348310"/>
      <w:bookmarkStart w:id="327" w:name="_Toc330459957"/>
      <w:bookmarkStart w:id="328" w:name="_Toc333237760"/>
      <w:bookmarkStart w:id="329" w:name="_Toc339362272"/>
      <w:bookmarkStart w:id="330" w:name="_Toc340507414"/>
      <w:bookmarkStart w:id="331" w:name="_Toc349127598"/>
      <w:bookmarkStart w:id="332" w:name="_Toc342060346"/>
      <w:bookmarkStart w:id="333" w:name="_Toc333237649"/>
      <w:bookmarkStart w:id="334" w:name="_Toc339020067"/>
      <w:bookmarkStart w:id="335" w:name="_Toc339019987"/>
      <w:bookmarkStart w:id="336" w:name="_Toc365967045"/>
      <w:bookmarkStart w:id="337" w:name="_Toc333238605"/>
      <w:bookmarkStart w:id="338" w:name="_Toc336681552"/>
      <w:bookmarkStart w:id="339" w:name="_Toc331512870"/>
      <w:bookmarkStart w:id="340" w:name="_Toc336681907"/>
      <w:bookmarkStart w:id="341" w:name="_Toc345513839"/>
      <w:bookmarkStart w:id="342" w:name="_Toc374454573"/>
      <w:bookmarkStart w:id="343" w:name="_Toc340677042"/>
      <w:bookmarkStart w:id="344" w:name="_Toc339020205"/>
      <w:bookmarkStart w:id="345" w:name="_Toc339019861"/>
      <w:bookmarkStart w:id="346" w:name="_Toc340672841"/>
      <w:bookmarkStart w:id="347" w:name="_Toc337632330"/>
      <w:r>
        <w:rPr>
          <w:rFonts w:hint="eastAsia"/>
          <w:color w:val="000000" w:themeColor="text1"/>
          <w:highlight w:val="none"/>
          <w14:textFill>
            <w14:solidFill>
              <w14:schemeClr w14:val="tx1"/>
            </w14:solidFill>
          </w14:textFill>
        </w:rPr>
        <w:t>投标费用</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投标人应承担所有与准备和参加投标有关的费用。不论投标的结果如何，招标代理机构和招标人均无义务和责任承担这些费用</w:t>
      </w:r>
      <w:r>
        <w:rPr>
          <w:rFonts w:hint="eastAsia" w:ascii="宋体"/>
          <w:bCs/>
          <w:color w:val="000000" w:themeColor="text1"/>
          <w:highlight w:val="none"/>
          <w14:textFill>
            <w14:solidFill>
              <w14:schemeClr w14:val="tx1"/>
            </w14:solidFill>
          </w14:textFill>
        </w:rPr>
        <w:t>。</w:t>
      </w:r>
      <w:bookmarkStart w:id="348" w:name="_Toc349127599"/>
      <w:bookmarkStart w:id="349" w:name="_Toc339019862"/>
      <w:bookmarkStart w:id="350" w:name="_Toc333935319"/>
      <w:bookmarkStart w:id="351" w:name="_Toc349143562"/>
      <w:bookmarkStart w:id="352" w:name="_Toc374454574"/>
      <w:bookmarkStart w:id="353" w:name="_Toc365967046"/>
      <w:bookmarkStart w:id="354" w:name="_Toc336681908"/>
      <w:bookmarkStart w:id="355" w:name="_Toc339362273"/>
      <w:bookmarkStart w:id="356" w:name="_Toc333935660"/>
      <w:bookmarkStart w:id="357" w:name="_Toc331512871"/>
      <w:bookmarkStart w:id="358" w:name="_Toc333237761"/>
      <w:bookmarkStart w:id="359" w:name="_Toc365985152"/>
      <w:bookmarkStart w:id="360" w:name="_Toc497224199"/>
      <w:bookmarkStart w:id="361" w:name="_Toc339020068"/>
      <w:bookmarkStart w:id="362" w:name="_Toc345513840"/>
      <w:bookmarkStart w:id="363" w:name="_Toc350438722"/>
      <w:bookmarkStart w:id="364" w:name="_Toc342296733"/>
      <w:bookmarkStart w:id="365" w:name="_Toc366072501"/>
      <w:bookmarkStart w:id="366" w:name="_Toc332270319"/>
      <w:bookmarkStart w:id="367" w:name="_Toc331684011"/>
      <w:bookmarkStart w:id="368" w:name="_Toc339020206"/>
      <w:bookmarkStart w:id="369" w:name="_Toc340677043"/>
      <w:bookmarkStart w:id="370" w:name="_Toc339019988"/>
      <w:bookmarkStart w:id="371" w:name="_Toc333237650"/>
      <w:bookmarkStart w:id="372" w:name="_Toc337632331"/>
      <w:bookmarkStart w:id="373" w:name="_Toc336681553"/>
      <w:bookmarkStart w:id="374" w:name="_Toc342060347"/>
      <w:bookmarkStart w:id="375" w:name="_Toc340672842"/>
      <w:bookmarkStart w:id="376" w:name="_Toc340507415"/>
      <w:bookmarkStart w:id="377" w:name="_Toc350756423"/>
      <w:bookmarkStart w:id="378" w:name="_Toc333238606"/>
      <w:bookmarkStart w:id="379" w:name="_Toc341348311"/>
      <w:bookmarkStart w:id="380" w:name="_Toc332206681"/>
      <w:bookmarkStart w:id="381" w:name="_Toc330459958"/>
      <w:bookmarkStart w:id="382" w:name="_Toc339441060"/>
      <w:bookmarkStart w:id="383" w:name="_Toc503785401"/>
    </w:p>
    <w:p>
      <w:pPr>
        <w:pStyle w:val="4"/>
        <w:numPr>
          <w:ilvl w:val="0"/>
          <w:numId w:val="0"/>
        </w:numPr>
        <w:rPr>
          <w:color w:val="000000" w:themeColor="text1"/>
          <w:sz w:val="24"/>
          <w:highlight w:val="none"/>
          <w14:textFill>
            <w14:solidFill>
              <w14:schemeClr w14:val="tx1"/>
            </w14:solidFill>
          </w14:textFill>
        </w:rPr>
      </w:pPr>
      <w:bookmarkStart w:id="384" w:name="_Toc23116"/>
      <w:bookmarkStart w:id="385" w:name="_Toc29152"/>
      <w:r>
        <w:rPr>
          <w:rFonts w:hint="eastAsia"/>
          <w:color w:val="000000" w:themeColor="text1"/>
          <w:sz w:val="24"/>
          <w:highlight w:val="none"/>
          <w14:textFill>
            <w14:solidFill>
              <w14:schemeClr w14:val="tx1"/>
            </w14:solidFill>
          </w14:textFill>
        </w:rPr>
        <w:t>Ｂ招标文件说明</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86" w:name="_Toc333935320"/>
      <w:bookmarkStart w:id="387" w:name="_Toc332270320"/>
      <w:bookmarkStart w:id="388" w:name="_Toc339362274"/>
      <w:bookmarkStart w:id="389" w:name="_Toc503785402"/>
      <w:bookmarkStart w:id="390" w:name="_Toc336681909"/>
      <w:bookmarkStart w:id="391" w:name="_Toc345513841"/>
      <w:bookmarkStart w:id="392" w:name="_Toc29611"/>
      <w:bookmarkStart w:id="393" w:name="_Toc342296734"/>
      <w:bookmarkStart w:id="394" w:name="_Toc333237651"/>
      <w:bookmarkStart w:id="395" w:name="_Toc374454575"/>
      <w:bookmarkStart w:id="396" w:name="_Toc333238607"/>
      <w:bookmarkStart w:id="397" w:name="_Toc333935661"/>
      <w:bookmarkStart w:id="398" w:name="_Toc339020069"/>
      <w:bookmarkStart w:id="399" w:name="_Toc350438723"/>
      <w:bookmarkStart w:id="400" w:name="_Toc339441061"/>
      <w:bookmarkStart w:id="401" w:name="_Toc366072502"/>
      <w:bookmarkStart w:id="402" w:name="_Toc331512872"/>
      <w:bookmarkStart w:id="403" w:name="_Toc341348312"/>
      <w:bookmarkStart w:id="404" w:name="_Toc340507416"/>
      <w:bookmarkStart w:id="405" w:name="_Toc365967047"/>
      <w:bookmarkStart w:id="406" w:name="_Toc365985153"/>
      <w:bookmarkStart w:id="407" w:name="_Toc332206682"/>
      <w:bookmarkStart w:id="408" w:name="_Toc340672843"/>
      <w:bookmarkStart w:id="409" w:name="_Toc331684012"/>
      <w:bookmarkStart w:id="410" w:name="_Toc339020207"/>
      <w:bookmarkStart w:id="411" w:name="_Toc4087"/>
      <w:bookmarkStart w:id="412" w:name="_Toc336681554"/>
      <w:bookmarkStart w:id="413" w:name="_Toc333237762"/>
      <w:bookmarkStart w:id="414" w:name="_Toc339019989"/>
      <w:bookmarkStart w:id="415" w:name="_Toc342060348"/>
      <w:bookmarkStart w:id="416" w:name="_Toc340677044"/>
      <w:bookmarkStart w:id="417" w:name="_Toc339019863"/>
      <w:bookmarkStart w:id="418" w:name="_Toc350756424"/>
      <w:bookmarkStart w:id="419" w:name="_Toc337632332"/>
      <w:bookmarkStart w:id="420" w:name="_Toc349143563"/>
      <w:bookmarkStart w:id="421" w:name="_Toc349127600"/>
      <w:bookmarkStart w:id="422" w:name="_Toc330459959"/>
      <w:bookmarkStart w:id="423" w:name="_Toc497224200"/>
      <w:r>
        <w:rPr>
          <w:rFonts w:hint="eastAsia"/>
          <w:color w:val="000000" w:themeColor="text1"/>
          <w:highlight w:val="none"/>
          <w14:textFill>
            <w14:solidFill>
              <w14:schemeClr w14:val="tx1"/>
            </w14:solidFill>
          </w14:textFill>
        </w:rPr>
        <w:t>招标文件的构成</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24" w:name="_Toc333935321"/>
      <w:bookmarkStart w:id="425" w:name="_Toc370388389"/>
      <w:bookmarkStart w:id="426" w:name="_Toc340672844"/>
      <w:bookmarkStart w:id="427" w:name="_Toc330459960"/>
      <w:bookmarkStart w:id="428" w:name="_Toc345513842"/>
      <w:bookmarkStart w:id="429" w:name="_Toc339020208"/>
      <w:bookmarkStart w:id="430" w:name="_Toc365967048"/>
      <w:bookmarkStart w:id="431" w:name="_Toc333237763"/>
      <w:bookmarkStart w:id="432" w:name="_Toc503785403"/>
      <w:bookmarkStart w:id="433" w:name="_Toc339441062"/>
      <w:bookmarkStart w:id="434" w:name="_Toc336681555"/>
      <w:bookmarkStart w:id="435" w:name="_Toc333237652"/>
      <w:bookmarkStart w:id="436" w:name="_Toc331512873"/>
      <w:bookmarkStart w:id="437" w:name="_Toc339019864"/>
      <w:bookmarkStart w:id="438" w:name="_Toc339362275"/>
      <w:bookmarkStart w:id="439" w:name="_Toc342296735"/>
      <w:bookmarkStart w:id="440" w:name="_Toc339020070"/>
      <w:bookmarkStart w:id="441" w:name="_Toc340507417"/>
      <w:bookmarkStart w:id="442" w:name="_Toc331684013"/>
      <w:bookmarkStart w:id="443" w:name="_Toc341348313"/>
      <w:bookmarkStart w:id="444" w:name="_Toc350438724"/>
      <w:bookmarkStart w:id="445" w:name="_Toc365985154"/>
      <w:bookmarkStart w:id="446" w:name="_Toc332206683"/>
      <w:bookmarkStart w:id="447" w:name="_Toc336681910"/>
      <w:bookmarkStart w:id="448" w:name="_Toc350756425"/>
      <w:bookmarkStart w:id="449" w:name="_Toc340677045"/>
      <w:bookmarkStart w:id="450" w:name="_Toc497224201"/>
      <w:bookmarkStart w:id="451" w:name="_Toc339019990"/>
      <w:bookmarkStart w:id="452" w:name="_Toc337632333"/>
      <w:bookmarkStart w:id="453" w:name="_Toc332270321"/>
      <w:bookmarkStart w:id="454" w:name="_Toc349127601"/>
      <w:bookmarkStart w:id="455" w:name="_Toc333238608"/>
      <w:bookmarkStart w:id="456" w:name="_Toc349143564"/>
      <w:bookmarkStart w:id="457" w:name="_Toc333935662"/>
      <w:bookmarkStart w:id="458" w:name="_Toc342060349"/>
      <w:bookmarkStart w:id="459" w:name="_Toc374454576"/>
      <w:bookmarkStart w:id="460" w:name="_Toc23953"/>
      <w:bookmarkStart w:id="461" w:name="_Toc2697"/>
      <w:bookmarkStart w:id="462" w:name="_Toc497224203"/>
      <w:bookmarkStart w:id="463" w:name="_Toc503785405"/>
      <w:bookmarkStart w:id="464" w:name="_Toc340507419"/>
      <w:bookmarkStart w:id="465" w:name="_Toc336681912"/>
      <w:bookmarkStart w:id="466" w:name="_Toc333935664"/>
      <w:bookmarkStart w:id="467" w:name="_Toc339019992"/>
      <w:bookmarkStart w:id="468" w:name="_Toc350756427"/>
      <w:bookmarkStart w:id="469" w:name="_Toc333237765"/>
      <w:bookmarkStart w:id="470" w:name="_Toc342060351"/>
      <w:bookmarkStart w:id="471" w:name="_Toc349127603"/>
      <w:bookmarkStart w:id="472" w:name="_Toc345513844"/>
      <w:bookmarkStart w:id="473" w:name="_Toc339019866"/>
      <w:bookmarkStart w:id="474" w:name="_Toc342296737"/>
      <w:bookmarkStart w:id="475" w:name="_Toc336681557"/>
      <w:bookmarkStart w:id="476" w:name="_Toc339362277"/>
      <w:bookmarkStart w:id="477" w:name="_Toc330459962"/>
      <w:bookmarkStart w:id="478" w:name="_Toc340677047"/>
      <w:bookmarkStart w:id="479" w:name="_Toc331684015"/>
      <w:bookmarkStart w:id="480" w:name="_Toc366072505"/>
      <w:bookmarkStart w:id="481" w:name="_Toc333238610"/>
      <w:bookmarkStart w:id="482" w:name="_Toc332270323"/>
      <w:bookmarkStart w:id="483" w:name="_Toc340672846"/>
      <w:bookmarkStart w:id="484" w:name="_Toc332206685"/>
      <w:bookmarkStart w:id="485" w:name="_Toc333237654"/>
      <w:bookmarkStart w:id="486" w:name="_Toc365967050"/>
      <w:bookmarkStart w:id="487" w:name="_Toc365985156"/>
      <w:bookmarkStart w:id="488" w:name="_Toc333935323"/>
      <w:bookmarkStart w:id="489" w:name="_Toc341348315"/>
      <w:bookmarkStart w:id="490" w:name="_Toc339020072"/>
      <w:bookmarkStart w:id="491" w:name="_Toc339020210"/>
      <w:bookmarkStart w:id="492" w:name="_Toc337632335"/>
      <w:bookmarkStart w:id="493" w:name="_Toc331512875"/>
      <w:bookmarkStart w:id="494" w:name="_Toc339441064"/>
      <w:bookmarkStart w:id="495" w:name="_Toc349143566"/>
      <w:bookmarkStart w:id="496" w:name="_Toc350438726"/>
      <w:r>
        <w:rPr>
          <w:rFonts w:hint="eastAsia"/>
          <w:color w:val="000000" w:themeColor="text1"/>
          <w:highlight w:val="none"/>
          <w14:textFill>
            <w14:solidFill>
              <w14:schemeClr w14:val="tx1"/>
            </w14:solidFill>
          </w14:textFill>
        </w:rPr>
        <w:t>招标文件的澄清</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hint="eastAsia"/>
          <w:color w:val="000000" w:themeColor="text1"/>
          <w:highlight w:val="none"/>
          <w14:textFill>
            <w14:solidFill>
              <w14:schemeClr w14:val="tx1"/>
            </w14:solidFill>
          </w14:textFill>
        </w:rPr>
        <w:t>、修改</w:t>
      </w:r>
      <w:bookmarkEnd w:id="459"/>
      <w:bookmarkEnd w:id="460"/>
      <w:bookmarkEnd w:id="461"/>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澄清或修改时间距投标截止时间不足15日的，招标人或招标代理机构在征得已获取招标文件的投标人同意并书面确认后，可不改变投标截止时间。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97" w:name="_Toc374454577"/>
      <w:r>
        <w:rPr>
          <w:color w:val="000000" w:themeColor="text1"/>
          <w:sz w:val="24"/>
          <w:highlight w:val="none"/>
          <w14:textFill>
            <w14:solidFill>
              <w14:schemeClr w14:val="tx1"/>
            </w14:solidFill>
          </w14:textFill>
        </w:rPr>
        <w:br w:type="page"/>
      </w:r>
      <w:bookmarkStart w:id="498" w:name="_Toc20957"/>
      <w:bookmarkStart w:id="499" w:name="_Toc26404"/>
      <w:r>
        <w:rPr>
          <w:rFonts w:hint="eastAsia"/>
          <w:color w:val="000000" w:themeColor="text1"/>
          <w:sz w:val="24"/>
          <w:highlight w:val="none"/>
          <w14:textFill>
            <w14:solidFill>
              <w14:schemeClr w14:val="tx1"/>
            </w14:solidFill>
          </w14:textFill>
        </w:rPr>
        <w:t>Ｃ投标文件的编</w:t>
      </w:r>
      <w:bookmarkEnd w:id="462"/>
      <w:bookmarkEnd w:id="463"/>
      <w:r>
        <w:rPr>
          <w:rFonts w:hint="eastAsia"/>
          <w:color w:val="000000" w:themeColor="text1"/>
          <w:sz w:val="24"/>
          <w:highlight w:val="none"/>
          <w14:textFill>
            <w14:solidFill>
              <w14:schemeClr w14:val="tx1"/>
            </w14:solidFill>
          </w14:textFill>
        </w:rPr>
        <w:t>制</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00" w:name="_Toc339019993"/>
      <w:bookmarkStart w:id="501" w:name="_Toc374454578"/>
      <w:bookmarkStart w:id="502" w:name="_Toc336681913"/>
      <w:bookmarkStart w:id="503" w:name="_Toc349127604"/>
      <w:bookmarkStart w:id="504" w:name="_Toc366072506"/>
      <w:bookmarkStart w:id="505" w:name="_Toc333935665"/>
      <w:bookmarkStart w:id="506" w:name="_Toc30214"/>
      <w:bookmarkStart w:id="507" w:name="_Toc333238611"/>
      <w:bookmarkStart w:id="508" w:name="_Toc332206686"/>
      <w:bookmarkStart w:id="509" w:name="_Toc330459963"/>
      <w:bookmarkStart w:id="510" w:name="_Toc339441065"/>
      <w:bookmarkStart w:id="511" w:name="_Toc350756428"/>
      <w:bookmarkStart w:id="512" w:name="_Toc503785406"/>
      <w:bookmarkStart w:id="513" w:name="_Toc365985157"/>
      <w:bookmarkStart w:id="514" w:name="_Toc332270324"/>
      <w:bookmarkStart w:id="515" w:name="_Toc341348316"/>
      <w:bookmarkStart w:id="516" w:name="_Toc333237655"/>
      <w:bookmarkStart w:id="517" w:name="_Toc345513845"/>
      <w:bookmarkStart w:id="518" w:name="_Toc342296738"/>
      <w:bookmarkStart w:id="519" w:name="_Toc342060352"/>
      <w:bookmarkStart w:id="520" w:name="_Toc336681558"/>
      <w:bookmarkStart w:id="521" w:name="_Toc340677048"/>
      <w:bookmarkStart w:id="522" w:name="_Toc349143567"/>
      <w:bookmarkStart w:id="523" w:name="_Toc339020073"/>
      <w:bookmarkStart w:id="524" w:name="_Toc331512876"/>
      <w:bookmarkStart w:id="525" w:name="_Toc337632336"/>
      <w:bookmarkStart w:id="526" w:name="_Toc333237766"/>
      <w:bookmarkStart w:id="527" w:name="_Toc340507420"/>
      <w:bookmarkStart w:id="528" w:name="_Toc365967051"/>
      <w:bookmarkStart w:id="529" w:name="_Toc339362278"/>
      <w:bookmarkStart w:id="530" w:name="_Toc331684016"/>
      <w:bookmarkStart w:id="531" w:name="_Toc30900"/>
      <w:bookmarkStart w:id="532" w:name="_Toc339019867"/>
      <w:bookmarkStart w:id="533" w:name="_Toc350438727"/>
      <w:bookmarkStart w:id="534" w:name="_Toc333935324"/>
      <w:bookmarkStart w:id="535" w:name="_Toc339020211"/>
      <w:bookmarkStart w:id="536" w:name="_Toc340672847"/>
      <w:bookmarkStart w:id="537" w:name="_Toc497224204"/>
      <w:r>
        <w:rPr>
          <w:rFonts w:hint="eastAsia"/>
          <w:color w:val="000000" w:themeColor="text1"/>
          <w:highlight w:val="none"/>
          <w14:textFill>
            <w14:solidFill>
              <w14:schemeClr w14:val="tx1"/>
            </w14:solidFill>
          </w14:textFill>
        </w:rPr>
        <w:t>要求</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38" w:name="_Toc333935666"/>
      <w:bookmarkStart w:id="539" w:name="_Toc333238612"/>
      <w:bookmarkStart w:id="540" w:name="_Toc333237656"/>
      <w:bookmarkStart w:id="541" w:name="_Toc331512877"/>
      <w:bookmarkStart w:id="542" w:name="_Toc339020212"/>
      <w:bookmarkStart w:id="543" w:name="_Toc339020074"/>
      <w:bookmarkStart w:id="544" w:name="_Toc337632337"/>
      <w:bookmarkStart w:id="545" w:name="_Toc339019868"/>
      <w:bookmarkStart w:id="546" w:name="_Toc365985158"/>
      <w:bookmarkStart w:id="547" w:name="_Toc337"/>
      <w:bookmarkStart w:id="548" w:name="_Toc336681559"/>
      <w:bookmarkStart w:id="549" w:name="_Toc342060353"/>
      <w:bookmarkStart w:id="550" w:name="_Toc340677049"/>
      <w:bookmarkStart w:id="551" w:name="_Toc341348317"/>
      <w:bookmarkStart w:id="552" w:name="_Toc332206687"/>
      <w:bookmarkStart w:id="553" w:name="_Toc331684017"/>
      <w:bookmarkStart w:id="554" w:name="_Toc340672848"/>
      <w:bookmarkStart w:id="555" w:name="_Toc333237767"/>
      <w:bookmarkStart w:id="556" w:name="_Toc503785407"/>
      <w:bookmarkStart w:id="557" w:name="_Toc374454579"/>
      <w:bookmarkStart w:id="558" w:name="_Toc349143568"/>
      <w:bookmarkStart w:id="559" w:name="_Toc350756429"/>
      <w:bookmarkStart w:id="560" w:name="_Toc340507421"/>
      <w:bookmarkStart w:id="561" w:name="_Toc332270325"/>
      <w:bookmarkStart w:id="562" w:name="_Toc336681914"/>
      <w:bookmarkStart w:id="563" w:name="_Toc342296739"/>
      <w:bookmarkStart w:id="564" w:name="_Toc345513846"/>
      <w:bookmarkStart w:id="565" w:name="_Toc26844"/>
      <w:bookmarkStart w:id="566" w:name="_Toc339362279"/>
      <w:bookmarkStart w:id="567" w:name="_Toc333935325"/>
      <w:bookmarkStart w:id="568" w:name="_Toc349127605"/>
      <w:bookmarkStart w:id="569" w:name="_Toc497224205"/>
      <w:bookmarkStart w:id="570" w:name="_Toc366072507"/>
      <w:bookmarkStart w:id="571" w:name="_Toc330459964"/>
      <w:bookmarkStart w:id="572" w:name="_Toc350438728"/>
      <w:bookmarkStart w:id="573" w:name="_Toc339441066"/>
      <w:bookmarkStart w:id="574" w:name="_Toc339019994"/>
      <w:bookmarkStart w:id="575" w:name="_Toc365967052"/>
      <w:r>
        <w:rPr>
          <w:rFonts w:hint="eastAsia"/>
          <w:color w:val="000000" w:themeColor="text1"/>
          <w:highlight w:val="none"/>
          <w14:textFill>
            <w14:solidFill>
              <w14:schemeClr w14:val="tx1"/>
            </w14:solidFill>
          </w14:textFill>
        </w:rPr>
        <w:t>投标语言及计量单位</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投标人提交的投标文件（包括资格证明文件）以及投标人与招标代理机构就有关投标的所有往来函电均应使用中文。投标人可以提交用其它语言打印的资料，但有关段落必须译成中文。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76" w:name="_Toc341348318"/>
      <w:bookmarkStart w:id="577" w:name="_Toc331512878"/>
      <w:bookmarkStart w:id="578" w:name="_Toc333935667"/>
      <w:bookmarkStart w:id="579" w:name="_Toc366072508"/>
      <w:bookmarkStart w:id="580" w:name="_Toc336681915"/>
      <w:bookmarkStart w:id="581" w:name="_Toc1426"/>
      <w:bookmarkStart w:id="582" w:name="_Toc333935326"/>
      <w:bookmarkStart w:id="583" w:name="_Toc333237657"/>
      <w:bookmarkStart w:id="584" w:name="_Toc349143569"/>
      <w:bookmarkStart w:id="585" w:name="_Toc340672849"/>
      <w:bookmarkStart w:id="586" w:name="_Toc365967053"/>
      <w:bookmarkStart w:id="587" w:name="_Toc332270326"/>
      <w:bookmarkStart w:id="588" w:name="_Toc339362280"/>
      <w:bookmarkStart w:id="589" w:name="_Toc350438729"/>
      <w:bookmarkStart w:id="590" w:name="_Toc331684018"/>
      <w:bookmarkStart w:id="591" w:name="_Toc339441067"/>
      <w:bookmarkStart w:id="592" w:name="_Toc336681560"/>
      <w:bookmarkStart w:id="593" w:name="_Toc497224206"/>
      <w:bookmarkStart w:id="594" w:name="_Toc374454580"/>
      <w:bookmarkStart w:id="595" w:name="_Toc332206688"/>
      <w:bookmarkStart w:id="596" w:name="_Toc365985159"/>
      <w:bookmarkStart w:id="597" w:name="_Toc503785408"/>
      <w:bookmarkStart w:id="598" w:name="_Toc337632338"/>
      <w:bookmarkStart w:id="599" w:name="_Toc350756430"/>
      <w:bookmarkStart w:id="600" w:name="_Toc339019995"/>
      <w:bookmarkStart w:id="601" w:name="_Toc333238613"/>
      <w:bookmarkStart w:id="602" w:name="_Toc342060354"/>
      <w:bookmarkStart w:id="603" w:name="_Toc340507422"/>
      <w:bookmarkStart w:id="604" w:name="_Toc349127606"/>
      <w:bookmarkStart w:id="605" w:name="_Toc339020213"/>
      <w:bookmarkStart w:id="606" w:name="_Toc330459965"/>
      <w:bookmarkStart w:id="607" w:name="_Toc345513847"/>
      <w:bookmarkStart w:id="608" w:name="_Toc23246"/>
      <w:bookmarkStart w:id="609" w:name="_Toc333237768"/>
      <w:bookmarkStart w:id="610" w:name="_Toc339019869"/>
      <w:bookmarkStart w:id="611" w:name="_Toc342296740"/>
      <w:bookmarkStart w:id="612" w:name="_Toc339020075"/>
      <w:bookmarkStart w:id="613" w:name="_Toc340677050"/>
      <w:r>
        <w:rPr>
          <w:rFonts w:hint="eastAsia"/>
          <w:color w:val="000000" w:themeColor="text1"/>
          <w:highlight w:val="none"/>
          <w14:textFill>
            <w14:solidFill>
              <w14:schemeClr w14:val="tx1"/>
            </w14:solidFill>
          </w14:textFill>
        </w:rPr>
        <w:t>投标文件的构成</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614" w:name="_Toc503785409"/>
      <w:bookmarkStart w:id="615"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16" w:name="_Toc340677051"/>
      <w:bookmarkStart w:id="617" w:name="_Toc331684019"/>
      <w:bookmarkStart w:id="618" w:name="_Toc330459966"/>
      <w:bookmarkStart w:id="619" w:name="_Toc340672850"/>
      <w:bookmarkStart w:id="620" w:name="_Toc339362281"/>
      <w:bookmarkStart w:id="621" w:name="_Toc345513848"/>
      <w:bookmarkStart w:id="622" w:name="_Toc340507423"/>
      <w:bookmarkStart w:id="623" w:name="_Toc339020214"/>
      <w:bookmarkStart w:id="624" w:name="_Toc332206689"/>
      <w:bookmarkStart w:id="625" w:name="_Toc333237658"/>
      <w:bookmarkStart w:id="626" w:name="_Toc339019996"/>
      <w:bookmarkStart w:id="627" w:name="_Toc333238614"/>
      <w:bookmarkStart w:id="628" w:name="_Toc342296741"/>
      <w:bookmarkStart w:id="629" w:name="_Toc350438730"/>
      <w:bookmarkStart w:id="630" w:name="_Toc365985160"/>
      <w:bookmarkStart w:id="631" w:name="_Toc366072509"/>
      <w:bookmarkStart w:id="632" w:name="_Toc341348319"/>
      <w:bookmarkStart w:id="633" w:name="_Toc350756431"/>
      <w:bookmarkStart w:id="634" w:name="_Toc349143570"/>
      <w:bookmarkStart w:id="635" w:name="_Toc333237769"/>
      <w:bookmarkStart w:id="636" w:name="_Toc336681561"/>
      <w:bookmarkStart w:id="637" w:name="_Toc331512879"/>
      <w:bookmarkStart w:id="638" w:name="_Toc339019870"/>
      <w:bookmarkStart w:id="639" w:name="_Toc333935327"/>
      <w:bookmarkStart w:id="640" w:name="_Toc332270327"/>
      <w:bookmarkStart w:id="641" w:name="_Toc333935668"/>
      <w:bookmarkStart w:id="642" w:name="_Toc339020076"/>
      <w:bookmarkStart w:id="643" w:name="_Toc365967054"/>
      <w:bookmarkStart w:id="644" w:name="_Toc342060355"/>
      <w:bookmarkStart w:id="645" w:name="_Toc349127607"/>
      <w:bookmarkStart w:id="646" w:name="_Toc374454581"/>
      <w:bookmarkStart w:id="647" w:name="_Toc339441068"/>
      <w:bookmarkStart w:id="648" w:name="_Toc336681916"/>
      <w:bookmarkStart w:id="649" w:name="_Toc27369"/>
      <w:bookmarkStart w:id="650" w:name="_Toc337632339"/>
      <w:bookmarkStart w:id="651" w:name="_Toc7703"/>
      <w:r>
        <w:rPr>
          <w:rFonts w:hint="eastAsia"/>
          <w:color w:val="000000" w:themeColor="text1"/>
          <w:highlight w:val="none"/>
          <w14:textFill>
            <w14:solidFill>
              <w14:schemeClr w14:val="tx1"/>
            </w14:solidFill>
          </w14:textFill>
        </w:rPr>
        <w:t>投标文件格式</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52" w:name="_Toc333237770"/>
      <w:bookmarkStart w:id="653" w:name="_Toc366072510"/>
      <w:bookmarkStart w:id="654" w:name="_Toc341348320"/>
      <w:bookmarkStart w:id="655" w:name="_Toc345513849"/>
      <w:bookmarkStart w:id="656" w:name="_Toc349127608"/>
      <w:bookmarkStart w:id="657" w:name="_Toc5003680"/>
      <w:bookmarkStart w:id="658" w:name="_Toc349143571"/>
      <w:bookmarkStart w:id="659" w:name="_Toc333238615"/>
      <w:bookmarkStart w:id="660" w:name="_Toc350438731"/>
      <w:bookmarkStart w:id="661" w:name="_Toc339020077"/>
      <w:bookmarkStart w:id="662" w:name="_Toc342296742"/>
      <w:bookmarkStart w:id="663" w:name="_Toc336681917"/>
      <w:bookmarkStart w:id="664" w:name="_Toc339019997"/>
      <w:bookmarkStart w:id="665" w:name="_Toc339020215"/>
      <w:bookmarkStart w:id="666" w:name="_Toc340677052"/>
      <w:bookmarkStart w:id="667" w:name="_Toc333935328"/>
      <w:bookmarkStart w:id="668" w:name="_Toc365967055"/>
      <w:bookmarkStart w:id="669" w:name="_Toc336681562"/>
      <w:bookmarkStart w:id="670" w:name="_Toc365985161"/>
      <w:bookmarkStart w:id="671" w:name="_Toc342060356"/>
      <w:bookmarkStart w:id="672" w:name="_Toc23963"/>
      <w:bookmarkStart w:id="673" w:name="_Toc331684020"/>
      <w:bookmarkStart w:id="674" w:name="_Toc332206690"/>
      <w:bookmarkStart w:id="675" w:name="_Toc333935669"/>
      <w:bookmarkStart w:id="676" w:name="_Toc331512880"/>
      <w:bookmarkStart w:id="677" w:name="_Toc374454582"/>
      <w:bookmarkStart w:id="678" w:name="_Toc339019871"/>
      <w:bookmarkStart w:id="679" w:name="_Toc333237659"/>
      <w:bookmarkStart w:id="680" w:name="_Toc332270328"/>
      <w:bookmarkStart w:id="681" w:name="_Toc337632340"/>
      <w:bookmarkStart w:id="682" w:name="_Toc340672851"/>
      <w:bookmarkStart w:id="683" w:name="_Toc339441069"/>
      <w:bookmarkStart w:id="684" w:name="_Toc339362282"/>
      <w:bookmarkStart w:id="685" w:name="_Toc330459967"/>
      <w:bookmarkStart w:id="686" w:name="_Toc16686"/>
      <w:bookmarkStart w:id="687" w:name="_Toc340507424"/>
      <w:bookmarkStart w:id="688" w:name="_Toc350756432"/>
      <w:r>
        <w:rPr>
          <w:rFonts w:hint="eastAsia"/>
          <w:color w:val="000000" w:themeColor="text1"/>
          <w:highlight w:val="none"/>
          <w14:textFill>
            <w14:solidFill>
              <w14:schemeClr w14:val="tx1"/>
            </w14:solidFill>
          </w14:textFill>
        </w:rPr>
        <w:t>资格证明文件</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招标人签订合同，就中标项目向招标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89" w:name="_Toc350756433"/>
      <w:bookmarkStart w:id="690" w:name="_Toc366072511"/>
      <w:bookmarkStart w:id="691" w:name="_Toc365985162"/>
      <w:bookmarkStart w:id="692" w:name="_Toc333237771"/>
      <w:bookmarkStart w:id="693" w:name="_Toc336681563"/>
      <w:bookmarkStart w:id="694" w:name="_Toc22789"/>
      <w:bookmarkStart w:id="695" w:name="_Toc374454583"/>
      <w:bookmarkStart w:id="696" w:name="_Toc336681918"/>
      <w:bookmarkStart w:id="697" w:name="_Toc331684021"/>
      <w:bookmarkStart w:id="698" w:name="_Toc340507425"/>
      <w:bookmarkStart w:id="699" w:name="_Toc342060357"/>
      <w:bookmarkStart w:id="700" w:name="_Toc332206691"/>
      <w:bookmarkStart w:id="701" w:name="_Toc332270329"/>
      <w:bookmarkStart w:id="702" w:name="_Toc337632341"/>
      <w:bookmarkStart w:id="703" w:name="_Toc333238616"/>
      <w:bookmarkStart w:id="704" w:name="_Toc339362283"/>
      <w:bookmarkStart w:id="705" w:name="_Toc340677053"/>
      <w:bookmarkStart w:id="706" w:name="_Toc330459968"/>
      <w:bookmarkStart w:id="707" w:name="_Toc333237660"/>
      <w:bookmarkStart w:id="708" w:name="_Toc345513850"/>
      <w:bookmarkStart w:id="709" w:name="_Toc349127609"/>
      <w:bookmarkStart w:id="710" w:name="_Toc339441070"/>
      <w:bookmarkStart w:id="711" w:name="_Toc339019872"/>
      <w:bookmarkStart w:id="712" w:name="_Toc341348321"/>
      <w:bookmarkStart w:id="713" w:name="_Toc350438732"/>
      <w:bookmarkStart w:id="714" w:name="_Toc339020078"/>
      <w:bookmarkStart w:id="715" w:name="_Toc339019998"/>
      <w:bookmarkStart w:id="716" w:name="_Toc339020216"/>
      <w:bookmarkStart w:id="717" w:name="_Toc340672852"/>
      <w:bookmarkStart w:id="718" w:name="_Toc333935670"/>
      <w:bookmarkStart w:id="719" w:name="_Toc16717"/>
      <w:bookmarkStart w:id="720" w:name="_Toc342296743"/>
      <w:bookmarkStart w:id="721" w:name="_Toc365967056"/>
      <w:bookmarkStart w:id="722" w:name="_Toc331512881"/>
      <w:bookmarkStart w:id="723" w:name="_Toc5003681"/>
      <w:bookmarkStart w:id="724" w:name="_Toc333935329"/>
      <w:bookmarkStart w:id="725" w:name="_Toc349143572"/>
      <w:r>
        <w:rPr>
          <w:rFonts w:hint="eastAsia"/>
          <w:color w:val="000000" w:themeColor="text1"/>
          <w:highlight w:val="none"/>
          <w14:textFill>
            <w14:solidFill>
              <w14:schemeClr w14:val="tx1"/>
            </w14:solidFill>
          </w14:textFill>
        </w:rPr>
        <w:t>货物和服务的证明文件</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货物从招标人开始使用至招标要求中规定的周期内正常、连续地使用所必须的备件和专用工具清单，包括备件和专用工具的货源及现行价格。</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对照招标文件技术规格，逐条说明所提供货物和服务已对招标人的技术规格做出了实质性的响应，或申明与技术规格条文的偏差和例外。特别对于有具体参数要求的指标，投标人必须提供所投设备的具体参数值。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4"/>
        </w:numPr>
        <w:tabs>
          <w:tab w:val="left" w:pos="720"/>
        </w:tabs>
        <w:spacing w:before="240" w:after="120"/>
        <w:ind w:left="2432" w:hanging="2432"/>
        <w:rPr>
          <w:rFonts w:ascii="宋体" w:hAnsi="宋体"/>
          <w:color w:val="000000" w:themeColor="text1"/>
          <w:highlight w:val="none"/>
          <w14:textFill>
            <w14:solidFill>
              <w14:schemeClr w14:val="tx1"/>
            </w14:solidFill>
          </w14:textFill>
        </w:rPr>
      </w:pPr>
      <w:bookmarkStart w:id="726" w:name="_Toc333935671"/>
      <w:bookmarkStart w:id="727" w:name="_Toc333238617"/>
      <w:bookmarkStart w:id="728" w:name="_Toc341348322"/>
      <w:bookmarkStart w:id="729" w:name="_Toc339362284"/>
      <w:bookmarkStart w:id="730" w:name="_Toc331684022"/>
      <w:bookmarkStart w:id="731" w:name="_Toc332206692"/>
      <w:bookmarkStart w:id="732" w:name="_Toc337632342"/>
      <w:bookmarkStart w:id="733" w:name="_Toc336681919"/>
      <w:bookmarkStart w:id="734" w:name="_Toc339019999"/>
      <w:bookmarkStart w:id="735" w:name="_Toc503785411"/>
      <w:bookmarkStart w:id="736" w:name="_Toc333935330"/>
      <w:bookmarkStart w:id="737" w:name="_Toc333237772"/>
      <w:bookmarkStart w:id="738" w:name="_Toc349143573"/>
      <w:bookmarkStart w:id="739" w:name="_Toc350756434"/>
      <w:bookmarkStart w:id="740" w:name="_Toc339020217"/>
      <w:bookmarkStart w:id="741" w:name="_Toc330459969"/>
      <w:bookmarkStart w:id="742" w:name="_Toc340507426"/>
      <w:bookmarkStart w:id="743" w:name="_Toc336681564"/>
      <w:bookmarkStart w:id="744" w:name="_Toc366072512"/>
      <w:bookmarkStart w:id="745" w:name="_Toc332270330"/>
      <w:bookmarkStart w:id="746" w:name="_Toc342296744"/>
      <w:bookmarkStart w:id="747" w:name="_Toc497224209"/>
      <w:bookmarkStart w:id="748" w:name="_Toc339020079"/>
      <w:bookmarkStart w:id="749" w:name="_Toc345513851"/>
      <w:bookmarkStart w:id="750" w:name="_Toc331512882"/>
      <w:bookmarkStart w:id="751" w:name="_Toc339019873"/>
      <w:bookmarkStart w:id="752" w:name="_Toc340672853"/>
      <w:bookmarkStart w:id="753" w:name="_Toc349127610"/>
      <w:bookmarkStart w:id="754" w:name="_Toc365967057"/>
      <w:bookmarkStart w:id="755" w:name="_Toc350438733"/>
      <w:bookmarkStart w:id="756" w:name="_Toc365985163"/>
      <w:bookmarkStart w:id="757" w:name="_Toc342060358"/>
      <w:bookmarkStart w:id="758" w:name="_Toc13334"/>
      <w:bookmarkStart w:id="759" w:name="_Toc333237661"/>
      <w:bookmarkStart w:id="760" w:name="_Toc340677054"/>
      <w:bookmarkStart w:id="761" w:name="_Toc31064"/>
      <w:bookmarkStart w:id="762" w:name="_Toc374454584"/>
      <w:bookmarkStart w:id="763" w:name="_Toc339441071"/>
      <w:r>
        <w:rPr>
          <w:rFonts w:hint="eastAsia"/>
          <w:color w:val="000000" w:themeColor="text1"/>
          <w:highlight w:val="none"/>
          <w14:textFill>
            <w14:solidFill>
              <w14:schemeClr w14:val="tx1"/>
            </w14:solidFill>
          </w14:textFill>
        </w:rPr>
        <w:t>投标报价与投标货币</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投标人在投标文件中如有任何遗漏，影响到招标文件中规定的范围、质量、性能和项目的实施或限制了招标人的权利和投标人的义务，由此产生的费用由投标人负责。</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64" w:name="_Toc365985164"/>
      <w:bookmarkStart w:id="765" w:name="_Toc333935331"/>
      <w:bookmarkStart w:id="766" w:name="_Toc339441072"/>
      <w:bookmarkStart w:id="767" w:name="_Toc331512883"/>
      <w:bookmarkStart w:id="768" w:name="_Toc336681920"/>
      <w:bookmarkStart w:id="769" w:name="_Toc333237773"/>
      <w:bookmarkStart w:id="770" w:name="_Toc503785414"/>
      <w:bookmarkStart w:id="771" w:name="_Toc339019874"/>
      <w:bookmarkStart w:id="772" w:name="_Toc339020000"/>
      <w:bookmarkStart w:id="773" w:name="_Toc350438734"/>
      <w:bookmarkStart w:id="774" w:name="_Toc332270331"/>
      <w:bookmarkStart w:id="775" w:name="_Toc332206693"/>
      <w:bookmarkStart w:id="776" w:name="_Toc350756435"/>
      <w:bookmarkStart w:id="777" w:name="_Toc374454585"/>
      <w:bookmarkStart w:id="778" w:name="_Toc365967058"/>
      <w:bookmarkStart w:id="779" w:name="_Toc330459970"/>
      <w:bookmarkStart w:id="780" w:name="_Toc333238618"/>
      <w:bookmarkStart w:id="781" w:name="_Toc336681565"/>
      <w:bookmarkStart w:id="782" w:name="_Toc349143574"/>
      <w:bookmarkStart w:id="783" w:name="_Toc333237662"/>
      <w:bookmarkStart w:id="784" w:name="_Toc24415"/>
      <w:bookmarkStart w:id="785" w:name="_Toc349127611"/>
      <w:bookmarkStart w:id="786" w:name="_Toc337632343"/>
      <w:bookmarkStart w:id="787" w:name="_Toc333935672"/>
      <w:bookmarkStart w:id="788" w:name="_Toc345513852"/>
      <w:bookmarkStart w:id="789" w:name="_Toc340677055"/>
      <w:bookmarkStart w:id="790" w:name="_Toc20093"/>
      <w:bookmarkStart w:id="791" w:name="_Toc339020080"/>
      <w:bookmarkStart w:id="792" w:name="_Toc340672854"/>
      <w:bookmarkStart w:id="793" w:name="_Toc497224212"/>
      <w:bookmarkStart w:id="794" w:name="_Toc342296745"/>
      <w:bookmarkStart w:id="795" w:name="_Toc331684023"/>
      <w:bookmarkStart w:id="796" w:name="_Toc339362285"/>
      <w:bookmarkStart w:id="797" w:name="_Toc340507427"/>
      <w:bookmarkStart w:id="798" w:name="_Toc366072513"/>
      <w:bookmarkStart w:id="799" w:name="_Toc341348323"/>
      <w:bookmarkStart w:id="800" w:name="_Toc339020218"/>
      <w:bookmarkStart w:id="801" w:name="_Toc342060359"/>
      <w:r>
        <w:rPr>
          <w:rFonts w:hint="eastAsia"/>
          <w:color w:val="000000" w:themeColor="text1"/>
          <w:highlight w:val="none"/>
          <w14:textFill>
            <w14:solidFill>
              <w14:schemeClr w14:val="tx1"/>
            </w14:solidFill>
          </w14:textFill>
        </w:rPr>
        <w:t>投标保证金</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招标代理机构在因投标人的行为受到损害时，可根据第14.7条的规定，投标人的投标保证金不予退还。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未中标的投标人的投标保证金，招标代理机构应当自中标通知书发出之日起5个工作日内无息退还。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02" w:name="_Toc345513853"/>
      <w:bookmarkStart w:id="803" w:name="_Toc339362286"/>
      <w:bookmarkStart w:id="804" w:name="_Toc339020081"/>
      <w:bookmarkStart w:id="805" w:name="_Toc339020219"/>
      <w:bookmarkStart w:id="806" w:name="_Toc7224"/>
      <w:bookmarkStart w:id="807" w:name="_Toc332270332"/>
      <w:bookmarkStart w:id="808" w:name="_Toc333237774"/>
      <w:bookmarkStart w:id="809" w:name="_Toc365985165"/>
      <w:bookmarkStart w:id="810" w:name="_Toc497224213"/>
      <w:bookmarkStart w:id="811" w:name="_Toc342060360"/>
      <w:bookmarkStart w:id="812" w:name="_Toc333935673"/>
      <w:bookmarkStart w:id="813" w:name="_Toc350756436"/>
      <w:bookmarkStart w:id="814" w:name="_Toc337632344"/>
      <w:bookmarkStart w:id="815" w:name="_Toc336681921"/>
      <w:bookmarkStart w:id="816" w:name="_Toc339020001"/>
      <w:bookmarkStart w:id="817" w:name="_Toc331684024"/>
      <w:bookmarkStart w:id="818" w:name="_Toc366072514"/>
      <w:bookmarkStart w:id="819" w:name="_Toc349143575"/>
      <w:bookmarkStart w:id="820" w:name="_Toc336681566"/>
      <w:bookmarkStart w:id="821" w:name="_Toc332206694"/>
      <w:bookmarkStart w:id="822" w:name="_Toc340507428"/>
      <w:bookmarkStart w:id="823" w:name="_Toc374454586"/>
      <w:bookmarkStart w:id="824" w:name="_Toc503785415"/>
      <w:bookmarkStart w:id="825" w:name="_Toc350438735"/>
      <w:bookmarkStart w:id="826" w:name="_Toc365967059"/>
      <w:bookmarkStart w:id="827" w:name="_Toc341348324"/>
      <w:bookmarkStart w:id="828" w:name="_Toc630"/>
      <w:bookmarkStart w:id="829" w:name="_Toc349127612"/>
      <w:bookmarkStart w:id="830" w:name="_Toc333238619"/>
      <w:bookmarkStart w:id="831" w:name="_Toc342296746"/>
      <w:bookmarkStart w:id="832" w:name="_Toc331512884"/>
      <w:bookmarkStart w:id="833" w:name="_Toc330459971"/>
      <w:bookmarkStart w:id="834" w:name="_Toc340672855"/>
      <w:bookmarkStart w:id="835" w:name="_Toc339441073"/>
      <w:bookmarkStart w:id="836" w:name="_Toc333935332"/>
      <w:bookmarkStart w:id="837" w:name="_Toc339019875"/>
      <w:bookmarkStart w:id="838" w:name="_Toc340677056"/>
      <w:bookmarkStart w:id="839" w:name="_Toc333237663"/>
      <w:r>
        <w:rPr>
          <w:rFonts w:hint="eastAsia"/>
          <w:color w:val="000000" w:themeColor="text1"/>
          <w:highlight w:val="none"/>
          <w14:textFill>
            <w14:solidFill>
              <w14:schemeClr w14:val="tx1"/>
            </w14:solidFill>
          </w14:textFill>
        </w:rPr>
        <w:t>投标有效期</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招标代理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40" w:name="_Toc342296747"/>
      <w:bookmarkStart w:id="841" w:name="_Toc331684025"/>
      <w:bookmarkStart w:id="842" w:name="_Toc342060361"/>
      <w:bookmarkStart w:id="843" w:name="_Toc339441074"/>
      <w:bookmarkStart w:id="844" w:name="_Toc2734"/>
      <w:bookmarkStart w:id="845" w:name="_Toc333237775"/>
      <w:bookmarkStart w:id="846" w:name="_Toc333935674"/>
      <w:bookmarkStart w:id="847" w:name="_Toc374454587"/>
      <w:bookmarkStart w:id="848" w:name="_Toc3344"/>
      <w:bookmarkStart w:id="849" w:name="_Toc341348325"/>
      <w:bookmarkStart w:id="850" w:name="_Toc350756437"/>
      <w:bookmarkStart w:id="851" w:name="_Toc365967060"/>
      <w:bookmarkStart w:id="852" w:name="_Toc340677057"/>
      <w:bookmarkStart w:id="853" w:name="_Toc350438736"/>
      <w:bookmarkStart w:id="854" w:name="_Toc333238620"/>
      <w:bookmarkStart w:id="855" w:name="_Toc111534389"/>
      <w:bookmarkStart w:id="856" w:name="_Toc339020002"/>
      <w:bookmarkStart w:id="857" w:name="_Toc336681922"/>
      <w:bookmarkStart w:id="858" w:name="_Toc365985166"/>
      <w:bookmarkStart w:id="859" w:name="_Toc349127613"/>
      <w:bookmarkStart w:id="860" w:name="_Toc340507429"/>
      <w:bookmarkStart w:id="861" w:name="_Toc332270333"/>
      <w:bookmarkStart w:id="862" w:name="_Toc330459972"/>
      <w:bookmarkStart w:id="863" w:name="_Toc497224214"/>
      <w:bookmarkStart w:id="864" w:name="_Toc332206695"/>
      <w:bookmarkStart w:id="865" w:name="_Toc366072515"/>
      <w:bookmarkStart w:id="866" w:name="_Toc339020082"/>
      <w:bookmarkStart w:id="867" w:name="_Toc337632345"/>
      <w:bookmarkStart w:id="868" w:name="_Toc340672856"/>
      <w:bookmarkStart w:id="869" w:name="_Toc349143576"/>
      <w:bookmarkStart w:id="870" w:name="_Toc503785416"/>
      <w:bookmarkStart w:id="871" w:name="_Toc339020220"/>
      <w:bookmarkStart w:id="872" w:name="_Toc331512885"/>
      <w:bookmarkStart w:id="873" w:name="_Toc339362287"/>
      <w:bookmarkStart w:id="874" w:name="_Toc333935333"/>
      <w:bookmarkStart w:id="875" w:name="_Toc345513854"/>
      <w:bookmarkStart w:id="876" w:name="_Toc333237664"/>
      <w:bookmarkStart w:id="877" w:name="_Toc336681567"/>
      <w:bookmarkStart w:id="878" w:name="_Toc339019876"/>
      <w:r>
        <w:rPr>
          <w:rFonts w:hint="eastAsia"/>
          <w:color w:val="000000" w:themeColor="text1"/>
          <w:highlight w:val="none"/>
          <w14:textFill>
            <w14:solidFill>
              <w14:schemeClr w14:val="tx1"/>
            </w14:solidFill>
          </w14:textFill>
        </w:rPr>
        <w:t>投标文件的签署及规定</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79" w:name="_Toc342060362"/>
      <w:bookmarkStart w:id="880" w:name="_Toc374454588"/>
      <w:bookmarkStart w:id="881" w:name="_Toc349143577"/>
      <w:bookmarkStart w:id="882" w:name="_Toc332270334"/>
      <w:bookmarkStart w:id="883" w:name="_Toc349127614"/>
      <w:bookmarkStart w:id="884" w:name="_Toc339020221"/>
      <w:bookmarkStart w:id="885" w:name="_Toc503785417"/>
      <w:bookmarkStart w:id="886" w:name="_Toc333935334"/>
      <w:bookmarkStart w:id="887" w:name="_Toc365985167"/>
      <w:bookmarkStart w:id="888" w:name="_Toc365967061"/>
      <w:bookmarkStart w:id="889" w:name="_Toc366072516"/>
      <w:bookmarkStart w:id="890" w:name="_Toc336681568"/>
      <w:bookmarkStart w:id="891" w:name="_Toc111534390"/>
      <w:bookmarkStart w:id="892" w:name="_Toc339020003"/>
      <w:bookmarkStart w:id="893" w:name="_Toc339362288"/>
      <w:bookmarkStart w:id="894" w:name="_Toc330459973"/>
      <w:bookmarkStart w:id="895" w:name="_Toc333935675"/>
      <w:bookmarkStart w:id="896" w:name="_Toc340677058"/>
      <w:bookmarkStart w:id="897" w:name="_Toc331684026"/>
      <w:bookmarkStart w:id="898" w:name="_Toc337632346"/>
      <w:bookmarkStart w:id="899" w:name="_Toc333237665"/>
      <w:bookmarkStart w:id="900" w:name="_Toc339441075"/>
      <w:bookmarkStart w:id="901" w:name="_Toc341348326"/>
      <w:bookmarkStart w:id="902" w:name="_Toc345513855"/>
      <w:bookmarkStart w:id="903" w:name="_Toc340507430"/>
      <w:bookmarkStart w:id="904" w:name="_Toc350438737"/>
      <w:bookmarkStart w:id="905" w:name="_Toc339020083"/>
      <w:bookmarkStart w:id="906" w:name="_Toc340672857"/>
      <w:bookmarkStart w:id="907" w:name="_Toc332206696"/>
      <w:bookmarkStart w:id="908" w:name="_Toc497224215"/>
      <w:bookmarkStart w:id="909" w:name="_Toc331512886"/>
      <w:bookmarkStart w:id="910" w:name="_Toc333238621"/>
      <w:bookmarkStart w:id="911" w:name="_Toc333237776"/>
      <w:bookmarkStart w:id="912" w:name="_Toc339019877"/>
      <w:bookmarkStart w:id="913" w:name="_Toc336681923"/>
      <w:bookmarkStart w:id="914" w:name="_Toc342296748"/>
      <w:bookmarkStart w:id="915" w:name="_Toc350756438"/>
      <w:r>
        <w:rPr>
          <w:color w:val="000000" w:themeColor="text1"/>
          <w:sz w:val="24"/>
          <w:highlight w:val="none"/>
          <w14:textFill>
            <w14:solidFill>
              <w14:schemeClr w14:val="tx1"/>
            </w14:solidFill>
          </w14:textFill>
        </w:rPr>
        <w:br w:type="page"/>
      </w:r>
      <w:bookmarkStart w:id="916" w:name="_Toc15506"/>
      <w:bookmarkStart w:id="917" w:name="_Toc10195"/>
      <w:r>
        <w:rPr>
          <w:rFonts w:hint="eastAsia"/>
          <w:color w:val="000000" w:themeColor="text1"/>
          <w:sz w:val="24"/>
          <w:highlight w:val="none"/>
          <w14:textFill>
            <w14:solidFill>
              <w14:schemeClr w14:val="tx1"/>
            </w14:solidFill>
          </w14:textFill>
        </w:rPr>
        <w:t>Ｄ投标文件的递交</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pPr>
        <w:pStyle w:val="5"/>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918" w:name="_Toc111534391"/>
      <w:bookmarkStart w:id="919" w:name="_Toc503785418"/>
      <w:bookmarkStart w:id="920" w:name="_Toc339020222"/>
      <w:bookmarkStart w:id="921" w:name="_Toc339441076"/>
      <w:bookmarkStart w:id="922" w:name="_Toc366072517"/>
      <w:bookmarkStart w:id="923" w:name="_Toc341348327"/>
      <w:bookmarkStart w:id="924" w:name="_Toc345513856"/>
      <w:bookmarkStart w:id="925" w:name="_Toc336681569"/>
      <w:bookmarkStart w:id="926" w:name="_Toc333237666"/>
      <w:bookmarkStart w:id="927" w:name="_Toc330459974"/>
      <w:bookmarkStart w:id="928" w:name="_Toc365967062"/>
      <w:bookmarkStart w:id="929" w:name="_Toc332206697"/>
      <w:bookmarkStart w:id="930" w:name="_Toc497224216"/>
      <w:bookmarkStart w:id="931" w:name="_Toc350438738"/>
      <w:bookmarkStart w:id="932" w:name="_Toc365985168"/>
      <w:bookmarkStart w:id="933" w:name="_Toc342296749"/>
      <w:bookmarkStart w:id="934" w:name="_Toc333237777"/>
      <w:bookmarkStart w:id="935" w:name="_Toc339362289"/>
      <w:bookmarkStart w:id="936" w:name="_Toc332270335"/>
      <w:bookmarkStart w:id="937" w:name="_Toc331684027"/>
      <w:bookmarkStart w:id="938" w:name="_Toc349143578"/>
      <w:bookmarkStart w:id="939" w:name="_Toc339020084"/>
      <w:bookmarkStart w:id="940" w:name="_Toc333238622"/>
      <w:bookmarkStart w:id="941" w:name="_Toc333935676"/>
      <w:bookmarkStart w:id="942" w:name="_Toc337632347"/>
      <w:bookmarkStart w:id="943" w:name="_Toc333935335"/>
      <w:bookmarkStart w:id="944" w:name="_Toc339020004"/>
      <w:bookmarkStart w:id="945" w:name="_Toc349127615"/>
      <w:bookmarkStart w:id="946" w:name="_Toc340507431"/>
      <w:bookmarkStart w:id="947" w:name="_Toc340677059"/>
      <w:bookmarkStart w:id="948" w:name="_Toc339019878"/>
      <w:bookmarkStart w:id="949" w:name="_Toc340672858"/>
      <w:bookmarkStart w:id="950" w:name="_Toc350756439"/>
      <w:bookmarkStart w:id="951" w:name="_Toc331512887"/>
      <w:bookmarkStart w:id="952" w:name="_Toc336681924"/>
      <w:bookmarkStart w:id="953" w:name="_Toc342060363"/>
      <w:bookmarkStart w:id="954" w:name="_Toc374454589"/>
      <w:r>
        <w:rPr>
          <w:rFonts w:hint="eastAsia"/>
          <w:color w:val="000000" w:themeColor="text1"/>
          <w:highlight w:val="none"/>
          <w14:textFill>
            <w14:solidFill>
              <w14:schemeClr w14:val="tx1"/>
            </w14:solidFill>
          </w14:textFill>
        </w:rPr>
        <w:t xml:space="preserve">     </w:t>
      </w:r>
      <w:bookmarkStart w:id="955" w:name="_Toc25198"/>
      <w:bookmarkStart w:id="956" w:name="_Toc9564"/>
      <w:r>
        <w:rPr>
          <w:rFonts w:hint="eastAsia"/>
          <w:color w:val="000000" w:themeColor="text1"/>
          <w:highlight w:val="none"/>
          <w14:textFill>
            <w14:solidFill>
              <w14:schemeClr w14:val="tx1"/>
            </w14:solidFill>
          </w14:textFill>
        </w:rPr>
        <w:t>投标文件的密封和标记</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57" w:name="_Toc331512888"/>
      <w:bookmarkStart w:id="958" w:name="_Toc349127616"/>
      <w:bookmarkStart w:id="959" w:name="_Toc111534392"/>
      <w:bookmarkStart w:id="960" w:name="_Toc339020005"/>
      <w:bookmarkStart w:id="961" w:name="_Toc350438739"/>
      <w:bookmarkStart w:id="962" w:name="_Toc339019879"/>
      <w:bookmarkStart w:id="963" w:name="_Toc332206698"/>
      <w:bookmarkStart w:id="964" w:name="_Toc336681570"/>
      <w:bookmarkStart w:id="965" w:name="_Toc340677060"/>
      <w:bookmarkStart w:id="966" w:name="_Toc340672859"/>
      <w:bookmarkStart w:id="967" w:name="_Toc333935336"/>
      <w:bookmarkStart w:id="968" w:name="_Toc339441077"/>
      <w:bookmarkStart w:id="969" w:name="_Toc341348328"/>
      <w:bookmarkStart w:id="970" w:name="_Toc333237667"/>
      <w:bookmarkStart w:id="971" w:name="_Toc333238623"/>
      <w:bookmarkStart w:id="972" w:name="_Toc503785419"/>
      <w:bookmarkStart w:id="973" w:name="_Toc339362290"/>
      <w:bookmarkStart w:id="974" w:name="_Toc365985169"/>
      <w:bookmarkStart w:id="975" w:name="_Toc336681925"/>
      <w:bookmarkStart w:id="976" w:name="_Toc16950"/>
      <w:bookmarkStart w:id="977" w:name="_Toc330459975"/>
      <w:bookmarkStart w:id="978" w:name="_Toc374454590"/>
      <w:bookmarkStart w:id="979" w:name="_Toc349143579"/>
      <w:bookmarkStart w:id="980" w:name="_Toc331684028"/>
      <w:bookmarkStart w:id="981" w:name="_Toc339020085"/>
      <w:bookmarkStart w:id="982" w:name="_Toc342060364"/>
      <w:bookmarkStart w:id="983" w:name="_Toc337632348"/>
      <w:bookmarkStart w:id="984" w:name="_Toc333935677"/>
      <w:bookmarkStart w:id="985" w:name="_Toc339020223"/>
      <w:bookmarkStart w:id="986" w:name="_Toc333237778"/>
      <w:bookmarkStart w:id="987" w:name="_Toc365967063"/>
      <w:bookmarkStart w:id="988" w:name="_Toc332270336"/>
      <w:bookmarkStart w:id="989" w:name="_Toc366072518"/>
      <w:bookmarkStart w:id="990" w:name="_Toc345513857"/>
      <w:bookmarkStart w:id="991" w:name="_Toc497224217"/>
      <w:bookmarkStart w:id="992" w:name="_Toc340507432"/>
      <w:bookmarkStart w:id="993" w:name="_Toc342296750"/>
      <w:bookmarkStart w:id="994" w:name="_Toc350756440"/>
      <w:bookmarkStart w:id="995" w:name="_Toc11439"/>
      <w:r>
        <w:rPr>
          <w:rFonts w:hint="eastAsia"/>
          <w:color w:val="000000" w:themeColor="text1"/>
          <w:highlight w:val="none"/>
          <w14:textFill>
            <w14:solidFill>
              <w14:schemeClr w14:val="tx1"/>
            </w14:solidFill>
          </w14:textFill>
        </w:rPr>
        <w:t>递交投标文件的时间、地点及截止时间</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投标文件需由专人送交。投标人须将密封和标记后的投标文件，按照招标文件中注明的开标地址于投标截止时间之前送交招标代理机构。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96" w:name="_Toc331684029"/>
      <w:bookmarkStart w:id="997" w:name="_Toc342296751"/>
      <w:bookmarkStart w:id="998" w:name="_Toc342060365"/>
      <w:bookmarkStart w:id="999" w:name="_Toc366072519"/>
      <w:bookmarkStart w:id="1000" w:name="_Toc336681926"/>
      <w:bookmarkStart w:id="1001" w:name="_Toc332206699"/>
      <w:bookmarkStart w:id="1002" w:name="_Toc374454591"/>
      <w:bookmarkStart w:id="1003" w:name="_Toc350756441"/>
      <w:bookmarkStart w:id="1004" w:name="_Toc340672860"/>
      <w:bookmarkStart w:id="1005" w:name="_Toc350438740"/>
      <w:bookmarkStart w:id="1006" w:name="_Toc345513858"/>
      <w:bookmarkStart w:id="1007" w:name="_Toc337632349"/>
      <w:bookmarkStart w:id="1008" w:name="_Toc333237779"/>
      <w:bookmarkStart w:id="1009" w:name="_Toc341348329"/>
      <w:bookmarkStart w:id="1010" w:name="_Toc339020006"/>
      <w:bookmarkStart w:id="1011" w:name="_Toc349143580"/>
      <w:bookmarkStart w:id="1012" w:name="_Toc339020086"/>
      <w:bookmarkStart w:id="1013" w:name="_Toc333237668"/>
      <w:bookmarkStart w:id="1014" w:name="_Toc503785420"/>
      <w:bookmarkStart w:id="1015" w:name="_Toc340507433"/>
      <w:bookmarkStart w:id="1016" w:name="_Toc339362291"/>
      <w:bookmarkStart w:id="1017" w:name="_Toc332270337"/>
      <w:bookmarkStart w:id="1018" w:name="_Toc336681571"/>
      <w:bookmarkStart w:id="1019" w:name="_Toc340677061"/>
      <w:bookmarkStart w:id="1020" w:name="_Toc339441078"/>
      <w:bookmarkStart w:id="1021" w:name="_Toc333935337"/>
      <w:bookmarkStart w:id="1022" w:name="_Toc333935678"/>
      <w:bookmarkStart w:id="1023" w:name="_Toc349127617"/>
      <w:bookmarkStart w:id="1024" w:name="_Toc339020224"/>
      <w:bookmarkStart w:id="1025" w:name="_Toc339019880"/>
      <w:bookmarkStart w:id="1026" w:name="_Toc497224218"/>
      <w:bookmarkStart w:id="1027" w:name="_Toc333238624"/>
      <w:bookmarkStart w:id="1028" w:name="_Toc330459976"/>
      <w:bookmarkStart w:id="1029" w:name="_Toc365985170"/>
      <w:bookmarkStart w:id="1030" w:name="_Toc365967064"/>
      <w:bookmarkStart w:id="1031" w:name="_Toc33151288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招标代理机构于投标截止时间前30分钟开始接收投标文件，并于招标文件“第一部分投标邀请函”规定的开标时间、开标地点公开开标。</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32" w:name="_Toc3869"/>
      <w:bookmarkStart w:id="1033" w:name="_Toc28277"/>
      <w:r>
        <w:rPr>
          <w:rFonts w:hint="eastAsia"/>
          <w:color w:val="000000" w:themeColor="text1"/>
          <w:highlight w:val="none"/>
          <w14:textFill>
            <w14:solidFill>
              <w14:schemeClr w14:val="tx1"/>
            </w14:solidFill>
          </w14:textFill>
        </w:rPr>
        <w:t>迟交的投标文件</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招标代理机构将拒绝在投标截止时间后递交的任何投标文件。</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34" w:name="_Toc497224219"/>
      <w:bookmarkStart w:id="1035" w:name="_Toc503785421"/>
      <w:bookmarkStart w:id="1036" w:name="_Toc365985171"/>
      <w:bookmarkStart w:id="1037" w:name="_Toc339020007"/>
      <w:bookmarkStart w:id="1038" w:name="_Toc339441079"/>
      <w:bookmarkStart w:id="1039" w:name="_Toc340672861"/>
      <w:bookmarkStart w:id="1040" w:name="_Toc22470"/>
      <w:bookmarkStart w:id="1041" w:name="_Toc332206700"/>
      <w:bookmarkStart w:id="1042" w:name="_Toc336681927"/>
      <w:bookmarkStart w:id="1043" w:name="_Toc340507434"/>
      <w:bookmarkStart w:id="1044" w:name="_Toc341348330"/>
      <w:bookmarkStart w:id="1045" w:name="_Toc336681572"/>
      <w:bookmarkStart w:id="1046" w:name="_Toc349143581"/>
      <w:bookmarkStart w:id="1047" w:name="_Toc339362292"/>
      <w:bookmarkStart w:id="1048" w:name="_Toc333237669"/>
      <w:bookmarkStart w:id="1049" w:name="_Toc333237780"/>
      <w:bookmarkStart w:id="1050" w:name="_Toc350756442"/>
      <w:bookmarkStart w:id="1051" w:name="_Toc339020225"/>
      <w:bookmarkStart w:id="1052" w:name="_Toc339020087"/>
      <w:bookmarkStart w:id="1053" w:name="_Toc339019881"/>
      <w:bookmarkStart w:id="1054" w:name="_Toc345513859"/>
      <w:bookmarkStart w:id="1055" w:name="_Toc342296752"/>
      <w:bookmarkStart w:id="1056" w:name="_Toc350438741"/>
      <w:bookmarkStart w:id="1057" w:name="_Toc349127618"/>
      <w:bookmarkStart w:id="1058" w:name="_Toc366072520"/>
      <w:bookmarkStart w:id="1059" w:name="_Toc332270338"/>
      <w:bookmarkStart w:id="1060" w:name="_Toc337632350"/>
      <w:bookmarkStart w:id="1061" w:name="_Toc342060366"/>
      <w:bookmarkStart w:id="1062" w:name="_Toc365967065"/>
      <w:bookmarkStart w:id="1063" w:name="_Toc374454592"/>
      <w:bookmarkStart w:id="1064" w:name="_Toc333238625"/>
      <w:bookmarkStart w:id="1065" w:name="_Toc331684030"/>
      <w:bookmarkStart w:id="1066" w:name="_Toc1588"/>
      <w:bookmarkStart w:id="1067" w:name="_Toc331512890"/>
      <w:bookmarkStart w:id="1068" w:name="_Toc340677062"/>
      <w:bookmarkStart w:id="1069" w:name="_Toc333935338"/>
      <w:bookmarkStart w:id="1070" w:name="_Toc330459977"/>
      <w:bookmarkStart w:id="1071" w:name="_Toc333935679"/>
      <w:r>
        <w:rPr>
          <w:rFonts w:hint="eastAsia"/>
          <w:color w:val="000000" w:themeColor="text1"/>
          <w:highlight w:val="none"/>
          <w14:textFill>
            <w14:solidFill>
              <w14:schemeClr w14:val="tx1"/>
            </w14:solidFill>
          </w14:textFill>
        </w:rPr>
        <w:t>投标文件的修改和撤</w:t>
      </w:r>
      <w:bookmarkEnd w:id="1034"/>
      <w:bookmarkEnd w:id="1035"/>
      <w:r>
        <w:rPr>
          <w:rFonts w:hint="eastAsia"/>
          <w:color w:val="000000" w:themeColor="text1"/>
          <w:highlight w:val="none"/>
          <w14:textFill>
            <w14:solidFill>
              <w14:schemeClr w14:val="tx1"/>
            </w14:solidFill>
          </w14:textFill>
        </w:rPr>
        <w:t>回</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投标人在投标截止时间前，可以修改或撤回其投标文件。但必须在规定的投标截止时间之前以书面通知到招标代理机构，该通知须有投标人法定代表人（负责人）或其授权代理人签字。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从投标截止时间至投标文件有效期期满之前，投标人不得撤回其投标文件，否则招标代理机构将按规定不予退还投标保证金。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72" w:name="_Toc350756443"/>
      <w:bookmarkStart w:id="1073" w:name="_Toc337632351"/>
      <w:bookmarkStart w:id="1074" w:name="_Toc345513860"/>
      <w:bookmarkStart w:id="1075" w:name="_Toc339020088"/>
      <w:bookmarkStart w:id="1076" w:name="_Toc330459978"/>
      <w:bookmarkStart w:id="1077" w:name="_Toc497224220"/>
      <w:bookmarkStart w:id="1078" w:name="_Toc339362293"/>
      <w:bookmarkStart w:id="1079" w:name="_Toc341348331"/>
      <w:bookmarkStart w:id="1080" w:name="_Toc365967066"/>
      <w:bookmarkStart w:id="1081" w:name="_Toc350438742"/>
      <w:bookmarkStart w:id="1082" w:name="_Toc332206701"/>
      <w:bookmarkStart w:id="1083" w:name="_Toc331512891"/>
      <w:bookmarkStart w:id="1084" w:name="_Toc333935680"/>
      <w:bookmarkStart w:id="1085" w:name="_Toc365985172"/>
      <w:bookmarkStart w:id="1086" w:name="_Toc366072521"/>
      <w:bookmarkStart w:id="1087" w:name="_Toc336681928"/>
      <w:bookmarkStart w:id="1088" w:name="_Toc339020008"/>
      <w:bookmarkStart w:id="1089" w:name="_Toc339019882"/>
      <w:bookmarkStart w:id="1090" w:name="_Toc374454593"/>
      <w:bookmarkStart w:id="1091" w:name="_Toc342060367"/>
      <w:bookmarkStart w:id="1092" w:name="_Toc333935339"/>
      <w:bookmarkStart w:id="1093" w:name="_Toc349127619"/>
      <w:bookmarkStart w:id="1094" w:name="_Toc342296753"/>
      <w:bookmarkStart w:id="1095" w:name="_Toc340672862"/>
      <w:bookmarkStart w:id="1096" w:name="_Toc339441080"/>
      <w:bookmarkStart w:id="1097" w:name="_Toc333238626"/>
      <w:bookmarkStart w:id="1098" w:name="_Toc336681573"/>
      <w:bookmarkStart w:id="1099" w:name="_Toc503785422"/>
      <w:bookmarkStart w:id="1100" w:name="_Toc333237781"/>
      <w:bookmarkStart w:id="1101" w:name="_Toc340507435"/>
      <w:bookmarkStart w:id="1102" w:name="_Toc340677063"/>
      <w:bookmarkStart w:id="1103" w:name="_Toc332270339"/>
      <w:bookmarkStart w:id="1104" w:name="_Toc349143582"/>
      <w:bookmarkStart w:id="1105" w:name="_Toc333237670"/>
      <w:bookmarkStart w:id="1106" w:name="_Toc339020226"/>
      <w:bookmarkStart w:id="1107" w:name="_Toc331684031"/>
      <w:r>
        <w:rPr>
          <w:color w:val="000000" w:themeColor="text1"/>
          <w:sz w:val="24"/>
          <w:highlight w:val="none"/>
          <w14:textFill>
            <w14:solidFill>
              <w14:schemeClr w14:val="tx1"/>
            </w14:solidFill>
          </w14:textFill>
        </w:rPr>
        <w:br w:type="page"/>
      </w:r>
      <w:bookmarkStart w:id="1108" w:name="_Toc11861"/>
      <w:bookmarkStart w:id="1109" w:name="_Toc24571"/>
      <w:r>
        <w:rPr>
          <w:rFonts w:hint="eastAsia"/>
          <w:color w:val="000000" w:themeColor="text1"/>
          <w:sz w:val="24"/>
          <w:highlight w:val="none"/>
          <w14:textFill>
            <w14:solidFill>
              <w14:schemeClr w14:val="tx1"/>
            </w14:solidFill>
          </w14:textFill>
        </w:rPr>
        <w:t>Ｅ开标和评标</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10" w:name="_Toc349127620"/>
      <w:bookmarkStart w:id="1111" w:name="_Toc339441081"/>
      <w:bookmarkStart w:id="1112" w:name="_Toc333238627"/>
      <w:bookmarkStart w:id="1113" w:name="_Toc339020089"/>
      <w:bookmarkStart w:id="1114" w:name="_Toc503785423"/>
      <w:bookmarkStart w:id="1115" w:name="_Toc374454594"/>
      <w:bookmarkStart w:id="1116" w:name="_Toc1775"/>
      <w:bookmarkStart w:id="1117" w:name="_Toc333237671"/>
      <w:bookmarkStart w:id="1118" w:name="_Toc7443"/>
      <w:bookmarkStart w:id="1119" w:name="_Toc331512892"/>
      <w:bookmarkStart w:id="1120" w:name="_Toc349143583"/>
      <w:bookmarkStart w:id="1121" w:name="_Toc342296754"/>
      <w:bookmarkStart w:id="1122" w:name="_Toc342060368"/>
      <w:bookmarkStart w:id="1123" w:name="_Toc365967067"/>
      <w:bookmarkStart w:id="1124" w:name="_Toc333935681"/>
      <w:bookmarkStart w:id="1125" w:name="_Toc350438743"/>
      <w:bookmarkStart w:id="1126" w:name="_Toc339020227"/>
      <w:bookmarkStart w:id="1127" w:name="_Toc340677064"/>
      <w:bookmarkStart w:id="1128" w:name="_Toc331684032"/>
      <w:bookmarkStart w:id="1129" w:name="_Toc350756444"/>
      <w:bookmarkStart w:id="1130" w:name="_Toc340507436"/>
      <w:bookmarkStart w:id="1131" w:name="_Toc332206702"/>
      <w:bookmarkStart w:id="1132" w:name="_Toc345513861"/>
      <w:bookmarkStart w:id="1133" w:name="_Toc337632352"/>
      <w:bookmarkStart w:id="1134" w:name="_Toc333237782"/>
      <w:bookmarkStart w:id="1135" w:name="_Toc339019883"/>
      <w:bookmarkStart w:id="1136" w:name="_Toc336681929"/>
      <w:bookmarkStart w:id="1137" w:name="_Toc365985173"/>
      <w:bookmarkStart w:id="1138" w:name="_Toc341348332"/>
      <w:bookmarkStart w:id="1139" w:name="_Toc340672863"/>
      <w:bookmarkStart w:id="1140" w:name="_Toc332270340"/>
      <w:bookmarkStart w:id="1141" w:name="_Toc333935340"/>
      <w:bookmarkStart w:id="1142" w:name="_Toc330459979"/>
      <w:bookmarkStart w:id="1143" w:name="_Toc339020009"/>
      <w:bookmarkStart w:id="1144" w:name="_Toc366072522"/>
      <w:bookmarkStart w:id="1145" w:name="_Toc497224221"/>
      <w:bookmarkStart w:id="1146" w:name="_Toc339362294"/>
      <w:bookmarkStart w:id="1147" w:name="_Toc336681574"/>
      <w:r>
        <w:rPr>
          <w:rFonts w:hint="eastAsia"/>
          <w:color w:val="000000" w:themeColor="text1"/>
          <w:highlight w:val="none"/>
          <w14:textFill>
            <w14:solidFill>
              <w14:schemeClr w14:val="tx1"/>
            </w14:solidFill>
          </w14:textFill>
        </w:rPr>
        <w:t>开标</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招标代理机构在招标文件中规定的时间和地点公开开标。开标会由招标代理机构主持。投标人代表均需按时参加开标会。参加开标的投标人代表应签名报到以证明其出席。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招标代理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唱标结束后，招标代理机构将做唱标记录，并按规定在唱标记录上签字。</w:t>
      </w:r>
    </w:p>
    <w:p>
      <w:pPr>
        <w:pStyle w:val="5"/>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48" w:name="_Toc350756445"/>
      <w:bookmarkStart w:id="1149" w:name="_Toc332206703"/>
      <w:bookmarkStart w:id="1150" w:name="_Toc339362295"/>
      <w:bookmarkStart w:id="1151" w:name="_Toc332270341"/>
      <w:bookmarkStart w:id="1152" w:name="_Toc330459980"/>
      <w:bookmarkStart w:id="1153" w:name="_Toc349143584"/>
      <w:bookmarkStart w:id="1154" w:name="_Toc339020010"/>
      <w:bookmarkStart w:id="1155" w:name="_Toc503785424"/>
      <w:bookmarkStart w:id="1156" w:name="_Toc339019884"/>
      <w:bookmarkStart w:id="1157" w:name="_Toc333238628"/>
      <w:bookmarkStart w:id="1158" w:name="_Toc341348333"/>
      <w:bookmarkStart w:id="1159" w:name="_Toc333935682"/>
      <w:bookmarkStart w:id="1160" w:name="_Toc366072523"/>
      <w:bookmarkStart w:id="1161" w:name="_Toc336681930"/>
      <w:bookmarkStart w:id="1162" w:name="_Toc331684033"/>
      <w:bookmarkStart w:id="1163" w:name="_Toc374454595"/>
      <w:bookmarkStart w:id="1164" w:name="_Toc336681575"/>
      <w:bookmarkStart w:id="1165" w:name="_Toc15306"/>
      <w:bookmarkStart w:id="1166" w:name="_Toc333237672"/>
      <w:bookmarkStart w:id="1167" w:name="_Toc340672864"/>
      <w:bookmarkStart w:id="1168" w:name="_Toc497224222"/>
      <w:bookmarkStart w:id="1169" w:name="_Toc339441082"/>
      <w:bookmarkStart w:id="1170" w:name="_Toc337632353"/>
      <w:bookmarkStart w:id="1171" w:name="_Toc339020228"/>
      <w:bookmarkStart w:id="1172" w:name="_Toc342296755"/>
      <w:bookmarkStart w:id="1173" w:name="_Toc349127621"/>
      <w:bookmarkStart w:id="1174" w:name="_Toc365967068"/>
      <w:bookmarkStart w:id="1175" w:name="_Toc365985174"/>
      <w:bookmarkStart w:id="1176" w:name="_Toc333935341"/>
      <w:bookmarkStart w:id="1177" w:name="_Toc342060369"/>
      <w:bookmarkStart w:id="1178" w:name="_Toc345513862"/>
      <w:bookmarkStart w:id="1179" w:name="_Toc340507437"/>
      <w:bookmarkStart w:id="1180" w:name="_Toc333237783"/>
      <w:bookmarkStart w:id="1181" w:name="_Toc350438744"/>
      <w:bookmarkStart w:id="1182" w:name="_Toc24812"/>
      <w:bookmarkStart w:id="1183" w:name="_Toc331512893"/>
      <w:bookmarkStart w:id="1184" w:name="_Toc340677065"/>
      <w:bookmarkStart w:id="1185" w:name="_Toc339020090"/>
      <w:r>
        <w:rPr>
          <w:rFonts w:hint="eastAsia"/>
          <w:color w:val="000000" w:themeColor="text1"/>
          <w:highlight w:val="none"/>
          <w14:textFill>
            <w14:solidFill>
              <w14:schemeClr w14:val="tx1"/>
            </w14:solidFill>
          </w14:textFill>
        </w:rPr>
        <w:t>评标委员会</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86" w:name="_Toc503785425"/>
      <w:bookmarkStart w:id="1187" w:name="_Toc337632354"/>
      <w:bookmarkStart w:id="1188" w:name="_Toc365985175"/>
      <w:bookmarkStart w:id="1189" w:name="_Toc332206704"/>
      <w:bookmarkStart w:id="1190" w:name="_Toc339441083"/>
      <w:bookmarkStart w:id="1191" w:name="_Toc330459981"/>
      <w:bookmarkStart w:id="1192" w:name="_Toc336681576"/>
      <w:bookmarkStart w:id="1193" w:name="_Toc331684034"/>
      <w:bookmarkStart w:id="1194" w:name="_Toc340672865"/>
      <w:bookmarkStart w:id="1195" w:name="_Toc333237784"/>
      <w:bookmarkStart w:id="1196" w:name="_Toc333935683"/>
      <w:bookmarkStart w:id="1197" w:name="_Toc365967069"/>
      <w:bookmarkStart w:id="1198" w:name="_Toc340507438"/>
      <w:bookmarkStart w:id="1199" w:name="_Toc339362296"/>
      <w:bookmarkStart w:id="1200" w:name="_Toc339019885"/>
      <w:bookmarkStart w:id="1201" w:name="_Toc331512894"/>
      <w:bookmarkStart w:id="1202" w:name="_Toc339020011"/>
      <w:bookmarkStart w:id="1203" w:name="_Toc333238629"/>
      <w:bookmarkStart w:id="1204" w:name="_Toc6213"/>
      <w:bookmarkStart w:id="1205" w:name="_Toc349143585"/>
      <w:bookmarkStart w:id="1206" w:name="_Toc349127622"/>
      <w:bookmarkStart w:id="1207" w:name="_Toc350438745"/>
      <w:bookmarkStart w:id="1208" w:name="_Toc342296756"/>
      <w:bookmarkStart w:id="1209" w:name="_Toc333935342"/>
      <w:bookmarkStart w:id="1210" w:name="_Toc374454596"/>
      <w:bookmarkStart w:id="1211" w:name="_Toc339020091"/>
      <w:bookmarkStart w:id="1212" w:name="_Toc332270342"/>
      <w:bookmarkStart w:id="1213" w:name="_Toc366072524"/>
      <w:bookmarkStart w:id="1214" w:name="_Toc497224223"/>
      <w:bookmarkStart w:id="1215" w:name="_Toc345513863"/>
      <w:bookmarkStart w:id="1216" w:name="_Toc350756446"/>
      <w:bookmarkStart w:id="1217" w:name="_Toc342060370"/>
      <w:bookmarkStart w:id="1218" w:name="_Toc339020229"/>
      <w:bookmarkStart w:id="1219" w:name="_Toc340677066"/>
      <w:bookmarkStart w:id="1220" w:name="_Toc341348334"/>
      <w:bookmarkStart w:id="1221" w:name="_Toc336681931"/>
      <w:bookmarkStart w:id="1222" w:name="_Toc333237673"/>
      <w:bookmarkStart w:id="1223" w:name="_Toc25431"/>
      <w:r>
        <w:rPr>
          <w:rFonts w:hint="eastAsia"/>
          <w:color w:val="000000" w:themeColor="text1"/>
          <w:highlight w:val="none"/>
          <w14:textFill>
            <w14:solidFill>
              <w14:schemeClr w14:val="tx1"/>
            </w14:solidFill>
          </w14:textFill>
        </w:rPr>
        <w:t>对投标文件的初审和响应性的确定</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4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投标文件附有招标人或招标代理机构不能接受的条件的；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24" w:name="_Toc345513864"/>
      <w:bookmarkStart w:id="1225" w:name="_Toc336681932"/>
      <w:bookmarkStart w:id="1226" w:name="_Toc374454597"/>
      <w:bookmarkStart w:id="1227" w:name="_Toc340677067"/>
      <w:bookmarkStart w:id="1228" w:name="_Toc339020092"/>
      <w:bookmarkStart w:id="1229" w:name="_Toc336681577"/>
      <w:bookmarkStart w:id="1230" w:name="_Toc340507439"/>
      <w:bookmarkStart w:id="1231" w:name="_Toc29733"/>
      <w:bookmarkStart w:id="1232" w:name="_Toc333935684"/>
      <w:bookmarkStart w:id="1233" w:name="_Toc339020012"/>
      <w:bookmarkStart w:id="1234" w:name="_Toc332270343"/>
      <w:bookmarkStart w:id="1235" w:name="_Toc330459982"/>
      <w:bookmarkStart w:id="1236" w:name="_Toc331684035"/>
      <w:bookmarkStart w:id="1237" w:name="_Toc339020230"/>
      <w:bookmarkStart w:id="1238" w:name="_Toc342296757"/>
      <w:bookmarkStart w:id="1239" w:name="_Toc342060371"/>
      <w:bookmarkStart w:id="1240" w:name="_Toc365967070"/>
      <w:bookmarkStart w:id="1241" w:name="_Toc366072525"/>
      <w:bookmarkStart w:id="1242" w:name="_Toc341348335"/>
      <w:bookmarkStart w:id="1243" w:name="_Toc331512895"/>
      <w:bookmarkStart w:id="1244" w:name="_Toc365985176"/>
      <w:bookmarkStart w:id="1245" w:name="_Toc340672866"/>
      <w:bookmarkStart w:id="1246" w:name="_Toc333935343"/>
      <w:bookmarkStart w:id="1247" w:name="_Toc333238630"/>
      <w:bookmarkStart w:id="1248" w:name="_Toc337632355"/>
      <w:bookmarkStart w:id="1249" w:name="_Toc339441084"/>
      <w:bookmarkStart w:id="1250" w:name="_Toc350438746"/>
      <w:bookmarkStart w:id="1251" w:name="_Toc339019886"/>
      <w:bookmarkStart w:id="1252" w:name="_Toc349127623"/>
      <w:bookmarkStart w:id="1253" w:name="_Toc11425"/>
      <w:bookmarkStart w:id="1254" w:name="_Toc339362297"/>
      <w:bookmarkStart w:id="1255" w:name="_Toc349143586"/>
      <w:bookmarkStart w:id="1256" w:name="_Toc350756447"/>
      <w:bookmarkStart w:id="1257" w:name="_Toc333237674"/>
      <w:bookmarkStart w:id="1258" w:name="_Toc333237785"/>
      <w:bookmarkStart w:id="1259" w:name="_Toc332206705"/>
      <w:r>
        <w:rPr>
          <w:rFonts w:hint="eastAsia"/>
          <w:color w:val="000000" w:themeColor="text1"/>
          <w:highlight w:val="none"/>
          <w14:textFill>
            <w14:solidFill>
              <w14:schemeClr w14:val="tx1"/>
            </w14:solidFill>
          </w14:textFill>
        </w:rPr>
        <w:t>投标报价的审核</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还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0" w:name="_Toc349143587"/>
      <w:bookmarkStart w:id="1261" w:name="_Toc333935685"/>
      <w:bookmarkStart w:id="1262" w:name="_Toc497224224"/>
      <w:bookmarkStart w:id="1263" w:name="_Toc342060372"/>
      <w:bookmarkStart w:id="1264" w:name="_Toc341348336"/>
      <w:bookmarkStart w:id="1265" w:name="_Toc503785426"/>
      <w:bookmarkStart w:id="1266" w:name="_Toc366072526"/>
      <w:bookmarkStart w:id="1267" w:name="_Toc350756448"/>
      <w:bookmarkStart w:id="1268" w:name="_Toc340672867"/>
      <w:bookmarkStart w:id="1269" w:name="_Toc337632356"/>
      <w:bookmarkStart w:id="1270" w:name="_Toc331684036"/>
      <w:bookmarkStart w:id="1271" w:name="_Toc330459983"/>
      <w:bookmarkStart w:id="1272" w:name="_Toc333237786"/>
      <w:bookmarkStart w:id="1273" w:name="_Toc339020013"/>
      <w:bookmarkStart w:id="1274" w:name="_Toc14102"/>
      <w:bookmarkStart w:id="1275" w:name="_Toc374454598"/>
      <w:bookmarkStart w:id="1276" w:name="_Toc349127624"/>
      <w:bookmarkStart w:id="1277" w:name="_Toc332206706"/>
      <w:bookmarkStart w:id="1278" w:name="_Toc340507440"/>
      <w:bookmarkStart w:id="1279" w:name="_Toc339362298"/>
      <w:bookmarkStart w:id="1280" w:name="_Toc333238631"/>
      <w:bookmarkStart w:id="1281" w:name="_Toc333935344"/>
      <w:bookmarkStart w:id="1282" w:name="_Toc350438747"/>
      <w:bookmarkStart w:id="1283" w:name="_Toc339019887"/>
      <w:bookmarkStart w:id="1284" w:name="_Toc336681578"/>
      <w:bookmarkStart w:id="1285" w:name="_Toc331512896"/>
      <w:bookmarkStart w:id="1286" w:name="_Toc339020231"/>
      <w:bookmarkStart w:id="1287" w:name="_Toc336681933"/>
      <w:bookmarkStart w:id="1288" w:name="_Toc365967071"/>
      <w:bookmarkStart w:id="1289" w:name="_Toc340677068"/>
      <w:bookmarkStart w:id="1290" w:name="_Toc339020093"/>
      <w:bookmarkStart w:id="1291" w:name="_Toc24062"/>
      <w:bookmarkStart w:id="1292" w:name="_Toc365985177"/>
      <w:bookmarkStart w:id="1293" w:name="_Toc342296758"/>
      <w:bookmarkStart w:id="1294" w:name="_Toc332270344"/>
      <w:bookmarkStart w:id="1295" w:name="_Toc345513865"/>
      <w:bookmarkStart w:id="1296" w:name="_Toc333237675"/>
      <w:bookmarkStart w:id="1297" w:name="_Toc339441085"/>
      <w:r>
        <w:rPr>
          <w:rFonts w:hint="eastAsia"/>
          <w:color w:val="000000" w:themeColor="text1"/>
          <w:highlight w:val="none"/>
          <w14:textFill>
            <w14:solidFill>
              <w14:schemeClr w14:val="tx1"/>
            </w14:solidFill>
          </w14:textFill>
        </w:rPr>
        <w:t>询标及投标文件的澄清</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为了有助于对投标文件进行审查、评估和比较，评标委员会有权向投标人质疑，请投标人澄清其投标内容。投标人有责任按照招标代理机构通知的时间、地点指派专人进行答疑和澄清。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招标代理机构和评标委员会以提醒招标代理机构和评标委员会注意，则应以书面形式提交。</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98" w:name="_Toc350756449"/>
      <w:bookmarkStart w:id="1299" w:name="_Toc333935345"/>
      <w:bookmarkStart w:id="1300" w:name="_Toc339020094"/>
      <w:bookmarkStart w:id="1301" w:name="_Toc333935686"/>
      <w:bookmarkStart w:id="1302" w:name="_Toc341348337"/>
      <w:bookmarkStart w:id="1303" w:name="_Toc339020014"/>
      <w:bookmarkStart w:id="1304" w:name="_Toc339362299"/>
      <w:bookmarkStart w:id="1305" w:name="_Toc365985178"/>
      <w:bookmarkStart w:id="1306" w:name="_Toc374454599"/>
      <w:bookmarkStart w:id="1307" w:name="_Toc349143588"/>
      <w:bookmarkStart w:id="1308" w:name="_Toc330459984"/>
      <w:bookmarkStart w:id="1309" w:name="_Toc365967072"/>
      <w:bookmarkStart w:id="1310" w:name="_Toc340677069"/>
      <w:bookmarkStart w:id="1311" w:name="_Toc350438748"/>
      <w:bookmarkStart w:id="1312" w:name="_Toc342060373"/>
      <w:bookmarkStart w:id="1313" w:name="_Toc339019888"/>
      <w:bookmarkStart w:id="1314" w:name="_Toc332270345"/>
      <w:bookmarkStart w:id="1315" w:name="_Toc332206707"/>
      <w:bookmarkStart w:id="1316" w:name="_Toc337632357"/>
      <w:bookmarkStart w:id="1317" w:name="_Toc12871"/>
      <w:bookmarkStart w:id="1318" w:name="_Toc345513866"/>
      <w:bookmarkStart w:id="1319" w:name="_Toc342296759"/>
      <w:bookmarkStart w:id="1320" w:name="_Toc333238632"/>
      <w:bookmarkStart w:id="1321" w:name="_Toc336681579"/>
      <w:bookmarkStart w:id="1322" w:name="_Toc366072527"/>
      <w:bookmarkStart w:id="1323" w:name="_Toc331684037"/>
      <w:bookmarkStart w:id="1324" w:name="_Toc336681934"/>
      <w:bookmarkStart w:id="1325" w:name="_Toc24148"/>
      <w:bookmarkStart w:id="1326" w:name="_Toc349127625"/>
      <w:bookmarkStart w:id="1327" w:name="_Toc333237676"/>
      <w:bookmarkStart w:id="1328" w:name="_Toc333237787"/>
      <w:bookmarkStart w:id="1329" w:name="_Toc339441086"/>
      <w:bookmarkStart w:id="1330" w:name="_Toc339020232"/>
      <w:bookmarkStart w:id="1331" w:name="_Toc340672868"/>
      <w:bookmarkStart w:id="1332" w:name="_Toc331512897"/>
      <w:bookmarkStart w:id="1333" w:name="_Toc340507441"/>
      <w:r>
        <w:rPr>
          <w:rFonts w:hint="eastAsia"/>
          <w:color w:val="000000" w:themeColor="text1"/>
          <w:highlight w:val="none"/>
          <w14:textFill>
            <w14:solidFill>
              <w14:schemeClr w14:val="tx1"/>
            </w14:solidFill>
          </w14:textFill>
        </w:rPr>
        <w:t>评标原则</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4" w:name="_Toc341348338"/>
      <w:bookmarkStart w:id="1335" w:name="_Toc349127626"/>
      <w:bookmarkStart w:id="1336" w:name="_Toc339362300"/>
      <w:bookmarkStart w:id="1337" w:name="_Toc331512898"/>
      <w:bookmarkStart w:id="1338" w:name="_Toc336681580"/>
      <w:bookmarkStart w:id="1339" w:name="_Toc350756450"/>
      <w:bookmarkStart w:id="1340" w:name="_Toc340672869"/>
      <w:bookmarkStart w:id="1341" w:name="_Toc332270346"/>
      <w:bookmarkStart w:id="1342" w:name="_Toc333237677"/>
      <w:bookmarkStart w:id="1343" w:name="_Toc11167"/>
      <w:bookmarkStart w:id="1344" w:name="_Toc339020015"/>
      <w:bookmarkStart w:id="1345" w:name="_Toc342060374"/>
      <w:bookmarkStart w:id="1346" w:name="_Toc350438749"/>
      <w:bookmarkStart w:id="1347" w:name="_Toc342296760"/>
      <w:bookmarkStart w:id="1348" w:name="_Toc332206708"/>
      <w:bookmarkStart w:id="1349" w:name="_Toc339020095"/>
      <w:bookmarkStart w:id="1350" w:name="_Toc340677070"/>
      <w:bookmarkStart w:id="1351" w:name="_Toc339019889"/>
      <w:bookmarkStart w:id="1352" w:name="_Toc339441087"/>
      <w:bookmarkStart w:id="1353" w:name="_Toc374454600"/>
      <w:bookmarkStart w:id="1354" w:name="_Toc333935687"/>
      <w:bookmarkStart w:id="1355" w:name="_Toc333238633"/>
      <w:bookmarkStart w:id="1356" w:name="_Toc333935346"/>
      <w:bookmarkStart w:id="1357" w:name="_Toc345513867"/>
      <w:bookmarkStart w:id="1358" w:name="_Toc366072528"/>
      <w:bookmarkStart w:id="1359" w:name="_Toc23925"/>
      <w:bookmarkStart w:id="1360" w:name="_Toc365967073"/>
      <w:bookmarkStart w:id="1361" w:name="_Toc340507442"/>
      <w:bookmarkStart w:id="1362" w:name="_Toc339020233"/>
      <w:bookmarkStart w:id="1363" w:name="_Toc365985179"/>
      <w:bookmarkStart w:id="1364" w:name="_Toc333237788"/>
      <w:bookmarkStart w:id="1365" w:name="_Toc337632358"/>
      <w:bookmarkStart w:id="1366" w:name="_Toc330459985"/>
      <w:bookmarkStart w:id="1367" w:name="_Toc336681935"/>
      <w:bookmarkStart w:id="1368" w:name="_Toc349143589"/>
      <w:bookmarkStart w:id="1369" w:name="_Toc331684038"/>
      <w:r>
        <w:rPr>
          <w:rFonts w:hint="eastAsia"/>
          <w:color w:val="000000" w:themeColor="text1"/>
          <w:highlight w:val="none"/>
          <w14:textFill>
            <w14:solidFill>
              <w14:schemeClr w14:val="tx1"/>
            </w14:solidFill>
          </w14:textFill>
        </w:rPr>
        <w:t>评标标准和办法</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评标委员会将综合分析投标人的各项指标，而不以单项指标的优劣评选出中标供应商。对所有投标人的投标评估，都采用相同的程序和标准，评标严格按照招标文件的要求和条件进行。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70" w:name="_Toc500861023"/>
      <w:bookmarkStart w:id="1371" w:name="_Toc500953375"/>
      <w:bookmarkStart w:id="1372"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3" w:name="_Toc95"/>
      <w:bookmarkStart w:id="1374" w:name="_Toc265"/>
      <w:bookmarkStart w:id="1375" w:name="_Toc327368025"/>
      <w:bookmarkStart w:id="1376" w:name="_Toc327367761"/>
      <w:bookmarkStart w:id="1377" w:name="_Toc366072529"/>
      <w:bookmarkStart w:id="1378" w:name="_Toc331512899"/>
      <w:bookmarkStart w:id="1379" w:name="_Toc336681936"/>
      <w:bookmarkStart w:id="1380" w:name="_Toc339020096"/>
      <w:bookmarkStart w:id="1381" w:name="_Toc339362301"/>
      <w:bookmarkStart w:id="1382" w:name="_Toc333935347"/>
      <w:bookmarkStart w:id="1383" w:name="_Toc339441088"/>
      <w:bookmarkStart w:id="1384" w:name="_Toc332206709"/>
      <w:bookmarkStart w:id="1385" w:name="_Toc333935688"/>
      <w:bookmarkStart w:id="1386" w:name="_Toc340507443"/>
      <w:bookmarkStart w:id="1387" w:name="_Toc342060375"/>
      <w:bookmarkStart w:id="1388" w:name="_Toc339020016"/>
      <w:bookmarkStart w:id="1389" w:name="_Toc331684039"/>
      <w:bookmarkStart w:id="1390" w:name="_Toc340672870"/>
      <w:bookmarkStart w:id="1391" w:name="_Toc333237789"/>
      <w:bookmarkStart w:id="1392" w:name="_Toc336681581"/>
      <w:bookmarkStart w:id="1393" w:name="_Toc333238634"/>
      <w:bookmarkStart w:id="1394" w:name="_Toc345513902"/>
      <w:bookmarkStart w:id="1395" w:name="_Toc342296761"/>
      <w:bookmarkStart w:id="1396" w:name="_Toc332270347"/>
      <w:bookmarkStart w:id="1397" w:name="_Toc333237678"/>
      <w:bookmarkStart w:id="1398" w:name="_Toc341348339"/>
      <w:bookmarkStart w:id="1399" w:name="_Toc339020234"/>
      <w:bookmarkStart w:id="1400" w:name="_Toc330459986"/>
      <w:bookmarkStart w:id="1401" w:name="_Toc337632359"/>
      <w:bookmarkStart w:id="1402" w:name="_Toc340677071"/>
      <w:bookmarkStart w:id="1403" w:name="_Toc339019890"/>
      <w:r>
        <w:rPr>
          <w:rFonts w:hint="eastAsia"/>
          <w:color w:val="000000" w:themeColor="text1"/>
          <w:highlight w:val="none"/>
          <w14:textFill>
            <w14:solidFill>
              <w14:schemeClr w14:val="tx1"/>
            </w14:solidFill>
          </w14:textFill>
        </w:rPr>
        <w:t>评标注意事项</w:t>
      </w:r>
      <w:bookmarkEnd w:id="1373"/>
      <w:bookmarkEnd w:id="1374"/>
      <w:bookmarkEnd w:id="1375"/>
      <w:bookmarkEnd w:id="1376"/>
      <w:bookmarkEnd w:id="1377"/>
    </w:p>
    <w:bookmarkEnd w:id="36"/>
    <w:bookmarkEnd w:id="1370"/>
    <w:bookmarkEnd w:id="1371"/>
    <w:bookmarkEnd w:id="1372"/>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404" w:name="_Toc500861027"/>
      <w:bookmarkStart w:id="1405" w:name="_Toc26066260"/>
      <w:bookmarkStart w:id="1406" w:name="_Toc6397151"/>
      <w:bookmarkStart w:id="1407" w:name="_Toc6727972"/>
      <w:bookmarkStart w:id="1408"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09" w:name="_Toc342060376"/>
      <w:bookmarkStart w:id="1410" w:name="_Toc374454602"/>
      <w:bookmarkStart w:id="1411" w:name="_Toc31286"/>
      <w:bookmarkStart w:id="1412" w:name="_Toc365967074"/>
      <w:bookmarkStart w:id="1413" w:name="_Toc366072530"/>
      <w:bookmarkStart w:id="1414" w:name="_Toc4187"/>
      <w:bookmarkStart w:id="1415" w:name="_Toc340672871"/>
      <w:bookmarkStart w:id="1416" w:name="_Toc333237790"/>
      <w:bookmarkStart w:id="1417" w:name="_Toc333935689"/>
      <w:bookmarkStart w:id="1418" w:name="_Toc342296762"/>
      <w:bookmarkStart w:id="1419" w:name="_Toc339362302"/>
      <w:bookmarkStart w:id="1420" w:name="_Toc331512900"/>
      <w:bookmarkStart w:id="1421" w:name="_Toc336681937"/>
      <w:bookmarkStart w:id="1422" w:name="_Toc339020235"/>
      <w:bookmarkStart w:id="1423" w:name="_Toc333935348"/>
      <w:bookmarkStart w:id="1424" w:name="_Toc339441089"/>
      <w:bookmarkStart w:id="1425" w:name="_Toc340677072"/>
      <w:bookmarkStart w:id="1426" w:name="_Toc337632360"/>
      <w:bookmarkStart w:id="1427" w:name="_Toc341348340"/>
      <w:bookmarkStart w:id="1428" w:name="_Toc339019891"/>
      <w:bookmarkStart w:id="1429" w:name="_Toc332206710"/>
      <w:bookmarkStart w:id="1430" w:name="_Toc340507444"/>
      <w:bookmarkStart w:id="1431" w:name="_Toc331684040"/>
      <w:bookmarkStart w:id="1432" w:name="_Toc339020017"/>
      <w:bookmarkStart w:id="1433" w:name="_Toc332270348"/>
      <w:bookmarkStart w:id="1434" w:name="_Toc345513903"/>
      <w:bookmarkStart w:id="1435" w:name="_Toc333237679"/>
      <w:bookmarkStart w:id="1436" w:name="_Toc330459987"/>
      <w:bookmarkStart w:id="1437" w:name="_Toc333238635"/>
      <w:bookmarkStart w:id="1438" w:name="_Toc350438751"/>
      <w:bookmarkStart w:id="1439" w:name="_Toc349127628"/>
      <w:bookmarkStart w:id="1440" w:name="_Toc365985180"/>
      <w:bookmarkStart w:id="1441" w:name="_Toc350756452"/>
      <w:bookmarkStart w:id="1442" w:name="_Toc349143591"/>
      <w:bookmarkStart w:id="1443" w:name="_Toc339020097"/>
      <w:bookmarkStart w:id="1444" w:name="_Toc336681582"/>
      <w:r>
        <w:rPr>
          <w:rFonts w:hint="eastAsia"/>
          <w:color w:val="000000" w:themeColor="text1"/>
          <w:highlight w:val="none"/>
          <w14:textFill>
            <w14:solidFill>
              <w14:schemeClr w14:val="tx1"/>
            </w14:solidFill>
          </w14:textFill>
        </w:rPr>
        <w:t>接受和拒绝投标的权利</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评标委员会经评审认为所有投标都不符合招标文件要求的，或所有投标报价均超过预算价且招标人无法支付的，有权否决所有投标。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招标代理机构将重新组织招标。</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45" w:name="_Toc13597"/>
      <w:bookmarkStart w:id="1446" w:name="_Toc7527"/>
      <w:bookmarkStart w:id="1447" w:name="_Toc374454603"/>
      <w:bookmarkStart w:id="1448" w:name="_Toc366072531"/>
      <w:r>
        <w:rPr>
          <w:rFonts w:hint="eastAsia"/>
          <w:color w:val="000000" w:themeColor="text1"/>
          <w:highlight w:val="none"/>
          <w14:textFill>
            <w14:solidFill>
              <w14:schemeClr w14:val="tx1"/>
            </w14:solidFill>
          </w14:textFill>
        </w:rPr>
        <w:t>发布中标结果公告和发放中标通知书</w:t>
      </w:r>
      <w:bookmarkEnd w:id="1445"/>
      <w:bookmarkEnd w:id="1446"/>
      <w:bookmarkEnd w:id="1447"/>
      <w:bookmarkEnd w:id="144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49" w:name="_Toc366072532"/>
      <w:r>
        <w:rPr>
          <w:rFonts w:hint="eastAsia" w:ascii="宋体" w:hAnsi="宋体"/>
          <w:color w:val="000000" w:themeColor="text1"/>
          <w:szCs w:val="21"/>
          <w:highlight w:val="none"/>
          <w14:textFill>
            <w14:solidFill>
              <w14:schemeClr w14:val="tx1"/>
            </w14:solidFill>
          </w14:textFill>
        </w:rPr>
        <w:t>30.1   招标人或其授权的评标委员会应按照评标报告中推荐的中标候选投标人排名顺序确定中标投标人。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。发布中标结果公告的同时，招标代理机构向中标投标人发出中标通知书。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未中标投标人，招标代理机构不再以其它方式另行通知。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中标通知书发出后，招标人改变中标结果，或者中标投标人放弃中标，应当承担相应的法律责任。</w:t>
      </w:r>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50" w:name="_Toc18471"/>
      <w:bookmarkStart w:id="1451" w:name="_Toc374454604"/>
      <w:bookmarkStart w:id="1452" w:name="_Toc23187"/>
      <w:r>
        <w:rPr>
          <w:rFonts w:hint="eastAsia"/>
          <w:color w:val="000000" w:themeColor="text1"/>
          <w:highlight w:val="none"/>
          <w14:textFill>
            <w14:solidFill>
              <w14:schemeClr w14:val="tx1"/>
            </w14:solidFill>
          </w14:textFill>
        </w:rPr>
        <w:t>投标人对中标结果的质疑、投诉</w:t>
      </w:r>
      <w:bookmarkEnd w:id="1449"/>
      <w:bookmarkEnd w:id="1450"/>
      <w:bookmarkEnd w:id="1451"/>
      <w:bookmarkEnd w:id="1452"/>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53" w:name="_Toc339441092"/>
      <w:bookmarkStart w:id="1454" w:name="_Toc365985183"/>
      <w:bookmarkStart w:id="1455" w:name="_Toc342060379"/>
      <w:bookmarkStart w:id="1456" w:name="_Toc342296765"/>
      <w:bookmarkStart w:id="1457" w:name="_Toc350756455"/>
      <w:bookmarkStart w:id="1458" w:name="_Toc336681585"/>
      <w:bookmarkStart w:id="1459" w:name="_Toc345513906"/>
      <w:bookmarkStart w:id="1460" w:name="_Toc350438754"/>
      <w:bookmarkStart w:id="1461" w:name="_Toc332206713"/>
      <w:bookmarkStart w:id="1462" w:name="_Toc331684043"/>
      <w:bookmarkStart w:id="1463" w:name="_Toc340672874"/>
      <w:bookmarkStart w:id="1464" w:name="_Toc365967077"/>
      <w:bookmarkStart w:id="1465" w:name="_Toc349127631"/>
      <w:bookmarkStart w:id="1466" w:name="_Toc331512903"/>
      <w:bookmarkStart w:id="1467" w:name="_Toc349143594"/>
      <w:bookmarkStart w:id="1468" w:name="_Toc340677075"/>
      <w:bookmarkStart w:id="1469" w:name="_Toc336681940"/>
      <w:bookmarkStart w:id="1470" w:name="_Toc339019894"/>
      <w:bookmarkStart w:id="1471" w:name="_Toc340507447"/>
      <w:bookmarkStart w:id="1472" w:name="_Toc341348343"/>
      <w:bookmarkStart w:id="1473" w:name="_Toc339362305"/>
      <w:bookmarkStart w:id="1474" w:name="_Toc333935692"/>
      <w:bookmarkStart w:id="1475" w:name="_Toc333237682"/>
      <w:bookmarkStart w:id="1476" w:name="_Toc337632363"/>
      <w:bookmarkStart w:id="1477" w:name="_Toc333238638"/>
      <w:bookmarkStart w:id="1478" w:name="_Toc332270351"/>
      <w:bookmarkStart w:id="1479" w:name="_Toc333935351"/>
      <w:bookmarkStart w:id="1480" w:name="_Toc339020238"/>
      <w:bookmarkStart w:id="1481" w:name="_Toc339020100"/>
      <w:bookmarkStart w:id="1482" w:name="_Toc339020020"/>
      <w:bookmarkStart w:id="1483" w:name="_Toc330459990"/>
      <w:bookmarkStart w:id="1484" w:name="_Toc33323779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投标人对中标公告有异议的，应当在中标结果公告发布之日起七个工作日内，以书面形式向招标人或招标代理机构提出质疑。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招标人或招标代理机构应当在收到投标投标人书面质疑后七个工作日内，对质疑内容作出答复。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投标人对招标人或招标代理机构的答复不满意或者招标人、招标代理机构未在规定时间内答复的，可以在答复期满后十五个工作日内按有关规定，向同级人民政府财政部门投诉。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质疑函应当署名。质疑投标人为自然人的，应当由本人签字；质疑投标人为法人或其他组织的，应由法定代表人（负责人）或者其授权代理人签字并盖公章。</w:t>
      </w:r>
    </w:p>
    <w:p>
      <w:pPr>
        <w:pStyle w:val="4"/>
        <w:numPr>
          <w:ilvl w:val="0"/>
          <w:numId w:val="0"/>
        </w:numPr>
        <w:rPr>
          <w:color w:val="000000" w:themeColor="text1"/>
          <w:sz w:val="24"/>
          <w:highlight w:val="none"/>
          <w14:textFill>
            <w14:solidFill>
              <w14:schemeClr w14:val="tx1"/>
            </w14:solidFill>
          </w14:textFill>
        </w:rPr>
      </w:pPr>
      <w:bookmarkStart w:id="1485" w:name="_Toc366072533"/>
      <w:bookmarkStart w:id="1486" w:name="_Toc374454605"/>
      <w:r>
        <w:rPr>
          <w:color w:val="000000" w:themeColor="text1"/>
          <w:sz w:val="24"/>
          <w:highlight w:val="none"/>
          <w14:textFill>
            <w14:solidFill>
              <w14:schemeClr w14:val="tx1"/>
            </w14:solidFill>
          </w14:textFill>
        </w:rPr>
        <w:br w:type="page"/>
      </w:r>
      <w:bookmarkStart w:id="1487" w:name="_Toc14695"/>
      <w:bookmarkStart w:id="1488" w:name="_Toc2412"/>
      <w:r>
        <w:rPr>
          <w:rFonts w:hint="eastAsia"/>
          <w:color w:val="000000" w:themeColor="text1"/>
          <w:sz w:val="24"/>
          <w:highlight w:val="none"/>
          <w14:textFill>
            <w14:solidFill>
              <w14:schemeClr w14:val="tx1"/>
            </w14:solidFill>
          </w14:textFill>
        </w:rPr>
        <w:t>Ｆ  授予合同</w:t>
      </w:r>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89" w:name="_Toc480010727"/>
      <w:bookmarkStart w:id="1490" w:name="_Toc333237794"/>
      <w:bookmarkStart w:id="1491" w:name="_Toc467236759"/>
      <w:bookmarkStart w:id="1492" w:name="_Toc336681586"/>
      <w:bookmarkStart w:id="1493" w:name="_Toc480020276"/>
      <w:bookmarkStart w:id="1494" w:name="_Toc340672875"/>
      <w:bookmarkStart w:id="1495" w:name="_Toc336681941"/>
      <w:bookmarkStart w:id="1496" w:name="_Toc491658670"/>
      <w:bookmarkStart w:id="1497" w:name="_Toc339020239"/>
      <w:bookmarkStart w:id="1498" w:name="_Toc333237683"/>
      <w:bookmarkStart w:id="1499" w:name="_Toc333935352"/>
      <w:bookmarkStart w:id="1500" w:name="_Toc341348344"/>
      <w:bookmarkStart w:id="1501" w:name="_Toc350756456"/>
      <w:bookmarkStart w:id="1502" w:name="_Toc349127632"/>
      <w:bookmarkStart w:id="1503" w:name="_Toc340507448"/>
      <w:bookmarkStart w:id="1504" w:name="_Toc468157555"/>
      <w:bookmarkStart w:id="1505" w:name="_Toc479991601"/>
      <w:bookmarkStart w:id="1506" w:name="_Toc331684044"/>
      <w:bookmarkStart w:id="1507" w:name="_Toc332270352"/>
      <w:bookmarkStart w:id="1508" w:name="_Toc480021072"/>
      <w:bookmarkStart w:id="1509" w:name="_Toc339020021"/>
      <w:bookmarkStart w:id="1510" w:name="_Toc345513907"/>
      <w:bookmarkStart w:id="1511" w:name="_Toc467987842"/>
      <w:bookmarkStart w:id="1512" w:name="_Toc31289"/>
      <w:bookmarkStart w:id="1513" w:name="_Toc337632364"/>
      <w:bookmarkStart w:id="1514" w:name="_Toc333238639"/>
      <w:bookmarkStart w:id="1515" w:name="_Toc330459991"/>
      <w:bookmarkStart w:id="1516" w:name="_Toc350438755"/>
      <w:bookmarkStart w:id="1517" w:name="_Toc339020101"/>
      <w:bookmarkStart w:id="1518" w:name="_Toc339441093"/>
      <w:bookmarkStart w:id="1519" w:name="_Toc339019895"/>
      <w:bookmarkStart w:id="1520" w:name="_Toc468606048"/>
      <w:bookmarkStart w:id="1521" w:name="_Toc342060380"/>
      <w:bookmarkStart w:id="1522" w:name="_Toc7040"/>
      <w:bookmarkStart w:id="1523" w:name="_Toc340677076"/>
      <w:bookmarkStart w:id="1524" w:name="_Toc333935693"/>
      <w:bookmarkStart w:id="1525" w:name="_Toc331512904"/>
      <w:bookmarkStart w:id="1526" w:name="_Toc374454606"/>
      <w:bookmarkStart w:id="1527" w:name="_Toc332206714"/>
      <w:bookmarkStart w:id="1528" w:name="_Toc349143595"/>
      <w:bookmarkStart w:id="1529" w:name="_Toc339362306"/>
      <w:bookmarkStart w:id="1530" w:name="_Toc365985184"/>
      <w:bookmarkStart w:id="1531" w:name="_Toc342296766"/>
      <w:bookmarkStart w:id="1532" w:name="_Toc365967078"/>
      <w:bookmarkStart w:id="1533" w:name="_Toc366072534"/>
      <w:bookmarkStart w:id="1534" w:name="_Toc500861016"/>
      <w:bookmarkStart w:id="1535" w:name="_Toc454701400"/>
      <w:bookmarkStart w:id="1536" w:name="_Toc458262633"/>
      <w:r>
        <w:rPr>
          <w:rFonts w:hint="eastAsia"/>
          <w:color w:val="000000" w:themeColor="text1"/>
          <w:highlight w:val="none"/>
          <w14:textFill>
            <w14:solidFill>
              <w14:schemeClr w14:val="tx1"/>
            </w14:solidFill>
          </w14:textFill>
        </w:rPr>
        <w:t>合同授予标准</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按第30条规定，招标人将把合同授予此次招标的中标投标人。</w:t>
      </w:r>
    </w:p>
    <w:bookmarkEnd w:id="1535"/>
    <w:bookmarkEnd w:id="1536"/>
    <w:p>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37" w:name="_Toc480010731"/>
      <w:bookmarkStart w:id="1538" w:name="_Toc339020022"/>
      <w:bookmarkStart w:id="1539" w:name="_Toc350438756"/>
      <w:bookmarkStart w:id="1540" w:name="_Toc339020102"/>
      <w:bookmarkStart w:id="1541" w:name="_Toc337632365"/>
      <w:bookmarkStart w:id="1542" w:name="_Toc332270353"/>
      <w:bookmarkStart w:id="1543" w:name="_Toc333237795"/>
      <w:bookmarkStart w:id="1544" w:name="_Toc336681942"/>
      <w:bookmarkStart w:id="1545" w:name="_Toc454701402"/>
      <w:bookmarkStart w:id="1546" w:name="_Toc339362307"/>
      <w:bookmarkStart w:id="1547" w:name="_Toc350756457"/>
      <w:bookmarkStart w:id="1548" w:name="_Toc365967079"/>
      <w:bookmarkStart w:id="1549" w:name="_Toc349143596"/>
      <w:bookmarkStart w:id="1550" w:name="_Toc331512905"/>
      <w:bookmarkStart w:id="1551" w:name="_Toc339020240"/>
      <w:bookmarkStart w:id="1552" w:name="_Toc330459992"/>
      <w:bookmarkStart w:id="1553" w:name="_Toc333935694"/>
      <w:bookmarkStart w:id="1554" w:name="_Toc339441094"/>
      <w:bookmarkStart w:id="1555" w:name="_Toc467987846"/>
      <w:bookmarkStart w:id="1556" w:name="_Toc333238640"/>
      <w:bookmarkStart w:id="1557" w:name="_Toc479991605"/>
      <w:bookmarkStart w:id="1558" w:name="_Toc468606052"/>
      <w:bookmarkStart w:id="1559" w:name="_Toc365985185"/>
      <w:bookmarkStart w:id="1560" w:name="_Toc458262635"/>
      <w:bookmarkStart w:id="1561" w:name="_Toc332206715"/>
      <w:bookmarkStart w:id="1562" w:name="_Toc340507449"/>
      <w:bookmarkStart w:id="1563" w:name="_Toc374454607"/>
      <w:bookmarkStart w:id="1564" w:name="_Toc340677077"/>
      <w:bookmarkStart w:id="1565" w:name="_Toc331684045"/>
      <w:bookmarkStart w:id="1566" w:name="_Toc480021076"/>
      <w:bookmarkStart w:id="1567" w:name="_Toc342296767"/>
      <w:bookmarkStart w:id="1568" w:name="_Toc467236763"/>
      <w:bookmarkStart w:id="1569" w:name="_Toc341348345"/>
      <w:bookmarkStart w:id="1570" w:name="_Toc342060381"/>
      <w:bookmarkStart w:id="1571" w:name="_Toc333237684"/>
      <w:bookmarkStart w:id="1572" w:name="_Toc21575"/>
      <w:bookmarkStart w:id="1573" w:name="_Toc333935353"/>
      <w:bookmarkStart w:id="1574" w:name="_Toc480020280"/>
      <w:bookmarkStart w:id="1575" w:name="_Toc500861020"/>
      <w:bookmarkStart w:id="1576" w:name="_Toc340672876"/>
      <w:bookmarkStart w:id="1577" w:name="_Toc336681587"/>
      <w:bookmarkStart w:id="1578" w:name="_Toc349127633"/>
      <w:bookmarkStart w:id="1579" w:name="_Toc491658674"/>
      <w:bookmarkStart w:id="1580" w:name="_Toc32520"/>
      <w:bookmarkStart w:id="1581" w:name="_Toc339019896"/>
      <w:bookmarkStart w:id="1582" w:name="_Toc345513908"/>
      <w:bookmarkStart w:id="1583" w:name="_Toc366072535"/>
      <w:bookmarkStart w:id="1584" w:name="_Toc468157559"/>
      <w:r>
        <w:rPr>
          <w:rFonts w:hint="eastAsia"/>
          <w:color w:val="000000" w:themeColor="text1"/>
          <w:highlight w:val="none"/>
          <w14:textFill>
            <w14:solidFill>
              <w14:schemeClr w14:val="tx1"/>
            </w14:solidFill>
          </w14:textFill>
        </w:rPr>
        <w:t>签订合同</w:t>
      </w:r>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85" w:name="_Toc369700990"/>
      <w:bookmarkStart w:id="1586" w:name="_Toc367095382"/>
      <w:bookmarkStart w:id="1587" w:name="_Toc374093632"/>
      <w:bookmarkStart w:id="1588" w:name="_Toc377129068"/>
      <w:bookmarkStart w:id="1589" w:name="_Toc379896705"/>
      <w:bookmarkStart w:id="1590" w:name="_Toc366072536"/>
      <w:bookmarkStart w:id="1591" w:name="_Toc372209289"/>
      <w:bookmarkStart w:id="1592" w:name="_Toc383069738"/>
      <w:bookmarkStart w:id="1593" w:name="_Toc373401413"/>
      <w:bookmarkStart w:id="1594" w:name="_Toc370309169"/>
      <w:bookmarkStart w:id="1595" w:name="_Toc366681897"/>
      <w:bookmarkStart w:id="1596" w:name="_Toc374454608"/>
      <w:bookmarkStart w:id="1597" w:name="_Toc378261823"/>
      <w:bookmarkStart w:id="1598" w:name="_Toc370983962"/>
      <w:bookmarkStart w:id="1599" w:name="_Toc332206716"/>
      <w:bookmarkStart w:id="1600" w:name="_Toc339020103"/>
      <w:bookmarkStart w:id="1601" w:name="_Toc339441095"/>
      <w:bookmarkStart w:id="1602" w:name="_Toc331684046"/>
      <w:bookmarkStart w:id="1603" w:name="_Toc332270354"/>
      <w:bookmarkStart w:id="1604" w:name="_Toc341348346"/>
      <w:bookmarkStart w:id="1605" w:name="_Toc365967080"/>
      <w:bookmarkStart w:id="1606" w:name="_Toc342060382"/>
      <w:bookmarkStart w:id="1607" w:name="_Toc331512906"/>
      <w:bookmarkStart w:id="1608" w:name="_Toc333238641"/>
      <w:bookmarkStart w:id="1609" w:name="_Toc337632366"/>
      <w:bookmarkStart w:id="1610" w:name="_Toc342296768"/>
      <w:bookmarkStart w:id="1611" w:name="_Toc365985186"/>
      <w:bookmarkStart w:id="1612" w:name="_Toc339362308"/>
      <w:bookmarkStart w:id="1613" w:name="_Toc340672877"/>
      <w:bookmarkStart w:id="1614" w:name="_Toc336681943"/>
      <w:bookmarkStart w:id="1615" w:name="_Toc330459993"/>
      <w:bookmarkStart w:id="1616" w:name="_Toc349143597"/>
      <w:bookmarkStart w:id="1617" w:name="_Toc333237796"/>
      <w:bookmarkStart w:id="1618" w:name="_Toc340677078"/>
      <w:bookmarkStart w:id="1619" w:name="_Toc336681588"/>
      <w:bookmarkStart w:id="1620" w:name="_Toc339019897"/>
      <w:bookmarkStart w:id="1621" w:name="_Toc339020023"/>
      <w:bookmarkStart w:id="1622" w:name="_Toc350438757"/>
      <w:bookmarkStart w:id="1623" w:name="_Toc345513909"/>
      <w:bookmarkStart w:id="1624" w:name="_Toc340507450"/>
      <w:bookmarkStart w:id="1625" w:name="_Toc349127634"/>
      <w:bookmarkStart w:id="1626" w:name="_Toc333935354"/>
      <w:bookmarkStart w:id="1627" w:name="_Toc350756458"/>
      <w:bookmarkStart w:id="1628" w:name="_Toc339020241"/>
      <w:bookmarkStart w:id="1629" w:name="_Toc333237685"/>
      <w:bookmarkStart w:id="1630" w:name="_Toc33393569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人应当按照招标文件和中标投标人投标文件的约定，与中标投标人签订书面合同。所签订的合同不得对招标文件和中标投标人投标文件作实质性修改。招标人不得向中标投标人提出任何不合理的要求，作为签订合同的条件，不得与中标投标人私下订立背离合同实质性内容的协议。</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招标人应当自采购合同签订之日起七个工作日内，按照有关规定将采购合同副本报招标代理机构备案。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拒绝与</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签订合同的，</w:t>
      </w:r>
      <w:r>
        <w:rPr>
          <w:rFonts w:hint="eastAsia" w:ascii="宋体" w:hAnsi="宋体"/>
          <w:bCs/>
          <w:color w:val="000000" w:themeColor="text1"/>
          <w:highlight w:val="none"/>
          <w14:textFill>
            <w14:solidFill>
              <w14:schemeClr w14:val="tx1"/>
            </w14:solidFill>
          </w14:textFill>
        </w:rPr>
        <w:t>招标人</w:t>
      </w:r>
      <w:r>
        <w:rPr>
          <w:rFonts w:ascii="宋体" w:hAnsi="宋体"/>
          <w:bCs/>
          <w:color w:val="000000" w:themeColor="text1"/>
          <w:highlight w:val="none"/>
          <w14:textFill>
            <w14:solidFill>
              <w14:schemeClr w14:val="tx1"/>
            </w14:solidFill>
          </w14:textFill>
        </w:rPr>
        <w:t>可以按照评审报告推荐的</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候选人名单排序，确定下一候选人为</w:t>
      </w:r>
      <w:r>
        <w:rPr>
          <w:rFonts w:hint="eastAsia" w:ascii="宋体" w:hAnsi="宋体"/>
          <w:bCs/>
          <w:color w:val="000000" w:themeColor="text1"/>
          <w:highlight w:val="none"/>
          <w14:textFill>
            <w14:solidFill>
              <w14:schemeClr w14:val="tx1"/>
            </w14:solidFill>
          </w14:textFill>
        </w:rPr>
        <w:t>中标人</w:t>
      </w:r>
      <w:r>
        <w:rPr>
          <w:rFonts w:ascii="宋体" w:hAnsi="宋体"/>
          <w:bCs/>
          <w:color w:val="000000" w:themeColor="text1"/>
          <w:highlight w:val="none"/>
          <w14:textFill>
            <w14:solidFill>
              <w14:schemeClr w14:val="tx1"/>
            </w14:solidFill>
          </w14:textFill>
        </w:rPr>
        <w:t>，也可以重新开展采购活动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pPr>
        <w:pStyle w:val="4"/>
        <w:numPr>
          <w:ilvl w:val="0"/>
          <w:numId w:val="0"/>
        </w:numPr>
        <w:rPr>
          <w:color w:val="000000" w:themeColor="text1"/>
          <w:sz w:val="24"/>
          <w:highlight w:val="none"/>
          <w14:textFill>
            <w14:solidFill>
              <w14:schemeClr w14:val="tx1"/>
            </w14:solidFill>
          </w14:textFill>
        </w:rPr>
      </w:pPr>
      <w:bookmarkStart w:id="1631" w:name="_Toc19163"/>
      <w:bookmarkStart w:id="1632" w:name="_Toc15671"/>
      <w:bookmarkStart w:id="1633" w:name="_Toc467987849"/>
      <w:bookmarkStart w:id="1634" w:name="_Toc480021079"/>
      <w:bookmarkStart w:id="1635" w:name="_Toc480020283"/>
      <w:bookmarkStart w:id="1636" w:name="_Toc480010734"/>
      <w:bookmarkStart w:id="1637" w:name="_Toc468606055"/>
      <w:bookmarkStart w:id="1638" w:name="_Toc479991608"/>
      <w:bookmarkStart w:id="1639" w:name="_Toc468157562"/>
      <w:bookmarkStart w:id="1640" w:name="_Toc491658677"/>
      <w:bookmarkStart w:id="1641" w:name="_Toc500861024"/>
      <w:bookmarkStart w:id="1642" w:name="_Toc467236766"/>
      <w:r>
        <w:rPr>
          <w:rFonts w:hint="eastAsia"/>
          <w:color w:val="000000" w:themeColor="text1"/>
          <w:sz w:val="24"/>
          <w:highlight w:val="none"/>
          <w14:textFill>
            <w14:solidFill>
              <w14:schemeClr w14:val="tx1"/>
            </w14:solidFill>
          </w14:textFill>
        </w:rPr>
        <w:t>G、评标细则</w:t>
      </w:r>
      <w:bookmarkEnd w:id="1631"/>
      <w:bookmarkEnd w:id="1632"/>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654" w:type="dxa"/>
        <w:jc w:val="center"/>
        <w:tblLayout w:type="fixed"/>
        <w:tblCellMar>
          <w:top w:w="0" w:type="dxa"/>
          <w:left w:w="0" w:type="dxa"/>
          <w:bottom w:w="0" w:type="dxa"/>
          <w:right w:w="0" w:type="dxa"/>
        </w:tblCellMar>
      </w:tblPr>
      <w:tblGrid>
        <w:gridCol w:w="2570"/>
        <w:gridCol w:w="2873"/>
        <w:gridCol w:w="3211"/>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评分项目</w:t>
            </w:r>
          </w:p>
        </w:tc>
        <w:tc>
          <w:tcPr>
            <w:tcW w:w="28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技术评分</w:t>
            </w:r>
          </w:p>
        </w:tc>
        <w:tc>
          <w:tcPr>
            <w:tcW w:w="3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分值</w:t>
            </w:r>
          </w:p>
        </w:tc>
        <w:tc>
          <w:tcPr>
            <w:tcW w:w="28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55</w:t>
            </w:r>
            <w:r>
              <w:rPr>
                <w:rFonts w:hint="eastAsia" w:ascii="宋体" w:hAnsi="宋体" w:cs="宋体"/>
                <w:color w:val="000000" w:themeColor="text1"/>
                <w:highlight w:val="none"/>
                <w14:textFill>
                  <w14:solidFill>
                    <w14:schemeClr w14:val="tx1"/>
                  </w14:solidFill>
                </w14:textFill>
              </w:rPr>
              <w:t>分</w:t>
            </w:r>
          </w:p>
        </w:tc>
        <w:tc>
          <w:tcPr>
            <w:tcW w:w="32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45</w:t>
            </w:r>
            <w:r>
              <w:rPr>
                <w:rFonts w:hint="eastAsia" w:ascii="宋体" w:hAnsi="宋体" w:cs="宋体"/>
                <w:color w:val="000000" w:themeColor="text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10012" w:type="dxa"/>
        <w:jc w:val="center"/>
        <w:shd w:val="clear" w:color="auto" w:fill="FFFFFF"/>
        <w:tblLayout w:type="fixed"/>
        <w:tblCellMar>
          <w:top w:w="0" w:type="dxa"/>
          <w:left w:w="0" w:type="dxa"/>
          <w:bottom w:w="0" w:type="dxa"/>
          <w:right w:w="0" w:type="dxa"/>
        </w:tblCellMar>
      </w:tblPr>
      <w:tblGrid>
        <w:gridCol w:w="659"/>
        <w:gridCol w:w="1567"/>
        <w:gridCol w:w="783"/>
        <w:gridCol w:w="7003"/>
      </w:tblGrid>
      <w:tr>
        <w:tblPrEx>
          <w:shd w:val="clear" w:color="auto" w:fill="FFFFFF"/>
          <w:tblCellMar>
            <w:top w:w="0" w:type="dxa"/>
            <w:left w:w="0" w:type="dxa"/>
            <w:bottom w:w="0" w:type="dxa"/>
            <w:right w:w="0" w:type="dxa"/>
          </w:tblCellMar>
        </w:tblPrEx>
        <w:trPr>
          <w:cantSplit/>
          <w:trHeight w:val="460" w:hRule="atLeast"/>
          <w:tblHeader/>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213"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总体服务计划方案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1.计划方案</w:t>
            </w:r>
            <w:r>
              <w:rPr>
                <w:rFonts w:hint="eastAsia" w:ascii="宋体" w:hAnsi="宋体"/>
                <w:color w:val="000000" w:themeColor="text1"/>
                <w:szCs w:val="21"/>
                <w:highlight w:val="none"/>
                <w14:textFill>
                  <w14:solidFill>
                    <w14:schemeClr w14:val="tx1"/>
                  </w14:solidFill>
                </w14:textFill>
              </w:rPr>
              <w:t>详实完整、实际可行，思路清楚，制定的服务方案能够保证项目的顺利完成，得10分；</w:t>
            </w:r>
          </w:p>
          <w:p>
            <w:pPr>
              <w:widowControl/>
              <w:adjustRightInd w:val="0"/>
              <w:snapToGrid w:val="0"/>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2.计划方案</w:t>
            </w:r>
            <w:r>
              <w:rPr>
                <w:rFonts w:hint="eastAsia" w:ascii="宋体" w:hAnsi="宋体"/>
                <w:color w:val="000000" w:themeColor="text1"/>
                <w:szCs w:val="21"/>
                <w:highlight w:val="none"/>
                <w14:textFill>
                  <w14:solidFill>
                    <w14:schemeClr w14:val="tx1"/>
                  </w14:solidFill>
                </w14:textFill>
              </w:rPr>
              <w:t>较完整，可行性一般，制定的服务方案基本能够保证项目的顺利完成，得6分；</w:t>
            </w:r>
          </w:p>
          <w:p>
            <w:pPr>
              <w:widowControl/>
              <w:adjustRightInd w:val="0"/>
              <w:snapToGrid w:val="0"/>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3.计划方案</w:t>
            </w:r>
            <w:r>
              <w:rPr>
                <w:rFonts w:hint="eastAsia" w:ascii="宋体" w:hAnsi="宋体"/>
                <w:color w:val="000000" w:themeColor="text1"/>
                <w:szCs w:val="21"/>
                <w:highlight w:val="none"/>
                <w14:textFill>
                  <w14:solidFill>
                    <w14:schemeClr w14:val="tx1"/>
                  </w14:solidFill>
                </w14:textFill>
              </w:rPr>
              <w:t>不够详细，可行性一般，制定的服务方案无法保证项目的顺利完成，得2分；</w:t>
            </w:r>
          </w:p>
          <w:p>
            <w:pPr>
              <w:widowControl/>
              <w:adjustRightInd w:val="0"/>
              <w:snapToGrid w:val="0"/>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4.计划方案</w:t>
            </w:r>
            <w:r>
              <w:rPr>
                <w:rFonts w:hint="eastAsia" w:ascii="宋体" w:hAnsi="宋体"/>
                <w:color w:val="000000" w:themeColor="text1"/>
                <w:szCs w:val="21"/>
                <w:highlight w:val="none"/>
                <w14:textFill>
                  <w14:solidFill>
                    <w14:schemeClr w14:val="tx1"/>
                  </w14:solidFill>
                </w14:textFill>
              </w:rPr>
              <w:t>不具体且不可行，或未提供服务方案的，得0分；</w:t>
            </w:r>
          </w:p>
        </w:tc>
      </w:tr>
      <w:tr>
        <w:tblPrEx>
          <w:shd w:val="clear" w:color="auto" w:fill="FFFFFF"/>
          <w:tblCellMar>
            <w:top w:w="0" w:type="dxa"/>
            <w:left w:w="0" w:type="dxa"/>
            <w:bottom w:w="0" w:type="dxa"/>
            <w:right w:w="0" w:type="dxa"/>
          </w:tblCellMar>
        </w:tblPrEx>
        <w:trPr>
          <w:cantSplit/>
          <w:trHeight w:val="929"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质量控制措施</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1.针对项目质量要求，制定出实现质量目标的具体保证措施，并根据工作内容、重点和难点进行分析并制定出相应的处理方法，得5分；</w:t>
            </w:r>
          </w:p>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2.质量控制措施不明确，分析不全面的，得2分；</w:t>
            </w:r>
          </w:p>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3.未提供质量控制措施的，得0分。</w:t>
            </w:r>
          </w:p>
        </w:tc>
      </w:tr>
      <w:tr>
        <w:tblPrEx>
          <w:shd w:val="clear" w:color="auto" w:fill="FFFFFF"/>
          <w:tblCellMar>
            <w:top w:w="0" w:type="dxa"/>
            <w:left w:w="0" w:type="dxa"/>
            <w:bottom w:w="0" w:type="dxa"/>
            <w:right w:w="0" w:type="dxa"/>
          </w:tblCellMar>
        </w:tblPrEx>
        <w:trPr>
          <w:cantSplit/>
          <w:trHeight w:val="226"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进度控制措施</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根据各投标人的进度控制措施是否目标明确、方法合理可行、措施具体、针对性强等进行对比评分：</w:t>
            </w:r>
          </w:p>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1.进度控制措施目标明确、方法合理可行、措施具体、针对性强的，得4分；</w:t>
            </w:r>
          </w:p>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2.进度控制措施目标基本明确、方法较合理可行、措施较具体、针对性较强的，得2分；</w:t>
            </w:r>
          </w:p>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3.进度控制措施目标不明确、方法不可行、措施不具体的，得</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分；</w:t>
            </w:r>
          </w:p>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602"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合同管理、信息管理</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根据各投标人的合同管理、信息管理方法是否完善具体，措施是否得当、针对性强弱等进行对比评分：</w:t>
            </w:r>
          </w:p>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1.合同管理、信息管理方法完善具体，措施得当、针对性强的，优得4分；</w:t>
            </w:r>
          </w:p>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2.合同管理、信息管理方法较完善具体，措施较得当、针对性较强的，得2分；</w:t>
            </w:r>
          </w:p>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3.合同管理、信息管理方法不具体，措施一般、针对性弱的，得</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分；</w:t>
            </w:r>
          </w:p>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929"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监理工作程序</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根据各投标人是否有清晰的工作流程图、工作准则是否能满足要求等方面进行对比评分：</w:t>
            </w:r>
          </w:p>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1.投标人有清晰的作流程图、工作准则能满足要求的，优得4分；</w:t>
            </w:r>
          </w:p>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2.投标人有较清晰的作流程图、工作准则基本满足要求的，得2分；</w:t>
            </w:r>
          </w:p>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3.投标人有作流程图、工作准则不能满足要求的，得</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分；</w:t>
            </w:r>
          </w:p>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929"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重点难点监控措施</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根据各投标人的重点难点监控措施是否针对性强、措施具体、可操作性高等进行对比评分：</w:t>
            </w:r>
          </w:p>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1.投标人的重点难点监控措施针对性强、措施具体、可操作性高的，得4分；</w:t>
            </w:r>
          </w:p>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2.投标人的重点难点监控措施针对性较强、措施较具体、可操作性较高的，得2分；</w:t>
            </w:r>
          </w:p>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3.投标人的重点难点监控措施针对性不强、措施不具体、可操作性不高的，得</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分；</w:t>
            </w:r>
          </w:p>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929"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会议制度</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根据各投标人</w:t>
            </w:r>
            <w:r>
              <w:rPr>
                <w:rFonts w:hint="eastAsia" w:ascii="宋体" w:hAnsi="宋体"/>
                <w:color w:val="000000" w:themeColor="text1"/>
                <w:spacing w:val="-6"/>
                <w:szCs w:val="21"/>
                <w:highlight w:val="none"/>
                <w14:textFill>
                  <w14:solidFill>
                    <w14:schemeClr w14:val="tx1"/>
                  </w14:solidFill>
                </w14:textFill>
              </w:rPr>
              <w:t>建立完善的工地会议制度进行对比评分：</w:t>
            </w:r>
          </w:p>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1.投标人</w:t>
            </w:r>
            <w:r>
              <w:rPr>
                <w:rFonts w:hint="eastAsia" w:ascii="宋体" w:hAnsi="宋体"/>
                <w:color w:val="000000" w:themeColor="text1"/>
                <w:spacing w:val="-6"/>
                <w:szCs w:val="21"/>
                <w:highlight w:val="none"/>
                <w14:textFill>
                  <w14:solidFill>
                    <w14:schemeClr w14:val="tx1"/>
                  </w14:solidFill>
                </w14:textFill>
              </w:rPr>
              <w:t>建立完善的工地会议制度的，得4分；</w:t>
            </w:r>
          </w:p>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投标人</w:t>
            </w:r>
            <w:r>
              <w:rPr>
                <w:rFonts w:hint="eastAsia" w:ascii="宋体" w:hAnsi="宋体"/>
                <w:color w:val="000000" w:themeColor="text1"/>
                <w:spacing w:val="-6"/>
                <w:szCs w:val="21"/>
                <w:highlight w:val="none"/>
                <w14:textFill>
                  <w14:solidFill>
                    <w14:schemeClr w14:val="tx1"/>
                  </w14:solidFill>
                </w14:textFill>
              </w:rPr>
              <w:t>建立较完善的工地会议制度的，得2分；</w:t>
            </w:r>
          </w:p>
          <w:p>
            <w:pPr>
              <w:widowControl/>
              <w:adjustRightInd w:val="0"/>
              <w:snapToGrid w:val="0"/>
              <w:spacing w:line="32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投标人</w:t>
            </w:r>
            <w:r>
              <w:rPr>
                <w:rFonts w:hint="eastAsia" w:ascii="宋体" w:hAnsi="宋体"/>
                <w:color w:val="000000" w:themeColor="text1"/>
                <w:spacing w:val="-6"/>
                <w:szCs w:val="21"/>
                <w:highlight w:val="none"/>
                <w14:textFill>
                  <w14:solidFill>
                    <w14:schemeClr w14:val="tx1"/>
                  </w14:solidFill>
                </w14:textFill>
              </w:rPr>
              <w:t>建立工地会议制度的，得1分</w:t>
            </w:r>
            <w:r>
              <w:rPr>
                <w:rFonts w:hint="eastAsia" w:ascii="宋体" w:hAnsi="宋体"/>
                <w:color w:val="000000" w:themeColor="text1"/>
                <w:highlight w:val="none"/>
                <w14:textFill>
                  <w14:solidFill>
                    <w14:schemeClr w14:val="tx1"/>
                  </w14:solidFill>
                </w14:textFill>
              </w:rPr>
              <w:t>；</w:t>
            </w:r>
          </w:p>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929"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技术档案管理制度</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1.有完善档案的收集、整理、保管、利用和鉴定销毁等管理制度，并采取可靠的安全防护技术和措施，保证档案的真实、完整、可用、安全的管理制度，得5分；</w:t>
            </w:r>
          </w:p>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2.基本具备技术档案管理制度，但安全防护技术和措施不足，得2分；</w:t>
            </w:r>
          </w:p>
          <w:p>
            <w:pPr>
              <w:widowControl/>
              <w:adjustRightInd w:val="0"/>
              <w:snapToGrid w:val="0"/>
              <w:spacing w:line="320" w:lineRule="exact"/>
              <w:rPr>
                <w:rFonts w:ascii="宋体" w:hAnsi="宋体"/>
                <w:color w:val="000000" w:themeColor="text1"/>
                <w:spacing w:val="-6"/>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3.技术档案管理制度不完善或未提供的，得0分。</w:t>
            </w:r>
          </w:p>
        </w:tc>
      </w:tr>
      <w:tr>
        <w:tblPrEx>
          <w:shd w:val="clear" w:color="auto" w:fill="FFFFFF"/>
          <w:tblCellMar>
            <w:top w:w="0" w:type="dxa"/>
            <w:left w:w="0" w:type="dxa"/>
            <w:bottom w:w="0" w:type="dxa"/>
            <w:right w:w="0" w:type="dxa"/>
          </w:tblCellMar>
        </w:tblPrEx>
        <w:trPr>
          <w:cantSplit/>
          <w:trHeight w:val="929"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技术支持和本地化全方位服务响应</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tabs>
                <w:tab w:val="left" w:pos="360"/>
              </w:tabs>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根据投标人在方案中是否承诺在中标后入库服务期的两年内提供</w:t>
            </w:r>
            <w:r>
              <w:rPr>
                <w:rFonts w:ascii="宋体" w:hAnsi="宋体"/>
                <w:bCs/>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14:textFill>
                  <w14:solidFill>
                    <w14:schemeClr w14:val="tx1"/>
                  </w14:solidFill>
                </w14:textFill>
              </w:rPr>
              <w:t>24</w:t>
            </w:r>
            <w:r>
              <w:rPr>
                <w:rFonts w:hint="eastAsia" w:ascii="宋体" w:hAnsi="宋体"/>
                <w:bCs/>
                <w:color w:val="000000" w:themeColor="text1"/>
                <w:szCs w:val="21"/>
                <w:highlight w:val="none"/>
                <w14:textFill>
                  <w14:solidFill>
                    <w14:schemeClr w14:val="tx1"/>
                  </w14:solidFill>
                </w14:textFill>
              </w:rPr>
              <w:t>小时技术支持和项目现场服务；在用户提出服务需求后，是否能够及时做出响应迅速到达现场（即</w:t>
            </w:r>
            <w:r>
              <w:rPr>
                <w:rFonts w:hint="eastAsia" w:ascii="宋体" w:hAnsi="宋体"/>
                <w:color w:val="000000" w:themeColor="text1"/>
                <w:szCs w:val="21"/>
                <w:highlight w:val="none"/>
                <w14:textFill>
                  <w14:solidFill>
                    <w14:schemeClr w14:val="tx1"/>
                  </w14:solidFill>
                </w14:textFill>
              </w:rPr>
              <w:t>响应时间）并有具体措施等进行对比评分：</w:t>
            </w:r>
          </w:p>
          <w:p>
            <w:pPr>
              <w:tabs>
                <w:tab w:val="left" w:pos="360"/>
              </w:tabs>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1.在方案中承诺提供7×24小时技术支持和项目现场服务并且派常驻人员在半小时内响应得</w:t>
            </w: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分；</w:t>
            </w:r>
          </w:p>
          <w:p>
            <w:pPr>
              <w:tabs>
                <w:tab w:val="left" w:pos="360"/>
              </w:tabs>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2.在方案中承诺提供7×24小时技术支持和项目现场服务并且派常驻人员在四小时内响应得</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分；</w:t>
            </w:r>
          </w:p>
          <w:p>
            <w:pPr>
              <w:tabs>
                <w:tab w:val="left" w:pos="360"/>
              </w:tabs>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3.在方案中承诺提供7×24小时技术支持和项目现场服务并且派常驻人员在八小时内响应得</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分；</w:t>
            </w:r>
          </w:p>
          <w:p>
            <w:pPr>
              <w:tabs>
                <w:tab w:val="left" w:pos="360"/>
              </w:tabs>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无承诺的不得分。</w:t>
            </w:r>
          </w:p>
          <w:p>
            <w:pPr>
              <w:tabs>
                <w:tab w:val="left" w:pos="360"/>
              </w:tabs>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（“响应时间”是指在项目委托人提出服务需求后，投标人从接到需求做出响应时至到达现场的时间）</w:t>
            </w:r>
          </w:p>
        </w:tc>
      </w:tr>
      <w:tr>
        <w:tblPrEx>
          <w:shd w:val="clear" w:color="auto" w:fill="FFFFFF"/>
          <w:tblCellMar>
            <w:top w:w="0" w:type="dxa"/>
            <w:left w:w="0" w:type="dxa"/>
            <w:bottom w:w="0" w:type="dxa"/>
            <w:right w:w="0" w:type="dxa"/>
          </w:tblCellMar>
        </w:tblPrEx>
        <w:trPr>
          <w:cantSplit/>
          <w:trHeight w:val="929" w:hRule="atLeast"/>
          <w:jc w:val="center"/>
        </w:trPr>
        <w:tc>
          <w:tcPr>
            <w:tcW w:w="6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服务</w:t>
            </w:r>
            <w:r>
              <w:rPr>
                <w:rFonts w:hint="eastAsia"/>
                <w:color w:val="000000" w:themeColor="text1"/>
                <w:highlight w:val="none"/>
                <w14:textFill>
                  <w14:solidFill>
                    <w14:schemeClr w14:val="tx1"/>
                  </w14:solidFill>
                </w14:textFill>
              </w:rPr>
              <w:t>承诺</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tabs>
                <w:tab w:val="left" w:pos="360"/>
              </w:tabs>
              <w:spacing w:line="32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对投标人作出招标文件规定以外的服务承诺进行综合评审。额外服务承诺需有针对性的具体建议措施，</w:t>
            </w:r>
            <w:r>
              <w:rPr>
                <w:rFonts w:hint="eastAsia" w:ascii="宋体" w:hAnsi="宋体"/>
                <w:bCs/>
                <w:color w:val="000000" w:themeColor="text1"/>
                <w:szCs w:val="21"/>
                <w:highlight w:val="none"/>
                <w:lang w:val="en-US" w:eastAsia="zh-CN"/>
                <w14:textFill>
                  <w14:solidFill>
                    <w14:schemeClr w14:val="tx1"/>
                  </w14:solidFill>
                </w14:textFill>
              </w:rPr>
              <w:t>根据</w:t>
            </w:r>
            <w:r>
              <w:rPr>
                <w:rFonts w:hint="eastAsia" w:ascii="宋体" w:hAnsi="宋体"/>
                <w:bCs/>
                <w:color w:val="000000" w:themeColor="text1"/>
                <w:szCs w:val="21"/>
                <w:highlight w:val="none"/>
                <w14:textFill>
                  <w14:solidFill>
                    <w14:schemeClr w14:val="tx1"/>
                  </w14:solidFill>
                </w14:textFill>
              </w:rPr>
              <w:t>承诺的可行</w:t>
            </w:r>
            <w:r>
              <w:rPr>
                <w:rFonts w:hint="eastAsia" w:ascii="宋体" w:hAnsi="宋体"/>
                <w:bCs/>
                <w:color w:val="000000" w:themeColor="text1"/>
                <w:szCs w:val="21"/>
                <w:highlight w:val="none"/>
                <w:lang w:val="en-US" w:eastAsia="zh-CN"/>
                <w14:textFill>
                  <w14:solidFill>
                    <w14:schemeClr w14:val="tx1"/>
                  </w14:solidFill>
                </w14:textFill>
              </w:rPr>
              <w:t>性</w:t>
            </w:r>
            <w:r>
              <w:rPr>
                <w:rFonts w:hint="eastAsia" w:ascii="宋体" w:hAnsi="宋体"/>
                <w:bCs/>
                <w:color w:val="000000" w:themeColor="text1"/>
                <w:szCs w:val="21"/>
                <w:highlight w:val="none"/>
                <w14:textFill>
                  <w14:solidFill>
                    <w14:schemeClr w14:val="tx1"/>
                  </w14:solidFill>
                </w14:textFill>
              </w:rPr>
              <w:t>、服务内容的程度及深度</w:t>
            </w:r>
            <w:r>
              <w:rPr>
                <w:rFonts w:hint="eastAsia" w:ascii="宋体" w:hAnsi="宋体"/>
                <w:bCs/>
                <w:color w:val="000000" w:themeColor="text1"/>
                <w:szCs w:val="21"/>
                <w:highlight w:val="none"/>
                <w:lang w:val="en-US" w:eastAsia="zh-CN"/>
                <w14:textFill>
                  <w14:solidFill>
                    <w14:schemeClr w14:val="tx1"/>
                  </w14:solidFill>
                </w14:textFill>
              </w:rPr>
              <w:t>评审</w:t>
            </w:r>
            <w:r>
              <w:rPr>
                <w:rFonts w:hint="eastAsia" w:ascii="宋体" w:hAnsi="宋体"/>
                <w:bCs/>
                <w:color w:val="000000" w:themeColor="text1"/>
                <w:szCs w:val="21"/>
                <w:highlight w:val="none"/>
                <w14:textFill>
                  <w14:solidFill>
                    <w14:schemeClr w14:val="tx1"/>
                  </w14:solidFill>
                </w14:textFill>
              </w:rPr>
              <w:t>。每增加一项（类）内容，加</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分，无实际意义的承诺可不加分，本项最高得</w:t>
            </w:r>
            <w:r>
              <w:rPr>
                <w:rFonts w:ascii="宋体" w:hAnsi="宋体"/>
                <w:bCs/>
                <w:color w:val="000000" w:themeColor="text1"/>
                <w:szCs w:val="21"/>
                <w:highlight w:val="none"/>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分。</w:t>
            </w:r>
          </w:p>
          <w:p>
            <w:pPr>
              <w:tabs>
                <w:tab w:val="left" w:pos="360"/>
              </w:tabs>
              <w:spacing w:line="32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
                <w:bCs w:val="0"/>
                <w:color w:val="000000" w:themeColor="text1"/>
                <w:szCs w:val="21"/>
                <w:highlight w:val="none"/>
                <w14:textFill>
                  <w14:solidFill>
                    <w14:schemeClr w14:val="tx1"/>
                  </w14:solidFill>
                </w14:textFill>
              </w:rPr>
              <w:t>注：须提供承诺函，不提供不得分。</w:t>
            </w:r>
          </w:p>
        </w:tc>
      </w:tr>
      <w:tr>
        <w:tblPrEx>
          <w:shd w:val="clear" w:color="auto" w:fill="FFFFFF"/>
          <w:tblCellMar>
            <w:top w:w="0" w:type="dxa"/>
            <w:left w:w="0" w:type="dxa"/>
            <w:bottom w:w="0" w:type="dxa"/>
            <w:right w:w="0" w:type="dxa"/>
          </w:tblCellMar>
        </w:tblPrEx>
        <w:trPr>
          <w:cantSplit/>
          <w:trHeight w:val="572" w:hRule="atLeast"/>
          <w:jc w:val="center"/>
        </w:trPr>
        <w:tc>
          <w:tcPr>
            <w:tcW w:w="222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tc>
        <w:tc>
          <w:tcPr>
            <w:tcW w:w="700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1584"/>
        <w:gridCol w:w="783"/>
        <w:gridCol w:w="7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2" w:hRule="atLeast"/>
          <w:jc w:val="center"/>
        </w:trPr>
        <w:tc>
          <w:tcPr>
            <w:tcW w:w="668"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84"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83"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7019"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jc w:val="center"/>
        </w:trPr>
        <w:tc>
          <w:tcPr>
            <w:tcW w:w="668" w:type="dxa"/>
            <w:vMerge w:val="restart"/>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584" w:type="dxa"/>
            <w:vMerge w:val="restart"/>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企业综合实力</w:t>
            </w:r>
          </w:p>
        </w:tc>
        <w:tc>
          <w:tcPr>
            <w:tcW w:w="783" w:type="dxa"/>
            <w:vMerge w:val="restart"/>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12分</w:t>
            </w:r>
          </w:p>
        </w:tc>
        <w:tc>
          <w:tcPr>
            <w:tcW w:w="7019" w:type="dxa"/>
            <w:tcMar>
              <w:top w:w="0" w:type="dxa"/>
              <w:left w:w="108" w:type="dxa"/>
              <w:bottom w:w="0" w:type="dxa"/>
              <w:right w:w="108" w:type="dxa"/>
            </w:tcMar>
            <w:vAlign w:val="center"/>
          </w:tcPr>
          <w:p>
            <w:pPr>
              <w:tabs>
                <w:tab w:val="left" w:pos="1302"/>
              </w:tabs>
              <w:snapToGrid w:val="0"/>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1、具有质量管理体系认证、环境管理体系认证、职业健康安全管理体系认证证书的，每提供一个认证证书得2分，满分为6分。</w:t>
            </w:r>
          </w:p>
          <w:p>
            <w:pPr>
              <w:tabs>
                <w:tab w:val="left" w:pos="1302"/>
              </w:tabs>
              <w:snapToGrid w:val="0"/>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（提供证书复印件加盖公章，不提供或提供不全不得分）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jc w:val="center"/>
        </w:trPr>
        <w:tc>
          <w:tcPr>
            <w:tcW w:w="668" w:type="dxa"/>
            <w:vMerge w:val="continue"/>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1584" w:type="dxa"/>
            <w:vMerge w:val="continue"/>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783" w:type="dxa"/>
            <w:vMerge w:val="continue"/>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p>
        </w:tc>
        <w:tc>
          <w:tcPr>
            <w:tcW w:w="7019" w:type="dxa"/>
            <w:tcMar>
              <w:top w:w="0" w:type="dxa"/>
              <w:left w:w="108" w:type="dxa"/>
              <w:bottom w:w="0" w:type="dxa"/>
              <w:right w:w="108" w:type="dxa"/>
            </w:tcMar>
            <w:vAlign w:val="center"/>
          </w:tcPr>
          <w:p>
            <w:pPr>
              <w:tabs>
                <w:tab w:val="left" w:pos="1302"/>
              </w:tabs>
              <w:snapToGrid w:val="0"/>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2、自2015年1月1日至今完成过质量合格的房屋建筑工程</w:t>
            </w:r>
          </w:p>
          <w:p>
            <w:pPr>
              <w:tabs>
                <w:tab w:val="left" w:pos="1302"/>
              </w:tabs>
              <w:snapToGrid w:val="0"/>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（1）获得鲁班奖的一项得6分，最高得6分；</w:t>
            </w:r>
          </w:p>
          <w:p>
            <w:pPr>
              <w:tabs>
                <w:tab w:val="left" w:pos="1302"/>
              </w:tabs>
              <w:snapToGrid w:val="0"/>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（2）获得省级质量奖的一项得2分，最高得4分；</w:t>
            </w:r>
          </w:p>
          <w:p>
            <w:pPr>
              <w:tabs>
                <w:tab w:val="left" w:pos="1302"/>
              </w:tabs>
              <w:snapToGrid w:val="0"/>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（3）获得市级质量奖的一项得1分，最高得2分；</w:t>
            </w:r>
          </w:p>
          <w:p>
            <w:pPr>
              <w:tabs>
                <w:tab w:val="left" w:pos="1302"/>
              </w:tabs>
              <w:snapToGrid w:val="0"/>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本项最高得6分。</w:t>
            </w:r>
          </w:p>
          <w:p>
            <w:pPr>
              <w:tabs>
                <w:tab w:val="left" w:pos="1302"/>
              </w:tabs>
              <w:snapToGrid w:val="0"/>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（提供投标人获得的荣誉奖励证明材料复印件加盖公章，不提供不得分。）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68"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584" w:type="dxa"/>
            <w:tcMar>
              <w:top w:w="0" w:type="dxa"/>
              <w:left w:w="108" w:type="dxa"/>
              <w:bottom w:w="0" w:type="dxa"/>
              <w:right w:w="108" w:type="dxa"/>
            </w:tcMar>
            <w:vAlign w:val="center"/>
          </w:tcPr>
          <w:p>
            <w:pPr>
              <w:adjustRightInd w:val="0"/>
              <w:snapToGrid w:val="0"/>
              <w:spacing w:after="160" w:line="320" w:lineRule="exact"/>
              <w:jc w:val="center"/>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机构设立、运作流程、管理计划</w:t>
            </w:r>
          </w:p>
        </w:tc>
        <w:tc>
          <w:tcPr>
            <w:tcW w:w="783"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w:t>
            </w:r>
          </w:p>
        </w:tc>
        <w:tc>
          <w:tcPr>
            <w:tcW w:w="7019" w:type="dxa"/>
            <w:tcMar>
              <w:top w:w="0" w:type="dxa"/>
              <w:left w:w="108" w:type="dxa"/>
              <w:bottom w:w="0" w:type="dxa"/>
              <w:right w:w="108" w:type="dxa"/>
            </w:tcMar>
            <w:vAlign w:val="center"/>
          </w:tcPr>
          <w:p>
            <w:pPr>
              <w:widowControl/>
              <w:adjustRightInd w:val="0"/>
              <w:snapToGrid w:val="0"/>
              <w:spacing w:line="3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根据各投标人内部机构设置、权责分工、各个环节等是否设置有相应的机构等比较评分：</w:t>
            </w:r>
          </w:p>
          <w:p>
            <w:pPr>
              <w:widowControl/>
              <w:adjustRightInd w:val="0"/>
              <w:snapToGrid w:val="0"/>
              <w:spacing w:line="3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（1）有规范的内部治理结构和管理制度，组织架构设计适当，组织工作程序化、标准化，对权责分工合理，各个环节设置的机构健全的，得</w:t>
            </w:r>
            <w:r>
              <w:rPr>
                <w:rFonts w:ascii="宋体" w:hAnsi="宋体" w:cs="宋体"/>
                <w:color w:val="000000" w:themeColor="text1"/>
                <w:spacing w:val="-6"/>
                <w:szCs w:val="21"/>
                <w:highlight w:val="none"/>
                <w14:textFill>
                  <w14:solidFill>
                    <w14:schemeClr w14:val="tx1"/>
                  </w14:solidFill>
                </w14:textFill>
              </w:rPr>
              <w:t>4</w:t>
            </w:r>
            <w:r>
              <w:rPr>
                <w:rFonts w:hint="eastAsia" w:ascii="宋体" w:hAnsi="宋体" w:cs="宋体"/>
                <w:color w:val="000000" w:themeColor="text1"/>
                <w:spacing w:val="-6"/>
                <w:szCs w:val="21"/>
                <w:highlight w:val="none"/>
                <w14:textFill>
                  <w14:solidFill>
                    <w14:schemeClr w14:val="tx1"/>
                  </w14:solidFill>
                </w14:textFill>
              </w:rPr>
              <w:t>分；</w:t>
            </w:r>
          </w:p>
          <w:p>
            <w:pPr>
              <w:widowControl/>
              <w:adjustRightInd w:val="0"/>
              <w:snapToGrid w:val="0"/>
              <w:spacing w:line="3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（2）有基本的内部治理结构和管理制度，组织工作基本程序化、标准化，对权责分工较合理，各个环节设置的机构不足的，得</w:t>
            </w:r>
            <w:r>
              <w:rPr>
                <w:rFonts w:ascii="宋体" w:hAnsi="宋体" w:cs="宋体"/>
                <w:color w:val="000000" w:themeColor="text1"/>
                <w:spacing w:val="-6"/>
                <w:szCs w:val="21"/>
                <w:highlight w:val="none"/>
                <w14:textFill>
                  <w14:solidFill>
                    <w14:schemeClr w14:val="tx1"/>
                  </w14:solidFill>
                </w14:textFill>
              </w:rPr>
              <w:t>2</w:t>
            </w:r>
            <w:r>
              <w:rPr>
                <w:rFonts w:hint="eastAsia" w:ascii="宋体" w:hAnsi="宋体" w:cs="宋体"/>
                <w:color w:val="000000" w:themeColor="text1"/>
                <w:spacing w:val="-6"/>
                <w:szCs w:val="21"/>
                <w:highlight w:val="none"/>
                <w14:textFill>
                  <w14:solidFill>
                    <w14:schemeClr w14:val="tx1"/>
                  </w14:solidFill>
                </w14:textFill>
              </w:rPr>
              <w:t>分；</w:t>
            </w:r>
          </w:p>
          <w:p>
            <w:pPr>
              <w:widowControl/>
              <w:adjustRightInd w:val="0"/>
              <w:snapToGrid w:val="0"/>
              <w:spacing w:line="3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（3）有简单的内部治理结构和管理制度，组织工作程序化、标准化不足，对权责分工较合理，各个环节设置的机构不足的，得1分；</w:t>
            </w:r>
          </w:p>
          <w:p>
            <w:pPr>
              <w:widowControl/>
              <w:adjustRightInd w:val="0"/>
              <w:snapToGrid w:val="0"/>
              <w:spacing w:line="3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68"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584"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同类项目经验</w:t>
            </w:r>
          </w:p>
        </w:tc>
        <w:tc>
          <w:tcPr>
            <w:tcW w:w="783"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15分</w:t>
            </w:r>
          </w:p>
        </w:tc>
        <w:tc>
          <w:tcPr>
            <w:tcW w:w="7019" w:type="dxa"/>
            <w:tcMar>
              <w:top w:w="0" w:type="dxa"/>
              <w:left w:w="108" w:type="dxa"/>
              <w:bottom w:w="0" w:type="dxa"/>
              <w:right w:w="108" w:type="dxa"/>
            </w:tcMar>
            <w:vAlign w:val="center"/>
          </w:tcPr>
          <w:p>
            <w:pPr>
              <w:widowControl/>
              <w:adjustRightInd w:val="0"/>
              <w:snapToGrid w:val="0"/>
              <w:spacing w:line="3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1.提供201</w:t>
            </w:r>
            <w:r>
              <w:rPr>
                <w:rFonts w:hint="eastAsia" w:ascii="宋体" w:hAnsi="宋体" w:cs="宋体"/>
                <w:color w:val="000000" w:themeColor="text1"/>
                <w:spacing w:val="-6"/>
                <w:szCs w:val="21"/>
                <w:highlight w:val="none"/>
                <w:lang w:val="en-US" w:eastAsia="zh-CN"/>
                <w14:textFill>
                  <w14:solidFill>
                    <w14:schemeClr w14:val="tx1"/>
                  </w14:solidFill>
                </w14:textFill>
              </w:rPr>
              <w:t>8</w:t>
            </w:r>
            <w:r>
              <w:rPr>
                <w:rFonts w:hint="eastAsia" w:ascii="宋体" w:hAnsi="宋体" w:cs="宋体"/>
                <w:color w:val="000000" w:themeColor="text1"/>
                <w:spacing w:val="-6"/>
                <w:szCs w:val="21"/>
                <w:highlight w:val="none"/>
                <w14:textFill>
                  <w14:solidFill>
                    <w14:schemeClr w14:val="tx1"/>
                  </w14:solidFill>
                </w14:textFill>
              </w:rPr>
              <w:t>年1月1日至今（以合同签订日期为准）的银行业金融机构工程项目监理服务业绩经验，每1项得3分，最高得15分。</w:t>
            </w:r>
          </w:p>
          <w:p>
            <w:pPr>
              <w:widowControl/>
              <w:adjustRightInd w:val="0"/>
              <w:snapToGrid w:val="0"/>
              <w:spacing w:line="3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2.提供2018年1月1日至今（以合同签订日期为准）的其他（银行业金融机构工程除外）工程项目监理服务业绩经验，每1项得2分，最高得10分。</w:t>
            </w:r>
          </w:p>
          <w:p>
            <w:pPr>
              <w:widowControl/>
              <w:adjustRightInd w:val="0"/>
              <w:snapToGrid w:val="0"/>
              <w:spacing w:line="3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本项最高得15分。</w:t>
            </w:r>
          </w:p>
          <w:p>
            <w:pPr>
              <w:widowControl/>
              <w:adjustRightInd w:val="0"/>
              <w:snapToGrid w:val="0"/>
              <w:spacing w:line="320" w:lineRule="exac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提供项目合同或中标通知书复印件并加盖公章，不提供不得分。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668"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584"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拟投入监理人员配备</w:t>
            </w:r>
          </w:p>
        </w:tc>
        <w:tc>
          <w:tcPr>
            <w:tcW w:w="783"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14分</w:t>
            </w:r>
          </w:p>
        </w:tc>
        <w:tc>
          <w:tcPr>
            <w:tcW w:w="7019" w:type="dxa"/>
            <w:tcMar>
              <w:top w:w="0" w:type="dxa"/>
              <w:left w:w="108" w:type="dxa"/>
              <w:bottom w:w="0" w:type="dxa"/>
              <w:right w:w="108" w:type="dxa"/>
            </w:tcMar>
            <w:vAlign w:val="center"/>
          </w:tcPr>
          <w:p>
            <w:pPr>
              <w:tabs>
                <w:tab w:val="left" w:pos="360"/>
              </w:tabs>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投标人提供不少于6人的专业服务项目团队名单，在服务期限内该团队80%专业技术人员保持固定：</w:t>
            </w:r>
          </w:p>
          <w:p>
            <w:pPr>
              <w:tabs>
                <w:tab w:val="left" w:pos="360"/>
              </w:tabs>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（1）提供一名高级工程师职称或注册监理工程师证书的得3分，最多得6分；</w:t>
            </w:r>
          </w:p>
          <w:p>
            <w:pPr>
              <w:tabs>
                <w:tab w:val="left" w:pos="360"/>
              </w:tabs>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（2）其他人员（上述高级工程师职称或注册监理工程师除外）每提供一个中级及以上职称证书的得2分，最多得8分。</w:t>
            </w:r>
          </w:p>
          <w:p>
            <w:pPr>
              <w:widowControl/>
              <w:adjustRightInd w:val="0"/>
              <w:snapToGrid w:val="0"/>
              <w:spacing w:line="320" w:lineRule="exact"/>
              <w:jc w:val="left"/>
              <w:rPr>
                <w:rFonts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注：提供上述人员的相关证书复印件加盖公章，还需提供社保缴纳证明（投标截止时间前三个月任意一个月的社保缴纳凭证）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2" w:hRule="atLeast"/>
          <w:jc w:val="center"/>
        </w:trPr>
        <w:tc>
          <w:tcPr>
            <w:tcW w:w="2252" w:type="dxa"/>
            <w:gridSpan w:val="2"/>
            <w:vAlign w:val="center"/>
          </w:tcPr>
          <w:p>
            <w:pPr>
              <w:tabs>
                <w:tab w:val="left" w:pos="360"/>
                <w:tab w:val="left" w:pos="1320"/>
              </w:tabs>
              <w:spacing w:line="320" w:lineRule="exact"/>
              <w:ind w:left="1320" w:hanging="42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83"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45</w:t>
            </w:r>
            <w:r>
              <w:rPr>
                <w:rFonts w:hint="eastAsia" w:ascii="宋体" w:hAnsi="宋体" w:cs="宋体"/>
                <w:color w:val="000000" w:themeColor="text1"/>
                <w:highlight w:val="none"/>
                <w14:textFill>
                  <w14:solidFill>
                    <w14:schemeClr w14:val="tx1"/>
                  </w14:solidFill>
                </w14:textFill>
              </w:rPr>
              <w:t>分</w:t>
            </w:r>
          </w:p>
        </w:tc>
        <w:tc>
          <w:tcPr>
            <w:tcW w:w="7019" w:type="dxa"/>
            <w:tcMar>
              <w:top w:w="0" w:type="dxa"/>
              <w:left w:w="108" w:type="dxa"/>
              <w:bottom w:w="0" w:type="dxa"/>
              <w:right w:w="108" w:type="dxa"/>
            </w:tcMar>
            <w:vAlign w:val="center"/>
          </w:tcPr>
          <w:p>
            <w:pPr>
              <w:spacing w:line="320" w:lineRule="exact"/>
              <w:jc w:val="center"/>
              <w:rPr>
                <w:rFonts w:ascii="宋体" w:hAnsi="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633"/>
    <w:bookmarkEnd w:id="1634"/>
    <w:bookmarkEnd w:id="1635"/>
    <w:bookmarkEnd w:id="1636"/>
    <w:bookmarkEnd w:id="1637"/>
    <w:bookmarkEnd w:id="1638"/>
    <w:bookmarkEnd w:id="1639"/>
    <w:bookmarkEnd w:id="1640"/>
    <w:bookmarkEnd w:id="1641"/>
    <w:bookmarkEnd w:id="1642"/>
    <w:p>
      <w:pPr>
        <w:pStyle w:val="3"/>
        <w:numPr>
          <w:ilvl w:val="0"/>
          <w:numId w:val="0"/>
        </w:numPr>
        <w:spacing w:beforeLines="0"/>
        <w:rPr>
          <w:color w:val="000000" w:themeColor="text1"/>
          <w:highlight w:val="none"/>
          <w14:textFill>
            <w14:solidFill>
              <w14:schemeClr w14:val="tx1"/>
            </w14:solidFill>
          </w14:textFill>
        </w:rPr>
      </w:pPr>
      <w:bookmarkStart w:id="1643" w:name="_Hlt21939000"/>
      <w:bookmarkEnd w:id="1643"/>
      <w:bookmarkStart w:id="1644" w:name="_Toc350756459"/>
      <w:bookmarkStart w:id="1645" w:name="_Toc333237797"/>
      <w:bookmarkStart w:id="1646" w:name="_Toc340507451"/>
      <w:bookmarkStart w:id="1647" w:name="_Toc340677079"/>
      <w:bookmarkStart w:id="1648" w:name="_Toc365985187"/>
      <w:bookmarkStart w:id="1649" w:name="_Toc331512907"/>
      <w:bookmarkStart w:id="1650" w:name="_Toc332206717"/>
      <w:bookmarkStart w:id="1651" w:name="_Toc340672878"/>
      <w:bookmarkStart w:id="1652" w:name="_Toc336681589"/>
      <w:bookmarkStart w:id="1653" w:name="_Toc333237686"/>
      <w:bookmarkStart w:id="1654" w:name="_Toc339020104"/>
      <w:bookmarkStart w:id="1655" w:name="_Toc342296769"/>
      <w:bookmarkStart w:id="1656" w:name="_Toc374454610"/>
      <w:bookmarkStart w:id="1657" w:name="_Toc341348347"/>
      <w:bookmarkStart w:id="1658" w:name="_Toc339019898"/>
      <w:bookmarkStart w:id="1659" w:name="_Toc331684047"/>
      <w:bookmarkStart w:id="1660" w:name="_Toc333238642"/>
      <w:bookmarkStart w:id="1661" w:name="_Toc345513910"/>
      <w:bookmarkStart w:id="1662" w:name="_Toc339362309"/>
      <w:bookmarkStart w:id="1663" w:name="_Toc339441096"/>
      <w:bookmarkStart w:id="1664" w:name="_Toc339020024"/>
      <w:bookmarkStart w:id="1665" w:name="_Toc337632367"/>
      <w:bookmarkStart w:id="1666" w:name="_Toc342060383"/>
      <w:bookmarkStart w:id="1667" w:name="_Toc349143598"/>
      <w:bookmarkStart w:id="1668" w:name="_Toc339020242"/>
      <w:bookmarkStart w:id="1669" w:name="_Toc336681944"/>
      <w:bookmarkStart w:id="1670" w:name="_Toc333935355"/>
      <w:bookmarkStart w:id="1671" w:name="_Toc349127635"/>
      <w:bookmarkStart w:id="1672" w:name="_Toc365967081"/>
      <w:bookmarkStart w:id="1673" w:name="_Toc332270355"/>
      <w:bookmarkStart w:id="1674" w:name="_Toc330459994"/>
      <w:bookmarkStart w:id="1675" w:name="_Toc333935696"/>
      <w:bookmarkStart w:id="1676" w:name="_Toc350438758"/>
      <w:bookmarkStart w:id="1677" w:name="_Toc366072538"/>
      <w:bookmarkStart w:id="1678" w:name="_Toc30080"/>
      <w:bookmarkStart w:id="1679" w:name="_Toc31384"/>
      <w:r>
        <w:rPr>
          <w:rFonts w:hint="eastAsia"/>
          <w:color w:val="000000" w:themeColor="text1"/>
          <w:highlight w:val="none"/>
          <w14:textFill>
            <w14:solidFill>
              <w14:schemeClr w14:val="tx1"/>
            </w14:solidFill>
          </w14:textFill>
        </w:rPr>
        <w:t>第四部分  采购项目合同</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Start w:id="1680" w:name="_Hlt97188170"/>
      <w:bookmarkEnd w:id="1680"/>
      <w:r>
        <w:rPr>
          <w:rFonts w:hint="eastAsia"/>
          <w:color w:val="000000" w:themeColor="text1"/>
          <w:highlight w:val="none"/>
          <w14:textFill>
            <w14:solidFill>
              <w14:schemeClr w14:val="tx1"/>
            </w14:solidFill>
          </w14:textFill>
        </w:rPr>
        <w:t>（参考范本）</w:t>
      </w:r>
      <w:bookmarkEnd w:id="1678"/>
      <w:bookmarkEnd w:id="1679"/>
    </w:p>
    <w:p>
      <w:pPr>
        <w:tabs>
          <w:tab w:val="left" w:pos="720"/>
        </w:tabs>
        <w:spacing w:line="360" w:lineRule="auto"/>
        <w:jc w:val="center"/>
        <w:rPr>
          <w:rFonts w:ascii="宋体" w:hAnsi="宋体"/>
          <w:b/>
          <w:color w:val="000000" w:themeColor="text1"/>
          <w:sz w:val="56"/>
          <w:szCs w:val="56"/>
          <w:highlight w:val="none"/>
          <w14:textFill>
            <w14:solidFill>
              <w14:schemeClr w14:val="tx1"/>
            </w14:solidFill>
          </w14:textFill>
        </w:rPr>
      </w:pPr>
      <w:r>
        <w:rPr>
          <w:rFonts w:hint="eastAsia" w:ascii="宋体" w:hAnsi="宋体"/>
          <w:b/>
          <w:color w:val="000000" w:themeColor="text1"/>
          <w:sz w:val="56"/>
          <w:szCs w:val="56"/>
          <w:highlight w:val="none"/>
          <w14:textFill>
            <w14:solidFill>
              <w14:schemeClr w14:val="tx1"/>
            </w14:solidFill>
          </w14:textFill>
        </w:rPr>
        <w:t>阳江农村商业银行股份有限公司监理供应商入库采购项目</w:t>
      </w:r>
    </w:p>
    <w:p>
      <w:pPr>
        <w:tabs>
          <w:tab w:val="left" w:pos="720"/>
        </w:tabs>
        <w:spacing w:line="360" w:lineRule="auto"/>
        <w:rPr>
          <w:rFonts w:ascii="宋体" w:hAnsi="宋体"/>
          <w:b/>
          <w:color w:val="000000" w:themeColor="text1"/>
          <w:sz w:val="72"/>
          <w:szCs w:val="72"/>
          <w:highlight w:val="none"/>
          <w14:textFill>
            <w14:solidFill>
              <w14:schemeClr w14:val="tx1"/>
            </w14:solidFill>
          </w14:textFill>
        </w:rPr>
      </w:pPr>
    </w:p>
    <w:p>
      <w:pPr>
        <w:tabs>
          <w:tab w:val="left" w:pos="720"/>
        </w:tabs>
        <w:spacing w:line="360" w:lineRule="auto"/>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tabs>
          <w:tab w:val="left" w:pos="720"/>
        </w:tabs>
        <w:spacing w:line="360" w:lineRule="auto"/>
        <w:jc w:val="center"/>
        <w:rPr>
          <w:rFonts w:ascii="仿宋_GB2312" w:hAnsi="仿宋" w:eastAsia="仿宋_GB2312"/>
          <w:b/>
          <w:color w:val="000000" w:themeColor="text1"/>
          <w:sz w:val="44"/>
          <w:szCs w:val="44"/>
          <w:highlight w:val="none"/>
          <w14:textFill>
            <w14:solidFill>
              <w14:schemeClr w14:val="tx1"/>
            </w14:solidFill>
          </w14:textFill>
        </w:rPr>
      </w:pPr>
      <w:r>
        <w:rPr>
          <w:rFonts w:hint="eastAsia" w:ascii="仿宋_GB2312" w:hAnsi="仿宋" w:eastAsia="仿宋_GB2312"/>
          <w:b/>
          <w:color w:val="000000" w:themeColor="text1"/>
          <w:sz w:val="44"/>
          <w:szCs w:val="44"/>
          <w:highlight w:val="none"/>
          <w14:textFill>
            <w14:solidFill>
              <w14:schemeClr w14:val="tx1"/>
            </w14:solidFill>
          </w14:textFill>
        </w:rPr>
        <w:t>（服务类）</w:t>
      </w:r>
    </w:p>
    <w:p>
      <w:pPr>
        <w:tabs>
          <w:tab w:val="left" w:pos="720"/>
        </w:tabs>
        <w:spacing w:line="360" w:lineRule="auto"/>
        <w:rPr>
          <w:rFonts w:ascii="宋体" w:hAnsi="宋体"/>
          <w:b/>
          <w:color w:val="000000" w:themeColor="text1"/>
          <w:sz w:val="28"/>
          <w:szCs w:val="28"/>
          <w:highlight w:val="none"/>
          <w14:textFill>
            <w14:solidFill>
              <w14:schemeClr w14:val="tx1"/>
            </w14:solidFill>
          </w14:textFill>
        </w:rPr>
      </w:pPr>
    </w:p>
    <w:p>
      <w:pPr>
        <w:tabs>
          <w:tab w:val="left" w:pos="720"/>
        </w:tabs>
        <w:spacing w:line="360" w:lineRule="auto"/>
        <w:rPr>
          <w:rFonts w:ascii="宋体" w:hAnsi="宋体"/>
          <w:b/>
          <w:color w:val="000000" w:themeColor="text1"/>
          <w:sz w:val="28"/>
          <w:szCs w:val="28"/>
          <w:highlight w:val="none"/>
          <w14:textFill>
            <w14:solidFill>
              <w14:schemeClr w14:val="tx1"/>
            </w14:solidFill>
          </w14:textFill>
        </w:rPr>
      </w:pPr>
    </w:p>
    <w:tbl>
      <w:tblPr>
        <w:tblStyle w:val="48"/>
        <w:tblW w:w="0" w:type="auto"/>
        <w:jc w:val="center"/>
        <w:tblLayout w:type="fixed"/>
        <w:tblCellMar>
          <w:top w:w="0" w:type="dxa"/>
          <w:left w:w="108" w:type="dxa"/>
          <w:bottom w:w="0" w:type="dxa"/>
          <w:right w:w="108" w:type="dxa"/>
        </w:tblCellMar>
      </w:tblPr>
      <w:tblGrid>
        <w:gridCol w:w="7784"/>
      </w:tblGrid>
      <w:tr>
        <w:tblPrEx>
          <w:tblCellMar>
            <w:top w:w="0" w:type="dxa"/>
            <w:left w:w="108" w:type="dxa"/>
            <w:bottom w:w="0" w:type="dxa"/>
            <w:right w:w="108" w:type="dxa"/>
          </w:tblCellMar>
        </w:tblPrEx>
        <w:trPr>
          <w:trHeight w:val="446" w:hRule="atLeast"/>
          <w:jc w:val="center"/>
        </w:trPr>
        <w:tc>
          <w:tcPr>
            <w:tcW w:w="7784" w:type="dxa"/>
          </w:tcPr>
          <w:p>
            <w:pPr>
              <w:tabs>
                <w:tab w:val="left" w:pos="720"/>
              </w:tabs>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招标编号：</w:t>
            </w:r>
            <w:r>
              <w:rPr>
                <w:rFonts w:hint="eastAsia" w:ascii="宋体" w:hAnsi="宋体"/>
                <w:b/>
                <w:color w:val="000000" w:themeColor="text1"/>
                <w:sz w:val="24"/>
                <w:highlight w:val="none"/>
                <w:u w:val="single"/>
                <w14:textFill>
                  <w14:solidFill>
                    <w14:schemeClr w14:val="tx1"/>
                  </w14:solidFill>
                </w14:textFill>
              </w:rPr>
              <w:t xml:space="preserve"> YXCG-20230628</w:t>
            </w:r>
            <w:r>
              <w:rPr>
                <w:rFonts w:hint="eastAsia" w:ascii="宋体" w:hAnsi="宋体"/>
                <w:b/>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446" w:hRule="atLeast"/>
          <w:jc w:val="center"/>
        </w:trPr>
        <w:tc>
          <w:tcPr>
            <w:tcW w:w="7784" w:type="dxa"/>
          </w:tcPr>
          <w:p>
            <w:pPr>
              <w:tabs>
                <w:tab w:val="left" w:pos="720"/>
              </w:tabs>
              <w:spacing w:line="360" w:lineRule="auto"/>
              <w:rPr>
                <w:rFonts w:ascii="宋体" w:hAnsi="宋体"/>
                <w:b/>
                <w:color w:val="000000" w:themeColor="text1"/>
                <w:sz w:val="24"/>
                <w:highlight w:val="none"/>
                <w:u w:val="single"/>
                <w14:textFill>
                  <w14:solidFill>
                    <w14:schemeClr w14:val="tx1"/>
                  </w14:solidFill>
                </w14:textFill>
              </w:rPr>
            </w:pPr>
          </w:p>
        </w:tc>
      </w:tr>
      <w:tr>
        <w:tblPrEx>
          <w:tblCellMar>
            <w:top w:w="0" w:type="dxa"/>
            <w:left w:w="108" w:type="dxa"/>
            <w:bottom w:w="0" w:type="dxa"/>
            <w:right w:w="108" w:type="dxa"/>
          </w:tblCellMar>
        </w:tblPrEx>
        <w:trPr>
          <w:trHeight w:val="446" w:hRule="atLeast"/>
          <w:jc w:val="center"/>
        </w:trPr>
        <w:tc>
          <w:tcPr>
            <w:tcW w:w="7784" w:type="dxa"/>
          </w:tcPr>
          <w:p>
            <w:pPr>
              <w:tabs>
                <w:tab w:val="left" w:pos="720"/>
              </w:tabs>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项目名称：</w:t>
            </w:r>
            <w:r>
              <w:rPr>
                <w:rFonts w:hint="eastAsia" w:ascii="宋体" w:hAnsi="宋体"/>
                <w:b/>
                <w:color w:val="000000" w:themeColor="text1"/>
                <w:sz w:val="24"/>
                <w:highlight w:val="none"/>
                <w:u w:val="single"/>
                <w14:textFill>
                  <w14:solidFill>
                    <w14:schemeClr w14:val="tx1"/>
                  </w14:solidFill>
                </w14:textFill>
              </w:rPr>
              <w:t>阳江农村商业银行股份有限公司监理供应商入库采购项目</w:t>
            </w:r>
          </w:p>
        </w:tc>
      </w:tr>
      <w:tr>
        <w:tblPrEx>
          <w:tblCellMar>
            <w:top w:w="0" w:type="dxa"/>
            <w:left w:w="108" w:type="dxa"/>
            <w:bottom w:w="0" w:type="dxa"/>
            <w:right w:w="108" w:type="dxa"/>
          </w:tblCellMar>
        </w:tblPrEx>
        <w:trPr>
          <w:trHeight w:val="460" w:hRule="atLeast"/>
          <w:jc w:val="center"/>
        </w:trPr>
        <w:tc>
          <w:tcPr>
            <w:tcW w:w="7784" w:type="dxa"/>
          </w:tcPr>
          <w:p>
            <w:pPr>
              <w:tabs>
                <w:tab w:val="left" w:pos="720"/>
              </w:tabs>
              <w:spacing w:line="360" w:lineRule="auto"/>
              <w:rPr>
                <w:rFonts w:ascii="宋体" w:hAnsi="宋体"/>
                <w:b/>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60" w:hRule="atLeast"/>
          <w:jc w:val="center"/>
        </w:trPr>
        <w:tc>
          <w:tcPr>
            <w:tcW w:w="7784" w:type="dxa"/>
          </w:tcPr>
          <w:p>
            <w:pPr>
              <w:tabs>
                <w:tab w:val="left" w:pos="720"/>
              </w:tabs>
              <w:spacing w:line="360" w:lineRule="auto"/>
              <w:rPr>
                <w:rFonts w:ascii="宋体" w:hAnsi="宋体"/>
                <w:b/>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60" w:hRule="atLeast"/>
          <w:jc w:val="center"/>
        </w:trPr>
        <w:tc>
          <w:tcPr>
            <w:tcW w:w="7784" w:type="dxa"/>
          </w:tcPr>
          <w:p>
            <w:pPr>
              <w:tabs>
                <w:tab w:val="left" w:pos="720"/>
              </w:tabs>
              <w:spacing w:line="360" w:lineRule="auto"/>
              <w:rPr>
                <w:rFonts w:ascii="宋体" w:hAnsi="宋体"/>
                <w:b/>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60" w:hRule="atLeast"/>
          <w:jc w:val="center"/>
        </w:trPr>
        <w:tc>
          <w:tcPr>
            <w:tcW w:w="7784" w:type="dxa"/>
          </w:tcPr>
          <w:p>
            <w:pPr>
              <w:tabs>
                <w:tab w:val="left" w:pos="720"/>
              </w:tabs>
              <w:spacing w:line="360" w:lineRule="auto"/>
              <w:rPr>
                <w:rFonts w:ascii="宋体" w:hAnsi="宋体"/>
                <w:b/>
                <w:color w:val="000000" w:themeColor="text1"/>
                <w:sz w:val="24"/>
                <w:highlight w:val="none"/>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00" w:lineRule="auto"/>
        <w:ind w:right="-313" w:rightChars="-149"/>
        <w:rPr>
          <w:rFonts w:ascii="宋体" w:hAnsi="宋体"/>
          <w:b/>
          <w:color w:val="000000" w:themeColor="text1"/>
          <w:sz w:val="24"/>
          <w:highlight w:val="none"/>
          <w14:textFill>
            <w14:solidFill>
              <w14:schemeClr w14:val="tx1"/>
            </w14:solidFill>
          </w14:textFill>
        </w:rPr>
      </w:pPr>
    </w:p>
    <w:p>
      <w:pPr>
        <w:spacing w:line="300" w:lineRule="auto"/>
        <w:ind w:right="-313" w:rightChars="-149"/>
        <w:rPr>
          <w:rFonts w:ascii="宋体" w:hAnsi="宋体"/>
          <w:b/>
          <w:color w:val="000000" w:themeColor="text1"/>
          <w:sz w:val="24"/>
          <w:highlight w:val="none"/>
          <w14:textFill>
            <w14:solidFill>
              <w14:schemeClr w14:val="tx1"/>
            </w14:solidFill>
          </w14:textFill>
        </w:rPr>
      </w:pPr>
    </w:p>
    <w:p>
      <w:pPr>
        <w:spacing w:line="300" w:lineRule="auto"/>
        <w:ind w:right="-313" w:rightChars="-149"/>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注：本合同仅为合同的参考文本，合同签订双方可根据项目的具体要求进行修订。</w:t>
      </w:r>
    </w:p>
    <w:p>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ascii="仿宋" w:hAnsi="仿宋" w:eastAsia="仿宋"/>
          <w:b/>
          <w:color w:val="000000" w:themeColor="text1"/>
          <w:sz w:val="44"/>
          <w:highlight w:val="none"/>
          <w14:textFill>
            <w14:solidFill>
              <w14:schemeClr w14:val="tx1"/>
            </w14:solidFill>
          </w14:textFill>
        </w:rPr>
        <w:br w:type="page"/>
      </w:r>
      <w:r>
        <w:rPr>
          <w:rFonts w:hint="eastAsia" w:ascii="宋体" w:hAnsi="宋体"/>
          <w:b/>
          <w:color w:val="000000" w:themeColor="text1"/>
          <w:szCs w:val="21"/>
          <w:highlight w:val="none"/>
          <w14:textFill>
            <w14:solidFill>
              <w14:schemeClr w14:val="tx1"/>
            </w14:solidFill>
          </w14:textFill>
        </w:rPr>
        <w:t>甲    方：阳江农村商业银行股份有限公司</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 xml:space="preserve">电    话：                传  真：           地  址：   </w:t>
      </w: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阳江农村商业银行股份有限公司监理供应商入库采购项目</w:t>
      </w:r>
      <w:r>
        <w:rPr>
          <w:rFonts w:hint="eastAsia" w:ascii="宋体" w:hAnsi="宋体"/>
          <w:color w:val="000000" w:themeColor="text1"/>
          <w:szCs w:val="21"/>
          <w:highlight w:val="none"/>
          <w14:textFill>
            <w14:solidFill>
              <w14:schemeClr w14:val="tx1"/>
            </w14:solidFill>
          </w14:textFill>
        </w:rPr>
        <w:t>的招标结果，按照《中华人民共和国招标投标法》、《中华人民共和国民法典》的规定，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r>
        <w:rPr>
          <w:rFonts w:hint="eastAsia" w:ascii="宋体" w:hAnsi="宋体"/>
          <w:color w:val="000000" w:themeColor="text1"/>
          <w:szCs w:val="21"/>
          <w:highlight w:val="none"/>
          <w14:textFill>
            <w14:solidFill>
              <w14:schemeClr w14:val="tx1"/>
            </w14:solidFill>
          </w14:textFill>
        </w:rPr>
        <w:t>。</w:t>
      </w: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项目概况</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1.本项目采用公开招标方式选择3家符合要求的监理公司入库，入库监理公司根据甲方要求提供项目监理服务。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2.服务期限：3年</w:t>
      </w:r>
    </w:p>
    <w:p>
      <w:pPr>
        <w:pStyle w:val="23"/>
        <w:spacing w:line="360" w:lineRule="auto"/>
        <w:ind w:firstLine="420" w:firstLineChars="200"/>
        <w:rPr>
          <w:rFonts w:hAnsi="宋体"/>
          <w:color w:val="000000" w:themeColor="text1"/>
          <w:highlight w:val="none"/>
          <w14:textFill>
            <w14:solidFill>
              <w14:schemeClr w14:val="tx1"/>
            </w14:solidFill>
          </w14:textFill>
        </w:rPr>
      </w:pP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bookmarkStart w:id="1681" w:name="_Toc71823296"/>
      <w:bookmarkStart w:id="1682" w:name="_Toc493682682"/>
      <w:bookmarkStart w:id="1683" w:name="_Toc435540760"/>
      <w:r>
        <w:rPr>
          <w:rFonts w:hint="eastAsia" w:ascii="宋体" w:hAnsi="宋体"/>
          <w:b/>
          <w:color w:val="000000" w:themeColor="text1"/>
          <w:szCs w:val="21"/>
          <w:highlight w:val="none"/>
          <w14:textFill>
            <w14:solidFill>
              <w14:schemeClr w14:val="tx1"/>
            </w14:solidFill>
          </w14:textFill>
        </w:rPr>
        <w:t>服务范围</w:t>
      </w:r>
      <w:bookmarkEnd w:id="1681"/>
      <w:bookmarkEnd w:id="1682"/>
      <w:bookmarkEnd w:id="1683"/>
      <w:r>
        <w:rPr>
          <w:rFonts w:hint="eastAsia" w:ascii="宋体" w:hAnsi="宋体"/>
          <w:b/>
          <w:color w:val="000000" w:themeColor="text1"/>
          <w:szCs w:val="21"/>
          <w:highlight w:val="none"/>
          <w14:textFill>
            <w14:solidFill>
              <w14:schemeClr w14:val="tx1"/>
            </w14:solidFill>
          </w14:textFill>
        </w:rPr>
        <w:t>、地点及方式</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1.服务范围（包括但不限于以下内容）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（1）办公区域装修或改造项目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（2）系统改造项目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（3）小额工程监理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（4）其他甲方要求提供的监理服务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2.服务地点：甲方指定地点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3.服务方式：项目监理要求以现场监理服务为主要方式进行</w:t>
      </w:r>
    </w:p>
    <w:p>
      <w:pPr>
        <w:autoSpaceDE w:val="0"/>
        <w:autoSpaceDN w:val="0"/>
        <w:adjustRightInd w:val="0"/>
        <w:spacing w:line="360" w:lineRule="auto"/>
        <w:ind w:left="-441" w:leftChars="-210"/>
        <w:jc w:val="left"/>
        <w:rPr>
          <w:rFonts w:ascii="宋体"/>
          <w:b/>
          <w:color w:val="000000" w:themeColor="text1"/>
          <w:szCs w:val="21"/>
          <w:highlight w:val="none"/>
          <w14:textFill>
            <w14:solidFill>
              <w14:schemeClr w14:val="tx1"/>
            </w14:solidFill>
          </w14:textFill>
        </w:rPr>
      </w:pPr>
      <w:bookmarkStart w:id="1684" w:name="_Toc435540761"/>
      <w:bookmarkStart w:id="1685" w:name="_Toc71823297"/>
      <w:bookmarkStart w:id="1686" w:name="_Toc493682683"/>
    </w:p>
    <w:bookmarkEnd w:id="1684"/>
    <w:bookmarkEnd w:id="1685"/>
    <w:bookmarkEnd w:id="1686"/>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具体服务要求</w:t>
      </w:r>
    </w:p>
    <w:p>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（一）总体要求</w:t>
      </w:r>
    </w:p>
    <w:p>
      <w:pPr>
        <w:tabs>
          <w:tab w:val="left" w:pos="426"/>
        </w:tabs>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为保证各建设任务“按期、保质、高效、节约”的完成，现依据相关规定聘请3家监理单位准入，在启动、实施、验收、运维各个阶段对甲方委派的项目整体进行全方面的监督管理，借助监理单位丰富的工程项目管理和专业技术经验，对各建设项目实施全面的、按技术线条的监督管理，通过在工程实施的全过程中对原材料、软硬件设施进行监管、对施工进度进行控制和对施工质量进行管理，保证项目建设各部分、各环节和各个子系统的质量符合相关技术要求和国家规范，保证项目工作规范开展，从而确保项目高质量、按计划完成，高效提供运维服务。</w:t>
      </w:r>
    </w:p>
    <w:p>
      <w:pPr>
        <w:tabs>
          <w:tab w:val="left" w:pos="426"/>
        </w:tabs>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监理单位需针对具体的项目提供监理服务，包括但不限于工程质量控制、工程进度控制、工程投资控制、合同管理、文档管理、数据安全管理、知识产权管理、保密管理、文明施工及安全生产管理、项目会议组织和项目协调工作等。</w:t>
      </w:r>
    </w:p>
    <w:p>
      <w:pPr>
        <w:tabs>
          <w:tab w:val="left" w:pos="426"/>
        </w:tabs>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服务总体要求：监理单位必须坚持以“质量第一，预防为主，用科学、规范、诚信”作为监理原则，安排工作人员现场办公，做好工程和项目进度和质量控制管理，协助单位完成工程任务并提供项目管理和技术咨询服务。</w:t>
      </w:r>
    </w:p>
    <w:p>
      <w:pPr>
        <w:tabs>
          <w:tab w:val="left" w:pos="426"/>
        </w:tabs>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4.服务方式要求：以现场监理为主方式进行，监理单位应委派监理工程师按甲方要求负责整个项目全过程监理工作。</w:t>
      </w:r>
    </w:p>
    <w:p>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（二）监理职责</w:t>
      </w:r>
    </w:p>
    <w:p>
      <w:pPr>
        <w:tabs>
          <w:tab w:val="left" w:pos="426"/>
        </w:tabs>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1.监理定位</w:t>
      </w:r>
    </w:p>
    <w:p>
      <w:pPr>
        <w:tabs>
          <w:tab w:val="left" w:pos="426"/>
        </w:tabs>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（1）监理是在业主授权范围内，为启动阶段、实施阶段、验收阶段和运维阶段提供全过程监理的服务机构。</w:t>
      </w:r>
    </w:p>
    <w:p>
      <w:pPr>
        <w:tabs>
          <w:tab w:val="left" w:pos="426"/>
        </w:tabs>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（2）监理应在国家法律法规、行业标准、技术标准、合同、设计文件和各种约束性文件规定的范围内独立开展监理工作。坚持公正、公开、公平的监理原则，是独立的第三方。</w:t>
      </w:r>
    </w:p>
    <w:p>
      <w:pPr>
        <w:tabs>
          <w:tab w:val="left" w:pos="426"/>
        </w:tabs>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（3）监理对国家法律、法规、行业标准、技术标准的适用性全面负责，监理应以此为依据审核系统建设质量、验收标准、实施方案等。</w:t>
      </w:r>
    </w:p>
    <w:p>
      <w:pPr>
        <w:tabs>
          <w:tab w:val="left" w:pos="426"/>
        </w:tabs>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（4）监理负责对项目进行质量、进度、成本控制，负责合同管理、信息管理，在项目各有关方之间进行协调，保持关系融洽顺畅，确保项目的质量、进度、成本符合建设单位的要求。</w:t>
      </w:r>
    </w:p>
    <w:p>
      <w:pPr>
        <w:tabs>
          <w:tab w:val="left" w:pos="426"/>
        </w:tabs>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（5）制订公开、透明的监理工作流程，对各主要工作环节规定工作时限，对关键的工作设置检查点。</w:t>
      </w:r>
    </w:p>
    <w:p>
      <w:pPr>
        <w:tabs>
          <w:tab w:val="left" w:pos="426"/>
        </w:tabs>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监理单位应对现场监理工程师及相关工作人员行使有效管理，对监理工作人员的工作过错、失职、渎职行为负完全责任，工程监理单位应采取有效措施确保监理工作人员能够坚持公正、公开、公平、独立的监理原则。</w:t>
      </w:r>
    </w:p>
    <w:p>
      <w:pPr>
        <w:tabs>
          <w:tab w:val="left" w:pos="426"/>
        </w:tabs>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监理、建设单位以及承包人的项目管理人员共同组成监控中心升级及运维项目管理小组，一起对监控中心升级及运维项目招标实施活动中的各项工作任务进行计划、落实、监督与控制，以使项目能够实现或超过建设单位的需求和期望。</w:t>
      </w:r>
    </w:p>
    <w:p>
      <w:pPr>
        <w:tabs>
          <w:tab w:val="left" w:pos="426"/>
        </w:tabs>
        <w:spacing w:line="360" w:lineRule="auto"/>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2.</w:t>
      </w:r>
      <w:r>
        <w:rPr>
          <w:rFonts w:ascii="宋体" w:hAnsi="宋体"/>
          <w:color w:val="000000" w:themeColor="text1"/>
          <w:kern w:val="24"/>
          <w:szCs w:val="21"/>
          <w:highlight w:val="none"/>
          <w14:textFill>
            <w14:solidFill>
              <w14:schemeClr w14:val="tx1"/>
            </w14:solidFill>
          </w14:textFill>
        </w:rPr>
        <w:t>监理职责</w:t>
      </w:r>
    </w:p>
    <w:p>
      <w:pPr>
        <w:autoSpaceDE w:val="0"/>
        <w:autoSpaceDN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（1）监理单位指被甲方委派为项目提供监理服务的中标单位，是项目监理工作的责任主体。</w:t>
      </w:r>
    </w:p>
    <w:p>
      <w:pPr>
        <w:autoSpaceDE w:val="0"/>
        <w:autoSpaceDN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监理独立开展项目管理工作，对项目负责，其职责包括：遵循国家相关法律法规，对项目合同进行管理并落实合同相关事项，执行项目管理小组的决定，监督各子项目承包人严格遵循合同、协议的约定开展工作，严格控制项目三要素（质量、进度、成本）以保证项目按质如期完成，审核和控制工程变更，管理项目文档和资料等。</w:t>
      </w:r>
    </w:p>
    <w:p>
      <w:pPr>
        <w:autoSpaceDE w:val="0"/>
        <w:autoSpaceDN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负责制订项目整体的监理工作计划，保持与项目各相关方的沟通畅通，监理工作计划和监理实施细则要体现建设单位、承包人各方合理、合法的要求。工程监理单位的监理工作计划和监理实施细则需经建设单位审批方可执行。</w:t>
      </w:r>
    </w:p>
    <w:p>
      <w:pPr>
        <w:autoSpaceDE w:val="0"/>
        <w:autoSpaceDN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（4）坚持公正、公开、公平的监理原则，在国家法律法规、行业标准、技术标准、项目合同、设计文件和各种约束性文件规定的范围内独立开展监理工作。</w:t>
      </w:r>
    </w:p>
    <w:p>
      <w:pPr>
        <w:autoSpaceDE w:val="0"/>
        <w:autoSpaceDN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（5）对国家法律、法规、行业标准、技术标准在项目中的适用性全面负责，监理应以此为依据审核系统建设子项目的项目计划、采购计划、安装实施方案等。</w:t>
      </w:r>
    </w:p>
    <w:p>
      <w:pPr>
        <w:autoSpaceDE w:val="0"/>
        <w:autoSpaceDN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（6）制定项目建设总体监理计划，制定各子项的监理计划，提交建设单位审批。</w:t>
      </w:r>
    </w:p>
    <w:p>
      <w:pPr>
        <w:autoSpaceDE w:val="0"/>
        <w:autoSpaceDN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（7）监理负责对子项目进行质量、进度、成本控制，负责合同管理、信息管理，在项目各有关方之间进行协调，保持关系融洽顺畅，确保项目的质量、进度、成本符合建设单位的要求。</w:t>
      </w:r>
    </w:p>
    <w:p>
      <w:pPr>
        <w:autoSpaceDE w:val="0"/>
        <w:autoSpaceDN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（8）建立完整的项目建设验收标准和验收流程、设备存放管理规定、设备运输安全管理措施等规章制度，执行并提交过程记录。</w:t>
      </w:r>
    </w:p>
    <w:p>
      <w:pPr>
        <w:autoSpaceDE w:val="0"/>
        <w:autoSpaceDN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（9）建立现场管理控制流程，编制各子项的现场测试方案和表格模板。</w:t>
      </w:r>
    </w:p>
    <w:p>
      <w:pPr>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（三）监理服务内容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监理单位必须至少完成以下服务：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1)协助开展项目方案的深化设计，到前端点位进行现场勘察；</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2)督促双方做好施工前的准备工作；</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3)对建设全过程实现施工工程监理；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4)对其核心工程实施重点监理；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)对</w:t>
      </w:r>
      <w:r>
        <w:rPr>
          <w:rFonts w:hint="eastAsia" w:ascii="宋体" w:hAnsi="宋体"/>
          <w:color w:val="000000" w:themeColor="text1"/>
          <w:szCs w:val="21"/>
          <w:highlight w:val="none"/>
          <w14:textFill>
            <w14:solidFill>
              <w14:schemeClr w14:val="tx1"/>
            </w14:solidFill>
          </w14:textFill>
        </w:rPr>
        <w:t>项目承建方提供的材料、设备性能指标及产品厂家供货证明函等进行严格审核，列入《中华人民共和国实施强制性产品认证的产品目录》的产品需审核CCC认证函和产品外部加施的认证标志；</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6)对承建方负责采购的设备、材料按合同规定的标准进行检验验收；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7)工程施工前，对其施工方案进行审核；施工中，对其工程质量进行跟踪控制；完工后，对其工程质量进行检测并提交质量报告；</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8)对项目的资金使用情况进行监控，严格控制项目变更部分的成本；</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9)对根据实际情况，确需变更原设计方案的，提出审查意见，获批准后，监督执行；</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10)审查项目系统及竣工文件的齐全性、完整性，督促、检查工程竣工文档的移交；</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11)根据业主方对需求的改变，能够结合工程合理地提出更改方案，并实现与承建方的良好沟通；</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12)检查、督促施工工程进度；</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13)组织、督促、检查本项目工程的总体竣工验收；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14)监督检查项目承建方对培训和售后服务工作的承诺、措施与落实；</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15)整理和检查全部文档；</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16)项目运维期的质保维护过程跟踪、运维服务考核等运维监理工作。</w:t>
      </w:r>
    </w:p>
    <w:p>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（四）项目建设期监理工作要求</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1）监理单位应依照相关标准以及甲方制定的各项需求，以甲方的项目利益为目标，本着科学、公正、严格、守信、守纪、守法等相关原则，为甲方提供监理服务。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监理单位应对甲方委派的建设项目提供从合同签订之日起至项目全部通过最终验收之日止的全过程监理服务，监理单位应在合同签订之日起10个工作日内根据建设任务分别提交完整的监理方案。按具体的监理内容又可分为：工程质量控制、工程进度控制、工程投资的控制、合同的管理、文档的管理、数据安全的管理、知识产权的管理、保密管理和文明施工与安全生产管理等。</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3）具体监理任务的主要工作包括但不限于以下内容，描述如下： </w:t>
      </w:r>
    </w:p>
    <w:p>
      <w:pPr>
        <w:tabs>
          <w:tab w:val="left" w:pos="426"/>
        </w:tabs>
        <w:spacing w:line="360" w:lineRule="auto"/>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1.</w:t>
      </w:r>
      <w:r>
        <w:rPr>
          <w:rFonts w:ascii="宋体" w:hAnsi="宋体"/>
          <w:color w:val="000000" w:themeColor="text1"/>
          <w:kern w:val="24"/>
          <w:szCs w:val="21"/>
          <w:highlight w:val="none"/>
          <w14:textFill>
            <w14:solidFill>
              <w14:schemeClr w14:val="tx1"/>
            </w14:solidFill>
          </w14:textFill>
        </w:rPr>
        <w:t>质量控制</w:t>
      </w:r>
    </w:p>
    <w:p>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smallCaps/>
          <w:color w:val="000000" w:themeColor="text1"/>
          <w:kern w:val="0"/>
          <w:szCs w:val="21"/>
          <w:highlight w:val="none"/>
          <w14:textFill>
            <w14:solidFill>
              <w14:schemeClr w14:val="tx1"/>
            </w14:solidFill>
          </w14:textFill>
        </w:rPr>
        <w:t>（1）深化设计的质量控制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协助用户审查和确认</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的深化设计方案；</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审查和确认</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的总体技术方案，并提交相应审核报告；</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审查和确认</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的组织实施方案；</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审查和确认</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的工程质量保证计划及质量控制体系；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审查和确认</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的测试计划；</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审查和确认</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的工程进度计划；</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确定项目质量控制的关键节点。</w:t>
      </w:r>
    </w:p>
    <w:p>
      <w:pPr>
        <w:spacing w:line="360" w:lineRule="auto"/>
        <w:ind w:firstLine="420" w:firstLineChars="200"/>
        <w:rPr>
          <w:rFonts w:ascii="宋体" w:hAnsi="宋体"/>
          <w:smallCaps/>
          <w:color w:val="000000" w:themeColor="text1"/>
          <w:kern w:val="0"/>
          <w:szCs w:val="21"/>
          <w:highlight w:val="none"/>
          <w14:textFill>
            <w14:solidFill>
              <w14:schemeClr w14:val="tx1"/>
            </w14:solidFill>
          </w14:textFill>
        </w:rPr>
      </w:pPr>
      <w:r>
        <w:rPr>
          <w:rFonts w:hint="eastAsia" w:ascii="宋体" w:hAnsi="宋体"/>
          <w:smallCaps/>
          <w:color w:val="000000" w:themeColor="text1"/>
          <w:kern w:val="0"/>
          <w:szCs w:val="21"/>
          <w:highlight w:val="none"/>
          <w14:textFill>
            <w14:solidFill>
              <w14:schemeClr w14:val="tx1"/>
            </w14:solidFill>
          </w14:textFill>
        </w:rPr>
        <w:t>（2）工程实施的质量控制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1）监督集成商执行项目实施质量计划；</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2）督促、检查集成商严格按工程承建合同、国家工程技术标准、施工规范进行项目实施；</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3）检查工程采用的主要设备及关键材料是否符合工程量清单或标书所规定的厂家、型号、规格和质量标准，严格核查主要设备、材料的原产地证明、出厂合格证明；</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4）在项目实施现场对实施情况进行旁站、巡视等监理工作，对工程质量情况进行跟踪；</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5）及时发现项目实施中的质量问题并提出专项监理报告；</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6）审核提交的工程实施进度月表，控制工程总进度；</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7）核查项目实施过程中的主要部位环节，督促进行隐蔽工程的随工复查验收、分项工程验收和工程竣工初步验收，并对此给出书面意见；</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8）核定工程分阶段完成情况，审核集成商进度报表及付款申请，签发工程付款凭证。</w:t>
      </w:r>
    </w:p>
    <w:p>
      <w:pPr>
        <w:spacing w:line="360" w:lineRule="auto"/>
        <w:ind w:firstLine="420" w:firstLineChars="200"/>
        <w:rPr>
          <w:rFonts w:ascii="宋体" w:hAnsi="宋体"/>
          <w:smallCaps/>
          <w:color w:val="000000" w:themeColor="text1"/>
          <w:kern w:val="0"/>
          <w:szCs w:val="21"/>
          <w:highlight w:val="none"/>
          <w14:textFill>
            <w14:solidFill>
              <w14:schemeClr w14:val="tx1"/>
            </w14:solidFill>
          </w14:textFill>
        </w:rPr>
      </w:pPr>
      <w:r>
        <w:rPr>
          <w:rFonts w:hint="eastAsia" w:ascii="宋体" w:hAnsi="宋体"/>
          <w:smallCaps/>
          <w:color w:val="000000" w:themeColor="text1"/>
          <w:kern w:val="0"/>
          <w:szCs w:val="21"/>
          <w:highlight w:val="none"/>
          <w14:textFill>
            <w14:solidFill>
              <w14:schemeClr w14:val="tx1"/>
            </w14:solidFill>
          </w14:textFill>
        </w:rPr>
        <w:t>（3）技术培训的质量控制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1）审核确认</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的培训计划；</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2）监督</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实施培训计划，并征求用户的反馈意见；</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3）审核确认</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的培训总结报告。</w:t>
      </w:r>
    </w:p>
    <w:p>
      <w:pPr>
        <w:spacing w:line="360" w:lineRule="auto"/>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kern w:val="24"/>
          <w:szCs w:val="21"/>
          <w:highlight w:val="none"/>
          <w14:textFill>
            <w14:solidFill>
              <w14:schemeClr w14:val="tx1"/>
            </w14:solidFill>
          </w14:textFill>
        </w:rPr>
        <w:t>进度控制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1）审核</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的进度分解计划，确认分解计划可以保证总体计划目标；</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2）对工程实施进度进行实时跟踪，并要求</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对进度计划进行动态调整，以确保工程的阶段和总体进度目标的实现；</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3）组织召开进度协调会议，解决进度控制中的重大问题，签发会议纪要；</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4）当工期严重偏离计划时，应及时指出，并提出对策建议，同时督促</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尽快采取措施。</w:t>
      </w:r>
    </w:p>
    <w:p>
      <w:pPr>
        <w:tabs>
          <w:tab w:val="left" w:pos="426"/>
        </w:tabs>
        <w:spacing w:line="360" w:lineRule="auto"/>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3.</w:t>
      </w:r>
      <w:r>
        <w:rPr>
          <w:rFonts w:ascii="宋体" w:hAnsi="宋体"/>
          <w:color w:val="000000" w:themeColor="text1"/>
          <w:kern w:val="24"/>
          <w:szCs w:val="21"/>
          <w:highlight w:val="none"/>
          <w14:textFill>
            <w14:solidFill>
              <w14:schemeClr w14:val="tx1"/>
            </w14:solidFill>
          </w14:textFill>
        </w:rPr>
        <w:t>投资控制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1）通过对工程实施方案的优化，确保投资控制在合理、性价比高的范围内；</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2）协助用户做好工程支付预算的流量表，及时向用户提供项目质量和工程进度审核结果，以使付款进度能够与工程质量和工程进度结合起来。</w:t>
      </w:r>
    </w:p>
    <w:p>
      <w:pPr>
        <w:tabs>
          <w:tab w:val="left" w:pos="426"/>
        </w:tabs>
        <w:spacing w:line="360" w:lineRule="auto"/>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4.</w:t>
      </w:r>
      <w:r>
        <w:rPr>
          <w:rFonts w:ascii="宋体" w:hAnsi="宋体"/>
          <w:color w:val="000000" w:themeColor="text1"/>
          <w:kern w:val="24"/>
          <w:szCs w:val="21"/>
          <w:highlight w:val="none"/>
          <w14:textFill>
            <w14:solidFill>
              <w14:schemeClr w14:val="tx1"/>
            </w14:solidFill>
          </w14:textFill>
        </w:rPr>
        <w:t>合同管理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1）跟踪检查合同的执行情况，确保</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按时履约；</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2）对合同工期的延误和延期进行审核确认；</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3）对合同变更、索赔、违约等事宜进行审核确认；</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4）对工程暂停、复工等事宜进行审核确认；</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5）根据合同约定，审核</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提交的付款申请，签发付款凭证。</w:t>
      </w:r>
    </w:p>
    <w:p>
      <w:pPr>
        <w:spacing w:line="360" w:lineRule="auto"/>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kern w:val="24"/>
          <w:szCs w:val="21"/>
          <w:highlight w:val="none"/>
          <w14:textFill>
            <w14:solidFill>
              <w14:schemeClr w14:val="tx1"/>
            </w14:solidFill>
          </w14:textFill>
        </w:rPr>
        <w:t>文档管理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1）协助用户做好档案的管理，包括项目文件材料的收集、整理和归档等；</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2）做好项目建设监理日志、周报、工作简报及项目大事记；</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3）做好项目协调会、技术研讨会等各类会议纪要；</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4）管理好实施期间各类技术文件、合同、协议等；</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5）做好各阶段的监理文档（监理规划、监理工作实施细则、专题监理报告、验收监理报告及监理工作总结报告等），并按时提交给用户；</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6）组织阶段性项目总结；</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7）督促、检查</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及时完成各阶段设备资料、工程技术资料的整理和归档工作，并保管各</w:t>
      </w: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提交的技术文件；</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8）各种文档的审查工作。</w:t>
      </w:r>
    </w:p>
    <w:p>
      <w:pPr>
        <w:tabs>
          <w:tab w:val="left" w:pos="426"/>
        </w:tabs>
        <w:spacing w:line="360" w:lineRule="auto"/>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6.</w:t>
      </w:r>
      <w:r>
        <w:rPr>
          <w:rFonts w:ascii="宋体" w:hAnsi="宋体"/>
          <w:color w:val="000000" w:themeColor="text1"/>
          <w:kern w:val="24"/>
          <w:szCs w:val="21"/>
          <w:highlight w:val="none"/>
          <w14:textFill>
            <w14:solidFill>
              <w14:schemeClr w14:val="tx1"/>
            </w14:solidFill>
          </w14:textFill>
        </w:rPr>
        <w:t>数据安全管理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协助用户对项目建设过程中所涉及的敏感数据和资料进行保护，防止被非授权使用。</w:t>
      </w:r>
    </w:p>
    <w:p>
      <w:pPr>
        <w:tabs>
          <w:tab w:val="left" w:pos="426"/>
        </w:tabs>
        <w:spacing w:line="360" w:lineRule="auto"/>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7.</w:t>
      </w:r>
      <w:r>
        <w:rPr>
          <w:rFonts w:ascii="宋体" w:hAnsi="宋体"/>
          <w:color w:val="000000" w:themeColor="text1"/>
          <w:kern w:val="24"/>
          <w:szCs w:val="21"/>
          <w:highlight w:val="none"/>
          <w14:textFill>
            <w14:solidFill>
              <w14:schemeClr w14:val="tx1"/>
            </w14:solidFill>
          </w14:textFill>
        </w:rPr>
        <w:t>知识产权管理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1）协助用户对项目建设过程中所产生成果的知识产权进行保护，防止被非授权使用；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2）负责项目建设过程中涉及知识产权的产品和系统的使用审核，保证不在项目建设中出现违反知识产权的行为。</w:t>
      </w:r>
    </w:p>
    <w:p>
      <w:pPr>
        <w:tabs>
          <w:tab w:val="left" w:pos="426"/>
        </w:tabs>
        <w:spacing w:line="360" w:lineRule="auto"/>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8.</w:t>
      </w:r>
      <w:r>
        <w:rPr>
          <w:rFonts w:ascii="宋体" w:hAnsi="宋体"/>
          <w:color w:val="000000" w:themeColor="text1"/>
          <w:kern w:val="24"/>
          <w:szCs w:val="21"/>
          <w:highlight w:val="none"/>
          <w14:textFill>
            <w14:solidFill>
              <w14:schemeClr w14:val="tx1"/>
            </w14:solidFill>
          </w14:textFill>
        </w:rPr>
        <w:t>保密管理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1）对建设项目的设计方案、施工方案以及所有施工过程资料和信息负有保密责任，未经用户许可不能外泄。</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2）乙方对履行本合同期间知悉的采购人秘密负有保密责任，且乙方的保密责任不因本项目合同的终止而终止。</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3）乙方不得向任何第三方透露采购人工作人员的信息。</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4）未经甲方同意，乙方服务人员不得擅自记录、复印、拍摄、摘抄、收藏甲方单位的任何文件资料和信息，不得随意翻阅与工作无关的文件和资料，严禁将甲方单位内部会议、谈话内容泄露给第三方。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5）严禁私自下载、拷贝甲方计算机内的信息资料，不得擅自携带甲方记载工作内容的硬盘、软盘和打印资料外出；严禁将工作中使用计算机储存的敏感内容、内部程序、口令、密码等泄露给无关人员。</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6）在对外部门、单位交流中，不得泄露和发表涉及甲方工作秘密的技术文档和论文。</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7）不得带领无关人员进入办公场所。</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8）乙方工作人员如离开甲方工作岗位，不得泄露从甲方处所知悉的资料信息。</w:t>
      </w:r>
    </w:p>
    <w:p>
      <w:pPr>
        <w:tabs>
          <w:tab w:val="left" w:pos="426"/>
        </w:tabs>
        <w:spacing w:line="360" w:lineRule="auto"/>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9.</w:t>
      </w:r>
      <w:r>
        <w:rPr>
          <w:rFonts w:ascii="宋体" w:hAnsi="宋体"/>
          <w:color w:val="000000" w:themeColor="text1"/>
          <w:kern w:val="24"/>
          <w:szCs w:val="21"/>
          <w:highlight w:val="none"/>
          <w14:textFill>
            <w14:solidFill>
              <w14:schemeClr w14:val="tx1"/>
            </w14:solidFill>
          </w14:textFill>
        </w:rPr>
        <w:t>文明施工、安全生产管理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1）负责监督施工单位按照国家规定进行文明施工；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2）负责监督施工单位按照国家消防部门规定配备足够的消防设备；</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3）负责检查和审核施工单位安全生产管理制度的完整性、可行性；</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4）协助和督促施工单位根据施工现场情况和环境制定安全施工措施，建立安全生产保障体系；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5）负责监督施工过程中的用电、用火、用水安全及防盗、防破坏等措施的执行；</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6）对高安全风险的施工项目或环节，必须要求施工单位指定周密的安全施工方案并经监理审核签字后，在监理的现场监督下方可实施；</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7）负责监督、检查和管理施工现场环境，保障施工现场卫生、整洁、有序。</w:t>
      </w:r>
    </w:p>
    <w:p>
      <w:pPr>
        <w:tabs>
          <w:tab w:val="left" w:pos="426"/>
        </w:tabs>
        <w:spacing w:line="360" w:lineRule="auto"/>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10.</w:t>
      </w:r>
      <w:r>
        <w:rPr>
          <w:rFonts w:ascii="宋体" w:hAnsi="宋体"/>
          <w:color w:val="000000" w:themeColor="text1"/>
          <w:kern w:val="24"/>
          <w:szCs w:val="21"/>
          <w:highlight w:val="none"/>
          <w14:textFill>
            <w14:solidFill>
              <w14:schemeClr w14:val="tx1"/>
            </w14:solidFill>
          </w14:textFill>
        </w:rPr>
        <w:t>项目会议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为保证监理工作的开展和实施协调，监理单位可组织必要的会议来保证：</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1）项目协调会；</w:t>
      </w:r>
    </w:p>
    <w:p>
      <w:pPr>
        <w:spacing w:line="360" w:lineRule="auto"/>
        <w:ind w:firstLine="420" w:firstLineChars="200"/>
        <w:rPr>
          <w:rFonts w:ascii="宋体" w:hAnsi="宋体" w:cs="Calibri"/>
          <w:color w:val="000000" w:themeColor="text1"/>
          <w:szCs w:val="21"/>
          <w:highlight w:val="none"/>
          <w14:textFill>
            <w14:solidFill>
              <w14:schemeClr w14:val="tx1"/>
            </w14:solidFill>
          </w14:textFill>
        </w:rPr>
      </w:pPr>
      <w:r>
        <w:rPr>
          <w:rFonts w:hint="eastAsia" w:ascii="宋体" w:hAnsi="宋体" w:cs="Calibri"/>
          <w:color w:val="000000" w:themeColor="text1"/>
          <w:szCs w:val="21"/>
          <w:highlight w:val="none"/>
          <w14:textFill>
            <w14:solidFill>
              <w14:schemeClr w14:val="tx1"/>
            </w14:solidFill>
          </w14:textFill>
        </w:rPr>
        <w:t>2）项目现场会；</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3）项目周例会；</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4）项目专题研讨会；</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5）项目问题通报会；</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6）项目阶段及最终验收会。</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监理单位还应积极参加以下会议：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1）项目专家论证评审会；</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2）项目阶段工作总结会。</w:t>
      </w:r>
    </w:p>
    <w:p>
      <w:pPr>
        <w:tabs>
          <w:tab w:val="left" w:pos="426"/>
        </w:tabs>
        <w:spacing w:line="360" w:lineRule="auto"/>
        <w:ind w:firstLine="420" w:firstLineChars="200"/>
        <w:rPr>
          <w:rFonts w:ascii="宋体" w:hAnsi="宋体"/>
          <w:color w:val="000000" w:themeColor="text1"/>
          <w:kern w:val="24"/>
          <w:szCs w:val="21"/>
          <w:highlight w:val="none"/>
          <w14:textFill>
            <w14:solidFill>
              <w14:schemeClr w14:val="tx1"/>
            </w14:solidFill>
          </w14:textFill>
        </w:rPr>
      </w:pPr>
      <w:r>
        <w:rPr>
          <w:rFonts w:hint="eastAsia" w:ascii="宋体" w:hAnsi="宋体"/>
          <w:color w:val="000000" w:themeColor="text1"/>
          <w:kern w:val="24"/>
          <w:szCs w:val="21"/>
          <w:highlight w:val="none"/>
          <w14:textFill>
            <w14:solidFill>
              <w14:schemeClr w14:val="tx1"/>
            </w14:solidFill>
          </w14:textFill>
        </w:rPr>
        <w:t>11.</w:t>
      </w:r>
      <w:r>
        <w:rPr>
          <w:rFonts w:ascii="宋体" w:hAnsi="宋体"/>
          <w:color w:val="000000" w:themeColor="text1"/>
          <w:kern w:val="24"/>
          <w:szCs w:val="21"/>
          <w:highlight w:val="none"/>
          <w14:textFill>
            <w14:solidFill>
              <w14:schemeClr w14:val="tx1"/>
            </w14:solidFill>
          </w14:textFill>
        </w:rPr>
        <w:t>组织协调</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1）监督各方履行职责，协调各方的工作关系；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2）建立畅通的沟通平台和沟通渠道，采取有效措施使项目信息在有关各方之间保持顺畅流通，积极协调项目各方之间的关系，推动项目实施过程中问题的解决。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3）采用信息化手段，如信息化工程监理管理平台软件对项目进行监理，提高业主单位、承建单位、监理单位等项目各参与方的沟通效率。</w:t>
      </w:r>
    </w:p>
    <w:p>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(四)监理机构及人员要求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乙方应组建项目监理机构，该工程监理机构必须满足以下要求：</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建立建设监理组，负责整个工程的全程监理工作。</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实行总监理工程师负责制，对项目重大决策提出建议和意见。</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项目监理要求以现场监理服务为主要方式进行。</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总监理工程师和监理工程师必须具备与接受委派的项目类似的工作经验。</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在项目建设期派遣</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名以上监理工程师提供现场服务,</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在相应阶段安排足够的监理工程师到场开展工作。</w:t>
      </w:r>
    </w:p>
    <w:p>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（五）监理单位投入工具要求</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针对建设项目，监理单位需提供必要的办公设备（电脑及办公软件、数码相机、资料文件柜）、办公汽车和检测设备。</w:t>
      </w:r>
    </w:p>
    <w:p>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（六）监理服务考核要求</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委托人对监理开展相关工作实行严格的服务质量考核办法，对其工作质量进行评价考核监督。</w:t>
      </w:r>
    </w:p>
    <w:p>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（七）合同签订和安全保密协议要求</w:t>
      </w:r>
    </w:p>
    <w:p>
      <w:pPr>
        <w:spacing w:line="360" w:lineRule="auto"/>
        <w:ind w:firstLine="4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甲方承诺按照合同模板要求签订项目采购合同和保密协议。</w:t>
      </w:r>
    </w:p>
    <w:p>
      <w:pPr>
        <w:spacing w:line="360" w:lineRule="auto"/>
        <w:rPr>
          <w:color w:val="000000" w:themeColor="text1"/>
          <w:highlight w:val="none"/>
          <w14:textFill>
            <w14:solidFill>
              <w14:schemeClr w14:val="tx1"/>
            </w14:solidFill>
          </w14:textFill>
        </w:rPr>
      </w:pP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bookmarkStart w:id="1687" w:name="_Toc493682684"/>
      <w:bookmarkStart w:id="1688" w:name="_Toc435540762"/>
      <w:bookmarkStart w:id="1689" w:name="_Toc71823298"/>
      <w:r>
        <w:rPr>
          <w:rFonts w:hint="eastAsia" w:ascii="宋体" w:hAnsi="宋体"/>
          <w:b/>
          <w:bCs/>
          <w:color w:val="000000" w:themeColor="text1"/>
          <w:szCs w:val="21"/>
          <w:highlight w:val="none"/>
          <w14:textFill>
            <w14:solidFill>
              <w14:schemeClr w14:val="tx1"/>
            </w14:solidFill>
          </w14:textFill>
        </w:rPr>
        <w:t>准入及退出机制</w:t>
      </w:r>
    </w:p>
    <w:p>
      <w:pPr>
        <w:autoSpaceDE w:val="0"/>
        <w:autoSpaceDN w:val="0"/>
        <w:adjustRightInd w:val="0"/>
        <w:spacing w:line="360" w:lineRule="auto"/>
        <w:ind w:left="-19" w:leftChars="-9" w:firstLine="436" w:firstLineChars="208"/>
        <w:jc w:val="left"/>
        <w:rPr>
          <w:rFonts w:asci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间，甲方将根据基建工程管理实施细则等相关制度规定，对承接监理服务项目的入库公司进行综合评分考核，考核内容包括服务效率、服务态度、技术水平、服务质量等，考核不通过的将解除合作协议，解除合作协议的2年内不再列入准入名单。如入库公司数量减少，甲方可邀请替补公司入库或通过招标方式重新选取其他较优者作为替换机构。同意替补入库的，须按原招标文件、投标承诺与招标人签订合同，合同期限为自替补入库合同生效之日至本项目合同期满之日。</w:t>
      </w:r>
    </w:p>
    <w:p>
      <w:pPr>
        <w:spacing w:line="360" w:lineRule="auto"/>
        <w:rPr>
          <w:color w:val="000000" w:themeColor="text1"/>
          <w:highlight w:val="none"/>
          <w14:textFill>
            <w14:solidFill>
              <w14:schemeClr w14:val="tx1"/>
            </w14:solidFill>
          </w14:textFill>
        </w:rPr>
      </w:pP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入库后监理公司的选用</w:t>
      </w:r>
    </w:p>
    <w:p>
      <w:pPr>
        <w:autoSpaceDE w:val="0"/>
        <w:autoSpaceDN w:val="0"/>
        <w:adjustRightInd w:val="0"/>
        <w:spacing w:line="360" w:lineRule="auto"/>
        <w:ind w:left="-19" w:leftChars="-9" w:firstLine="436" w:firstLineChars="208"/>
        <w:jc w:val="left"/>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1.甲方可根据具体工程项目特征及需求，通过采取低价优先（询价）、循环派单、综合评价等一种或多种方式，从入库公司中确定具体工程项目监理服务实施单位。</w:t>
      </w:r>
    </w:p>
    <w:p>
      <w:pPr>
        <w:autoSpaceDE w:val="0"/>
        <w:autoSpaceDN w:val="0"/>
        <w:adjustRightInd w:val="0"/>
        <w:spacing w:line="360" w:lineRule="auto"/>
        <w:ind w:left="-19" w:leftChars="-9" w:firstLine="436" w:firstLineChars="208"/>
        <w:jc w:val="left"/>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2.具体实施单位原则上优先选择入库公司，但甲方可保留根据工程项目实际情况，综合考虑其服务能力、价格水平、业绩等相关指标，择优使用入库公司以外的供应商提供服务的权利。</w:t>
      </w:r>
    </w:p>
    <w:p>
      <w:pPr>
        <w:autoSpaceDE w:val="0"/>
        <w:autoSpaceDN w:val="0"/>
        <w:adjustRightInd w:val="0"/>
        <w:spacing w:line="360" w:lineRule="auto"/>
        <w:ind w:left="-19" w:leftChars="-9" w:firstLine="436" w:firstLineChars="208"/>
        <w:jc w:val="left"/>
        <w:rPr>
          <w:rFonts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3.特别说明：本项目甲方对入库监理公司获得的项目数量及金额不作任何承诺或保证。即甲方不保证有足够的拟派任务以满足所有入库监理公司获得均等的项目承包机会。</w:t>
      </w:r>
    </w:p>
    <w:p>
      <w:pPr>
        <w:spacing w:line="360" w:lineRule="auto"/>
        <w:rPr>
          <w:color w:val="000000" w:themeColor="text1"/>
          <w:highlight w:val="none"/>
          <w14:textFill>
            <w14:solidFill>
              <w14:schemeClr w14:val="tx1"/>
            </w14:solidFill>
          </w14:textFill>
        </w:rPr>
      </w:pP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服务期间（项目完成期限）</w:t>
      </w:r>
      <w:bookmarkEnd w:id="1687"/>
      <w:bookmarkEnd w:id="1688"/>
      <w:bookmarkEnd w:id="1689"/>
    </w:p>
    <w:p>
      <w:pPr>
        <w:spacing w:line="360" w:lineRule="auto"/>
        <w:ind w:firstLine="4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委托服务期间自</w:t>
      </w:r>
      <w:r>
        <w:rPr>
          <w:rFonts w:hint="eastAsia" w:ascii="宋体" w:hAnsi="宋体"/>
          <w:color w:val="000000" w:themeColor="text1"/>
          <w:szCs w:val="21"/>
          <w:highlight w:val="none"/>
          <w:u w:val="single"/>
          <w14:textFill>
            <w14:solidFill>
              <w14:schemeClr w14:val="tx1"/>
            </w14:solidFill>
          </w14:textFill>
        </w:rPr>
        <w:t xml:space="preserve"> 2023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月至</w:t>
      </w:r>
      <w:r>
        <w:rPr>
          <w:rFonts w:hint="eastAsia" w:ascii="宋体" w:hAnsi="宋体"/>
          <w:color w:val="000000" w:themeColor="text1"/>
          <w:szCs w:val="21"/>
          <w:highlight w:val="none"/>
          <w:u w:val="single"/>
          <w14:textFill>
            <w14:solidFill>
              <w14:schemeClr w14:val="tx1"/>
            </w14:solidFill>
          </w14:textFill>
        </w:rPr>
        <w:t xml:space="preserve"> 2025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月止。</w:t>
      </w:r>
    </w:p>
    <w:p>
      <w:pPr>
        <w:spacing w:line="360" w:lineRule="auto"/>
        <w:ind w:firstLine="435"/>
        <w:rPr>
          <w:rFonts w:ascii="宋体"/>
          <w:color w:val="000000" w:themeColor="text1"/>
          <w:szCs w:val="21"/>
          <w:highlight w:val="none"/>
          <w14:textFill>
            <w14:solidFill>
              <w14:schemeClr w14:val="tx1"/>
            </w14:solidFill>
          </w14:textFill>
        </w:rPr>
      </w:pP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bookmarkStart w:id="1690" w:name="_Toc435540763"/>
      <w:bookmarkStart w:id="1691" w:name="_Toc493682685"/>
      <w:bookmarkStart w:id="1692" w:name="_Toc71823299"/>
      <w:r>
        <w:rPr>
          <w:rFonts w:hint="eastAsia" w:ascii="宋体" w:hAnsi="宋体"/>
          <w:b/>
          <w:color w:val="000000" w:themeColor="text1"/>
          <w:szCs w:val="21"/>
          <w:highlight w:val="none"/>
          <w14:textFill>
            <w14:solidFill>
              <w14:schemeClr w14:val="tx1"/>
            </w14:solidFill>
          </w14:textFill>
        </w:rPr>
        <w:t>监理服务费用及付款方式</w:t>
      </w:r>
      <w:bookmarkEnd w:id="1690"/>
      <w:bookmarkEnd w:id="1691"/>
      <w:bookmarkEnd w:id="1692"/>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693" w:name="_Toc435540764"/>
      <w:r>
        <w:rPr>
          <w:rFonts w:hint="eastAsia" w:ascii="宋体" w:hAnsi="宋体"/>
          <w:color w:val="000000" w:themeColor="text1"/>
          <w:szCs w:val="21"/>
          <w:highlight w:val="none"/>
          <w14:textFill>
            <w14:solidFill>
              <w14:schemeClr w14:val="tx1"/>
            </w14:solidFill>
          </w14:textFill>
        </w:rPr>
        <w:t>1.具体工程项目监理服务费用：由甲方与监理单位根据具体的委托项目进行协商确定。</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2.付款方式：银行转账。监理公司完成单个委托项目后由甲方向其付费，付费方式由双方另行约定，须向甲方出具合法有效完整的完税增值税专用发票及凭证资料后进行支付结算。</w:t>
      </w:r>
    </w:p>
    <w:p>
      <w:pPr>
        <w:spacing w:line="360" w:lineRule="auto"/>
        <w:rPr>
          <w:color w:val="000000" w:themeColor="text1"/>
          <w:highlight w:val="none"/>
          <w14:textFill>
            <w14:solidFill>
              <w14:schemeClr w14:val="tx1"/>
            </w14:solidFill>
          </w14:textFill>
        </w:rPr>
      </w:pP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bookmarkStart w:id="1694" w:name="_Toc71823300"/>
      <w:bookmarkStart w:id="1695" w:name="_Toc493682686"/>
      <w:r>
        <w:rPr>
          <w:rFonts w:hint="eastAsia" w:ascii="宋体" w:hAnsi="宋体"/>
          <w:b/>
          <w:color w:val="000000" w:themeColor="text1"/>
          <w:szCs w:val="21"/>
          <w:highlight w:val="none"/>
          <w14:textFill>
            <w14:solidFill>
              <w14:schemeClr w14:val="tx1"/>
            </w14:solidFill>
          </w14:textFill>
        </w:rPr>
        <w:t>知识产权产权归属</w:t>
      </w:r>
      <w:bookmarkEnd w:id="1693"/>
      <w:bookmarkEnd w:id="1694"/>
      <w:bookmarkEnd w:id="1695"/>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应保证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spacing w:line="360" w:lineRule="auto"/>
        <w:ind w:firstLine="420" w:firstLineChars="200"/>
        <w:rPr>
          <w:rFonts w:ascii="宋体" w:cs="宋体"/>
          <w:color w:val="000000" w:themeColor="text1"/>
          <w:szCs w:val="21"/>
          <w:highlight w:val="none"/>
          <w14:textFill>
            <w14:solidFill>
              <w14:schemeClr w14:val="tx1"/>
            </w14:solidFill>
          </w14:textFill>
        </w:rPr>
      </w:pP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bookmarkStart w:id="1696" w:name="_Toc71823301"/>
      <w:bookmarkStart w:id="1697" w:name="_Toc435540765"/>
      <w:bookmarkStart w:id="1698" w:name="_Toc493682687"/>
      <w:r>
        <w:rPr>
          <w:rFonts w:hint="eastAsia" w:ascii="宋体" w:hAnsi="宋体"/>
          <w:b/>
          <w:color w:val="000000" w:themeColor="text1"/>
          <w:szCs w:val="21"/>
          <w:highlight w:val="none"/>
          <w14:textFill>
            <w14:solidFill>
              <w14:schemeClr w14:val="tx1"/>
            </w14:solidFill>
          </w14:textFill>
        </w:rPr>
        <w:t>保密</w:t>
      </w:r>
      <w:bookmarkEnd w:id="1696"/>
      <w:bookmarkEnd w:id="1697"/>
      <w:bookmarkEnd w:id="1698"/>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甲方：</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1.保密内容：乙方提供给甲方的交付文档及甲方对在监理合同执行期间知悉的乙方商业秘密；</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2.涉密人员范围：项目参与人员；</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3.保密期限：永久；</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4.泄密责任：甲方违反保密义务，给乙方造成损失的，由甲方负责承担乙方损失。</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1.保密内容：在项目实施期间乙方获取的所有内部资料及乙方知悉的甲方的内部信息；</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2.涉密人员范围：项目参与人员；</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3.保密期限： 永久 ；</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4.泄密责任：除按照有关规定追究乙方单位及个人经济上的赔偿责任外，有权提请司法机关追究有关人员及单位的法律责任。</w:t>
      </w:r>
    </w:p>
    <w:p>
      <w:pPr>
        <w:tabs>
          <w:tab w:val="left" w:pos="900"/>
        </w:tabs>
        <w:spacing w:line="360" w:lineRule="auto"/>
        <w:rPr>
          <w:rFonts w:ascii="宋体"/>
          <w:b/>
          <w:color w:val="000000" w:themeColor="text1"/>
          <w:szCs w:val="21"/>
          <w:highlight w:val="none"/>
          <w14:textFill>
            <w14:solidFill>
              <w14:schemeClr w14:val="tx1"/>
            </w14:solidFill>
          </w14:textFill>
        </w:rPr>
      </w:pP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bookmarkStart w:id="1699" w:name="_Toc435540766"/>
      <w:bookmarkStart w:id="1700" w:name="_Toc493682688"/>
      <w:bookmarkStart w:id="1701" w:name="_Toc71823303"/>
      <w:r>
        <w:rPr>
          <w:rFonts w:hint="eastAsia" w:ascii="宋体" w:hAnsi="宋体"/>
          <w:b/>
          <w:color w:val="000000" w:themeColor="text1"/>
          <w:szCs w:val="21"/>
          <w:highlight w:val="none"/>
          <w14:textFill>
            <w14:solidFill>
              <w14:schemeClr w14:val="tx1"/>
            </w14:solidFill>
          </w14:textFill>
        </w:rPr>
        <w:t>违约责任与赔偿损失</w:t>
      </w:r>
      <w:bookmarkEnd w:id="1699"/>
      <w:bookmarkEnd w:id="1700"/>
      <w:bookmarkEnd w:id="1701"/>
    </w:p>
    <w:p>
      <w:pPr>
        <w:pStyle w:val="315"/>
        <w:spacing w:line="360" w:lineRule="auto"/>
        <w:ind w:firstLine="480"/>
        <w:rPr>
          <w:rFonts w:ascii="宋体" w:hAnsi="宋体"/>
          <w:color w:val="000000" w:themeColor="text1"/>
          <w:highlight w:val="none"/>
          <w14:textFill>
            <w14:solidFill>
              <w14:schemeClr w14:val="tx1"/>
            </w14:solidFill>
          </w14:textFill>
        </w:rPr>
      </w:pPr>
      <w:bookmarkStart w:id="1702" w:name="_Toc493682689"/>
      <w:bookmarkStart w:id="1703" w:name="_Toc435540767"/>
      <w:r>
        <w:rPr>
          <w:rFonts w:hint="eastAsia" w:ascii="宋体" w:hAnsi="宋体"/>
          <w:color w:val="000000" w:themeColor="text1"/>
          <w:highlight w:val="none"/>
          <w14:textFill>
            <w14:solidFill>
              <w14:schemeClr w14:val="tx1"/>
            </w14:solidFill>
          </w14:textFill>
        </w:rPr>
        <w:t>1.甲乙双方应当履行监理合同约定的义务，如有违反则应当承担违约责任，赔偿给对方造成的经济损失。</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2.甲方如果向乙方提出的赔偿要求不能成立，则应当补偿由该索赔所引起的乙方的各种费用支出。</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3.乙方向甲方提出赔偿要求不能成立时，则应当补偿由于该索赔所导致甲方的各种费用支出。</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4.因不可抗力导致监理合同不能全部或部分履行，乙方不承担责任。</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5.乙方对承建方拒不听从监理意见而违反合同规定的质量要求和完工</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交图、交货</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时限，不承担责任。</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6.乙方在项目实施期间出现以下行为或情况，需承担相应的违约责任，并按合同总价</w:t>
      </w:r>
      <w:r>
        <w:rPr>
          <w:rFonts w:ascii="宋体" w:hAnsi="宋体"/>
          <w:color w:val="000000" w:themeColor="text1"/>
          <w:highlight w:val="none"/>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％的金额向甲方支付违约金。</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（1）乙方收受礼金</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（2）泄露项目信息</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（3）擅自更换监理人员；</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（4）甲方按照乙方的建议开展工作导致项目成本增加、质量下降、延期等情况。</w:t>
      </w:r>
    </w:p>
    <w:p>
      <w:pPr>
        <w:pStyle w:val="315"/>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7.由于财政资金拨款不到位或乙方原因而导致甲方逾期付款的，甲方不承担违约责任，并且此情况不能成为乙方延误工期的理由。</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8.乙方不得参与或成为甲方委</w:t>
      </w:r>
      <w:r>
        <w:rPr>
          <w:rFonts w:hint="eastAsia" w:ascii="宋体" w:hAnsi="宋体"/>
          <w:color w:val="000000" w:themeColor="text1"/>
          <w:highlight w:val="none"/>
          <w14:textFill>
            <w14:solidFill>
              <w14:schemeClr w14:val="tx1"/>
            </w14:solidFill>
          </w14:textFill>
        </w:rPr>
        <w:t>派项目的建设服务供应商，如有违反则应当承担违约责任，监理合同即行终止。</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9.本项目所配备监理人员需专职服务于本项目，不得兼职，如甲方发现监理人员不按监理合同履行，甲方有权要求乙方限期更换监理人员，并要求乙方承担相应的赔偿责任。</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乙方违反监理合同、招投标文件等相关约定，未能达到约定的监理服务标准，甲方书面提出整改通知，每提出一次，乙方须向甲方支付项目合同总价1%的违约金，甲方有权从尚未支付给监理人的项目合同金额中直接扣除，累计提出3次，甲方有权单方面终止项目合同。违约金不足以弥补甲方所受损失的，甲方有权进一步追偿。</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11.任何一方违反监理合同所规定的义务，除监理合同另有规定外，违约方应按合同总价10％的金额向对方支付违约金。</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12.乙方在责任期内，应当履行监理合同中约定的义务。如果因乙方过失而造成了经济损失，应当按以下办法承担责任，向甲方赔偿损失：赔偿金=直接经济损失×监理合同总额比率（2.1%）。</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13.如发生违约事件，守约方要求违约方支付违约金时，应以书面方式通知违约方，内容包括违约事件、违约金、支付时间和方式等。违约方在收到上述通知后，应于 3个工作日内答复对方，并于10 个工作日内支付违约金。如双方不能就此达成一致意见，将按照本合同所规定的争议解决条款解决双方的纠纷，但任何一方不得采取非法手段或以损害本项目的方式实现违约金。</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14.对所监理范围内的项目，如项目生命周期环节中，在里程碑阶段（合同验收、第三方测评和竣工终验评审）中,若连续2次不能通过专家评审，乙方应按项目监理合同金额的百分之五向甲方支付违约金。</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15.任何一方违反监理合同所规定的保密义务，违约方应按监理合同总价的 10 %支付违约金。如包括利润在内的实际损失超过该违约金的，受损失一方有权要求对方赔偿超过部分。构成犯罪的，将依法追究刑事责任。</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16.违约金不足弥补守约方损失的，违约方仍应补足赔偿守约方的损失。</w:t>
      </w:r>
    </w:p>
    <w:p>
      <w:pPr>
        <w:pStyle w:val="315"/>
        <w:spacing w:line="360" w:lineRule="auto"/>
        <w:ind w:firstLine="48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17.上述违约金、赔偿金等金额可从监理合同金额中直接扣除。</w:t>
      </w:r>
    </w:p>
    <w:p>
      <w:pPr>
        <w:spacing w:line="360" w:lineRule="auto"/>
        <w:rPr>
          <w:rFonts w:ascii="宋体"/>
          <w:bCs/>
          <w:color w:val="000000" w:themeColor="text1"/>
          <w:szCs w:val="21"/>
          <w:highlight w:val="none"/>
          <w14:textFill>
            <w14:solidFill>
              <w14:schemeClr w14:val="tx1"/>
            </w14:solidFill>
          </w14:textFill>
        </w:rPr>
      </w:pP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bookmarkStart w:id="1704" w:name="_Toc71823304"/>
      <w:r>
        <w:rPr>
          <w:rFonts w:hint="eastAsia" w:ascii="宋体" w:hAnsi="宋体"/>
          <w:b/>
          <w:color w:val="000000" w:themeColor="text1"/>
          <w:szCs w:val="21"/>
          <w:highlight w:val="none"/>
          <w14:textFill>
            <w14:solidFill>
              <w14:schemeClr w14:val="tx1"/>
            </w14:solidFill>
          </w14:textFill>
        </w:rPr>
        <w:t>争端的解决</w:t>
      </w:r>
      <w:bookmarkEnd w:id="1702"/>
      <w:bookmarkEnd w:id="1703"/>
      <w:bookmarkEnd w:id="1704"/>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合同执行过程中发生的任何争议，如双方不能通过友好协商解决，甲、乙双方一致同意向甲方所在地人民法院提起诉讼。</w:t>
      </w:r>
    </w:p>
    <w:p>
      <w:pPr>
        <w:spacing w:line="360" w:lineRule="auto"/>
        <w:ind w:firstLine="420" w:firstLineChars="200"/>
        <w:rPr>
          <w:rFonts w:ascii="宋体"/>
          <w:color w:val="000000" w:themeColor="text1"/>
          <w:szCs w:val="21"/>
          <w:highlight w:val="none"/>
          <w14:textFill>
            <w14:solidFill>
              <w14:schemeClr w14:val="tx1"/>
            </w14:solidFill>
          </w14:textFill>
        </w:rPr>
      </w:pP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bookmarkStart w:id="1705" w:name="_Toc435540768"/>
      <w:bookmarkStart w:id="1706" w:name="_Toc493682690"/>
      <w:bookmarkStart w:id="1707" w:name="_Toc71823305"/>
      <w:r>
        <w:rPr>
          <w:rFonts w:hint="eastAsia" w:ascii="宋体" w:hAnsi="宋体"/>
          <w:b/>
          <w:color w:val="000000" w:themeColor="text1"/>
          <w:szCs w:val="21"/>
          <w:highlight w:val="none"/>
          <w14:textFill>
            <w14:solidFill>
              <w14:schemeClr w14:val="tx1"/>
            </w14:solidFill>
          </w14:textFill>
        </w:rPr>
        <w:t>不可抗力</w:t>
      </w:r>
      <w:bookmarkEnd w:id="1705"/>
      <w:bookmarkEnd w:id="1706"/>
      <w:bookmarkEnd w:id="1707"/>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日内向对方通报，以减轻可能给对方造成的损失，在取得有关机构的不可抗力证明或双方谅解确认后，允许延期履行或修订合同，并根据情况可部分或全部免于承担违约责任。</w:t>
      </w:r>
    </w:p>
    <w:p>
      <w:pPr>
        <w:spacing w:line="360" w:lineRule="auto"/>
        <w:ind w:firstLine="420" w:firstLineChars="200"/>
        <w:rPr>
          <w:rFonts w:ascii="宋体"/>
          <w:color w:val="000000" w:themeColor="text1"/>
          <w:szCs w:val="21"/>
          <w:highlight w:val="none"/>
          <w14:textFill>
            <w14:solidFill>
              <w14:schemeClr w14:val="tx1"/>
            </w14:solidFill>
          </w14:textFill>
        </w:rPr>
      </w:pP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bookmarkStart w:id="1708" w:name="_Toc71823306"/>
      <w:bookmarkStart w:id="1709" w:name="_Toc435540769"/>
      <w:bookmarkStart w:id="1710" w:name="_Toc493682691"/>
      <w:r>
        <w:rPr>
          <w:rFonts w:hint="eastAsia" w:ascii="宋体" w:hAnsi="宋体"/>
          <w:b/>
          <w:color w:val="000000" w:themeColor="text1"/>
          <w:szCs w:val="21"/>
          <w:highlight w:val="none"/>
          <w14:textFill>
            <w14:solidFill>
              <w14:schemeClr w14:val="tx1"/>
            </w14:solidFill>
          </w14:textFill>
        </w:rPr>
        <w:t>税费</w:t>
      </w:r>
      <w:bookmarkEnd w:id="1708"/>
      <w:bookmarkEnd w:id="1709"/>
      <w:bookmarkEnd w:id="1710"/>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spacing w:line="360" w:lineRule="auto"/>
        <w:ind w:firstLine="420" w:firstLineChars="200"/>
        <w:rPr>
          <w:rFonts w:ascii="宋体"/>
          <w:color w:val="000000" w:themeColor="text1"/>
          <w:szCs w:val="21"/>
          <w:highlight w:val="none"/>
          <w14:textFill>
            <w14:solidFill>
              <w14:schemeClr w14:val="tx1"/>
            </w14:solidFill>
          </w14:textFill>
        </w:rPr>
      </w:pP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bookmarkStart w:id="1711" w:name="_Toc493682692"/>
      <w:bookmarkStart w:id="1712" w:name="_Toc71823307"/>
      <w:bookmarkStart w:id="1713" w:name="_Toc435540770"/>
      <w:r>
        <w:rPr>
          <w:rFonts w:hint="eastAsia" w:ascii="宋体" w:hAnsi="宋体"/>
          <w:b/>
          <w:color w:val="000000" w:themeColor="text1"/>
          <w:szCs w:val="21"/>
          <w:highlight w:val="none"/>
          <w14:textFill>
            <w14:solidFill>
              <w14:schemeClr w14:val="tx1"/>
            </w14:solidFill>
          </w14:textFill>
        </w:rPr>
        <w:t>其它</w:t>
      </w:r>
      <w:bookmarkEnd w:id="1711"/>
      <w:bookmarkEnd w:id="1712"/>
      <w:bookmarkEnd w:id="1713"/>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1.本合同所有附件、招标文件、投标文件、中标通知书均为合同的有效组成部分，与本合同具有同等法律效力。</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2.在执行本合同的过程中，所有经双方签署确认的文件（包括会议纪要、补充协议、往来信函）即成为本合同的有效组成部分。</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3.如一方地址、电话、传真号码有变更，应在变更当日内书面通知对方，否则，应承担相应责任。</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spacing w:line="360" w:lineRule="auto"/>
        <w:rPr>
          <w:rFonts w:ascii="宋体"/>
          <w:color w:val="000000" w:themeColor="text1"/>
          <w:szCs w:val="21"/>
          <w:highlight w:val="none"/>
          <w14:textFill>
            <w14:solidFill>
              <w14:schemeClr w14:val="tx1"/>
            </w14:solidFill>
          </w14:textFill>
        </w:rPr>
      </w:pPr>
    </w:p>
    <w:p>
      <w:pPr>
        <w:numPr>
          <w:ilvl w:val="0"/>
          <w:numId w:val="30"/>
        </w:numPr>
        <w:autoSpaceDE w:val="0"/>
        <w:autoSpaceDN w:val="0"/>
        <w:adjustRightInd w:val="0"/>
        <w:spacing w:line="360" w:lineRule="auto"/>
        <w:ind w:left="443" w:hanging="443" w:hangingChars="210"/>
        <w:jc w:val="left"/>
        <w:rPr>
          <w:rFonts w:ascii="宋体"/>
          <w:b/>
          <w:color w:val="000000" w:themeColor="text1"/>
          <w:szCs w:val="21"/>
          <w:highlight w:val="none"/>
          <w14:textFill>
            <w14:solidFill>
              <w14:schemeClr w14:val="tx1"/>
            </w14:solidFill>
          </w14:textFill>
        </w:rPr>
      </w:pPr>
      <w:bookmarkStart w:id="1714" w:name="_Toc435540771"/>
      <w:bookmarkStart w:id="1715" w:name="_Toc71823308"/>
      <w:bookmarkStart w:id="1716" w:name="_Toc493682693"/>
      <w:r>
        <w:rPr>
          <w:rFonts w:hint="eastAsia" w:ascii="宋体" w:hAnsi="宋体"/>
          <w:b/>
          <w:color w:val="000000" w:themeColor="text1"/>
          <w:szCs w:val="21"/>
          <w:highlight w:val="none"/>
          <w14:textFill>
            <w14:solidFill>
              <w14:schemeClr w14:val="tx1"/>
            </w14:solidFill>
          </w14:textFill>
        </w:rPr>
        <w:t>合同生效</w:t>
      </w:r>
      <w:bookmarkEnd w:id="1714"/>
      <w:bookmarkEnd w:id="1715"/>
      <w:bookmarkEnd w:id="1716"/>
    </w:p>
    <w:p>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1.合同自甲乙双方法人代表或其授权代表签字盖章之日起生效。</w:t>
      </w: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合同壹式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份，其中甲乙双方各执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份，招标代理机构执壹份，监管部门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r>
        <w:rPr>
          <w:rFonts w:hint="eastAsia" w:ascii="宋体" w:hAnsi="宋体"/>
          <w:color w:val="000000" w:themeColor="text1"/>
          <w:szCs w:val="21"/>
          <w:highlight w:val="none"/>
          <w14:textFill>
            <w14:solidFill>
              <w14:schemeClr w14:val="tx1"/>
            </w14:solidFill>
          </w14:textFill>
        </w:rPr>
        <w:t>。</w:t>
      </w:r>
    </w:p>
    <w:p>
      <w:pPr>
        <w:rPr>
          <w:rFonts w:ascii="宋体" w:hAnsi="宋体" w:cs="宋体"/>
          <w:b/>
          <w:color w:val="000000" w:themeColor="text1"/>
          <w:szCs w:val="21"/>
          <w:highlight w:val="none"/>
          <w14:textFill>
            <w14:solidFill>
              <w14:schemeClr w14:val="tx1"/>
            </w14:solidFill>
          </w14:textFill>
        </w:rPr>
      </w:pPr>
    </w:p>
    <w:p>
      <w:pPr>
        <w:rPr>
          <w:rFonts w:ascii="宋体" w:hAnsi="宋体" w:cs="宋体"/>
          <w:b/>
          <w:color w:val="000000" w:themeColor="text1"/>
          <w:szCs w:val="21"/>
          <w:highlight w:val="none"/>
          <w14:textFill>
            <w14:solidFill>
              <w14:schemeClr w14:val="tx1"/>
            </w14:solidFill>
          </w14:textFill>
        </w:rPr>
      </w:pPr>
    </w:p>
    <w:p>
      <w:pPr>
        <w:tabs>
          <w:tab w:val="left" w:pos="4260"/>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/负责人：</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/负责人：</w:t>
      </w:r>
    </w:p>
    <w:p>
      <w:pPr>
        <w:tabs>
          <w:tab w:val="left" w:pos="1004"/>
          <w:tab w:val="left" w:pos="4267"/>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0"/>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0"/>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0"/>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 w:val="left" w:pos="4253"/>
        </w:tabs>
        <w:spacing w:line="5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14:textFill>
            <w14:solidFill>
              <w14:schemeClr w14:val="tx1"/>
            </w14:solidFill>
          </w14:textFill>
        </w:rPr>
        <w:t>:</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717" w:name="_Toc340672879"/>
      <w:bookmarkStart w:id="1718" w:name="_Toc366072539"/>
      <w:bookmarkStart w:id="1719" w:name="_Toc332206718"/>
      <w:bookmarkStart w:id="1720" w:name="_Toc341348348"/>
      <w:bookmarkStart w:id="1721" w:name="_Toc340677080"/>
      <w:bookmarkStart w:id="1722" w:name="_Toc339020105"/>
      <w:bookmarkStart w:id="1723" w:name="_Toc365985188"/>
      <w:bookmarkStart w:id="1724" w:name="_Toc349143599"/>
      <w:bookmarkStart w:id="1725" w:name="_Toc365967082"/>
      <w:bookmarkStart w:id="1726" w:name="_Toc340507452"/>
      <w:bookmarkStart w:id="1727" w:name="_Toc333237798"/>
      <w:bookmarkStart w:id="1728" w:name="_Toc339020243"/>
      <w:bookmarkStart w:id="1729" w:name="_Toc339441097"/>
      <w:bookmarkStart w:id="1730" w:name="_Toc350756460"/>
      <w:bookmarkStart w:id="1731" w:name="_Toc350438759"/>
      <w:bookmarkStart w:id="1732" w:name="_Toc332270356"/>
      <w:bookmarkStart w:id="1733" w:name="_Toc339020025"/>
      <w:bookmarkStart w:id="1734" w:name="_Toc500861025"/>
      <w:bookmarkStart w:id="1735" w:name="_Toc3687"/>
      <w:bookmarkStart w:id="1736" w:name="_Toc10777"/>
      <w:bookmarkStart w:id="1737" w:name="_Toc333935697"/>
      <w:bookmarkStart w:id="1738" w:name="_Toc345513911"/>
      <w:bookmarkStart w:id="1739" w:name="_Toc331684048"/>
      <w:bookmarkStart w:id="1740" w:name="_Toc337632368"/>
      <w:bookmarkStart w:id="1741" w:name="_Toc336681945"/>
      <w:bookmarkStart w:id="1742" w:name="_Toc333238643"/>
      <w:bookmarkStart w:id="1743" w:name="_Toc339019899"/>
      <w:bookmarkStart w:id="1744" w:name="_Toc336681590"/>
      <w:bookmarkStart w:id="1745" w:name="_Toc342296770"/>
      <w:bookmarkStart w:id="1746" w:name="_Toc331512908"/>
      <w:bookmarkStart w:id="1747" w:name="_Toc491658678"/>
      <w:bookmarkStart w:id="1748" w:name="_Toc339362310"/>
      <w:bookmarkStart w:id="1749" w:name="_Toc333935356"/>
      <w:bookmarkStart w:id="1750" w:name="_Toc333237687"/>
      <w:bookmarkStart w:id="1751" w:name="_Toc349127636"/>
      <w:bookmarkStart w:id="1752" w:name="_Toc330459995"/>
      <w:bookmarkStart w:id="1753" w:name="_Toc342060384"/>
      <w:r>
        <w:rPr>
          <w:rFonts w:hint="eastAsia"/>
          <w:color w:val="000000" w:themeColor="text1"/>
          <w:highlight w:val="none"/>
          <w14:textFill>
            <w14:solidFill>
              <w14:schemeClr w14:val="tx1"/>
            </w14:solidFill>
          </w14:textFill>
        </w:rPr>
        <w:t>第五部分</w:t>
      </w:r>
      <w:bookmarkStart w:id="1754" w:name="_Hlt97188172"/>
      <w:bookmarkEnd w:id="1754"/>
      <w:r>
        <w:rPr>
          <w:rFonts w:hint="eastAsia"/>
          <w:color w:val="000000" w:themeColor="text1"/>
          <w:highlight w:val="none"/>
          <w14:textFill>
            <w14:solidFill>
              <w14:schemeClr w14:val="tx1"/>
            </w14:solidFill>
          </w14:textFill>
        </w:rPr>
        <w:t>投标文件格式</w:t>
      </w:r>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Start w:id="1755" w:name="_Hlt21938933"/>
      <w:bookmarkEnd w:id="1755"/>
    </w:p>
    <w:p>
      <w:pPr>
        <w:pStyle w:val="4"/>
        <w:numPr>
          <w:ilvl w:val="0"/>
          <w:numId w:val="0"/>
        </w:numPr>
        <w:rPr>
          <w:color w:val="000000" w:themeColor="text1"/>
          <w:sz w:val="24"/>
          <w:highlight w:val="none"/>
          <w14:textFill>
            <w14:solidFill>
              <w14:schemeClr w14:val="tx1"/>
            </w14:solidFill>
          </w14:textFill>
        </w:rPr>
      </w:pPr>
      <w:bookmarkStart w:id="1756" w:name="_Toc4648"/>
      <w:bookmarkStart w:id="1757" w:name="_Toc18699"/>
      <w:bookmarkStart w:id="1758" w:name="_Toc4502"/>
      <w:r>
        <w:rPr>
          <w:rFonts w:hint="eastAsia"/>
          <w:color w:val="000000" w:themeColor="text1"/>
          <w:sz w:val="24"/>
          <w:highlight w:val="none"/>
          <w14:textFill>
            <w14:solidFill>
              <w14:schemeClr w14:val="tx1"/>
            </w14:solidFill>
          </w14:textFill>
        </w:rPr>
        <w:t>资格审查封面格式</w:t>
      </w:r>
      <w:bookmarkEnd w:id="1756"/>
      <w:bookmarkEnd w:id="1757"/>
      <w:bookmarkEnd w:id="1758"/>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759" w:name="_Toc31809"/>
      <w:bookmarkStart w:id="1760" w:name="_Toc5410"/>
      <w:bookmarkStart w:id="1761" w:name="_Toc11738"/>
      <w:r>
        <w:rPr>
          <w:rFonts w:hint="eastAsia"/>
          <w:color w:val="000000" w:themeColor="text1"/>
          <w:sz w:val="24"/>
          <w:highlight w:val="none"/>
          <w14:textFill>
            <w14:solidFill>
              <w14:schemeClr w14:val="tx1"/>
            </w14:solidFill>
          </w14:textFill>
        </w:rPr>
        <w:t>自查表</w:t>
      </w:r>
      <w:bookmarkEnd w:id="1759"/>
      <w:bookmarkEnd w:id="1760"/>
      <w:bookmarkEnd w:id="1761"/>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62" w:name="_Toc15898"/>
      <w:r>
        <w:rPr>
          <w:rFonts w:hint="eastAsia" w:ascii="宋体"/>
          <w:b/>
          <w:bCs w:val="0"/>
          <w:color w:val="000000" w:themeColor="text1"/>
          <w:szCs w:val="21"/>
          <w:highlight w:val="none"/>
          <w14:textFill>
            <w14:solidFill>
              <w14:schemeClr w14:val="tx1"/>
            </w14:solidFill>
          </w14:textFill>
        </w:rPr>
        <w:t xml:space="preserve"> </w:t>
      </w:r>
      <w:bookmarkStart w:id="1763" w:name="_Toc28371"/>
      <w:bookmarkStart w:id="1764" w:name="_Toc18535"/>
      <w:r>
        <w:rPr>
          <w:rFonts w:hint="eastAsia" w:ascii="宋体"/>
          <w:b/>
          <w:bCs w:val="0"/>
          <w:color w:val="000000" w:themeColor="text1"/>
          <w:szCs w:val="21"/>
          <w:highlight w:val="none"/>
          <w14:textFill>
            <w14:solidFill>
              <w14:schemeClr w14:val="tx1"/>
            </w14:solidFill>
          </w14:textFill>
        </w:rPr>
        <w:t>资格性自查表</w:t>
      </w:r>
      <w:bookmarkEnd w:id="1762"/>
      <w:bookmarkEnd w:id="1763"/>
      <w:bookmarkEnd w:id="1764"/>
    </w:p>
    <w:p>
      <w:pPr>
        <w:jc w:val="center"/>
        <w:rPr>
          <w:rFonts w:ascii="宋体" w:hAnsi="宋体"/>
          <w:b/>
          <w:bCs/>
          <w:color w:val="000000" w:themeColor="text1"/>
          <w:szCs w:val="21"/>
          <w:highlight w:val="none"/>
          <w14:textFill>
            <w14:solidFill>
              <w14:schemeClr w14:val="tx1"/>
            </w14:solidFill>
          </w14:textFill>
        </w:rPr>
      </w:pPr>
    </w:p>
    <w:tbl>
      <w:tblPr>
        <w:tblStyle w:val="48"/>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17"/>
        <w:gridCol w:w="3469"/>
        <w:gridCol w:w="1785"/>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469"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8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38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846"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17"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469"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投标人必须是在中华人民共和国境内注册的具有独立承担民事责任能力的法人或其他组织</w:t>
            </w:r>
          </w:p>
        </w:tc>
        <w:tc>
          <w:tcPr>
            <w:tcW w:w="178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382"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第（）页</w:t>
            </w:r>
          </w:p>
          <w:p>
            <w:pPr>
              <w:tabs>
                <w:tab w:val="left" w:pos="0"/>
              </w:tabs>
              <w:jc w:val="center"/>
              <w:rPr>
                <w:rFonts w:ascii="宋体" w:hAnsi="宋体"/>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4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17"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469"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投标人须具有有效的工程监理专业甲级资质</w:t>
            </w:r>
          </w:p>
        </w:tc>
        <w:tc>
          <w:tcPr>
            <w:tcW w:w="178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3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17"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469"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近3年内（自本项目招标公告发布之日起往前顺推，以合同签订日期为准）具有不少于2个金融机构工程项目监理服务业绩经验</w:t>
            </w:r>
          </w:p>
        </w:tc>
        <w:tc>
          <w:tcPr>
            <w:tcW w:w="178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3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4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17"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469"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投标人没有处于被责令停业的状态；投标人没有处于财产被接管、冻结、破产的状态；近三年（自投标之日起往前顺推）在经营活动中没有重大违法及行政处罚记录。（提供《承诺函》，格式自拟）</w:t>
            </w:r>
          </w:p>
        </w:tc>
        <w:tc>
          <w:tcPr>
            <w:tcW w:w="178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3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84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17"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469"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彼此存在投资与被投资、控股、管理关系的、或彼此的经营者、董事会（或同类管理机构）成员属于直系亲属或配偶关系的，不被接受作为同时参与本项目的投标人。（提供《承诺函》，格式自拟）</w:t>
            </w:r>
          </w:p>
        </w:tc>
        <w:tc>
          <w:tcPr>
            <w:tcW w:w="178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3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4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17"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469"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8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3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第（）页</w:t>
            </w:r>
          </w:p>
        </w:tc>
      </w:tr>
    </w:tbl>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765" w:name="_Toc1357"/>
      <w:bookmarkStart w:id="1766" w:name="_Toc171"/>
      <w:bookmarkStart w:id="1767" w:name="_Toc21470"/>
      <w:r>
        <w:rPr>
          <w:rFonts w:hint="eastAsia"/>
          <w:color w:val="000000" w:themeColor="text1"/>
          <w:highlight w:val="none"/>
          <w14:textFill>
            <w14:solidFill>
              <w14:schemeClr w14:val="tx1"/>
            </w14:solidFill>
          </w14:textFill>
        </w:rPr>
        <w:t>（一）资格审查文件要求提交的有效证明文件</w:t>
      </w:r>
      <w:bookmarkEnd w:id="1765"/>
      <w:bookmarkEnd w:id="1766"/>
      <w:bookmarkEnd w:id="176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68" w:name="_Toc26194"/>
      <w:bookmarkStart w:id="1769" w:name="_Toc22829"/>
      <w:bookmarkStart w:id="1770" w:name="_Toc23053"/>
      <w:r>
        <w:rPr>
          <w:rFonts w:hint="eastAsia" w:hAnsi="黑体"/>
          <w:color w:val="000000" w:themeColor="text1"/>
          <w:szCs w:val="21"/>
          <w:highlight w:val="none"/>
          <w14:textFill>
            <w14:solidFill>
              <w14:schemeClr w14:val="tx1"/>
            </w14:solidFill>
          </w14:textFill>
        </w:rPr>
        <w:t>（二）无重大违法记录声明函</w:t>
      </w:r>
      <w:bookmarkEnd w:id="1768"/>
      <w:bookmarkEnd w:id="1769"/>
      <w:bookmarkEnd w:id="1770"/>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71" w:name="_Toc14742"/>
      <w:bookmarkStart w:id="1772" w:name="_Toc5256"/>
      <w:bookmarkStart w:id="1773" w:name="_Toc20929"/>
      <w:r>
        <w:rPr>
          <w:rFonts w:hint="eastAsia"/>
          <w:color w:val="000000" w:themeColor="text1"/>
          <w:highlight w:val="none"/>
          <w14:textFill>
            <w14:solidFill>
              <w14:schemeClr w14:val="tx1"/>
            </w14:solidFill>
          </w14:textFill>
        </w:rPr>
        <w:t>投标文件商务及技术部分</w:t>
      </w:r>
      <w:bookmarkEnd w:id="1771"/>
      <w:bookmarkEnd w:id="1772"/>
      <w:bookmarkEnd w:id="1773"/>
    </w:p>
    <w:p>
      <w:pPr>
        <w:pStyle w:val="4"/>
        <w:numPr>
          <w:ilvl w:val="0"/>
          <w:numId w:val="0"/>
        </w:numPr>
        <w:rPr>
          <w:color w:val="000000" w:themeColor="text1"/>
          <w:sz w:val="24"/>
          <w:highlight w:val="none"/>
          <w14:textFill>
            <w14:solidFill>
              <w14:schemeClr w14:val="tx1"/>
            </w14:solidFill>
          </w14:textFill>
        </w:rPr>
      </w:pPr>
      <w:bookmarkStart w:id="1774" w:name="_Toc3997"/>
      <w:bookmarkStart w:id="1775" w:name="_Toc20127"/>
      <w:r>
        <w:rPr>
          <w:rFonts w:hint="eastAsia"/>
          <w:color w:val="000000" w:themeColor="text1"/>
          <w:sz w:val="24"/>
          <w:highlight w:val="none"/>
          <w14:textFill>
            <w14:solidFill>
              <w14:schemeClr w14:val="tx1"/>
            </w14:solidFill>
          </w14:textFill>
        </w:rPr>
        <w:t>商务及技术封面格式</w:t>
      </w:r>
      <w:bookmarkEnd w:id="1774"/>
      <w:bookmarkEnd w:id="1775"/>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76" w:name="_Toc20610"/>
      <w:bookmarkStart w:id="1777" w:name="_Toc4790"/>
      <w:r>
        <w:rPr>
          <w:rFonts w:hint="eastAsia" w:ascii="宋体"/>
          <w:b/>
          <w:bCs w:val="0"/>
          <w:color w:val="000000" w:themeColor="text1"/>
          <w:szCs w:val="21"/>
          <w:highlight w:val="none"/>
          <w14:textFill>
            <w14:solidFill>
              <w14:schemeClr w14:val="tx1"/>
            </w14:solidFill>
          </w14:textFill>
        </w:rPr>
        <w:t>符合性自查表</w:t>
      </w:r>
      <w:bookmarkEnd w:id="1776"/>
      <w:bookmarkEnd w:id="1777"/>
    </w:p>
    <w:p>
      <w:pPr>
        <w:jc w:val="center"/>
        <w:rPr>
          <w:rFonts w:ascii="宋体" w:hAnsi="宋体"/>
          <w:b/>
          <w:bCs/>
          <w:color w:val="000000" w:themeColor="text1"/>
          <w:szCs w:val="21"/>
          <w:highlight w:val="none"/>
          <w14:textFill>
            <w14:solidFill>
              <w14:schemeClr w14:val="tx1"/>
            </w14:solidFill>
          </w14:textFill>
        </w:rPr>
      </w:pPr>
    </w:p>
    <w:tbl>
      <w:tblPr>
        <w:tblStyle w:val="48"/>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8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服务期限须满足要求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8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numPr>
          <w:ilvl w:val="2"/>
          <w:numId w:val="0"/>
        </w:numPr>
        <w:tabs>
          <w:tab w:val="clear" w:pos="432"/>
        </w:tabs>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778" w:name="_Toc26704"/>
      <w:r>
        <w:rPr>
          <w:rFonts w:hint="eastAsia" w:ascii="宋体"/>
          <w:b/>
          <w:color w:val="000000" w:themeColor="text1"/>
          <w:szCs w:val="21"/>
          <w:highlight w:val="none"/>
          <w14:textFill>
            <w14:solidFill>
              <w14:schemeClr w14:val="tx1"/>
            </w14:solidFill>
          </w14:textFill>
        </w:rPr>
        <w:t xml:space="preserve"> </w:t>
      </w:r>
      <w:bookmarkStart w:id="1779" w:name="_Toc13329"/>
      <w:bookmarkStart w:id="1780" w:name="_Toc30993"/>
      <w:r>
        <w:rPr>
          <w:rFonts w:hint="eastAsia" w:ascii="宋体"/>
          <w:b/>
          <w:color w:val="000000" w:themeColor="text1"/>
          <w:szCs w:val="21"/>
          <w:highlight w:val="none"/>
          <w14:textFill>
            <w14:solidFill>
              <w14:schemeClr w14:val="tx1"/>
            </w14:solidFill>
          </w14:textFill>
        </w:rPr>
        <w:t>评审项目投标资料表</w:t>
      </w:r>
      <w:bookmarkEnd w:id="1778"/>
      <w:bookmarkEnd w:id="1779"/>
      <w:bookmarkEnd w:id="1780"/>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404"/>
    <w:bookmarkEnd w:id="1405"/>
    <w:bookmarkEnd w:id="1406"/>
    <w:bookmarkEnd w:id="1407"/>
    <w:bookmarkEnd w:id="1408"/>
    <w:p>
      <w:pPr>
        <w:tabs>
          <w:tab w:val="center" w:pos="4483"/>
        </w:tabs>
        <w:rPr>
          <w:rFonts w:ascii="宋体" w:hAnsi="宋体"/>
          <w:bCs/>
          <w:color w:val="000000" w:themeColor="text1"/>
          <w:szCs w:val="21"/>
          <w:highlight w:val="none"/>
          <w14:textFill>
            <w14:solidFill>
              <w14:schemeClr w14:val="tx1"/>
            </w14:solidFill>
          </w14:textFill>
        </w:rPr>
      </w:pPr>
      <w:bookmarkStart w:id="1781" w:name="_Toc467236768"/>
      <w:bookmarkStart w:id="1782" w:name="_Toc6397150"/>
      <w:bookmarkStart w:id="1783" w:name="_Toc6727971"/>
      <w:bookmarkStart w:id="1784" w:name="_Toc480010736"/>
      <w:bookmarkStart w:id="1785" w:name="_Toc500861026"/>
      <w:bookmarkStart w:id="1786" w:name="_Toc467987851"/>
      <w:bookmarkStart w:id="1787" w:name="_Toc454701405"/>
      <w:bookmarkStart w:id="1788" w:name="_Toc458262638"/>
      <w:bookmarkStart w:id="1789" w:name="_Toc480020285"/>
      <w:bookmarkStart w:id="1790" w:name="_Toc480021081"/>
      <w:bookmarkStart w:id="1791" w:name="_Toc479991610"/>
      <w:bookmarkStart w:id="1792" w:name="_Toc468606057"/>
      <w:bookmarkStart w:id="1793" w:name="_Toc468157564"/>
      <w:bookmarkStart w:id="1794" w:name="_Toc491658679"/>
    </w:p>
    <w:p>
      <w:pPr>
        <w:pStyle w:val="4"/>
        <w:numPr>
          <w:ilvl w:val="0"/>
          <w:numId w:val="0"/>
        </w:numPr>
        <w:rPr>
          <w:color w:val="000000" w:themeColor="text1"/>
          <w:highlight w:val="none"/>
          <w14:textFill>
            <w14:solidFill>
              <w14:schemeClr w14:val="tx1"/>
            </w14:solidFill>
          </w14:textFill>
        </w:rPr>
      </w:pPr>
      <w:bookmarkStart w:id="1795" w:name="_Toc13455"/>
      <w:bookmarkStart w:id="1796" w:name="_Toc2350"/>
      <w:bookmarkStart w:id="1797" w:name="_Toc17916"/>
      <w:r>
        <w:rPr>
          <w:rFonts w:hint="eastAsia"/>
          <w:color w:val="000000" w:themeColor="text1"/>
          <w:highlight w:val="none"/>
          <w14:textFill>
            <w14:solidFill>
              <w14:schemeClr w14:val="tx1"/>
            </w14:solidFill>
          </w14:textFill>
        </w:rPr>
        <w:t>（一）法定代表人（负责人）证明书</w:t>
      </w:r>
      <w:bookmarkEnd w:id="1795"/>
      <w:bookmarkEnd w:id="1796"/>
      <w:bookmarkEnd w:id="1797"/>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0" t="0" r="12065" b="1079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8" w:name="_Toc6191"/>
      <w:bookmarkStart w:id="1799" w:name="_Toc27194"/>
      <w:bookmarkStart w:id="1800" w:name="_Toc12922"/>
      <w:r>
        <w:rPr>
          <w:rFonts w:hint="eastAsia"/>
          <w:color w:val="000000" w:themeColor="text1"/>
          <w:highlight w:val="none"/>
          <w14:textFill>
            <w14:solidFill>
              <w14:schemeClr w14:val="tx1"/>
            </w14:solidFill>
          </w14:textFill>
        </w:rPr>
        <w:t>（二）法定代表人（负责人）授权书</w:t>
      </w:r>
      <w:bookmarkEnd w:id="1798"/>
      <w:bookmarkEnd w:id="1799"/>
      <w:bookmarkEnd w:id="1800"/>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0" t="0" r="21590" b="2349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801" w:name="_Toc342060396"/>
      <w:bookmarkStart w:id="1802" w:name="_Toc339020254"/>
      <w:bookmarkStart w:id="1803" w:name="_Toc350756471"/>
      <w:bookmarkStart w:id="1804" w:name="_Toc342312464"/>
      <w:bookmarkStart w:id="1805" w:name="_Toc336681956"/>
      <w:bookmarkStart w:id="1806" w:name="_Toc339019910"/>
      <w:bookmarkStart w:id="1807" w:name="_Toc340677091"/>
      <w:bookmarkStart w:id="1808" w:name="_Toc332206730"/>
      <w:bookmarkStart w:id="1809" w:name="_Toc22290"/>
      <w:bookmarkStart w:id="1810" w:name="_Toc343612941"/>
      <w:bookmarkStart w:id="1811" w:name="_Toc336681601"/>
      <w:bookmarkStart w:id="1812" w:name="_Toc339441108"/>
      <w:bookmarkStart w:id="1813" w:name="_Toc333238655"/>
      <w:bookmarkStart w:id="1814" w:name="_Toc341348361"/>
      <w:bookmarkStart w:id="1815" w:name="_Toc332270368"/>
      <w:bookmarkStart w:id="1816" w:name="_Toc340672890"/>
      <w:bookmarkStart w:id="1817" w:name="_Toc331512922"/>
      <w:bookmarkStart w:id="1818" w:name="_Toc337632379"/>
      <w:bookmarkStart w:id="1819" w:name="_Toc339020116"/>
      <w:bookmarkStart w:id="1820" w:name="_Toc365985199"/>
      <w:bookmarkStart w:id="1821" w:name="_Toc342398151"/>
      <w:bookmarkStart w:id="1822" w:name="_Toc343247121"/>
      <w:bookmarkStart w:id="1823" w:name="_Toc333237810"/>
      <w:bookmarkStart w:id="1824" w:name="_Toc333237699"/>
      <w:bookmarkStart w:id="1825" w:name="_Toc333935367"/>
      <w:bookmarkStart w:id="1826" w:name="_Toc365967093"/>
      <w:bookmarkStart w:id="1827" w:name="_Toc342296782"/>
      <w:bookmarkStart w:id="1828" w:name="_Toc343248439"/>
      <w:bookmarkStart w:id="1829" w:name="_Toc339020036"/>
      <w:bookmarkStart w:id="1830" w:name="_Toc14769"/>
      <w:bookmarkStart w:id="1831" w:name="_Toc366072550"/>
      <w:bookmarkStart w:id="1832" w:name="_Toc340507463"/>
      <w:bookmarkStart w:id="1833" w:name="_Toc333935708"/>
      <w:bookmarkStart w:id="1834" w:name="_Toc339362321"/>
      <w:bookmarkStart w:id="1835" w:name="_Toc345312618"/>
      <w:bookmarkStart w:id="1836" w:name="_Toc350438770"/>
      <w:bookmarkStart w:id="1837" w:name="_Toc331684063"/>
      <w:bookmarkStart w:id="1838" w:name="_Toc330460007"/>
      <w:r>
        <w:rPr>
          <w:rFonts w:hint="eastAsia"/>
          <w:color w:val="000000" w:themeColor="text1"/>
          <w:highlight w:val="none"/>
          <w14:textFill>
            <w14:solidFill>
              <w14:schemeClr w14:val="tx1"/>
            </w14:solidFill>
          </w14:textFill>
        </w:rPr>
        <w:t>附件一：投标</w: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Pr>
          <w:rFonts w:hint="eastAsia"/>
          <w:color w:val="000000" w:themeColor="text1"/>
          <w:highlight w:val="none"/>
          <w14:textFill>
            <w14:solidFill>
              <w14:schemeClr w14:val="tx1"/>
            </w14:solidFill>
          </w14:textFill>
        </w:rPr>
        <w:t>函</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w:t>
      </w:r>
      <w:r>
        <w:rPr>
          <w:rFonts w:hint="eastAsia" w:ascii="宋体" w:hAnsi="宋体"/>
          <w:b/>
          <w:bCs/>
          <w:color w:val="000000" w:themeColor="text1"/>
          <w:highlight w:val="none"/>
          <w:u w:val="single"/>
          <w14:textFill>
            <w14:solidFill>
              <w14:schemeClr w14:val="tx1"/>
            </w14:solidFill>
          </w14:textFill>
        </w:rPr>
        <w:t>招标人名称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pStyle w:val="242"/>
        <w:numPr>
          <w:ilvl w:val="0"/>
          <w:numId w:val="0"/>
        </w:numPr>
        <w:tabs>
          <w:tab w:val="left" w:pos="640"/>
        </w:tabs>
        <w:spacing w:line="360" w:lineRule="auto"/>
        <w:ind w:left="428" w:leftChars="200" w:hanging="8"/>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1、为采购项目提供整体设计、规范编制或者项目管理、监理、检测等服务的供应商，不得再参加该采购项目的其他采购活动。</w:t>
      </w:r>
    </w:p>
    <w:p>
      <w:pPr>
        <w:pStyle w:val="242"/>
        <w:numPr>
          <w:ilvl w:val="0"/>
          <w:numId w:val="0"/>
        </w:numPr>
        <w:tabs>
          <w:tab w:val="left" w:pos="640"/>
        </w:tabs>
        <w:spacing w:line="360" w:lineRule="auto"/>
        <w:ind w:left="428" w:leftChars="200" w:hanging="8"/>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2、单位负责人为同一人或者存在直接控股、管理关系的不同供应商，不得参加同一合同项下的政府采购活动。</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3、本次投标所报内容完全按照招标文件要求填报，所有内容都是真实、准确的。</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4、投标人将按招标文件的规定履行全部合同责任和义务。</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5、投标人已详细审查全部招标文件，包括修改文件（如有的话）以及全部参考资料和有关附件。我们完全理解并同意放弃对这方面有不明及误解的权利。</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6、本次投标自开标日起有效期为90天。</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7、如果在规定的开标时间后，投标人在投标有效期内撤回投标文件，投标保证金将被贵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8、投标人同意提供按照贵方可能要求与其投标有关的一切数据或资料，完全理解贵方不一定接受最低价的投标或收到的任何投标。</w:t>
      </w:r>
    </w:p>
    <w:p>
      <w:pPr>
        <w:widowControl/>
        <w:tabs>
          <w:tab w:val="left" w:pos="640"/>
        </w:tabs>
        <w:adjustRightInd w:val="0"/>
        <w:snapToGrid w:val="0"/>
        <w:spacing w:line="360" w:lineRule="auto"/>
        <w:ind w:left="428" w:leftChars="200" w:hanging="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9、与本投标有关的一切正式往来通讯请寄至投标文件封面指定地址、联系方式。</w:t>
      </w:r>
    </w:p>
    <w:p>
      <w:pPr>
        <w:adjustRightInd w:val="0"/>
        <w:snapToGrid w:val="0"/>
        <w:spacing w:line="400" w:lineRule="exact"/>
        <w:ind w:left="428" w:leftChars="200" w:hanging="8"/>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pStyle w:val="23"/>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39" w:name="_Hlt16935467"/>
      <w:bookmarkEnd w:id="1839"/>
      <w:bookmarkStart w:id="1840" w:name="_Toc342296783"/>
      <w:bookmarkStart w:id="1841" w:name="_Toc343612942"/>
      <w:bookmarkStart w:id="1842" w:name="_Toc365985200"/>
      <w:bookmarkStart w:id="1843" w:name="_Toc342398152"/>
      <w:bookmarkStart w:id="1844" w:name="_Toc336681602"/>
      <w:bookmarkStart w:id="1845" w:name="_Toc332270369"/>
      <w:bookmarkStart w:id="1846" w:name="_Toc10914"/>
      <w:bookmarkStart w:id="1847" w:name="_Toc339362322"/>
      <w:bookmarkStart w:id="1848" w:name="_Toc340677092"/>
      <w:bookmarkStart w:id="1849" w:name="_Toc331684064"/>
      <w:bookmarkStart w:id="1850" w:name="_Toc350438771"/>
      <w:bookmarkStart w:id="1851" w:name="_Toc343248440"/>
      <w:bookmarkStart w:id="1852" w:name="_Toc345312619"/>
      <w:bookmarkStart w:id="1853" w:name="_Toc336681957"/>
      <w:bookmarkStart w:id="1854" w:name="_Toc339441109"/>
      <w:bookmarkStart w:id="1855" w:name="_Toc365967094"/>
      <w:bookmarkStart w:id="1856" w:name="_Toc339020117"/>
      <w:bookmarkStart w:id="1857" w:name="_Toc333237811"/>
      <w:bookmarkStart w:id="1858" w:name="_Toc20970"/>
      <w:bookmarkStart w:id="1859" w:name="_Toc342312465"/>
      <w:bookmarkStart w:id="1860" w:name="_Toc340672891"/>
      <w:bookmarkStart w:id="1861" w:name="_Toc339019911"/>
      <w:bookmarkStart w:id="1862" w:name="_Toc333935709"/>
      <w:bookmarkStart w:id="1863" w:name="_Toc333238656"/>
      <w:bookmarkStart w:id="1864" w:name="_Toc340507464"/>
      <w:bookmarkStart w:id="1865" w:name="_Toc366072551"/>
      <w:bookmarkStart w:id="1866" w:name="_Toc342060397"/>
      <w:bookmarkStart w:id="1867" w:name="_Toc339020037"/>
      <w:bookmarkStart w:id="1868" w:name="_Toc341348362"/>
      <w:bookmarkStart w:id="1869" w:name="_Toc332206731"/>
      <w:bookmarkStart w:id="1870" w:name="_Toc350756472"/>
      <w:bookmarkStart w:id="1871" w:name="_Toc339020255"/>
      <w:bookmarkStart w:id="1872" w:name="_Toc333935368"/>
      <w:bookmarkStart w:id="1873" w:name="_Toc343247122"/>
      <w:bookmarkStart w:id="1874" w:name="_Toc333237700"/>
      <w:bookmarkStart w:id="1875" w:name="_Toc331512923"/>
      <w:bookmarkStart w:id="1876" w:name="_Toc78816017"/>
      <w:bookmarkStart w:id="1877" w:name="_Toc330460008"/>
      <w:bookmarkStart w:id="1878" w:name="_Toc337632380"/>
      <w:r>
        <w:rPr>
          <w:rFonts w:hint="eastAsia"/>
          <w:color w:val="000000" w:themeColor="text1"/>
          <w:highlight w:val="none"/>
          <w14:textFill>
            <w14:solidFill>
              <w14:schemeClr w14:val="tx1"/>
            </w14:solidFill>
          </w14:textFill>
        </w:rPr>
        <w:t>附件二：开标一览表</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3515"/>
        <w:gridCol w:w="1825"/>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421" w:type="dxa"/>
            <w:vAlign w:val="center"/>
          </w:tcPr>
          <w:p>
            <w:pPr>
              <w:spacing w:line="360" w:lineRule="auto"/>
              <w:ind w:right="-97" w:rightChars="-46"/>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515"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825"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服务期限</w:t>
            </w:r>
          </w:p>
        </w:tc>
        <w:tc>
          <w:tcPr>
            <w:tcW w:w="1048"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421"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515"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825"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48"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79" w:name="_Toc342312467"/>
      <w:bookmarkStart w:id="1880" w:name="_Toc342060399"/>
      <w:bookmarkStart w:id="1881" w:name="_Toc365967096"/>
      <w:bookmarkStart w:id="1882" w:name="_Toc340672893"/>
      <w:bookmarkStart w:id="1883" w:name="_Toc333238658"/>
      <w:bookmarkStart w:id="1884" w:name="_Toc343248442"/>
      <w:bookmarkStart w:id="1885" w:name="_Toc331684066"/>
      <w:bookmarkStart w:id="1886" w:name="_Toc337632382"/>
      <w:bookmarkStart w:id="1887" w:name="_Toc15869"/>
      <w:bookmarkStart w:id="1888" w:name="_Toc333237702"/>
      <w:bookmarkStart w:id="1889" w:name="_Toc342398154"/>
      <w:bookmarkStart w:id="1890" w:name="_Toc331512925"/>
      <w:bookmarkStart w:id="1891" w:name="_Toc339362324"/>
      <w:bookmarkStart w:id="1892" w:name="_Toc2382"/>
      <w:bookmarkStart w:id="1893" w:name="_Toc340677094"/>
      <w:bookmarkStart w:id="1894" w:name="_Toc350438773"/>
      <w:bookmarkStart w:id="1895" w:name="_Toc332270371"/>
      <w:bookmarkStart w:id="1896" w:name="_Toc350756474"/>
      <w:bookmarkStart w:id="1897" w:name="_Toc336681604"/>
      <w:bookmarkStart w:id="1898" w:name="_Toc340507466"/>
      <w:bookmarkStart w:id="1899" w:name="_Toc365985202"/>
      <w:bookmarkStart w:id="1900" w:name="_Toc333935711"/>
      <w:bookmarkStart w:id="1901" w:name="_Toc332206733"/>
      <w:bookmarkStart w:id="1902" w:name="_Toc345312621"/>
      <w:bookmarkStart w:id="1903" w:name="_Toc339020039"/>
      <w:bookmarkStart w:id="1904" w:name="_Toc366072553"/>
      <w:bookmarkStart w:id="1905" w:name="_Toc342296785"/>
      <w:bookmarkStart w:id="1906" w:name="_Toc341348364"/>
      <w:bookmarkStart w:id="1907" w:name="_Toc333237813"/>
      <w:bookmarkStart w:id="1908" w:name="_Toc343612944"/>
      <w:bookmarkStart w:id="1909" w:name="_Toc339020257"/>
      <w:bookmarkStart w:id="1910" w:name="_Toc343247124"/>
      <w:bookmarkStart w:id="1911" w:name="_Toc339019913"/>
      <w:bookmarkStart w:id="1912" w:name="_Toc330460010"/>
      <w:bookmarkStart w:id="1913" w:name="_Toc336681959"/>
      <w:bookmarkStart w:id="1914" w:name="_Toc339441111"/>
      <w:bookmarkStart w:id="1915" w:name="_Toc333935370"/>
      <w:bookmarkStart w:id="1916" w:name="_Toc339020119"/>
      <w:r>
        <w:rPr>
          <w:rFonts w:hint="eastAsia"/>
          <w:color w:val="000000" w:themeColor="text1"/>
          <w:highlight w:val="none"/>
          <w14:textFill>
            <w14:solidFill>
              <w14:schemeClr w14:val="tx1"/>
            </w14:solidFill>
          </w14:textFill>
        </w:rPr>
        <w:t>附件三：商务条款偏离一览表</w:t>
      </w:r>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17" w:name="_Toc16393"/>
      <w:bookmarkStart w:id="1918" w:name="_Toc9104"/>
      <w:bookmarkStart w:id="1919" w:name="_Toc365967097"/>
      <w:bookmarkStart w:id="1920" w:name="_Toc341348365"/>
      <w:bookmarkStart w:id="1921" w:name="_Toc343247125"/>
      <w:bookmarkStart w:id="1922" w:name="_Toc366072554"/>
      <w:bookmarkStart w:id="1923" w:name="_Toc365985203"/>
      <w:bookmarkStart w:id="1924" w:name="_Toc350756475"/>
      <w:bookmarkStart w:id="1925" w:name="_Toc339019914"/>
      <w:bookmarkStart w:id="1926" w:name="_Toc332206734"/>
      <w:bookmarkStart w:id="1927" w:name="_Toc339441112"/>
      <w:bookmarkStart w:id="1928" w:name="_Toc342398155"/>
      <w:bookmarkStart w:id="1929" w:name="_Toc333237703"/>
      <w:bookmarkStart w:id="1930" w:name="_Toc343248443"/>
      <w:bookmarkStart w:id="1931" w:name="_Toc331684067"/>
      <w:bookmarkStart w:id="1932" w:name="_Toc339020120"/>
      <w:bookmarkStart w:id="1933" w:name="_Toc340507467"/>
      <w:bookmarkStart w:id="1934" w:name="_Toc340677095"/>
      <w:bookmarkStart w:id="1935" w:name="_Toc336681605"/>
      <w:bookmarkStart w:id="1936" w:name="_Toc339020040"/>
      <w:bookmarkStart w:id="1937" w:name="_Toc350438774"/>
      <w:bookmarkStart w:id="1938" w:name="_Toc336681960"/>
      <w:bookmarkStart w:id="1939" w:name="_Toc333238659"/>
      <w:bookmarkStart w:id="1940" w:name="_Toc342312468"/>
      <w:bookmarkStart w:id="1941" w:name="_Toc345312622"/>
      <w:bookmarkStart w:id="1942" w:name="_Toc340672894"/>
      <w:bookmarkStart w:id="1943" w:name="_Toc342296786"/>
      <w:bookmarkStart w:id="1944" w:name="_Toc333935371"/>
      <w:bookmarkStart w:id="1945" w:name="_Toc339362325"/>
      <w:bookmarkStart w:id="1946" w:name="_Toc330460011"/>
      <w:bookmarkStart w:id="1947" w:name="_Toc342060400"/>
      <w:bookmarkStart w:id="1948" w:name="_Toc337632383"/>
      <w:bookmarkStart w:id="1949" w:name="_Toc333935712"/>
      <w:bookmarkStart w:id="1950" w:name="_Toc332270372"/>
      <w:bookmarkStart w:id="1951" w:name="_Toc331512926"/>
      <w:bookmarkStart w:id="1952" w:name="_Toc339020258"/>
      <w:bookmarkStart w:id="1953" w:name="_Toc333237814"/>
      <w:bookmarkStart w:id="1954" w:name="_Toc343612945"/>
      <w:r>
        <w:rPr>
          <w:rFonts w:hint="eastAsia"/>
          <w:color w:val="000000" w:themeColor="text1"/>
          <w:highlight w:val="none"/>
          <w14:textFill>
            <w14:solidFill>
              <w14:schemeClr w14:val="tx1"/>
            </w14:solidFill>
          </w14:textFill>
        </w:rPr>
        <w:t>附件四：技术条款偏离一览表</w:t>
      </w:r>
      <w:bookmarkEnd w:id="1917"/>
      <w:bookmarkEnd w:id="1918"/>
    </w:p>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p>
      <w:pPr>
        <w:numPr>
          <w:ilvl w:val="0"/>
          <w:numId w:val="31"/>
        </w:numPr>
        <w:spacing w:line="360" w:lineRule="auto"/>
        <w:jc w:val="center"/>
        <w:rPr>
          <w:color w:val="000000" w:themeColor="text1"/>
          <w:highlight w:val="none"/>
          <w14:textFill>
            <w14:solidFill>
              <w14:schemeClr w14:val="tx1"/>
            </w14:solidFill>
          </w14:textFill>
        </w:rPr>
      </w:pPr>
      <w:bookmarkStart w:id="1955" w:name="_Toc333238663"/>
      <w:bookmarkStart w:id="1956" w:name="_Toc343248447"/>
      <w:bookmarkStart w:id="1957" w:name="_Toc342398159"/>
      <w:bookmarkStart w:id="1958" w:name="_Toc333237818"/>
      <w:bookmarkStart w:id="1959" w:name="_Toc336681609"/>
      <w:bookmarkStart w:id="1960" w:name="_Toc332270376"/>
      <w:bookmarkStart w:id="1961" w:name="_Toc350438778"/>
      <w:bookmarkStart w:id="1962" w:name="_Toc330460015"/>
      <w:bookmarkStart w:id="1963" w:name="_Toc339441116"/>
      <w:bookmarkStart w:id="1964" w:name="_Toc331512930"/>
      <w:bookmarkStart w:id="1965" w:name="_Toc432695228"/>
      <w:bookmarkStart w:id="1966" w:name="_Toc333935375"/>
      <w:bookmarkStart w:id="1967" w:name="_Toc332206738"/>
      <w:bookmarkStart w:id="1968" w:name="_Toc350756479"/>
      <w:bookmarkStart w:id="1969" w:name="_Toc339020262"/>
      <w:bookmarkStart w:id="1970" w:name="_Toc366072561"/>
      <w:bookmarkStart w:id="1971" w:name="_Toc365967104"/>
      <w:bookmarkStart w:id="1972" w:name="_Toc333237707"/>
      <w:bookmarkStart w:id="1973" w:name="_Toc340672898"/>
      <w:bookmarkStart w:id="1974" w:name="_Toc331684071"/>
      <w:bookmarkStart w:id="1975" w:name="_Toc343247129"/>
      <w:bookmarkStart w:id="1976" w:name="_Toc339362329"/>
      <w:bookmarkStart w:id="1977" w:name="_Toc343612949"/>
      <w:bookmarkStart w:id="1978" w:name="_Toc345312626"/>
      <w:bookmarkStart w:id="1979" w:name="_Toc340507471"/>
      <w:bookmarkStart w:id="1980" w:name="_Toc333935716"/>
      <w:bookmarkStart w:id="1981" w:name="_Toc339020044"/>
      <w:bookmarkStart w:id="1982" w:name="_Toc341348369"/>
      <w:bookmarkStart w:id="1983" w:name="_Toc342296790"/>
      <w:bookmarkStart w:id="1984" w:name="_Toc365985210"/>
      <w:bookmarkStart w:id="1985" w:name="_Toc339019918"/>
      <w:bookmarkStart w:id="1986" w:name="_Toc336681964"/>
      <w:bookmarkStart w:id="1987" w:name="_Toc337632387"/>
      <w:bookmarkStart w:id="1988" w:name="_Toc340677099"/>
      <w:bookmarkStart w:id="1989" w:name="_Toc339020124"/>
      <w:bookmarkStart w:id="1990" w:name="_Toc342060404"/>
      <w:bookmarkStart w:id="1991" w:name="_Toc342312472"/>
      <w:r>
        <w:rPr>
          <w:rFonts w:hint="eastAsia"/>
          <w:color w:val="000000" w:themeColor="text1"/>
          <w:highlight w:val="none"/>
          <w14:textFill>
            <w14:solidFill>
              <w14:schemeClr w14:val="tx1"/>
            </w14:solidFill>
          </w14:textFill>
        </w:rPr>
        <w:t>实质性条款响应一览表</w:t>
      </w:r>
    </w:p>
    <w:p>
      <w:pPr>
        <w:spacing w:line="400" w:lineRule="exact"/>
        <w:ind w:left="945" w:leftChars="100" w:hanging="735" w:hangingChars="3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说明：投标人必须对应招标文件</w:t>
      </w:r>
      <w:r>
        <w:rPr>
          <w:color w:val="000000" w:themeColor="text1"/>
          <w:szCs w:val="21"/>
          <w:highlight w:val="none"/>
          <w14:textFill>
            <w14:solidFill>
              <w14:schemeClr w14:val="tx1"/>
            </w14:solidFill>
          </w14:textFill>
        </w:rPr>
        <w:t>带“</w:t>
      </w:r>
      <w:r>
        <w:rPr>
          <w:rFonts w:ascii="宋体"/>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实质性条款逐条应答并按要求填写下表。</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项目名称：                            </w:t>
      </w:r>
    </w:p>
    <w:tbl>
      <w:tblPr>
        <w:tblStyle w:val="48"/>
        <w:tblW w:w="94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173"/>
        <w:gridCol w:w="2200"/>
        <w:gridCol w:w="2829"/>
        <w:gridCol w:w="15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41"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序号</w:t>
            </w:r>
          </w:p>
        </w:tc>
        <w:tc>
          <w:tcPr>
            <w:tcW w:w="2173"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200"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829"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偏离情况说明</w:t>
            </w:r>
          </w:p>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正偏离/完全响应/负偏离</w:t>
            </w:r>
            <w:r>
              <w:rPr>
                <w:rFonts w:ascii="宋体" w:hAnsi="宋体"/>
                <w:color w:val="000000" w:themeColor="text1"/>
                <w:szCs w:val="21"/>
                <w:highlight w:val="none"/>
                <w14:textFill>
                  <w14:solidFill>
                    <w14:schemeClr w14:val="tx1"/>
                  </w14:solidFill>
                </w14:textFill>
              </w:rPr>
              <w:t>）</w:t>
            </w:r>
          </w:p>
        </w:tc>
        <w:tc>
          <w:tcPr>
            <w:tcW w:w="1500"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173" w:type="dxa"/>
            <w:tcBorders>
              <w:top w:val="doub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2200"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top w:val="double" w:color="auto" w:sz="4" w:space="0"/>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top w:val="double" w:color="auto" w:sz="4" w:space="0"/>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pStyle w:val="5"/>
              <w:numPr>
                <w:ilvl w:val="2"/>
                <w:numId w:val="0"/>
              </w:numPr>
              <w:tabs>
                <w:tab w:val="clear" w:pos="432"/>
              </w:tabs>
              <w:kinsoku w:val="0"/>
              <w:overflowPunct w:val="0"/>
              <w:spacing w:line="443" w:lineRule="exact"/>
              <w:ind w:left="88" w:right="17"/>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41"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173" w:type="dxa"/>
            <w:vAlign w:val="center"/>
          </w:tcPr>
          <w:p>
            <w:pPr>
              <w:rPr>
                <w:rFonts w:ascii="宋体" w:hAnsi="宋体"/>
                <w:color w:val="000000" w:themeColor="text1"/>
                <w:szCs w:val="21"/>
                <w:highlight w:val="none"/>
                <w14:textFill>
                  <w14:solidFill>
                    <w14:schemeClr w14:val="tx1"/>
                  </w14:solidFill>
                </w14:textFill>
              </w:rPr>
            </w:pPr>
          </w:p>
        </w:tc>
        <w:tc>
          <w:tcPr>
            <w:tcW w:w="2200" w:type="dxa"/>
            <w:vAlign w:val="center"/>
          </w:tcPr>
          <w:p>
            <w:pPr>
              <w:jc w:val="center"/>
              <w:rPr>
                <w:rFonts w:ascii="宋体" w:hAnsi="宋体"/>
                <w:color w:val="000000" w:themeColor="text1"/>
                <w:szCs w:val="21"/>
                <w:highlight w:val="none"/>
                <w14:textFill>
                  <w14:solidFill>
                    <w14:schemeClr w14:val="tx1"/>
                  </w14:solidFill>
                </w14:textFill>
              </w:rPr>
            </w:pPr>
          </w:p>
        </w:tc>
        <w:tc>
          <w:tcPr>
            <w:tcW w:w="2829"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00" w:type="dxa"/>
            <w:tcBorders>
              <w:left w:val="single" w:color="auto" w:sz="2" w:space="0"/>
            </w:tcBorders>
            <w:vAlign w:val="center"/>
          </w:tcPr>
          <w:p>
            <w:pPr>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105" w:firstLineChars="50"/>
        <w:rPr>
          <w:rFonts w:ascii="宋体" w:hAnsi="宋体"/>
          <w:color w:val="000000" w:themeColor="text1"/>
          <w:highlight w:val="none"/>
          <w14:textFill>
            <w14:solidFill>
              <w14:schemeClr w14:val="tx1"/>
            </w14:solidFill>
          </w14:textFill>
        </w:rPr>
      </w:pPr>
    </w:p>
    <w:p>
      <w:pPr>
        <w:snapToGrid w:val="0"/>
        <w:spacing w:line="4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w:t>
      </w:r>
    </w:p>
    <w:p>
      <w:pPr>
        <w:numPr>
          <w:ilvl w:val="0"/>
          <w:numId w:val="32"/>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投标人必须对应招标文件</w:t>
      </w:r>
      <w:r>
        <w:rPr>
          <w:color w:val="000000" w:themeColor="text1"/>
          <w:szCs w:val="21"/>
          <w:highlight w:val="none"/>
          <w14:textFill>
            <w14:solidFill>
              <w14:schemeClr w14:val="tx1"/>
            </w14:solidFill>
          </w14:textFill>
        </w:rPr>
        <w:t>带“</w:t>
      </w:r>
      <w:r>
        <w:rPr>
          <w:rFonts w:ascii="宋体"/>
          <w:b/>
          <w:bCs/>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实质性条款逐条应答并按要求填写上表。</w:t>
      </w:r>
    </w:p>
    <w:p>
      <w:pPr>
        <w:numPr>
          <w:ilvl w:val="0"/>
          <w:numId w:val="32"/>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本表中“招标文件条款描述”的条款与技术服务要求中的条款描述不一致的以技术服务要求中规定的为准。</w:t>
      </w:r>
    </w:p>
    <w:p>
      <w:pPr>
        <w:spacing w:line="500" w:lineRule="exact"/>
        <w:ind w:firstLine="436" w:firstLineChars="200"/>
        <w:rPr>
          <w:color w:val="000000" w:themeColor="text1"/>
          <w:spacing w:val="4"/>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17"/>
        <w:kinsoku w:val="0"/>
        <w:overflowPunct w:val="0"/>
        <w:spacing w:before="15"/>
        <w:rPr>
          <w:rFonts w:ascii="Microsoft JhengHei" w:eastAsia="Microsoft JhengHei"/>
          <w:b/>
          <w:color w:val="000000" w:themeColor="text1"/>
          <w:highlight w:val="none"/>
          <w14:textFill>
            <w14:solidFill>
              <w14:schemeClr w14:val="tx1"/>
            </w14:solidFill>
          </w14:textFill>
        </w:rPr>
      </w:pPr>
      <w:r>
        <w:rPr>
          <w:rFonts w:ascii="Microsoft JhengHei" w:eastAsia="Microsoft JhengHei"/>
          <w:b/>
          <w:color w:val="000000" w:themeColor="text1"/>
          <w:highlight w:val="none"/>
          <w14:textFill>
            <w14:solidFill>
              <w14:schemeClr w14:val="tx1"/>
            </w14:solidFill>
          </w14:textFill>
        </w:rPr>
        <w:br w:type="page"/>
      </w:r>
    </w:p>
    <w:p>
      <w:pPr>
        <w:numPr>
          <w:ilvl w:val="0"/>
          <w:numId w:val="31"/>
        </w:num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重要条款响应一览表</w:t>
      </w:r>
    </w:p>
    <w:p>
      <w:pPr>
        <w:spacing w:line="400" w:lineRule="exact"/>
        <w:ind w:left="945" w:leftChars="100" w:hanging="735" w:hangingChars="3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说明：投标人必须对应招标文件</w:t>
      </w:r>
      <w:r>
        <w:rPr>
          <w:color w:val="000000" w:themeColor="text1"/>
          <w:szCs w:val="21"/>
          <w:highlight w:val="none"/>
          <w14:textFill>
            <w14:solidFill>
              <w14:schemeClr w14:val="tx1"/>
            </w14:solidFill>
          </w14:textFill>
        </w:rPr>
        <w:t>带“</w:t>
      </w:r>
      <w:r>
        <w:rPr>
          <w:rFonts w:hAnsi="宋体"/>
          <w:b/>
          <w:bCs/>
          <w:color w:val="000000" w:themeColor="text1"/>
          <w:szCs w:val="21"/>
          <w:highlight w:val="none"/>
          <w:lang w:val="it-IT"/>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实质性条款逐条应答并按要求填写下表。</w:t>
      </w:r>
    </w:p>
    <w:p>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项目名称：                            </w:t>
      </w:r>
    </w:p>
    <w:tbl>
      <w:tblPr>
        <w:tblStyle w:val="48"/>
        <w:tblW w:w="95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302"/>
        <w:gridCol w:w="2157"/>
        <w:gridCol w:w="2800"/>
        <w:gridCol w:w="1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69"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序号</w:t>
            </w:r>
          </w:p>
        </w:tc>
        <w:tc>
          <w:tcPr>
            <w:tcW w:w="2302"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157" w:type="dxa"/>
            <w:tcBorders>
              <w:top w:val="single" w:color="auto" w:sz="1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800"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偏离情况说明</w:t>
            </w:r>
          </w:p>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正偏离/完全响应/负偏离</w:t>
            </w:r>
            <w:r>
              <w:rPr>
                <w:rFonts w:ascii="宋体" w:hAnsi="宋体"/>
                <w:color w:val="000000" w:themeColor="text1"/>
                <w:szCs w:val="21"/>
                <w:highlight w:val="none"/>
                <w14:textFill>
                  <w14:solidFill>
                    <w14:schemeClr w14:val="tx1"/>
                  </w14:solidFill>
                </w14:textFill>
              </w:rPr>
              <w:t>）</w:t>
            </w:r>
          </w:p>
        </w:tc>
        <w:tc>
          <w:tcPr>
            <w:tcW w:w="1514"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302" w:type="dxa"/>
            <w:tcBorders>
              <w:top w:val="doub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2157" w:type="dxa"/>
            <w:tcBorders>
              <w:top w:val="double" w:color="auto" w:sz="4"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top w:val="double" w:color="auto" w:sz="4" w:space="0"/>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top w:val="double" w:color="auto" w:sz="4" w:space="0"/>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pStyle w:val="5"/>
              <w:numPr>
                <w:ilvl w:val="2"/>
                <w:numId w:val="0"/>
              </w:numPr>
              <w:tabs>
                <w:tab w:val="clear" w:pos="432"/>
              </w:tabs>
              <w:kinsoku w:val="0"/>
              <w:overflowPunct w:val="0"/>
              <w:spacing w:line="443" w:lineRule="exact"/>
              <w:ind w:left="88" w:right="17"/>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见《投标文件》第</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9" w:type="dxa"/>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p>
        </w:tc>
        <w:tc>
          <w:tcPr>
            <w:tcW w:w="2302" w:type="dxa"/>
            <w:vAlign w:val="center"/>
          </w:tcPr>
          <w:p>
            <w:pPr>
              <w:rPr>
                <w:rFonts w:ascii="宋体" w:hAnsi="宋体"/>
                <w:color w:val="000000" w:themeColor="text1"/>
                <w:szCs w:val="21"/>
                <w:highlight w:val="none"/>
                <w14:textFill>
                  <w14:solidFill>
                    <w14:schemeClr w14:val="tx1"/>
                  </w14:solidFill>
                </w14:textFill>
              </w:rPr>
            </w:pPr>
          </w:p>
        </w:tc>
        <w:tc>
          <w:tcPr>
            <w:tcW w:w="2157" w:type="dxa"/>
            <w:vAlign w:val="center"/>
          </w:tcPr>
          <w:p>
            <w:pPr>
              <w:jc w:val="center"/>
              <w:rPr>
                <w:rFonts w:ascii="宋体" w:hAnsi="宋体"/>
                <w:color w:val="000000" w:themeColor="text1"/>
                <w:szCs w:val="21"/>
                <w:highlight w:val="none"/>
                <w14:textFill>
                  <w14:solidFill>
                    <w14:schemeClr w14:val="tx1"/>
                  </w14:solidFill>
                </w14:textFill>
              </w:rPr>
            </w:pPr>
          </w:p>
        </w:tc>
        <w:tc>
          <w:tcPr>
            <w:tcW w:w="2800" w:type="dxa"/>
            <w:tcBorders>
              <w:right w:val="single" w:color="auto" w:sz="2" w:space="0"/>
            </w:tcBorders>
            <w:vAlign w:val="center"/>
          </w:tcPr>
          <w:p>
            <w:pPr>
              <w:jc w:val="center"/>
              <w:rPr>
                <w:rFonts w:ascii="宋体" w:hAnsi="宋体"/>
                <w:color w:val="000000" w:themeColor="text1"/>
                <w:szCs w:val="21"/>
                <w:highlight w:val="none"/>
                <w14:textFill>
                  <w14:solidFill>
                    <w14:schemeClr w14:val="tx1"/>
                  </w14:solidFill>
                </w14:textFill>
              </w:rPr>
            </w:pPr>
          </w:p>
        </w:tc>
        <w:tc>
          <w:tcPr>
            <w:tcW w:w="1514" w:type="dxa"/>
            <w:tcBorders>
              <w:left w:val="single" w:color="auto" w:sz="2" w:space="0"/>
            </w:tcBorders>
            <w:vAlign w:val="center"/>
          </w:tcPr>
          <w:p>
            <w:pPr>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105" w:firstLineChars="50"/>
        <w:rPr>
          <w:rFonts w:ascii="宋体" w:hAnsi="宋体"/>
          <w:color w:val="000000" w:themeColor="text1"/>
          <w:highlight w:val="none"/>
          <w14:textFill>
            <w14:solidFill>
              <w14:schemeClr w14:val="tx1"/>
            </w14:solidFill>
          </w14:textFill>
        </w:rPr>
      </w:pPr>
    </w:p>
    <w:p>
      <w:pPr>
        <w:snapToGrid w:val="0"/>
        <w:spacing w:line="46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w:t>
      </w:r>
    </w:p>
    <w:p>
      <w:pPr>
        <w:numPr>
          <w:ilvl w:val="0"/>
          <w:numId w:val="33"/>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投标人必须对应招标文件</w:t>
      </w:r>
      <w:r>
        <w:rPr>
          <w:color w:val="000000" w:themeColor="text1"/>
          <w:szCs w:val="21"/>
          <w:highlight w:val="none"/>
          <w14:textFill>
            <w14:solidFill>
              <w14:schemeClr w14:val="tx1"/>
            </w14:solidFill>
          </w14:textFill>
        </w:rPr>
        <w:t>带“</w:t>
      </w:r>
      <w:r>
        <w:rPr>
          <w:rFonts w:hAnsi="宋体"/>
          <w:b/>
          <w:bCs/>
          <w:color w:val="000000" w:themeColor="text1"/>
          <w:szCs w:val="21"/>
          <w:highlight w:val="none"/>
          <w:lang w:val="it-IT"/>
          <w14:textFill>
            <w14:solidFill>
              <w14:schemeClr w14:val="tx1"/>
            </w14:solidFill>
          </w14:textFill>
        </w:rPr>
        <w:t>▲</w:t>
      </w:r>
      <w:r>
        <w:rPr>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实质性条款逐条应答并按要求填写上表。</w:t>
      </w:r>
    </w:p>
    <w:p>
      <w:pPr>
        <w:numPr>
          <w:ilvl w:val="0"/>
          <w:numId w:val="33"/>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本表中“招标文件条款描述”的条款与技术服务要求中的条款描述不一致的以技术服务要求中规定的为准。</w:t>
      </w:r>
    </w:p>
    <w:p>
      <w:pPr>
        <w:numPr>
          <w:ilvl w:val="0"/>
          <w:numId w:val="33"/>
        </w:numPr>
        <w:spacing w:line="40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投标人需根据第五章 要求提供相关的证明材料，并将评审项内容在证明材料中所对应的位置清晰标明，列明所在页码，以便评委评审。</w:t>
      </w:r>
    </w:p>
    <w:p>
      <w:pPr>
        <w:pStyle w:val="17"/>
        <w:kinsoku w:val="0"/>
        <w:overflowPunct w:val="0"/>
        <w:spacing w:before="12"/>
        <w:rPr>
          <w:rFonts w:ascii="Microsoft JhengHei" w:eastAsia="Microsoft JhengHei"/>
          <w:b/>
          <w:color w:val="000000" w:themeColor="text1"/>
          <w:sz w:val="12"/>
          <w:highlight w:val="none"/>
          <w14:textFill>
            <w14:solidFill>
              <w14:schemeClr w14:val="tx1"/>
            </w14:solidFill>
          </w14:textFill>
        </w:rPr>
      </w:pPr>
    </w:p>
    <w:p>
      <w:pPr>
        <w:pStyle w:val="17"/>
        <w:kinsoku w:val="0"/>
        <w:overflowPunct w:val="0"/>
        <w:spacing w:before="2"/>
        <w:rPr>
          <w:rFonts w:ascii="Microsoft JhengHei" w:eastAsia="Microsoft JhengHei"/>
          <w:b/>
          <w:color w:val="000000" w:themeColor="text1"/>
          <w:sz w:val="4"/>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color w:val="000000" w:themeColor="text1"/>
          <w:spacing w:val="4"/>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17"/>
        <w:kinsoku w:val="0"/>
        <w:overflowPunct w:val="0"/>
        <w:spacing w:before="36"/>
        <w:ind w:left="5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numPr>
          <w:ilvl w:val="0"/>
          <w:numId w:val="31"/>
        </w:num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一般条款响应一览表</w:t>
      </w:r>
    </w:p>
    <w:p>
      <w:pPr>
        <w:pStyle w:val="17"/>
        <w:kinsoku w:val="0"/>
        <w:overflowPunct w:val="0"/>
        <w:spacing w:before="36"/>
        <w:ind w:left="500"/>
        <w:rPr>
          <w:color w:val="000000" w:themeColor="text1"/>
          <w:highlight w:val="none"/>
          <w14:textFill>
            <w14:solidFill>
              <w14:schemeClr w14:val="tx1"/>
            </w14:solidFill>
          </w14:textFill>
        </w:rPr>
      </w:pPr>
    </w:p>
    <w:tbl>
      <w:tblPr>
        <w:tblStyle w:val="4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3229"/>
        <w:gridCol w:w="2086"/>
        <w:gridCol w:w="29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trPr>
        <w:tc>
          <w:tcPr>
            <w:tcW w:w="869" w:type="dxa"/>
            <w:tcBorders>
              <w:top w:val="single" w:color="auto" w:sz="12" w:space="0"/>
              <w:left w:val="single" w:color="auto" w:sz="12" w:space="0"/>
              <w:bottom w:val="single" w:color="auto" w:sz="6" w:space="0"/>
              <w:right w:val="single" w:color="auto" w:sz="6" w:space="0"/>
            </w:tcBorders>
            <w:shd w:val="clear" w:color="auto" w:fill="EEECE1"/>
            <w:vAlign w:val="center"/>
          </w:tcPr>
          <w:p>
            <w:pPr>
              <w:ind w:left="-109" w:leftChars="-52" w:right="-113" w:rightChars="-54"/>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3229"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原条款描述</w:t>
            </w:r>
          </w:p>
        </w:tc>
        <w:tc>
          <w:tcPr>
            <w:tcW w:w="2086" w:type="dxa"/>
            <w:tcBorders>
              <w:top w:val="single" w:color="auto" w:sz="12" w:space="0"/>
              <w:left w:val="single" w:color="auto" w:sz="6" w:space="0"/>
              <w:bottom w:val="single" w:color="auto" w:sz="6" w:space="0"/>
              <w:right w:val="single" w:color="auto" w:sz="6"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投标人响应描述</w:t>
            </w:r>
          </w:p>
        </w:tc>
        <w:tc>
          <w:tcPr>
            <w:tcW w:w="2925" w:type="dxa"/>
            <w:tcBorders>
              <w:top w:val="single" w:color="auto" w:sz="12" w:space="0"/>
              <w:left w:val="single" w:color="auto" w:sz="6" w:space="0"/>
              <w:bottom w:val="single" w:color="auto" w:sz="6" w:space="0"/>
              <w:right w:val="single" w:color="auto" w:sz="12" w:space="0"/>
            </w:tcBorders>
            <w:shd w:val="clear" w:color="auto" w:fill="EEECE1"/>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偏离情况说明</w:t>
            </w:r>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6" w:space="0"/>
              <w:right w:val="single" w:color="auto" w:sz="6" w:space="0"/>
            </w:tcBorders>
            <w:vAlign w:val="center"/>
          </w:tcPr>
          <w:p>
            <w:pPr>
              <w:numPr>
                <w:ilvl w:val="0"/>
                <w:numId w:val="34"/>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6" w:space="0"/>
              <w:right w:val="single" w:color="auto" w:sz="6" w:space="0"/>
            </w:tcBorders>
            <w:vAlign w:val="center"/>
          </w:tcPr>
          <w:p>
            <w:pPr>
              <w:pStyle w:val="23"/>
              <w:tabs>
                <w:tab w:val="left" w:pos="2340"/>
              </w:tabs>
              <w:rPr>
                <w:rFonts w:hAnsi="宋体" w:cs="宋体"/>
                <w:color w:val="000000" w:themeColor="text1"/>
                <w:highlight w:val="none"/>
                <w14:textFill>
                  <w14:solidFill>
                    <w14:schemeClr w14:val="tx1"/>
                  </w14:solidFill>
                </w14:textFill>
              </w:rPr>
            </w:pPr>
          </w:p>
        </w:tc>
        <w:tc>
          <w:tcPr>
            <w:tcW w:w="208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869" w:type="dxa"/>
            <w:tcBorders>
              <w:top w:val="single" w:color="auto" w:sz="6" w:space="0"/>
              <w:left w:val="single" w:color="auto" w:sz="12" w:space="0"/>
              <w:bottom w:val="single" w:color="auto" w:sz="12" w:space="0"/>
              <w:right w:val="single" w:color="auto" w:sz="6" w:space="0"/>
            </w:tcBorders>
            <w:vAlign w:val="center"/>
          </w:tcPr>
          <w:p>
            <w:pPr>
              <w:numPr>
                <w:ilvl w:val="0"/>
                <w:numId w:val="34"/>
              </w:numPr>
              <w:tabs>
                <w:tab w:val="left" w:pos="360"/>
                <w:tab w:val="clear" w:pos="426"/>
              </w:tabs>
              <w:ind w:hanging="354"/>
              <w:jc w:val="center"/>
              <w:rPr>
                <w:rFonts w:ascii="宋体" w:hAnsi="宋体" w:cs="宋体"/>
                <w:color w:val="000000" w:themeColor="text1"/>
                <w:highlight w:val="none"/>
                <w14:textFill>
                  <w14:solidFill>
                    <w14:schemeClr w14:val="tx1"/>
                  </w14:solidFill>
                </w14:textFill>
              </w:rPr>
            </w:pPr>
          </w:p>
        </w:tc>
        <w:tc>
          <w:tcPr>
            <w:tcW w:w="3229" w:type="dxa"/>
            <w:tcBorders>
              <w:top w:val="single" w:color="auto" w:sz="6" w:space="0"/>
              <w:left w:val="single" w:color="auto" w:sz="6" w:space="0"/>
              <w:bottom w:val="single" w:color="auto" w:sz="12" w:space="0"/>
              <w:right w:val="single" w:color="auto" w:sz="6" w:space="0"/>
            </w:tcBorders>
            <w:vAlign w:val="center"/>
          </w:tcPr>
          <w:p>
            <w:pPr>
              <w:rPr>
                <w:rFonts w:ascii="宋体" w:hAnsi="宋体" w:cs="宋体"/>
                <w:snapToGrid w:val="0"/>
                <w:color w:val="000000" w:themeColor="text1"/>
                <w:highlight w:val="none"/>
                <w14:textFill>
                  <w14:solidFill>
                    <w14:schemeClr w14:val="tx1"/>
                  </w14:solidFill>
                </w14:textFill>
              </w:rPr>
            </w:pPr>
            <w:r>
              <w:rPr>
                <w:rFonts w:hint="eastAsia" w:ascii="宋体" w:hAnsi="宋体" w:cs="宋体"/>
                <w:snapToGrid w:val="0"/>
                <w:color w:val="000000" w:themeColor="text1"/>
                <w:highlight w:val="none"/>
                <w14:textFill>
                  <w14:solidFill>
                    <w14:schemeClr w14:val="tx1"/>
                  </w14:solidFill>
                </w14:textFill>
              </w:rPr>
              <w:t>……</w:t>
            </w:r>
          </w:p>
        </w:tc>
        <w:tc>
          <w:tcPr>
            <w:tcW w:w="2086" w:type="dxa"/>
            <w:tcBorders>
              <w:top w:val="single" w:color="auto" w:sz="6" w:space="0"/>
              <w:left w:val="single" w:color="auto" w:sz="6" w:space="0"/>
              <w:bottom w:val="single" w:color="auto" w:sz="12" w:space="0"/>
              <w:right w:val="single" w:color="auto" w:sz="6" w:space="0"/>
            </w:tcBorders>
            <w:vAlign w:val="center"/>
          </w:tcPr>
          <w:p>
            <w:pPr>
              <w:jc w:val="center"/>
              <w:rPr>
                <w:rFonts w:ascii="宋体" w:hAnsi="宋体" w:cs="宋体"/>
                <w:color w:val="000000" w:themeColor="text1"/>
                <w:highlight w:val="none"/>
                <w14:textFill>
                  <w14:solidFill>
                    <w14:schemeClr w14:val="tx1"/>
                  </w14:solidFill>
                </w14:textFill>
              </w:rPr>
            </w:pPr>
          </w:p>
        </w:tc>
        <w:tc>
          <w:tcPr>
            <w:tcW w:w="2925" w:type="dxa"/>
            <w:tcBorders>
              <w:top w:val="single" w:color="auto" w:sz="6" w:space="0"/>
              <w:left w:val="single" w:color="auto" w:sz="6" w:space="0"/>
              <w:bottom w:val="single" w:color="auto" w:sz="12" w:space="0"/>
              <w:right w:val="single" w:color="auto" w:sz="12" w:space="0"/>
            </w:tcBorders>
            <w:vAlign w:val="center"/>
          </w:tcPr>
          <w:p>
            <w:pPr>
              <w:jc w:val="center"/>
              <w:rPr>
                <w:rFonts w:ascii="宋体" w:hAnsi="宋体" w:cs="宋体"/>
                <w:color w:val="000000" w:themeColor="text1"/>
                <w:highlight w:val="none"/>
                <w14:textFill>
                  <w14:solidFill>
                    <w14:schemeClr w14:val="tx1"/>
                  </w14:solidFill>
                </w14:textFill>
              </w:rPr>
            </w:pPr>
          </w:p>
        </w:tc>
      </w:tr>
    </w:tbl>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说明：1、响应：即指满足；偏离分为正偏离和负偏离，优于招标文件要求的为正偏离；劣于招标文件要求的为负偏离，即不满足。若完全满足无偏离说明，可在偏离说明处应答“完全满足招标文件合同、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要求”。</w:t>
      </w:r>
    </w:p>
    <w:p>
      <w:pPr>
        <w:spacing w:after="120" w:line="340" w:lineRule="exact"/>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2、若不填写该表，则表示完全满足合同、技术条款中</w:t>
      </w:r>
      <w:r>
        <w:rPr>
          <w:b/>
          <w:bCs/>
          <w:color w:val="000000" w:themeColor="text1"/>
          <w:highlight w:val="none"/>
          <w14:textFill>
            <w14:solidFill>
              <w14:schemeClr w14:val="tx1"/>
            </w14:solidFill>
          </w14:textFill>
        </w:rPr>
        <w:t>非</w:t>
      </w:r>
      <w:r>
        <w:rPr>
          <w:rFonts w:ascii="宋体"/>
          <w:b/>
          <w:bCs/>
          <w:color w:val="000000" w:themeColor="text1"/>
          <w:szCs w:val="21"/>
          <w:highlight w:val="none"/>
          <w14:textFill>
            <w14:solidFill>
              <w14:schemeClr w14:val="tx1"/>
            </w14:solidFill>
          </w14:textFill>
        </w:rPr>
        <w:t>★、</w:t>
      </w:r>
      <w:r>
        <w:rPr>
          <w:rFonts w:hAnsi="宋体"/>
          <w:b/>
          <w:bCs/>
          <w:color w:val="000000" w:themeColor="text1"/>
          <w:szCs w:val="21"/>
          <w:highlight w:val="none"/>
          <w:lang w:val="it-IT"/>
          <w14:textFill>
            <w14:solidFill>
              <w14:schemeClr w14:val="tx1"/>
            </w14:solidFill>
          </w14:textFill>
        </w:rPr>
        <w:t>▲条款</w:t>
      </w:r>
      <w:r>
        <w:rPr>
          <w:color w:val="000000" w:themeColor="text1"/>
          <w:highlight w:val="none"/>
          <w14:textFill>
            <w14:solidFill>
              <w14:schemeClr w14:val="tx1"/>
            </w14:solidFill>
          </w14:textFill>
        </w:rPr>
        <w:t>的要求。</w:t>
      </w:r>
    </w:p>
    <w:p>
      <w:pPr>
        <w:pStyle w:val="2"/>
        <w:ind w:firstLine="0"/>
        <w:rPr>
          <w:color w:val="000000" w:themeColor="text1"/>
          <w:spacing w:val="4"/>
          <w:highlight w:val="none"/>
          <w:u w:val="single"/>
          <w14:textFill>
            <w14:solidFill>
              <w14:schemeClr w14:val="tx1"/>
            </w14:solidFill>
          </w14:textFill>
        </w:rPr>
      </w:pPr>
    </w:p>
    <w:p>
      <w:pPr>
        <w:pStyle w:val="2"/>
        <w:ind w:firstLine="0"/>
        <w:rPr>
          <w:color w:val="000000" w:themeColor="text1"/>
          <w:spacing w:val="4"/>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日期：</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年</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月</w:t>
      </w:r>
      <w:r>
        <w:rPr>
          <w:rFonts w:hint="eastAsia" w:hAnsi="宋体"/>
          <w:bCs/>
          <w:color w:val="000000" w:themeColor="text1"/>
          <w:highlight w:val="none"/>
          <w:u w:val="single"/>
          <w14:textFill>
            <w14:solidFill>
              <w14:schemeClr w14:val="tx1"/>
            </w14:solidFill>
          </w14:textFill>
        </w:rPr>
        <w:t xml:space="preserve">     </w:t>
      </w:r>
      <w:r>
        <w:rPr>
          <w:rFonts w:hint="eastAsia" w:hAnsi="宋体"/>
          <w:bCs/>
          <w:color w:val="000000" w:themeColor="text1"/>
          <w:highlight w:val="none"/>
          <w14:textFill>
            <w14:solidFill>
              <w14:schemeClr w14:val="tx1"/>
            </w14:solidFill>
          </w14:textFill>
        </w:rPr>
        <w:t>日</w:t>
      </w:r>
    </w:p>
    <w:p>
      <w:pPr>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br w:type="page"/>
      </w:r>
    </w:p>
    <w:p>
      <w:pPr>
        <w:pStyle w:val="4"/>
        <w:numPr>
          <w:ilvl w:val="1"/>
          <w:numId w:val="0"/>
        </w:numPr>
        <w:rPr>
          <w:color w:val="000000" w:themeColor="text1"/>
          <w:highlight w:val="none"/>
          <w14:textFill>
            <w14:solidFill>
              <w14:schemeClr w14:val="tx1"/>
            </w14:solidFill>
          </w14:textFill>
        </w:rPr>
      </w:pPr>
      <w:bookmarkStart w:id="1992" w:name="_Toc18193"/>
      <w:bookmarkStart w:id="1993" w:name="_Toc23901"/>
      <w:r>
        <w:rPr>
          <w:rFonts w:hint="eastAsia"/>
          <w:color w:val="000000" w:themeColor="text1"/>
          <w:highlight w:val="none"/>
          <w14:textFill>
            <w14:solidFill>
              <w14:schemeClr w14:val="tx1"/>
            </w14:solidFill>
          </w14:textFill>
        </w:rPr>
        <w:t>附件五：同类业绩一览表</w:t>
      </w:r>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57"/>
        <w:gridCol w:w="1206"/>
        <w:gridCol w:w="1063"/>
        <w:gridCol w:w="1333"/>
        <w:gridCol w:w="1174"/>
        <w:gridCol w:w="1126"/>
        <w:gridCol w:w="1162"/>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15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0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06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3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174"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2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162"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778"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tabs>
                <w:tab w:val="left" w:pos="0"/>
              </w:tabs>
              <w:snapToGrid w:val="0"/>
              <w:ind w:right="-8677" w:rightChars="-4132" w:firstLine="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7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5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0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06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3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74"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2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62"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778"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94" w:name="_Toc9858"/>
      <w:bookmarkStart w:id="1995" w:name="_Toc10879"/>
      <w:bookmarkStart w:id="1996" w:name="_Toc21526"/>
      <w:bookmarkStart w:id="1997" w:name="_Toc432695230"/>
      <w:bookmarkStart w:id="1998" w:name="_Toc434832511"/>
      <w:r>
        <w:rPr>
          <w:rFonts w:hint="eastAsia"/>
          <w:color w:val="000000" w:themeColor="text1"/>
          <w:highlight w:val="none"/>
          <w14:textFill>
            <w14:solidFill>
              <w14:schemeClr w14:val="tx1"/>
            </w14:solidFill>
          </w14:textFill>
        </w:rPr>
        <w:t>附件六：中标服务费承诺</w:t>
      </w:r>
      <w:bookmarkEnd w:id="1994"/>
      <w:bookmarkEnd w:id="1995"/>
      <w:bookmarkEnd w:id="1996"/>
      <w:bookmarkEnd w:id="1997"/>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若我方中标，将严格遵照本项目招标文件的规定向招标代理机构缴纳中标服务费。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99" w:name="_Toc326065622"/>
      <w:bookmarkStart w:id="2000" w:name="_Toc339441118"/>
      <w:bookmarkStart w:id="2001" w:name="_Toc332206740"/>
      <w:bookmarkStart w:id="2002" w:name="_Toc6266"/>
      <w:bookmarkStart w:id="2003" w:name="_Toc345312628"/>
      <w:bookmarkStart w:id="2004" w:name="_Toc333238665"/>
      <w:bookmarkStart w:id="2005" w:name="_Toc432695231"/>
      <w:bookmarkStart w:id="2006" w:name="_Toc332270378"/>
      <w:bookmarkStart w:id="2007" w:name="_Toc343247131"/>
      <w:bookmarkStart w:id="2008" w:name="_Toc337632389"/>
      <w:bookmarkStart w:id="2009" w:name="_Toc366072563"/>
      <w:bookmarkStart w:id="2010" w:name="_Toc365985212"/>
      <w:bookmarkStart w:id="2011" w:name="_Toc333935718"/>
      <w:bookmarkStart w:id="2012" w:name="_Toc340507473"/>
      <w:bookmarkStart w:id="2013" w:name="_Toc333237820"/>
      <w:bookmarkStart w:id="2014" w:name="_Toc343248449"/>
      <w:bookmarkStart w:id="2015" w:name="_Toc342060406"/>
      <w:bookmarkStart w:id="2016" w:name="_Toc333237709"/>
      <w:bookmarkStart w:id="2017" w:name="_Toc339019920"/>
      <w:bookmarkStart w:id="2018" w:name="_Toc339020126"/>
      <w:bookmarkStart w:id="2019" w:name="_Toc340677101"/>
      <w:bookmarkStart w:id="2020" w:name="_Toc336681966"/>
      <w:bookmarkStart w:id="2021" w:name="_Toc333935377"/>
      <w:bookmarkStart w:id="2022" w:name="_Toc340672900"/>
      <w:bookmarkStart w:id="2023" w:name="_Toc26644"/>
      <w:bookmarkStart w:id="2024" w:name="_Toc331512932"/>
      <w:bookmarkStart w:id="2025" w:name="_Toc339020046"/>
      <w:bookmarkStart w:id="2026" w:name="_Toc331684073"/>
      <w:bookmarkStart w:id="2027" w:name="_Toc10463"/>
      <w:bookmarkStart w:id="2028" w:name="_Toc339020264"/>
      <w:bookmarkStart w:id="2029" w:name="_Toc341348371"/>
      <w:bookmarkStart w:id="2030" w:name="_Toc342296792"/>
      <w:bookmarkStart w:id="2031" w:name="_Toc350756481"/>
      <w:bookmarkStart w:id="2032" w:name="_Toc339362331"/>
      <w:bookmarkStart w:id="2033" w:name="_Toc350438780"/>
      <w:bookmarkStart w:id="2034" w:name="_Toc343612951"/>
      <w:bookmarkStart w:id="2035" w:name="_Toc330460017"/>
      <w:bookmarkStart w:id="2036" w:name="_Toc342312474"/>
      <w:bookmarkStart w:id="2037" w:name="_Toc342398161"/>
      <w:bookmarkStart w:id="2038" w:name="_Toc365967106"/>
      <w:bookmarkStart w:id="2039" w:name="_Toc336681611"/>
      <w:r>
        <w:rPr>
          <w:rFonts w:hint="eastAsia"/>
          <w:color w:val="000000" w:themeColor="text1"/>
          <w:highlight w:val="none"/>
          <w14:textFill>
            <w14:solidFill>
              <w14:schemeClr w14:val="tx1"/>
            </w14:solidFill>
          </w14:textFill>
        </w:rPr>
        <w:t>附件七：</w:t>
      </w:r>
      <w:bookmarkEnd w:id="1999"/>
      <w:r>
        <w:rPr>
          <w:rFonts w:hint="eastAsia"/>
          <w:color w:val="000000" w:themeColor="text1"/>
          <w:highlight w:val="none"/>
          <w14:textFill>
            <w14:solidFill>
              <w14:schemeClr w14:val="tx1"/>
            </w14:solidFill>
          </w14:textFill>
        </w:rPr>
        <w:t>投标人提交的其它商务和技术资料</w:t>
      </w:r>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040" w:name="_Toc17257"/>
      <w:bookmarkStart w:id="2041" w:name="_Toc21203"/>
      <w:bookmarkStart w:id="2042" w:name="_Toc456887842"/>
      <w:bookmarkStart w:id="2043" w:name="_Toc456888293"/>
      <w:r>
        <w:rPr>
          <w:rFonts w:hint="eastAsia"/>
          <w:color w:val="000000" w:themeColor="text1"/>
          <w:sz w:val="52"/>
          <w:highlight w:val="none"/>
          <w14:textFill>
            <w14:solidFill>
              <w14:schemeClr w14:val="tx1"/>
            </w14:solidFill>
          </w14:textFill>
        </w:rPr>
        <w:t>其 他 格 式</w:t>
      </w:r>
      <w:bookmarkEnd w:id="1998"/>
      <w:bookmarkEnd w:id="2040"/>
      <w:bookmarkEnd w:id="2041"/>
      <w:bookmarkEnd w:id="2042"/>
      <w:bookmarkEnd w:id="2043"/>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b/>
          <w:bCs/>
          <w:color w:val="000000" w:themeColor="text1"/>
          <w:sz w:val="44"/>
          <w:szCs w:val="44"/>
          <w:highlight w:val="none"/>
          <w14:textFill>
            <w14:solidFill>
              <w14:schemeClr w14:val="tx1"/>
            </w14:solidFill>
          </w14:textFill>
        </w:rPr>
      </w:pP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7"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51"/>
          <w:rFonts w:cs="Times New Roman"/>
          <w:color w:val="000000" w:themeColor="text1"/>
          <w:highlight w:val="none"/>
          <w14:textFill>
            <w14:solidFill>
              <w14:schemeClr w14:val="tx1"/>
            </w14:solidFill>
          </w14:textFill>
        </w:rPr>
      </w:pPr>
      <w:r>
        <w:rPr>
          <w:rStyle w:val="51"/>
          <w:rFonts w:hint="eastAsia" w:cs="Times New Roman"/>
          <w:b w:val="0"/>
          <w:color w:val="000000" w:themeColor="text1"/>
          <w:highlight w:val="none"/>
          <w14:textFill>
            <w14:solidFill>
              <w14:schemeClr w14:val="tx1"/>
            </w14:solidFill>
          </w14:textFill>
        </w:rPr>
        <w:t>质疑函</w:t>
      </w:r>
    </w:p>
    <w:p>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招标人名称：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w:t>
      </w:r>
      <w:r>
        <w:rPr>
          <w:rFonts w:hint="eastAsia" w:ascii="宋体" w:hAnsi="宋体" w:cs="宋体"/>
          <w:color w:val="000000" w:themeColor="text1"/>
          <w:kern w:val="0"/>
          <w:szCs w:val="21"/>
          <w:highlight w:val="none"/>
          <w14:textFill>
            <w14:solidFill>
              <w14:schemeClr w14:val="tx1"/>
            </w14:solidFill>
          </w14:textFill>
        </w:rPr>
        <w:t>授权代理人</w:t>
      </w:r>
      <w:r>
        <w:rPr>
          <w:rFonts w:ascii="宋体" w:hAnsi="宋体" w:cs="宋体"/>
          <w:color w:val="000000" w:themeColor="text1"/>
          <w:kern w:val="0"/>
          <w:szCs w:val="21"/>
          <w:highlight w:val="none"/>
          <w14:textFill>
            <w14:solidFill>
              <w14:schemeClr w14:val="tx1"/>
            </w14:solidFill>
          </w14:textFill>
        </w:rPr>
        <w:t>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委托书、法定代表人（负责人）身份证复印件、授权代理人身份证复印件，并与招标代理机构工作人员做好确认工作，未被确认的质疑将作为无效质疑，招标人</w:t>
      </w:r>
      <w:r>
        <w:rPr>
          <w:rFonts w:ascii="宋体" w:hAnsi="宋体" w:cs="宋体"/>
          <w:color w:val="000000" w:themeColor="text1"/>
          <w:kern w:val="0"/>
          <w:szCs w:val="21"/>
          <w:highlight w:val="none"/>
          <w14:textFill>
            <w14:solidFill>
              <w14:schemeClr w14:val="tx1"/>
            </w14:solidFill>
          </w14:textFill>
        </w:rPr>
        <w:t>或</w:t>
      </w:r>
      <w:r>
        <w:rPr>
          <w:rFonts w:hint="eastAsia" w:ascii="宋体" w:hAnsi="宋体" w:cs="宋体"/>
          <w:color w:val="000000" w:themeColor="text1"/>
          <w:kern w:val="0"/>
          <w:szCs w:val="21"/>
          <w:highlight w:val="none"/>
          <w14:textFill>
            <w14:solidFill>
              <w14:schemeClr w14:val="tx1"/>
            </w14:solidFill>
          </w14:textFill>
        </w:rPr>
        <w:t>招标代理机构可不予作答。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85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B36BF"/>
    <w:multiLevelType w:val="multilevel"/>
    <w:tmpl w:val="9CBB36BF"/>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15EAC7E5"/>
    <w:multiLevelType w:val="multilevel"/>
    <w:tmpl w:val="15EAC7E5"/>
    <w:lvl w:ilvl="0" w:tentative="0">
      <w:start w:val="1"/>
      <w:numFmt w:val="chineseCounting"/>
      <w:suff w:val="nothing"/>
      <w:lvlText w:val="%1、"/>
      <w:lvlJc w:val="left"/>
      <w:pPr>
        <w:ind w:firstLine="420"/>
      </w:pPr>
      <w:rPr>
        <w:rFonts w:hint="default" w:ascii="Times New Roman" w:hAnsi="Times New Roman" w:eastAsia="宋体"/>
      </w:rPr>
    </w:lvl>
    <w:lvl w:ilvl="1" w:tentative="0">
      <w:start w:val="1"/>
      <w:numFmt w:val="decimal"/>
      <w:lvlText w:val=""/>
      <w:lvlJc w:val="left"/>
      <w:rPr>
        <w:rFonts w:hint="default" w:ascii="Times New Roman" w:hAnsi="Times New Roman" w:eastAsia="宋体"/>
        <w:u w:val="none"/>
      </w:rPr>
    </w:lvl>
    <w:lvl w:ilvl="2" w:tentative="0">
      <w:start w:val="1"/>
      <w:numFmt w:val="decimal"/>
      <w:lvlText w:val=""/>
      <w:lvlJc w:val="left"/>
      <w:rPr>
        <w:rFonts w:hint="default" w:ascii="Times New Roman" w:hAnsi="Times New Roman" w:eastAsia="宋体"/>
        <w:u w:val="none"/>
      </w:rPr>
    </w:lvl>
    <w:lvl w:ilvl="3" w:tentative="0">
      <w:start w:val="1"/>
      <w:numFmt w:val="decimal"/>
      <w:lvlText w:val=""/>
      <w:lvlJc w:val="left"/>
      <w:rPr>
        <w:rFonts w:hint="default" w:ascii="Times New Roman" w:hAnsi="Times New Roman" w:eastAsia="宋体"/>
        <w:u w:val="none"/>
      </w:rPr>
    </w:lvl>
    <w:lvl w:ilvl="4" w:tentative="0">
      <w:start w:val="1"/>
      <w:numFmt w:val="decimal"/>
      <w:lvlText w:val=""/>
      <w:lvlJc w:val="left"/>
      <w:rPr>
        <w:rFonts w:hint="default" w:ascii="Times New Roman" w:hAnsi="Times New Roman" w:eastAsia="宋体"/>
        <w:u w:val="none"/>
      </w:rPr>
    </w:lvl>
    <w:lvl w:ilvl="5" w:tentative="0">
      <w:start w:val="1"/>
      <w:numFmt w:val="decimal"/>
      <w:lvlText w:val=""/>
      <w:lvlJc w:val="left"/>
      <w:rPr>
        <w:rFonts w:hint="default" w:ascii="Times New Roman" w:hAnsi="Times New Roman" w:eastAsia="宋体"/>
        <w:u w:val="none"/>
      </w:rPr>
    </w:lvl>
    <w:lvl w:ilvl="6" w:tentative="0">
      <w:start w:val="1"/>
      <w:numFmt w:val="decimal"/>
      <w:lvlText w:val=""/>
      <w:lvlJc w:val="left"/>
      <w:rPr>
        <w:rFonts w:hint="default" w:ascii="Times New Roman" w:hAnsi="Times New Roman" w:eastAsia="宋体"/>
        <w:u w:val="none"/>
      </w:rPr>
    </w:lvl>
    <w:lvl w:ilvl="7" w:tentative="0">
      <w:start w:val="1"/>
      <w:numFmt w:val="decimal"/>
      <w:lvlText w:val=""/>
      <w:lvlJc w:val="left"/>
      <w:rPr>
        <w:rFonts w:hint="default" w:ascii="Times New Roman" w:hAnsi="Times New Roman" w:eastAsia="宋体"/>
        <w:u w:val="none"/>
      </w:rPr>
    </w:lvl>
    <w:lvl w:ilvl="8" w:tentative="0">
      <w:start w:val="1"/>
      <w:numFmt w:val="decimal"/>
      <w:lvlText w:val=""/>
      <w:lvlJc w:val="left"/>
      <w:rPr>
        <w:rFonts w:hint="default" w:ascii="Times New Roman" w:hAnsi="Times New Roman" w:eastAsia="宋体"/>
        <w:u w:val="none"/>
      </w:r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D597BC7"/>
    <w:multiLevelType w:val="multilevel"/>
    <w:tmpl w:val="2D597BC7"/>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7BC6897"/>
    <w:multiLevelType w:val="multilevel"/>
    <w:tmpl w:val="67BC6897"/>
    <w:lvl w:ilvl="0" w:tentative="0">
      <w:start w:val="1"/>
      <w:numFmt w:val="chineseCountingThousand"/>
      <w:lvlText w:val="%1、"/>
      <w:lvlJc w:val="left"/>
      <w:pPr>
        <w:tabs>
          <w:tab w:val="left" w:pos="420"/>
        </w:tabs>
        <w:ind w:left="420" w:hanging="420"/>
      </w:pPr>
      <w:rPr>
        <w:rFonts w:cs="Times New Roman"/>
      </w:rPr>
    </w:lvl>
    <w:lvl w:ilvl="1" w:tentative="0">
      <w:start w:val="1"/>
      <w:numFmt w:val="lowerLetter"/>
      <w:lvlText w:val="%2)"/>
      <w:lvlJc w:val="left"/>
      <w:pPr>
        <w:tabs>
          <w:tab w:val="left" w:pos="420"/>
        </w:tabs>
        <w:ind w:left="420" w:hanging="420"/>
      </w:pPr>
      <w:rPr>
        <w:rFonts w:cs="Times New Roman"/>
      </w:rPr>
    </w:lvl>
    <w:lvl w:ilvl="2" w:tentative="0">
      <w:start w:val="1"/>
      <w:numFmt w:val="lowerRoman"/>
      <w:lvlText w:val="%3."/>
      <w:lvlJc w:val="right"/>
      <w:pPr>
        <w:tabs>
          <w:tab w:val="left" w:pos="840"/>
        </w:tabs>
        <w:ind w:left="840" w:hanging="420"/>
      </w:pPr>
      <w:rPr>
        <w:rFonts w:cs="Times New Roman"/>
      </w:rPr>
    </w:lvl>
    <w:lvl w:ilvl="3" w:tentative="0">
      <w:start w:val="1"/>
      <w:numFmt w:val="decimal"/>
      <w:lvlText w:val="%4."/>
      <w:lvlJc w:val="left"/>
      <w:pPr>
        <w:tabs>
          <w:tab w:val="left" w:pos="1260"/>
        </w:tabs>
        <w:ind w:left="1260" w:hanging="420"/>
      </w:pPr>
      <w:rPr>
        <w:rFonts w:cs="Times New Roman"/>
      </w:rPr>
    </w:lvl>
    <w:lvl w:ilvl="4" w:tentative="0">
      <w:start w:val="1"/>
      <w:numFmt w:val="lowerLetter"/>
      <w:lvlText w:val="%5)"/>
      <w:lvlJc w:val="left"/>
      <w:pPr>
        <w:tabs>
          <w:tab w:val="left" w:pos="1680"/>
        </w:tabs>
        <w:ind w:left="1680" w:hanging="420"/>
      </w:pPr>
      <w:rPr>
        <w:rFonts w:cs="Times New Roman"/>
      </w:rPr>
    </w:lvl>
    <w:lvl w:ilvl="5" w:tentative="0">
      <w:start w:val="1"/>
      <w:numFmt w:val="lowerRoman"/>
      <w:lvlText w:val="%6."/>
      <w:lvlJc w:val="right"/>
      <w:pPr>
        <w:tabs>
          <w:tab w:val="left" w:pos="2100"/>
        </w:tabs>
        <w:ind w:left="2100" w:hanging="420"/>
      </w:pPr>
      <w:rPr>
        <w:rFonts w:cs="Times New Roman"/>
      </w:rPr>
    </w:lvl>
    <w:lvl w:ilvl="6" w:tentative="0">
      <w:start w:val="1"/>
      <w:numFmt w:val="decimal"/>
      <w:lvlText w:val="%7."/>
      <w:lvlJc w:val="left"/>
      <w:pPr>
        <w:tabs>
          <w:tab w:val="left" w:pos="2520"/>
        </w:tabs>
        <w:ind w:left="2520" w:hanging="420"/>
      </w:pPr>
      <w:rPr>
        <w:rFonts w:cs="Times New Roman"/>
      </w:rPr>
    </w:lvl>
    <w:lvl w:ilvl="7" w:tentative="0">
      <w:start w:val="1"/>
      <w:numFmt w:val="lowerLetter"/>
      <w:lvlText w:val="%8)"/>
      <w:lvlJc w:val="left"/>
      <w:pPr>
        <w:tabs>
          <w:tab w:val="left" w:pos="2940"/>
        </w:tabs>
        <w:ind w:left="2940" w:hanging="420"/>
      </w:pPr>
      <w:rPr>
        <w:rFonts w:cs="Times New Roman"/>
      </w:rPr>
    </w:lvl>
    <w:lvl w:ilvl="8" w:tentative="0">
      <w:start w:val="1"/>
      <w:numFmt w:val="lowerRoman"/>
      <w:lvlText w:val="%9."/>
      <w:lvlJc w:val="right"/>
      <w:pPr>
        <w:tabs>
          <w:tab w:val="left" w:pos="3360"/>
        </w:tabs>
        <w:ind w:left="3360" w:hanging="420"/>
      </w:pPr>
      <w:rPr>
        <w:rFonts w:cs="Times New Roman"/>
      </w:rPr>
    </w:lvl>
  </w:abstractNum>
  <w:abstractNum w:abstractNumId="33">
    <w:nsid w:val="68E033E5"/>
    <w:multiLevelType w:val="multilevel"/>
    <w:tmpl w:val="68E033E5"/>
    <w:lvl w:ilvl="0" w:tentative="0">
      <w:start w:val="1"/>
      <w:numFmt w:val="decimal"/>
      <w:lvlText w:val="%1"/>
      <w:lvlJc w:val="left"/>
      <w:pPr>
        <w:tabs>
          <w:tab w:val="left" w:pos="426"/>
        </w:tabs>
        <w:ind w:left="426" w:hanging="142"/>
      </w:pPr>
      <w:rPr>
        <w:rFonts w:hint="default" w:ascii="Times New Roman" w:hAnsi="Times New Roman" w:eastAsia="宋体"/>
      </w:rPr>
    </w:lvl>
    <w:lvl w:ilvl="1" w:tentative="0">
      <w:start w:val="1"/>
      <w:numFmt w:val="lowerLetter"/>
      <w:lvlText w:val="%2)"/>
      <w:lvlJc w:val="left"/>
      <w:pPr>
        <w:tabs>
          <w:tab w:val="left" w:pos="840"/>
        </w:tabs>
        <w:ind w:left="840" w:hanging="420"/>
      </w:pPr>
      <w:rPr>
        <w:rFonts w:hint="default" w:ascii="Times New Roman" w:hAnsi="Times New Roman" w:eastAsia="宋体"/>
      </w:rPr>
    </w:lvl>
    <w:lvl w:ilvl="2" w:tentative="0">
      <w:start w:val="1"/>
      <w:numFmt w:val="lowerRoman"/>
      <w:lvlText w:val="%3."/>
      <w:lvlJc w:val="right"/>
      <w:pPr>
        <w:tabs>
          <w:tab w:val="left" w:pos="1260"/>
        </w:tabs>
        <w:ind w:left="1260" w:hanging="420"/>
      </w:pPr>
      <w:rPr>
        <w:rFonts w:hint="default" w:ascii="Times New Roman" w:hAnsi="Times New Roman" w:eastAsia="宋体"/>
      </w:rPr>
    </w:lvl>
    <w:lvl w:ilvl="3" w:tentative="0">
      <w:start w:val="1"/>
      <w:numFmt w:val="decimal"/>
      <w:lvlText w:val="%4."/>
      <w:lvlJc w:val="left"/>
      <w:pPr>
        <w:tabs>
          <w:tab w:val="left" w:pos="1680"/>
        </w:tabs>
        <w:ind w:left="1680" w:hanging="420"/>
      </w:pPr>
      <w:rPr>
        <w:rFonts w:hint="default" w:ascii="Times New Roman" w:hAnsi="Times New Roman" w:eastAsia="宋体"/>
      </w:rPr>
    </w:lvl>
    <w:lvl w:ilvl="4" w:tentative="0">
      <w:start w:val="1"/>
      <w:numFmt w:val="lowerLetter"/>
      <w:lvlText w:val="%5)"/>
      <w:lvlJc w:val="left"/>
      <w:pPr>
        <w:tabs>
          <w:tab w:val="left" w:pos="2100"/>
        </w:tabs>
        <w:ind w:left="2100" w:hanging="420"/>
      </w:pPr>
      <w:rPr>
        <w:rFonts w:hint="default" w:ascii="Times New Roman" w:hAnsi="Times New Roman" w:eastAsia="宋体"/>
      </w:rPr>
    </w:lvl>
    <w:lvl w:ilvl="5" w:tentative="0">
      <w:start w:val="1"/>
      <w:numFmt w:val="lowerRoman"/>
      <w:lvlText w:val="%6."/>
      <w:lvlJc w:val="right"/>
      <w:pPr>
        <w:tabs>
          <w:tab w:val="left" w:pos="2520"/>
        </w:tabs>
        <w:ind w:left="2520" w:hanging="420"/>
      </w:pPr>
      <w:rPr>
        <w:rFonts w:hint="default" w:ascii="Times New Roman" w:hAnsi="Times New Roman" w:eastAsia="宋体"/>
      </w:rPr>
    </w:lvl>
    <w:lvl w:ilvl="6" w:tentative="0">
      <w:start w:val="1"/>
      <w:numFmt w:val="decimal"/>
      <w:lvlText w:val="%7."/>
      <w:lvlJc w:val="left"/>
      <w:pPr>
        <w:tabs>
          <w:tab w:val="left" w:pos="2940"/>
        </w:tabs>
        <w:ind w:left="2940" w:hanging="420"/>
      </w:pPr>
      <w:rPr>
        <w:rFonts w:hint="default" w:ascii="Times New Roman" w:hAnsi="Times New Roman" w:eastAsia="宋体"/>
      </w:rPr>
    </w:lvl>
    <w:lvl w:ilvl="7" w:tentative="0">
      <w:start w:val="1"/>
      <w:numFmt w:val="lowerLetter"/>
      <w:lvlText w:val="%8)"/>
      <w:lvlJc w:val="left"/>
      <w:pPr>
        <w:tabs>
          <w:tab w:val="left" w:pos="3360"/>
        </w:tabs>
        <w:ind w:left="3360" w:hanging="420"/>
      </w:pPr>
      <w:rPr>
        <w:rFonts w:hint="default" w:ascii="Times New Roman" w:hAnsi="Times New Roman" w:eastAsia="宋体"/>
      </w:rPr>
    </w:lvl>
    <w:lvl w:ilvl="8" w:tentative="0">
      <w:start w:val="1"/>
      <w:numFmt w:val="lowerRoman"/>
      <w:lvlText w:val="%9."/>
      <w:lvlJc w:val="right"/>
      <w:pPr>
        <w:tabs>
          <w:tab w:val="left" w:pos="3780"/>
        </w:tabs>
        <w:ind w:left="3780" w:hanging="420"/>
      </w:pPr>
      <w:rPr>
        <w:rFonts w:hint="default" w:ascii="Times New Roman" w:hAnsi="Times New Roman" w:eastAsia="宋体"/>
      </w:rPr>
    </w:lvl>
  </w:abstractNum>
  <w:num w:numId="1">
    <w:abstractNumId w:val="23"/>
  </w:num>
  <w:num w:numId="2">
    <w:abstractNumId w:val="17"/>
  </w:num>
  <w:num w:numId="3">
    <w:abstractNumId w:val="18"/>
  </w:num>
  <w:num w:numId="4">
    <w:abstractNumId w:val="13"/>
  </w:num>
  <w:num w:numId="5">
    <w:abstractNumId w:val="14"/>
  </w:num>
  <w:num w:numId="6">
    <w:abstractNumId w:val="27"/>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0"/>
  </w:num>
  <w:num w:numId="22">
    <w:abstractNumId w:val="28"/>
  </w:num>
  <w:num w:numId="23">
    <w:abstractNumId w:val="1"/>
  </w:num>
  <w:num w:numId="24">
    <w:abstractNumId w:val="15"/>
  </w:num>
  <w:num w:numId="25">
    <w:abstractNumId w:val="20"/>
  </w:num>
  <w:num w:numId="26">
    <w:abstractNumId w:val="21"/>
  </w:num>
  <w:num w:numId="27">
    <w:abstractNumId w:val="4"/>
  </w:num>
  <w:num w:numId="28">
    <w:abstractNumId w:val="9"/>
  </w:num>
  <w:num w:numId="29">
    <w:abstractNumId w:val="22"/>
    <w:lvlOverride w:ilvl="0">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1"/>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ODA0MGJlYjkwYzhjNWY3NDVmZDZhNTM4ODVlZmIifQ=="/>
  </w:docVars>
  <w:rsids>
    <w:rsidRoot w:val="00172A27"/>
    <w:rsid w:val="00003B05"/>
    <w:rsid w:val="000052D9"/>
    <w:rsid w:val="00006771"/>
    <w:rsid w:val="00015360"/>
    <w:rsid w:val="000206EA"/>
    <w:rsid w:val="000223F0"/>
    <w:rsid w:val="0002770C"/>
    <w:rsid w:val="000368F5"/>
    <w:rsid w:val="00040AF6"/>
    <w:rsid w:val="00041189"/>
    <w:rsid w:val="00046854"/>
    <w:rsid w:val="00047340"/>
    <w:rsid w:val="00066033"/>
    <w:rsid w:val="00067AC4"/>
    <w:rsid w:val="00067ECB"/>
    <w:rsid w:val="000743D3"/>
    <w:rsid w:val="0007641A"/>
    <w:rsid w:val="00080179"/>
    <w:rsid w:val="000916F0"/>
    <w:rsid w:val="000938C9"/>
    <w:rsid w:val="000978EF"/>
    <w:rsid w:val="000A039F"/>
    <w:rsid w:val="000A0A09"/>
    <w:rsid w:val="000A0B8F"/>
    <w:rsid w:val="000A4A8E"/>
    <w:rsid w:val="000B0241"/>
    <w:rsid w:val="000B2EEF"/>
    <w:rsid w:val="000B61FD"/>
    <w:rsid w:val="000C0ABB"/>
    <w:rsid w:val="000C67C1"/>
    <w:rsid w:val="000C7A8F"/>
    <w:rsid w:val="000D294B"/>
    <w:rsid w:val="000D49EF"/>
    <w:rsid w:val="000D749E"/>
    <w:rsid w:val="000E708A"/>
    <w:rsid w:val="000F0496"/>
    <w:rsid w:val="000F12BD"/>
    <w:rsid w:val="000F1462"/>
    <w:rsid w:val="000F4863"/>
    <w:rsid w:val="000F6CB2"/>
    <w:rsid w:val="000F7681"/>
    <w:rsid w:val="00103331"/>
    <w:rsid w:val="00103897"/>
    <w:rsid w:val="00103D8A"/>
    <w:rsid w:val="00104DF4"/>
    <w:rsid w:val="001132A7"/>
    <w:rsid w:val="00131274"/>
    <w:rsid w:val="00136F13"/>
    <w:rsid w:val="00141126"/>
    <w:rsid w:val="001415F8"/>
    <w:rsid w:val="0014238E"/>
    <w:rsid w:val="00142879"/>
    <w:rsid w:val="00144654"/>
    <w:rsid w:val="001455C2"/>
    <w:rsid w:val="001478E8"/>
    <w:rsid w:val="00152A42"/>
    <w:rsid w:val="00152A51"/>
    <w:rsid w:val="00157B21"/>
    <w:rsid w:val="001654CE"/>
    <w:rsid w:val="001678A2"/>
    <w:rsid w:val="001679C7"/>
    <w:rsid w:val="001719FB"/>
    <w:rsid w:val="00172A27"/>
    <w:rsid w:val="00172D89"/>
    <w:rsid w:val="00173C4A"/>
    <w:rsid w:val="00175262"/>
    <w:rsid w:val="00180723"/>
    <w:rsid w:val="00185B40"/>
    <w:rsid w:val="00196CF5"/>
    <w:rsid w:val="00197BF8"/>
    <w:rsid w:val="001A009C"/>
    <w:rsid w:val="001A1320"/>
    <w:rsid w:val="001A1E62"/>
    <w:rsid w:val="001A2B19"/>
    <w:rsid w:val="001A6B52"/>
    <w:rsid w:val="001B3B29"/>
    <w:rsid w:val="001B6617"/>
    <w:rsid w:val="001C21FC"/>
    <w:rsid w:val="001C4383"/>
    <w:rsid w:val="001C6F08"/>
    <w:rsid w:val="001C7913"/>
    <w:rsid w:val="001D1A9E"/>
    <w:rsid w:val="001D1EDD"/>
    <w:rsid w:val="001E5F01"/>
    <w:rsid w:val="001E62E6"/>
    <w:rsid w:val="001E6CB4"/>
    <w:rsid w:val="001F1984"/>
    <w:rsid w:val="001F45DA"/>
    <w:rsid w:val="001F7AA4"/>
    <w:rsid w:val="00200D1A"/>
    <w:rsid w:val="002174DD"/>
    <w:rsid w:val="00222E14"/>
    <w:rsid w:val="00224528"/>
    <w:rsid w:val="002266B9"/>
    <w:rsid w:val="002300E3"/>
    <w:rsid w:val="00231E86"/>
    <w:rsid w:val="00233B0A"/>
    <w:rsid w:val="002343C6"/>
    <w:rsid w:val="00236DF1"/>
    <w:rsid w:val="002371B9"/>
    <w:rsid w:val="00240735"/>
    <w:rsid w:val="00241309"/>
    <w:rsid w:val="00244BC6"/>
    <w:rsid w:val="00254EF1"/>
    <w:rsid w:val="00256BE3"/>
    <w:rsid w:val="00257709"/>
    <w:rsid w:val="0026429E"/>
    <w:rsid w:val="002653A2"/>
    <w:rsid w:val="002728EB"/>
    <w:rsid w:val="002736C2"/>
    <w:rsid w:val="00283FCA"/>
    <w:rsid w:val="00290951"/>
    <w:rsid w:val="0029220B"/>
    <w:rsid w:val="00292350"/>
    <w:rsid w:val="0029515B"/>
    <w:rsid w:val="00296186"/>
    <w:rsid w:val="00296876"/>
    <w:rsid w:val="002A3338"/>
    <w:rsid w:val="002A7806"/>
    <w:rsid w:val="002B17A9"/>
    <w:rsid w:val="002B1E3B"/>
    <w:rsid w:val="002B2330"/>
    <w:rsid w:val="002B3328"/>
    <w:rsid w:val="002C148C"/>
    <w:rsid w:val="002C3110"/>
    <w:rsid w:val="002C54F2"/>
    <w:rsid w:val="002C6F4E"/>
    <w:rsid w:val="002C720B"/>
    <w:rsid w:val="002C793B"/>
    <w:rsid w:val="002D2534"/>
    <w:rsid w:val="002D2A19"/>
    <w:rsid w:val="002D6028"/>
    <w:rsid w:val="002E0723"/>
    <w:rsid w:val="002E37F9"/>
    <w:rsid w:val="002E46CC"/>
    <w:rsid w:val="002E657F"/>
    <w:rsid w:val="002F06C5"/>
    <w:rsid w:val="002F28AD"/>
    <w:rsid w:val="002F3501"/>
    <w:rsid w:val="003075DB"/>
    <w:rsid w:val="00316F55"/>
    <w:rsid w:val="00317779"/>
    <w:rsid w:val="00323287"/>
    <w:rsid w:val="00323D30"/>
    <w:rsid w:val="00324670"/>
    <w:rsid w:val="00332364"/>
    <w:rsid w:val="003343EF"/>
    <w:rsid w:val="00341B62"/>
    <w:rsid w:val="00341B88"/>
    <w:rsid w:val="003447DD"/>
    <w:rsid w:val="00345D3F"/>
    <w:rsid w:val="00345E6C"/>
    <w:rsid w:val="00347FAE"/>
    <w:rsid w:val="00350832"/>
    <w:rsid w:val="00350F28"/>
    <w:rsid w:val="00352DD1"/>
    <w:rsid w:val="0035636F"/>
    <w:rsid w:val="0035749B"/>
    <w:rsid w:val="00357A26"/>
    <w:rsid w:val="00360D70"/>
    <w:rsid w:val="0036653C"/>
    <w:rsid w:val="00367278"/>
    <w:rsid w:val="00367BFA"/>
    <w:rsid w:val="00371892"/>
    <w:rsid w:val="00371E5B"/>
    <w:rsid w:val="00373328"/>
    <w:rsid w:val="00374404"/>
    <w:rsid w:val="00375BD3"/>
    <w:rsid w:val="003829D1"/>
    <w:rsid w:val="00382B28"/>
    <w:rsid w:val="003836E2"/>
    <w:rsid w:val="00385884"/>
    <w:rsid w:val="00385997"/>
    <w:rsid w:val="00386C66"/>
    <w:rsid w:val="003A09AC"/>
    <w:rsid w:val="003A1636"/>
    <w:rsid w:val="003A6B66"/>
    <w:rsid w:val="003B0231"/>
    <w:rsid w:val="003B10A8"/>
    <w:rsid w:val="003B6B67"/>
    <w:rsid w:val="003B7D06"/>
    <w:rsid w:val="003C049F"/>
    <w:rsid w:val="003C2CB0"/>
    <w:rsid w:val="003C7C33"/>
    <w:rsid w:val="003D1CD9"/>
    <w:rsid w:val="003D231E"/>
    <w:rsid w:val="003E18ED"/>
    <w:rsid w:val="003E1FEE"/>
    <w:rsid w:val="003E3C12"/>
    <w:rsid w:val="003E5EC8"/>
    <w:rsid w:val="003E7C44"/>
    <w:rsid w:val="003F259F"/>
    <w:rsid w:val="004011D2"/>
    <w:rsid w:val="004042CA"/>
    <w:rsid w:val="0041199C"/>
    <w:rsid w:val="00415FCB"/>
    <w:rsid w:val="00421DC0"/>
    <w:rsid w:val="00422A83"/>
    <w:rsid w:val="00424808"/>
    <w:rsid w:val="00426146"/>
    <w:rsid w:val="00426D6B"/>
    <w:rsid w:val="00433804"/>
    <w:rsid w:val="004347BA"/>
    <w:rsid w:val="004359A2"/>
    <w:rsid w:val="00435A0F"/>
    <w:rsid w:val="0043657C"/>
    <w:rsid w:val="00437DA4"/>
    <w:rsid w:val="004453C9"/>
    <w:rsid w:val="00451871"/>
    <w:rsid w:val="00462D93"/>
    <w:rsid w:val="00466BB9"/>
    <w:rsid w:val="0047226C"/>
    <w:rsid w:val="0047231C"/>
    <w:rsid w:val="0048094A"/>
    <w:rsid w:val="00482FBA"/>
    <w:rsid w:val="004836B1"/>
    <w:rsid w:val="00484719"/>
    <w:rsid w:val="004876B6"/>
    <w:rsid w:val="00487D39"/>
    <w:rsid w:val="00491C83"/>
    <w:rsid w:val="00494327"/>
    <w:rsid w:val="00496389"/>
    <w:rsid w:val="004965F4"/>
    <w:rsid w:val="004975BD"/>
    <w:rsid w:val="004A0E7E"/>
    <w:rsid w:val="004A70BA"/>
    <w:rsid w:val="004B165D"/>
    <w:rsid w:val="004B1B71"/>
    <w:rsid w:val="004B305E"/>
    <w:rsid w:val="004B6CC7"/>
    <w:rsid w:val="004C3022"/>
    <w:rsid w:val="004C3399"/>
    <w:rsid w:val="004C5D32"/>
    <w:rsid w:val="004C74B7"/>
    <w:rsid w:val="004D16D1"/>
    <w:rsid w:val="004D4D85"/>
    <w:rsid w:val="004D6D61"/>
    <w:rsid w:val="004E12D5"/>
    <w:rsid w:val="004E1F63"/>
    <w:rsid w:val="004E34D8"/>
    <w:rsid w:val="004E414B"/>
    <w:rsid w:val="004E4409"/>
    <w:rsid w:val="004E4917"/>
    <w:rsid w:val="004F0573"/>
    <w:rsid w:val="004F63D2"/>
    <w:rsid w:val="004F6568"/>
    <w:rsid w:val="00505CA0"/>
    <w:rsid w:val="00506686"/>
    <w:rsid w:val="00510740"/>
    <w:rsid w:val="00510DA7"/>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5466"/>
    <w:rsid w:val="005565E6"/>
    <w:rsid w:val="0056107E"/>
    <w:rsid w:val="005634D4"/>
    <w:rsid w:val="00567BFA"/>
    <w:rsid w:val="00571B49"/>
    <w:rsid w:val="00572009"/>
    <w:rsid w:val="00576292"/>
    <w:rsid w:val="00582643"/>
    <w:rsid w:val="00584E4C"/>
    <w:rsid w:val="0058718C"/>
    <w:rsid w:val="0059219B"/>
    <w:rsid w:val="00592864"/>
    <w:rsid w:val="00593DE0"/>
    <w:rsid w:val="005956A3"/>
    <w:rsid w:val="0059669C"/>
    <w:rsid w:val="005A12D2"/>
    <w:rsid w:val="005B10EB"/>
    <w:rsid w:val="005B47C6"/>
    <w:rsid w:val="005B6392"/>
    <w:rsid w:val="005C67D9"/>
    <w:rsid w:val="005C77EA"/>
    <w:rsid w:val="005D1F87"/>
    <w:rsid w:val="005D293B"/>
    <w:rsid w:val="005D3EE6"/>
    <w:rsid w:val="005D5525"/>
    <w:rsid w:val="005D585E"/>
    <w:rsid w:val="005D6181"/>
    <w:rsid w:val="005E0768"/>
    <w:rsid w:val="005E4D21"/>
    <w:rsid w:val="005F1C16"/>
    <w:rsid w:val="00603A24"/>
    <w:rsid w:val="00606A11"/>
    <w:rsid w:val="00607456"/>
    <w:rsid w:val="0060796A"/>
    <w:rsid w:val="00611F0D"/>
    <w:rsid w:val="00612B62"/>
    <w:rsid w:val="00622068"/>
    <w:rsid w:val="006230AF"/>
    <w:rsid w:val="00623A72"/>
    <w:rsid w:val="00626828"/>
    <w:rsid w:val="006309F1"/>
    <w:rsid w:val="0063398F"/>
    <w:rsid w:val="006369F9"/>
    <w:rsid w:val="006427AB"/>
    <w:rsid w:val="006428F2"/>
    <w:rsid w:val="00644DE2"/>
    <w:rsid w:val="006477FE"/>
    <w:rsid w:val="00651D5E"/>
    <w:rsid w:val="00653301"/>
    <w:rsid w:val="006557BE"/>
    <w:rsid w:val="00655FCB"/>
    <w:rsid w:val="006579A5"/>
    <w:rsid w:val="006616AA"/>
    <w:rsid w:val="00661E8F"/>
    <w:rsid w:val="00663C2F"/>
    <w:rsid w:val="006675E0"/>
    <w:rsid w:val="006825FD"/>
    <w:rsid w:val="00683071"/>
    <w:rsid w:val="00685513"/>
    <w:rsid w:val="00686280"/>
    <w:rsid w:val="00691E83"/>
    <w:rsid w:val="00696638"/>
    <w:rsid w:val="00696BD4"/>
    <w:rsid w:val="006A4AAC"/>
    <w:rsid w:val="006A6C76"/>
    <w:rsid w:val="006B276B"/>
    <w:rsid w:val="006B773B"/>
    <w:rsid w:val="006D13B7"/>
    <w:rsid w:val="006D2E99"/>
    <w:rsid w:val="006D5BC4"/>
    <w:rsid w:val="006D6A1F"/>
    <w:rsid w:val="006D7A69"/>
    <w:rsid w:val="006D7FDA"/>
    <w:rsid w:val="006E4E46"/>
    <w:rsid w:val="006E7B66"/>
    <w:rsid w:val="006F278F"/>
    <w:rsid w:val="006F4E17"/>
    <w:rsid w:val="006F598C"/>
    <w:rsid w:val="00700637"/>
    <w:rsid w:val="007009DE"/>
    <w:rsid w:val="00701B68"/>
    <w:rsid w:val="00701C47"/>
    <w:rsid w:val="0070210B"/>
    <w:rsid w:val="00702D2B"/>
    <w:rsid w:val="00704A4B"/>
    <w:rsid w:val="00705106"/>
    <w:rsid w:val="00706125"/>
    <w:rsid w:val="0070651B"/>
    <w:rsid w:val="007112D2"/>
    <w:rsid w:val="007277BB"/>
    <w:rsid w:val="007334F3"/>
    <w:rsid w:val="00742F10"/>
    <w:rsid w:val="00743123"/>
    <w:rsid w:val="0074368D"/>
    <w:rsid w:val="007534DA"/>
    <w:rsid w:val="00760C58"/>
    <w:rsid w:val="00760DE5"/>
    <w:rsid w:val="007616C8"/>
    <w:rsid w:val="00765755"/>
    <w:rsid w:val="00771576"/>
    <w:rsid w:val="00771710"/>
    <w:rsid w:val="007762BC"/>
    <w:rsid w:val="00776512"/>
    <w:rsid w:val="007805ED"/>
    <w:rsid w:val="0078080D"/>
    <w:rsid w:val="00781579"/>
    <w:rsid w:val="007840D5"/>
    <w:rsid w:val="007852AD"/>
    <w:rsid w:val="00787FF0"/>
    <w:rsid w:val="00796079"/>
    <w:rsid w:val="007A593B"/>
    <w:rsid w:val="007A675D"/>
    <w:rsid w:val="007B3412"/>
    <w:rsid w:val="007B3C7E"/>
    <w:rsid w:val="007B401E"/>
    <w:rsid w:val="007B6C3A"/>
    <w:rsid w:val="007C3209"/>
    <w:rsid w:val="007C342F"/>
    <w:rsid w:val="007C4127"/>
    <w:rsid w:val="007C506E"/>
    <w:rsid w:val="007D2A76"/>
    <w:rsid w:val="007E0552"/>
    <w:rsid w:val="007E37A6"/>
    <w:rsid w:val="007E4FC7"/>
    <w:rsid w:val="007E5DBF"/>
    <w:rsid w:val="007E731F"/>
    <w:rsid w:val="007F2FA3"/>
    <w:rsid w:val="007F3ECF"/>
    <w:rsid w:val="007F7113"/>
    <w:rsid w:val="00801DF5"/>
    <w:rsid w:val="00805D0E"/>
    <w:rsid w:val="00805D2C"/>
    <w:rsid w:val="008063D7"/>
    <w:rsid w:val="008108DD"/>
    <w:rsid w:val="00811AED"/>
    <w:rsid w:val="00811DC4"/>
    <w:rsid w:val="0081378B"/>
    <w:rsid w:val="00814848"/>
    <w:rsid w:val="008173F0"/>
    <w:rsid w:val="00821322"/>
    <w:rsid w:val="00826B98"/>
    <w:rsid w:val="00826D1E"/>
    <w:rsid w:val="00840885"/>
    <w:rsid w:val="008420E8"/>
    <w:rsid w:val="00842424"/>
    <w:rsid w:val="00842A15"/>
    <w:rsid w:val="00843128"/>
    <w:rsid w:val="00850B54"/>
    <w:rsid w:val="00851472"/>
    <w:rsid w:val="00852562"/>
    <w:rsid w:val="00856B28"/>
    <w:rsid w:val="00857026"/>
    <w:rsid w:val="008608E8"/>
    <w:rsid w:val="0086503F"/>
    <w:rsid w:val="00865F63"/>
    <w:rsid w:val="008665B6"/>
    <w:rsid w:val="00866B00"/>
    <w:rsid w:val="0087060A"/>
    <w:rsid w:val="00871866"/>
    <w:rsid w:val="00871E97"/>
    <w:rsid w:val="00872215"/>
    <w:rsid w:val="008770AD"/>
    <w:rsid w:val="0088740E"/>
    <w:rsid w:val="008926C4"/>
    <w:rsid w:val="00892AB1"/>
    <w:rsid w:val="00892C34"/>
    <w:rsid w:val="0089429B"/>
    <w:rsid w:val="00896241"/>
    <w:rsid w:val="008975DC"/>
    <w:rsid w:val="008A198B"/>
    <w:rsid w:val="008A3DC6"/>
    <w:rsid w:val="008A4F10"/>
    <w:rsid w:val="008C44FE"/>
    <w:rsid w:val="008D7042"/>
    <w:rsid w:val="008E028B"/>
    <w:rsid w:val="008E1F1E"/>
    <w:rsid w:val="008E344E"/>
    <w:rsid w:val="008E733F"/>
    <w:rsid w:val="008E781B"/>
    <w:rsid w:val="008F7D8C"/>
    <w:rsid w:val="0090353C"/>
    <w:rsid w:val="0090408F"/>
    <w:rsid w:val="00904496"/>
    <w:rsid w:val="00905E02"/>
    <w:rsid w:val="00910063"/>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1BBB"/>
    <w:rsid w:val="009C26B5"/>
    <w:rsid w:val="009C7061"/>
    <w:rsid w:val="009D07D0"/>
    <w:rsid w:val="009D4DCB"/>
    <w:rsid w:val="009D58BB"/>
    <w:rsid w:val="009D72CA"/>
    <w:rsid w:val="009E3455"/>
    <w:rsid w:val="009E5931"/>
    <w:rsid w:val="009F4A9B"/>
    <w:rsid w:val="009F4DAA"/>
    <w:rsid w:val="009F5024"/>
    <w:rsid w:val="009F5379"/>
    <w:rsid w:val="009F7E7C"/>
    <w:rsid w:val="00A04822"/>
    <w:rsid w:val="00A10A80"/>
    <w:rsid w:val="00A1433B"/>
    <w:rsid w:val="00A14E5F"/>
    <w:rsid w:val="00A254F5"/>
    <w:rsid w:val="00A27D5E"/>
    <w:rsid w:val="00A362FE"/>
    <w:rsid w:val="00A450BF"/>
    <w:rsid w:val="00A506E5"/>
    <w:rsid w:val="00A55C04"/>
    <w:rsid w:val="00A56665"/>
    <w:rsid w:val="00A571F4"/>
    <w:rsid w:val="00A61440"/>
    <w:rsid w:val="00A61555"/>
    <w:rsid w:val="00A65DBC"/>
    <w:rsid w:val="00A75CE3"/>
    <w:rsid w:val="00A81720"/>
    <w:rsid w:val="00A84947"/>
    <w:rsid w:val="00A86E67"/>
    <w:rsid w:val="00A90445"/>
    <w:rsid w:val="00A91AF4"/>
    <w:rsid w:val="00A93906"/>
    <w:rsid w:val="00A94BF5"/>
    <w:rsid w:val="00A979AD"/>
    <w:rsid w:val="00AA3188"/>
    <w:rsid w:val="00AA62B8"/>
    <w:rsid w:val="00AB1675"/>
    <w:rsid w:val="00AB1BDF"/>
    <w:rsid w:val="00AB3E4E"/>
    <w:rsid w:val="00AB40D1"/>
    <w:rsid w:val="00AB4104"/>
    <w:rsid w:val="00AB6DCB"/>
    <w:rsid w:val="00AB712E"/>
    <w:rsid w:val="00AB7303"/>
    <w:rsid w:val="00AC1F30"/>
    <w:rsid w:val="00AC1FD0"/>
    <w:rsid w:val="00AC3DD5"/>
    <w:rsid w:val="00AC4F7B"/>
    <w:rsid w:val="00AC6ABD"/>
    <w:rsid w:val="00AC77E0"/>
    <w:rsid w:val="00AD4407"/>
    <w:rsid w:val="00AD4FF9"/>
    <w:rsid w:val="00AD6124"/>
    <w:rsid w:val="00AE048E"/>
    <w:rsid w:val="00AE131C"/>
    <w:rsid w:val="00AE3E84"/>
    <w:rsid w:val="00AE44E9"/>
    <w:rsid w:val="00AE72D4"/>
    <w:rsid w:val="00AF174B"/>
    <w:rsid w:val="00AF4BED"/>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878EB"/>
    <w:rsid w:val="00B9576C"/>
    <w:rsid w:val="00BA10AD"/>
    <w:rsid w:val="00BA358E"/>
    <w:rsid w:val="00BA4468"/>
    <w:rsid w:val="00BA70C3"/>
    <w:rsid w:val="00BA78AA"/>
    <w:rsid w:val="00BA7B80"/>
    <w:rsid w:val="00BB505F"/>
    <w:rsid w:val="00BC086B"/>
    <w:rsid w:val="00BD058C"/>
    <w:rsid w:val="00BD11F4"/>
    <w:rsid w:val="00BD17DD"/>
    <w:rsid w:val="00BD2E36"/>
    <w:rsid w:val="00BE0280"/>
    <w:rsid w:val="00BE1545"/>
    <w:rsid w:val="00BE4262"/>
    <w:rsid w:val="00BF0883"/>
    <w:rsid w:val="00BF3546"/>
    <w:rsid w:val="00BF4067"/>
    <w:rsid w:val="00C01D79"/>
    <w:rsid w:val="00C03239"/>
    <w:rsid w:val="00C03E3A"/>
    <w:rsid w:val="00C13B2E"/>
    <w:rsid w:val="00C16BE4"/>
    <w:rsid w:val="00C2472E"/>
    <w:rsid w:val="00C26386"/>
    <w:rsid w:val="00C30B61"/>
    <w:rsid w:val="00C346FA"/>
    <w:rsid w:val="00C34D29"/>
    <w:rsid w:val="00C446E8"/>
    <w:rsid w:val="00C45C09"/>
    <w:rsid w:val="00C51AFD"/>
    <w:rsid w:val="00C57265"/>
    <w:rsid w:val="00C644AA"/>
    <w:rsid w:val="00C70B26"/>
    <w:rsid w:val="00C71BDC"/>
    <w:rsid w:val="00C873F0"/>
    <w:rsid w:val="00C87A57"/>
    <w:rsid w:val="00C90037"/>
    <w:rsid w:val="00C91933"/>
    <w:rsid w:val="00CA18BD"/>
    <w:rsid w:val="00CA2782"/>
    <w:rsid w:val="00CA7659"/>
    <w:rsid w:val="00CA77D7"/>
    <w:rsid w:val="00CA7EA6"/>
    <w:rsid w:val="00CB1335"/>
    <w:rsid w:val="00CB2F6F"/>
    <w:rsid w:val="00CB6107"/>
    <w:rsid w:val="00CB6B9B"/>
    <w:rsid w:val="00CB74FF"/>
    <w:rsid w:val="00CB765F"/>
    <w:rsid w:val="00CC00F8"/>
    <w:rsid w:val="00CC3B44"/>
    <w:rsid w:val="00CC5500"/>
    <w:rsid w:val="00CC6994"/>
    <w:rsid w:val="00CD39BA"/>
    <w:rsid w:val="00CD5BBC"/>
    <w:rsid w:val="00CD64D0"/>
    <w:rsid w:val="00CE29BD"/>
    <w:rsid w:val="00CF025E"/>
    <w:rsid w:val="00CF0750"/>
    <w:rsid w:val="00CF2979"/>
    <w:rsid w:val="00CF2A91"/>
    <w:rsid w:val="00CF388E"/>
    <w:rsid w:val="00D00088"/>
    <w:rsid w:val="00D025BA"/>
    <w:rsid w:val="00D076BF"/>
    <w:rsid w:val="00D11334"/>
    <w:rsid w:val="00D12BA6"/>
    <w:rsid w:val="00D15826"/>
    <w:rsid w:val="00D23BE9"/>
    <w:rsid w:val="00D25EB6"/>
    <w:rsid w:val="00D306E6"/>
    <w:rsid w:val="00D34311"/>
    <w:rsid w:val="00D41911"/>
    <w:rsid w:val="00D464C0"/>
    <w:rsid w:val="00D50233"/>
    <w:rsid w:val="00D51E1A"/>
    <w:rsid w:val="00D523B9"/>
    <w:rsid w:val="00D56FBD"/>
    <w:rsid w:val="00D57417"/>
    <w:rsid w:val="00D63028"/>
    <w:rsid w:val="00D71F87"/>
    <w:rsid w:val="00D7671C"/>
    <w:rsid w:val="00D81A9D"/>
    <w:rsid w:val="00D833B5"/>
    <w:rsid w:val="00D85061"/>
    <w:rsid w:val="00D91652"/>
    <w:rsid w:val="00D9229E"/>
    <w:rsid w:val="00D92C21"/>
    <w:rsid w:val="00D9323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06B9A"/>
    <w:rsid w:val="00E1053C"/>
    <w:rsid w:val="00E13351"/>
    <w:rsid w:val="00E1681B"/>
    <w:rsid w:val="00E176CC"/>
    <w:rsid w:val="00E22D6A"/>
    <w:rsid w:val="00E24879"/>
    <w:rsid w:val="00E3672B"/>
    <w:rsid w:val="00E375B5"/>
    <w:rsid w:val="00E43DD3"/>
    <w:rsid w:val="00E44667"/>
    <w:rsid w:val="00E55A3B"/>
    <w:rsid w:val="00E61739"/>
    <w:rsid w:val="00E65BB5"/>
    <w:rsid w:val="00E83804"/>
    <w:rsid w:val="00E85450"/>
    <w:rsid w:val="00E86F3B"/>
    <w:rsid w:val="00E876D3"/>
    <w:rsid w:val="00E93F00"/>
    <w:rsid w:val="00EA275D"/>
    <w:rsid w:val="00EA534D"/>
    <w:rsid w:val="00EB045C"/>
    <w:rsid w:val="00EB0E49"/>
    <w:rsid w:val="00EB2B32"/>
    <w:rsid w:val="00EB7CE5"/>
    <w:rsid w:val="00EB7EAD"/>
    <w:rsid w:val="00EC5210"/>
    <w:rsid w:val="00ED1E0E"/>
    <w:rsid w:val="00ED2A6D"/>
    <w:rsid w:val="00ED7288"/>
    <w:rsid w:val="00ED7BE5"/>
    <w:rsid w:val="00ED7C08"/>
    <w:rsid w:val="00ED7E23"/>
    <w:rsid w:val="00EE7C90"/>
    <w:rsid w:val="00EF7706"/>
    <w:rsid w:val="00F01099"/>
    <w:rsid w:val="00F04A6A"/>
    <w:rsid w:val="00F06984"/>
    <w:rsid w:val="00F07DB4"/>
    <w:rsid w:val="00F1207A"/>
    <w:rsid w:val="00F12430"/>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0B7C"/>
    <w:rsid w:val="00F66757"/>
    <w:rsid w:val="00F70209"/>
    <w:rsid w:val="00F74C4F"/>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2002"/>
    <w:rsid w:val="00FD42E8"/>
    <w:rsid w:val="00FD5B53"/>
    <w:rsid w:val="00FD6A70"/>
    <w:rsid w:val="00FE100A"/>
    <w:rsid w:val="00FE27BB"/>
    <w:rsid w:val="00FE5527"/>
    <w:rsid w:val="00FF0185"/>
    <w:rsid w:val="00FF1B9A"/>
    <w:rsid w:val="00FF3C10"/>
    <w:rsid w:val="01325A8F"/>
    <w:rsid w:val="03463781"/>
    <w:rsid w:val="045849ED"/>
    <w:rsid w:val="053E16CD"/>
    <w:rsid w:val="05432019"/>
    <w:rsid w:val="059471B5"/>
    <w:rsid w:val="05D9297D"/>
    <w:rsid w:val="06587D46"/>
    <w:rsid w:val="08680198"/>
    <w:rsid w:val="09646E45"/>
    <w:rsid w:val="096C7482"/>
    <w:rsid w:val="0A2C2DC5"/>
    <w:rsid w:val="0A8C3FD1"/>
    <w:rsid w:val="0B0C55A3"/>
    <w:rsid w:val="0B5C2951"/>
    <w:rsid w:val="0BCA4A38"/>
    <w:rsid w:val="0CE13E9A"/>
    <w:rsid w:val="0D6B4272"/>
    <w:rsid w:val="0D923783"/>
    <w:rsid w:val="0DC67C8B"/>
    <w:rsid w:val="0E6D1E9B"/>
    <w:rsid w:val="0F44355D"/>
    <w:rsid w:val="0F621C2B"/>
    <w:rsid w:val="0FBD0C1A"/>
    <w:rsid w:val="0FCA12E5"/>
    <w:rsid w:val="0FCD3553"/>
    <w:rsid w:val="105E23A9"/>
    <w:rsid w:val="10D66514"/>
    <w:rsid w:val="10F34BE1"/>
    <w:rsid w:val="115C5AEC"/>
    <w:rsid w:val="116B1D07"/>
    <w:rsid w:val="11A622AD"/>
    <w:rsid w:val="11FD79F3"/>
    <w:rsid w:val="13166FBF"/>
    <w:rsid w:val="13793349"/>
    <w:rsid w:val="137A68B0"/>
    <w:rsid w:val="1408665D"/>
    <w:rsid w:val="14B6708E"/>
    <w:rsid w:val="14CC6AF2"/>
    <w:rsid w:val="17C76AD9"/>
    <w:rsid w:val="18CC7237"/>
    <w:rsid w:val="190F0738"/>
    <w:rsid w:val="19367C8D"/>
    <w:rsid w:val="19AB1C63"/>
    <w:rsid w:val="19FD6AAC"/>
    <w:rsid w:val="1A796D0D"/>
    <w:rsid w:val="1AED747A"/>
    <w:rsid w:val="1B453DD4"/>
    <w:rsid w:val="1B8847D2"/>
    <w:rsid w:val="1C3660D4"/>
    <w:rsid w:val="1D417721"/>
    <w:rsid w:val="1D9D51F3"/>
    <w:rsid w:val="1E2F2CF8"/>
    <w:rsid w:val="1EAF2075"/>
    <w:rsid w:val="1F1D7927"/>
    <w:rsid w:val="20672C08"/>
    <w:rsid w:val="21151D88"/>
    <w:rsid w:val="211B629E"/>
    <w:rsid w:val="21451B35"/>
    <w:rsid w:val="22562E14"/>
    <w:rsid w:val="22D121EA"/>
    <w:rsid w:val="22EF42C4"/>
    <w:rsid w:val="23151041"/>
    <w:rsid w:val="23B56C14"/>
    <w:rsid w:val="24496436"/>
    <w:rsid w:val="24807E99"/>
    <w:rsid w:val="27740528"/>
    <w:rsid w:val="27826579"/>
    <w:rsid w:val="27D33279"/>
    <w:rsid w:val="27DA43AE"/>
    <w:rsid w:val="28E10711"/>
    <w:rsid w:val="28EE31C0"/>
    <w:rsid w:val="29062D72"/>
    <w:rsid w:val="29C250CE"/>
    <w:rsid w:val="29D659C5"/>
    <w:rsid w:val="29E55A72"/>
    <w:rsid w:val="2A2461A4"/>
    <w:rsid w:val="2A515672"/>
    <w:rsid w:val="2A560428"/>
    <w:rsid w:val="2AB90BF0"/>
    <w:rsid w:val="2C6A44FA"/>
    <w:rsid w:val="2D4E5C8F"/>
    <w:rsid w:val="2DC91D07"/>
    <w:rsid w:val="2EC658E5"/>
    <w:rsid w:val="2F0D6640"/>
    <w:rsid w:val="2F5B2826"/>
    <w:rsid w:val="2FDF4F55"/>
    <w:rsid w:val="2FF13572"/>
    <w:rsid w:val="305B3E0B"/>
    <w:rsid w:val="30A457B2"/>
    <w:rsid w:val="312850D7"/>
    <w:rsid w:val="32676A97"/>
    <w:rsid w:val="32755858"/>
    <w:rsid w:val="327C1F2C"/>
    <w:rsid w:val="32AC094E"/>
    <w:rsid w:val="33EF6ABD"/>
    <w:rsid w:val="34E45C3F"/>
    <w:rsid w:val="35400853"/>
    <w:rsid w:val="355A0B35"/>
    <w:rsid w:val="3566572C"/>
    <w:rsid w:val="363A6C6B"/>
    <w:rsid w:val="36897F35"/>
    <w:rsid w:val="36C344B8"/>
    <w:rsid w:val="371E12C2"/>
    <w:rsid w:val="374C4300"/>
    <w:rsid w:val="37BD53AB"/>
    <w:rsid w:val="387B329C"/>
    <w:rsid w:val="388D4973"/>
    <w:rsid w:val="38E30E42"/>
    <w:rsid w:val="39145CDA"/>
    <w:rsid w:val="39E55D56"/>
    <w:rsid w:val="39F43C61"/>
    <w:rsid w:val="3A7061B9"/>
    <w:rsid w:val="3B6E70E8"/>
    <w:rsid w:val="3BC46D08"/>
    <w:rsid w:val="3D556B38"/>
    <w:rsid w:val="3DB550F1"/>
    <w:rsid w:val="3E1321C9"/>
    <w:rsid w:val="3EA022C3"/>
    <w:rsid w:val="3EF23B8C"/>
    <w:rsid w:val="3F425C4C"/>
    <w:rsid w:val="3F76656C"/>
    <w:rsid w:val="4061546E"/>
    <w:rsid w:val="43B72341"/>
    <w:rsid w:val="44607760"/>
    <w:rsid w:val="44654637"/>
    <w:rsid w:val="45861A5A"/>
    <w:rsid w:val="458F470E"/>
    <w:rsid w:val="460A2104"/>
    <w:rsid w:val="4660042C"/>
    <w:rsid w:val="468E4E6D"/>
    <w:rsid w:val="47665118"/>
    <w:rsid w:val="47B03BA9"/>
    <w:rsid w:val="48843147"/>
    <w:rsid w:val="4A0B4034"/>
    <w:rsid w:val="4A2E02C6"/>
    <w:rsid w:val="4B920260"/>
    <w:rsid w:val="4B9E1DB9"/>
    <w:rsid w:val="4C814A3C"/>
    <w:rsid w:val="4C8C73CE"/>
    <w:rsid w:val="4C917EEE"/>
    <w:rsid w:val="4D842037"/>
    <w:rsid w:val="4D9B2F7F"/>
    <w:rsid w:val="4E263853"/>
    <w:rsid w:val="4EE01C53"/>
    <w:rsid w:val="4F271630"/>
    <w:rsid w:val="4F363F69"/>
    <w:rsid w:val="4F3912D1"/>
    <w:rsid w:val="50086B0C"/>
    <w:rsid w:val="509A76C1"/>
    <w:rsid w:val="50F63270"/>
    <w:rsid w:val="51315BF1"/>
    <w:rsid w:val="515F053C"/>
    <w:rsid w:val="518717AD"/>
    <w:rsid w:val="52267A1D"/>
    <w:rsid w:val="523C7B9F"/>
    <w:rsid w:val="53620E89"/>
    <w:rsid w:val="54022FBD"/>
    <w:rsid w:val="54810BF1"/>
    <w:rsid w:val="54882B71"/>
    <w:rsid w:val="54AA6EBE"/>
    <w:rsid w:val="550024AC"/>
    <w:rsid w:val="55456CB4"/>
    <w:rsid w:val="561E7943"/>
    <w:rsid w:val="56C7520C"/>
    <w:rsid w:val="570016CA"/>
    <w:rsid w:val="575F32D1"/>
    <w:rsid w:val="5768620E"/>
    <w:rsid w:val="57B04785"/>
    <w:rsid w:val="58807ED0"/>
    <w:rsid w:val="589647C1"/>
    <w:rsid w:val="592328F7"/>
    <w:rsid w:val="59857735"/>
    <w:rsid w:val="599F25E3"/>
    <w:rsid w:val="5AAB6294"/>
    <w:rsid w:val="5B714618"/>
    <w:rsid w:val="5C6D5D5D"/>
    <w:rsid w:val="5D886622"/>
    <w:rsid w:val="5D9B3863"/>
    <w:rsid w:val="5DBD50A7"/>
    <w:rsid w:val="5DBF5A39"/>
    <w:rsid w:val="5E93433C"/>
    <w:rsid w:val="5EE74938"/>
    <w:rsid w:val="5F4F7B99"/>
    <w:rsid w:val="5F9A5E4E"/>
    <w:rsid w:val="601C1C71"/>
    <w:rsid w:val="604F09E7"/>
    <w:rsid w:val="60AE2B4F"/>
    <w:rsid w:val="6113395F"/>
    <w:rsid w:val="634961C5"/>
    <w:rsid w:val="645529A9"/>
    <w:rsid w:val="64862C2B"/>
    <w:rsid w:val="649C34D7"/>
    <w:rsid w:val="64F33A36"/>
    <w:rsid w:val="6552795A"/>
    <w:rsid w:val="65D0211A"/>
    <w:rsid w:val="6661072D"/>
    <w:rsid w:val="667C00EB"/>
    <w:rsid w:val="66E300DB"/>
    <w:rsid w:val="67391B07"/>
    <w:rsid w:val="692844CB"/>
    <w:rsid w:val="6A164324"/>
    <w:rsid w:val="6A8B3BD0"/>
    <w:rsid w:val="6C07486C"/>
    <w:rsid w:val="6C2C1577"/>
    <w:rsid w:val="6C4A2153"/>
    <w:rsid w:val="6C930D4D"/>
    <w:rsid w:val="6D1B31AF"/>
    <w:rsid w:val="6E015061"/>
    <w:rsid w:val="6E5D0DA5"/>
    <w:rsid w:val="6E7F06E9"/>
    <w:rsid w:val="6EDA2030"/>
    <w:rsid w:val="6F7928EC"/>
    <w:rsid w:val="70A64FF5"/>
    <w:rsid w:val="70A95EF1"/>
    <w:rsid w:val="714C46EA"/>
    <w:rsid w:val="715E7281"/>
    <w:rsid w:val="717052E6"/>
    <w:rsid w:val="722D0DE2"/>
    <w:rsid w:val="72394572"/>
    <w:rsid w:val="72E476B5"/>
    <w:rsid w:val="73110955"/>
    <w:rsid w:val="735A1441"/>
    <w:rsid w:val="73F43927"/>
    <w:rsid w:val="74026044"/>
    <w:rsid w:val="75F265F9"/>
    <w:rsid w:val="760140DA"/>
    <w:rsid w:val="793067AF"/>
    <w:rsid w:val="7ABF62AE"/>
    <w:rsid w:val="7AF43DE8"/>
    <w:rsid w:val="7B1B3E90"/>
    <w:rsid w:val="7CB732C2"/>
    <w:rsid w:val="7D3B1AD2"/>
    <w:rsid w:val="7D8B2960"/>
    <w:rsid w:val="7DD81BC4"/>
    <w:rsid w:val="7E2E6995"/>
    <w:rsid w:val="7F1C517E"/>
    <w:rsid w:val="7F386CD9"/>
    <w:rsid w:val="7F47555A"/>
    <w:rsid w:val="7F4A4D43"/>
    <w:rsid w:val="7F6E7DBE"/>
    <w:rsid w:val="7F914E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8"/>
    <w:qFormat/>
    <w:uiPriority w:val="0"/>
    <w:pPr>
      <w:keepNext/>
      <w:keepLines/>
      <w:spacing w:before="280" w:after="290" w:line="376" w:lineRule="auto"/>
      <w:outlineLvl w:val="4"/>
    </w:pPr>
    <w:rPr>
      <w:b/>
      <w:sz w:val="28"/>
      <w:szCs w:val="20"/>
    </w:rPr>
  </w:style>
  <w:style w:type="paragraph" w:styleId="8">
    <w:name w:val="heading 6"/>
    <w:basedOn w:val="1"/>
    <w:next w:val="2"/>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3"/>
    <w:qFormat/>
    <w:uiPriority w:val="0"/>
    <w:pPr>
      <w:keepNext/>
      <w:keepLines/>
      <w:spacing w:before="240" w:after="64" w:line="320" w:lineRule="auto"/>
      <w:outlineLvl w:val="6"/>
    </w:pPr>
    <w:rPr>
      <w:b/>
      <w:sz w:val="24"/>
      <w:szCs w:val="20"/>
    </w:rPr>
  </w:style>
  <w:style w:type="paragraph" w:styleId="10">
    <w:name w:val="heading 8"/>
    <w:basedOn w:val="1"/>
    <w:next w:val="2"/>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2"/>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w:basedOn w:val="1"/>
    <w:link w:val="78"/>
    <w:qFormat/>
    <w:uiPriority w:val="0"/>
    <w:pPr>
      <w:spacing w:after="120"/>
    </w:pPr>
  </w:style>
  <w:style w:type="paragraph" w:styleId="18">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31"/>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6"/>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5"/>
    <w:qFormat/>
    <w:uiPriority w:val="0"/>
    <w:pPr>
      <w:numPr>
        <w:ilvl w:val="0"/>
        <w:numId w:val="4"/>
      </w:numPr>
      <w:ind w:left="100" w:leftChars="2500"/>
    </w:pPr>
  </w:style>
  <w:style w:type="paragraph" w:styleId="26">
    <w:name w:val="Body Text Indent 2"/>
    <w:basedOn w:val="1"/>
    <w:link w:val="73"/>
    <w:qFormat/>
    <w:uiPriority w:val="0"/>
    <w:pPr>
      <w:spacing w:line="480" w:lineRule="exact"/>
      <w:ind w:left="810" w:firstLine="675"/>
    </w:pPr>
    <w:rPr>
      <w:rFonts w:eastAsia="仿宋_GB2312"/>
      <w:sz w:val="30"/>
      <w:szCs w:val="20"/>
    </w:rPr>
  </w:style>
  <w:style w:type="paragraph" w:styleId="27">
    <w:name w:val="endnote text"/>
    <w:basedOn w:val="1"/>
    <w:unhideWhenUsed/>
    <w:qFormat/>
    <w:uiPriority w:val="99"/>
    <w:pPr>
      <w:snapToGrid w:val="0"/>
    </w:pPr>
    <w:rPr>
      <w:rFonts w:cstheme="minorBidi"/>
      <w:szCs w:val="22"/>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annotation subject"/>
    <w:basedOn w:val="16"/>
    <w:next w:val="16"/>
    <w:link w:val="309"/>
    <w:semiHidden/>
    <w:unhideWhenUsed/>
    <w:qFormat/>
    <w:uiPriority w:val="99"/>
    <w:pPr>
      <w:spacing w:line="240" w:lineRule="auto"/>
    </w:pPr>
    <w:rPr>
      <w:b/>
      <w:bCs/>
      <w:sz w:val="21"/>
    </w:rPr>
  </w:style>
  <w:style w:type="paragraph" w:styleId="46">
    <w:name w:val="Body Text First Indent"/>
    <w:basedOn w:val="17"/>
    <w:link w:val="135"/>
    <w:qFormat/>
    <w:uiPriority w:val="0"/>
    <w:pPr>
      <w:ind w:firstLine="100" w:firstLineChars="100"/>
    </w:pPr>
    <w:rPr>
      <w:rFonts w:ascii="Calibri" w:hAnsi="Calibri"/>
      <w:szCs w:val="22"/>
    </w:rPr>
  </w:style>
  <w:style w:type="paragraph" w:styleId="47">
    <w:name w:val="Body Text First Indent 2"/>
    <w:basedOn w:val="18"/>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basedOn w:val="50"/>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50"/>
    <w:qFormat/>
    <w:uiPriority w:val="0"/>
  </w:style>
  <w:style w:type="character" w:customStyle="1" w:styleId="62">
    <w:name w:val="正文首行缩进 2 字符"/>
    <w:link w:val="47"/>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字符"/>
    <w:link w:val="25"/>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7"/>
    <w:link w:val="70"/>
    <w:qFormat/>
    <w:uiPriority w:val="0"/>
  </w:style>
  <w:style w:type="character" w:customStyle="1" w:styleId="72">
    <w:name w:val="style71"/>
    <w:qFormat/>
    <w:uiPriority w:val="0"/>
    <w:rPr>
      <w:sz w:val="21"/>
      <w:szCs w:val="21"/>
    </w:rPr>
  </w:style>
  <w:style w:type="character" w:customStyle="1" w:styleId="73">
    <w:name w:val="正文文本缩进 2 字符"/>
    <w:link w:val="26"/>
    <w:qFormat/>
    <w:uiPriority w:val="0"/>
    <w:rPr>
      <w:rFonts w:eastAsia="仿宋_GB2312"/>
      <w:kern w:val="2"/>
      <w:sz w:val="30"/>
      <w:lang w:val="en-US" w:eastAsia="zh-CN" w:bidi="ar-SA"/>
    </w:rPr>
  </w:style>
  <w:style w:type="character" w:customStyle="1" w:styleId="74">
    <w:name w:val="正文文本缩进 3 字符"/>
    <w:link w:val="37"/>
    <w:qFormat/>
    <w:uiPriority w:val="0"/>
    <w:rPr>
      <w:rFonts w:ascii="宋体" w:hAnsi="宋体" w:eastAsia="宋体"/>
      <w:kern w:val="2"/>
      <w:sz w:val="21"/>
      <w:szCs w:val="24"/>
      <w:lang w:val="en-US" w:eastAsia="zh-CN" w:bidi="ar-SA"/>
    </w:rPr>
  </w:style>
  <w:style w:type="character" w:customStyle="1" w:styleId="75">
    <w:name w:val="ca-9"/>
    <w:basedOn w:val="50"/>
    <w:qFormat/>
    <w:uiPriority w:val="0"/>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字符"/>
    <w:link w:val="17"/>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50"/>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字符"/>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50"/>
    <w:qFormat/>
    <w:uiPriority w:val="0"/>
  </w:style>
  <w:style w:type="character" w:customStyle="1" w:styleId="91">
    <w:name w:val="不明显参考1"/>
    <w:qFormat/>
    <w:uiPriority w:val="0"/>
    <w:rPr>
      <w:smallCaps/>
      <w:color w:val="C0504D"/>
      <w:u w:val="single"/>
    </w:rPr>
  </w:style>
  <w:style w:type="character" w:customStyle="1" w:styleId="92">
    <w:name w:val="标题 9 字符"/>
    <w:link w:val="11"/>
    <w:qFormat/>
    <w:uiPriority w:val="0"/>
    <w:rPr>
      <w:rFonts w:ascii="Arial" w:hAnsi="Arial" w:eastAsia="黑体"/>
      <w:kern w:val="2"/>
      <w:sz w:val="21"/>
      <w:lang w:val="en-US" w:eastAsia="zh-CN" w:bidi="ar-SA"/>
    </w:rPr>
  </w:style>
  <w:style w:type="character" w:customStyle="1" w:styleId="93">
    <w:name w:val="标题 6 字符"/>
    <w:link w:val="8"/>
    <w:qFormat/>
    <w:uiPriority w:val="0"/>
    <w:rPr>
      <w:rFonts w:ascii="Arial" w:hAnsi="Arial" w:eastAsia="黑体"/>
      <w:b/>
      <w:kern w:val="2"/>
      <w:sz w:val="24"/>
      <w:lang w:val="en-US" w:eastAsia="zh-CN" w:bidi="ar-SA"/>
    </w:rPr>
  </w:style>
  <w:style w:type="character" w:customStyle="1" w:styleId="94">
    <w:name w:val="ca-10"/>
    <w:basedOn w:val="50"/>
    <w:qFormat/>
    <w:uiPriority w:val="0"/>
  </w:style>
  <w:style w:type="character" w:customStyle="1" w:styleId="95">
    <w:name w:val="标题 4 字符"/>
    <w:link w:val="6"/>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50"/>
    <w:qFormat/>
    <w:uiPriority w:val="0"/>
  </w:style>
  <w:style w:type="character" w:customStyle="1" w:styleId="100">
    <w:name w:val="标题 8 字符"/>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字符"/>
    <w:link w:val="40"/>
    <w:qFormat/>
    <w:uiPriority w:val="0"/>
    <w:rPr>
      <w:rFonts w:ascii="仿宋_GB2312" w:eastAsia="仿宋_GB2312"/>
      <w:kern w:val="2"/>
      <w:sz w:val="32"/>
      <w:szCs w:val="24"/>
      <w:lang w:val="en-US" w:eastAsia="zh-CN" w:bidi="ar-SA"/>
    </w:rPr>
  </w:style>
  <w:style w:type="character" w:customStyle="1" w:styleId="104">
    <w:name w:val="标题 2 字符"/>
    <w:link w:val="4"/>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字符"/>
    <w:link w:val="7"/>
    <w:qFormat/>
    <w:uiPriority w:val="0"/>
    <w:rPr>
      <w:rFonts w:eastAsia="宋体"/>
      <w:b/>
      <w:kern w:val="2"/>
      <w:sz w:val="28"/>
      <w:lang w:val="en-US" w:eastAsia="zh-CN" w:bidi="ar-SA"/>
    </w:rPr>
  </w:style>
  <w:style w:type="character" w:customStyle="1" w:styleId="109">
    <w:name w:val="p12"/>
    <w:basedOn w:val="50"/>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字符"/>
    <w:link w:val="9"/>
    <w:qFormat/>
    <w:uiPriority w:val="0"/>
    <w:rPr>
      <w:rFonts w:eastAsia="宋体"/>
      <w:b/>
      <w:kern w:val="2"/>
      <w:sz w:val="24"/>
      <w:lang w:val="en-US" w:eastAsia="zh-CN" w:bidi="ar-SA"/>
    </w:rPr>
  </w:style>
  <w:style w:type="character" w:customStyle="1" w:styleId="114">
    <w:name w:val="flname7"/>
    <w:basedOn w:val="50"/>
    <w:qFormat/>
    <w:uiPriority w:val="0"/>
  </w:style>
  <w:style w:type="character" w:customStyle="1" w:styleId="115">
    <w:name w:val="正文缩进 字符"/>
    <w:link w:val="2"/>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字符"/>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字符"/>
    <w:link w:val="18"/>
    <w:qFormat/>
    <w:uiPriority w:val="0"/>
    <w:rPr>
      <w:rFonts w:ascii="仿宋_GB2312" w:eastAsia="仿宋_GB2312"/>
      <w:sz w:val="28"/>
      <w:lang w:val="en-US" w:eastAsia="zh-CN" w:bidi="ar-SA"/>
    </w:rPr>
  </w:style>
  <w:style w:type="character" w:customStyle="1" w:styleId="126">
    <w:name w:val="页眉 字符"/>
    <w:link w:val="30"/>
    <w:qFormat/>
    <w:uiPriority w:val="99"/>
    <w:rPr>
      <w:rFonts w:eastAsia="宋体"/>
      <w:kern w:val="2"/>
      <w:sz w:val="18"/>
      <w:lang w:val="en-US" w:eastAsia="zh-CN" w:bidi="ar-SA"/>
    </w:rPr>
  </w:style>
  <w:style w:type="character" w:customStyle="1" w:styleId="127">
    <w:name w:val="标题 字符"/>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字符"/>
    <w:link w:val="20"/>
    <w:qFormat/>
    <w:uiPriority w:val="0"/>
    <w:rPr>
      <w:i/>
      <w:kern w:val="2"/>
      <w:sz w:val="21"/>
      <w:szCs w:val="24"/>
    </w:rPr>
  </w:style>
  <w:style w:type="character" w:customStyle="1" w:styleId="132">
    <w:name w:val="标题 1 字符"/>
    <w:link w:val="3"/>
    <w:qFormat/>
    <w:uiPriority w:val="0"/>
    <w:rPr>
      <w:rFonts w:ascii="黑体" w:eastAsia="黑体"/>
      <w:bCs/>
      <w:kern w:val="44"/>
      <w:sz w:val="24"/>
      <w:szCs w:val="24"/>
    </w:rPr>
  </w:style>
  <w:style w:type="character" w:customStyle="1" w:styleId="133">
    <w:name w:val="批注文字 字符"/>
    <w:link w:val="16"/>
    <w:qFormat/>
    <w:uiPriority w:val="0"/>
    <w:rPr>
      <w:kern w:val="2"/>
      <w:sz w:val="24"/>
      <w:szCs w:val="24"/>
    </w:rPr>
  </w:style>
  <w:style w:type="character" w:customStyle="1" w:styleId="134">
    <w:name w:val="页脚 字符"/>
    <w:link w:val="29"/>
    <w:qFormat/>
    <w:uiPriority w:val="0"/>
    <w:rPr>
      <w:rFonts w:eastAsia="宋体"/>
      <w:kern w:val="2"/>
      <w:sz w:val="18"/>
      <w:lang w:val="en-US" w:eastAsia="zh-CN" w:bidi="ar-SA"/>
    </w:rPr>
  </w:style>
  <w:style w:type="character" w:customStyle="1" w:styleId="135">
    <w:name w:val="正文首行缩进 字符"/>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字符"/>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34"/>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50"/>
    <w:semiHidden/>
    <w:qFormat/>
    <w:uiPriority w:val="99"/>
    <w:rPr>
      <w:color w:val="808080"/>
    </w:rPr>
  </w:style>
  <w:style w:type="character" w:customStyle="1" w:styleId="307">
    <w:name w:val="正文缩进 Char3"/>
    <w:qFormat/>
    <w:uiPriority w:val="0"/>
    <w:rPr>
      <w:rFonts w:ascii="宋体" w:eastAsia="宋体"/>
      <w:sz w:val="34"/>
      <w:lang w:val="en-US" w:eastAsia="zh-CN" w:bidi="ar-SA"/>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9">
    <w:name w:val="批注主题 字符"/>
    <w:basedOn w:val="133"/>
    <w:link w:val="45"/>
    <w:semiHidden/>
    <w:qFormat/>
    <w:uiPriority w:val="99"/>
    <w:rPr>
      <w:rFonts w:ascii="Times New Roman" w:hAnsi="Times New Roman" w:eastAsia="宋体" w:cs="Times New Roman"/>
      <w:b/>
      <w:bCs/>
      <w:kern w:val="2"/>
      <w:sz w:val="21"/>
      <w:szCs w:val="24"/>
    </w:rPr>
  </w:style>
  <w:style w:type="paragraph" w:customStyle="1" w:styleId="310">
    <w:name w:val="Table Paragraph"/>
    <w:basedOn w:val="1"/>
    <w:qFormat/>
    <w:uiPriority w:val="1"/>
  </w:style>
  <w:style w:type="paragraph" w:customStyle="1" w:styleId="311">
    <w:name w:val="_Style 3"/>
    <w:basedOn w:val="1"/>
    <w:unhideWhenUsed/>
    <w:qFormat/>
    <w:uiPriority w:val="0"/>
    <w:pPr>
      <w:autoSpaceDE w:val="0"/>
      <w:autoSpaceDN w:val="0"/>
      <w:adjustRightInd w:val="0"/>
      <w:ind w:firstLine="420" w:firstLineChars="200"/>
      <w:jc w:val="left"/>
    </w:pPr>
    <w:rPr>
      <w:rFonts w:ascii="Calibri" w:hAnsi="Calibri"/>
      <w:kern w:val="0"/>
      <w:sz w:val="24"/>
    </w:rPr>
  </w:style>
  <w:style w:type="character" w:customStyle="1" w:styleId="312">
    <w:name w:val="weby11"/>
    <w:unhideWhenUsed/>
    <w:qFormat/>
    <w:uiPriority w:val="0"/>
    <w:rPr>
      <w:sz w:val="18"/>
    </w:rPr>
  </w:style>
  <w:style w:type="paragraph" w:customStyle="1" w:styleId="31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14">
    <w:name w:val="标题   3"/>
    <w:basedOn w:val="5"/>
    <w:qFormat/>
    <w:uiPriority w:val="0"/>
    <w:pPr>
      <w:tabs>
        <w:tab w:val="clear" w:pos="753"/>
      </w:tabs>
      <w:ind w:left="720" w:hanging="720"/>
    </w:pPr>
    <w:rPr>
      <w:sz w:val="30"/>
    </w:rPr>
  </w:style>
  <w:style w:type="paragraph" w:customStyle="1" w:styleId="315">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25B672-1619-4037-AD46-A6A5702B4BD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32961</Words>
  <Characters>33990</Characters>
  <Lines>313</Lines>
  <Paragraphs>88</Paragraphs>
  <TotalTime>0</TotalTime>
  <ScaleCrop>false</ScaleCrop>
  <LinksUpToDate>false</LinksUpToDate>
  <CharactersWithSpaces>38121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2023-06-30T08:46:00Z</dcterms:created>
  <dc:creator>杨佳佳</dc:creator>
  <cp:lastModifiedBy>Administrator</cp:lastModifiedBy>
  <cp:lastPrinted>2022-08-01T01:56:00Z</cp:lastPrinted>
  <dcterms:modified xsi:type="dcterms:W3CDTF">2023-07-28T09:18:42Z</dcterms:modified>
  <dc:title>货物公开招标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848905DD017E44A39DD828008C8224C5</vt:lpwstr>
  </property>
</Properties>
</file>