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widowControl/>
        <w:adjustRightInd w:val="0"/>
        <w:snapToGrid w:val="0"/>
        <w:spacing w:line="360" w:lineRule="auto"/>
        <w:rPr>
          <w:rFonts w:ascii="黑体" w:eastAsia="黑体"/>
          <w:bCs/>
          <w:color w:val="000000" w:themeColor="text1"/>
          <w:sz w:val="32"/>
          <w:highlight w:val="none"/>
        </w:rPr>
      </w:pPr>
      <w:bookmarkStart w:id="0" w:name="_Toc491658631"/>
    </w:p>
    <w:p>
      <w:pPr>
        <w:pStyle w:val="24"/>
        <w:widowControl/>
        <w:adjustRightInd w:val="0"/>
        <w:snapToGrid w:val="0"/>
        <w:spacing w:line="360" w:lineRule="auto"/>
        <w:jc w:val="left"/>
        <w:rPr>
          <w:rFonts w:ascii="黑体" w:eastAsia="黑体"/>
          <w:bCs/>
          <w:color w:val="000000" w:themeColor="text1"/>
          <w:sz w:val="32"/>
          <w:highlight w:val="none"/>
        </w:rPr>
      </w:pPr>
      <w:r>
        <w:rPr>
          <w:rFonts w:hint="eastAsia" w:ascii="黑体" w:eastAsia="黑体"/>
          <w:bCs/>
          <w:color w:val="000000" w:themeColor="text1"/>
          <w:sz w:val="32"/>
          <w:highlight w:val="none"/>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4"/>
        <w:widowControl/>
        <w:adjustRightInd w:val="0"/>
        <w:snapToGrid w:val="0"/>
        <w:spacing w:line="360" w:lineRule="auto"/>
        <w:jc w:val="center"/>
        <w:rPr>
          <w:rFonts w:ascii="黑体" w:eastAsia="黑体"/>
          <w:bCs/>
          <w:color w:val="000000" w:themeColor="text1"/>
          <w:sz w:val="52"/>
          <w:szCs w:val="52"/>
          <w:highlight w:val="none"/>
        </w:rPr>
      </w:pPr>
    </w:p>
    <w:p>
      <w:pPr>
        <w:pStyle w:val="24"/>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公开招标</w:t>
      </w:r>
    </w:p>
    <w:p>
      <w:pPr>
        <w:pStyle w:val="24"/>
        <w:widowControl/>
        <w:adjustRightInd w:val="0"/>
        <w:snapToGrid w:val="0"/>
        <w:spacing w:line="360" w:lineRule="auto"/>
        <w:jc w:val="center"/>
        <w:rPr>
          <w:rFonts w:ascii="黑体" w:eastAsia="黑体"/>
          <w:bCs/>
          <w:color w:val="000000" w:themeColor="text1"/>
          <w:sz w:val="72"/>
          <w:szCs w:val="72"/>
          <w:highlight w:val="none"/>
        </w:rPr>
      </w:pPr>
    </w:p>
    <w:p>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rPr>
      </w:pPr>
      <w:r>
        <w:rPr>
          <w:rFonts w:hint="eastAsia" w:ascii="黑体" w:eastAsia="黑体"/>
          <w:bCs/>
          <w:color w:val="000000" w:themeColor="text1"/>
          <w:sz w:val="72"/>
          <w:highlight w:val="none"/>
        </w:rPr>
        <w:t>招  标  文  件</w:t>
      </w:r>
    </w:p>
    <w:p>
      <w:pPr>
        <w:pStyle w:val="24"/>
        <w:widowControl/>
        <w:adjustRightInd w:val="0"/>
        <w:snapToGrid w:val="0"/>
        <w:spacing w:line="360" w:lineRule="auto"/>
        <w:jc w:val="center"/>
        <w:rPr>
          <w:rFonts w:hint="eastAsia" w:ascii="黑体" w:eastAsia="黑体"/>
          <w:bCs/>
          <w:color w:val="000000" w:themeColor="text1"/>
          <w:sz w:val="32"/>
          <w:szCs w:val="32"/>
          <w:highlight w:val="none"/>
          <w:lang w:eastAsia="zh-CN"/>
        </w:rPr>
      </w:pPr>
      <w:r>
        <w:rPr>
          <w:rFonts w:hint="eastAsia" w:ascii="黑体" w:eastAsia="黑体"/>
          <w:bCs/>
          <w:color w:val="000000" w:themeColor="text1"/>
          <w:sz w:val="36"/>
          <w:szCs w:val="36"/>
          <w:highlight w:val="none"/>
          <w:lang w:eastAsia="zh-CN"/>
        </w:rPr>
        <w:t>（</w:t>
      </w:r>
      <w:r>
        <w:rPr>
          <w:rFonts w:hint="eastAsia" w:ascii="黑体" w:eastAsia="黑体"/>
          <w:bCs/>
          <w:color w:val="000000" w:themeColor="text1"/>
          <w:sz w:val="36"/>
          <w:szCs w:val="36"/>
          <w:highlight w:val="none"/>
          <w:lang w:val="en-US" w:eastAsia="zh-CN"/>
        </w:rPr>
        <w:t>论证版</w:t>
      </w:r>
      <w:r>
        <w:rPr>
          <w:rFonts w:hint="eastAsia" w:ascii="黑体" w:eastAsia="黑体"/>
          <w:bCs/>
          <w:color w:val="000000" w:themeColor="text1"/>
          <w:sz w:val="36"/>
          <w:szCs w:val="36"/>
          <w:highlight w:val="none"/>
          <w:lang w:eastAsia="zh-CN"/>
        </w:rPr>
        <w:t>）</w:t>
      </w:r>
    </w:p>
    <w:p>
      <w:pPr>
        <w:pStyle w:val="24"/>
        <w:widowControl/>
        <w:adjustRightInd w:val="0"/>
        <w:snapToGrid w:val="0"/>
        <w:spacing w:line="360" w:lineRule="auto"/>
        <w:rPr>
          <w:rFonts w:ascii="黑体" w:eastAsia="黑体"/>
          <w:bCs/>
          <w:color w:val="000000" w:themeColor="text1"/>
          <w:sz w:val="52"/>
          <w:szCs w:val="52"/>
          <w:highlight w:val="none"/>
        </w:rPr>
      </w:pPr>
    </w:p>
    <w:p>
      <w:pPr>
        <w:pStyle w:val="24"/>
        <w:widowControl/>
        <w:adjustRightInd w:val="0"/>
        <w:snapToGrid w:val="0"/>
        <w:spacing w:line="360" w:lineRule="auto"/>
        <w:rPr>
          <w:rFonts w:ascii="黑体" w:eastAsia="黑体"/>
          <w:bCs/>
          <w:color w:val="000000" w:themeColor="text1"/>
          <w:sz w:val="52"/>
          <w:szCs w:val="52"/>
          <w:highlight w:val="none"/>
        </w:rPr>
      </w:pPr>
    </w:p>
    <w:p>
      <w:pPr>
        <w:pStyle w:val="24"/>
        <w:widowControl/>
        <w:adjustRightInd w:val="0"/>
        <w:snapToGrid w:val="0"/>
        <w:spacing w:line="360" w:lineRule="auto"/>
        <w:rPr>
          <w:rFonts w:ascii="黑体" w:eastAsia="黑体"/>
          <w:bCs/>
          <w:color w:val="000000" w:themeColor="text1"/>
          <w:sz w:val="52"/>
          <w:szCs w:val="52"/>
          <w:highlight w:val="none"/>
        </w:rPr>
      </w:pPr>
    </w:p>
    <w:p>
      <w:pPr>
        <w:pStyle w:val="24"/>
        <w:widowControl/>
        <w:adjustRightInd w:val="0"/>
        <w:snapToGrid w:val="0"/>
        <w:spacing w:line="360" w:lineRule="auto"/>
        <w:rPr>
          <w:rFonts w:ascii="黑体" w:eastAsia="黑体"/>
          <w:bCs/>
          <w:color w:val="000000" w:themeColor="text1"/>
          <w:sz w:val="52"/>
          <w:szCs w:val="52"/>
          <w:highlight w:val="none"/>
        </w:rPr>
      </w:pPr>
    </w:p>
    <w:tbl>
      <w:tblPr>
        <w:tblStyle w:val="46"/>
        <w:tblW w:w="8598" w:type="dxa"/>
        <w:jc w:val="center"/>
        <w:tblLayout w:type="fixed"/>
        <w:tblCellMar>
          <w:top w:w="0" w:type="dxa"/>
          <w:left w:w="108" w:type="dxa"/>
          <w:bottom w:w="0" w:type="dxa"/>
          <w:right w:w="108" w:type="dxa"/>
        </w:tblCellMar>
      </w:tblPr>
      <w:tblGrid>
        <w:gridCol w:w="1951"/>
        <w:gridCol w:w="284"/>
        <w:gridCol w:w="6363"/>
      </w:tblGrid>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363" w:type="dxa"/>
            <w:vAlign w:val="center"/>
          </w:tcPr>
          <w:p>
            <w:pPr>
              <w:pStyle w:val="24"/>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YXCG-20230716</w:t>
            </w:r>
          </w:p>
        </w:tc>
      </w:tr>
      <w:tr>
        <w:tblPrEx>
          <w:tblCellMar>
            <w:top w:w="0" w:type="dxa"/>
            <w:left w:w="108" w:type="dxa"/>
            <w:bottom w:w="0" w:type="dxa"/>
            <w:right w:w="108" w:type="dxa"/>
          </w:tblCellMar>
        </w:tblPrEx>
        <w:trPr>
          <w:trHeight w:val="77" w:hRule="atLeast"/>
          <w:jc w:val="center"/>
        </w:trPr>
        <w:tc>
          <w:tcPr>
            <w:tcW w:w="1951" w:type="dxa"/>
          </w:tcPr>
          <w:p>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363"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阳江市实验学校食堂食品、糕点配送服务采购项目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363"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阳江市实验学校</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pPr>
              <w:pStyle w:val="24"/>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363" w:type="dxa"/>
            <w:vAlign w:val="center"/>
          </w:tcPr>
          <w:p>
            <w:pPr>
              <w:pStyle w:val="24"/>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pPr>
        <w:pStyle w:val="24"/>
        <w:widowControl/>
        <w:adjustRightInd w:val="0"/>
        <w:snapToGrid w:val="0"/>
        <w:spacing w:line="360" w:lineRule="auto"/>
        <w:jc w:val="center"/>
        <w:rPr>
          <w:rFonts w:ascii="黑体" w:eastAsia="黑体"/>
          <w:bCs/>
          <w:color w:val="000000" w:themeColor="text1"/>
          <w:sz w:val="24"/>
          <w:highlight w:val="none"/>
        </w:rPr>
      </w:pPr>
    </w:p>
    <w:p>
      <w:pPr>
        <w:pStyle w:val="24"/>
        <w:widowControl/>
        <w:adjustRightInd w:val="0"/>
        <w:snapToGrid w:val="0"/>
        <w:spacing w:line="360" w:lineRule="auto"/>
        <w:jc w:val="center"/>
        <w:rPr>
          <w:rFonts w:ascii="黑体" w:eastAsia="黑体"/>
          <w:bCs/>
          <w:color w:val="000000" w:themeColor="text1"/>
          <w:sz w:val="24"/>
          <w:highlight w:val="none"/>
        </w:rPr>
      </w:pPr>
      <w:r>
        <w:rPr>
          <w:rFonts w:hint="eastAsia" w:ascii="黑体" w:eastAsia="黑体"/>
          <w:bCs/>
          <w:color w:val="000000" w:themeColor="text1"/>
          <w:sz w:val="24"/>
          <w:highlight w:val="none"/>
        </w:rPr>
        <w:t>二○</w:t>
      </w:r>
      <w:r>
        <w:rPr>
          <w:rFonts w:hint="eastAsia" w:ascii="黑体" w:eastAsia="黑体"/>
          <w:bCs/>
          <w:color w:val="000000" w:themeColor="text1"/>
          <w:sz w:val="24"/>
          <w:highlight w:val="none"/>
          <w:lang w:val="en-US" w:eastAsia="zh-CN"/>
        </w:rPr>
        <w:t>二三</w:t>
      </w:r>
      <w:r>
        <w:rPr>
          <w:rFonts w:hint="eastAsia" w:ascii="黑体" w:eastAsia="黑体"/>
          <w:bCs/>
          <w:color w:val="000000" w:themeColor="text1"/>
          <w:sz w:val="24"/>
          <w:highlight w:val="none"/>
        </w:rPr>
        <w:t>年</w:t>
      </w:r>
      <w:r>
        <w:rPr>
          <w:rFonts w:hint="eastAsia" w:ascii="黑体" w:eastAsia="黑体"/>
          <w:bCs/>
          <w:color w:val="000000" w:themeColor="text1"/>
          <w:sz w:val="24"/>
          <w:highlight w:val="none"/>
          <w:lang w:val="en-US" w:eastAsia="zh-CN"/>
        </w:rPr>
        <w:t>七</w:t>
      </w:r>
      <w:r>
        <w:rPr>
          <w:rFonts w:hint="eastAsia" w:ascii="黑体" w:eastAsia="黑体"/>
          <w:bCs/>
          <w:color w:val="000000" w:themeColor="text1"/>
          <w:sz w:val="24"/>
          <w:highlight w:val="none"/>
        </w:rPr>
        <w:t>月</w:t>
      </w:r>
    </w:p>
    <w:p>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请供应商特别留意招标文件上注明的投标截止和开标时间，逾期送达或邮寄送达的投标文件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ascii="宋体" w:hAnsi="宋体"/>
          <w:b/>
          <w:color w:val="000000" w:themeColor="text1"/>
          <w:szCs w:val="21"/>
          <w:highlight w:val="none"/>
          <w:u w:val="single"/>
        </w:rPr>
        <w:t>招标文件中标有“★”的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请正确填写《开标一览表》，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的投标项目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报价要求详见招标文件《开标一览表》</w:t>
      </w:r>
      <w:r>
        <w:rPr>
          <w:rFonts w:ascii="宋体" w:hAnsi="宋体"/>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请仔细检查《投标函》、《开标一览表》、</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
          <w:bCs/>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建议将投标文件按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评标委员会</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pPr>
        <w:pStyle w:val="24"/>
        <w:widowControl/>
        <w:adjustRightInd w:val="0"/>
        <w:snapToGrid w:val="0"/>
        <w:spacing w:line="440" w:lineRule="exact"/>
        <w:ind w:firstLine="413" w:firstLineChars="196"/>
        <w:rPr>
          <w:rFonts w:ascii="黑体" w:eastAsia="黑体"/>
          <w:bCs/>
          <w:color w:val="000000" w:themeColor="text1"/>
          <w:sz w:val="30"/>
          <w:szCs w:val="30"/>
          <w:highlight w:val="none"/>
        </w:rPr>
      </w:pPr>
      <w:r>
        <w:rPr>
          <w:rFonts w:hint="eastAsia" w:hAnsi="宋体" w:cs="仿宋_GB2312"/>
          <w:b/>
          <w:bCs/>
          <w:color w:val="000000" w:themeColor="text1"/>
          <w:highlight w:val="none"/>
          <w:lang w:val="zh-CN"/>
        </w:rPr>
        <w:t>（本提示内容非招标文件的组成部分，仅为善意提醒。如有不一致，以招标文件为准）</w:t>
      </w:r>
    </w:p>
    <w:p>
      <w:pPr>
        <w:pStyle w:val="24"/>
        <w:widowControl/>
        <w:adjustRightInd w:val="0"/>
        <w:snapToGrid w:val="0"/>
        <w:spacing w:line="360" w:lineRule="auto"/>
        <w:jc w:val="center"/>
        <w:rPr>
          <w:rFonts w:ascii="黑体" w:eastAsia="黑体"/>
          <w:bCs/>
          <w:color w:val="000000" w:themeColor="text1"/>
          <w:sz w:val="30"/>
          <w:szCs w:val="30"/>
          <w:highlight w:val="none"/>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pPr>
        <w:pStyle w:val="3"/>
        <w:numPr>
          <w:ilvl w:val="0"/>
          <w:numId w:val="0"/>
        </w:numPr>
        <w:spacing w:beforeLines="0" w:line="240" w:lineRule="auto"/>
        <w:rPr>
          <w:color w:val="000000" w:themeColor="text1"/>
          <w:highlight w:val="none"/>
        </w:rPr>
      </w:pPr>
    </w:p>
    <w:p>
      <w:pPr>
        <w:pStyle w:val="31"/>
        <w:tabs>
          <w:tab w:val="right" w:leader="dot" w:pos="8959"/>
          <w:tab w:val="clear" w:pos="8949"/>
        </w:tabs>
        <w:rPr>
          <w:color w:val="000000" w:themeColor="text1"/>
          <w:highlight w:val="none"/>
        </w:rPr>
      </w:pPr>
      <w:r>
        <w:rPr>
          <w:b w:val="0"/>
          <w:bCs w:val="0"/>
          <w:caps w:val="0"/>
          <w:color w:val="000000" w:themeColor="text1"/>
          <w:highlight w:val="none"/>
        </w:rPr>
        <w:fldChar w:fldCharType="begin"/>
      </w:r>
      <w:r>
        <w:rPr>
          <w:b w:val="0"/>
          <w:bCs w:val="0"/>
          <w:caps w:val="0"/>
          <w:color w:val="000000" w:themeColor="text1"/>
          <w:highlight w:val="none"/>
        </w:rPr>
        <w:instrText xml:space="preserve"> TOC \o "1-3" \h \z \u </w:instrText>
      </w:r>
      <w:r>
        <w:rPr>
          <w:b w:val="0"/>
          <w:bCs w:val="0"/>
          <w:caps w:val="0"/>
          <w:color w:val="000000" w:themeColor="text1"/>
          <w:highlight w:val="none"/>
        </w:rPr>
        <w:fldChar w:fldCharType="separate"/>
      </w:r>
      <w:r>
        <w:rPr>
          <w:bCs w:val="0"/>
          <w:caps w:val="0"/>
          <w:color w:val="000000" w:themeColor="text1"/>
          <w:highlight w:val="none"/>
        </w:rPr>
        <w:fldChar w:fldCharType="begin"/>
      </w:r>
      <w:r>
        <w:rPr>
          <w:bCs w:val="0"/>
          <w:caps w:val="0"/>
          <w:color w:val="000000" w:themeColor="text1"/>
          <w:highlight w:val="none"/>
        </w:rPr>
        <w:instrText xml:space="preserve"> HYPERLINK \l _Toc16730 </w:instrText>
      </w:r>
      <w:r>
        <w:rPr>
          <w:bCs w:val="0"/>
          <w:caps w:val="0"/>
          <w:color w:val="000000" w:themeColor="text1"/>
          <w:highlight w:val="none"/>
        </w:rPr>
        <w:fldChar w:fldCharType="separate"/>
      </w:r>
      <w:r>
        <w:rPr>
          <w:rFonts w:hint="eastAsia"/>
          <w:color w:val="000000" w:themeColor="text1"/>
          <w:highlight w:val="none"/>
        </w:rPr>
        <w:t>第一部分 投标邀请函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_Toc16730 \h </w:instrText>
      </w:r>
      <w:r>
        <w:rPr>
          <w:color w:val="000000" w:themeColor="text1"/>
          <w:highlight w:val="none"/>
        </w:rPr>
        <w:fldChar w:fldCharType="separate"/>
      </w:r>
      <w:r>
        <w:rPr>
          <w:color w:val="000000" w:themeColor="text1"/>
          <w:highlight w:val="none"/>
        </w:rPr>
        <w:t>5</w:t>
      </w:r>
      <w:r>
        <w:rPr>
          <w:color w:val="000000" w:themeColor="text1"/>
          <w:highlight w:val="none"/>
        </w:rPr>
        <w:fldChar w:fldCharType="end"/>
      </w:r>
      <w:r>
        <w:rPr>
          <w:bCs w:val="0"/>
          <w:caps w:val="0"/>
          <w:color w:val="000000" w:themeColor="text1"/>
          <w:highlight w:val="none"/>
        </w:rPr>
        <w:fldChar w:fldCharType="end"/>
      </w:r>
    </w:p>
    <w:p>
      <w:pPr>
        <w:pStyle w:val="31"/>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_Toc17133 </w:instrText>
      </w:r>
      <w:r>
        <w:rPr>
          <w:bCs/>
          <w:caps/>
          <w:color w:val="000000" w:themeColor="text1"/>
          <w:szCs w:val="21"/>
          <w:highlight w:val="none"/>
        </w:rPr>
        <w:fldChar w:fldCharType="separate"/>
      </w:r>
      <w:r>
        <w:rPr>
          <w:rFonts w:hint="eastAsia"/>
          <w:color w:val="000000" w:themeColor="text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_Toc17133 \h </w:instrText>
      </w:r>
      <w:r>
        <w:rPr>
          <w:color w:val="000000" w:themeColor="text1"/>
          <w:highlight w:val="none"/>
        </w:rPr>
        <w:fldChar w:fldCharType="separate"/>
      </w:r>
      <w:r>
        <w:rPr>
          <w:color w:val="000000" w:themeColor="text1"/>
          <w:highlight w:val="none"/>
        </w:rPr>
        <w:t>10</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_Toc25187 </w:instrText>
      </w:r>
      <w:r>
        <w:rPr>
          <w:bCs/>
          <w:caps/>
          <w:color w:val="000000" w:themeColor="text1"/>
          <w:szCs w:val="21"/>
          <w:highlight w:val="none"/>
        </w:rPr>
        <w:fldChar w:fldCharType="separate"/>
      </w:r>
      <w:r>
        <w:rPr>
          <w:color w:val="000000" w:themeColor="text1"/>
          <w:kern w:val="0"/>
          <w:highlight w:val="none"/>
        </w:rPr>
        <w:t xml:space="preserve">A  </w:t>
      </w:r>
      <w:r>
        <w:rPr>
          <w:rFonts w:hint="eastAsia"/>
          <w:color w:val="000000" w:themeColor="text1"/>
          <w:kern w:val="0"/>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_Toc25187 \h </w:instrText>
      </w:r>
      <w:r>
        <w:rPr>
          <w:color w:val="000000" w:themeColor="text1"/>
          <w:highlight w:val="none"/>
        </w:rPr>
        <w:fldChar w:fldCharType="separate"/>
      </w:r>
      <w:r>
        <w:rPr>
          <w:color w:val="000000" w:themeColor="text1"/>
          <w:highlight w:val="none"/>
        </w:rPr>
        <w:t>10</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_Toc15710 </w:instrText>
      </w:r>
      <w:r>
        <w:rPr>
          <w:bCs/>
          <w:caps/>
          <w:color w:val="000000" w:themeColor="text1"/>
          <w:szCs w:val="21"/>
          <w:highlight w:val="none"/>
        </w:rPr>
        <w:fldChar w:fldCharType="separate"/>
      </w:r>
      <w:r>
        <w:rPr>
          <w:rFonts w:hint="eastAsia"/>
          <w:color w:val="000000" w:themeColor="text1"/>
          <w:kern w:val="0"/>
          <w:highlight w:val="none"/>
        </w:rPr>
        <w:t>B  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_Toc15710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bCs/>
          <w:caps/>
          <w:color w:val="000000" w:themeColor="text1"/>
          <w:szCs w:val="21"/>
          <w:highlight w:val="none"/>
        </w:rPr>
        <w:fldChar w:fldCharType="end"/>
      </w:r>
    </w:p>
    <w:p>
      <w:pPr>
        <w:pStyle w:val="31"/>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_Toc20100 </w:instrText>
      </w:r>
      <w:r>
        <w:rPr>
          <w:bCs/>
          <w:caps/>
          <w:color w:val="000000" w:themeColor="text1"/>
          <w:szCs w:val="21"/>
          <w:highlight w:val="none"/>
        </w:rPr>
        <w:fldChar w:fldCharType="separate"/>
      </w:r>
      <w:r>
        <w:rPr>
          <w:rFonts w:hint="eastAsia"/>
          <w:color w:val="000000" w:themeColor="text1"/>
          <w:highlight w:val="none"/>
        </w:rPr>
        <w:t>第三部分 投标人须知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_Toc20100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_Toc2623 </w:instrText>
      </w:r>
      <w:r>
        <w:rPr>
          <w:bCs/>
          <w:caps/>
          <w:color w:val="000000" w:themeColor="text1"/>
          <w:szCs w:val="21"/>
          <w:highlight w:val="none"/>
        </w:rPr>
        <w:fldChar w:fldCharType="separate"/>
      </w:r>
      <w:r>
        <w:rPr>
          <w:rFonts w:hint="eastAsia"/>
          <w:color w:val="000000" w:themeColor="text1"/>
          <w:szCs w:val="21"/>
          <w:highlight w:val="none"/>
        </w:rPr>
        <w:t>投标人须知前附表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_Toc2623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_Toc18745 </w:instrText>
      </w:r>
      <w:r>
        <w:rPr>
          <w:bCs/>
          <w:caps/>
          <w:color w:val="000000" w:themeColor="text1"/>
          <w:szCs w:val="21"/>
          <w:highlight w:val="none"/>
        </w:rPr>
        <w:fldChar w:fldCharType="separate"/>
      </w:r>
      <w:r>
        <w:rPr>
          <w:rFonts w:hint="eastAsia"/>
          <w:color w:val="000000" w:themeColor="text1"/>
          <w:highlight w:val="none"/>
        </w:rPr>
        <w:t>Ａ说明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_Toc18745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_Toc14009 </w:instrText>
      </w:r>
      <w:r>
        <w:rPr>
          <w:bCs/>
          <w:caps/>
          <w:color w:val="000000" w:themeColor="text1"/>
          <w:szCs w:val="21"/>
          <w:highlight w:val="none"/>
        </w:rPr>
        <w:fldChar w:fldCharType="separate"/>
      </w:r>
      <w:r>
        <w:rPr>
          <w:rFonts w:hint="default"/>
          <w:color w:val="000000" w:themeColor="text1"/>
          <w:highlight w:val="none"/>
        </w:rPr>
        <w:t xml:space="preserve">1 </w:t>
      </w:r>
      <w:r>
        <w:rPr>
          <w:rFonts w:hint="eastAsia"/>
          <w:color w:val="000000" w:themeColor="text1"/>
          <w:highlight w:val="none"/>
        </w:rPr>
        <w:t>适用范围和资金来源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_Toc14009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_Toc11296 </w:instrText>
      </w:r>
      <w:r>
        <w:rPr>
          <w:bCs/>
          <w:caps/>
          <w:color w:val="000000" w:themeColor="text1"/>
          <w:szCs w:val="21"/>
          <w:highlight w:val="none"/>
        </w:rPr>
        <w:fldChar w:fldCharType="separate"/>
      </w:r>
      <w:r>
        <w:rPr>
          <w:rFonts w:hint="default"/>
          <w:color w:val="000000" w:themeColor="text1"/>
          <w:highlight w:val="none"/>
        </w:rPr>
        <w:t xml:space="preserve">2 </w:t>
      </w:r>
      <w:r>
        <w:rPr>
          <w:rFonts w:hint="eastAsia"/>
          <w:color w:val="000000" w:themeColor="text1"/>
          <w:highlight w:val="none"/>
        </w:rPr>
        <w:t>定义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_Toc11296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_Toc6822 </w:instrText>
      </w:r>
      <w:r>
        <w:rPr>
          <w:bCs/>
          <w:caps/>
          <w:color w:val="000000" w:themeColor="text1"/>
          <w:szCs w:val="21"/>
          <w:highlight w:val="none"/>
        </w:rPr>
        <w:fldChar w:fldCharType="separate"/>
      </w:r>
      <w:r>
        <w:rPr>
          <w:rFonts w:hint="default"/>
          <w:color w:val="000000" w:themeColor="text1"/>
          <w:highlight w:val="none"/>
        </w:rPr>
        <w:t xml:space="preserve">3 </w:t>
      </w:r>
      <w:r>
        <w:rPr>
          <w:rFonts w:hint="eastAsia"/>
          <w:color w:val="000000" w:themeColor="text1"/>
          <w:highlight w:val="none"/>
        </w:rPr>
        <w:t>合格的投标人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_Toc6822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_Toc2454 </w:instrText>
      </w:r>
      <w:r>
        <w:rPr>
          <w:bCs/>
          <w:caps/>
          <w:color w:val="000000" w:themeColor="text1"/>
          <w:szCs w:val="21"/>
          <w:highlight w:val="none"/>
        </w:rPr>
        <w:fldChar w:fldCharType="separate"/>
      </w:r>
      <w:r>
        <w:rPr>
          <w:rFonts w:hint="default"/>
          <w:color w:val="000000" w:themeColor="text1"/>
          <w:highlight w:val="none"/>
        </w:rPr>
        <w:t xml:space="preserve">4 </w:t>
      </w:r>
      <w:r>
        <w:rPr>
          <w:rFonts w:hint="eastAsia"/>
          <w:color w:val="000000" w:themeColor="text1"/>
          <w:highlight w:val="none"/>
        </w:rPr>
        <w:t>投标费用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_Toc2454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_Toc22830 </w:instrText>
      </w:r>
      <w:r>
        <w:rPr>
          <w:bCs/>
          <w:caps/>
          <w:color w:val="000000" w:themeColor="text1"/>
          <w:szCs w:val="21"/>
          <w:highlight w:val="none"/>
        </w:rPr>
        <w:fldChar w:fldCharType="separate"/>
      </w:r>
      <w:r>
        <w:rPr>
          <w:rFonts w:hint="eastAsia"/>
          <w:color w:val="000000" w:themeColor="text1"/>
          <w:highlight w:val="none"/>
        </w:rPr>
        <w:t>Ｂ招标文件说明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_Toc22830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_Toc29019 </w:instrText>
      </w:r>
      <w:r>
        <w:rPr>
          <w:bCs/>
          <w:caps/>
          <w:color w:val="000000" w:themeColor="text1"/>
          <w:szCs w:val="21"/>
          <w:highlight w:val="none"/>
        </w:rPr>
        <w:fldChar w:fldCharType="separate"/>
      </w:r>
      <w:r>
        <w:rPr>
          <w:rFonts w:hint="default"/>
          <w:color w:val="000000" w:themeColor="text1"/>
          <w:highlight w:val="none"/>
        </w:rPr>
        <w:t xml:space="preserve">5 </w:t>
      </w:r>
      <w:r>
        <w:rPr>
          <w:rFonts w:hint="eastAsia"/>
          <w:color w:val="000000" w:themeColor="text1"/>
          <w:highlight w:val="none"/>
        </w:rPr>
        <w:t>招标文件的构成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_Toc29019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_Toc16231 </w:instrText>
      </w:r>
      <w:r>
        <w:rPr>
          <w:bCs/>
          <w:caps/>
          <w:color w:val="000000" w:themeColor="text1"/>
          <w:szCs w:val="21"/>
          <w:highlight w:val="none"/>
        </w:rPr>
        <w:fldChar w:fldCharType="separate"/>
      </w:r>
      <w:r>
        <w:rPr>
          <w:rFonts w:hint="default"/>
          <w:color w:val="000000" w:themeColor="text1"/>
          <w:highlight w:val="none"/>
        </w:rPr>
        <w:t xml:space="preserve">6 </w:t>
      </w:r>
      <w:r>
        <w:rPr>
          <w:rFonts w:hint="eastAsia"/>
          <w:color w:val="000000" w:themeColor="text1"/>
          <w:highlight w:val="none"/>
        </w:rPr>
        <w:t>招标文件的澄清、修改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_Toc16231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_Toc20281 </w:instrText>
      </w:r>
      <w:r>
        <w:rPr>
          <w:bCs/>
          <w:caps/>
          <w:color w:val="000000" w:themeColor="text1"/>
          <w:szCs w:val="21"/>
          <w:highlight w:val="none"/>
        </w:rPr>
        <w:fldChar w:fldCharType="separate"/>
      </w:r>
      <w:r>
        <w:rPr>
          <w:rFonts w:hint="eastAsia"/>
          <w:color w:val="000000" w:themeColor="text1"/>
          <w:highlight w:val="none"/>
        </w:rPr>
        <w:t>Ｃ投标文件的编制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_Toc20281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_Toc14548 </w:instrText>
      </w:r>
      <w:r>
        <w:rPr>
          <w:bCs/>
          <w:caps/>
          <w:color w:val="000000" w:themeColor="text1"/>
          <w:szCs w:val="21"/>
          <w:highlight w:val="none"/>
        </w:rPr>
        <w:fldChar w:fldCharType="separate"/>
      </w:r>
      <w:r>
        <w:rPr>
          <w:rFonts w:hint="default"/>
          <w:color w:val="000000" w:themeColor="text1"/>
          <w:highlight w:val="none"/>
        </w:rPr>
        <w:t xml:space="preserve">7 </w:t>
      </w:r>
      <w:r>
        <w:rPr>
          <w:rFonts w:hint="eastAsia"/>
          <w:color w:val="000000" w:themeColor="text1"/>
          <w:highlight w:val="none"/>
        </w:rPr>
        <w:t>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_Toc14548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_Toc23552 </w:instrText>
      </w:r>
      <w:r>
        <w:rPr>
          <w:bCs/>
          <w:caps/>
          <w:color w:val="000000" w:themeColor="text1"/>
          <w:szCs w:val="21"/>
          <w:highlight w:val="none"/>
        </w:rPr>
        <w:fldChar w:fldCharType="separate"/>
      </w:r>
      <w:r>
        <w:rPr>
          <w:rFonts w:hint="default"/>
          <w:color w:val="000000" w:themeColor="text1"/>
          <w:highlight w:val="none"/>
        </w:rPr>
        <w:t xml:space="preserve">8 </w:t>
      </w:r>
      <w:r>
        <w:rPr>
          <w:rFonts w:hint="eastAsia"/>
          <w:color w:val="000000" w:themeColor="text1"/>
          <w:highlight w:val="none"/>
        </w:rPr>
        <w:t>投标语言及计量单位</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_Toc23552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_Toc4340 </w:instrText>
      </w:r>
      <w:r>
        <w:rPr>
          <w:bCs/>
          <w:caps/>
          <w:color w:val="000000" w:themeColor="text1"/>
          <w:szCs w:val="21"/>
          <w:highlight w:val="none"/>
        </w:rPr>
        <w:fldChar w:fldCharType="separate"/>
      </w:r>
      <w:r>
        <w:rPr>
          <w:rFonts w:hint="default"/>
          <w:color w:val="000000" w:themeColor="text1"/>
          <w:highlight w:val="none"/>
        </w:rPr>
        <w:t xml:space="preserve">9 </w:t>
      </w:r>
      <w:r>
        <w:rPr>
          <w:rFonts w:hint="eastAsia"/>
          <w:color w:val="000000" w:themeColor="text1"/>
          <w:highlight w:val="none"/>
        </w:rPr>
        <w:t>投标文件的构成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_Toc4340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_Toc7005 </w:instrText>
      </w:r>
      <w:r>
        <w:rPr>
          <w:bCs/>
          <w:caps/>
          <w:color w:val="000000" w:themeColor="text1"/>
          <w:szCs w:val="21"/>
          <w:highlight w:val="none"/>
        </w:rPr>
        <w:fldChar w:fldCharType="separate"/>
      </w:r>
      <w:r>
        <w:rPr>
          <w:rFonts w:hint="default"/>
          <w:color w:val="000000" w:themeColor="text1"/>
          <w:highlight w:val="none"/>
        </w:rPr>
        <w:t xml:space="preserve">10 </w:t>
      </w:r>
      <w:r>
        <w:rPr>
          <w:rFonts w:hint="eastAsia"/>
          <w:color w:val="000000" w:themeColor="text1"/>
          <w:highlight w:val="none"/>
        </w:rPr>
        <w:t>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_Toc7005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_Toc12871 </w:instrText>
      </w:r>
      <w:r>
        <w:rPr>
          <w:bCs/>
          <w:caps/>
          <w:color w:val="000000" w:themeColor="text1"/>
          <w:szCs w:val="21"/>
          <w:highlight w:val="none"/>
        </w:rPr>
        <w:fldChar w:fldCharType="separate"/>
      </w:r>
      <w:r>
        <w:rPr>
          <w:rFonts w:hint="default"/>
          <w:color w:val="000000" w:themeColor="text1"/>
          <w:highlight w:val="none"/>
        </w:rPr>
        <w:t xml:space="preserve">11 </w:t>
      </w:r>
      <w:r>
        <w:rPr>
          <w:rFonts w:hint="eastAsia"/>
          <w:color w:val="000000" w:themeColor="text1"/>
          <w:highlight w:val="none"/>
        </w:rPr>
        <w:t>资格证明文件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_Toc12871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_Toc30026 </w:instrText>
      </w:r>
      <w:r>
        <w:rPr>
          <w:bCs/>
          <w:caps/>
          <w:color w:val="000000" w:themeColor="text1"/>
          <w:szCs w:val="21"/>
          <w:highlight w:val="none"/>
        </w:rPr>
        <w:fldChar w:fldCharType="separate"/>
      </w:r>
      <w:r>
        <w:rPr>
          <w:rFonts w:hint="default"/>
          <w:color w:val="000000" w:themeColor="text1"/>
          <w:highlight w:val="none"/>
        </w:rPr>
        <w:t xml:space="preserve">12 </w:t>
      </w:r>
      <w:r>
        <w:rPr>
          <w:rFonts w:hint="eastAsia"/>
          <w:color w:val="000000" w:themeColor="text1"/>
          <w:highlight w:val="none"/>
        </w:rPr>
        <w:t>货物和服务的证明文件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_Toc30026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_Toc22126 </w:instrText>
      </w:r>
      <w:r>
        <w:rPr>
          <w:bCs/>
          <w:caps/>
          <w:color w:val="000000" w:themeColor="text1"/>
          <w:szCs w:val="21"/>
          <w:highlight w:val="none"/>
        </w:rPr>
        <w:fldChar w:fldCharType="separate"/>
      </w:r>
      <w:r>
        <w:rPr>
          <w:rFonts w:hint="default"/>
          <w:color w:val="000000" w:themeColor="text1"/>
          <w:highlight w:val="none"/>
        </w:rPr>
        <w:t xml:space="preserve">13 </w:t>
      </w:r>
      <w:r>
        <w:rPr>
          <w:rFonts w:hint="eastAsia"/>
          <w:color w:val="000000" w:themeColor="text1"/>
          <w:highlight w:val="none"/>
        </w:rPr>
        <w:t>投标报价与投标货币</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_Toc22126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_Toc12336 </w:instrText>
      </w:r>
      <w:r>
        <w:rPr>
          <w:bCs/>
          <w:caps/>
          <w:color w:val="000000" w:themeColor="text1"/>
          <w:szCs w:val="21"/>
          <w:highlight w:val="none"/>
        </w:rPr>
        <w:fldChar w:fldCharType="separate"/>
      </w:r>
      <w:r>
        <w:rPr>
          <w:rFonts w:hint="default"/>
          <w:color w:val="000000" w:themeColor="text1"/>
          <w:highlight w:val="none"/>
        </w:rPr>
        <w:t xml:space="preserve">14 </w:t>
      </w:r>
      <w:r>
        <w:rPr>
          <w:rFonts w:hint="eastAsia"/>
          <w:color w:val="000000" w:themeColor="text1"/>
          <w:highlight w:val="none"/>
        </w:rPr>
        <w:t>投标保证金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_Toc12336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_Toc30798 </w:instrText>
      </w:r>
      <w:r>
        <w:rPr>
          <w:bCs/>
          <w:caps/>
          <w:color w:val="000000" w:themeColor="text1"/>
          <w:szCs w:val="21"/>
          <w:highlight w:val="none"/>
        </w:rPr>
        <w:fldChar w:fldCharType="separate"/>
      </w:r>
      <w:r>
        <w:rPr>
          <w:rFonts w:hint="default"/>
          <w:color w:val="000000" w:themeColor="text1"/>
          <w:highlight w:val="none"/>
        </w:rPr>
        <w:t xml:space="preserve">15 </w:t>
      </w:r>
      <w:r>
        <w:rPr>
          <w:rFonts w:hint="eastAsia"/>
          <w:color w:val="000000" w:themeColor="text1"/>
          <w:highlight w:val="none"/>
        </w:rPr>
        <w:t>投标有效期</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_Toc30798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_Toc30966 </w:instrText>
      </w:r>
      <w:r>
        <w:rPr>
          <w:bCs/>
          <w:caps/>
          <w:color w:val="000000" w:themeColor="text1"/>
          <w:szCs w:val="21"/>
          <w:highlight w:val="none"/>
        </w:rPr>
        <w:fldChar w:fldCharType="separate"/>
      </w:r>
      <w:r>
        <w:rPr>
          <w:rFonts w:hint="default"/>
          <w:color w:val="000000" w:themeColor="text1"/>
          <w:highlight w:val="none"/>
        </w:rPr>
        <w:t xml:space="preserve">16 </w:t>
      </w:r>
      <w:r>
        <w:rPr>
          <w:rFonts w:hint="eastAsia"/>
          <w:color w:val="000000" w:themeColor="text1"/>
          <w:highlight w:val="none"/>
        </w:rPr>
        <w:t>投标文件的签署及规定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_Toc30966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_Toc8296 </w:instrText>
      </w:r>
      <w:r>
        <w:rPr>
          <w:bCs/>
          <w:caps/>
          <w:color w:val="000000" w:themeColor="text1"/>
          <w:szCs w:val="21"/>
          <w:highlight w:val="none"/>
        </w:rPr>
        <w:fldChar w:fldCharType="separate"/>
      </w:r>
      <w:r>
        <w:rPr>
          <w:rFonts w:hint="eastAsia"/>
          <w:color w:val="000000" w:themeColor="text1"/>
          <w:highlight w:val="none"/>
        </w:rPr>
        <w:t>Ｄ投标文件的递交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_Toc8296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_Toc20614 </w:instrText>
      </w:r>
      <w:r>
        <w:rPr>
          <w:bCs/>
          <w:caps/>
          <w:color w:val="000000" w:themeColor="text1"/>
          <w:szCs w:val="21"/>
          <w:highlight w:val="none"/>
        </w:rPr>
        <w:fldChar w:fldCharType="separate"/>
      </w:r>
      <w:r>
        <w:rPr>
          <w:rFonts w:hint="default" w:ascii="宋体" w:hAnsi="宋体"/>
          <w:color w:val="000000" w:themeColor="text1"/>
          <w:highlight w:val="none"/>
        </w:rPr>
        <w:t xml:space="preserve">17 </w:t>
      </w:r>
      <w:r>
        <w:rPr>
          <w:rFonts w:hint="eastAsia"/>
          <w:color w:val="000000" w:themeColor="text1"/>
          <w:highlight w:val="none"/>
        </w:rPr>
        <w:t>投标文件的密封和标记</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_Toc20614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_Toc9403 </w:instrText>
      </w:r>
      <w:r>
        <w:rPr>
          <w:bCs/>
          <w:caps/>
          <w:color w:val="000000" w:themeColor="text1"/>
          <w:szCs w:val="21"/>
          <w:highlight w:val="none"/>
        </w:rPr>
        <w:fldChar w:fldCharType="separate"/>
      </w:r>
      <w:r>
        <w:rPr>
          <w:rFonts w:hint="default"/>
          <w:color w:val="000000" w:themeColor="text1"/>
          <w:highlight w:val="none"/>
        </w:rPr>
        <w:t xml:space="preserve">18 </w:t>
      </w:r>
      <w:r>
        <w:rPr>
          <w:rFonts w:hint="eastAsia"/>
          <w:color w:val="000000" w:themeColor="text1"/>
          <w:highlight w:val="none"/>
        </w:rPr>
        <w:t>递交投标文件的时间、地点及截止时间</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_Toc9403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_Toc12955 </w:instrText>
      </w:r>
      <w:r>
        <w:rPr>
          <w:bCs/>
          <w:caps/>
          <w:color w:val="000000" w:themeColor="text1"/>
          <w:szCs w:val="21"/>
          <w:highlight w:val="none"/>
        </w:rPr>
        <w:fldChar w:fldCharType="separate"/>
      </w:r>
      <w:r>
        <w:rPr>
          <w:rFonts w:hint="default"/>
          <w:color w:val="000000" w:themeColor="text1"/>
          <w:highlight w:val="none"/>
        </w:rPr>
        <w:t xml:space="preserve">19 </w:t>
      </w:r>
      <w:r>
        <w:rPr>
          <w:rFonts w:hint="eastAsia"/>
          <w:color w:val="000000" w:themeColor="text1"/>
          <w:highlight w:val="none"/>
        </w:rPr>
        <w:t>迟交的投标文件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_Toc12955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_Toc238 </w:instrText>
      </w:r>
      <w:r>
        <w:rPr>
          <w:bCs/>
          <w:caps/>
          <w:color w:val="000000" w:themeColor="text1"/>
          <w:szCs w:val="21"/>
          <w:highlight w:val="none"/>
        </w:rPr>
        <w:fldChar w:fldCharType="separate"/>
      </w:r>
      <w:r>
        <w:rPr>
          <w:rFonts w:hint="default"/>
          <w:color w:val="000000" w:themeColor="text1"/>
          <w:highlight w:val="none"/>
        </w:rPr>
        <w:t xml:space="preserve">20 </w:t>
      </w:r>
      <w:r>
        <w:rPr>
          <w:rFonts w:hint="eastAsia"/>
          <w:color w:val="000000" w:themeColor="text1"/>
          <w:highlight w:val="none"/>
        </w:rPr>
        <w:t>投标文件的修改和撤回</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_Toc238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_Toc10191 </w:instrText>
      </w:r>
      <w:r>
        <w:rPr>
          <w:bCs/>
          <w:caps/>
          <w:color w:val="000000" w:themeColor="text1"/>
          <w:szCs w:val="21"/>
          <w:highlight w:val="none"/>
        </w:rPr>
        <w:fldChar w:fldCharType="separate"/>
      </w:r>
      <w:r>
        <w:rPr>
          <w:rFonts w:hint="eastAsia"/>
          <w:color w:val="000000" w:themeColor="text1"/>
          <w:highlight w:val="none"/>
        </w:rPr>
        <w:t>Ｅ开标和评标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_Toc10191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_Toc20627 </w:instrText>
      </w:r>
      <w:r>
        <w:rPr>
          <w:bCs/>
          <w:caps/>
          <w:color w:val="000000" w:themeColor="text1"/>
          <w:szCs w:val="21"/>
          <w:highlight w:val="none"/>
        </w:rPr>
        <w:fldChar w:fldCharType="separate"/>
      </w:r>
      <w:r>
        <w:rPr>
          <w:rFonts w:hint="default"/>
          <w:color w:val="000000" w:themeColor="text1"/>
          <w:highlight w:val="none"/>
        </w:rPr>
        <w:t xml:space="preserve">21 </w:t>
      </w:r>
      <w:r>
        <w:rPr>
          <w:rFonts w:hint="eastAsia"/>
          <w:color w:val="000000" w:themeColor="text1"/>
          <w:highlight w:val="none"/>
        </w:rPr>
        <w:t>开标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_Toc20627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_Toc17726 </w:instrText>
      </w:r>
      <w:r>
        <w:rPr>
          <w:bCs/>
          <w:caps/>
          <w:color w:val="000000" w:themeColor="text1"/>
          <w:szCs w:val="21"/>
          <w:highlight w:val="none"/>
        </w:rPr>
        <w:fldChar w:fldCharType="separate"/>
      </w:r>
      <w:r>
        <w:rPr>
          <w:rFonts w:hint="default" w:ascii="宋体" w:hAnsi="宋体"/>
          <w:color w:val="000000" w:themeColor="text1"/>
          <w:highlight w:val="none"/>
        </w:rPr>
        <w:t xml:space="preserve">22 </w:t>
      </w:r>
      <w:r>
        <w:rPr>
          <w:rFonts w:hint="eastAsia"/>
          <w:color w:val="000000" w:themeColor="text1"/>
          <w:highlight w:val="none"/>
        </w:rPr>
        <w:t>评标委员会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_Toc17726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_Toc1221 </w:instrText>
      </w:r>
      <w:r>
        <w:rPr>
          <w:bCs/>
          <w:caps/>
          <w:color w:val="000000" w:themeColor="text1"/>
          <w:szCs w:val="21"/>
          <w:highlight w:val="none"/>
        </w:rPr>
        <w:fldChar w:fldCharType="separate"/>
      </w:r>
      <w:r>
        <w:rPr>
          <w:rFonts w:hint="default"/>
          <w:color w:val="000000" w:themeColor="text1"/>
          <w:highlight w:val="none"/>
        </w:rPr>
        <w:t xml:space="preserve">23 </w:t>
      </w:r>
      <w:r>
        <w:rPr>
          <w:rFonts w:hint="eastAsia"/>
          <w:color w:val="000000" w:themeColor="text1"/>
          <w:highlight w:val="none"/>
        </w:rPr>
        <w:t>对投标文件的初审和响应性的确定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_Toc1221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_Toc28230 </w:instrText>
      </w:r>
      <w:r>
        <w:rPr>
          <w:bCs/>
          <w:caps/>
          <w:color w:val="000000" w:themeColor="text1"/>
          <w:szCs w:val="21"/>
          <w:highlight w:val="none"/>
        </w:rPr>
        <w:fldChar w:fldCharType="separate"/>
      </w:r>
      <w:r>
        <w:rPr>
          <w:rFonts w:hint="default"/>
          <w:color w:val="000000" w:themeColor="text1"/>
          <w:highlight w:val="none"/>
        </w:rPr>
        <w:t xml:space="preserve">24 </w:t>
      </w:r>
      <w:r>
        <w:rPr>
          <w:rFonts w:hint="eastAsia"/>
          <w:color w:val="000000" w:themeColor="text1"/>
          <w:highlight w:val="none"/>
        </w:rPr>
        <w:t>投标报价的审核</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_Toc28230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_Toc30575 </w:instrText>
      </w:r>
      <w:r>
        <w:rPr>
          <w:bCs/>
          <w:caps/>
          <w:color w:val="000000" w:themeColor="text1"/>
          <w:szCs w:val="21"/>
          <w:highlight w:val="none"/>
        </w:rPr>
        <w:fldChar w:fldCharType="separate"/>
      </w:r>
      <w:r>
        <w:rPr>
          <w:rFonts w:hint="default"/>
          <w:color w:val="000000" w:themeColor="text1"/>
          <w:highlight w:val="none"/>
        </w:rPr>
        <w:t xml:space="preserve">25 </w:t>
      </w:r>
      <w:r>
        <w:rPr>
          <w:rFonts w:hint="eastAsia"/>
          <w:color w:val="000000" w:themeColor="text1"/>
          <w:highlight w:val="none"/>
        </w:rPr>
        <w:t>询标及投标文件的澄清</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_Toc30575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_Toc4385 </w:instrText>
      </w:r>
      <w:r>
        <w:rPr>
          <w:bCs/>
          <w:caps/>
          <w:color w:val="000000" w:themeColor="text1"/>
          <w:szCs w:val="21"/>
          <w:highlight w:val="none"/>
        </w:rPr>
        <w:fldChar w:fldCharType="separate"/>
      </w:r>
      <w:r>
        <w:rPr>
          <w:rFonts w:hint="default"/>
          <w:color w:val="000000" w:themeColor="text1"/>
          <w:highlight w:val="none"/>
        </w:rPr>
        <w:t xml:space="preserve">26 </w:t>
      </w:r>
      <w:r>
        <w:rPr>
          <w:rFonts w:hint="eastAsia"/>
          <w:color w:val="000000" w:themeColor="text1"/>
          <w:highlight w:val="none"/>
        </w:rPr>
        <w:t>评标原则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_Toc4385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_Toc20981 </w:instrText>
      </w:r>
      <w:r>
        <w:rPr>
          <w:bCs/>
          <w:caps/>
          <w:color w:val="000000" w:themeColor="text1"/>
          <w:szCs w:val="21"/>
          <w:highlight w:val="none"/>
        </w:rPr>
        <w:fldChar w:fldCharType="separate"/>
      </w:r>
      <w:r>
        <w:rPr>
          <w:rFonts w:hint="default"/>
          <w:color w:val="000000" w:themeColor="text1"/>
          <w:highlight w:val="none"/>
        </w:rPr>
        <w:t xml:space="preserve">27 </w:t>
      </w:r>
      <w:r>
        <w:rPr>
          <w:rFonts w:hint="eastAsia"/>
          <w:color w:val="000000" w:themeColor="text1"/>
          <w:highlight w:val="none"/>
        </w:rPr>
        <w:t>评标标准和办法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_Toc20981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_Toc7532 </w:instrText>
      </w:r>
      <w:r>
        <w:rPr>
          <w:bCs/>
          <w:caps/>
          <w:color w:val="000000" w:themeColor="text1"/>
          <w:szCs w:val="21"/>
          <w:highlight w:val="none"/>
        </w:rPr>
        <w:fldChar w:fldCharType="separate"/>
      </w:r>
      <w:r>
        <w:rPr>
          <w:rFonts w:hint="default"/>
          <w:color w:val="000000" w:themeColor="text1"/>
          <w:highlight w:val="none"/>
        </w:rPr>
        <w:t xml:space="preserve">28 </w:t>
      </w:r>
      <w:r>
        <w:rPr>
          <w:rFonts w:hint="eastAsia"/>
          <w:color w:val="000000" w:themeColor="text1"/>
          <w:highlight w:val="none"/>
        </w:rPr>
        <w:t>评标注意事项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_Toc7532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_Toc10786 </w:instrText>
      </w:r>
      <w:r>
        <w:rPr>
          <w:bCs/>
          <w:caps/>
          <w:color w:val="000000" w:themeColor="text1"/>
          <w:szCs w:val="21"/>
          <w:highlight w:val="none"/>
        </w:rPr>
        <w:fldChar w:fldCharType="separate"/>
      </w:r>
      <w:r>
        <w:rPr>
          <w:rFonts w:hint="default"/>
          <w:color w:val="000000" w:themeColor="text1"/>
          <w:highlight w:val="none"/>
        </w:rPr>
        <w:t xml:space="preserve">29 </w:t>
      </w:r>
      <w:r>
        <w:rPr>
          <w:rFonts w:hint="eastAsia"/>
          <w:color w:val="000000" w:themeColor="text1"/>
          <w:highlight w:val="none"/>
        </w:rPr>
        <w:t>接受和拒绝投标的权利</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_Toc10786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_Toc11229 </w:instrText>
      </w:r>
      <w:r>
        <w:rPr>
          <w:bCs/>
          <w:caps/>
          <w:color w:val="000000" w:themeColor="text1"/>
          <w:szCs w:val="21"/>
          <w:highlight w:val="none"/>
        </w:rPr>
        <w:fldChar w:fldCharType="separate"/>
      </w:r>
      <w:r>
        <w:rPr>
          <w:rFonts w:hint="default"/>
          <w:color w:val="000000" w:themeColor="text1"/>
          <w:highlight w:val="none"/>
        </w:rPr>
        <w:t xml:space="preserve">30 </w:t>
      </w:r>
      <w:r>
        <w:rPr>
          <w:rFonts w:hint="eastAsia"/>
          <w:color w:val="000000" w:themeColor="text1"/>
          <w:highlight w:val="none"/>
        </w:rPr>
        <w:t>发布中标结果公告和发放中标通知书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_Toc11229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_Toc3973 </w:instrText>
      </w:r>
      <w:r>
        <w:rPr>
          <w:bCs/>
          <w:caps/>
          <w:color w:val="000000" w:themeColor="text1"/>
          <w:szCs w:val="21"/>
          <w:highlight w:val="none"/>
        </w:rPr>
        <w:fldChar w:fldCharType="separate"/>
      </w:r>
      <w:r>
        <w:rPr>
          <w:rFonts w:hint="default"/>
          <w:color w:val="000000" w:themeColor="text1"/>
          <w:highlight w:val="none"/>
        </w:rPr>
        <w:t xml:space="preserve">31 </w:t>
      </w:r>
      <w:r>
        <w:rPr>
          <w:rFonts w:hint="eastAsia"/>
          <w:color w:val="000000" w:themeColor="text1"/>
          <w:highlight w:val="none"/>
        </w:rPr>
        <w:t>投标人对中标结果的质疑、投诉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_Toc3973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_Toc18613 </w:instrText>
      </w:r>
      <w:r>
        <w:rPr>
          <w:bCs/>
          <w:caps/>
          <w:color w:val="000000" w:themeColor="text1"/>
          <w:szCs w:val="21"/>
          <w:highlight w:val="none"/>
        </w:rPr>
        <w:fldChar w:fldCharType="separate"/>
      </w:r>
      <w:r>
        <w:rPr>
          <w:rFonts w:hint="eastAsia"/>
          <w:color w:val="000000" w:themeColor="text1"/>
          <w:highlight w:val="none"/>
        </w:rPr>
        <w:t>Ｆ  授予合同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_Toc18613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_Toc21660 </w:instrText>
      </w:r>
      <w:r>
        <w:rPr>
          <w:bCs/>
          <w:caps/>
          <w:color w:val="000000" w:themeColor="text1"/>
          <w:szCs w:val="21"/>
          <w:highlight w:val="none"/>
        </w:rPr>
        <w:fldChar w:fldCharType="separate"/>
      </w:r>
      <w:r>
        <w:rPr>
          <w:rFonts w:hint="default"/>
          <w:color w:val="000000" w:themeColor="text1"/>
          <w:highlight w:val="none"/>
        </w:rPr>
        <w:t xml:space="preserve">32 </w:t>
      </w:r>
      <w:r>
        <w:rPr>
          <w:rFonts w:hint="eastAsia"/>
          <w:color w:val="000000" w:themeColor="text1"/>
          <w:highlight w:val="none"/>
        </w:rPr>
        <w:t>合同授予标准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_Toc21660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_Toc7856 </w:instrText>
      </w:r>
      <w:r>
        <w:rPr>
          <w:bCs/>
          <w:caps/>
          <w:color w:val="000000" w:themeColor="text1"/>
          <w:szCs w:val="21"/>
          <w:highlight w:val="none"/>
        </w:rPr>
        <w:fldChar w:fldCharType="separate"/>
      </w:r>
      <w:r>
        <w:rPr>
          <w:rFonts w:hint="default"/>
          <w:color w:val="000000" w:themeColor="text1"/>
          <w:highlight w:val="none"/>
        </w:rPr>
        <w:t xml:space="preserve">33 </w:t>
      </w:r>
      <w:r>
        <w:rPr>
          <w:rFonts w:hint="eastAsia"/>
          <w:color w:val="000000" w:themeColor="text1"/>
          <w:highlight w:val="none"/>
        </w:rPr>
        <w:t>签订合同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_Toc7856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_Toc31366 </w:instrText>
      </w:r>
      <w:r>
        <w:rPr>
          <w:bCs/>
          <w:caps/>
          <w:color w:val="000000" w:themeColor="text1"/>
          <w:szCs w:val="21"/>
          <w:highlight w:val="none"/>
        </w:rPr>
        <w:fldChar w:fldCharType="separate"/>
      </w:r>
      <w:r>
        <w:rPr>
          <w:color w:val="000000" w:themeColor="text1"/>
          <w:highlight w:val="none"/>
        </w:rPr>
        <w:t>G</w:t>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_Toc31366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_Toc28289 </w:instrText>
      </w:r>
      <w:r>
        <w:rPr>
          <w:bCs/>
          <w:caps/>
          <w:color w:val="000000" w:themeColor="text1"/>
          <w:szCs w:val="21"/>
          <w:highlight w:val="none"/>
        </w:rPr>
        <w:fldChar w:fldCharType="separate"/>
      </w:r>
      <w:r>
        <w:rPr>
          <w:rFonts w:hint="eastAsia"/>
          <w:color w:val="000000" w:themeColor="text1"/>
          <w:highlight w:val="none"/>
        </w:rPr>
        <w:t>H、评标细则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_Toc28289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bCs/>
          <w:caps/>
          <w:color w:val="000000" w:themeColor="text1"/>
          <w:szCs w:val="21"/>
          <w:highlight w:val="none"/>
        </w:rPr>
        <w:fldChar w:fldCharType="end"/>
      </w:r>
    </w:p>
    <w:p>
      <w:pPr>
        <w:pStyle w:val="31"/>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_Toc6927 </w:instrText>
      </w:r>
      <w:r>
        <w:rPr>
          <w:bCs/>
          <w:caps/>
          <w:color w:val="000000" w:themeColor="text1"/>
          <w:szCs w:val="21"/>
          <w:highlight w:val="none"/>
        </w:rPr>
        <w:fldChar w:fldCharType="separate"/>
      </w:r>
      <w:r>
        <w:rPr>
          <w:rFonts w:hint="eastAsia"/>
          <w:color w:val="000000" w:themeColor="text1"/>
          <w:highlight w:val="none"/>
        </w:rPr>
        <w:t>第四部分  采购项目合同（参考范本）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_Toc6927 \h </w:instrText>
      </w:r>
      <w:r>
        <w:rPr>
          <w:color w:val="000000" w:themeColor="text1"/>
          <w:highlight w:val="none"/>
        </w:rPr>
        <w:fldChar w:fldCharType="separate"/>
      </w:r>
      <w:r>
        <w:rPr>
          <w:color w:val="000000" w:themeColor="text1"/>
          <w:highlight w:val="none"/>
        </w:rPr>
        <w:t>44</w:t>
      </w:r>
      <w:r>
        <w:rPr>
          <w:color w:val="000000" w:themeColor="text1"/>
          <w:highlight w:val="none"/>
        </w:rPr>
        <w:fldChar w:fldCharType="end"/>
      </w:r>
      <w:r>
        <w:rPr>
          <w:bCs/>
          <w:caps/>
          <w:color w:val="000000" w:themeColor="text1"/>
          <w:szCs w:val="21"/>
          <w:highlight w:val="none"/>
        </w:rPr>
        <w:fldChar w:fldCharType="end"/>
      </w:r>
    </w:p>
    <w:p>
      <w:pPr>
        <w:pStyle w:val="31"/>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_Toc24344 </w:instrText>
      </w:r>
      <w:r>
        <w:rPr>
          <w:bCs/>
          <w:caps/>
          <w:color w:val="000000" w:themeColor="text1"/>
          <w:szCs w:val="21"/>
          <w:highlight w:val="none"/>
        </w:rPr>
        <w:fldChar w:fldCharType="separate"/>
      </w:r>
      <w:r>
        <w:rPr>
          <w:rFonts w:hint="eastAsia"/>
          <w:color w:val="000000" w:themeColor="text1"/>
          <w:highlight w:val="none"/>
        </w:rPr>
        <w:t>第五部分投标文件格式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_Toc24344 \h </w:instrText>
      </w:r>
      <w:r>
        <w:rPr>
          <w:color w:val="000000" w:themeColor="text1"/>
          <w:highlight w:val="none"/>
        </w:rPr>
        <w:fldChar w:fldCharType="separate"/>
      </w:r>
      <w:r>
        <w:rPr>
          <w:color w:val="000000" w:themeColor="text1"/>
          <w:highlight w:val="none"/>
        </w:rPr>
        <w:t>47</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_Toc19539 </w:instrText>
      </w:r>
      <w:r>
        <w:rPr>
          <w:bCs/>
          <w:caps/>
          <w:color w:val="000000" w:themeColor="text1"/>
          <w:szCs w:val="21"/>
          <w:highlight w:val="none"/>
        </w:rPr>
        <w:fldChar w:fldCharType="separate"/>
      </w:r>
      <w:r>
        <w:rPr>
          <w:rFonts w:hint="eastAsia"/>
          <w:color w:val="000000" w:themeColor="text1"/>
          <w:highlight w:val="none"/>
        </w:rPr>
        <w:t>资格审查封面格式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_Toc19539 \h </w:instrText>
      </w:r>
      <w:r>
        <w:rPr>
          <w:color w:val="000000" w:themeColor="text1"/>
          <w:highlight w:val="none"/>
        </w:rPr>
        <w:fldChar w:fldCharType="separate"/>
      </w:r>
      <w:r>
        <w:rPr>
          <w:color w:val="000000" w:themeColor="text1"/>
          <w:highlight w:val="none"/>
        </w:rPr>
        <w:t>47</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_Toc21837 </w:instrText>
      </w:r>
      <w:r>
        <w:rPr>
          <w:bCs/>
          <w:caps/>
          <w:color w:val="000000" w:themeColor="text1"/>
          <w:szCs w:val="21"/>
          <w:highlight w:val="none"/>
        </w:rPr>
        <w:fldChar w:fldCharType="separate"/>
      </w:r>
      <w:r>
        <w:rPr>
          <w:rFonts w:hint="default"/>
          <w:color w:val="000000" w:themeColor="text1"/>
          <w:highlight w:val="none"/>
        </w:rPr>
        <w:t xml:space="preserve">第一章 </w:t>
      </w:r>
      <w:r>
        <w:rPr>
          <w:rFonts w:hint="eastAsia"/>
          <w:color w:val="000000" w:themeColor="text1"/>
          <w:highlight w:val="none"/>
        </w:rPr>
        <w:t>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_Toc21837 \h </w:instrText>
      </w:r>
      <w:r>
        <w:rPr>
          <w:color w:val="000000" w:themeColor="text1"/>
          <w:highlight w:val="none"/>
        </w:rPr>
        <w:fldChar w:fldCharType="separate"/>
      </w:r>
      <w:r>
        <w:rPr>
          <w:color w:val="000000" w:themeColor="text1"/>
          <w:highlight w:val="none"/>
        </w:rPr>
        <w:t>49</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_Toc4688 </w:instrText>
      </w:r>
      <w:r>
        <w:rPr>
          <w:bCs/>
          <w:caps/>
          <w:color w:val="000000" w:themeColor="text1"/>
          <w:szCs w:val="21"/>
          <w:highlight w:val="none"/>
        </w:rPr>
        <w:fldChar w:fldCharType="separate"/>
      </w:r>
      <w:r>
        <w:rPr>
          <w:rFonts w:hint="eastAsia" w:ascii="宋体"/>
          <w:bCs w:val="0"/>
          <w:color w:val="000000" w:themeColor="text1"/>
          <w:szCs w:val="21"/>
          <w:highlight w:val="none"/>
        </w:rPr>
        <w:t>资格性自查表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_Toc4688 \h </w:instrText>
      </w:r>
      <w:r>
        <w:rPr>
          <w:color w:val="000000" w:themeColor="text1"/>
          <w:highlight w:val="none"/>
        </w:rPr>
        <w:fldChar w:fldCharType="separate"/>
      </w:r>
      <w:r>
        <w:rPr>
          <w:color w:val="000000" w:themeColor="text1"/>
          <w:highlight w:val="none"/>
        </w:rPr>
        <w:t>49</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_Toc13729 </w:instrText>
      </w:r>
      <w:r>
        <w:rPr>
          <w:bCs/>
          <w:caps/>
          <w:color w:val="000000" w:themeColor="text1"/>
          <w:szCs w:val="21"/>
          <w:highlight w:val="none"/>
        </w:rPr>
        <w:fldChar w:fldCharType="separate"/>
      </w:r>
      <w:r>
        <w:rPr>
          <w:rFonts w:hint="eastAsia"/>
          <w:color w:val="000000" w:themeColor="text1"/>
          <w:highlight w:val="none"/>
        </w:rPr>
        <w:t>（一）资格审查文件要求提交的有效证明文件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_Toc13729 \h </w:instrText>
      </w:r>
      <w:r>
        <w:rPr>
          <w:color w:val="000000" w:themeColor="text1"/>
          <w:highlight w:val="none"/>
        </w:rPr>
        <w:fldChar w:fldCharType="separate"/>
      </w:r>
      <w:r>
        <w:rPr>
          <w:color w:val="000000" w:themeColor="text1"/>
          <w:highlight w:val="none"/>
        </w:rPr>
        <w:t>53</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_Toc22038 </w:instrText>
      </w:r>
      <w:r>
        <w:rPr>
          <w:bCs/>
          <w:caps/>
          <w:color w:val="000000" w:themeColor="text1"/>
          <w:szCs w:val="21"/>
          <w:highlight w:val="none"/>
        </w:rPr>
        <w:fldChar w:fldCharType="separate"/>
      </w:r>
      <w:r>
        <w:rPr>
          <w:rFonts w:hint="eastAsia" w:hAnsi="黑体"/>
          <w:color w:val="000000" w:themeColor="text1"/>
          <w:szCs w:val="21"/>
          <w:highlight w:val="none"/>
        </w:rPr>
        <w:t>（二）无重大违法记录声明函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_Toc22038 \h </w:instrText>
      </w:r>
      <w:r>
        <w:rPr>
          <w:color w:val="000000" w:themeColor="text1"/>
          <w:highlight w:val="none"/>
        </w:rPr>
        <w:fldChar w:fldCharType="separate"/>
      </w:r>
      <w:r>
        <w:rPr>
          <w:color w:val="000000" w:themeColor="text1"/>
          <w:highlight w:val="none"/>
        </w:rPr>
        <w:t>54</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_Toc18731 </w:instrText>
      </w:r>
      <w:r>
        <w:rPr>
          <w:bCs/>
          <w:caps/>
          <w:color w:val="000000" w:themeColor="text1"/>
          <w:szCs w:val="21"/>
          <w:highlight w:val="none"/>
        </w:rPr>
        <w:fldChar w:fldCharType="separate"/>
      </w:r>
      <w:r>
        <w:rPr>
          <w:rFonts w:hint="default"/>
          <w:color w:val="000000" w:themeColor="text1"/>
          <w:highlight w:val="none"/>
        </w:rPr>
        <w:t xml:space="preserve">第二章 </w:t>
      </w:r>
      <w:r>
        <w:rPr>
          <w:rFonts w:hint="eastAsia"/>
          <w:color w:val="000000" w:themeColor="text1"/>
          <w:highlight w:val="none"/>
        </w:rPr>
        <w:t>投标文件商务及技术部分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_Toc18731 \h </w:instrText>
      </w:r>
      <w:r>
        <w:rPr>
          <w:color w:val="000000" w:themeColor="text1"/>
          <w:highlight w:val="none"/>
        </w:rPr>
        <w:fldChar w:fldCharType="separate"/>
      </w:r>
      <w:r>
        <w:rPr>
          <w:color w:val="000000" w:themeColor="text1"/>
          <w:highlight w:val="none"/>
        </w:rPr>
        <w:t>55</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_Toc22399 </w:instrText>
      </w:r>
      <w:r>
        <w:rPr>
          <w:bCs/>
          <w:caps/>
          <w:color w:val="000000" w:themeColor="text1"/>
          <w:szCs w:val="21"/>
          <w:highlight w:val="none"/>
        </w:rPr>
        <w:fldChar w:fldCharType="separate"/>
      </w:r>
      <w:r>
        <w:rPr>
          <w:rFonts w:hint="eastAsia"/>
          <w:color w:val="000000" w:themeColor="text1"/>
          <w:highlight w:val="none"/>
        </w:rPr>
        <w:t>商务及技术封面格式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_Toc22399 \h </w:instrText>
      </w:r>
      <w:r>
        <w:rPr>
          <w:color w:val="000000" w:themeColor="text1"/>
          <w:highlight w:val="none"/>
        </w:rPr>
        <w:fldChar w:fldCharType="separate"/>
      </w:r>
      <w:r>
        <w:rPr>
          <w:color w:val="000000" w:themeColor="text1"/>
          <w:highlight w:val="none"/>
        </w:rPr>
        <w:t>55</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_Toc1787 </w:instrText>
      </w:r>
      <w:r>
        <w:rPr>
          <w:bCs/>
          <w:caps/>
          <w:color w:val="000000" w:themeColor="text1"/>
          <w:szCs w:val="21"/>
          <w:highlight w:val="none"/>
        </w:rPr>
        <w:fldChar w:fldCharType="separate"/>
      </w:r>
      <w:r>
        <w:rPr>
          <w:rFonts w:hint="eastAsia" w:ascii="宋体"/>
          <w:bCs w:val="0"/>
          <w:color w:val="000000" w:themeColor="text1"/>
          <w:szCs w:val="21"/>
          <w:highlight w:val="none"/>
        </w:rPr>
        <w:t>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_Toc1787 \h </w:instrText>
      </w:r>
      <w:r>
        <w:rPr>
          <w:color w:val="000000" w:themeColor="text1"/>
          <w:highlight w:val="none"/>
        </w:rPr>
        <w:fldChar w:fldCharType="separate"/>
      </w:r>
      <w:r>
        <w:rPr>
          <w:color w:val="000000" w:themeColor="text1"/>
          <w:highlight w:val="none"/>
        </w:rPr>
        <w:t>57</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_Toc30094 </w:instrText>
      </w:r>
      <w:r>
        <w:rPr>
          <w:bCs/>
          <w:caps/>
          <w:color w:val="000000" w:themeColor="text1"/>
          <w:szCs w:val="21"/>
          <w:highlight w:val="none"/>
        </w:rPr>
        <w:fldChar w:fldCharType="separate"/>
      </w:r>
      <w:r>
        <w:rPr>
          <w:rFonts w:hint="eastAsia" w:ascii="宋体"/>
          <w:color w:val="000000" w:themeColor="text1"/>
          <w:szCs w:val="21"/>
          <w:highlight w:val="none"/>
        </w:rPr>
        <w:t>评审项目投标资料表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_Toc30094 \h </w:instrText>
      </w:r>
      <w:r>
        <w:rPr>
          <w:color w:val="000000" w:themeColor="text1"/>
          <w:highlight w:val="none"/>
        </w:rPr>
        <w:fldChar w:fldCharType="separate"/>
      </w:r>
      <w:r>
        <w:rPr>
          <w:color w:val="000000" w:themeColor="text1"/>
          <w:highlight w:val="none"/>
        </w:rPr>
        <w:t>58</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_Toc19823 </w:instrText>
      </w:r>
      <w:r>
        <w:rPr>
          <w:bCs/>
          <w:caps/>
          <w:color w:val="000000" w:themeColor="text1"/>
          <w:szCs w:val="21"/>
          <w:highlight w:val="none"/>
        </w:rPr>
        <w:fldChar w:fldCharType="separate"/>
      </w:r>
      <w:r>
        <w:rPr>
          <w:rFonts w:hint="eastAsia"/>
          <w:color w:val="000000" w:themeColor="text1"/>
          <w:highlight w:val="none"/>
        </w:rPr>
        <w:t>（一）法定代表人（负责人）证明书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_Toc19823 \h </w:instrText>
      </w:r>
      <w:r>
        <w:rPr>
          <w:color w:val="000000" w:themeColor="text1"/>
          <w:highlight w:val="none"/>
        </w:rPr>
        <w:fldChar w:fldCharType="separate"/>
      </w:r>
      <w:r>
        <w:rPr>
          <w:color w:val="000000" w:themeColor="text1"/>
          <w:highlight w:val="none"/>
        </w:rPr>
        <w:t>59</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_Toc19178 </w:instrText>
      </w:r>
      <w:r>
        <w:rPr>
          <w:bCs/>
          <w:caps/>
          <w:color w:val="000000" w:themeColor="text1"/>
          <w:szCs w:val="21"/>
          <w:highlight w:val="none"/>
        </w:rPr>
        <w:fldChar w:fldCharType="separate"/>
      </w:r>
      <w:r>
        <w:rPr>
          <w:rFonts w:hint="eastAsia"/>
          <w:color w:val="000000" w:themeColor="text1"/>
          <w:highlight w:val="none"/>
        </w:rPr>
        <w:t>（二）法定代表人（负责人）授权书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_Toc19178 \h </w:instrText>
      </w:r>
      <w:r>
        <w:rPr>
          <w:color w:val="000000" w:themeColor="text1"/>
          <w:highlight w:val="none"/>
        </w:rPr>
        <w:fldChar w:fldCharType="separate"/>
      </w:r>
      <w:r>
        <w:rPr>
          <w:color w:val="000000" w:themeColor="text1"/>
          <w:highlight w:val="none"/>
        </w:rPr>
        <w:t>60</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_Toc13135 </w:instrText>
      </w:r>
      <w:r>
        <w:rPr>
          <w:bCs/>
          <w:caps/>
          <w:color w:val="000000" w:themeColor="text1"/>
          <w:szCs w:val="21"/>
          <w:highlight w:val="none"/>
        </w:rPr>
        <w:fldChar w:fldCharType="separate"/>
      </w:r>
      <w:r>
        <w:rPr>
          <w:rFonts w:hint="eastAsia"/>
          <w:color w:val="000000" w:themeColor="text1"/>
          <w:highlight w:val="none"/>
        </w:rPr>
        <w:t>附件一：投标函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_Toc13135 \h </w:instrText>
      </w:r>
      <w:r>
        <w:rPr>
          <w:color w:val="000000" w:themeColor="text1"/>
          <w:highlight w:val="none"/>
        </w:rPr>
        <w:fldChar w:fldCharType="separate"/>
      </w:r>
      <w:r>
        <w:rPr>
          <w:color w:val="000000" w:themeColor="text1"/>
          <w:highlight w:val="none"/>
        </w:rPr>
        <w:t>61</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_Toc18192 </w:instrText>
      </w:r>
      <w:r>
        <w:rPr>
          <w:bCs/>
          <w:caps/>
          <w:color w:val="000000" w:themeColor="text1"/>
          <w:szCs w:val="21"/>
          <w:highlight w:val="none"/>
        </w:rPr>
        <w:fldChar w:fldCharType="separate"/>
      </w:r>
      <w:r>
        <w:rPr>
          <w:rFonts w:hint="eastAsia"/>
          <w:color w:val="000000" w:themeColor="text1"/>
          <w:highlight w:val="none"/>
        </w:rPr>
        <w:t>附件二：开标一览表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_Toc18192 \h </w:instrText>
      </w:r>
      <w:r>
        <w:rPr>
          <w:color w:val="000000" w:themeColor="text1"/>
          <w:highlight w:val="none"/>
        </w:rPr>
        <w:fldChar w:fldCharType="separate"/>
      </w:r>
      <w:r>
        <w:rPr>
          <w:color w:val="000000" w:themeColor="text1"/>
          <w:highlight w:val="none"/>
        </w:rPr>
        <w:t>62</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_Toc5804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三</w:t>
      </w:r>
      <w:r>
        <w:rPr>
          <w:rFonts w:hint="eastAsia"/>
          <w:color w:val="000000" w:themeColor="text1"/>
          <w:highlight w:val="none"/>
        </w:rPr>
        <w:t>：商务条款偏离一览表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_Toc5804 \h </w:instrText>
      </w:r>
      <w:r>
        <w:rPr>
          <w:color w:val="000000" w:themeColor="text1"/>
          <w:highlight w:val="none"/>
        </w:rPr>
        <w:fldChar w:fldCharType="separate"/>
      </w:r>
      <w:r>
        <w:rPr>
          <w:color w:val="000000" w:themeColor="text1"/>
          <w:highlight w:val="none"/>
        </w:rPr>
        <w:t>63</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_Toc29231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四</w:t>
      </w:r>
      <w:r>
        <w:rPr>
          <w:rFonts w:hint="eastAsia"/>
          <w:color w:val="000000" w:themeColor="text1"/>
          <w:highlight w:val="none"/>
        </w:rPr>
        <w:t>：技术条款偏离一览表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_Toc29231 \h </w:instrText>
      </w:r>
      <w:r>
        <w:rPr>
          <w:color w:val="000000" w:themeColor="text1"/>
          <w:highlight w:val="none"/>
        </w:rPr>
        <w:fldChar w:fldCharType="separate"/>
      </w:r>
      <w:r>
        <w:rPr>
          <w:color w:val="000000" w:themeColor="text1"/>
          <w:highlight w:val="none"/>
        </w:rPr>
        <w:t>64</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_Toc32723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五</w:t>
      </w:r>
      <w:r>
        <w:rPr>
          <w:rFonts w:hint="eastAsia"/>
          <w:color w:val="000000" w:themeColor="text1"/>
          <w:highlight w:val="none"/>
        </w:rPr>
        <w:t>：同类业绩一览表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_Toc32723 \h </w:instrText>
      </w:r>
      <w:r>
        <w:rPr>
          <w:color w:val="000000" w:themeColor="text1"/>
          <w:highlight w:val="none"/>
        </w:rPr>
        <w:fldChar w:fldCharType="separate"/>
      </w:r>
      <w:r>
        <w:rPr>
          <w:color w:val="000000" w:themeColor="text1"/>
          <w:highlight w:val="none"/>
        </w:rPr>
        <w:t>65</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_Toc14540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六</w:t>
      </w:r>
      <w:r>
        <w:rPr>
          <w:rFonts w:hint="eastAsia"/>
          <w:color w:val="000000" w:themeColor="text1"/>
          <w:highlight w:val="none"/>
        </w:rPr>
        <w:t>：</w:t>
      </w:r>
      <w:r>
        <w:rPr>
          <w:rFonts w:hint="eastAsia" w:hAnsi="黑体" w:cs="黑体"/>
          <w:color w:val="000000" w:themeColor="text1"/>
          <w:highlight w:val="none"/>
        </w:rPr>
        <w:t>中小微企业声明函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_Toc14540 \h </w:instrText>
      </w:r>
      <w:r>
        <w:rPr>
          <w:color w:val="000000" w:themeColor="text1"/>
          <w:highlight w:val="none"/>
        </w:rPr>
        <w:fldChar w:fldCharType="separate"/>
      </w:r>
      <w:r>
        <w:rPr>
          <w:color w:val="000000" w:themeColor="text1"/>
          <w:highlight w:val="none"/>
        </w:rPr>
        <w:t>66</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_Toc24799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七</w:t>
      </w:r>
      <w:r>
        <w:rPr>
          <w:rFonts w:hint="eastAsia"/>
          <w:color w:val="000000" w:themeColor="text1"/>
          <w:highlight w:val="none"/>
        </w:rPr>
        <w:t>：</w:t>
      </w:r>
      <w:r>
        <w:rPr>
          <w:rFonts w:hint="eastAsia" w:hAnsi="黑体" w:cs="黑体"/>
          <w:color w:val="000000" w:themeColor="text1"/>
          <w:highlight w:val="none"/>
        </w:rPr>
        <w:t>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_Toc24799 \h </w:instrText>
      </w:r>
      <w:r>
        <w:rPr>
          <w:color w:val="000000" w:themeColor="text1"/>
          <w:highlight w:val="none"/>
        </w:rPr>
        <w:fldChar w:fldCharType="separate"/>
      </w:r>
      <w:r>
        <w:rPr>
          <w:color w:val="000000" w:themeColor="text1"/>
          <w:highlight w:val="none"/>
        </w:rPr>
        <w:t>67</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_Toc17825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八</w:t>
      </w:r>
      <w:r>
        <w:rPr>
          <w:rFonts w:hint="eastAsia"/>
          <w:color w:val="000000" w:themeColor="text1"/>
          <w:highlight w:val="none"/>
        </w:rPr>
        <w:t>：中标服务费承诺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_Toc17825 \h </w:instrText>
      </w:r>
      <w:r>
        <w:rPr>
          <w:color w:val="000000" w:themeColor="text1"/>
          <w:highlight w:val="none"/>
        </w:rPr>
        <w:fldChar w:fldCharType="separate"/>
      </w:r>
      <w:r>
        <w:rPr>
          <w:color w:val="000000" w:themeColor="text1"/>
          <w:highlight w:val="none"/>
        </w:rPr>
        <w:t>68</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_Toc16029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九</w:t>
      </w:r>
      <w:r>
        <w:rPr>
          <w:rFonts w:hint="eastAsia"/>
          <w:color w:val="000000" w:themeColor="text1"/>
          <w:highlight w:val="none"/>
        </w:rPr>
        <w:t>：投标人提交的其它商务和技术资料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_Toc16029 \h </w:instrText>
      </w:r>
      <w:r>
        <w:rPr>
          <w:color w:val="000000" w:themeColor="text1"/>
          <w:highlight w:val="none"/>
        </w:rPr>
        <w:fldChar w:fldCharType="separate"/>
      </w:r>
      <w:r>
        <w:rPr>
          <w:color w:val="000000" w:themeColor="text1"/>
          <w:highlight w:val="none"/>
        </w:rPr>
        <w:t>69</w:t>
      </w:r>
      <w:r>
        <w:rPr>
          <w:color w:val="000000" w:themeColor="text1"/>
          <w:highlight w:val="none"/>
        </w:rPr>
        <w:fldChar w:fldCharType="end"/>
      </w:r>
      <w:r>
        <w:rPr>
          <w:bCs/>
          <w:caps/>
          <w:color w:val="000000" w:themeColor="text1"/>
          <w:szCs w:val="21"/>
          <w:highlight w:val="none"/>
        </w:rPr>
        <w:fldChar w:fldCharType="end"/>
      </w:r>
    </w:p>
    <w:p>
      <w:pPr>
        <w:pStyle w:val="38"/>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_Toc25426 </w:instrText>
      </w:r>
      <w:r>
        <w:rPr>
          <w:bCs/>
          <w:caps/>
          <w:color w:val="000000" w:themeColor="text1"/>
          <w:szCs w:val="21"/>
          <w:highlight w:val="none"/>
        </w:rPr>
        <w:fldChar w:fldCharType="separate"/>
      </w:r>
      <w:r>
        <w:rPr>
          <w:rFonts w:hint="eastAsia"/>
          <w:color w:val="000000" w:themeColor="text1"/>
          <w:highlight w:val="none"/>
        </w:rPr>
        <w:t>其 他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_Toc25426 \h </w:instrText>
      </w:r>
      <w:r>
        <w:rPr>
          <w:color w:val="000000" w:themeColor="text1"/>
          <w:highlight w:val="none"/>
        </w:rPr>
        <w:fldChar w:fldCharType="separate"/>
      </w:r>
      <w:r>
        <w:rPr>
          <w:color w:val="000000" w:themeColor="text1"/>
          <w:highlight w:val="none"/>
        </w:rPr>
        <w:t>70</w:t>
      </w:r>
      <w:r>
        <w:rPr>
          <w:color w:val="000000" w:themeColor="text1"/>
          <w:highlight w:val="none"/>
        </w:rPr>
        <w:fldChar w:fldCharType="end"/>
      </w:r>
      <w:r>
        <w:rPr>
          <w:bCs/>
          <w:caps/>
          <w:color w:val="000000" w:themeColor="text1"/>
          <w:szCs w:val="21"/>
          <w:highlight w:val="none"/>
        </w:rPr>
        <w:fldChar w:fldCharType="end"/>
      </w:r>
    </w:p>
    <w:p>
      <w:pPr>
        <w:pStyle w:val="23"/>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_Toc30185 </w:instrText>
      </w:r>
      <w:r>
        <w:rPr>
          <w:bCs/>
          <w:caps/>
          <w:color w:val="000000" w:themeColor="text1"/>
          <w:szCs w:val="21"/>
          <w:highlight w:val="none"/>
        </w:rPr>
        <w:fldChar w:fldCharType="separate"/>
      </w:r>
      <w:r>
        <w:rPr>
          <w:rFonts w:hint="eastAsia" w:ascii="宋体" w:hAnsi="宋体" w:eastAsia="宋体"/>
          <w:color w:val="000000" w:themeColor="text1"/>
          <w:highlight w:val="none"/>
        </w:rPr>
        <w:t>投标保证金退付书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_Toc30185 \h </w:instrText>
      </w:r>
      <w:r>
        <w:rPr>
          <w:color w:val="000000" w:themeColor="text1"/>
          <w:highlight w:val="none"/>
        </w:rPr>
        <w:fldChar w:fldCharType="separate"/>
      </w:r>
      <w:r>
        <w:rPr>
          <w:color w:val="000000" w:themeColor="text1"/>
          <w:highlight w:val="none"/>
        </w:rPr>
        <w:t>71</w:t>
      </w:r>
      <w:r>
        <w:rPr>
          <w:color w:val="000000" w:themeColor="text1"/>
          <w:highlight w:val="none"/>
        </w:rPr>
        <w:fldChar w:fldCharType="end"/>
      </w:r>
      <w:r>
        <w:rPr>
          <w:bCs/>
          <w:caps/>
          <w:color w:val="000000" w:themeColor="text1"/>
          <w:szCs w:val="21"/>
          <w:highlight w:val="none"/>
        </w:rPr>
        <w:fldChar w:fldCharType="end"/>
      </w:r>
    </w:p>
    <w:p>
      <w:pPr>
        <w:rPr>
          <w:color w:val="000000" w:themeColor="text1"/>
          <w:highlight w:val="none"/>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rPr>
        <w:fldChar w:fldCharType="end"/>
      </w:r>
    </w:p>
    <w:bookmarkEnd w:id="0"/>
    <w:p>
      <w:pPr>
        <w:pStyle w:val="3"/>
        <w:numPr>
          <w:ilvl w:val="0"/>
          <w:numId w:val="0"/>
        </w:numPr>
        <w:spacing w:beforeLines="0"/>
        <w:rPr>
          <w:color w:val="000000" w:themeColor="text1"/>
          <w:highlight w:val="none"/>
        </w:rPr>
      </w:pPr>
      <w:bookmarkStart w:id="1" w:name="_Toc340677031"/>
      <w:bookmarkStart w:id="2" w:name="_Toc336681537"/>
      <w:bookmarkStart w:id="3" w:name="_Toc16730"/>
      <w:bookmarkStart w:id="4" w:name="_Toc350756403"/>
      <w:bookmarkStart w:id="5" w:name="_Toc349127583"/>
      <w:bookmarkStart w:id="6" w:name="_Toc339020048"/>
      <w:bookmarkStart w:id="7" w:name="_Toc340672830"/>
      <w:bookmarkStart w:id="8" w:name="_Toc366072457"/>
      <w:bookmarkStart w:id="9" w:name="_Toc333237612"/>
      <w:bookmarkStart w:id="10" w:name="_Toc333935278"/>
      <w:bookmarkStart w:id="11" w:name="_Toc365985108"/>
      <w:bookmarkStart w:id="12" w:name="_Toc339019954"/>
      <w:bookmarkStart w:id="13" w:name="_Toc336681892"/>
      <w:bookmarkStart w:id="14" w:name="_Toc342296708"/>
      <w:bookmarkStart w:id="15" w:name="_Toc333238571"/>
      <w:bookmarkStart w:id="16" w:name="_Toc332270305"/>
      <w:bookmarkStart w:id="17" w:name="_Toc331683994"/>
      <w:bookmarkStart w:id="18" w:name="_Toc365967002"/>
      <w:bookmarkStart w:id="19" w:name="_Toc342060322"/>
      <w:bookmarkStart w:id="20" w:name="_Toc340507403"/>
      <w:bookmarkStart w:id="21" w:name="_Toc333935619"/>
      <w:bookmarkStart w:id="22" w:name="_Toc331512856"/>
      <w:bookmarkStart w:id="23" w:name="_Toc341348291"/>
      <w:bookmarkStart w:id="24" w:name="_Toc332206657"/>
      <w:bookmarkStart w:id="25" w:name="_Toc333237723"/>
      <w:bookmarkStart w:id="26" w:name="_Toc339020186"/>
      <w:bookmarkStart w:id="27" w:name="_Toc339019828"/>
      <w:bookmarkStart w:id="28" w:name="_Toc349143546"/>
      <w:bookmarkStart w:id="29" w:name="_Toc339362257"/>
      <w:bookmarkStart w:id="30" w:name="_Toc350438702"/>
      <w:bookmarkStart w:id="31" w:name="_Toc330459945"/>
      <w:bookmarkStart w:id="32" w:name="_Toc339441044"/>
      <w:bookmarkStart w:id="33" w:name="_Toc345513762"/>
      <w:bookmarkStart w:id="34" w:name="_Toc337632315"/>
      <w:bookmarkStart w:id="35" w:name="_Toc500860978"/>
      <w:r>
        <w:rPr>
          <w:rFonts w:hint="eastAsia"/>
          <w:color w:val="000000" w:themeColor="text1"/>
          <w:highlight w:val="none"/>
        </w:rPr>
        <w:t>第一</w:t>
      </w:r>
      <w:bookmarkStart w:id="36" w:name="_Hlt23321731"/>
      <w:bookmarkEnd w:id="36"/>
      <w:r>
        <w:rPr>
          <w:rFonts w:hint="eastAsia"/>
          <w:color w:val="000000" w:themeColor="text1"/>
          <w:highlight w:val="none"/>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w:t>
      </w:r>
      <w:r>
        <w:rPr>
          <w:rFonts w:hint="eastAsia" w:ascii="宋体" w:hAnsi="宋体"/>
          <w:bCs/>
          <w:color w:val="000000" w:themeColor="text1"/>
          <w:highlight w:val="none"/>
          <w:lang w:eastAsia="zh-CN"/>
        </w:rPr>
        <w:t>阳江市实验学校</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阳江市实验学校食堂食品、糕点配送服务采购项目</w:t>
      </w:r>
      <w:r>
        <w:rPr>
          <w:rFonts w:hint="eastAsia" w:ascii="宋体" w:hAnsi="宋体"/>
          <w:bCs/>
          <w:color w:val="000000" w:themeColor="text1"/>
          <w:highlight w:val="none"/>
        </w:rPr>
        <w:t>进行公开招标(项目编号:</w:t>
      </w:r>
      <w:r>
        <w:rPr>
          <w:rFonts w:hint="eastAsia" w:ascii="宋体" w:hAnsi="宋体"/>
          <w:bCs/>
          <w:color w:val="000000" w:themeColor="text1"/>
          <w:highlight w:val="none"/>
          <w:lang w:eastAsia="zh-CN"/>
        </w:rPr>
        <w:t>YXCG-20230716</w:t>
      </w:r>
      <w:r>
        <w:rPr>
          <w:rFonts w:hint="eastAsia" w:ascii="宋体" w:hAnsi="宋体"/>
          <w:bCs/>
          <w:color w:val="000000" w:themeColor="text1"/>
          <w:highlight w:val="none"/>
        </w:rPr>
        <w:t>)，欢迎符合条件的投标人参加。有关事项如下：</w:t>
      </w:r>
    </w:p>
    <w:p>
      <w:pPr>
        <w:widowControl/>
        <w:tabs>
          <w:tab w:val="left" w:pos="502"/>
        </w:tabs>
        <w:adjustRightInd w:val="0"/>
        <w:snapToGrid w:val="0"/>
        <w:spacing w:line="360" w:lineRule="auto"/>
        <w:rPr>
          <w:rFonts w:ascii="Tahoma" w:hAnsi="Tahoma" w:cs="Tahoma"/>
          <w:b/>
          <w:bCs/>
          <w:color w:val="000000" w:themeColor="text1"/>
          <w:szCs w:val="21"/>
          <w:highlight w:val="none"/>
        </w:rPr>
      </w:pPr>
      <w:r>
        <w:rPr>
          <w:rFonts w:hint="eastAsia" w:ascii="宋体" w:hAnsi="宋体" w:cs="Tahoma"/>
          <w:b/>
          <w:bCs/>
          <w:color w:val="000000" w:themeColor="text1"/>
          <w:highlight w:val="none"/>
        </w:rPr>
        <w:t>一、</w:t>
      </w:r>
      <w:r>
        <w:rPr>
          <w:rFonts w:hint="eastAsia" w:ascii="Tahoma" w:hAnsi="Tahoma" w:cs="Tahoma"/>
          <w:b/>
          <w:bCs/>
          <w:color w:val="000000" w:themeColor="text1"/>
          <w:szCs w:val="21"/>
          <w:highlight w:val="none"/>
        </w:rPr>
        <w:t>招标项目的名称、用途、数量、采购方式</w:t>
      </w:r>
    </w:p>
    <w:p>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rPr>
      </w:pPr>
      <w:r>
        <w:rPr>
          <w:rFonts w:hint="eastAsia" w:ascii="宋体" w:hAnsi="宋体"/>
          <w:bCs/>
          <w:color w:val="000000" w:themeColor="text1"/>
          <w:highlight w:val="none"/>
        </w:rPr>
        <w:t>项目名称：</w:t>
      </w:r>
      <w:r>
        <w:rPr>
          <w:rFonts w:hint="eastAsia" w:ascii="宋体" w:hAnsi="宋体"/>
          <w:bCs/>
          <w:color w:val="000000" w:themeColor="text1"/>
          <w:highlight w:val="none"/>
          <w:lang w:eastAsia="zh-CN"/>
        </w:rPr>
        <w:t>阳江市实验学校食堂食品、糕点配送服务采购项目</w:t>
      </w:r>
    </w:p>
    <w:p>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rPr>
      </w:pPr>
      <w:r>
        <w:rPr>
          <w:rFonts w:hint="eastAsia" w:ascii="宋体" w:hAnsi="宋体"/>
          <w:bCs/>
          <w:color w:val="000000" w:themeColor="text1"/>
          <w:highlight w:val="none"/>
        </w:rPr>
        <w:t xml:space="preserve">项目编号: </w:t>
      </w:r>
      <w:r>
        <w:rPr>
          <w:rFonts w:hint="eastAsia" w:ascii="宋体" w:hAnsi="宋体"/>
          <w:bCs/>
          <w:color w:val="000000" w:themeColor="text1"/>
          <w:highlight w:val="none"/>
          <w:lang w:eastAsia="zh-CN"/>
        </w:rPr>
        <w:t>YXCG-20230716</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lang w:val="en-US" w:eastAsia="zh-CN"/>
        </w:rPr>
        <w:t>采购预算金额</w:t>
      </w:r>
      <w:r>
        <w:rPr>
          <w:rFonts w:hint="eastAsia" w:ascii="宋体" w:hAnsi="宋体"/>
          <w:bCs/>
          <w:color w:val="000000" w:themeColor="text1"/>
          <w:highlight w:val="none"/>
        </w:rPr>
        <w:t>：人民币</w:t>
      </w:r>
      <w:r>
        <w:rPr>
          <w:rFonts w:hint="eastAsia" w:ascii="宋体" w:hAnsi="宋体"/>
          <w:bCs/>
          <w:color w:val="000000" w:themeColor="text1"/>
          <w:highlight w:val="none"/>
          <w:lang w:val="en-US" w:eastAsia="zh-CN"/>
        </w:rPr>
        <w:t>31400000</w:t>
      </w:r>
      <w:r>
        <w:rPr>
          <w:rFonts w:hint="eastAsia" w:ascii="宋体" w:hAnsi="宋体"/>
          <w:bCs/>
          <w:color w:val="000000" w:themeColor="text1"/>
          <w:highlight w:val="none"/>
        </w:rPr>
        <w:t>.00元</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lang w:val="en-US" w:eastAsia="zh-CN"/>
        </w:rPr>
        <w:t>各包组情况</w:t>
      </w:r>
    </w:p>
    <w:tbl>
      <w:tblPr>
        <w:tblStyle w:val="46"/>
        <w:tblW w:w="8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
        <w:gridCol w:w="4071"/>
        <w:gridCol w:w="1350"/>
        <w:gridCol w:w="1050"/>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965" w:type="dxa"/>
            <w:noWrap w:val="0"/>
            <w:vAlign w:val="center"/>
          </w:tcPr>
          <w:p>
            <w:pPr>
              <w:snapToGrid w:val="0"/>
              <w:spacing w:line="400" w:lineRule="exact"/>
              <w:jc w:val="center"/>
              <w:rPr>
                <w:rFonts w:hint="eastAsia" w:ascii="宋体" w:hAnsi="宋体"/>
                <w:b/>
                <w:bCs/>
                <w:color w:val="000000" w:themeColor="text1"/>
                <w:highlight w:val="none"/>
              </w:rPr>
            </w:pPr>
            <w:r>
              <w:rPr>
                <w:rFonts w:hint="eastAsia" w:ascii="宋体" w:hAnsi="宋体"/>
                <w:b/>
                <w:bCs/>
                <w:color w:val="000000" w:themeColor="text1"/>
                <w:highlight w:val="none"/>
              </w:rPr>
              <w:t>包组号</w:t>
            </w:r>
          </w:p>
        </w:tc>
        <w:tc>
          <w:tcPr>
            <w:tcW w:w="4071" w:type="dxa"/>
            <w:noWrap w:val="0"/>
            <w:vAlign w:val="center"/>
          </w:tcPr>
          <w:p>
            <w:pPr>
              <w:snapToGrid w:val="0"/>
              <w:spacing w:line="400" w:lineRule="exact"/>
              <w:jc w:val="center"/>
              <w:rPr>
                <w:rFonts w:hint="eastAsia" w:ascii="宋体" w:hAnsi="宋体"/>
                <w:b/>
                <w:bCs/>
                <w:color w:val="000000" w:themeColor="text1"/>
                <w:highlight w:val="none"/>
              </w:rPr>
            </w:pPr>
            <w:r>
              <w:rPr>
                <w:rFonts w:hint="eastAsia" w:ascii="宋体" w:hAnsi="宋体"/>
                <w:b/>
                <w:bCs/>
                <w:color w:val="000000" w:themeColor="text1"/>
                <w:highlight w:val="none"/>
              </w:rPr>
              <w:t>采购种类</w:t>
            </w:r>
          </w:p>
        </w:tc>
        <w:tc>
          <w:tcPr>
            <w:tcW w:w="1350" w:type="dxa"/>
            <w:noWrap w:val="0"/>
            <w:vAlign w:val="center"/>
          </w:tcPr>
          <w:p>
            <w:pPr>
              <w:snapToGrid w:val="0"/>
              <w:spacing w:line="400" w:lineRule="exact"/>
              <w:jc w:val="center"/>
              <w:rPr>
                <w:rFonts w:hint="eastAsia" w:ascii="宋体" w:hAnsi="宋体" w:eastAsiaTheme="minorEastAsia"/>
                <w:b/>
                <w:bCs/>
                <w:color w:val="000000" w:themeColor="text1"/>
                <w:highlight w:val="none"/>
                <w:lang w:eastAsia="zh-CN"/>
              </w:rPr>
            </w:pPr>
            <w:r>
              <w:rPr>
                <w:rFonts w:hint="eastAsia" w:ascii="宋体" w:hAnsi="宋体"/>
                <w:b/>
                <w:bCs/>
                <w:color w:val="000000" w:themeColor="text1"/>
                <w:highlight w:val="none"/>
              </w:rPr>
              <w:t>金额</w:t>
            </w:r>
          </w:p>
        </w:tc>
        <w:tc>
          <w:tcPr>
            <w:tcW w:w="1050" w:type="dxa"/>
            <w:noWrap w:val="0"/>
            <w:vAlign w:val="center"/>
          </w:tcPr>
          <w:p>
            <w:pPr>
              <w:snapToGrid w:val="0"/>
              <w:spacing w:line="400" w:lineRule="exact"/>
              <w:jc w:val="center"/>
              <w:rPr>
                <w:rFonts w:hint="default" w:ascii="宋体" w:hAnsi="宋体" w:eastAsiaTheme="minorEastAsia"/>
                <w:b/>
                <w:bCs/>
                <w:color w:val="000000" w:themeColor="text1"/>
                <w:highlight w:val="none"/>
                <w:lang w:val="en-US" w:eastAsia="zh-CN"/>
              </w:rPr>
            </w:pPr>
            <w:r>
              <w:rPr>
                <w:rFonts w:hint="eastAsia" w:ascii="宋体" w:hAnsi="宋体"/>
                <w:b/>
                <w:bCs/>
                <w:color w:val="000000" w:themeColor="text1"/>
                <w:highlight w:val="none"/>
                <w:lang w:val="en-US" w:eastAsia="zh-CN"/>
              </w:rPr>
              <w:t>服务期</w:t>
            </w:r>
          </w:p>
        </w:tc>
        <w:tc>
          <w:tcPr>
            <w:tcW w:w="1330" w:type="dxa"/>
            <w:noWrap w:val="0"/>
            <w:vAlign w:val="center"/>
          </w:tcPr>
          <w:p>
            <w:pPr>
              <w:snapToGrid w:val="0"/>
              <w:spacing w:line="400" w:lineRule="exact"/>
              <w:jc w:val="center"/>
              <w:rPr>
                <w:rFonts w:hint="eastAsia" w:ascii="宋体" w:hAnsi="宋体"/>
                <w:b/>
                <w:bCs/>
                <w:color w:val="000000" w:themeColor="text1"/>
                <w:highlight w:val="none"/>
              </w:rPr>
            </w:pPr>
            <w:r>
              <w:rPr>
                <w:rFonts w:hint="eastAsia" w:ascii="宋体" w:hAnsi="宋体"/>
                <w:b/>
                <w:bCs/>
                <w:color w:val="000000" w:themeColor="text1"/>
                <w:highlight w:val="none"/>
                <w:lang w:val="en-US"/>
              </w:rPr>
              <w:t>中标供应商数量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65" w:type="dxa"/>
            <w:noWrap w:val="0"/>
            <w:vAlign w:val="center"/>
          </w:tcPr>
          <w:p>
            <w:pPr>
              <w:pStyle w:val="306"/>
              <w:spacing w:before="3"/>
              <w:jc w:val="center"/>
              <w:rPr>
                <w:color w:val="000000" w:themeColor="text1"/>
                <w:szCs w:val="21"/>
                <w:highlight w:val="none"/>
                <w:lang w:val="en-US"/>
              </w:rPr>
            </w:pPr>
            <w:r>
              <w:rPr>
                <w:rFonts w:hint="eastAsia"/>
                <w:color w:val="000000" w:themeColor="text1"/>
                <w:szCs w:val="21"/>
                <w:highlight w:val="none"/>
                <w:lang w:val="en-US"/>
              </w:rPr>
              <w:t>01包组</w:t>
            </w:r>
          </w:p>
        </w:tc>
        <w:tc>
          <w:tcPr>
            <w:tcW w:w="4071" w:type="dxa"/>
            <w:noWrap w:val="0"/>
            <w:vAlign w:val="center"/>
          </w:tcPr>
          <w:p>
            <w:pPr>
              <w:pStyle w:val="306"/>
              <w:spacing w:before="3"/>
              <w:jc w:val="center"/>
              <w:rPr>
                <w:rFonts w:hint="eastAsia"/>
                <w:color w:val="000000" w:themeColor="text1"/>
                <w:szCs w:val="21"/>
                <w:highlight w:val="none"/>
                <w:lang w:val="en-US"/>
              </w:rPr>
            </w:pPr>
            <w:r>
              <w:rPr>
                <w:rFonts w:hint="eastAsia"/>
                <w:color w:val="000000" w:themeColor="text1"/>
                <w:szCs w:val="21"/>
                <w:highlight w:val="none"/>
                <w:lang w:val="en-US"/>
              </w:rPr>
              <w:t>肉类、腊味制品、瓜果疏菜、水产海鲜</w:t>
            </w:r>
            <w:r>
              <w:rPr>
                <w:rFonts w:hint="eastAsia"/>
                <w:color w:val="000000" w:themeColor="text1"/>
                <w:szCs w:val="21"/>
                <w:highlight w:val="none"/>
                <w:lang w:val="en-US" w:eastAsia="zh-CN"/>
              </w:rPr>
              <w:t>、冻品</w:t>
            </w:r>
            <w:r>
              <w:rPr>
                <w:rFonts w:hint="eastAsia"/>
                <w:color w:val="000000" w:themeColor="text1"/>
                <w:szCs w:val="21"/>
                <w:highlight w:val="none"/>
                <w:lang w:val="en-US"/>
              </w:rPr>
              <w:t>类</w:t>
            </w:r>
          </w:p>
        </w:tc>
        <w:tc>
          <w:tcPr>
            <w:tcW w:w="1350" w:type="dxa"/>
            <w:noWrap w:val="0"/>
            <w:vAlign w:val="center"/>
          </w:tcPr>
          <w:p>
            <w:pPr>
              <w:pStyle w:val="306"/>
              <w:spacing w:before="3"/>
              <w:jc w:val="center"/>
              <w:rPr>
                <w:rFonts w:hint="default"/>
                <w:color w:val="000000" w:themeColor="text1"/>
                <w:szCs w:val="21"/>
                <w:highlight w:val="none"/>
                <w:lang w:val="en-US" w:eastAsia="zh-CN"/>
              </w:rPr>
            </w:pPr>
            <w:r>
              <w:rPr>
                <w:rFonts w:hint="eastAsia"/>
                <w:color w:val="000000" w:themeColor="text1"/>
                <w:szCs w:val="21"/>
                <w:highlight w:val="none"/>
                <w:lang w:val="en-US" w:eastAsia="zh-CN"/>
              </w:rPr>
              <w:t>1800万元</w:t>
            </w:r>
          </w:p>
        </w:tc>
        <w:tc>
          <w:tcPr>
            <w:tcW w:w="1050" w:type="dxa"/>
            <w:noWrap w:val="0"/>
            <w:vAlign w:val="center"/>
          </w:tcPr>
          <w:p>
            <w:pPr>
              <w:pStyle w:val="306"/>
              <w:spacing w:before="3"/>
              <w:jc w:val="center"/>
              <w:rPr>
                <w:rFonts w:hint="default" w:eastAsia="宋体"/>
                <w:color w:val="000000" w:themeColor="text1"/>
                <w:szCs w:val="21"/>
                <w:highlight w:val="none"/>
                <w:lang w:val="en-US" w:eastAsia="zh-CN"/>
              </w:rPr>
            </w:pPr>
            <w:r>
              <w:rPr>
                <w:rFonts w:hint="eastAsia"/>
                <w:color w:val="000000" w:themeColor="text1"/>
                <w:szCs w:val="21"/>
                <w:highlight w:val="none"/>
                <w:lang w:val="en-US" w:eastAsia="zh-CN"/>
              </w:rPr>
              <w:t>2年</w:t>
            </w:r>
          </w:p>
        </w:tc>
        <w:tc>
          <w:tcPr>
            <w:tcW w:w="1330" w:type="dxa"/>
            <w:noWrap w:val="0"/>
            <w:vAlign w:val="center"/>
          </w:tcPr>
          <w:p>
            <w:pPr>
              <w:pStyle w:val="306"/>
              <w:spacing w:before="3"/>
              <w:jc w:val="center"/>
              <w:rPr>
                <w:rFonts w:hint="default" w:eastAsia="宋体"/>
                <w:color w:val="000000" w:themeColor="text1"/>
                <w:szCs w:val="21"/>
                <w:highlight w:val="none"/>
                <w:lang w:val="en-US" w:eastAsia="zh-CN"/>
              </w:rPr>
            </w:pPr>
            <w:r>
              <w:rPr>
                <w:rFonts w:hint="eastAsia"/>
                <w:color w:val="000000" w:themeColor="text1"/>
                <w:szCs w:val="21"/>
                <w:highlight w:val="none"/>
                <w:lang w:val="en-US" w:eastAsia="zh-CN"/>
              </w:rPr>
              <w:t>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965" w:type="dxa"/>
            <w:noWrap w:val="0"/>
            <w:vAlign w:val="center"/>
          </w:tcPr>
          <w:p>
            <w:pPr>
              <w:pStyle w:val="306"/>
              <w:spacing w:before="3"/>
              <w:jc w:val="center"/>
              <w:rPr>
                <w:rFonts w:hint="eastAsia"/>
                <w:color w:val="000000" w:themeColor="text1"/>
                <w:szCs w:val="21"/>
                <w:highlight w:val="none"/>
                <w:lang w:val="en-US"/>
              </w:rPr>
            </w:pPr>
            <w:r>
              <w:rPr>
                <w:rFonts w:hint="eastAsia"/>
                <w:color w:val="000000" w:themeColor="text1"/>
                <w:szCs w:val="21"/>
                <w:highlight w:val="none"/>
                <w:lang w:val="en-US"/>
              </w:rPr>
              <w:t>02包组</w:t>
            </w:r>
          </w:p>
        </w:tc>
        <w:tc>
          <w:tcPr>
            <w:tcW w:w="4071" w:type="dxa"/>
            <w:noWrap w:val="0"/>
            <w:vAlign w:val="center"/>
          </w:tcPr>
          <w:p>
            <w:pPr>
              <w:pStyle w:val="306"/>
              <w:spacing w:before="3"/>
              <w:jc w:val="center"/>
              <w:rPr>
                <w:rFonts w:hint="eastAsia"/>
                <w:color w:val="000000" w:themeColor="text1"/>
                <w:szCs w:val="21"/>
                <w:highlight w:val="none"/>
                <w:lang w:val="en-US"/>
              </w:rPr>
            </w:pPr>
            <w:r>
              <w:rPr>
                <w:rFonts w:hint="eastAsia"/>
                <w:color w:val="000000" w:themeColor="text1"/>
                <w:szCs w:val="21"/>
                <w:highlight w:val="none"/>
                <w:lang w:val="en-US"/>
              </w:rPr>
              <w:t>大米、面类、豆类</w:t>
            </w:r>
            <w:r>
              <w:rPr>
                <w:rFonts w:hint="eastAsia"/>
                <w:color w:val="000000" w:themeColor="text1"/>
                <w:szCs w:val="21"/>
                <w:highlight w:val="none"/>
                <w:lang w:val="en-US" w:eastAsia="zh-CN"/>
              </w:rPr>
              <w:t>、</w:t>
            </w:r>
            <w:r>
              <w:rPr>
                <w:rFonts w:hint="eastAsia"/>
                <w:color w:val="000000" w:themeColor="text1"/>
                <w:szCs w:val="21"/>
                <w:highlight w:val="none"/>
                <w:lang w:val="en-US"/>
              </w:rPr>
              <w:t>干货类</w:t>
            </w:r>
            <w:r>
              <w:rPr>
                <w:rFonts w:hint="eastAsia"/>
                <w:color w:val="000000" w:themeColor="text1"/>
                <w:szCs w:val="21"/>
                <w:highlight w:val="none"/>
                <w:lang w:val="en-US" w:eastAsia="zh-CN"/>
              </w:rPr>
              <w:t>、</w:t>
            </w:r>
            <w:r>
              <w:rPr>
                <w:rFonts w:hint="eastAsia"/>
                <w:color w:val="000000" w:themeColor="text1"/>
                <w:szCs w:val="21"/>
                <w:highlight w:val="none"/>
                <w:lang w:val="en-US"/>
              </w:rPr>
              <w:t>油、盐、糖、酱、酒、醋、添加剂等</w:t>
            </w:r>
          </w:p>
        </w:tc>
        <w:tc>
          <w:tcPr>
            <w:tcW w:w="1350" w:type="dxa"/>
            <w:noWrap w:val="0"/>
            <w:vAlign w:val="center"/>
          </w:tcPr>
          <w:p>
            <w:pPr>
              <w:pStyle w:val="306"/>
              <w:spacing w:before="3"/>
              <w:jc w:val="center"/>
              <w:rPr>
                <w:rFonts w:hint="default" w:eastAsia="宋体"/>
                <w:color w:val="000000" w:themeColor="text1"/>
                <w:szCs w:val="21"/>
                <w:highlight w:val="none"/>
                <w:lang w:val="en-US" w:eastAsia="zh-CN"/>
              </w:rPr>
            </w:pPr>
            <w:r>
              <w:rPr>
                <w:rFonts w:hint="eastAsia"/>
                <w:color w:val="000000" w:themeColor="text1"/>
                <w:szCs w:val="21"/>
                <w:highlight w:val="none"/>
                <w:lang w:val="en-US" w:eastAsia="zh-CN"/>
              </w:rPr>
              <w:t>1200万元</w:t>
            </w:r>
          </w:p>
        </w:tc>
        <w:tc>
          <w:tcPr>
            <w:tcW w:w="1050" w:type="dxa"/>
            <w:noWrap w:val="0"/>
            <w:vAlign w:val="center"/>
          </w:tcPr>
          <w:p>
            <w:pPr>
              <w:pStyle w:val="306"/>
              <w:spacing w:before="3"/>
              <w:jc w:val="center"/>
              <w:rPr>
                <w:rFonts w:hint="eastAsia"/>
                <w:color w:val="000000" w:themeColor="text1"/>
                <w:szCs w:val="21"/>
                <w:highlight w:val="none"/>
                <w:lang w:val="en-US"/>
              </w:rPr>
            </w:pPr>
            <w:r>
              <w:rPr>
                <w:rFonts w:hint="eastAsia"/>
                <w:color w:val="000000" w:themeColor="text1"/>
                <w:szCs w:val="21"/>
                <w:highlight w:val="none"/>
                <w:lang w:val="en-US" w:eastAsia="zh-CN"/>
              </w:rPr>
              <w:t>2年</w:t>
            </w:r>
          </w:p>
        </w:tc>
        <w:tc>
          <w:tcPr>
            <w:tcW w:w="1330" w:type="dxa"/>
            <w:noWrap w:val="0"/>
            <w:vAlign w:val="center"/>
          </w:tcPr>
          <w:p>
            <w:pPr>
              <w:pStyle w:val="306"/>
              <w:spacing w:before="3"/>
              <w:jc w:val="center"/>
              <w:rPr>
                <w:rFonts w:hint="eastAsia"/>
                <w:color w:val="000000" w:themeColor="text1"/>
                <w:szCs w:val="21"/>
                <w:highlight w:val="none"/>
                <w:lang w:val="en-US"/>
              </w:rPr>
            </w:pPr>
            <w:r>
              <w:rPr>
                <w:rFonts w:hint="eastAsia"/>
                <w:color w:val="000000" w:themeColor="text1"/>
                <w:szCs w:val="21"/>
                <w:highlight w:val="none"/>
                <w:lang w:val="en-US" w:eastAsia="zh-CN"/>
              </w:rPr>
              <w:t>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5" w:type="dxa"/>
            <w:noWrap w:val="0"/>
            <w:vAlign w:val="center"/>
          </w:tcPr>
          <w:p>
            <w:pPr>
              <w:pStyle w:val="306"/>
              <w:spacing w:before="3"/>
              <w:jc w:val="center"/>
              <w:rPr>
                <w:rFonts w:hint="eastAsia"/>
                <w:color w:val="000000" w:themeColor="text1"/>
                <w:szCs w:val="21"/>
                <w:highlight w:val="none"/>
                <w:lang w:val="en-US"/>
              </w:rPr>
            </w:pPr>
            <w:r>
              <w:rPr>
                <w:rFonts w:hint="eastAsia"/>
                <w:color w:val="000000" w:themeColor="text1"/>
                <w:szCs w:val="21"/>
                <w:highlight w:val="none"/>
                <w:lang w:val="en-US"/>
              </w:rPr>
              <w:t>03包组</w:t>
            </w:r>
          </w:p>
        </w:tc>
        <w:tc>
          <w:tcPr>
            <w:tcW w:w="4071" w:type="dxa"/>
            <w:noWrap w:val="0"/>
            <w:vAlign w:val="center"/>
          </w:tcPr>
          <w:p>
            <w:pPr>
              <w:pStyle w:val="306"/>
              <w:spacing w:before="3"/>
              <w:jc w:val="center"/>
              <w:rPr>
                <w:rFonts w:hint="eastAsia"/>
                <w:color w:val="000000" w:themeColor="text1"/>
                <w:szCs w:val="21"/>
                <w:highlight w:val="none"/>
                <w:lang w:val="en-US"/>
              </w:rPr>
            </w:pPr>
            <w:r>
              <w:rPr>
                <w:rFonts w:hint="eastAsia"/>
                <w:color w:val="000000" w:themeColor="text1"/>
                <w:szCs w:val="21"/>
                <w:highlight w:val="none"/>
                <w:lang w:val="en-US" w:eastAsia="zh-CN"/>
              </w:rPr>
              <w:t>包子、馒头、蛋糕等各种糕点</w:t>
            </w:r>
          </w:p>
        </w:tc>
        <w:tc>
          <w:tcPr>
            <w:tcW w:w="1350" w:type="dxa"/>
            <w:noWrap w:val="0"/>
            <w:vAlign w:val="center"/>
          </w:tcPr>
          <w:p>
            <w:pPr>
              <w:pStyle w:val="306"/>
              <w:spacing w:before="3"/>
              <w:jc w:val="center"/>
              <w:rPr>
                <w:rFonts w:hint="default" w:eastAsia="宋体"/>
                <w:color w:val="000000" w:themeColor="text1"/>
                <w:szCs w:val="21"/>
                <w:highlight w:val="none"/>
                <w:lang w:val="en-US" w:eastAsia="zh-CN"/>
              </w:rPr>
            </w:pPr>
            <w:r>
              <w:rPr>
                <w:rFonts w:hint="eastAsia"/>
                <w:color w:val="000000" w:themeColor="text1"/>
                <w:szCs w:val="21"/>
                <w:highlight w:val="none"/>
                <w:lang w:val="en-US" w:eastAsia="zh-CN"/>
              </w:rPr>
              <w:t>140万元</w:t>
            </w:r>
          </w:p>
        </w:tc>
        <w:tc>
          <w:tcPr>
            <w:tcW w:w="1050" w:type="dxa"/>
            <w:noWrap w:val="0"/>
            <w:vAlign w:val="center"/>
          </w:tcPr>
          <w:p>
            <w:pPr>
              <w:pStyle w:val="306"/>
              <w:spacing w:before="3"/>
              <w:jc w:val="center"/>
              <w:rPr>
                <w:rFonts w:hint="eastAsia"/>
                <w:color w:val="000000" w:themeColor="text1"/>
                <w:szCs w:val="21"/>
                <w:highlight w:val="none"/>
                <w:lang w:val="en-US"/>
              </w:rPr>
            </w:pPr>
            <w:r>
              <w:rPr>
                <w:rFonts w:hint="eastAsia"/>
                <w:color w:val="000000" w:themeColor="text1"/>
                <w:szCs w:val="21"/>
                <w:highlight w:val="none"/>
                <w:lang w:val="en-US" w:eastAsia="zh-CN"/>
              </w:rPr>
              <w:t>2年</w:t>
            </w:r>
          </w:p>
        </w:tc>
        <w:tc>
          <w:tcPr>
            <w:tcW w:w="1330" w:type="dxa"/>
            <w:noWrap w:val="0"/>
            <w:vAlign w:val="center"/>
          </w:tcPr>
          <w:p>
            <w:pPr>
              <w:pStyle w:val="306"/>
              <w:spacing w:before="3"/>
              <w:jc w:val="center"/>
              <w:rPr>
                <w:rFonts w:hint="eastAsia"/>
                <w:color w:val="000000" w:themeColor="text1"/>
                <w:szCs w:val="21"/>
                <w:highlight w:val="none"/>
                <w:lang w:val="en-US"/>
              </w:rPr>
            </w:pPr>
            <w:r>
              <w:rPr>
                <w:rFonts w:hint="eastAsia"/>
                <w:color w:val="000000" w:themeColor="text1"/>
                <w:szCs w:val="21"/>
                <w:highlight w:val="none"/>
                <w:lang w:val="en-US" w:eastAsia="zh-CN"/>
              </w:rPr>
              <w:t>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036" w:type="dxa"/>
            <w:gridSpan w:val="2"/>
            <w:noWrap w:val="0"/>
            <w:vAlign w:val="center"/>
          </w:tcPr>
          <w:p>
            <w:pPr>
              <w:pStyle w:val="306"/>
              <w:spacing w:before="3"/>
              <w:jc w:val="center"/>
              <w:rPr>
                <w:rFonts w:hint="default"/>
                <w:color w:val="000000" w:themeColor="text1"/>
                <w:szCs w:val="21"/>
                <w:highlight w:val="none"/>
                <w:lang w:val="en-US" w:eastAsia="zh-CN"/>
              </w:rPr>
            </w:pPr>
            <w:r>
              <w:rPr>
                <w:rFonts w:hint="eastAsia"/>
                <w:color w:val="000000" w:themeColor="text1"/>
                <w:szCs w:val="21"/>
                <w:highlight w:val="none"/>
                <w:lang w:val="en-US" w:eastAsia="zh-CN"/>
              </w:rPr>
              <w:t>合计</w:t>
            </w:r>
          </w:p>
        </w:tc>
        <w:tc>
          <w:tcPr>
            <w:tcW w:w="1350" w:type="dxa"/>
            <w:noWrap w:val="0"/>
            <w:vAlign w:val="center"/>
          </w:tcPr>
          <w:p>
            <w:pPr>
              <w:pStyle w:val="306"/>
              <w:spacing w:before="3"/>
              <w:jc w:val="center"/>
              <w:rPr>
                <w:rFonts w:hint="default"/>
                <w:color w:val="000000" w:themeColor="text1"/>
                <w:szCs w:val="21"/>
                <w:highlight w:val="none"/>
                <w:lang w:val="en-US" w:eastAsia="zh-CN"/>
              </w:rPr>
            </w:pPr>
            <w:r>
              <w:rPr>
                <w:rFonts w:hint="eastAsia"/>
                <w:color w:val="000000" w:themeColor="text1"/>
                <w:szCs w:val="21"/>
                <w:highlight w:val="none"/>
                <w:lang w:val="en-US" w:eastAsia="zh-CN"/>
              </w:rPr>
              <w:t>3140万元</w:t>
            </w:r>
          </w:p>
        </w:tc>
        <w:tc>
          <w:tcPr>
            <w:tcW w:w="1050" w:type="dxa"/>
            <w:noWrap w:val="0"/>
            <w:vAlign w:val="center"/>
          </w:tcPr>
          <w:p>
            <w:pPr>
              <w:pStyle w:val="306"/>
              <w:spacing w:before="3"/>
              <w:jc w:val="center"/>
              <w:rPr>
                <w:rFonts w:hint="eastAsia"/>
                <w:color w:val="000000" w:themeColor="text1"/>
                <w:szCs w:val="21"/>
                <w:highlight w:val="none"/>
                <w:lang w:val="en-US" w:eastAsia="zh-CN"/>
              </w:rPr>
            </w:pPr>
          </w:p>
        </w:tc>
        <w:tc>
          <w:tcPr>
            <w:tcW w:w="1330" w:type="dxa"/>
            <w:noWrap w:val="0"/>
            <w:vAlign w:val="center"/>
          </w:tcPr>
          <w:p>
            <w:pPr>
              <w:pStyle w:val="306"/>
              <w:spacing w:before="3"/>
              <w:jc w:val="center"/>
              <w:rPr>
                <w:rFonts w:hint="eastAsia"/>
                <w:color w:val="000000" w:themeColor="text1"/>
                <w:szCs w:val="21"/>
                <w:highlight w:val="none"/>
                <w:lang w:val="en-US" w:eastAsia="zh-CN"/>
              </w:rPr>
            </w:pPr>
          </w:p>
        </w:tc>
      </w:tr>
    </w:tbl>
    <w:p>
      <w:pPr>
        <w:pStyle w:val="191"/>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eastAsia="宋体" w:cs="宋体"/>
          <w:color w:val="000000" w:themeColor="text1"/>
          <w:szCs w:val="21"/>
          <w:highlight w:val="none"/>
        </w:rPr>
      </w:pPr>
      <w:r>
        <w:rPr>
          <w:rFonts w:hint="eastAsia" w:ascii="宋体" w:hAnsi="宋体"/>
          <w:b/>
          <w:bCs/>
          <w:color w:val="000000" w:themeColor="text1"/>
          <w:szCs w:val="21"/>
          <w:highlight w:val="none"/>
        </w:rPr>
        <w:t>注：本项目兼投不兼中，每个投标人最多只能被确定为1个</w:t>
      </w:r>
      <w:r>
        <w:rPr>
          <w:rFonts w:hint="eastAsia" w:ascii="宋体" w:hAnsi="宋体"/>
          <w:b/>
          <w:bCs/>
          <w:color w:val="000000" w:themeColor="text1"/>
          <w:szCs w:val="21"/>
          <w:highlight w:val="none"/>
          <w:lang w:val="en-US" w:eastAsia="zh-CN"/>
        </w:rPr>
        <w:t>包组</w:t>
      </w:r>
      <w:r>
        <w:rPr>
          <w:rFonts w:hint="eastAsia" w:ascii="宋体" w:hAnsi="宋体"/>
          <w:b/>
          <w:bCs/>
          <w:color w:val="000000" w:themeColor="text1"/>
          <w:szCs w:val="21"/>
          <w:highlight w:val="none"/>
        </w:rPr>
        <w:t>的第一中标候选人。本项目按</w:t>
      </w:r>
      <w:r>
        <w:rPr>
          <w:rFonts w:hint="eastAsia" w:ascii="宋体" w:hAnsi="宋体"/>
          <w:b/>
          <w:bCs/>
          <w:color w:val="000000" w:themeColor="text1"/>
          <w:szCs w:val="21"/>
          <w:highlight w:val="none"/>
          <w:lang w:val="en-US" w:eastAsia="zh-CN"/>
        </w:rPr>
        <w:t>包组</w:t>
      </w:r>
      <w:r>
        <w:rPr>
          <w:rFonts w:hint="eastAsia" w:ascii="宋体" w:hAnsi="宋体"/>
          <w:b/>
          <w:bCs/>
          <w:color w:val="000000" w:themeColor="text1"/>
          <w:szCs w:val="21"/>
          <w:highlight w:val="none"/>
        </w:rPr>
        <w:t>的顺序进行评审，每包组推荐三名中标候选人。已获得01包组的第一中标候选人资格的，将不具有0</w:t>
      </w: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包组的候选人推荐资格；0</w:t>
      </w: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包组从具有中标候选人资格的投标人中，排名最高的投标供应商为第一中标候选人，排名次高的投标供应商为第二中标候选人，以此类推。已获得01</w:t>
      </w:r>
      <w:r>
        <w:rPr>
          <w:rFonts w:hint="eastAsia" w:ascii="宋体" w:hAnsi="宋体"/>
          <w:b/>
          <w:bCs/>
          <w:color w:val="000000" w:themeColor="text1"/>
          <w:szCs w:val="21"/>
          <w:highlight w:val="none"/>
          <w:lang w:eastAsia="zh-CN"/>
        </w:rPr>
        <w:t>、</w:t>
      </w:r>
      <w:r>
        <w:rPr>
          <w:rFonts w:hint="eastAsia" w:ascii="宋体" w:hAnsi="宋体"/>
          <w:b/>
          <w:bCs/>
          <w:color w:val="000000" w:themeColor="text1"/>
          <w:szCs w:val="21"/>
          <w:highlight w:val="none"/>
          <w:lang w:val="en-US" w:eastAsia="zh-CN"/>
        </w:rPr>
        <w:t>02</w:t>
      </w:r>
      <w:r>
        <w:rPr>
          <w:rFonts w:hint="eastAsia" w:ascii="宋体" w:hAnsi="宋体"/>
          <w:b/>
          <w:bCs/>
          <w:color w:val="000000" w:themeColor="text1"/>
          <w:szCs w:val="21"/>
          <w:highlight w:val="none"/>
        </w:rPr>
        <w:t>包组的第一中标候选人资格的，将不具有0</w:t>
      </w:r>
      <w:r>
        <w:rPr>
          <w:rFonts w:hint="eastAsia" w:ascii="宋体" w:hAnsi="宋体"/>
          <w:b/>
          <w:bCs/>
          <w:color w:val="000000" w:themeColor="text1"/>
          <w:szCs w:val="21"/>
          <w:highlight w:val="none"/>
          <w:lang w:val="en-US" w:eastAsia="zh-CN"/>
        </w:rPr>
        <w:t>3</w:t>
      </w:r>
      <w:r>
        <w:rPr>
          <w:rFonts w:hint="eastAsia" w:ascii="宋体" w:hAnsi="宋体"/>
          <w:b/>
          <w:bCs/>
          <w:color w:val="000000" w:themeColor="text1"/>
          <w:szCs w:val="21"/>
          <w:highlight w:val="none"/>
        </w:rPr>
        <w:t>包组的候选人推荐资格；0</w:t>
      </w:r>
      <w:r>
        <w:rPr>
          <w:rFonts w:hint="eastAsia" w:ascii="宋体" w:hAnsi="宋体"/>
          <w:b/>
          <w:bCs/>
          <w:color w:val="000000" w:themeColor="text1"/>
          <w:szCs w:val="21"/>
          <w:highlight w:val="none"/>
          <w:lang w:val="en-US" w:eastAsia="zh-CN"/>
        </w:rPr>
        <w:t>3</w:t>
      </w:r>
      <w:r>
        <w:rPr>
          <w:rFonts w:hint="eastAsia" w:ascii="宋体" w:hAnsi="宋体"/>
          <w:b/>
          <w:bCs/>
          <w:color w:val="000000" w:themeColor="text1"/>
          <w:szCs w:val="21"/>
          <w:highlight w:val="none"/>
        </w:rPr>
        <w:t>包组从具有中标候选人资格的投标人中，排名最高的投标供应商为第一中标候选人，排名次高的投标供应商为第二中标候选人，以此类推。</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lang w:val="en-US" w:eastAsia="zh-CN"/>
        </w:rPr>
        <w:t>报价方式：</w:t>
      </w:r>
      <w:r>
        <w:rPr>
          <w:rFonts w:hint="eastAsia" w:ascii="宋体" w:hAnsi="宋体"/>
          <w:bCs/>
          <w:color w:val="000000" w:themeColor="text1"/>
          <w:highlight w:val="none"/>
        </w:rPr>
        <w:t>折扣率报价</w:t>
      </w:r>
      <w:r>
        <w:rPr>
          <w:rFonts w:hint="eastAsia" w:ascii="宋体" w:hAnsi="宋体"/>
          <w:bCs/>
          <w:color w:val="000000" w:themeColor="text1"/>
          <w:highlight w:val="none"/>
          <w:lang w:eastAsia="zh-CN"/>
        </w:rPr>
        <w:t>，投标折扣率报价应≤95%。</w:t>
      </w:r>
    </w:p>
    <w:p>
      <w:pPr>
        <w:pStyle w:val="19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Cs w:val="21"/>
          <w:highlight w:val="none"/>
          <w:lang w:val="en-US" w:eastAsia="zh-CN"/>
        </w:rPr>
      </w:pPr>
      <w:r>
        <w:rPr>
          <w:rFonts w:hint="eastAsia" w:ascii="宋体" w:hAnsi="宋体" w:cs="宋体"/>
          <w:color w:val="000000" w:themeColor="text1"/>
          <w:kern w:val="0"/>
          <w:szCs w:val="21"/>
          <w:highlight w:val="none"/>
        </w:rPr>
        <w:t>注：投</w:t>
      </w:r>
      <w:r>
        <w:rPr>
          <w:rFonts w:hint="eastAsia" w:ascii="宋体" w:hAnsi="宋体"/>
          <w:color w:val="000000" w:themeColor="text1"/>
          <w:highlight w:val="none"/>
        </w:rPr>
        <w:t>标人必须对包</w:t>
      </w:r>
      <w:r>
        <w:rPr>
          <w:rFonts w:hint="eastAsia" w:ascii="宋体" w:hAnsi="宋体"/>
          <w:color w:val="000000" w:themeColor="text1"/>
          <w:highlight w:val="none"/>
          <w:lang w:val="en-US" w:eastAsia="zh-CN"/>
        </w:rPr>
        <w:t>组</w:t>
      </w:r>
      <w:r>
        <w:rPr>
          <w:rFonts w:hint="eastAsia" w:ascii="宋体" w:hAnsi="宋体"/>
          <w:color w:val="000000" w:themeColor="text1"/>
          <w:highlight w:val="none"/>
        </w:rPr>
        <w:t>内所有内容进行投标，不允许只对包</w:t>
      </w:r>
      <w:r>
        <w:rPr>
          <w:rFonts w:hint="eastAsia" w:ascii="宋体" w:hAnsi="宋体"/>
          <w:color w:val="000000" w:themeColor="text1"/>
          <w:highlight w:val="none"/>
          <w:lang w:val="en-US" w:eastAsia="zh-CN"/>
        </w:rPr>
        <w:t>组</w:t>
      </w:r>
      <w:r>
        <w:rPr>
          <w:rFonts w:hint="eastAsia" w:ascii="宋体" w:hAnsi="宋体"/>
          <w:color w:val="000000" w:themeColor="text1"/>
          <w:highlight w:val="none"/>
        </w:rPr>
        <w:t>内其中部分内容进行投标。</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rPr>
        <w:t>数  量：</w:t>
      </w:r>
      <w:r>
        <w:rPr>
          <w:rFonts w:hint="eastAsia" w:ascii="宋体" w:hAnsi="宋体"/>
          <w:bCs/>
          <w:color w:val="000000" w:themeColor="text1"/>
          <w:highlight w:val="none"/>
          <w:lang w:val="en-US" w:eastAsia="zh-CN"/>
        </w:rPr>
        <w:t>三</w:t>
      </w:r>
      <w:r>
        <w:rPr>
          <w:rFonts w:hint="eastAsia" w:ascii="宋体" w:hAnsi="宋体"/>
          <w:bCs/>
          <w:color w:val="000000" w:themeColor="text1"/>
          <w:highlight w:val="none"/>
        </w:rPr>
        <w:t>项</w:t>
      </w:r>
    </w:p>
    <w:p>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rPr>
      </w:pPr>
      <w:r>
        <w:rPr>
          <w:rFonts w:hint="eastAsia" w:ascii="宋体" w:hAnsi="宋体" w:cs="Tahoma"/>
          <w:color w:val="000000" w:themeColor="text1"/>
          <w:kern w:val="28"/>
          <w:szCs w:val="21"/>
          <w:highlight w:val="none"/>
        </w:rPr>
        <w:t>项目采购方式：公开招标</w:t>
      </w:r>
    </w:p>
    <w:p>
      <w:pPr>
        <w:widowControl/>
        <w:tabs>
          <w:tab w:val="left" w:pos="502"/>
        </w:tabs>
        <w:adjustRightInd w:val="0"/>
        <w:snapToGrid w:val="0"/>
        <w:spacing w:line="360" w:lineRule="auto"/>
        <w:rPr>
          <w:rFonts w:ascii="宋体" w:hAnsi="宋体" w:cs="Tahoma"/>
          <w:b/>
          <w:bCs/>
          <w:color w:val="000000" w:themeColor="text1"/>
          <w:highlight w:val="none"/>
        </w:rPr>
      </w:pPr>
      <w:r>
        <w:rPr>
          <w:rFonts w:hint="eastAsia" w:ascii="宋体" w:hAnsi="宋体" w:cs="Tahoma"/>
          <w:b/>
          <w:bCs/>
          <w:color w:val="000000" w:themeColor="text1"/>
          <w:highlight w:val="none"/>
        </w:rPr>
        <w:t>二、投标人资格要求为：</w:t>
      </w:r>
    </w:p>
    <w:p>
      <w:pPr>
        <w:widowControl/>
        <w:tabs>
          <w:tab w:val="left" w:pos="502"/>
        </w:tabs>
        <w:adjustRightInd w:val="0"/>
        <w:snapToGrid w:val="0"/>
        <w:spacing w:line="360" w:lineRule="auto"/>
        <w:ind w:left="105" w:leftChars="50" w:firstLine="209" w:firstLineChars="99"/>
        <w:rPr>
          <w:rFonts w:hint="default" w:ascii="宋体" w:hAnsi="宋体" w:eastAsia="宋体" w:cs="Tahoma"/>
          <w:b/>
          <w:bCs/>
          <w:color w:val="000000" w:themeColor="text1"/>
          <w:highlight w:val="none"/>
          <w:lang w:val="en-US" w:eastAsia="zh-CN"/>
        </w:rPr>
      </w:pPr>
      <w:r>
        <w:rPr>
          <w:rFonts w:hint="eastAsia" w:ascii="宋体" w:hAnsi="宋体" w:cs="Tahoma"/>
          <w:b/>
          <w:bCs/>
          <w:color w:val="000000" w:themeColor="text1"/>
          <w:highlight w:val="none"/>
          <w:lang w:val="en-US" w:eastAsia="zh-CN"/>
        </w:rPr>
        <w:t>01包组：</w:t>
      </w:r>
      <w:r>
        <w:rPr>
          <w:rFonts w:hint="eastAsia" w:ascii="宋体" w:hAnsi="宋体" w:eastAsia="宋体" w:cs="宋体"/>
          <w:b/>
          <w:bCs/>
          <w:color w:val="000000" w:themeColor="text1"/>
          <w:szCs w:val="21"/>
          <w:highlight w:val="none"/>
          <w:lang w:val="en-US" w:eastAsia="zh-CN"/>
        </w:rPr>
        <w:t>肉类、腊味制品、瓜果疏菜、水产海鲜、冻品类</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widowControl/>
        <w:tabs>
          <w:tab w:val="left" w:pos="525"/>
        </w:tabs>
        <w:adjustRightInd w:val="0"/>
        <w:snapToGrid w:val="0"/>
        <w:spacing w:line="360" w:lineRule="auto"/>
        <w:ind w:left="630" w:leftChars="300"/>
        <w:rPr>
          <w:rFonts w:hint="eastAsia" w:ascii="宋体" w:hAnsi="宋体"/>
          <w:color w:val="000000" w:themeColor="text1"/>
          <w:szCs w:val="21"/>
          <w:highlight w:val="none"/>
        </w:rPr>
      </w:pPr>
      <w:r>
        <w:rPr>
          <w:rFonts w:hint="eastAsia" w:ascii="宋体" w:hAnsi="宋体"/>
          <w:color w:val="000000" w:themeColor="text1"/>
          <w:szCs w:val="21"/>
          <w:highlight w:val="none"/>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2）具有良好的商业信誉和健全的财务会计制度：提供投标截止日前6个月内任意1个月依法缴纳税收和社会保障资金的相关材料。 如依法免税或不需要缴纳社会保障资金的， 提供相应证明材料。</w:t>
      </w:r>
    </w:p>
    <w:p>
      <w:pPr>
        <w:widowControl/>
        <w:tabs>
          <w:tab w:val="left" w:pos="525"/>
        </w:tabs>
        <w:adjustRightInd w:val="0"/>
        <w:snapToGrid w:val="0"/>
        <w:spacing w:line="360" w:lineRule="auto"/>
        <w:ind w:left="630" w:leftChars="300"/>
        <w:rPr>
          <w:rFonts w:hint="eastAsia" w:ascii="宋体" w:hAnsi="宋体"/>
          <w:color w:val="000000" w:themeColor="text1"/>
          <w:szCs w:val="21"/>
          <w:highlight w:val="none"/>
        </w:rPr>
      </w:pPr>
      <w:r>
        <w:rPr>
          <w:rFonts w:hint="eastAsia" w:ascii="宋体" w:hAnsi="宋体"/>
          <w:color w:val="000000" w:themeColor="text1"/>
          <w:szCs w:val="21"/>
          <w:highlight w:val="none"/>
        </w:rPr>
        <w:t>3）具有履行合同所必需的设备和专业技术能力；</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4）有依法缴纳税收和社会保障资金的良好记录：投标人必须具有良好的商业信誉和健全的财务会计制度（提供2022年度财务状况报告或2023年任意一个月的财务报表复印件；或银行出具的资信证明材料复印件）；</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5）参加政府采购活动前三年内，在经营活动中没有重大违法记录：</w:t>
      </w:r>
      <w:r>
        <w:rPr>
          <w:rFonts w:hint="eastAsia" w:ascii="宋体" w:hAnsi="宋体"/>
          <w:color w:val="000000" w:themeColor="text1"/>
          <w:szCs w:val="21"/>
          <w:highlight w:val="none"/>
          <w:lang w:val="en-US" w:eastAsia="zh-CN"/>
        </w:rPr>
        <w:t>提供</w:t>
      </w:r>
      <w:r>
        <w:rPr>
          <w:rFonts w:hint="eastAsia" w:ascii="宋体" w:hAnsi="宋体"/>
          <w:color w:val="000000" w:themeColor="text1"/>
          <w:szCs w:val="21"/>
          <w:highlight w:val="none"/>
        </w:rPr>
        <w:t>无重大违法记录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6）法律、行政法规规定的其他条件。</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eastAsia="宋体" w:cs="宋体"/>
          <w:color w:val="000000" w:themeColor="text1"/>
          <w:highlight w:val="none"/>
          <w:lang w:val="en-US" w:eastAsia="zh-CN"/>
        </w:rPr>
        <w:t>单位负责人为同一人或者存在直接控股、管理关系的不同供应商，不得参加同一合同项下的政府采购活动。（提供</w:t>
      </w:r>
      <w:r>
        <w:rPr>
          <w:rFonts w:hint="eastAsia" w:ascii="宋体" w:hAnsi="宋体" w:cs="宋体"/>
          <w:color w:val="000000" w:themeColor="text1"/>
          <w:highlight w:val="none"/>
          <w:lang w:val="en-US" w:eastAsia="zh-CN"/>
        </w:rPr>
        <w:t>《投标函》</w:t>
      </w:r>
      <w:r>
        <w:rPr>
          <w:rFonts w:hint="eastAsia" w:ascii="宋体" w:hAnsi="宋体" w:eastAsia="宋体" w:cs="宋体"/>
          <w:color w:val="000000" w:themeColor="text1"/>
          <w:highlight w:val="none"/>
          <w:lang w:val="en-US" w:eastAsia="zh-CN"/>
        </w:rPr>
        <w:t>承诺）</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eastAsia="宋体" w:cs="宋体"/>
          <w:color w:val="000000" w:themeColor="text1"/>
          <w:highlight w:val="none"/>
          <w:lang w:val="en-US" w:eastAsia="zh-CN"/>
        </w:rPr>
        <w:t>为采购项目提供整体设计、规范编制或者项目管理、监理、检测等服务的供应商，不得再参加采购项目的其他采购活动。（提供</w:t>
      </w:r>
      <w:r>
        <w:rPr>
          <w:rFonts w:hint="eastAsia" w:ascii="宋体" w:hAnsi="宋体" w:cs="宋体"/>
          <w:color w:val="000000" w:themeColor="text1"/>
          <w:highlight w:val="none"/>
          <w:lang w:val="en-US" w:eastAsia="zh-CN"/>
        </w:rPr>
        <w:t>《投标函》</w:t>
      </w:r>
      <w:r>
        <w:rPr>
          <w:rFonts w:hint="eastAsia" w:ascii="宋体" w:hAnsi="宋体" w:eastAsia="宋体" w:cs="宋体"/>
          <w:color w:val="000000" w:themeColor="text1"/>
          <w:highlight w:val="none"/>
          <w:lang w:val="en-US" w:eastAsia="zh-CN"/>
        </w:rPr>
        <w:t>承诺）</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eastAsia="宋体" w:cs="宋体"/>
          <w:color w:val="000000" w:themeColor="text1"/>
          <w:highlight w:val="none"/>
          <w:lang w:val="en-US" w:eastAsia="zh-CN"/>
        </w:rPr>
        <w:t>投标人</w:t>
      </w:r>
      <w:r>
        <w:rPr>
          <w:rFonts w:hint="eastAsia" w:ascii="宋体" w:hAnsi="宋体" w:eastAsia="宋体" w:cs="宋体"/>
          <w:color w:val="000000" w:themeColor="text1"/>
          <w:highlight w:val="none"/>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eastAsia="宋体" w:cs="宋体"/>
          <w:color w:val="000000" w:themeColor="text1"/>
          <w:highlight w:val="none"/>
          <w:lang w:val="en-US" w:eastAsia="zh-CN"/>
        </w:rPr>
        <w:t>投标人必须具备有效的《食品经营许可证》。</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本项目不接受联合体投标；</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投标人</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在招标代理机构登记并购买招标文件。</w:t>
      </w:r>
    </w:p>
    <w:p>
      <w:pPr>
        <w:widowControl/>
        <w:tabs>
          <w:tab w:val="left" w:pos="502"/>
        </w:tabs>
        <w:adjustRightInd w:val="0"/>
        <w:snapToGrid w:val="0"/>
        <w:spacing w:line="360" w:lineRule="auto"/>
        <w:ind w:left="105" w:leftChars="50" w:firstLine="209" w:firstLineChars="99"/>
        <w:rPr>
          <w:rFonts w:hint="eastAsia" w:ascii="宋体" w:hAnsi="宋体" w:cs="Tahoma"/>
          <w:b/>
          <w:bCs/>
          <w:color w:val="000000" w:themeColor="text1"/>
          <w:highlight w:val="none"/>
          <w:lang w:val="en-US" w:eastAsia="zh-CN"/>
        </w:rPr>
      </w:pPr>
    </w:p>
    <w:p>
      <w:pPr>
        <w:widowControl/>
        <w:tabs>
          <w:tab w:val="left" w:pos="502"/>
        </w:tabs>
        <w:adjustRightInd w:val="0"/>
        <w:snapToGrid w:val="0"/>
        <w:spacing w:line="360" w:lineRule="auto"/>
        <w:ind w:left="105" w:leftChars="50" w:firstLine="209" w:firstLineChars="99"/>
        <w:rPr>
          <w:rFonts w:hint="default" w:ascii="宋体" w:hAnsi="宋体" w:eastAsia="宋体" w:cs="Tahoma"/>
          <w:b/>
          <w:bCs/>
          <w:color w:val="000000" w:themeColor="text1"/>
          <w:highlight w:val="none"/>
          <w:lang w:val="en-US" w:eastAsia="zh-CN"/>
        </w:rPr>
      </w:pPr>
      <w:r>
        <w:rPr>
          <w:rFonts w:hint="eastAsia" w:ascii="宋体" w:hAnsi="宋体" w:cs="Tahoma"/>
          <w:b/>
          <w:bCs/>
          <w:color w:val="000000" w:themeColor="text1"/>
          <w:highlight w:val="none"/>
          <w:lang w:val="en-US" w:eastAsia="zh-CN"/>
        </w:rPr>
        <w:t>0</w:t>
      </w:r>
      <w:r>
        <w:rPr>
          <w:rFonts w:hint="eastAsia" w:ascii="宋体" w:hAnsi="宋体" w:eastAsia="宋体" w:cs="宋体"/>
          <w:b/>
          <w:bCs/>
          <w:color w:val="000000" w:themeColor="text1"/>
          <w:highlight w:val="none"/>
          <w:lang w:val="en-US" w:eastAsia="zh-CN"/>
        </w:rPr>
        <w:t>2包组：大米、面类、豆类、干货类、油、盐、糖、酱、酒、醋、添加剂等</w:t>
      </w:r>
    </w:p>
    <w:p>
      <w:pPr>
        <w:widowControl/>
        <w:numPr>
          <w:ilvl w:val="0"/>
          <w:numId w:val="23"/>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widowControl/>
        <w:tabs>
          <w:tab w:val="left" w:pos="525"/>
        </w:tabs>
        <w:adjustRightInd w:val="0"/>
        <w:snapToGrid w:val="0"/>
        <w:spacing w:line="360" w:lineRule="auto"/>
        <w:ind w:left="630" w:leftChars="300"/>
        <w:rPr>
          <w:rFonts w:hint="eastAsia" w:ascii="宋体" w:hAnsi="宋体"/>
          <w:color w:val="000000" w:themeColor="text1"/>
          <w:szCs w:val="21"/>
          <w:highlight w:val="none"/>
        </w:rPr>
      </w:pPr>
      <w:r>
        <w:rPr>
          <w:rFonts w:hint="eastAsia" w:ascii="宋体" w:hAnsi="宋体"/>
          <w:color w:val="000000" w:themeColor="text1"/>
          <w:szCs w:val="21"/>
          <w:highlight w:val="none"/>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2）具有良好的商业信誉和健全的财务会计制度：提供投标截止日前6个月内任意1个月依法缴纳税收和社会保障资金的相关材料。 如依法免税或不需要缴纳社会保障资金的， 提供相应证明材料。</w:t>
      </w:r>
    </w:p>
    <w:p>
      <w:pPr>
        <w:widowControl/>
        <w:tabs>
          <w:tab w:val="left" w:pos="525"/>
        </w:tabs>
        <w:adjustRightInd w:val="0"/>
        <w:snapToGrid w:val="0"/>
        <w:spacing w:line="360" w:lineRule="auto"/>
        <w:ind w:left="630" w:leftChars="300"/>
        <w:rPr>
          <w:rFonts w:hint="eastAsia" w:ascii="宋体" w:hAnsi="宋体"/>
          <w:color w:val="000000" w:themeColor="text1"/>
          <w:szCs w:val="21"/>
          <w:highlight w:val="none"/>
        </w:rPr>
      </w:pPr>
      <w:r>
        <w:rPr>
          <w:rFonts w:hint="eastAsia" w:ascii="宋体" w:hAnsi="宋体"/>
          <w:color w:val="000000" w:themeColor="text1"/>
          <w:szCs w:val="21"/>
          <w:highlight w:val="none"/>
        </w:rPr>
        <w:t>3）具有履行合同所必需的设备和专业技术能力；</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4）有依法缴纳税收和社会保障资金的良好记录：投标人必须具有良好的商业信誉和健全的财务会计制度（提供2022年度财务状况报告或2023年任意一个月的财务报表复印件；或银行出具的资信证明材料复印件）；</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5）参加政府采购活动前三年内，在经营活动中没有重大违法记录：</w:t>
      </w:r>
      <w:r>
        <w:rPr>
          <w:rFonts w:hint="eastAsia" w:ascii="宋体" w:hAnsi="宋体"/>
          <w:color w:val="000000" w:themeColor="text1"/>
          <w:szCs w:val="21"/>
          <w:highlight w:val="none"/>
          <w:lang w:val="en-US" w:eastAsia="zh-CN"/>
        </w:rPr>
        <w:t>提供</w:t>
      </w:r>
      <w:r>
        <w:rPr>
          <w:rFonts w:hint="eastAsia" w:ascii="宋体" w:hAnsi="宋体"/>
          <w:color w:val="000000" w:themeColor="text1"/>
          <w:szCs w:val="21"/>
          <w:highlight w:val="none"/>
        </w:rPr>
        <w:t>无重大违法记录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6）法律、行政法规规定的其他条件。</w:t>
      </w:r>
    </w:p>
    <w:p>
      <w:pPr>
        <w:widowControl/>
        <w:numPr>
          <w:ilvl w:val="0"/>
          <w:numId w:val="23"/>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eastAsia="宋体" w:cs="宋体"/>
          <w:color w:val="000000" w:themeColor="text1"/>
          <w:highlight w:val="none"/>
          <w:lang w:val="en-US" w:eastAsia="zh-CN"/>
        </w:rPr>
        <w:t>单位负责人为同一人或者存在直接控股、管理关系的不同供应商，不得参加同一合同项下的政府采购活动。（提供</w:t>
      </w:r>
      <w:r>
        <w:rPr>
          <w:rFonts w:hint="eastAsia" w:ascii="宋体" w:hAnsi="宋体" w:cs="宋体"/>
          <w:color w:val="000000" w:themeColor="text1"/>
          <w:highlight w:val="none"/>
          <w:lang w:val="en-US" w:eastAsia="zh-CN"/>
        </w:rPr>
        <w:t>《投标函》</w:t>
      </w:r>
      <w:r>
        <w:rPr>
          <w:rFonts w:hint="eastAsia" w:ascii="宋体" w:hAnsi="宋体" w:eastAsia="宋体" w:cs="宋体"/>
          <w:color w:val="000000" w:themeColor="text1"/>
          <w:highlight w:val="none"/>
          <w:lang w:val="en-US" w:eastAsia="zh-CN"/>
        </w:rPr>
        <w:t>承诺）</w:t>
      </w:r>
    </w:p>
    <w:p>
      <w:pPr>
        <w:widowControl/>
        <w:numPr>
          <w:ilvl w:val="0"/>
          <w:numId w:val="23"/>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eastAsia="宋体" w:cs="宋体"/>
          <w:color w:val="000000" w:themeColor="text1"/>
          <w:highlight w:val="none"/>
          <w:lang w:val="en-US" w:eastAsia="zh-CN"/>
        </w:rPr>
        <w:t>为采购项目提供整体设计、规范编制或者项目管理、监理、检测等服务的供应商，不得再参加采购项目的其他采购活动。（提供</w:t>
      </w:r>
      <w:r>
        <w:rPr>
          <w:rFonts w:hint="eastAsia" w:ascii="宋体" w:hAnsi="宋体" w:cs="宋体"/>
          <w:color w:val="000000" w:themeColor="text1"/>
          <w:highlight w:val="none"/>
          <w:lang w:val="en-US" w:eastAsia="zh-CN"/>
        </w:rPr>
        <w:t>《投标函》</w:t>
      </w:r>
      <w:r>
        <w:rPr>
          <w:rFonts w:hint="eastAsia" w:ascii="宋体" w:hAnsi="宋体" w:eastAsia="宋体" w:cs="宋体"/>
          <w:color w:val="000000" w:themeColor="text1"/>
          <w:highlight w:val="none"/>
          <w:lang w:val="en-US" w:eastAsia="zh-CN"/>
        </w:rPr>
        <w:t>承诺）</w:t>
      </w:r>
    </w:p>
    <w:p>
      <w:pPr>
        <w:widowControl/>
        <w:numPr>
          <w:ilvl w:val="0"/>
          <w:numId w:val="23"/>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eastAsia="宋体" w:cs="宋体"/>
          <w:color w:val="000000" w:themeColor="text1"/>
          <w:highlight w:val="none"/>
          <w:lang w:val="en-US" w:eastAsia="zh-CN"/>
        </w:rPr>
        <w:t>投标人</w:t>
      </w:r>
      <w:r>
        <w:rPr>
          <w:rFonts w:hint="eastAsia" w:ascii="宋体" w:hAnsi="宋体" w:eastAsia="宋体" w:cs="宋体"/>
          <w:color w:val="000000" w:themeColor="text1"/>
          <w:highlight w:val="none"/>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widowControl/>
        <w:numPr>
          <w:ilvl w:val="0"/>
          <w:numId w:val="23"/>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本项目不接受联合体投标；</w:t>
      </w:r>
    </w:p>
    <w:p>
      <w:pPr>
        <w:widowControl/>
        <w:numPr>
          <w:ilvl w:val="0"/>
          <w:numId w:val="23"/>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投标人</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在招标代理机构登记并购买招标文件。</w:t>
      </w:r>
    </w:p>
    <w:p>
      <w:pPr>
        <w:widowControl/>
        <w:tabs>
          <w:tab w:val="left" w:pos="502"/>
        </w:tabs>
        <w:adjustRightInd w:val="0"/>
        <w:snapToGrid w:val="0"/>
        <w:spacing w:line="360" w:lineRule="auto"/>
        <w:rPr>
          <w:rFonts w:hint="eastAsia" w:ascii="Tahoma" w:hAnsi="Tahoma" w:cs="Tahoma"/>
          <w:b/>
          <w:bCs/>
          <w:color w:val="000000" w:themeColor="text1"/>
          <w:szCs w:val="21"/>
          <w:highlight w:val="none"/>
        </w:rPr>
      </w:pPr>
    </w:p>
    <w:p>
      <w:pPr>
        <w:widowControl/>
        <w:tabs>
          <w:tab w:val="left" w:pos="502"/>
        </w:tabs>
        <w:adjustRightInd w:val="0"/>
        <w:snapToGrid w:val="0"/>
        <w:spacing w:line="360" w:lineRule="auto"/>
        <w:ind w:left="105" w:leftChars="50" w:firstLine="209" w:firstLineChars="99"/>
        <w:rPr>
          <w:rFonts w:hint="default" w:ascii="宋体" w:hAnsi="宋体" w:eastAsia="宋体" w:cs="Tahoma"/>
          <w:b/>
          <w:bCs/>
          <w:color w:val="000000" w:themeColor="text1"/>
          <w:highlight w:val="none"/>
          <w:lang w:val="en-US" w:eastAsia="zh-CN"/>
        </w:rPr>
      </w:pPr>
      <w:r>
        <w:rPr>
          <w:rFonts w:hint="eastAsia" w:ascii="宋体" w:hAnsi="宋体" w:cs="Tahoma"/>
          <w:b/>
          <w:bCs/>
          <w:color w:val="000000" w:themeColor="text1"/>
          <w:highlight w:val="none"/>
          <w:lang w:val="en-US" w:eastAsia="zh-CN"/>
        </w:rPr>
        <w:t>0</w:t>
      </w:r>
      <w:r>
        <w:rPr>
          <w:rFonts w:hint="eastAsia" w:ascii="宋体" w:hAnsi="宋体" w:eastAsia="宋体" w:cs="宋体"/>
          <w:b/>
          <w:bCs/>
          <w:color w:val="000000" w:themeColor="text1"/>
          <w:szCs w:val="21"/>
          <w:highlight w:val="none"/>
          <w:lang w:val="en-US" w:eastAsia="zh-CN"/>
        </w:rPr>
        <w:t>3包组：包子、馒头、蛋糕等各种糕点</w:t>
      </w:r>
    </w:p>
    <w:p>
      <w:pPr>
        <w:widowControl/>
        <w:numPr>
          <w:ilvl w:val="0"/>
          <w:numId w:val="24"/>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widowControl/>
        <w:tabs>
          <w:tab w:val="left" w:pos="525"/>
        </w:tabs>
        <w:adjustRightInd w:val="0"/>
        <w:snapToGrid w:val="0"/>
        <w:spacing w:line="360" w:lineRule="auto"/>
        <w:ind w:left="630" w:leftChars="300"/>
        <w:rPr>
          <w:rFonts w:hint="eastAsia" w:ascii="宋体" w:hAnsi="宋体"/>
          <w:color w:val="000000" w:themeColor="text1"/>
          <w:szCs w:val="21"/>
          <w:highlight w:val="none"/>
        </w:rPr>
      </w:pPr>
      <w:r>
        <w:rPr>
          <w:rFonts w:hint="eastAsia" w:ascii="宋体" w:hAnsi="宋体"/>
          <w:color w:val="000000" w:themeColor="text1"/>
          <w:szCs w:val="21"/>
          <w:highlight w:val="none"/>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2）具有良好的商业信誉和健全的财务会计制度：提供投标截止日前6个月内任意1个月依法缴纳税收和社会保障资金的相关材料。 如依法免税或不需要缴纳社会保障资金的， 提供相应证明材料。</w:t>
      </w:r>
    </w:p>
    <w:p>
      <w:pPr>
        <w:widowControl/>
        <w:tabs>
          <w:tab w:val="left" w:pos="525"/>
        </w:tabs>
        <w:adjustRightInd w:val="0"/>
        <w:snapToGrid w:val="0"/>
        <w:spacing w:line="360" w:lineRule="auto"/>
        <w:ind w:left="630" w:leftChars="300"/>
        <w:rPr>
          <w:rFonts w:hint="eastAsia" w:ascii="宋体" w:hAnsi="宋体"/>
          <w:color w:val="000000" w:themeColor="text1"/>
          <w:szCs w:val="21"/>
          <w:highlight w:val="none"/>
        </w:rPr>
      </w:pPr>
      <w:r>
        <w:rPr>
          <w:rFonts w:hint="eastAsia" w:ascii="宋体" w:hAnsi="宋体"/>
          <w:color w:val="000000" w:themeColor="text1"/>
          <w:szCs w:val="21"/>
          <w:highlight w:val="none"/>
        </w:rPr>
        <w:t>3）具有履行合同所必需的设备和专业技术能力；</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4）有依法缴纳税收和社会保障资金的良好记录：投标人必须具有良好的商业信誉和健全的财务会计制度（提供2022年度财务状况报告或2023年任意一个月的财务报表复印件；或银行出具的资信证明材料复印件）；</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5）参加政府采购活动前三年内，在经营活动中没有重大违法记录：</w:t>
      </w:r>
      <w:r>
        <w:rPr>
          <w:rFonts w:hint="eastAsia" w:ascii="宋体" w:hAnsi="宋体"/>
          <w:color w:val="000000" w:themeColor="text1"/>
          <w:szCs w:val="21"/>
          <w:highlight w:val="none"/>
          <w:lang w:val="en-US" w:eastAsia="zh-CN"/>
        </w:rPr>
        <w:t>提供</w:t>
      </w:r>
      <w:r>
        <w:rPr>
          <w:rFonts w:hint="eastAsia" w:ascii="宋体" w:hAnsi="宋体"/>
          <w:color w:val="000000" w:themeColor="text1"/>
          <w:szCs w:val="21"/>
          <w:highlight w:val="none"/>
        </w:rPr>
        <w:t>无重大违法记录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6）法律、行政法规规定的其他条件。</w:t>
      </w:r>
    </w:p>
    <w:p>
      <w:pPr>
        <w:widowControl/>
        <w:numPr>
          <w:ilvl w:val="0"/>
          <w:numId w:val="24"/>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eastAsia="宋体" w:cs="宋体"/>
          <w:color w:val="000000" w:themeColor="text1"/>
          <w:highlight w:val="none"/>
          <w:lang w:val="en-US" w:eastAsia="zh-CN"/>
        </w:rPr>
        <w:t>单位负责人为同一人或者存在直接控股、管理关系的不同供应商，不得参加同一合同项下的政府采购活动。（提供</w:t>
      </w:r>
      <w:r>
        <w:rPr>
          <w:rFonts w:hint="eastAsia" w:ascii="宋体" w:hAnsi="宋体" w:cs="宋体"/>
          <w:color w:val="000000" w:themeColor="text1"/>
          <w:highlight w:val="none"/>
          <w:lang w:val="en-US" w:eastAsia="zh-CN"/>
        </w:rPr>
        <w:t>《投标函》</w:t>
      </w:r>
      <w:r>
        <w:rPr>
          <w:rFonts w:hint="eastAsia" w:ascii="宋体" w:hAnsi="宋体" w:eastAsia="宋体" w:cs="宋体"/>
          <w:color w:val="000000" w:themeColor="text1"/>
          <w:highlight w:val="none"/>
          <w:lang w:val="en-US" w:eastAsia="zh-CN"/>
        </w:rPr>
        <w:t>承诺）</w:t>
      </w:r>
    </w:p>
    <w:p>
      <w:pPr>
        <w:widowControl/>
        <w:numPr>
          <w:ilvl w:val="0"/>
          <w:numId w:val="24"/>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eastAsia="宋体" w:cs="宋体"/>
          <w:color w:val="000000" w:themeColor="text1"/>
          <w:highlight w:val="none"/>
          <w:lang w:val="en-US" w:eastAsia="zh-CN"/>
        </w:rPr>
        <w:t>为采购项目提供整体设计、规范编制或者项目管理、监理、检测等服务的供应商，不得再参加采购项目的其他采购活动。（提供</w:t>
      </w:r>
      <w:r>
        <w:rPr>
          <w:rFonts w:hint="eastAsia" w:ascii="宋体" w:hAnsi="宋体" w:cs="宋体"/>
          <w:color w:val="000000" w:themeColor="text1"/>
          <w:highlight w:val="none"/>
          <w:lang w:val="en-US" w:eastAsia="zh-CN"/>
        </w:rPr>
        <w:t>《投标函》</w:t>
      </w:r>
      <w:r>
        <w:rPr>
          <w:rFonts w:hint="eastAsia" w:ascii="宋体" w:hAnsi="宋体" w:eastAsia="宋体" w:cs="宋体"/>
          <w:color w:val="000000" w:themeColor="text1"/>
          <w:highlight w:val="none"/>
          <w:lang w:val="en-US" w:eastAsia="zh-CN"/>
        </w:rPr>
        <w:t>承诺）</w:t>
      </w:r>
    </w:p>
    <w:p>
      <w:pPr>
        <w:widowControl/>
        <w:numPr>
          <w:ilvl w:val="0"/>
          <w:numId w:val="24"/>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eastAsia="宋体" w:cs="宋体"/>
          <w:color w:val="000000" w:themeColor="text1"/>
          <w:highlight w:val="none"/>
          <w:lang w:val="en-US" w:eastAsia="zh-CN"/>
        </w:rPr>
        <w:t>投标人</w:t>
      </w:r>
      <w:r>
        <w:rPr>
          <w:rFonts w:hint="eastAsia" w:ascii="宋体" w:hAnsi="宋体" w:eastAsia="宋体" w:cs="宋体"/>
          <w:color w:val="000000" w:themeColor="text1"/>
          <w:highlight w:val="none"/>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widowControl/>
        <w:numPr>
          <w:ilvl w:val="0"/>
          <w:numId w:val="24"/>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lang w:val="en-US" w:eastAsia="zh-CN"/>
        </w:rPr>
        <w:t>投标人必须具备有效的《食品生产许可证》。</w:t>
      </w:r>
    </w:p>
    <w:p>
      <w:pPr>
        <w:widowControl/>
        <w:numPr>
          <w:ilvl w:val="0"/>
          <w:numId w:val="24"/>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本项目不接受联合体投标；</w:t>
      </w:r>
    </w:p>
    <w:p>
      <w:pPr>
        <w:widowControl/>
        <w:numPr>
          <w:ilvl w:val="0"/>
          <w:numId w:val="24"/>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投标人</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在招标代理机构登记并购买招标文件。</w:t>
      </w:r>
    </w:p>
    <w:p>
      <w:pPr>
        <w:widowControl/>
        <w:tabs>
          <w:tab w:val="left" w:pos="502"/>
        </w:tabs>
        <w:adjustRightInd w:val="0"/>
        <w:snapToGrid w:val="0"/>
        <w:spacing w:line="360" w:lineRule="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三、</w:t>
      </w:r>
      <w:r>
        <w:rPr>
          <w:rFonts w:ascii="Tahoma" w:hAnsi="Tahoma" w:cs="Tahoma"/>
          <w:b/>
          <w:bCs/>
          <w:color w:val="000000" w:themeColor="text1"/>
          <w:szCs w:val="21"/>
          <w:highlight w:val="none"/>
        </w:rPr>
        <w:t>招标文件的公示</w:t>
      </w:r>
    </w:p>
    <w:p>
      <w:pPr>
        <w:spacing w:line="360" w:lineRule="auto"/>
        <w:ind w:firstLine="210" w:firstLineChars="100"/>
        <w:rPr>
          <w:rFonts w:hint="eastAsia" w:ascii="宋体" w:hAnsi="宋体" w:eastAsia="宋体" w:cs="宋体"/>
          <w:bCs/>
          <w:color w:val="000000" w:themeColor="text1"/>
          <w:highlight w:val="none"/>
        </w:rPr>
      </w:pPr>
      <w:r>
        <w:rPr>
          <w:rFonts w:hint="eastAsia" w:ascii="宋体" w:hAnsi="宋体" w:cs="宋体"/>
          <w:color w:val="000000" w:themeColor="text1"/>
          <w:kern w:val="0"/>
          <w:szCs w:val="21"/>
          <w:highlight w:val="none"/>
        </w:rPr>
        <w:t>1．</w:t>
      </w:r>
      <w:r>
        <w:rPr>
          <w:rFonts w:hint="eastAsia" w:ascii="宋体" w:hAnsi="宋体" w:cs="Arial"/>
          <w:color w:val="000000" w:themeColor="text1"/>
          <w:highlight w:val="none"/>
        </w:rPr>
        <w:t>招标文件公示时</w:t>
      </w:r>
      <w:r>
        <w:rPr>
          <w:rFonts w:hint="eastAsia" w:ascii="宋体" w:hAnsi="宋体"/>
          <w:bCs/>
          <w:color w:val="000000" w:themeColor="text1"/>
          <w:highlight w:val="none"/>
        </w:rPr>
        <w:t>间及下</w:t>
      </w:r>
      <w:r>
        <w:rPr>
          <w:rFonts w:hint="eastAsia" w:ascii="宋体" w:hAnsi="宋体" w:eastAsia="宋体" w:cs="宋体"/>
          <w:bCs/>
          <w:color w:val="000000" w:themeColor="text1"/>
          <w:highlight w:val="none"/>
        </w:rPr>
        <w:t>载：</w:t>
      </w:r>
      <w:r>
        <w:rPr>
          <w:rFonts w:hint="eastAsia" w:ascii="宋体" w:hAnsi="宋体" w:eastAsia="宋体" w:cs="宋体"/>
          <w:color w:val="000000" w:themeColor="text1"/>
          <w:kern w:val="2"/>
          <w:sz w:val="21"/>
          <w:szCs w:val="24"/>
          <w:highlight w:val="none"/>
          <w:lang w:val="en-US" w:eastAsia="zh-CN" w:bidi="ar-SA"/>
        </w:rPr>
        <w:t>2023年7月24日</w:t>
      </w:r>
      <w:r>
        <w:rPr>
          <w:rFonts w:hint="eastAsia" w:ascii="宋体" w:hAnsi="宋体" w:eastAsia="宋体" w:cs="宋体"/>
          <w:color w:val="000000" w:themeColor="text1"/>
          <w:szCs w:val="21"/>
          <w:highlight w:val="none"/>
        </w:rPr>
        <w:t>至</w:t>
      </w:r>
      <w:r>
        <w:rPr>
          <w:rFonts w:hint="eastAsia" w:ascii="宋体" w:hAnsi="宋体" w:eastAsia="宋体" w:cs="宋体"/>
          <w:color w:val="000000" w:themeColor="text1"/>
          <w:kern w:val="2"/>
          <w:sz w:val="21"/>
          <w:szCs w:val="24"/>
          <w:highlight w:val="none"/>
          <w:lang w:val="en-US" w:eastAsia="zh-CN" w:bidi="ar-SA"/>
        </w:rPr>
        <w:t>2023年7月31日</w:t>
      </w:r>
      <w:r>
        <w:rPr>
          <w:rFonts w:hint="eastAsia" w:ascii="宋体" w:hAnsi="宋体" w:eastAsia="宋体" w:cs="宋体"/>
          <w:bCs/>
          <w:color w:val="000000" w:themeColor="text1"/>
          <w:highlight w:val="none"/>
        </w:rPr>
        <w:t>。</w:t>
      </w:r>
    </w:p>
    <w:p>
      <w:pPr>
        <w:widowControl/>
        <w:adjustRightInd w:val="0"/>
        <w:snapToGrid w:val="0"/>
        <w:spacing w:line="360" w:lineRule="auto"/>
        <w:ind w:left="315" w:leftChars="100" w:hanging="105" w:hangingChars="50"/>
        <w:rPr>
          <w:rFonts w:hint="eastAsia" w:ascii="宋体" w:hAnsi="宋体" w:eastAsia="宋体" w:cs="宋体"/>
          <w:color w:val="000000" w:themeColor="text1"/>
          <w:kern w:val="0"/>
          <w:szCs w:val="21"/>
          <w:highlight w:val="none"/>
        </w:rPr>
      </w:pPr>
      <w:r>
        <w:rPr>
          <w:rFonts w:hint="eastAsia" w:ascii="宋体" w:hAnsi="宋体" w:eastAsia="宋体" w:cs="宋体"/>
          <w:bCs/>
          <w:color w:val="000000" w:themeColor="text1"/>
          <w:highlight w:val="none"/>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widowControl/>
        <w:numPr>
          <w:ilvl w:val="0"/>
          <w:numId w:val="25"/>
        </w:numPr>
        <w:tabs>
          <w:tab w:val="left" w:pos="502"/>
        </w:tabs>
        <w:adjustRightInd w:val="0"/>
        <w:snapToGrid w:val="0"/>
        <w:spacing w:line="360" w:lineRule="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购买招标文件的时间、地点、方式及招标文件售价</w:t>
      </w:r>
    </w:p>
    <w:p>
      <w:pPr>
        <w:widowControl/>
        <w:tabs>
          <w:tab w:val="left" w:pos="735"/>
        </w:tabs>
        <w:adjustRightInd w:val="0"/>
        <w:snapToGrid w:val="0"/>
        <w:spacing w:line="360" w:lineRule="auto"/>
        <w:ind w:left="210" w:leftChars="1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1.购买招标文件</w:t>
      </w:r>
      <w:r>
        <w:rPr>
          <w:rFonts w:hint="eastAsia" w:ascii="宋体" w:hAnsi="宋体" w:eastAsia="宋体" w:cs="宋体"/>
          <w:bCs/>
          <w:color w:val="000000" w:themeColor="text1"/>
          <w:highlight w:val="none"/>
        </w:rPr>
        <w:t>时间：</w:t>
      </w:r>
      <w:r>
        <w:rPr>
          <w:rFonts w:hint="eastAsia" w:ascii="宋体" w:hAnsi="宋体" w:eastAsia="宋体" w:cs="宋体"/>
          <w:color w:val="000000" w:themeColor="text1"/>
          <w:kern w:val="2"/>
          <w:sz w:val="21"/>
          <w:szCs w:val="24"/>
          <w:highlight w:val="none"/>
          <w:lang w:val="en-US" w:eastAsia="zh-CN" w:bidi="ar-SA"/>
        </w:rPr>
        <w:t>2023年7月24日</w:t>
      </w:r>
      <w:r>
        <w:rPr>
          <w:rFonts w:hint="eastAsia" w:ascii="宋体" w:hAnsi="宋体" w:eastAsia="宋体" w:cs="宋体"/>
          <w:color w:val="000000" w:themeColor="text1"/>
          <w:szCs w:val="21"/>
          <w:highlight w:val="none"/>
        </w:rPr>
        <w:t>至</w:t>
      </w:r>
      <w:r>
        <w:rPr>
          <w:rFonts w:hint="eastAsia" w:ascii="宋体" w:hAnsi="宋体" w:eastAsia="宋体" w:cs="宋体"/>
          <w:color w:val="000000" w:themeColor="text1"/>
          <w:kern w:val="2"/>
          <w:sz w:val="21"/>
          <w:szCs w:val="24"/>
          <w:highlight w:val="none"/>
          <w:lang w:val="en-US" w:eastAsia="zh-CN" w:bidi="ar-SA"/>
        </w:rPr>
        <w:t>2023年7月31日</w:t>
      </w:r>
      <w:r>
        <w:rPr>
          <w:rFonts w:hint="eastAsia" w:ascii="宋体" w:hAnsi="宋体" w:eastAsia="宋体" w:cs="宋体"/>
          <w:bCs/>
          <w:color w:val="000000" w:themeColor="text1"/>
          <w:highlight w:val="none"/>
        </w:rPr>
        <w:t>，上午9:00～12:00，下午2:30～5:30（节假日除外）（北</w:t>
      </w:r>
      <w:r>
        <w:rPr>
          <w:rFonts w:hint="eastAsia" w:ascii="宋体" w:hAnsi="宋体" w:eastAsia="宋体" w:cs="宋体"/>
          <w:color w:val="000000" w:themeColor="text1"/>
          <w:highlight w:val="none"/>
        </w:rPr>
        <w:t>京时间）。</w:t>
      </w:r>
    </w:p>
    <w:p>
      <w:pPr>
        <w:widowControl/>
        <w:tabs>
          <w:tab w:val="left" w:pos="735"/>
        </w:tabs>
        <w:adjustRightInd w:val="0"/>
        <w:snapToGrid w:val="0"/>
        <w:spacing w:line="360" w:lineRule="auto"/>
        <w:ind w:left="210" w:leftChars="1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2.购买招标文件地点：阳江市江城区猫山四街33号A座2楼</w:t>
      </w:r>
      <w:r>
        <w:rPr>
          <w:rFonts w:hint="eastAsia" w:ascii="宋体" w:hAnsi="宋体" w:eastAsia="宋体" w:cs="宋体"/>
          <w:color w:val="000000" w:themeColor="text1"/>
          <w:szCs w:val="21"/>
          <w:highlight w:val="none"/>
          <w:lang w:val="en-US" w:eastAsia="zh-CN"/>
        </w:rPr>
        <w:t>2</w:t>
      </w:r>
      <w:r>
        <w:rPr>
          <w:rFonts w:hint="eastAsia" w:ascii="宋体" w:hAnsi="宋体" w:eastAsia="宋体" w:cs="宋体"/>
          <w:color w:val="000000" w:themeColor="text1"/>
          <w:szCs w:val="21"/>
          <w:highlight w:val="none"/>
        </w:rPr>
        <w:t>05室。</w:t>
      </w:r>
    </w:p>
    <w:p>
      <w:pPr>
        <w:widowControl/>
        <w:tabs>
          <w:tab w:val="left" w:pos="735"/>
        </w:tabs>
        <w:adjustRightInd w:val="0"/>
        <w:snapToGrid w:val="0"/>
        <w:spacing w:line="360" w:lineRule="auto"/>
        <w:ind w:left="210" w:leftChars="100"/>
        <w:rPr>
          <w:rFonts w:hint="eastAsia" w:ascii="宋体" w:hAnsi="宋体" w:eastAsia="宋体" w:cs="宋体"/>
          <w:color w:val="000000" w:themeColor="text1"/>
          <w:highlight w:val="none"/>
        </w:rPr>
      </w:pPr>
      <w:r>
        <w:rPr>
          <w:rFonts w:hint="eastAsia" w:ascii="宋体" w:hAnsi="宋体" w:eastAsia="宋体" w:cs="宋体"/>
          <w:bCs/>
          <w:color w:val="000000" w:themeColor="text1"/>
          <w:highlight w:val="none"/>
        </w:rPr>
        <w:t>3.招标文件售价：</w:t>
      </w:r>
      <w:r>
        <w:rPr>
          <w:rFonts w:hint="eastAsia" w:ascii="宋体" w:hAnsi="宋体" w:eastAsia="宋体" w:cs="宋体"/>
          <w:bCs/>
          <w:color w:val="000000" w:themeColor="text1"/>
          <w:szCs w:val="21"/>
          <w:highlight w:val="none"/>
        </w:rPr>
        <w:t>招标文件每套人民币300元，售后不退</w:t>
      </w:r>
      <w:r>
        <w:rPr>
          <w:rFonts w:hint="eastAsia" w:ascii="宋体" w:hAnsi="宋体" w:eastAsia="宋体" w:cs="宋体"/>
          <w:bCs/>
          <w:color w:val="000000" w:themeColor="text1"/>
          <w:highlight w:val="none"/>
        </w:rPr>
        <w:t>。</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4.招标文件获取方式：现场发售。</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highlight w:val="none"/>
        </w:rPr>
        <w:t>5.</w:t>
      </w:r>
      <w:r>
        <w:rPr>
          <w:rFonts w:hint="eastAsia" w:ascii="宋体" w:hAnsi="宋体" w:eastAsia="宋体" w:cs="宋体"/>
          <w:bCs/>
          <w:color w:val="000000" w:themeColor="text1"/>
          <w:szCs w:val="21"/>
          <w:highlight w:val="none"/>
        </w:rPr>
        <w:t>购买招标文件必须携带:</w:t>
      </w:r>
    </w:p>
    <w:p>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rPr>
      </w:pPr>
      <w:r>
        <w:rPr>
          <w:rFonts w:hint="eastAsia" w:ascii="宋体" w:hAnsi="宋体" w:eastAsia="宋体" w:cs="宋体"/>
          <w:bCs/>
          <w:color w:val="000000" w:themeColor="text1"/>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rPr>
        <w:t>。</w:t>
      </w:r>
    </w:p>
    <w:p>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rPr>
      </w:pPr>
      <w:r>
        <w:rPr>
          <w:rFonts w:hint="eastAsia" w:ascii="宋体" w:hAnsi="宋体" w:eastAsia="宋体" w:cs="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numPr>
          <w:ilvl w:val="0"/>
          <w:numId w:val="25"/>
        </w:numPr>
        <w:tabs>
          <w:tab w:val="left" w:pos="502"/>
        </w:tabs>
        <w:adjustRightInd w:val="0"/>
        <w:snapToGrid w:val="0"/>
        <w:spacing w:line="360" w:lineRule="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投标截止时间、开标时间及地点</w:t>
      </w:r>
    </w:p>
    <w:p>
      <w:pPr>
        <w:widowControl/>
        <w:tabs>
          <w:tab w:val="left" w:pos="735"/>
        </w:tabs>
        <w:adjustRightInd w:val="0"/>
        <w:snapToGrid w:val="0"/>
        <w:spacing w:line="360" w:lineRule="auto"/>
        <w:ind w:firstLine="210" w:firstLineChars="1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1.递交投标文件时间：</w:t>
      </w:r>
      <w:r>
        <w:rPr>
          <w:rFonts w:hint="eastAsia" w:ascii="宋体" w:hAnsi="宋体" w:eastAsia="宋体" w:cs="宋体"/>
          <w:color w:val="000000" w:themeColor="text1"/>
          <w:kern w:val="2"/>
          <w:sz w:val="21"/>
          <w:szCs w:val="24"/>
          <w:highlight w:val="none"/>
          <w:lang w:val="en-US" w:eastAsia="zh-CN" w:bidi="ar-SA"/>
        </w:rPr>
        <w:t>2023年8月14日</w:t>
      </w:r>
      <w:r>
        <w:rPr>
          <w:rFonts w:hint="eastAsia" w:ascii="宋体" w:hAnsi="宋体" w:eastAsia="宋体" w:cs="宋体"/>
          <w:color w:val="000000" w:themeColor="text1"/>
          <w:highlight w:val="none"/>
          <w:lang w:val="en-US" w:eastAsia="zh-CN"/>
        </w:rPr>
        <w:t>14</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30</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15</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00</w:t>
      </w:r>
      <w:r>
        <w:rPr>
          <w:rFonts w:hint="eastAsia" w:ascii="宋体" w:hAnsi="宋体" w:eastAsia="宋体" w:cs="宋体"/>
          <w:color w:val="000000" w:themeColor="text1"/>
          <w:highlight w:val="none"/>
        </w:rPr>
        <w:t xml:space="preserve"> (北京时间)。</w:t>
      </w:r>
    </w:p>
    <w:p>
      <w:pPr>
        <w:widowControl/>
        <w:tabs>
          <w:tab w:val="left" w:pos="735"/>
        </w:tabs>
        <w:adjustRightInd w:val="0"/>
        <w:snapToGrid w:val="0"/>
        <w:spacing w:line="360" w:lineRule="auto"/>
        <w:ind w:firstLine="210" w:firstLineChars="10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2.投标截止时间、开标时间：</w:t>
      </w:r>
      <w:r>
        <w:rPr>
          <w:rFonts w:hint="eastAsia" w:ascii="宋体" w:hAnsi="宋体" w:eastAsia="宋体" w:cs="宋体"/>
          <w:color w:val="000000" w:themeColor="text1"/>
          <w:kern w:val="2"/>
          <w:sz w:val="21"/>
          <w:szCs w:val="24"/>
          <w:highlight w:val="none"/>
          <w:lang w:val="en-US" w:eastAsia="zh-CN" w:bidi="ar-SA"/>
        </w:rPr>
        <w:t>2023年8月14日</w:t>
      </w:r>
      <w:r>
        <w:rPr>
          <w:rFonts w:hint="eastAsia" w:ascii="宋体" w:hAnsi="宋体" w:eastAsia="宋体" w:cs="宋体"/>
          <w:color w:val="000000" w:themeColor="text1"/>
          <w:highlight w:val="none"/>
          <w:lang w:val="en-US" w:eastAsia="zh-CN"/>
        </w:rPr>
        <w:t>15</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00</w:t>
      </w:r>
      <w:r>
        <w:rPr>
          <w:rFonts w:hint="eastAsia" w:ascii="宋体" w:hAnsi="宋体" w:eastAsia="宋体" w:cs="宋体"/>
          <w:color w:val="000000" w:themeColor="text1"/>
          <w:highlight w:val="none"/>
        </w:rPr>
        <w:t>(北京时间)。</w:t>
      </w:r>
    </w:p>
    <w:p>
      <w:pPr>
        <w:widowControl/>
        <w:tabs>
          <w:tab w:val="left" w:pos="735"/>
        </w:tabs>
        <w:adjustRightInd w:val="0"/>
        <w:snapToGrid w:val="0"/>
        <w:spacing w:line="360" w:lineRule="auto"/>
        <w:ind w:firstLine="210" w:firstLineChars="10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3.递交投标文件地点、开标地点：阳江市江城区猫山四街33号A座2楼</w:t>
      </w:r>
      <w:r>
        <w:rPr>
          <w:rFonts w:hint="eastAsia" w:ascii="宋体" w:hAnsi="宋体" w:eastAsia="宋体" w:cs="宋体"/>
          <w:color w:val="000000" w:themeColor="text1"/>
          <w:highlight w:val="none"/>
          <w:lang w:val="en-US" w:eastAsia="zh-CN"/>
        </w:rPr>
        <w:t>201</w:t>
      </w:r>
      <w:r>
        <w:rPr>
          <w:rFonts w:hint="eastAsia" w:ascii="宋体" w:hAnsi="宋体" w:eastAsia="宋体" w:cs="宋体"/>
          <w:color w:val="000000" w:themeColor="text1"/>
          <w:highlight w:val="none"/>
        </w:rPr>
        <w:t>开标室。</w:t>
      </w:r>
    </w:p>
    <w:p>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六、采购人、代理采购机构的名称、地址和联系方式</w:t>
      </w:r>
    </w:p>
    <w:p>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1．采购人联系方式：</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rPr>
      </w:pPr>
      <w:r>
        <w:rPr>
          <w:rFonts w:hint="eastAsia" w:ascii="宋体" w:hAnsi="宋体" w:eastAsia="宋体" w:cs="宋体"/>
          <w:color w:val="000000" w:themeColor="text1"/>
          <w:kern w:val="28"/>
          <w:szCs w:val="21"/>
          <w:highlight w:val="none"/>
        </w:rPr>
        <w:t>名    称：</w:t>
      </w:r>
      <w:bookmarkStart w:id="37" w:name="OLE_LINK1"/>
      <w:r>
        <w:rPr>
          <w:rFonts w:hint="eastAsia" w:ascii="宋体" w:hAnsi="宋体" w:eastAsia="宋体" w:cs="宋体"/>
          <w:color w:val="000000" w:themeColor="text1"/>
          <w:kern w:val="28"/>
          <w:szCs w:val="21"/>
          <w:highlight w:val="none"/>
          <w:lang w:eastAsia="zh-CN"/>
        </w:rPr>
        <w:t>阳江市实验学校</w:t>
      </w:r>
      <w:bookmarkEnd w:id="37"/>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地    址：</w:t>
      </w:r>
      <w:r>
        <w:rPr>
          <w:rFonts w:hint="eastAsia" w:ascii="宋体" w:hAnsi="宋体" w:eastAsia="宋体" w:cs="宋体"/>
          <w:color w:val="000000" w:themeColor="text1"/>
          <w:kern w:val="28"/>
          <w:szCs w:val="21"/>
          <w:highlight w:val="none"/>
        </w:rPr>
        <w:fldChar w:fldCharType="begin"/>
      </w:r>
      <w:r>
        <w:rPr>
          <w:rFonts w:hint="eastAsia" w:ascii="宋体" w:hAnsi="宋体" w:eastAsia="宋体" w:cs="宋体"/>
          <w:color w:val="000000" w:themeColor="text1"/>
          <w:kern w:val="28"/>
          <w:szCs w:val="21"/>
          <w:highlight w:val="none"/>
        </w:rPr>
        <w:instrText xml:space="preserve"> HYPERLINK "https://ditu.so.com/?k=%E5%B9%BF%E4%B8%9C%E7%9C%81%E9%98%B3%E6%B1%9F%E5%B8%82%E6%B1%9F%E5%9F%8E%E5%8C%BA%E4%B8%9C%E9%97%A8%E8%B7%AF56%E5%8F%B7&amp;src=baike_address" \t "https://baike.so.com/doc/_blank" </w:instrText>
      </w:r>
      <w:r>
        <w:rPr>
          <w:rFonts w:hint="eastAsia" w:ascii="宋体" w:hAnsi="宋体" w:eastAsia="宋体" w:cs="宋体"/>
          <w:color w:val="000000" w:themeColor="text1"/>
          <w:kern w:val="28"/>
          <w:szCs w:val="21"/>
          <w:highlight w:val="none"/>
        </w:rPr>
        <w:fldChar w:fldCharType="separate"/>
      </w:r>
      <w:r>
        <w:rPr>
          <w:rFonts w:hint="eastAsia" w:ascii="宋体" w:hAnsi="宋体" w:eastAsia="宋体" w:cs="宋体"/>
          <w:color w:val="000000" w:themeColor="text1"/>
          <w:kern w:val="28"/>
          <w:szCs w:val="21"/>
          <w:highlight w:val="none"/>
        </w:rPr>
        <w:t>阳江市江城区东门路56号</w:t>
      </w:r>
      <w:r>
        <w:rPr>
          <w:rFonts w:hint="eastAsia" w:ascii="宋体" w:hAnsi="宋体" w:eastAsia="宋体" w:cs="宋体"/>
          <w:color w:val="000000" w:themeColor="text1"/>
          <w:kern w:val="28"/>
          <w:szCs w:val="21"/>
          <w:highlight w:val="none"/>
        </w:rPr>
        <w:fldChar w:fldCharType="end"/>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val="en-US" w:eastAsia="zh-CN"/>
        </w:rPr>
      </w:pPr>
      <w:r>
        <w:rPr>
          <w:rFonts w:hint="eastAsia" w:ascii="宋体" w:hAnsi="宋体" w:eastAsia="宋体" w:cs="宋体"/>
          <w:color w:val="000000" w:themeColor="text1"/>
          <w:kern w:val="28"/>
          <w:szCs w:val="21"/>
          <w:highlight w:val="none"/>
        </w:rPr>
        <w:t>联 系 人：</w:t>
      </w:r>
      <w:r>
        <w:rPr>
          <w:rFonts w:hint="eastAsia" w:ascii="宋体" w:hAnsi="宋体" w:eastAsia="宋体" w:cs="宋体"/>
          <w:color w:val="000000" w:themeColor="text1"/>
          <w:kern w:val="28"/>
          <w:szCs w:val="21"/>
          <w:highlight w:val="none"/>
          <w:lang w:val="en-US" w:eastAsia="zh-CN"/>
        </w:rPr>
        <w:t>邹老师</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val="en-US" w:eastAsia="zh-CN"/>
        </w:rPr>
      </w:pPr>
      <w:r>
        <w:rPr>
          <w:rFonts w:hint="eastAsia" w:ascii="宋体" w:hAnsi="宋体" w:eastAsia="宋体" w:cs="宋体"/>
          <w:color w:val="000000" w:themeColor="text1"/>
          <w:kern w:val="28"/>
          <w:szCs w:val="21"/>
          <w:highlight w:val="none"/>
        </w:rPr>
        <w:t>联系电话：</w:t>
      </w:r>
      <w:r>
        <w:rPr>
          <w:rFonts w:hint="eastAsia" w:ascii="宋体" w:hAnsi="宋体" w:eastAsia="宋体" w:cs="宋体"/>
          <w:color w:val="000000" w:themeColor="text1"/>
          <w:kern w:val="28"/>
          <w:szCs w:val="21"/>
          <w:highlight w:val="none"/>
          <w:lang w:val="en-US" w:eastAsia="zh-CN"/>
        </w:rPr>
        <w:t>0662-3209082</w:t>
      </w:r>
    </w:p>
    <w:p>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2．</w:t>
      </w:r>
      <w:r>
        <w:rPr>
          <w:rFonts w:hint="eastAsia" w:ascii="宋体" w:hAnsi="宋体" w:eastAsia="宋体" w:cs="宋体"/>
          <w:color w:val="000000" w:themeColor="text1"/>
          <w:highlight w:val="none"/>
        </w:rPr>
        <w:t>代理采购机构联系方式：</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名    称：广东业信采购招标有限公司</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地    址：阳江市江城区猫山四街33号A座2楼</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联 系 人：冯国辉</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联系电话：0662-3167266</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36" w:lineRule="auto"/>
        <w:ind w:firstLine="630" w:firstLineChars="300"/>
        <w:textAlignment w:val="auto"/>
        <w:rPr>
          <w:rFonts w:hint="eastAsia" w:ascii="宋体" w:hAnsi="宋体" w:eastAsia="宋体" w:cs="宋体"/>
          <w:color w:val="000000" w:themeColor="text1"/>
          <w:szCs w:val="21"/>
          <w:highlight w:val="none"/>
        </w:rPr>
      </w:pPr>
      <w:r>
        <w:rPr>
          <w:rFonts w:hint="eastAsia" w:ascii="宋体" w:hAnsi="宋体" w:eastAsia="宋体" w:cs="宋体"/>
          <w:color w:val="000000" w:themeColor="text1"/>
          <w:highlight w:val="none"/>
        </w:rPr>
        <w:t>网    址：</w:t>
      </w:r>
      <w:r>
        <w:rPr>
          <w:rFonts w:hint="eastAsia" w:ascii="宋体" w:hAnsi="宋体" w:eastAsia="宋体" w:cs="宋体"/>
          <w:color w:val="000000" w:themeColor="text1"/>
          <w:szCs w:val="21"/>
          <w:highlight w:val="none"/>
          <w:u w:val="none"/>
        </w:rPr>
        <w:t>http://www.gdgpo.</w:t>
      </w:r>
      <w:r>
        <w:rPr>
          <w:rFonts w:hint="eastAsia" w:ascii="宋体" w:hAnsi="宋体" w:eastAsia="宋体" w:cs="宋体"/>
          <w:color w:val="000000" w:themeColor="text1"/>
          <w:szCs w:val="21"/>
          <w:highlight w:val="none"/>
          <w:u w:val="none"/>
          <w:lang w:val="en-US" w:eastAsia="zh-CN"/>
        </w:rPr>
        <w:t>com.</w:t>
      </w:r>
      <w:r>
        <w:rPr>
          <w:rFonts w:hint="eastAsia" w:ascii="宋体" w:hAnsi="宋体" w:eastAsia="宋体" w:cs="宋体"/>
          <w:color w:val="000000" w:themeColor="text1"/>
          <w:szCs w:val="21"/>
          <w:highlight w:val="none"/>
          <w:u w:val="none"/>
        </w:rPr>
        <w:t>cn</w:t>
      </w:r>
    </w:p>
    <w:p>
      <w:pPr>
        <w:tabs>
          <w:tab w:val="left" w:pos="4680"/>
        </w:tabs>
        <w:adjustRightInd w:val="0"/>
        <w:snapToGrid w:val="0"/>
        <w:spacing w:line="360" w:lineRule="auto"/>
        <w:ind w:firstLine="1680" w:firstLineChars="80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http://www.yjcg.cc</w:t>
      </w:r>
    </w:p>
    <w:p>
      <w:pPr>
        <w:widowControl/>
        <w:adjustRightInd w:val="0"/>
        <w:snapToGrid w:val="0"/>
        <w:spacing w:line="360" w:lineRule="auto"/>
        <w:rPr>
          <w:rFonts w:hint="eastAsia" w:ascii="宋体" w:hAnsi="宋体" w:eastAsia="宋体" w:cs="宋体"/>
          <w:b/>
          <w:color w:val="000000" w:themeColor="text1"/>
          <w:spacing w:val="20"/>
          <w:szCs w:val="21"/>
          <w:highlight w:val="none"/>
        </w:rPr>
      </w:pPr>
    </w:p>
    <w:p>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广东业信采购招标有限公司</w:t>
      </w:r>
    </w:p>
    <w:p>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rPr>
      </w:pPr>
      <w:bookmarkStart w:id="38" w:name="_Toc336681893"/>
      <w:bookmarkStart w:id="39" w:name="_Toc341348292"/>
      <w:bookmarkStart w:id="40" w:name="_Toc350756404"/>
      <w:bookmarkStart w:id="41" w:name="_Toc339019955"/>
      <w:bookmarkStart w:id="42" w:name="_Toc332206658"/>
      <w:bookmarkStart w:id="43" w:name="_Toc336681538"/>
      <w:bookmarkStart w:id="44" w:name="_Toc349127584"/>
      <w:bookmarkStart w:id="45" w:name="_Toc345513763"/>
      <w:bookmarkStart w:id="46" w:name="_Toc333935279"/>
      <w:bookmarkStart w:id="47" w:name="_Toc339019829"/>
      <w:bookmarkStart w:id="48" w:name="_Toc342060323"/>
      <w:bookmarkStart w:id="49" w:name="_Toc333237724"/>
      <w:bookmarkStart w:id="50" w:name="_Toc331512857"/>
      <w:bookmarkStart w:id="51" w:name="_Toc337632316"/>
      <w:bookmarkStart w:id="52" w:name="_Toc332270306"/>
      <w:bookmarkStart w:id="53" w:name="_Toc331683995"/>
      <w:bookmarkStart w:id="54" w:name="_Toc350438703"/>
      <w:bookmarkStart w:id="55" w:name="_Toc365985109"/>
      <w:bookmarkStart w:id="56" w:name="_Toc333237613"/>
      <w:bookmarkStart w:id="57" w:name="_Toc333238572"/>
      <w:bookmarkStart w:id="58" w:name="_Toc339362258"/>
      <w:bookmarkStart w:id="59" w:name="_Toc366072458"/>
      <w:bookmarkStart w:id="60" w:name="_Toc339020187"/>
      <w:bookmarkStart w:id="61" w:name="_Toc349143547"/>
      <w:bookmarkStart w:id="62" w:name="_Toc342296709"/>
      <w:bookmarkStart w:id="63" w:name="_Toc330459946"/>
      <w:bookmarkStart w:id="64" w:name="_Toc339020049"/>
      <w:bookmarkStart w:id="65" w:name="_Toc340507404"/>
      <w:bookmarkStart w:id="66" w:name="_Toc365967003"/>
      <w:bookmarkStart w:id="67" w:name="_Toc339441045"/>
      <w:bookmarkStart w:id="68" w:name="_Toc340677032"/>
      <w:bookmarkStart w:id="69" w:name="_Toc333935620"/>
      <w:bookmarkStart w:id="70" w:name="_Toc340672831"/>
      <w:r>
        <w:rPr>
          <w:rFonts w:hint="eastAsia" w:ascii="宋体" w:hAnsi="宋体" w:eastAsia="宋体" w:cs="宋体"/>
          <w:color w:val="000000" w:themeColor="text1"/>
          <w:kern w:val="2"/>
          <w:sz w:val="21"/>
          <w:szCs w:val="24"/>
          <w:highlight w:val="none"/>
          <w:lang w:val="en-US" w:eastAsia="zh-CN" w:bidi="ar-SA"/>
        </w:rPr>
        <w:t>2023年7月24日</w:t>
      </w:r>
    </w:p>
    <w:p>
      <w:pPr>
        <w:pStyle w:val="3"/>
        <w:numPr>
          <w:ilvl w:val="0"/>
          <w:numId w:val="0"/>
        </w:numPr>
        <w:spacing w:beforeLines="0" w:afterLines="50" w:line="390" w:lineRule="exact"/>
        <w:ind w:left="105" w:leftChars="50" w:firstLine="480" w:firstLineChars="200"/>
        <w:rPr>
          <w:color w:val="000000" w:themeColor="text1"/>
          <w:highlight w:val="none"/>
        </w:rPr>
      </w:pPr>
      <w:bookmarkStart w:id="71" w:name="_Toc17133"/>
      <w:r>
        <w:rPr>
          <w:rFonts w:hint="eastAsia"/>
          <w:color w:val="000000" w:themeColor="text1"/>
          <w:highlight w:val="none"/>
        </w:rPr>
        <w:t xml:space="preserve">第二部分 </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Start w:id="72" w:name="_Hlt23321722"/>
      <w:bookmarkEnd w:id="72"/>
      <w:bookmarkStart w:id="73" w:name="_Toc333935280"/>
      <w:bookmarkStart w:id="74" w:name="_Toc333935621"/>
      <w:bookmarkStart w:id="75" w:name="_Toc333237614"/>
      <w:bookmarkStart w:id="76" w:name="_Toc330459949"/>
      <w:bookmarkStart w:id="77" w:name="_Toc333237725"/>
      <w:bookmarkStart w:id="78" w:name="_Toc333238573"/>
      <w:bookmarkStart w:id="79" w:name="_Toc75570886"/>
      <w:r>
        <w:rPr>
          <w:rFonts w:hint="eastAsia"/>
          <w:color w:val="000000" w:themeColor="text1"/>
          <w:highlight w:val="none"/>
        </w:rPr>
        <w:t>采购项目内容</w:t>
      </w:r>
      <w:bookmarkEnd w:id="71"/>
      <w:bookmarkStart w:id="1967" w:name="_GoBack"/>
      <w:bookmarkEnd w:id="1967"/>
    </w:p>
    <w:bookmarkEnd w:id="73"/>
    <w:bookmarkEnd w:id="74"/>
    <w:bookmarkEnd w:id="75"/>
    <w:bookmarkEnd w:id="76"/>
    <w:bookmarkEnd w:id="77"/>
    <w:bookmarkEnd w:id="78"/>
    <w:bookmarkEnd w:id="79"/>
    <w:p>
      <w:pPr>
        <w:pStyle w:val="4"/>
        <w:numPr>
          <w:ilvl w:val="0"/>
          <w:numId w:val="0"/>
        </w:numPr>
        <w:spacing w:beforeLines="150" w:after="0" w:line="360" w:lineRule="auto"/>
        <w:rPr>
          <w:color w:val="000000" w:themeColor="text1"/>
          <w:kern w:val="0"/>
          <w:sz w:val="24"/>
          <w:highlight w:val="none"/>
        </w:rPr>
      </w:pPr>
      <w:bookmarkStart w:id="80" w:name="_Toc25187"/>
      <w:bookmarkStart w:id="81" w:name="_Toc333237755"/>
      <w:bookmarkStart w:id="82" w:name="_Toc331684005"/>
      <w:bookmarkStart w:id="83" w:name="_Toc349127593"/>
      <w:bookmarkStart w:id="84" w:name="_Toc345513834"/>
      <w:bookmarkStart w:id="85" w:name="_Toc337632325"/>
      <w:bookmarkStart w:id="86" w:name="_Toc333935654"/>
      <w:bookmarkStart w:id="87" w:name="_Toc339020200"/>
      <w:bookmarkStart w:id="88" w:name="_Toc350756417"/>
      <w:bookmarkStart w:id="89" w:name="_Toc365967040"/>
      <w:bookmarkStart w:id="90" w:name="_Toc366072495"/>
      <w:bookmarkStart w:id="91" w:name="_Toc342060341"/>
      <w:bookmarkStart w:id="92" w:name="_Toc339020062"/>
      <w:bookmarkStart w:id="93" w:name="_Toc339441054"/>
      <w:bookmarkStart w:id="94" w:name="_Toc350438716"/>
      <w:bookmarkStart w:id="95" w:name="_Toc342296727"/>
      <w:bookmarkStart w:id="96" w:name="_Toc332206675"/>
      <w:bookmarkStart w:id="97" w:name="_Toc330459952"/>
      <w:bookmarkStart w:id="98" w:name="_Toc336681902"/>
      <w:bookmarkStart w:id="99" w:name="_Toc340677037"/>
      <w:bookmarkStart w:id="100" w:name="_Toc341348305"/>
      <w:bookmarkStart w:id="101" w:name="_Toc339019982"/>
      <w:bookmarkStart w:id="102" w:name="_Toc333935313"/>
      <w:bookmarkStart w:id="103" w:name="_Toc331512865"/>
      <w:bookmarkStart w:id="104" w:name="_Toc333238600"/>
      <w:bookmarkStart w:id="105" w:name="_Toc340507409"/>
      <w:bookmarkStart w:id="106" w:name="_Toc333237644"/>
      <w:bookmarkStart w:id="107" w:name="_Toc332270313"/>
      <w:bookmarkStart w:id="108" w:name="_Toc336681547"/>
      <w:bookmarkStart w:id="109" w:name="_Toc349143556"/>
      <w:bookmarkStart w:id="110" w:name="_Toc339019856"/>
      <w:bookmarkStart w:id="111" w:name="_Toc339362267"/>
      <w:bookmarkStart w:id="112" w:name="_Toc340672836"/>
      <w:bookmarkStart w:id="113" w:name="_Toc365985146"/>
      <w:r>
        <w:rPr>
          <w:color w:val="000000" w:themeColor="text1"/>
          <w:kern w:val="0"/>
          <w:sz w:val="24"/>
          <w:highlight w:val="none"/>
        </w:rPr>
        <w:t xml:space="preserve">A  </w:t>
      </w:r>
      <w:r>
        <w:rPr>
          <w:rFonts w:hint="eastAsia"/>
          <w:color w:val="000000" w:themeColor="text1"/>
          <w:kern w:val="0"/>
          <w:sz w:val="24"/>
          <w:highlight w:val="none"/>
        </w:rPr>
        <w:t>商务要求</w:t>
      </w:r>
      <w:bookmarkEnd w:id="80"/>
    </w:p>
    <w:tbl>
      <w:tblPr>
        <w:tblStyle w:val="46"/>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项目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服务期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kern w:val="0"/>
                <w:szCs w:val="21"/>
                <w:highlight w:val="none"/>
              </w:rPr>
              <w:t>配送服务报价包含整个项目所需的货物（购买或生产）、包装、配送、运输、装卸、保险、检验检疫，配备人员工资、福利、社保及相关税费等一切费用，采购人不再支付其他任何费用。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kern w:val="0"/>
                <w:szCs w:val="21"/>
                <w:highlight w:val="none"/>
              </w:rPr>
              <w:t>采购合同由中标供应商</w:t>
            </w:r>
            <w:r>
              <w:rPr>
                <w:rFonts w:hint="eastAsia" w:ascii="宋体" w:hAnsi="宋体" w:eastAsia="宋体" w:cs="宋体"/>
                <w:color w:val="000000" w:themeColor="text1"/>
                <w:kern w:val="0"/>
                <w:szCs w:val="21"/>
                <w:highlight w:val="none"/>
                <w:lang w:val="en-US" w:eastAsia="zh-CN"/>
              </w:rPr>
              <w:t>凭《中标通知书》</w:t>
            </w:r>
            <w:r>
              <w:rPr>
                <w:rFonts w:hint="eastAsia" w:ascii="宋体" w:hAnsi="宋体" w:eastAsia="宋体" w:cs="宋体"/>
                <w:color w:val="000000" w:themeColor="text1"/>
                <w:kern w:val="0"/>
                <w:szCs w:val="21"/>
                <w:highlight w:val="none"/>
              </w:rPr>
              <w:t>与采购人双方签订，签订时间为《中标通知书》发出之日起</w:t>
            </w:r>
            <w:r>
              <w:rPr>
                <w:rFonts w:hint="eastAsia" w:ascii="宋体" w:hAnsi="宋体" w:eastAsia="宋体" w:cs="宋体"/>
                <w:color w:val="000000" w:themeColor="text1"/>
                <w:kern w:val="0"/>
                <w:szCs w:val="21"/>
                <w:highlight w:val="none"/>
                <w:lang w:val="en-US" w:eastAsia="zh-CN"/>
              </w:rPr>
              <w:t>10</w:t>
            </w:r>
            <w:r>
              <w:rPr>
                <w:rFonts w:hint="eastAsia" w:ascii="宋体" w:hAnsi="宋体" w:eastAsia="宋体" w:cs="宋体"/>
                <w:color w:val="000000" w:themeColor="text1"/>
                <w:kern w:val="0"/>
                <w:szCs w:val="21"/>
                <w:highlight w:val="none"/>
              </w:rPr>
              <w:t>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lang w:val="en-US" w:eastAsia="zh-CN"/>
              </w:rPr>
              <w:t>服务</w:t>
            </w:r>
            <w:r>
              <w:rPr>
                <w:rFonts w:hint="eastAsia" w:ascii="宋体" w:hAnsi="宋体" w:eastAsia="宋体" w:cs="宋体"/>
                <w:b/>
                <w:color w:val="000000" w:themeColor="text1"/>
                <w:highlight w:val="none"/>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szCs w:val="21"/>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bCs/>
                <w:color w:val="000000" w:themeColor="text1"/>
                <w:szCs w:val="21"/>
                <w:highlight w:val="none"/>
                <w:lang w:val="en-US" w:eastAsia="zh-CN"/>
              </w:rPr>
              <w:t>定价方式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由学校食堂食品市场价格调查小组成员核定（成员组成：采购人2人，中标供应商1人），三人在每周星期天单独进行市场物价调查，根据三人的调查报价，去掉最高价和最低价，取中间价为核定价，若出现三人价格相同，取三人相同价为核定价，若出现相同的两高或两低价，取两人相同价为核定价，核定价不得高于阳江市发展和改革局和政府部门在政府信息公开网站公布的价格。（所有食品、食材的价格要造册，由食堂市场核价小组成员签名作为支付货款资料）。</w:t>
            </w:r>
          </w:p>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2.糕点供应商对各类糕点进行单独报价，学校食堂食品市场价格调查小组成员，根据市场的实际价格情况，每周对各类糕点进行核定价配送。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7</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w:t>
            </w:r>
            <w:r>
              <w:rPr>
                <w:rFonts w:hint="eastAsia" w:ascii="宋体" w:hAnsi="宋体" w:eastAsia="宋体" w:cs="宋体"/>
                <w:color w:val="000000" w:themeColor="text1"/>
                <w:highlight w:val="none"/>
                <w:lang w:val="zh-Hans"/>
              </w:rPr>
              <w:t>.付款方式：中标供应商完成当月供货，根据采购人和中标供应商确定的价格，采购人与供应商核对当月供货数量和金额后，采购人收到供应商发票后</w:t>
            </w:r>
            <w:r>
              <w:rPr>
                <w:rFonts w:hint="eastAsia" w:ascii="宋体" w:hAnsi="宋体" w:eastAsia="宋体" w:cs="宋体"/>
                <w:color w:val="000000" w:themeColor="text1"/>
                <w:highlight w:val="none"/>
                <w:lang w:val="en-US" w:eastAsia="zh-CN"/>
              </w:rPr>
              <w:t>在15日前支付当月货款，</w:t>
            </w:r>
            <w:r>
              <w:rPr>
                <w:rFonts w:hint="eastAsia" w:ascii="宋体" w:hAnsi="宋体" w:eastAsia="宋体" w:cs="宋体"/>
                <w:color w:val="000000" w:themeColor="text1"/>
                <w:highlight w:val="none"/>
                <w:lang w:val="zh-Hans"/>
              </w:rPr>
              <w:t>每月结算一次</w:t>
            </w:r>
            <w:r>
              <w:rPr>
                <w:rFonts w:hint="eastAsia" w:ascii="宋体" w:hAnsi="宋体" w:eastAsia="宋体" w:cs="宋体"/>
                <w:color w:val="000000" w:themeColor="text1"/>
                <w:highlight w:val="none"/>
                <w:lang w:val="zh-Hans" w:eastAsia="zh-CN"/>
              </w:rPr>
              <w:t>。</w:t>
            </w:r>
          </w:p>
          <w:p>
            <w:pPr>
              <w:spacing w:line="320" w:lineRule="exact"/>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2.结算价=核定价</w:t>
            </w:r>
            <w:r>
              <w:rPr>
                <w:rFonts w:hint="eastAsia" w:ascii="宋体" w:hAnsi="宋体" w:eastAsia="宋体" w:cs="宋体"/>
                <w:color w:val="000000" w:themeColor="text1"/>
                <w:highlight w:val="none"/>
                <w:lang w:val="zh-Hans"/>
              </w:rPr>
              <w:t>×实际供货</w:t>
            </w:r>
            <w:r>
              <w:rPr>
                <w:rFonts w:hint="eastAsia" w:ascii="宋体" w:hAnsi="宋体" w:eastAsia="宋体" w:cs="宋体"/>
                <w:color w:val="000000" w:themeColor="text1"/>
                <w:highlight w:val="none"/>
                <w:lang w:val="en-US" w:eastAsia="zh-CN"/>
              </w:rPr>
              <w:t>数</w:t>
            </w:r>
            <w:r>
              <w:rPr>
                <w:rFonts w:hint="eastAsia" w:ascii="宋体" w:hAnsi="宋体" w:eastAsia="宋体" w:cs="宋体"/>
                <w:color w:val="000000" w:themeColor="text1"/>
                <w:highlight w:val="none"/>
                <w:lang w:val="zh-Hans"/>
              </w:rPr>
              <w:t>量×中标折扣率</w:t>
            </w:r>
            <w:r>
              <w:rPr>
                <w:rFonts w:hint="eastAsia" w:ascii="宋体" w:hAnsi="宋体" w:eastAsia="宋体" w:cs="宋体"/>
                <w:color w:val="000000" w:themeColor="text1"/>
                <w:highlight w:val="none"/>
                <w:lang w:val="zh-Han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8</w:t>
            </w:r>
          </w:p>
        </w:tc>
        <w:tc>
          <w:tcPr>
            <w:tcW w:w="2552" w:type="dxa"/>
            <w:tcBorders>
              <w:left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lang w:val="zh-Hans"/>
              </w:rPr>
              <w:t>履约保证金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1.为了使中标供应商能够认真履行合同，确保食品按时按质供应，在</w:t>
            </w:r>
            <w:r>
              <w:rPr>
                <w:rFonts w:hint="eastAsia" w:ascii="宋体" w:hAnsi="宋体" w:eastAsia="宋体" w:cs="宋体"/>
                <w:color w:val="000000" w:themeColor="text1"/>
                <w:highlight w:val="none"/>
                <w:lang w:val="zh-Hans"/>
              </w:rPr>
              <w:t>合同签订前5个工作日内，各包组中标供应商向采购人支付中标金额</w:t>
            </w:r>
            <w:r>
              <w:rPr>
                <w:rFonts w:hint="eastAsia" w:ascii="宋体" w:hAnsi="宋体" w:eastAsia="宋体" w:cs="宋体"/>
                <w:color w:val="000000" w:themeColor="text1"/>
                <w:highlight w:val="none"/>
              </w:rPr>
              <w:t>的</w:t>
            </w: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zh-Hans"/>
              </w:rPr>
              <w:t>作为</w:t>
            </w:r>
            <w:r>
              <w:rPr>
                <w:rFonts w:hint="eastAsia" w:ascii="宋体" w:hAnsi="宋体" w:eastAsia="宋体" w:cs="宋体"/>
                <w:color w:val="000000" w:themeColor="text1"/>
                <w:highlight w:val="none"/>
              </w:rPr>
              <w:t>履约</w:t>
            </w:r>
            <w:r>
              <w:rPr>
                <w:rFonts w:hint="eastAsia" w:ascii="宋体" w:hAnsi="宋体" w:eastAsia="宋体" w:cs="宋体"/>
                <w:color w:val="000000" w:themeColor="text1"/>
                <w:highlight w:val="none"/>
                <w:lang w:val="zh-Hans"/>
              </w:rPr>
              <w:t>保证金</w:t>
            </w:r>
            <w:r>
              <w:rPr>
                <w:rFonts w:hint="eastAsia" w:ascii="宋体" w:hAnsi="宋体" w:eastAsia="宋体" w:cs="宋体"/>
                <w:color w:val="000000" w:themeColor="text1"/>
                <w:highlight w:val="none"/>
                <w:lang w:val="en-US" w:eastAsia="zh-CN"/>
              </w:rPr>
              <w:t>。</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2.交纳方式：以支票、汇票、本票或者金融机构、担保机构出具的保函等非现金形式提交。</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3.履约保证金于合同期满并在中标供应商完全履行合同义务之日起20个工作日内无息退还。</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4.中标供应商在合同履行期间保证对采购人的货物供应，若中标后反悔或不能履行合同的，采购人有权单方终止合同并没收全额履约保证金，由此产生的一切经济损失由该中标供应商自行承担。</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5.履约保证金用于补偿采购人因中标供应商的过失导致未能达到合同约定的服务和质量要求而蒙受的损失。</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6.如果中标供应商无违反合同，合同期满后保证金全额无息退还中标供应商；如中标供应商违反合同，合同期满后采购人扣除相应的保证金剩余部分无息退还中标供应商。</w:t>
            </w:r>
          </w:p>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7.因中标供应商供应的材食材质量问题造成采购人人员发生食物中毒事件的，采购人有权单方解除合同，没收所有履约保证金；中毒人员的全部医疗费用及法律规定的其他费用全部由中标供应商承担；采购人保留通过法律途径追究中标供应商责任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9</w:t>
            </w:r>
          </w:p>
        </w:tc>
        <w:tc>
          <w:tcPr>
            <w:tcW w:w="2552" w:type="dxa"/>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bCs/>
                <w:color w:val="000000" w:themeColor="text1"/>
                <w:szCs w:val="21"/>
                <w:highlight w:val="none"/>
                <w:lang w:val="en-US" w:eastAsia="zh-CN"/>
              </w:rPr>
              <w:t>其他要求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1.供应商供应的农产品必须要提供农产品合格证。</w:t>
            </w:r>
          </w:p>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2.采购数量和金额是参考往年进行估算，采购人无法确保每家中标供应商的供货数量是否能达到估算金额，投标人应注意相关风险。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10</w:t>
            </w:r>
          </w:p>
        </w:tc>
        <w:tc>
          <w:tcPr>
            <w:tcW w:w="2552" w:type="dxa"/>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bCs/>
                <w:color w:val="000000" w:themeColor="text1"/>
                <w:highlight w:val="none"/>
              </w:rPr>
              <w:t>考核标准</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1.采购人在服务期限内对中标供应商实行考核制度，服务期限内（即一年内）若扣分累计达到30分或以上则采购人有权利取消取消中标供应商的配送资格。 </w:t>
            </w:r>
          </w:p>
          <w:p>
            <w:pPr>
              <w:spacing w:line="320" w:lineRule="exact"/>
              <w:rPr>
                <w:rFonts w:hint="eastAsia" w:ascii="宋体" w:hAnsi="宋体" w:eastAsia="宋体" w:cs="宋体"/>
                <w:color w:val="000000" w:themeColor="text1"/>
                <w:highlight w:val="none"/>
                <w:lang w:val="zh-Hans"/>
              </w:rPr>
            </w:pPr>
            <w:r>
              <w:rPr>
                <w:rFonts w:hint="eastAsia" w:ascii="宋体" w:hAnsi="宋体" w:eastAsia="宋体" w:cs="宋体"/>
                <w:color w:val="000000" w:themeColor="text1"/>
                <w:highlight w:val="none"/>
              </w:rPr>
              <w:t>2.考核标准：每次供应肉菜不提供残留农药合格证明扣10分；每次不符合肉菜验收标准细则中任一条扣3分/条；每次在上午9:00后供货的扣2分。如因肉菜质量问题造成食品安全事故，中标供应商须负一切责任并且采购人有权利取消其中标供应商的配送资格。考核细则见技术要求附件《配送服务</w:t>
            </w:r>
            <w:r>
              <w:rPr>
                <w:rFonts w:hint="eastAsia" w:ascii="宋体" w:hAnsi="宋体" w:eastAsia="宋体" w:cs="宋体"/>
                <w:color w:val="000000" w:themeColor="text1"/>
                <w:highlight w:val="none"/>
                <w:lang w:val="zh-Hans"/>
              </w:rPr>
              <w:t>质量考核评价办法》。</w:t>
            </w:r>
          </w:p>
          <w:p>
            <w:pPr>
              <w:spacing w:line="320" w:lineRule="exact"/>
              <w:rPr>
                <w:rFonts w:hint="eastAsia" w:ascii="宋体" w:hAnsi="宋体" w:eastAsia="宋体" w:cs="宋体"/>
                <w:color w:val="000000" w:themeColor="text1"/>
                <w:highlight w:val="none"/>
                <w:lang w:val="zh-Hans"/>
              </w:rPr>
            </w:pPr>
            <w:r>
              <w:rPr>
                <w:rFonts w:hint="eastAsia" w:ascii="宋体" w:hAnsi="宋体" w:eastAsia="宋体" w:cs="宋体"/>
                <w:color w:val="000000" w:themeColor="text1"/>
                <w:highlight w:val="none"/>
              </w:rPr>
              <w:t>3.</w:t>
            </w:r>
            <w:r>
              <w:rPr>
                <w:rFonts w:hint="eastAsia" w:ascii="宋体" w:hAnsi="宋体" w:eastAsia="宋体" w:cs="宋体"/>
                <w:color w:val="000000" w:themeColor="text1"/>
                <w:highlight w:val="none"/>
                <w:lang w:val="zh-Hans"/>
              </w:rPr>
              <w:t xml:space="preserve">采购人每月对中标供应商工作考核一次，若考核3次不达标的中标供应商，采购人有权终止中标供应商的合同。 </w:t>
            </w:r>
          </w:p>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w:t>
            </w:r>
            <w:r>
              <w:rPr>
                <w:rFonts w:hint="eastAsia" w:ascii="宋体" w:hAnsi="宋体" w:eastAsia="宋体" w:cs="宋体"/>
                <w:color w:val="000000" w:themeColor="text1"/>
                <w:highlight w:val="none"/>
                <w:lang w:val="zh-Hans"/>
              </w:rPr>
              <w:t>.采购人对考核标准保持最终修改权和解释权。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投标保证金</w:t>
            </w:r>
          </w:p>
          <w:p>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（应当以支票、汇票、本票或者金融机构、担保机构出具的保函等非现金</w:t>
            </w:r>
          </w:p>
          <w:p>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形式提交）。</w:t>
            </w:r>
          </w:p>
          <w:p>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
                <w:color w:val="000000" w:themeColor="text1"/>
                <w:highlight w:val="none"/>
              </w:rPr>
              <w:t>提交主体：必须以投标人自身名义提交，</w:t>
            </w:r>
            <w:r>
              <w:rPr>
                <w:rFonts w:hint="eastAsia" w:ascii="宋体" w:hAnsi="宋体" w:eastAsia="宋体" w:cs="宋体"/>
                <w:color w:val="000000" w:themeColor="text1"/>
                <w:szCs w:val="21"/>
                <w:highlight w:val="none"/>
              </w:rPr>
              <w:t>应注明“</w:t>
            </w:r>
            <w:r>
              <w:rPr>
                <w:rFonts w:hint="eastAsia" w:ascii="宋体" w:hAnsi="宋体" w:eastAsia="宋体" w:cs="宋体"/>
                <w:b/>
                <w:color w:val="000000" w:themeColor="text1"/>
                <w:szCs w:val="21"/>
                <w:highlight w:val="none"/>
              </w:rPr>
              <w:t>（项目编号）投标保证金</w:t>
            </w:r>
            <w:r>
              <w:rPr>
                <w:rFonts w:hint="eastAsia" w:ascii="宋体" w:hAnsi="宋体" w:eastAsia="宋体" w:cs="宋体"/>
                <w:color w:val="000000" w:themeColor="text1"/>
                <w:szCs w:val="21"/>
                <w:highlight w:val="none"/>
              </w:rPr>
              <w:t>”。</w:t>
            </w:r>
          </w:p>
        </w:tc>
        <w:tc>
          <w:tcPr>
            <w:tcW w:w="1871" w:type="dxa"/>
            <w:vMerge w:val="restart"/>
            <w:tcBorders>
              <w:top w:val="single" w:color="auto" w:sz="4" w:space="0"/>
              <w:left w:val="single" w:color="auto" w:sz="4" w:space="0"/>
              <w:right w:val="single" w:color="auto" w:sz="4" w:space="0"/>
            </w:tcBorders>
            <w:vAlign w:val="center"/>
          </w:tcPr>
          <w:p>
            <w:pPr>
              <w:snapToGrid w:val="0"/>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lang w:val="en-US" w:eastAsia="zh-CN"/>
              </w:rPr>
              <w:t>01包组：</w:t>
            </w:r>
            <w:r>
              <w:rPr>
                <w:rFonts w:hint="eastAsia" w:ascii="宋体" w:hAnsi="宋体" w:eastAsia="宋体" w:cs="宋体"/>
                <w:b/>
                <w:color w:val="000000" w:themeColor="text1"/>
                <w:szCs w:val="21"/>
                <w:highlight w:val="none"/>
              </w:rPr>
              <w:t>人民币</w:t>
            </w:r>
            <w:r>
              <w:rPr>
                <w:rFonts w:hint="eastAsia" w:ascii="宋体" w:hAnsi="宋体" w:eastAsia="宋体" w:cs="宋体"/>
                <w:b/>
                <w:color w:val="000000" w:themeColor="text1"/>
                <w:szCs w:val="21"/>
                <w:highlight w:val="none"/>
                <w:lang w:val="en-US" w:eastAsia="zh-CN"/>
              </w:rPr>
              <w:t>壹拾捌万</w:t>
            </w:r>
            <w:r>
              <w:rPr>
                <w:rFonts w:hint="eastAsia" w:ascii="宋体" w:hAnsi="宋体" w:eastAsia="宋体" w:cs="宋体"/>
                <w:b/>
                <w:color w:val="000000" w:themeColor="text1"/>
                <w:szCs w:val="21"/>
                <w:highlight w:val="none"/>
              </w:rPr>
              <w:t>元整（￥</w:t>
            </w:r>
            <w:r>
              <w:rPr>
                <w:rFonts w:hint="eastAsia" w:ascii="宋体" w:hAnsi="宋体" w:eastAsia="宋体" w:cs="宋体"/>
                <w:b/>
                <w:color w:val="000000" w:themeColor="text1"/>
                <w:szCs w:val="21"/>
                <w:highlight w:val="none"/>
                <w:lang w:val="en-US" w:eastAsia="zh-CN"/>
              </w:rPr>
              <w:t>1800</w:t>
            </w:r>
            <w:r>
              <w:rPr>
                <w:rFonts w:hint="eastAsia" w:ascii="宋体" w:hAnsi="宋体" w:eastAsia="宋体" w:cs="宋体"/>
                <w:b/>
                <w:color w:val="000000" w:themeColor="text1"/>
                <w:szCs w:val="21"/>
                <w:highlight w:val="none"/>
              </w:rPr>
              <w:t>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highlight w:val="none"/>
              </w:rPr>
            </w:pPr>
          </w:p>
        </w:tc>
        <w:tc>
          <w:tcPr>
            <w:tcW w:w="1871" w:type="dxa"/>
            <w:vMerge w:val="continue"/>
            <w:tcBorders>
              <w:left w:val="single" w:color="auto" w:sz="4" w:space="0"/>
              <w:right w:val="single" w:color="auto" w:sz="4" w:space="0"/>
            </w:tcBorders>
            <w:vAlign w:val="center"/>
          </w:tcPr>
          <w:p>
            <w:pPr>
              <w:snapToGrid w:val="0"/>
              <w:spacing w:line="300" w:lineRule="exact"/>
              <w:jc w:val="center"/>
              <w:rPr>
                <w:rFonts w:hint="eastAsia" w:ascii="宋体" w:hAnsi="宋体" w:eastAsia="宋体" w:cs="宋体"/>
                <w:color w:val="000000" w:themeColor="text1"/>
                <w:szCs w:val="21"/>
                <w:highlight w:val="none"/>
              </w:rPr>
            </w:pP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lang w:val="en-US" w:eastAsia="zh-CN"/>
              </w:rPr>
              <w:t>02包组：</w:t>
            </w:r>
            <w:r>
              <w:rPr>
                <w:rFonts w:hint="eastAsia" w:ascii="宋体" w:hAnsi="宋体" w:eastAsia="宋体" w:cs="宋体"/>
                <w:b/>
                <w:color w:val="000000" w:themeColor="text1"/>
                <w:szCs w:val="21"/>
                <w:highlight w:val="none"/>
              </w:rPr>
              <w:t>人民币</w:t>
            </w:r>
            <w:r>
              <w:rPr>
                <w:rFonts w:hint="eastAsia" w:ascii="宋体" w:hAnsi="宋体" w:eastAsia="宋体" w:cs="宋体"/>
                <w:b/>
                <w:color w:val="000000" w:themeColor="text1"/>
                <w:szCs w:val="21"/>
                <w:highlight w:val="none"/>
                <w:lang w:val="en-US" w:eastAsia="zh-CN"/>
              </w:rPr>
              <w:t>壹拾贰万</w:t>
            </w:r>
            <w:r>
              <w:rPr>
                <w:rFonts w:hint="eastAsia" w:ascii="宋体" w:hAnsi="宋体" w:eastAsia="宋体" w:cs="宋体"/>
                <w:b/>
                <w:color w:val="000000" w:themeColor="text1"/>
                <w:szCs w:val="21"/>
                <w:highlight w:val="none"/>
              </w:rPr>
              <w:t>元整（￥</w:t>
            </w:r>
            <w:r>
              <w:rPr>
                <w:rFonts w:hint="eastAsia" w:ascii="宋体" w:hAnsi="宋体" w:eastAsia="宋体" w:cs="宋体"/>
                <w:b/>
                <w:color w:val="000000" w:themeColor="text1"/>
                <w:szCs w:val="21"/>
                <w:highlight w:val="none"/>
                <w:lang w:val="en-US" w:eastAsia="zh-CN"/>
              </w:rPr>
              <w:t>120</w:t>
            </w:r>
            <w:r>
              <w:rPr>
                <w:rFonts w:hint="eastAsia" w:ascii="宋体" w:hAnsi="宋体" w:eastAsia="宋体" w:cs="宋体"/>
                <w:b/>
                <w:color w:val="000000" w:themeColor="text1"/>
                <w:szCs w:val="21"/>
                <w:highlight w:val="none"/>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highlight w:val="none"/>
              </w:rPr>
            </w:pPr>
          </w:p>
        </w:tc>
        <w:tc>
          <w:tcPr>
            <w:tcW w:w="1871" w:type="dxa"/>
            <w:vMerge w:val="continue"/>
            <w:tcBorders>
              <w:left w:val="single" w:color="auto" w:sz="4" w:space="0"/>
              <w:bottom w:val="single" w:color="auto" w:sz="4" w:space="0"/>
              <w:right w:val="single" w:color="auto" w:sz="4" w:space="0"/>
            </w:tcBorders>
            <w:vAlign w:val="center"/>
          </w:tcPr>
          <w:p>
            <w:pPr>
              <w:snapToGrid w:val="0"/>
              <w:spacing w:line="300" w:lineRule="exact"/>
              <w:jc w:val="center"/>
              <w:rPr>
                <w:rFonts w:hint="eastAsia" w:ascii="宋体" w:hAnsi="宋体" w:eastAsia="宋体" w:cs="宋体"/>
                <w:color w:val="000000" w:themeColor="text1"/>
                <w:szCs w:val="21"/>
                <w:highlight w:val="none"/>
              </w:rPr>
            </w:pP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lang w:val="en-US" w:eastAsia="zh-CN"/>
              </w:rPr>
              <w:t>03包组：</w:t>
            </w:r>
            <w:r>
              <w:rPr>
                <w:rFonts w:hint="eastAsia" w:ascii="宋体" w:hAnsi="宋体" w:eastAsia="宋体" w:cs="宋体"/>
                <w:b/>
                <w:color w:val="000000" w:themeColor="text1"/>
                <w:szCs w:val="21"/>
                <w:highlight w:val="none"/>
              </w:rPr>
              <w:t>人民币</w:t>
            </w:r>
            <w:r>
              <w:rPr>
                <w:rFonts w:hint="eastAsia" w:ascii="宋体" w:hAnsi="宋体" w:eastAsia="宋体" w:cs="宋体"/>
                <w:b/>
                <w:color w:val="000000" w:themeColor="text1"/>
                <w:szCs w:val="21"/>
                <w:highlight w:val="none"/>
                <w:lang w:val="en-US" w:eastAsia="zh-CN"/>
              </w:rPr>
              <w:t>壹万肆仟</w:t>
            </w:r>
            <w:r>
              <w:rPr>
                <w:rFonts w:hint="eastAsia" w:ascii="宋体" w:hAnsi="宋体" w:eastAsia="宋体" w:cs="宋体"/>
                <w:b/>
                <w:color w:val="000000" w:themeColor="text1"/>
                <w:szCs w:val="21"/>
                <w:highlight w:val="none"/>
              </w:rPr>
              <w:t>元整（￥</w:t>
            </w:r>
            <w:r>
              <w:rPr>
                <w:rFonts w:hint="eastAsia" w:ascii="宋体" w:hAnsi="宋体" w:eastAsia="宋体" w:cs="宋体"/>
                <w:b/>
                <w:color w:val="000000" w:themeColor="text1"/>
                <w:szCs w:val="21"/>
                <w:highlight w:val="none"/>
                <w:lang w:val="en-US" w:eastAsia="zh-CN"/>
              </w:rPr>
              <w:t>14</w:t>
            </w:r>
            <w:r>
              <w:rPr>
                <w:rFonts w:hint="eastAsia" w:ascii="宋体" w:hAnsi="宋体" w:eastAsia="宋体" w:cs="宋体"/>
                <w:b/>
                <w:color w:val="000000" w:themeColor="text1"/>
                <w:szCs w:val="21"/>
                <w:highlight w:val="none"/>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bCs/>
                <w:color w:val="000000" w:themeColor="text1"/>
                <w:szCs w:val="21"/>
                <w:highlight w:val="none"/>
              </w:rPr>
            </w:pPr>
            <w:r>
              <w:rPr>
                <w:rFonts w:hint="eastAsia" w:ascii="宋体" w:hAnsi="宋体" w:eastAsia="宋体" w:cs="宋体"/>
                <w:color w:val="000000" w:themeColor="text1"/>
                <w:szCs w:val="21"/>
                <w:highlight w:val="none"/>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eastAsia="宋体" w:cs="宋体"/>
                <w:b/>
                <w:bCs/>
                <w:color w:val="000000" w:themeColor="text1"/>
                <w:szCs w:val="21"/>
                <w:highlight w:val="none"/>
              </w:rPr>
            </w:pPr>
            <w:r>
              <w:rPr>
                <w:rFonts w:hint="eastAsia" w:ascii="宋体" w:hAnsi="宋体" w:eastAsia="宋体" w:cs="宋体"/>
                <w:color w:val="000000" w:themeColor="text1"/>
                <w:szCs w:val="21"/>
                <w:highlight w:val="none"/>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12</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中标服务费</w:t>
            </w:r>
          </w:p>
          <w:p>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color w:val="000000" w:themeColor="text1"/>
                <w:szCs w:val="21"/>
                <w:highlight w:val="none"/>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lang w:val="en-US" w:eastAsia="zh-CN"/>
              </w:rPr>
              <w:t>参考</w:t>
            </w:r>
            <w:r>
              <w:rPr>
                <w:rFonts w:hint="eastAsia" w:ascii="宋体" w:hAnsi="宋体" w:eastAsia="宋体" w:cs="宋体"/>
                <w:bCs/>
                <w:color w:val="000000" w:themeColor="text1"/>
                <w:szCs w:val="21"/>
                <w:highlight w:val="none"/>
              </w:rPr>
              <w:t>发改价格[2011]534号文的规定</w:t>
            </w:r>
            <w:r>
              <w:rPr>
                <w:rFonts w:hint="eastAsia" w:ascii="宋体" w:hAnsi="宋体" w:eastAsia="宋体" w:cs="宋体"/>
                <w:color w:val="000000" w:themeColor="text1"/>
                <w:szCs w:val="21"/>
                <w:highlight w:val="none"/>
              </w:rPr>
              <w:t>，招标代理服务费按差额定率累进法计算。中标服务费由</w:t>
            </w:r>
            <w:r>
              <w:rPr>
                <w:rFonts w:hint="eastAsia" w:ascii="宋体" w:hAnsi="宋体" w:eastAsia="宋体" w:cs="宋体"/>
                <w:color w:val="000000" w:themeColor="text1"/>
                <w:szCs w:val="21"/>
                <w:highlight w:val="none"/>
                <w:lang w:val="en-US" w:eastAsia="zh-CN"/>
              </w:rPr>
              <w:t>各包组</w:t>
            </w:r>
            <w:r>
              <w:rPr>
                <w:rFonts w:hint="eastAsia" w:ascii="宋体" w:hAnsi="宋体" w:eastAsia="宋体" w:cs="宋体"/>
                <w:color w:val="000000" w:themeColor="text1"/>
                <w:szCs w:val="21"/>
                <w:highlight w:val="none"/>
              </w:rPr>
              <w:t>中标人</w:t>
            </w:r>
            <w:r>
              <w:rPr>
                <w:rFonts w:hint="eastAsia" w:ascii="宋体" w:hAnsi="宋体" w:eastAsia="宋体" w:cs="宋体"/>
                <w:color w:val="000000" w:themeColor="text1"/>
                <w:szCs w:val="21"/>
                <w:highlight w:val="none"/>
                <w:lang w:val="en-US" w:eastAsia="zh-CN"/>
              </w:rPr>
              <w:t>分别</w:t>
            </w:r>
            <w:r>
              <w:rPr>
                <w:rFonts w:hint="eastAsia" w:ascii="宋体" w:hAnsi="宋体" w:eastAsia="宋体" w:cs="宋体"/>
                <w:color w:val="000000" w:themeColor="text1"/>
                <w:szCs w:val="21"/>
                <w:highlight w:val="none"/>
              </w:rPr>
              <w:t>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中国农业银行股份有限公司阳江</w:t>
            </w:r>
            <w:r>
              <w:rPr>
                <w:rFonts w:hint="eastAsia" w:ascii="宋体" w:hAnsi="宋体" w:eastAsia="宋体" w:cs="宋体"/>
                <w:b/>
                <w:bCs/>
                <w:color w:val="000000" w:themeColor="text1"/>
                <w:szCs w:val="21"/>
                <w:highlight w:val="none"/>
                <w:lang w:val="en-US" w:eastAsia="zh-CN"/>
              </w:rPr>
              <w:t>江城</w:t>
            </w:r>
            <w:r>
              <w:rPr>
                <w:rFonts w:hint="eastAsia" w:ascii="宋体" w:hAnsi="宋体" w:eastAsia="宋体" w:cs="宋体"/>
                <w:b/>
                <w:bCs/>
                <w:color w:val="000000" w:themeColor="text1"/>
                <w:szCs w:val="21"/>
                <w:highlight w:val="none"/>
              </w:rPr>
              <w:t>支行</w:t>
            </w:r>
          </w:p>
        </w:tc>
      </w:tr>
    </w:tbl>
    <w:p>
      <w:pPr>
        <w:adjustRightInd w:val="0"/>
        <w:snapToGrid w:val="0"/>
        <w:spacing w:line="360" w:lineRule="auto"/>
        <w:rPr>
          <w:b/>
          <w:color w:val="000000" w:themeColor="text1"/>
          <w:szCs w:val="2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pStyle w:val="4"/>
        <w:numPr>
          <w:ilvl w:val="0"/>
          <w:numId w:val="0"/>
        </w:numPr>
        <w:spacing w:beforeLines="150" w:after="0" w:line="360" w:lineRule="auto"/>
        <w:rPr>
          <w:color w:val="000000" w:themeColor="text1"/>
          <w:kern w:val="0"/>
          <w:sz w:val="24"/>
          <w:highlight w:val="none"/>
        </w:rPr>
      </w:pPr>
      <w:bookmarkStart w:id="114" w:name="_Toc15710"/>
      <w:r>
        <w:rPr>
          <w:rFonts w:hint="eastAsia"/>
          <w:color w:val="000000" w:themeColor="text1"/>
          <w:kern w:val="0"/>
          <w:sz w:val="24"/>
          <w:highlight w:val="none"/>
        </w:rPr>
        <w:t>B  技术要求</w:t>
      </w:r>
      <w:bookmarkEnd w:id="114"/>
    </w:p>
    <w:p>
      <w:pPr>
        <w:pStyle w:val="191"/>
        <w:keepNext w:val="0"/>
        <w:keepLines w:val="0"/>
        <w:pageBreakBefore w:val="0"/>
        <w:kinsoku/>
        <w:wordWrap/>
        <w:overflowPunct/>
        <w:topLinePunct w:val="0"/>
        <w:autoSpaceDE/>
        <w:autoSpaceDN/>
        <w:bidi w:val="0"/>
        <w:spacing w:line="360" w:lineRule="auto"/>
        <w:ind w:firstLine="0" w:firstLineChars="0"/>
        <w:textAlignment w:val="auto"/>
        <w:outlineLvl w:val="9"/>
        <w:rPr>
          <w:rFonts w:hint="eastAsia" w:ascii="宋体" w:hAnsi="宋体"/>
          <w:b/>
          <w:color w:val="000000" w:themeColor="text1"/>
          <w:szCs w:val="21"/>
          <w:highlight w:val="none"/>
        </w:rPr>
      </w:pPr>
      <w:r>
        <w:rPr>
          <w:rFonts w:hint="eastAsia" w:ascii="宋体" w:hAnsi="宋体" w:eastAsia="宋体" w:cs="宋体"/>
          <w:b/>
          <w:color w:val="000000" w:themeColor="text1"/>
          <w:sz w:val="21"/>
          <w:szCs w:val="21"/>
          <w:highlight w:val="none"/>
        </w:rPr>
        <w:t>一、</w:t>
      </w:r>
      <w:r>
        <w:rPr>
          <w:rFonts w:hint="eastAsia" w:ascii="宋体" w:hAnsi="宋体"/>
          <w:b/>
          <w:color w:val="000000" w:themeColor="text1"/>
          <w:szCs w:val="21"/>
          <w:highlight w:val="none"/>
        </w:rPr>
        <w:t>总体要求</w:t>
      </w:r>
    </w:p>
    <w:p>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themeColor="text1"/>
          <w:highlight w:val="none"/>
        </w:rPr>
      </w:pPr>
      <w:r>
        <w:rPr>
          <w:rFonts w:hint="eastAsia" w:ascii="宋体" w:hAnsi="宋体" w:cs="宋体"/>
          <w:color w:val="000000" w:themeColor="text1"/>
          <w:highlight w:val="none"/>
        </w:rPr>
        <w:t>1</w:t>
      </w:r>
      <w:r>
        <w:rPr>
          <w:rFonts w:hint="eastAsia" w:ascii="宋体" w:hAnsi="宋体"/>
          <w:color w:val="000000" w:themeColor="text1"/>
          <w:highlight w:val="none"/>
        </w:rPr>
        <w:t>、</w:t>
      </w:r>
      <w:r>
        <w:rPr>
          <w:rFonts w:hint="eastAsia" w:ascii="宋体" w:hAnsi="宋体" w:cs="宋体"/>
          <w:color w:val="000000" w:themeColor="text1"/>
          <w:highlight w:val="none"/>
        </w:rPr>
        <w:t>★所有食材要求为非转基因食品。</w:t>
      </w:r>
    </w:p>
    <w:p>
      <w:pPr>
        <w:pStyle w:val="191"/>
        <w:keepNext w:val="0"/>
        <w:keepLines w:val="0"/>
        <w:pageBreakBefore w:val="0"/>
        <w:kinsoku/>
        <w:wordWrap/>
        <w:overflowPunct/>
        <w:topLinePunct w:val="0"/>
        <w:autoSpaceDE/>
        <w:autoSpaceDN/>
        <w:bidi w:val="0"/>
        <w:spacing w:line="360" w:lineRule="auto"/>
        <w:ind w:left="0" w:leftChars="0" w:firstLine="0" w:firstLineChars="0"/>
        <w:textAlignment w:val="auto"/>
        <w:outlineLvl w:val="9"/>
        <w:rPr>
          <w:rFonts w:hint="eastAsia" w:ascii="宋体" w:hAnsi="宋体"/>
          <w:color w:val="000000" w:themeColor="text1"/>
          <w:szCs w:val="21"/>
          <w:highlight w:val="none"/>
        </w:rPr>
      </w:pPr>
      <w:r>
        <w:rPr>
          <w:rFonts w:hint="eastAsia" w:ascii="宋体" w:hAnsi="宋体" w:cs="宋体"/>
          <w:color w:val="000000" w:themeColor="text1"/>
          <w:spacing w:val="-3"/>
          <w:szCs w:val="21"/>
          <w:highlight w:val="none"/>
        </w:rPr>
        <w:t>2</w:t>
      </w:r>
      <w:r>
        <w:rPr>
          <w:rFonts w:hint="eastAsia" w:ascii="宋体" w:hAnsi="宋体"/>
          <w:color w:val="000000" w:themeColor="text1"/>
          <w:highlight w:val="none"/>
        </w:rPr>
        <w:t>、</w:t>
      </w:r>
      <w:r>
        <w:rPr>
          <w:rFonts w:hint="eastAsia" w:ascii="宋体" w:hAnsi="宋体" w:cs="宋体"/>
          <w:color w:val="000000" w:themeColor="text1"/>
          <w:spacing w:val="-3"/>
          <w:szCs w:val="21"/>
          <w:highlight w:val="none"/>
        </w:rPr>
        <w:t>食材</w:t>
      </w:r>
      <w:r>
        <w:rPr>
          <w:rFonts w:hint="eastAsia" w:ascii="宋体" w:hAnsi="宋体" w:cs="宋体"/>
          <w:color w:val="000000" w:themeColor="text1"/>
          <w:spacing w:val="-11"/>
          <w:szCs w:val="21"/>
          <w:highlight w:val="none"/>
        </w:rPr>
        <w:t>有使用</w:t>
      </w:r>
      <w:r>
        <w:rPr>
          <w:rFonts w:hint="eastAsia" w:ascii="宋体" w:hAnsi="宋体" w:cs="宋体"/>
          <w:color w:val="000000" w:themeColor="text1"/>
          <w:szCs w:val="20"/>
          <w:highlight w:val="none"/>
        </w:rPr>
        <w:t>有效期</w:t>
      </w:r>
      <w:r>
        <w:rPr>
          <w:rFonts w:hint="eastAsia" w:ascii="宋体" w:hAnsi="宋体" w:cs="宋体"/>
          <w:color w:val="000000" w:themeColor="text1"/>
          <w:spacing w:val="-11"/>
          <w:szCs w:val="21"/>
          <w:highlight w:val="none"/>
        </w:rPr>
        <w:t>的，其剩余有效期不</w:t>
      </w:r>
      <w:r>
        <w:rPr>
          <w:rFonts w:hint="eastAsia" w:ascii="宋体" w:hAnsi="宋体"/>
          <w:color w:val="000000" w:themeColor="text1"/>
          <w:kern w:val="0"/>
          <w:szCs w:val="21"/>
          <w:highlight w:val="none"/>
        </w:rPr>
        <w:t>得少于标注有效期的80%</w:t>
      </w:r>
      <w:r>
        <w:rPr>
          <w:rFonts w:hint="eastAsia" w:ascii="宋体" w:hAnsi="宋体" w:cs="宋体"/>
          <w:color w:val="000000" w:themeColor="text1"/>
          <w:szCs w:val="21"/>
          <w:highlight w:val="none"/>
        </w:rPr>
        <w:t>。</w:t>
      </w:r>
    </w:p>
    <w:p>
      <w:pPr>
        <w:keepNext w:val="0"/>
        <w:keepLines w:val="0"/>
        <w:pageBreakBefore w:val="0"/>
        <w:kinsoku/>
        <w:wordWrap/>
        <w:overflowPunct/>
        <w:topLinePunct w:val="0"/>
        <w:autoSpaceDE/>
        <w:autoSpaceDN/>
        <w:bidi w:val="0"/>
        <w:snapToGrid w:val="0"/>
        <w:spacing w:line="360" w:lineRule="auto"/>
        <w:textAlignment w:val="auto"/>
        <w:outlineLvl w:val="9"/>
        <w:rPr>
          <w:rFonts w:ascii="宋体" w:hAnsi="宋体"/>
          <w:color w:val="000000" w:themeColor="text1"/>
          <w:highlight w:val="none"/>
        </w:rPr>
      </w:pPr>
      <w:r>
        <w:rPr>
          <w:rFonts w:hint="eastAsia" w:ascii="宋体" w:hAnsi="宋体"/>
          <w:color w:val="000000" w:themeColor="text1"/>
          <w:highlight w:val="none"/>
        </w:rPr>
        <w:t>3、所供的物品必须符合“中华人民共和国食品卫生法”要求。</w:t>
      </w:r>
    </w:p>
    <w:p>
      <w:pPr>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color w:val="000000" w:themeColor="text1"/>
          <w:highlight w:val="none"/>
        </w:rPr>
      </w:pPr>
      <w:r>
        <w:rPr>
          <w:rFonts w:hint="eastAsia" w:ascii="宋体" w:hAnsi="宋体"/>
          <w:color w:val="000000" w:themeColor="text1"/>
          <w:highlight w:val="none"/>
        </w:rPr>
        <w:t>4、供应商需承诺所供的物品必须符合国家有关标准，保证无异味、无霉烂变质，如不符合投标文件所描述的质量标准，必须退货并承担违约责任。</w:t>
      </w:r>
    </w:p>
    <w:p>
      <w:pPr>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color w:val="000000" w:themeColor="text1"/>
          <w:highlight w:val="none"/>
        </w:rPr>
      </w:pPr>
      <w:r>
        <w:rPr>
          <w:rFonts w:hint="eastAsia" w:ascii="宋体" w:hAnsi="宋体"/>
          <w:color w:val="000000" w:themeColor="text1"/>
          <w:highlight w:val="none"/>
        </w:rPr>
        <w:t>5、所供商品必须符合国家行业生产及经营标准，货真价实，均能提供相应批次的合格检验证明。</w:t>
      </w:r>
    </w:p>
    <w:p>
      <w:pPr>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color w:val="000000" w:themeColor="text1"/>
          <w:highlight w:val="none"/>
        </w:rPr>
      </w:pPr>
      <w:r>
        <w:rPr>
          <w:rFonts w:hint="eastAsia" w:ascii="宋体" w:hAnsi="宋体"/>
          <w:color w:val="000000" w:themeColor="text1"/>
          <w:highlight w:val="none"/>
        </w:rPr>
        <w:t>6、供应的货物必须各项技术指标完全符合国家有关质量检测、环保标准及产品出厂标准。</w:t>
      </w:r>
    </w:p>
    <w:p>
      <w:pPr>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color w:val="000000" w:themeColor="text1"/>
          <w:highlight w:val="none"/>
        </w:rPr>
      </w:pPr>
      <w:r>
        <w:rPr>
          <w:rFonts w:hint="eastAsia" w:ascii="宋体" w:hAnsi="宋体"/>
          <w:color w:val="000000" w:themeColor="text1"/>
          <w:highlight w:val="none"/>
        </w:rPr>
        <w:t>7、供应商必须负责中标货物的运输、质量检测等工作，所产生的费用由中标供应商负责。</w:t>
      </w:r>
    </w:p>
    <w:p>
      <w:pPr>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color w:val="000000" w:themeColor="text1"/>
          <w:highlight w:val="none"/>
        </w:rPr>
      </w:pPr>
      <w:r>
        <w:rPr>
          <w:rFonts w:hint="eastAsia" w:ascii="宋体" w:hAnsi="宋体"/>
          <w:color w:val="000000" w:themeColor="text1"/>
          <w:highlight w:val="none"/>
        </w:rPr>
        <w:t>8、物品具体需求量以实际供应前一天通知的为准。</w:t>
      </w:r>
    </w:p>
    <w:p>
      <w:pPr>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color w:val="000000" w:themeColor="text1"/>
          <w:highlight w:val="none"/>
        </w:rPr>
      </w:pPr>
      <w:r>
        <w:rPr>
          <w:rFonts w:hint="eastAsia" w:ascii="宋体" w:hAnsi="宋体"/>
          <w:color w:val="000000" w:themeColor="text1"/>
          <w:highlight w:val="none"/>
        </w:rPr>
        <w:t>9、供应商不得将中标项目转包、分包，否则采购人有权单方终止合同,由此产生的一切经济损失由中标供应商自行承担。</w:t>
      </w:r>
    </w:p>
    <w:p>
      <w:pPr>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color w:val="000000" w:themeColor="text1"/>
          <w:highlight w:val="none"/>
        </w:rPr>
      </w:pPr>
      <w:r>
        <w:rPr>
          <w:rFonts w:hint="eastAsia" w:ascii="宋体" w:hAnsi="宋体"/>
          <w:color w:val="000000" w:themeColor="text1"/>
          <w:highlight w:val="none"/>
        </w:rPr>
        <w:t>10、由于采购人工作的特殊性，供应商应做好本单位工作人员的教育工作，遵守采购人各项规定。</w:t>
      </w:r>
    </w:p>
    <w:p>
      <w:pPr>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color w:val="000000" w:themeColor="text1"/>
          <w:highlight w:val="none"/>
        </w:rPr>
      </w:pPr>
      <w:r>
        <w:rPr>
          <w:rFonts w:hint="eastAsia" w:ascii="宋体" w:hAnsi="宋体"/>
          <w:color w:val="000000" w:themeColor="text1"/>
          <w:highlight w:val="none"/>
        </w:rPr>
        <w:t>11、供应商除不可抗力，不得因其他任何理由延迟送货。采购人如遇特殊情况需推迟送货，应提前通知供应商。因供应商原因延误交货日期的（采购人要求推迟的除外），采购人有权自行采购，并由供应商承担由此产生的一切损失和费用。</w:t>
      </w:r>
    </w:p>
    <w:p>
      <w:pPr>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color w:val="000000" w:themeColor="text1"/>
          <w:highlight w:val="none"/>
        </w:rPr>
      </w:pPr>
      <w:r>
        <w:rPr>
          <w:rFonts w:hint="eastAsia" w:ascii="宋体" w:hAnsi="宋体"/>
          <w:color w:val="000000" w:themeColor="text1"/>
          <w:highlight w:val="none"/>
        </w:rPr>
        <w:t>12、供应商不得变更供应商品，应严格按招标要求（含商标、名称、产地、规格和重量等）供应，否则，采购人有权拒收。如因市场流通问题确实需要变更的，应书面向采购人申请，按采购人书面回复的意见执行。</w:t>
      </w:r>
    </w:p>
    <w:p>
      <w:pPr>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color w:val="000000" w:themeColor="text1"/>
          <w:highlight w:val="none"/>
        </w:rPr>
      </w:pPr>
      <w:r>
        <w:rPr>
          <w:rFonts w:hint="eastAsia" w:ascii="宋体" w:hAnsi="宋体"/>
          <w:color w:val="000000" w:themeColor="text1"/>
          <w:highlight w:val="none"/>
        </w:rPr>
        <w:t>13、供应商供应假冒伪劣、以次充好的商品，除立即更换外，以不予支付本批货物货款作为处罚。采购人将事件记录在案，同一个月份内同类问题发生达到2次，采购人有权单方面终止合同取消其供应资格。一年合同期内累计达到5次或以上，今后将作为不合格供应商列入黑名单，不能参加采购人今后任何的招标采购活动。</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color w:val="000000" w:themeColor="text1"/>
          <w:sz w:val="21"/>
          <w:szCs w:val="21"/>
          <w:highlight w:val="none"/>
          <w:lang w:eastAsia="zh-CN"/>
        </w:rPr>
      </w:pPr>
      <w:r>
        <w:rPr>
          <w:rFonts w:hint="eastAsia" w:ascii="宋体" w:hAnsi="宋体"/>
          <w:color w:val="000000" w:themeColor="text1"/>
          <w:highlight w:val="none"/>
        </w:rPr>
        <w:t>14、如有国家政策要求采购其他食品物资的，以国家政策为准，中标供应商需无条件执行。</w:t>
      </w:r>
    </w:p>
    <w:p>
      <w:pPr>
        <w:pStyle w:val="24"/>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二、采购食品验收标准</w:t>
      </w:r>
    </w:p>
    <w:p>
      <w:pPr>
        <w:pStyle w:val="24"/>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 符合《中华人民共和国食品安全法》要求。</w:t>
      </w:r>
    </w:p>
    <w:p>
      <w:pPr>
        <w:pStyle w:val="24"/>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2. 符合中华人民共和国国家和履约地相关安全质量标准、行业规范标准、环保标准等。</w:t>
      </w:r>
    </w:p>
    <w:p>
      <w:pPr>
        <w:pStyle w:val="24"/>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3. 符合招标文件和投标承诺中各方共同认可的各项要求。</w:t>
      </w:r>
    </w:p>
    <w:p>
      <w:pPr>
        <w:pStyle w:val="24"/>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4. 所供食品必须符合国家行业生产及经营标准，货真价实，并能提供相应批次的检验合格证明（如农药残留检测报告、动物检疫证、产品检验合格证等凭据）。</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三、食品配送要求</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
          <w:bCs/>
          <w:color w:val="000000" w:themeColor="text1"/>
          <w:sz w:val="21"/>
          <w:szCs w:val="21"/>
          <w:highlight w:val="none"/>
        </w:rPr>
        <w:t>1. 包装与标志要求</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1.1 包装：容器(框、箱、袋)要求清洁、干燥、牢固、透气，无污染、无异味、无霉变现象。</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1.2 标志：每件食品包装必须按《农产品包装和标识管理办法》贴标签，并标明产地、品种、净含量、生产单位、地址和采收日期等。</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2. 食品运输要求</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2.1 运输工具应清洁卫生无污染，并且要保持清洁和定期消毒。</w:t>
      </w:r>
    </w:p>
    <w:p>
      <w:pPr>
        <w:pStyle w:val="191"/>
        <w:keepNext w:val="0"/>
        <w:keepLines w:val="0"/>
        <w:pageBreakBefore w:val="0"/>
        <w:kinsoku/>
        <w:wordWrap/>
        <w:overflowPunct/>
        <w:topLinePunct w:val="0"/>
        <w:autoSpaceDE/>
        <w:autoSpaceDN/>
        <w:bidi w:val="0"/>
        <w:spacing w:line="360" w:lineRule="auto"/>
        <w:ind w:firstLine="0" w:firstLineChars="0"/>
        <w:textAlignment w:val="auto"/>
        <w:outlineLvl w:val="9"/>
        <w:rPr>
          <w:rFonts w:hint="eastAsia" w:ascii="宋体" w:hAnsi="宋体" w:eastAsiaTheme="minorEastAsia"/>
          <w:b/>
          <w:color w:val="000000" w:themeColor="text1"/>
          <w:szCs w:val="21"/>
          <w:highlight w:val="none"/>
          <w:lang w:eastAsia="zh-CN"/>
        </w:rPr>
      </w:pPr>
      <w:r>
        <w:rPr>
          <w:rFonts w:hint="eastAsia" w:ascii="宋体" w:hAnsi="宋体"/>
          <w:b/>
          <w:color w:val="000000" w:themeColor="text1"/>
          <w:szCs w:val="21"/>
          <w:highlight w:val="none"/>
          <w:lang w:val="en-US" w:eastAsia="zh-CN"/>
        </w:rPr>
        <w:t>四</w:t>
      </w:r>
      <w:r>
        <w:rPr>
          <w:rFonts w:hint="eastAsia" w:ascii="宋体" w:hAnsi="宋体"/>
          <w:b/>
          <w:color w:val="000000" w:themeColor="text1"/>
          <w:szCs w:val="21"/>
          <w:highlight w:val="none"/>
        </w:rPr>
        <w:t>、具体项目要求</w:t>
      </w:r>
      <w:r>
        <w:rPr>
          <w:rFonts w:hint="eastAsia" w:ascii="宋体" w:hAnsi="宋体"/>
          <w:b/>
          <w:color w:val="000000" w:themeColor="text1"/>
          <w:szCs w:val="21"/>
          <w:highlight w:val="none"/>
          <w:lang w:eastAsia="zh-CN"/>
        </w:rPr>
        <w:t>：</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b/>
          <w:bCs/>
          <w:color w:val="000000" w:themeColor="text1"/>
          <w:highlight w:val="none"/>
        </w:rPr>
      </w:pPr>
      <w:r>
        <w:rPr>
          <w:rFonts w:hint="eastAsia" w:ascii="宋体" w:hAnsi="宋体" w:eastAsia="宋体" w:cs="宋体"/>
          <w:b/>
          <w:color w:val="000000" w:themeColor="text1"/>
          <w:sz w:val="21"/>
          <w:szCs w:val="21"/>
          <w:highlight w:val="none"/>
          <w:lang w:val="en-US" w:eastAsia="zh-CN"/>
        </w:rPr>
        <w:t>01包组：</w:t>
      </w:r>
      <w:r>
        <w:rPr>
          <w:rFonts w:hint="eastAsia" w:ascii="宋体" w:hAnsi="宋体"/>
          <w:b/>
          <w:bCs/>
          <w:color w:val="000000" w:themeColor="text1"/>
          <w:highlight w:val="none"/>
        </w:rPr>
        <w:t>肉类、腊味制品、瓜果疏菜、水产海鲜</w:t>
      </w:r>
      <w:r>
        <w:rPr>
          <w:rFonts w:hint="eastAsia" w:ascii="宋体" w:hAnsi="宋体"/>
          <w:b/>
          <w:bCs/>
          <w:color w:val="000000" w:themeColor="text1"/>
          <w:highlight w:val="none"/>
          <w:lang w:eastAsia="zh-CN"/>
        </w:rPr>
        <w:t>、冻品</w:t>
      </w:r>
      <w:r>
        <w:rPr>
          <w:rFonts w:hint="eastAsia" w:ascii="宋体" w:hAnsi="宋体"/>
          <w:b/>
          <w:bCs/>
          <w:color w:val="000000" w:themeColor="text1"/>
          <w:highlight w:val="none"/>
        </w:rPr>
        <w:t>类</w:t>
      </w:r>
    </w:p>
    <w:p>
      <w:pPr>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b/>
          <w:color w:val="000000" w:themeColor="text1"/>
          <w:highlight w:val="none"/>
        </w:rPr>
      </w:pPr>
      <w:r>
        <w:rPr>
          <w:rFonts w:hint="eastAsia" w:ascii="宋体" w:hAnsi="宋体"/>
          <w:b/>
          <w:color w:val="000000" w:themeColor="text1"/>
          <w:highlight w:val="none"/>
        </w:rPr>
        <w:t>1、鲜肉（边猪）、家禽、鱼类基本要求</w:t>
      </w:r>
    </w:p>
    <w:p>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rPr>
      </w:pPr>
      <w:r>
        <w:rPr>
          <w:rFonts w:hint="eastAsia" w:ascii="宋体" w:hAnsi="宋体"/>
          <w:color w:val="000000" w:themeColor="text1"/>
          <w:highlight w:val="none"/>
        </w:rPr>
        <w:t>a）所供货物应保持较好的外观和质量等级，严格遵守《动物检疫法》和《食物卫生法》等相关规定。符合国家食品部门的有关标准，保证无异味、无霉烂变质，肉类保证来源于正规肉联厂，供货时须提交肉联厂的验收单及当批次有效的动物检疫合格证复印件（原件备查），鲜肉确保每日新鲜、无异味。</w:t>
      </w:r>
    </w:p>
    <w:p>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rPr>
      </w:pPr>
      <w:r>
        <w:rPr>
          <w:rFonts w:hint="eastAsia" w:ascii="宋体" w:hAnsi="宋体"/>
          <w:color w:val="000000" w:themeColor="text1"/>
          <w:highlight w:val="none"/>
        </w:rPr>
        <w:t>b）鲜肉[边猪（白条猪）]净重35KG以上，去头、去蹄、去板油、去内脏。</w:t>
      </w:r>
    </w:p>
    <w:p>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rPr>
      </w:pPr>
      <w:r>
        <w:rPr>
          <w:rFonts w:hint="eastAsia" w:ascii="宋体" w:hAnsi="宋体"/>
          <w:color w:val="000000" w:themeColor="text1"/>
          <w:highlight w:val="none"/>
        </w:rPr>
        <w:t>c）鸡、鹅、鸭需去毛、去内脏。</w:t>
      </w:r>
    </w:p>
    <w:p>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rPr>
      </w:pPr>
      <w:r>
        <w:rPr>
          <w:rFonts w:hint="eastAsia" w:ascii="宋体" w:hAnsi="宋体"/>
          <w:color w:val="000000" w:themeColor="text1"/>
          <w:highlight w:val="none"/>
        </w:rPr>
        <w:t>d）鱼类要求鱼眼睛清亮，角膜透明，鳞片上覆有冻结的透明黏液层，皮肤天然色泽明显。</w:t>
      </w:r>
    </w:p>
    <w:p>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rPr>
      </w:pPr>
      <w:r>
        <w:rPr>
          <w:rFonts w:hint="eastAsia" w:ascii="宋体" w:hAnsi="宋体"/>
          <w:color w:val="000000" w:themeColor="text1"/>
          <w:highlight w:val="none"/>
        </w:rPr>
        <w:t>e）所有货物规格符合采购人提交的日采购计划中明确的具体需求，所有的肉类产品不得有注水现象。</w:t>
      </w:r>
    </w:p>
    <w:p>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rPr>
      </w:pPr>
      <w:r>
        <w:rPr>
          <w:rFonts w:hint="eastAsia" w:ascii="宋体" w:hAnsi="宋体"/>
          <w:color w:val="000000" w:themeColor="text1"/>
          <w:highlight w:val="none"/>
        </w:rPr>
        <w:t>f）不得供应冷冻禽类、猪肉类食品。</w:t>
      </w:r>
    </w:p>
    <w:p>
      <w:pPr>
        <w:snapToGrid w:val="0"/>
        <w:spacing w:line="360" w:lineRule="auto"/>
        <w:rPr>
          <w:rFonts w:hint="eastAsia" w:ascii="宋体" w:hAnsi="宋体"/>
          <w:b/>
          <w:bCs/>
          <w:color w:val="000000" w:themeColor="text1"/>
          <w:highlight w:val="none"/>
        </w:rPr>
      </w:pPr>
      <w:r>
        <w:rPr>
          <w:rFonts w:hint="eastAsia" w:ascii="宋体" w:hAnsi="宋体"/>
          <w:b/>
          <w:bCs/>
          <w:color w:val="000000" w:themeColor="text1"/>
          <w:highlight w:val="none"/>
        </w:rPr>
        <w:t>2、腊味：</w:t>
      </w:r>
    </w:p>
    <w:p>
      <w:pPr>
        <w:snapToGrid w:val="0"/>
        <w:spacing w:line="360" w:lineRule="auto"/>
        <w:ind w:left="210" w:leftChars="100" w:firstLine="420" w:firstLineChars="200"/>
        <w:rPr>
          <w:rFonts w:hint="eastAsia" w:ascii="宋体" w:hAnsi="宋体"/>
          <w:color w:val="000000" w:themeColor="text1"/>
          <w:highlight w:val="none"/>
        </w:rPr>
      </w:pPr>
      <w:r>
        <w:rPr>
          <w:rFonts w:hint="eastAsia" w:ascii="宋体" w:hAnsi="宋体"/>
          <w:color w:val="000000" w:themeColor="text1"/>
          <w:highlight w:val="none"/>
        </w:rPr>
        <w:t>符合国家食品部门有关标准，色泽鲜明，肌肉暗红色，脂肪透明呈乳白色，肉干燥结实，带有固有的腊式香味。</w:t>
      </w:r>
    </w:p>
    <w:p>
      <w:pPr>
        <w:snapToGrid w:val="0"/>
        <w:spacing w:line="360" w:lineRule="auto"/>
        <w:rPr>
          <w:rFonts w:hint="eastAsia" w:ascii="宋体" w:hAnsi="宋体"/>
          <w:b/>
          <w:color w:val="000000" w:themeColor="text1"/>
          <w:highlight w:val="none"/>
        </w:rPr>
      </w:pPr>
      <w:r>
        <w:rPr>
          <w:rFonts w:hint="eastAsia" w:ascii="宋体" w:hAnsi="宋体"/>
          <w:b/>
          <w:color w:val="000000" w:themeColor="text1"/>
          <w:highlight w:val="none"/>
        </w:rPr>
        <w:t>3、瓜果蔬菜</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1）供应产品的质量要求：瓜、果、蔬菜必须是优质货品，不得含有残留农药或污染物，中标供应商必须保证所供应的蔬菜符合卫生质量标准，同时承担因所供蔬菜问题引起的一切事故后果。卫生质量指标，应符合我国无公害蔬菜上的卫生指标规定。</w:t>
      </w:r>
    </w:p>
    <w:tbl>
      <w:tblPr>
        <w:tblStyle w:val="46"/>
        <w:tblW w:w="8182" w:type="dxa"/>
        <w:jc w:val="center"/>
        <w:tblLayout w:type="fixed"/>
        <w:tblCellMar>
          <w:top w:w="0" w:type="dxa"/>
          <w:left w:w="0" w:type="dxa"/>
          <w:bottom w:w="0" w:type="dxa"/>
          <w:right w:w="0" w:type="dxa"/>
        </w:tblCellMar>
      </w:tblPr>
      <w:tblGrid>
        <w:gridCol w:w="3963"/>
        <w:gridCol w:w="4219"/>
      </w:tblGrid>
      <w:tr>
        <w:tblPrEx>
          <w:tblCellMar>
            <w:top w:w="0" w:type="dxa"/>
            <w:left w:w="0" w:type="dxa"/>
            <w:bottom w:w="0" w:type="dxa"/>
            <w:right w:w="0" w:type="dxa"/>
          </w:tblCellMar>
        </w:tblPrEx>
        <w:trPr>
          <w:trHeight w:val="294"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b/>
                <w:bCs/>
                <w:color w:val="000000" w:themeColor="text1"/>
                <w:kern w:val="0"/>
                <w:highlight w:val="none"/>
              </w:rPr>
            </w:pPr>
            <w:r>
              <w:rPr>
                <w:rFonts w:hint="eastAsia" w:ascii="宋体" w:hAnsi="宋体"/>
                <w:b/>
                <w:bCs/>
                <w:color w:val="000000" w:themeColor="text1"/>
                <w:kern w:val="0"/>
                <w:highlight w:val="none"/>
              </w:rPr>
              <w:t>项目</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b/>
                <w:bCs/>
                <w:color w:val="000000" w:themeColor="text1"/>
                <w:kern w:val="0"/>
                <w:highlight w:val="none"/>
              </w:rPr>
            </w:pPr>
            <w:r>
              <w:rPr>
                <w:rFonts w:hint="eastAsia" w:ascii="宋体" w:hAnsi="宋体"/>
                <w:b/>
                <w:bCs/>
                <w:color w:val="000000" w:themeColor="text1"/>
                <w:kern w:val="0"/>
                <w:highlight w:val="none"/>
              </w:rPr>
              <w:t>指标（</w:t>
            </w:r>
            <w:r>
              <w:rPr>
                <w:rFonts w:hint="eastAsia" w:ascii="宋体" w:hAnsi="宋体"/>
                <w:b/>
                <w:bCs/>
                <w:color w:val="000000" w:themeColor="text1"/>
                <w:highlight w:val="none"/>
              </w:rPr>
              <w:t>mg/kg</w:t>
            </w:r>
            <w:r>
              <w:rPr>
                <w:rFonts w:hint="eastAsia" w:ascii="宋体" w:hAnsi="宋体"/>
                <w:b/>
                <w:bCs/>
                <w:color w:val="000000" w:themeColor="text1"/>
                <w:kern w:val="0"/>
                <w:highlight w:val="none"/>
              </w:rPr>
              <w:t>）</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甲胺磷</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不得检出</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甲拌磷</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不得检出</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氧化乐果</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不得检出</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甲基对硫磷</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不得检出</w:t>
            </w:r>
          </w:p>
        </w:tc>
      </w:tr>
      <w:tr>
        <w:tblPrEx>
          <w:tblCellMar>
            <w:top w:w="0" w:type="dxa"/>
            <w:left w:w="0" w:type="dxa"/>
            <w:bottom w:w="0" w:type="dxa"/>
            <w:right w:w="0" w:type="dxa"/>
          </w:tblCellMar>
        </w:tblPrEx>
        <w:trPr>
          <w:trHeight w:val="443"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呋喃丹</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不得检出</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百菌清</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≤1.0</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多菌灵</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≤0.5</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汞（以Hg计）</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≤0.01</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铅（以Pb计）</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≤0.2</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砷（以As计）</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≤0.5</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氟（以F计）</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≤0.5</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硝酸盐（以NaNO3计）</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瓜果类≤600；叶菜根茎类≤1200</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亚硝酸盐（以NaNO2计）</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≤4</w:t>
            </w:r>
          </w:p>
        </w:tc>
      </w:tr>
    </w:tbl>
    <w:p>
      <w:pPr>
        <w:snapToGrid w:val="0"/>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（2）具体感观要求：</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从蔬菜色泽看，各种蔬菜都应具有本品种固有的颜色，大多数有发亮的光泽，以此显示蔬菜的成熟度及鲜嫩程度；</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从蔬菜气味看，多数蔬菜具有清馨、甘辛香、甜酸香等气味，可凭嗅觉识别不同品种的质量，不允许有腐烂变质的亚硝酸盐味和其他异常气味；</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从蔬菜滋味看，因品种不同而各异，多数蔬菜滋味甘淡、甜酸、清爽鲜美，少数具有辛酸、苦涩等特殊风味以刺激食欲，如失去本品种原有的滋味即为异常；</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从蔬菜形态看，应尽量避免由于客观因素而造成的各种非正常、不新鲜的蔬菜，例如萎蔫、枯塌、损伤、病变、虫害侵蚀等引起的形态异常等。</w:t>
      </w:r>
    </w:p>
    <w:p>
      <w:pPr>
        <w:snapToGrid w:val="0"/>
        <w:spacing w:line="360" w:lineRule="auto"/>
        <w:ind w:firstLine="420" w:firstLineChars="200"/>
        <w:rPr>
          <w:rFonts w:hint="eastAsia" w:ascii="宋体" w:hAnsi="宋体"/>
          <w:bCs/>
          <w:color w:val="000000" w:themeColor="text1"/>
          <w:highlight w:val="none"/>
        </w:rPr>
      </w:pPr>
      <w:r>
        <w:rPr>
          <w:rFonts w:hint="eastAsia" w:ascii="宋体" w:hAnsi="宋体"/>
          <w:bCs/>
          <w:color w:val="000000" w:themeColor="text1"/>
          <w:highlight w:val="none"/>
        </w:rPr>
        <w:t xml:space="preserve">叶菜类： </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肉质鲜嫩形态好，色泽正常，茎基部削平，无枯黄叶、病叶、泥土、明显机械伤和病虫害伤，无烧心焦边、腐烂等现象，无抽苔（菜心除外），无畸形、异味，结球叶菜要结球适度，花椰菜应新鲜洁白，不带叶麸，无畸形花。</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茄果类： </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属同一品种规格，果实整洁，成熟度适中，番茄花蒂不明显，无裂果及空洞现象，茄果不能有裂蒂及果皮变硬现象，无腐烂、畸形、异味，无明显机械伤。</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瓜果类： </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属同一品种规格，形状、色泽一致，瓜条均匀，无疤点，无断裂，无腐烂、畸形、异味、明显机械伤，不带泥土。</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根菜类： </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属同一品种规格，皮细光滑，大小均匀，肉质脆嫩致密新鲜，无腐烂、畸形、裂痕、糠心、异味，不带泥沙，不带茎叶和须根。</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薯芋类： </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属同一品种规格，色泽一致，不带泥沙，不带须根、茎叶，不干瘪，无腐烂、畸形、异味、明显机械伤、病虫害斑，马铃薯无发芽，皮不变绿。</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葱蒜类： </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属同一品种规格，允许葱、青蒜类保留干净须根，葱、蒜、韭菜不带老叶，蒜头、洋葱去根去枯叶，可食部分新鲜幼嫩，无腐烂、畸形、异味。</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豆类： </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属同一品种规格，形态完整，成熟度适中，无腐烂、畸形、异味，豆荚类新鲜、幼嫩、均匀，豆仁类籽粒饱满，较均匀，无发芽，不带泥土杂质。</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水生菜类： </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属同一品种规格，肉质嫩，成熟度适中，无腐烂、畸形、异味，无明显机械伤，不带泥土和杂质，不干瘪，茭白不黑心。</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食用菌类： </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属同一品种规格，蘑菇、草菇菌盖圆整略展开，柄粗壮，菌膜紧，菇柄切削平整，不浸泡水（蘑菇允许浸盐水保鲜），新鲜，无杂质，无畸形菇，无腐烂、异味。</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芽苗类： </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芽苗幼嫩，不带豆壳杂质，新鲜，不浸水，无腐烂、异味。</w:t>
      </w:r>
    </w:p>
    <w:p>
      <w:pPr>
        <w:numPr>
          <w:ilvl w:val="0"/>
          <w:numId w:val="26"/>
        </w:numPr>
        <w:snapToGrid w:val="0"/>
        <w:spacing w:line="360" w:lineRule="auto"/>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食品供应链要求：所有食品的来源必须清晰。蔬菜来源应当为受到地方政府部门监管的自有基地、商品菜基地或蔬菜专业流通市场。</w:t>
      </w:r>
    </w:p>
    <w:p>
      <w:pPr>
        <w:pStyle w:val="307"/>
        <w:ind w:firstLine="0" w:firstLineChars="0"/>
        <w:rPr>
          <w:rFonts w:hint="eastAsia" w:cs="Times New Roman"/>
          <w:b/>
          <w:color w:val="000000" w:themeColor="text1"/>
          <w:kern w:val="2"/>
          <w:sz w:val="21"/>
          <w:highlight w:val="none"/>
        </w:rPr>
      </w:pPr>
      <w:r>
        <w:rPr>
          <w:rFonts w:hint="eastAsia" w:cs="Times New Roman"/>
          <w:b/>
          <w:color w:val="000000" w:themeColor="text1"/>
          <w:kern w:val="2"/>
          <w:sz w:val="21"/>
          <w:highlight w:val="none"/>
        </w:rPr>
        <w:t>4、水产海鲜类</w:t>
      </w:r>
    </w:p>
    <w:p>
      <w:pPr>
        <w:pStyle w:val="307"/>
        <w:ind w:firstLine="210" w:firstLineChars="100"/>
        <w:rPr>
          <w:rFonts w:hint="eastAsia" w:cs="Times New Roman"/>
          <w:bCs/>
          <w:color w:val="000000" w:themeColor="text1"/>
          <w:kern w:val="2"/>
          <w:sz w:val="21"/>
          <w:highlight w:val="none"/>
        </w:rPr>
      </w:pPr>
      <w:r>
        <w:rPr>
          <w:rFonts w:hint="eastAsia" w:cs="Times New Roman"/>
          <w:bCs/>
          <w:color w:val="000000" w:themeColor="text1"/>
          <w:kern w:val="2"/>
          <w:sz w:val="21"/>
          <w:highlight w:val="none"/>
        </w:rPr>
        <w:t>（1）海鲜、河鲜类必须鲜活，身体饱满结实，无腐烂异味，肉质紧密有弹性，来源可靠放心，无毒，无害，无污染（利用率不低于95%）。</w:t>
      </w:r>
    </w:p>
    <w:p>
      <w:pPr>
        <w:pStyle w:val="307"/>
        <w:ind w:firstLine="210" w:firstLineChars="100"/>
        <w:rPr>
          <w:rFonts w:hint="eastAsia" w:cs="Times New Roman"/>
          <w:bCs/>
          <w:color w:val="000000" w:themeColor="text1"/>
          <w:kern w:val="2"/>
          <w:sz w:val="21"/>
          <w:highlight w:val="none"/>
        </w:rPr>
      </w:pPr>
      <w:r>
        <w:rPr>
          <w:rFonts w:hint="eastAsia" w:cs="Times New Roman"/>
          <w:bCs/>
          <w:color w:val="000000" w:themeColor="text1"/>
          <w:kern w:val="2"/>
          <w:sz w:val="21"/>
          <w:highlight w:val="none"/>
        </w:rPr>
        <w:t>（2）新鲜水产品的具体要求：要体态完整，体色正常，捞离水后，挣扎力。</w:t>
      </w:r>
    </w:p>
    <w:p>
      <w:pPr>
        <w:pStyle w:val="307"/>
        <w:ind w:firstLine="210" w:firstLineChars="100"/>
        <w:rPr>
          <w:rFonts w:hint="eastAsia" w:cs="Times New Roman"/>
          <w:bCs/>
          <w:color w:val="000000" w:themeColor="text1"/>
          <w:kern w:val="2"/>
          <w:sz w:val="21"/>
          <w:highlight w:val="none"/>
        </w:rPr>
      </w:pPr>
      <w:r>
        <w:rPr>
          <w:rFonts w:hint="eastAsia" w:cs="Times New Roman"/>
          <w:bCs/>
          <w:color w:val="000000" w:themeColor="text1"/>
          <w:kern w:val="2"/>
          <w:sz w:val="21"/>
          <w:highlight w:val="none"/>
        </w:rPr>
        <w:t xml:space="preserve">（3）冷冻鱼类要求鱼眼睛清亮，角膜透明，鳞片上覆盖有冻结的透明粘液层，皮肤天然色泽明显。鱼体完整无伤残，带鳞鱼应体表鳞片完整无损。去鳞鱼不应有残鳞片。另外鱼体富有弹性，手指轻按鱼体后，手指凹陷处可马上恢复。鱼应无异味有较温和的鱼腥味。 </w:t>
      </w:r>
    </w:p>
    <w:p>
      <w:pPr>
        <w:pStyle w:val="307"/>
        <w:ind w:firstLine="210" w:firstLineChars="100"/>
        <w:rPr>
          <w:rFonts w:hint="eastAsia" w:cs="Times New Roman"/>
          <w:bCs/>
          <w:color w:val="000000" w:themeColor="text1"/>
          <w:kern w:val="2"/>
          <w:sz w:val="21"/>
          <w:highlight w:val="none"/>
        </w:rPr>
      </w:pPr>
      <w:r>
        <w:rPr>
          <w:rFonts w:hint="eastAsia" w:cs="Times New Roman"/>
          <w:bCs/>
          <w:color w:val="000000" w:themeColor="text1"/>
          <w:kern w:val="2"/>
          <w:sz w:val="21"/>
          <w:highlight w:val="none"/>
        </w:rPr>
        <w:t xml:space="preserve">（4）虾的头胸甲与躯干连接紧密，无断头现象。虾身清洁无污染无异味，虾眼突起，虾身较挺，肉质坚实；虾壳发亮、发硬，呈青绿色或青白色。 </w:t>
      </w:r>
    </w:p>
    <w:p>
      <w:pPr>
        <w:pStyle w:val="307"/>
        <w:ind w:firstLine="210" w:firstLineChars="100"/>
        <w:rPr>
          <w:rFonts w:hint="eastAsia" w:cs="Times New Roman"/>
          <w:bCs/>
          <w:color w:val="000000" w:themeColor="text1"/>
          <w:kern w:val="2"/>
          <w:sz w:val="21"/>
          <w:highlight w:val="none"/>
        </w:rPr>
      </w:pPr>
      <w:r>
        <w:rPr>
          <w:rFonts w:hint="eastAsia" w:cs="Times New Roman"/>
          <w:bCs/>
          <w:color w:val="000000" w:themeColor="text1"/>
          <w:kern w:val="2"/>
          <w:sz w:val="21"/>
          <w:highlight w:val="none"/>
        </w:rPr>
        <w:t xml:space="preserve">（5）黄鳝要体态完整，体色正常，在水中朝上直立，捞离水后，挣扎有力，身上粘度较多，个体较大。 </w:t>
      </w:r>
    </w:p>
    <w:p>
      <w:pPr>
        <w:pStyle w:val="307"/>
        <w:ind w:firstLine="210" w:firstLineChars="100"/>
        <w:rPr>
          <w:rFonts w:hint="eastAsia" w:cs="Times New Roman"/>
          <w:bCs/>
          <w:color w:val="000000" w:themeColor="text1"/>
          <w:kern w:val="2"/>
          <w:sz w:val="21"/>
          <w:highlight w:val="none"/>
        </w:rPr>
      </w:pPr>
      <w:r>
        <w:rPr>
          <w:rFonts w:hint="eastAsia" w:cs="Times New Roman"/>
          <w:bCs/>
          <w:color w:val="000000" w:themeColor="text1"/>
          <w:kern w:val="2"/>
          <w:sz w:val="21"/>
          <w:highlight w:val="none"/>
        </w:rPr>
        <w:t xml:space="preserve">（6）贝壳类要求肉质新鲜，无臭味，两贝壳相碰发出实响，且响声均匀，在静水中会伸出触角；表面清洁完整，无寄生物，外观完美，有光泽。 </w:t>
      </w:r>
    </w:p>
    <w:p>
      <w:pPr>
        <w:pStyle w:val="307"/>
        <w:ind w:firstLine="210" w:firstLineChars="100"/>
        <w:rPr>
          <w:rFonts w:hint="eastAsia" w:cs="Times New Roman"/>
          <w:bCs/>
          <w:color w:val="000000" w:themeColor="text1"/>
          <w:kern w:val="2"/>
          <w:sz w:val="21"/>
          <w:highlight w:val="none"/>
        </w:rPr>
      </w:pPr>
      <w:r>
        <w:rPr>
          <w:rFonts w:hint="eastAsia" w:cs="Times New Roman"/>
          <w:bCs/>
          <w:color w:val="000000" w:themeColor="text1"/>
          <w:kern w:val="2"/>
          <w:sz w:val="21"/>
          <w:highlight w:val="none"/>
        </w:rPr>
        <w:t xml:space="preserve">（7）冷冻水产类解冻后净重量不少于82%，解冻时间为4小时以内（室温20℃）。所有冷冻要求清晰列出产品品牌、规格、类型、包装方式、包装净重、含冰量等相关参数。 </w:t>
      </w:r>
    </w:p>
    <w:p>
      <w:pPr>
        <w:pStyle w:val="307"/>
        <w:ind w:firstLine="210" w:firstLineChars="100"/>
        <w:rPr>
          <w:rFonts w:hint="eastAsia" w:ascii="宋体" w:hAnsi="宋体" w:eastAsia="宋体" w:cs="宋体"/>
          <w:bCs/>
          <w:color w:val="000000" w:themeColor="text1"/>
          <w:kern w:val="2"/>
          <w:sz w:val="21"/>
          <w:highlight w:val="none"/>
        </w:rPr>
      </w:pPr>
      <w:r>
        <w:rPr>
          <w:rFonts w:hint="eastAsia" w:ascii="宋体" w:hAnsi="宋体" w:eastAsia="宋体" w:cs="宋体"/>
          <w:bCs/>
          <w:color w:val="000000" w:themeColor="text1"/>
          <w:kern w:val="2"/>
          <w:sz w:val="21"/>
          <w:highlight w:val="none"/>
        </w:rPr>
        <w:t>（8）水产品须出具贮存地的出入库检疫证明。</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210" w:firstLineChars="100"/>
        <w:jc w:val="left"/>
        <w:textAlignment w:val="auto"/>
        <w:outlineLvl w:val="9"/>
        <w:rPr>
          <w:rFonts w:hint="eastAsia" w:ascii="宋体" w:hAnsi="宋体" w:eastAsia="宋体" w:cs="宋体"/>
          <w:b/>
          <w:color w:val="000000" w:themeColor="text1"/>
          <w:sz w:val="21"/>
          <w:szCs w:val="21"/>
          <w:highlight w:val="none"/>
        </w:rPr>
      </w:pPr>
      <w:r>
        <w:rPr>
          <w:rFonts w:hint="eastAsia" w:ascii="宋体" w:hAnsi="宋体" w:eastAsia="宋体" w:cs="宋体"/>
          <w:bCs/>
          <w:color w:val="000000" w:themeColor="text1"/>
          <w:kern w:val="2"/>
          <w:sz w:val="21"/>
          <w:highlight w:val="none"/>
        </w:rPr>
        <w:t>（9）海鲜制品类：海鲜制品类包括但不限于鱼丸、墨鱼丸、鱼蛋、鱼腐等。</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5、</w:t>
      </w:r>
      <w:r>
        <w:rPr>
          <w:rFonts w:hint="eastAsia" w:ascii="宋体" w:hAnsi="宋体" w:eastAsia="宋体" w:cs="宋体"/>
          <w:b/>
          <w:bCs/>
          <w:color w:val="000000" w:themeColor="text1"/>
          <w:sz w:val="21"/>
          <w:szCs w:val="21"/>
          <w:highlight w:val="none"/>
        </w:rPr>
        <w:t>冻品类基本要求</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产品质量必须符合国家行业标准要求，有明确的商品标签，有生产日期、保质期、质量等级，不得有掺假、变质、变味、过期等现象出现，保证运输过程冷链不中断，送达目的地时外包装箱干爽，无软化现象。</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color w:val="000000" w:themeColor="text1"/>
          <w:sz w:val="21"/>
          <w:szCs w:val="21"/>
          <w:highlight w:val="none"/>
          <w:lang w:val="en-US" w:eastAsia="zh-CN"/>
        </w:rPr>
      </w:pPr>
      <w:r>
        <w:rPr>
          <w:rFonts w:hint="eastAsia" w:ascii="宋体" w:hAnsi="宋体" w:eastAsia="宋体" w:cs="宋体"/>
          <w:b/>
          <w:color w:val="000000" w:themeColor="text1"/>
          <w:sz w:val="21"/>
          <w:szCs w:val="21"/>
          <w:highlight w:val="none"/>
          <w:lang w:val="en-US" w:eastAsia="zh-CN"/>
        </w:rPr>
        <w:t>02包组：大米、面类、豆类、干货类、油、盐、糖、酱、酒、醋、添加剂等</w:t>
      </w:r>
    </w:p>
    <w:p>
      <w:pPr>
        <w:snapToGrid w:val="0"/>
        <w:spacing w:line="360" w:lineRule="auto"/>
        <w:rPr>
          <w:rFonts w:hint="eastAsia" w:ascii="宋体" w:hAnsi="宋体"/>
          <w:b/>
          <w:color w:val="000000" w:themeColor="text1"/>
          <w:highlight w:val="none"/>
        </w:rPr>
      </w:pPr>
      <w:r>
        <w:rPr>
          <w:rFonts w:hint="eastAsia" w:ascii="宋体" w:hAnsi="宋体"/>
          <w:b/>
          <w:color w:val="000000" w:themeColor="text1"/>
          <w:highlight w:val="none"/>
        </w:rPr>
        <w:t>1、</w:t>
      </w:r>
      <w:r>
        <w:rPr>
          <w:rFonts w:hint="eastAsia" w:ascii="宋体" w:hAnsi="宋体"/>
          <w:b/>
          <w:bCs/>
          <w:color w:val="000000" w:themeColor="text1"/>
          <w:highlight w:val="none"/>
        </w:rPr>
        <w:t>调味料：</w:t>
      </w:r>
    </w:p>
    <w:p>
      <w:pPr>
        <w:pStyle w:val="308"/>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1）酱油：酱油颜色比较红、亮、有光泽、透明，酱油倒在瓶子里摇一下，酱油产生的泡沫非常细腻，保持持久，挂碗现象非常好，有发黏的感觉。</w:t>
      </w:r>
    </w:p>
    <w:p>
      <w:pPr>
        <w:pStyle w:val="308"/>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2）味精：无色至白色结晶或粉末，应具有特殊的鲜味，无异味，无肉眼可见杂质。</w:t>
      </w:r>
    </w:p>
    <w:p>
      <w:pPr>
        <w:pStyle w:val="308"/>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3）酱类食品：应具有正常酿造酱的色泽、气味和滋味、不涩、无其他不良气味、不得有酸、苦、焦糊及其它异味、异物。</w:t>
      </w:r>
    </w:p>
    <w:p>
      <w:pPr>
        <w:pStyle w:val="308"/>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4）淀粉制品：应具有各自品种固有的形态和色泽、不酸、不粘、不发霉、无变质、无异味、无杂质、口尝无砂质。</w:t>
      </w:r>
    </w:p>
    <w:p>
      <w:pPr>
        <w:pStyle w:val="308"/>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5）食盐：结晶整齐一致、坚硬光滑，呈透明或半透明、不结块、无反卤吸潮现象、无杂质，沾取少许尝试具有纯正的咸味。</w:t>
      </w:r>
    </w:p>
    <w:p>
      <w:pPr>
        <w:pStyle w:val="308"/>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6）白糖：要求色泽洁白明亮，有光泽，具有白糖的正常气味，无酸味、酒味或其他外来气味。凡是白糖都应干燥，晶粒松散，不粘手，不结块，无肉眼可见的杂质，白糖的水溶液应清晰透明无杂质。</w:t>
      </w:r>
    </w:p>
    <w:p>
      <w:pPr>
        <w:pStyle w:val="308"/>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7）白砂糖：颗粒大如砂粒，晶粒均匀整齐，晶面明显，无碎末，糖质坚硬。</w:t>
      </w:r>
    </w:p>
    <w:p>
      <w:pPr>
        <w:pStyle w:val="308"/>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8）绵白糖：颗粒细小而均匀，质地绵软、潮润。</w:t>
      </w:r>
    </w:p>
    <w:p>
      <w:pPr>
        <w:pStyle w:val="308"/>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9）红糖：呈晶粒状或粉末状，干燥而松散，不结块，不成团，杂质，其水溶液清晰，无沉淀，无悬浮物，具有甘蔗汁的清香味，无有酒味、酸味或其他外来不良气味，口味浓甜带鲜，微有糖蜜味，无焦苦味或其他外来异味。</w:t>
      </w:r>
    </w:p>
    <w:p>
      <w:pPr>
        <w:pStyle w:val="308"/>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10）冰糖：块形完整，个粒均匀，结晶组织严密，透明或半透明，无破碎。</w:t>
      </w:r>
    </w:p>
    <w:p>
      <w:pPr>
        <w:pStyle w:val="308"/>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11）方糖：呈正六面体状，表面平整，无裂纹，铁边，断角，无突出砂粒，无霉斑。</w:t>
      </w:r>
    </w:p>
    <w:p>
      <w:pPr>
        <w:pStyle w:val="308"/>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12）辛辣料：要求采用植物果实和种子粉碎而配制成的天然植物香料，如五香粉、胡椒粉、花椒粉、咖喱粉、芥末粉等，辛辣料的主要原料有八角、花椒、胡椒、桂皮、小茴香、大茴香、辣椒、孜然等。</w:t>
      </w:r>
    </w:p>
    <w:p>
      <w:pPr>
        <w:pStyle w:val="308"/>
        <w:spacing w:line="360" w:lineRule="auto"/>
        <w:ind w:left="0" w:leftChars="0" w:firstLine="210" w:firstLineChars="100"/>
        <w:rPr>
          <w:rFonts w:hint="eastAsia" w:ascii="宋体" w:hAnsi="宋体" w:cs="宋体"/>
          <w:color w:val="000000" w:themeColor="text1"/>
          <w:sz w:val="21"/>
          <w:szCs w:val="21"/>
          <w:highlight w:val="none"/>
        </w:rPr>
      </w:pPr>
      <w:r>
        <w:rPr>
          <w:rFonts w:hint="eastAsia" w:ascii="宋体" w:hAnsi="宋体" w:cs="宋体"/>
          <w:bCs/>
          <w:color w:val="000000" w:themeColor="text1"/>
          <w:sz w:val="21"/>
          <w:szCs w:val="21"/>
          <w:highlight w:val="none"/>
        </w:rPr>
        <w:t>13）辛辣料应呈干燥状，具有该种香料植物所特有的色、香、味，没有不纯正的气味和味道，无发霉味或其他异味。</w:t>
      </w:r>
    </w:p>
    <w:p>
      <w:pPr>
        <w:snapToGrid w:val="0"/>
        <w:spacing w:line="360" w:lineRule="auto"/>
        <w:ind w:firstLine="210" w:firstLineChars="100"/>
        <w:rPr>
          <w:rFonts w:hint="eastAsia" w:ascii="宋体" w:hAnsi="宋体"/>
          <w:b/>
          <w:color w:val="000000" w:themeColor="text1"/>
          <w:highlight w:val="none"/>
        </w:rPr>
      </w:pPr>
      <w:r>
        <w:rPr>
          <w:rFonts w:hint="eastAsia" w:ascii="宋体" w:hAnsi="宋体" w:cs="宋体"/>
          <w:bCs/>
          <w:color w:val="000000" w:themeColor="text1"/>
          <w:szCs w:val="21"/>
          <w:highlight w:val="none"/>
        </w:rPr>
        <w:t>14）腐乳：红腐乳要求表面呈红色或枣红色，内部呈杏黄色，色泽鲜艳，有光泽；白腐乳要求外表呈乳黄色。块形整齐均匀，质地细腻，无霉斑、霉变及杂质。具有各品种的腐乳特有的香味或特征气味，无任何其他异味，滋味鲜美，咸淡适口，无任何其他异味。</w:t>
      </w:r>
    </w:p>
    <w:p>
      <w:pPr>
        <w:snapToGrid w:val="0"/>
        <w:spacing w:line="360" w:lineRule="auto"/>
        <w:rPr>
          <w:rFonts w:hint="eastAsia" w:ascii="宋体" w:hAnsi="宋体" w:cs="宋体"/>
          <w:bCs/>
          <w:color w:val="000000" w:themeColor="text1"/>
          <w:szCs w:val="21"/>
          <w:highlight w:val="none"/>
        </w:rPr>
      </w:pPr>
      <w:r>
        <w:rPr>
          <w:rFonts w:hint="eastAsia" w:ascii="宋体" w:hAnsi="宋体"/>
          <w:b/>
          <w:color w:val="000000" w:themeColor="text1"/>
          <w:highlight w:val="none"/>
        </w:rPr>
        <w:t>2、</w:t>
      </w:r>
      <w:r>
        <w:rPr>
          <w:rFonts w:hint="eastAsia" w:ascii="宋体" w:hAnsi="宋体"/>
          <w:b/>
          <w:bCs/>
          <w:color w:val="000000" w:themeColor="text1"/>
          <w:highlight w:val="none"/>
        </w:rPr>
        <w:t>干货制品：</w:t>
      </w:r>
      <w:r>
        <w:rPr>
          <w:rFonts w:hint="eastAsia" w:ascii="宋体" w:hAnsi="宋体"/>
          <w:color w:val="000000" w:themeColor="text1"/>
          <w:highlight w:val="none"/>
        </w:rPr>
        <w:t>要求为符合国家相关行业标准的产品，干爽、不霉烂、整齐、均匀、完整，无虫蛀、无杂质，保持应有的色泽。从加工、包装、运输、贮存到销售全部符合国家规定标准，尤其是二氧化硫残留量、总砷含量不超过国家卫生标准；招标人可根据实际情况对需要的干货制品进行品质抽检，对质</w:t>
      </w:r>
      <w:r>
        <w:rPr>
          <w:rFonts w:hint="eastAsia" w:ascii="宋体" w:hAnsi="宋体" w:cs="宋体"/>
          <w:bCs/>
          <w:color w:val="000000" w:themeColor="text1"/>
          <w:szCs w:val="21"/>
          <w:highlight w:val="none"/>
        </w:rPr>
        <w:t>量未达到国家标准的干货制品招标人有权拒绝接收。</w:t>
      </w:r>
    </w:p>
    <w:p>
      <w:pPr>
        <w:snapToGrid w:val="0"/>
        <w:spacing w:line="360" w:lineRule="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（1）肉皮：作为干肉皮，无论什么部位，体表洁净无毛，白亮无残余肥膘，无虫蛀，干爽，敲击时响声清脆，质量均匀为好，反之则为次之，如已发霉，并有哈喇味，即已变质。</w:t>
      </w:r>
    </w:p>
    <w:p>
      <w:pPr>
        <w:snapToGrid w:val="0"/>
        <w:spacing w:line="360" w:lineRule="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（2）玉兰片：玉兰片以色泽黄白、洁净、肉厚、纤维少、节较密、体长不超过 10~17cm的为最好，肉薄节疏、纤维多而粗老的质量较差。</w:t>
      </w:r>
    </w:p>
    <w:p>
      <w:pPr>
        <w:snapToGrid w:val="0"/>
        <w:spacing w:line="360" w:lineRule="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（3）黄花菜：又名金针菜，干燥、有清香味，菜色黄亮、身条长而粗壮、条杆粗细均匀者为佳。</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rPr>
        <w:t>（4）</w:t>
      </w:r>
      <w:r>
        <w:rPr>
          <w:rFonts w:hint="eastAsia" w:ascii="宋体" w:hAnsi="宋体" w:cs="宋体"/>
          <w:bCs/>
          <w:color w:val="000000" w:themeColor="text1"/>
          <w:szCs w:val="21"/>
          <w:highlight w:val="none"/>
          <w:lang w:val="zh-CN"/>
        </w:rPr>
        <w:t>黑木耳：黑木耳的质量一般以条形大而完整，耳瓣舒展少卷曲，内厚黑，富于光泽，体干不霉，无杂质和碎者为优，反之则差。</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5</w:t>
      </w:r>
      <w:r>
        <w:rPr>
          <w:rFonts w:hint="eastAsia" w:ascii="宋体" w:hAnsi="宋体" w:cs="宋体"/>
          <w:bCs/>
          <w:color w:val="000000" w:themeColor="text1"/>
          <w:szCs w:val="21"/>
          <w:highlight w:val="none"/>
          <w:lang w:val="zh-CN"/>
        </w:rPr>
        <w:t>）银耳：银耳又称白木耳，以朵大、色洁白、有光泽、无杂质，根小、干度足，完整者为佳品，朵小、色黄、根大、无光泽，散碎者次之；黄黑色者质量最次，依上述标准可将银耳分为上中下三等。质量好的银耳，根部易稣烂，食之柔软，质量次则根部大而发硬。</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6</w:t>
      </w:r>
      <w:r>
        <w:rPr>
          <w:rFonts w:hint="eastAsia" w:ascii="宋体" w:hAnsi="宋体" w:cs="宋体"/>
          <w:bCs/>
          <w:color w:val="000000" w:themeColor="text1"/>
          <w:szCs w:val="21"/>
          <w:highlight w:val="none"/>
          <w:lang w:val="zh-CN"/>
        </w:rPr>
        <w:t>）香菇：根据采收季节和形状不同，香菇又分为花菇、厚菇、薄菇和菇丁四类，其中以花菇质量最好，厚菇次之，薄菇更差，菇丁质量最差。①花菇：朵小柄短，呈半球状，菇伞顶面有似菊花似的白色裂纹，肉厚、菌盖色泽淡黑，菇底褶，通过加工呈淡黄色，身干、质嫩、有芳香气味者为质好香菇。②厚菇：形状如伞，顶面无花纹，呈黑色并略有光泽，质嫩、肉厚、朵稍大，质量稍次。③薄菇：形状扁平、开伞、朵大、肉薄、菌盖表面浅褐色，菌褐白色，菌柄稍高，浅咖啡色，基部稍带红色或红褐色，质量比花菇厚，菇差，味淡。④菇丁：是指未充分发育的香菇，个小，直径在2cm以下，味淡质差。</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rPr>
        <w:t>（7）</w:t>
      </w:r>
      <w:r>
        <w:rPr>
          <w:rFonts w:hint="eastAsia" w:ascii="宋体" w:hAnsi="宋体" w:cs="宋体"/>
          <w:bCs/>
          <w:color w:val="000000" w:themeColor="text1"/>
          <w:szCs w:val="21"/>
          <w:highlight w:val="none"/>
          <w:lang w:val="zh-CN"/>
        </w:rPr>
        <w:t>黄豆：豆皮色呈各种大豆固有的颜色，光彩油亮，洁净而有光泽，颗粒饱满，整齐均匀，无虫蛀粒，无杂质，无霉变。</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8</w:t>
      </w:r>
      <w:r>
        <w:rPr>
          <w:rFonts w:hint="eastAsia" w:ascii="宋体" w:hAnsi="宋体" w:cs="宋体"/>
          <w:bCs/>
          <w:color w:val="000000" w:themeColor="text1"/>
          <w:szCs w:val="21"/>
          <w:highlight w:val="none"/>
          <w:lang w:val="zh-CN"/>
        </w:rPr>
        <w:t>）花生：果荚呈土黄色或白色，果仁呈各不同品种所特有的颜色，色泽分布均匀一致，带荚花生和去荚果仁均颗粒饱满、形态完整、大小均匀，子叶肥厚而有光泽，无杂质，具有花生特有的气味、香味，无任何异味。</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rPr>
        <w:t>（9）</w:t>
      </w:r>
      <w:r>
        <w:rPr>
          <w:rFonts w:hint="eastAsia" w:ascii="宋体" w:hAnsi="宋体" w:cs="宋体"/>
          <w:bCs/>
          <w:color w:val="000000" w:themeColor="text1"/>
          <w:szCs w:val="21"/>
          <w:highlight w:val="none"/>
          <w:lang w:val="zh-CN"/>
        </w:rPr>
        <w:t>腐竹：腐竹又名豆腐皮和油皮，有一、二、三级品之分。一极品：色泽黄亮、干燥筋韧、耐贮、无碎块。二极品：颜色较一极品灰黄、干燥无碎块。三极品：颜色更灰黄、无光泽、易碎、筋韧性差。</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10</w:t>
      </w:r>
      <w:r>
        <w:rPr>
          <w:rFonts w:hint="eastAsia" w:ascii="宋体" w:hAnsi="宋体" w:cs="宋体"/>
          <w:bCs/>
          <w:color w:val="000000" w:themeColor="text1"/>
          <w:szCs w:val="21"/>
          <w:highlight w:val="none"/>
          <w:lang w:val="zh-CN"/>
        </w:rPr>
        <w:t>）粉丝：质量好的粉丝，粉条细长、白净、晶莹透明、丝条均匀、整齐、干燥，不易折断，无斑点、黑迹，无霉变，有粉丝特有的光泽。</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11</w:t>
      </w:r>
      <w:r>
        <w:rPr>
          <w:rFonts w:hint="eastAsia" w:ascii="宋体" w:hAnsi="宋体" w:cs="宋体"/>
          <w:bCs/>
          <w:color w:val="000000" w:themeColor="text1"/>
          <w:szCs w:val="21"/>
          <w:highlight w:val="none"/>
          <w:lang w:val="zh-CN"/>
        </w:rPr>
        <w:t>）蹄筋：猪蹄筋的质量首先从蹄筋抽取的部位区别，后蹄筋体长而圆、粗状、光滑的品质好。前蹄筋体短而扁细、品质较差、保管完好的蹄筋应呈白色、无杂质，干、硬度高。</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12</w:t>
      </w:r>
      <w:r>
        <w:rPr>
          <w:rFonts w:hint="eastAsia" w:ascii="宋体" w:hAnsi="宋体" w:cs="宋体"/>
          <w:bCs/>
          <w:color w:val="000000" w:themeColor="text1"/>
          <w:szCs w:val="21"/>
          <w:highlight w:val="none"/>
          <w:lang w:val="zh-CN"/>
        </w:rPr>
        <w:t>）干贝：上等干贝粒大完整、黄亮干燥、肉质饱满，肉丝清晰、粗且有特殊香气。粒小、碎破、色淡无光泽者较次。破碎、发黑发霉的为变质品。</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13</w:t>
      </w:r>
      <w:r>
        <w:rPr>
          <w:rFonts w:hint="eastAsia" w:ascii="宋体" w:hAnsi="宋体" w:cs="宋体"/>
          <w:bCs/>
          <w:color w:val="000000" w:themeColor="text1"/>
          <w:szCs w:val="21"/>
          <w:highlight w:val="none"/>
          <w:lang w:val="zh-CN"/>
        </w:rPr>
        <w:t>）鱿鱼：市场上常见的鱿鱼有椭圆形和长方形，选购时应注意：体干、体形完整、光亮洁净、淡粉红色、片大头小、肉厚者为优。体形部分卷曲，尾部和背部红中透暗，两侧有微红点、体小而宽、肉薄者为次品。</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14</w:t>
      </w:r>
      <w:r>
        <w:rPr>
          <w:rFonts w:hint="eastAsia" w:ascii="宋体" w:hAnsi="宋体" w:cs="宋体"/>
          <w:bCs/>
          <w:color w:val="000000" w:themeColor="text1"/>
          <w:szCs w:val="21"/>
          <w:highlight w:val="none"/>
          <w:lang w:val="zh-CN"/>
        </w:rPr>
        <w:t>）海蛰：海蛰是由水母加工制成，选购时应注意色泽，以乳白色或淡黄色、气味清新、质厚均匀、个体完整、块大、无血黑（体肉红皮）有光泽的为上品，带有膜状血衣的为次品。</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15</w:t>
      </w:r>
      <w:r>
        <w:rPr>
          <w:rFonts w:hint="eastAsia" w:ascii="宋体" w:hAnsi="宋体" w:cs="宋体"/>
          <w:bCs/>
          <w:color w:val="000000" w:themeColor="text1"/>
          <w:szCs w:val="21"/>
          <w:highlight w:val="none"/>
          <w:lang w:val="zh-CN"/>
        </w:rPr>
        <w:t>）海参：检验标准主要是以体形的大小，肉质的厚薄及体内有无沙粒来鉴别。体形大、肉质厚、体内无沙者为上品，体形小、肉质薄、原体没剖开，体内有沙粒者较差。</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16</w:t>
      </w:r>
      <w:r>
        <w:rPr>
          <w:rFonts w:hint="eastAsia" w:ascii="宋体" w:hAnsi="宋体" w:cs="宋体"/>
          <w:bCs/>
          <w:color w:val="000000" w:themeColor="text1"/>
          <w:szCs w:val="21"/>
          <w:highlight w:val="none"/>
          <w:lang w:val="zh-CN"/>
        </w:rPr>
        <w:t>）紫菜：属海产红藻类植物，因鲜紫菜叶较宽大，经干制成长方块形，散片状卷筒，其中以卷筒形柔嫩微脆、叶薄、色紫清香鲜美的为品质优。</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17</w:t>
      </w:r>
      <w:r>
        <w:rPr>
          <w:rFonts w:hint="eastAsia" w:ascii="宋体" w:hAnsi="宋体" w:cs="宋体"/>
          <w:bCs/>
          <w:color w:val="000000" w:themeColor="text1"/>
          <w:szCs w:val="21"/>
          <w:highlight w:val="none"/>
          <w:lang w:val="zh-CN"/>
        </w:rPr>
        <w:t>）发菜：发菜是陆生褐色藻类，以藻体细长、绿黑色、柔软爽滑、干燥、无杂质的质量为优，反之则劣。</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18</w:t>
      </w:r>
      <w:r>
        <w:rPr>
          <w:rFonts w:hint="eastAsia" w:ascii="宋体" w:hAnsi="宋体" w:cs="宋体"/>
          <w:bCs/>
          <w:color w:val="000000" w:themeColor="text1"/>
          <w:szCs w:val="21"/>
          <w:highlight w:val="none"/>
          <w:lang w:val="zh-CN"/>
        </w:rPr>
        <w:t>）鱼肚：其标准一般为体大整齐、肚厚、身干、光洁明亮、无虫蛀腐者好；灰暗、肉薄、体小则次之，有虫蛀、颜色发黑、变霉则为变质品。</w:t>
      </w:r>
    </w:p>
    <w:p>
      <w:pPr>
        <w:snapToGrid w:val="0"/>
        <w:spacing w:line="360" w:lineRule="auto"/>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3、豆制品：</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rPr>
        <w:t>（1）</w:t>
      </w:r>
      <w:r>
        <w:rPr>
          <w:rFonts w:hint="eastAsia" w:ascii="宋体" w:hAnsi="宋体" w:cs="宋体"/>
          <w:bCs/>
          <w:color w:val="000000" w:themeColor="text1"/>
          <w:szCs w:val="21"/>
          <w:highlight w:val="none"/>
          <w:lang w:val="zh-CN"/>
        </w:rPr>
        <w:t>豆腐：腐呈均匀的乳白色或淡黄色，稍有光泽，块形完整，软硬适度，富有一定的弹性，质地细嫩，结构均匀，无杂质，具有豆腐特有的香味，取样品品尝时口感细腻鲜嫩，味道纯正清香。</w:t>
      </w:r>
    </w:p>
    <w:p>
      <w:pPr>
        <w:snapToGrid w:val="0"/>
        <w:spacing w:line="360" w:lineRule="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2</w:t>
      </w:r>
      <w:r>
        <w:rPr>
          <w:rFonts w:hint="eastAsia" w:ascii="宋体" w:hAnsi="宋体" w:cs="宋体"/>
          <w:bCs/>
          <w:color w:val="000000" w:themeColor="text1"/>
          <w:szCs w:val="21"/>
          <w:highlight w:val="none"/>
          <w:lang w:val="zh-CN"/>
        </w:rPr>
        <w:t>）油炸豆卜：金黄色或棕黄色，色彩鲜艳而有光泽，块形整齐，有弹性，皮脆，内质呈蜂窝状，不粘不散，无杂质</w:t>
      </w:r>
      <w:r>
        <w:rPr>
          <w:rFonts w:hint="eastAsia" w:ascii="宋体" w:hAnsi="宋体" w:cs="宋体"/>
          <w:bCs/>
          <w:color w:val="000000" w:themeColor="text1"/>
          <w:szCs w:val="21"/>
          <w:highlight w:val="none"/>
        </w:rPr>
        <w:t>,</w:t>
      </w:r>
      <w:r>
        <w:rPr>
          <w:rFonts w:hint="eastAsia" w:ascii="宋体" w:hAnsi="宋体" w:cs="宋体"/>
          <w:bCs/>
          <w:color w:val="000000" w:themeColor="text1"/>
          <w:szCs w:val="21"/>
          <w:highlight w:val="none"/>
          <w:lang w:val="zh-CN"/>
        </w:rPr>
        <w:t>具有豆腐泡特有的清香风味，无其他任何不良气味，取样品细细咀嚼，外皮酥脆适口，泡内软嫩，咸香适度，具有豆腐泡固有的滋味。</w:t>
      </w:r>
    </w:p>
    <w:p>
      <w:pPr>
        <w:snapToGrid w:val="0"/>
        <w:spacing w:line="360" w:lineRule="auto"/>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4、粮油（大米、面、油）</w:t>
      </w:r>
    </w:p>
    <w:p>
      <w:pPr>
        <w:snapToGrid w:val="0"/>
        <w:spacing w:line="360" w:lineRule="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 xml:space="preserve">（1）供应产品的质量要求： </w:t>
      </w:r>
    </w:p>
    <w:p>
      <w:pPr>
        <w:snapToGrid w:val="0"/>
        <w:spacing w:line="360" w:lineRule="auto"/>
        <w:ind w:firstLine="210" w:firstLineChars="100"/>
        <w:rPr>
          <w:rFonts w:hint="eastAsia" w:ascii="宋体" w:hAnsi="宋体"/>
          <w:color w:val="000000" w:themeColor="text1"/>
          <w:highlight w:val="none"/>
        </w:rPr>
      </w:pPr>
      <w:r>
        <w:rPr>
          <w:rFonts w:hint="eastAsia" w:ascii="宋体" w:hAnsi="宋体" w:cs="宋体"/>
          <w:bCs/>
          <w:color w:val="000000" w:themeColor="text1"/>
          <w:szCs w:val="21"/>
          <w:highlight w:val="none"/>
        </w:rPr>
        <w:t>①米、油货物必须符合卫生，不得有腐烂、变质、油脂酸败、霉变、生虫、污秽不结、混有异物</w:t>
      </w:r>
      <w:r>
        <w:rPr>
          <w:rFonts w:hint="eastAsia" w:ascii="宋体" w:hAnsi="宋体"/>
          <w:bCs/>
          <w:color w:val="000000" w:themeColor="text1"/>
          <w:highlight w:val="none"/>
        </w:rPr>
        <w:t>或者</w:t>
      </w:r>
      <w:r>
        <w:rPr>
          <w:rFonts w:hint="eastAsia" w:ascii="宋体" w:hAnsi="宋体"/>
          <w:color w:val="000000" w:themeColor="text1"/>
          <w:highlight w:val="none"/>
        </w:rPr>
        <w:t>其他感官性状异常，并可能对人体健康有害的物质。</w:t>
      </w:r>
    </w:p>
    <w:p>
      <w:pPr>
        <w:snapToGrid w:val="0"/>
        <w:spacing w:line="360" w:lineRule="auto"/>
        <w:ind w:firstLine="210" w:firstLineChars="100"/>
        <w:rPr>
          <w:rFonts w:hint="eastAsia" w:ascii="宋体" w:hAnsi="宋体"/>
          <w:color w:val="000000" w:themeColor="text1"/>
          <w:highlight w:val="none"/>
        </w:rPr>
      </w:pPr>
      <w:r>
        <w:rPr>
          <w:rFonts w:hint="eastAsia" w:ascii="宋体" w:hAnsi="宋体"/>
          <w:color w:val="000000" w:themeColor="text1"/>
          <w:highlight w:val="none"/>
        </w:rPr>
        <w:t>②米、油要提供SC认证、国家机关发出的产品检验合格证书。包装食品：包装箱完整，同时包装箱要印有注册商标、生产厂家名称、厂址、出厂日期、产品合格证、保质期限、产品成份、厂家电话号码。散装豆类：提供生产厂家营业执照、卫生许可证、国家机关发出的产品检验合格证书。中标供应商所提供产品质量必须要符合行业标准要求，不得有掺假、变质、变味、过期等现象出现，严禁伪劣、假冒、无证不合格物品进入仓库。</w:t>
      </w:r>
    </w:p>
    <w:p>
      <w:pPr>
        <w:snapToGrid w:val="0"/>
        <w:spacing w:line="360" w:lineRule="auto"/>
        <w:ind w:firstLine="210" w:firstLineChars="100"/>
        <w:rPr>
          <w:rFonts w:hint="eastAsia" w:ascii="宋体" w:hAnsi="宋体"/>
          <w:color w:val="000000" w:themeColor="text1"/>
          <w:highlight w:val="none"/>
        </w:rPr>
      </w:pPr>
      <w:r>
        <w:rPr>
          <w:rFonts w:hint="eastAsia" w:ascii="宋体" w:hAnsi="宋体"/>
          <w:color w:val="000000" w:themeColor="text1"/>
          <w:highlight w:val="none"/>
        </w:rPr>
        <w:t>③中标供应商在供应过程中，如果发生出现质量问题或造成食物中毒,如变质等情况，经查实后确属中标供应商责任，中标供应商应承担全部责任，主要包括食物中毒人员医疗费、误工费、事故处理费等，直至追究刑事责任。</w:t>
      </w:r>
    </w:p>
    <w:p>
      <w:pPr>
        <w:snapToGrid w:val="0"/>
        <w:spacing w:line="360" w:lineRule="auto"/>
        <w:ind w:firstLine="210" w:firstLineChars="100"/>
        <w:rPr>
          <w:rFonts w:hint="eastAsia" w:ascii="宋体" w:hAnsi="宋体"/>
          <w:color w:val="000000" w:themeColor="text1"/>
          <w:highlight w:val="none"/>
        </w:rPr>
      </w:pPr>
      <w:r>
        <w:rPr>
          <w:rFonts w:hint="eastAsia" w:ascii="宋体" w:hAnsi="宋体" w:cs="宋体"/>
          <w:color w:val="000000" w:themeColor="text1"/>
          <w:highlight w:val="none"/>
        </w:rPr>
        <w:t>④</w:t>
      </w:r>
      <w:r>
        <w:rPr>
          <w:rFonts w:hint="eastAsia" w:ascii="宋体" w:hAnsi="宋体"/>
          <w:color w:val="000000" w:themeColor="text1"/>
          <w:highlight w:val="none"/>
        </w:rPr>
        <w:t>要求提供的食用油生产厂家信誉良好，有明确的商品标签，有生产日期、保质期、质量等级，并标明初制油的加工工艺(即用浸出法生产，还是用压榨法生产的)和是否用转基因油料生产，不许以次充好、以假充真。如将毛油当一级或二级油进行销售，将低价位的植物油掺入高价位植物油中进行销售，牟取暴利，一经查处，中标供应商将承担全部责任。</w:t>
      </w:r>
    </w:p>
    <w:p>
      <w:pPr>
        <w:pStyle w:val="191"/>
        <w:tabs>
          <w:tab w:val="left" w:pos="545"/>
        </w:tabs>
        <w:ind w:firstLine="0" w:firstLineChars="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1）大米</w:t>
      </w:r>
    </w:p>
    <w:tbl>
      <w:tblPr>
        <w:tblStyle w:val="46"/>
        <w:tblW w:w="9392"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74"/>
        <w:gridCol w:w="1266"/>
        <w:gridCol w:w="7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1074" w:type="dxa"/>
            <w:tcBorders>
              <w:bottom w:val="single" w:color="000000" w:sz="6" w:space="0"/>
              <w:right w:val="single" w:color="000000" w:sz="6" w:space="0"/>
            </w:tcBorders>
            <w:noWrap w:val="0"/>
            <w:vAlign w:val="top"/>
          </w:tcPr>
          <w:p>
            <w:pPr>
              <w:pStyle w:val="306"/>
              <w:spacing w:before="79"/>
              <w:ind w:left="268" w:right="269"/>
              <w:jc w:val="center"/>
              <w:rPr>
                <w:b/>
                <w:color w:val="000000" w:themeColor="text1"/>
                <w:sz w:val="21"/>
                <w:szCs w:val="21"/>
                <w:highlight w:val="none"/>
              </w:rPr>
            </w:pPr>
            <w:r>
              <w:rPr>
                <w:b/>
                <w:color w:val="000000" w:themeColor="text1"/>
                <w:sz w:val="21"/>
                <w:szCs w:val="21"/>
                <w:highlight w:val="none"/>
              </w:rPr>
              <w:t>序号</w:t>
            </w:r>
          </w:p>
        </w:tc>
        <w:tc>
          <w:tcPr>
            <w:tcW w:w="1266" w:type="dxa"/>
            <w:tcBorders>
              <w:left w:val="single" w:color="000000" w:sz="6" w:space="0"/>
              <w:bottom w:val="single" w:color="000000" w:sz="6" w:space="0"/>
              <w:right w:val="single" w:color="000000" w:sz="6" w:space="0"/>
            </w:tcBorders>
            <w:noWrap w:val="0"/>
            <w:vAlign w:val="top"/>
          </w:tcPr>
          <w:p>
            <w:pPr>
              <w:pStyle w:val="306"/>
              <w:spacing w:before="79"/>
              <w:ind w:right="546"/>
              <w:jc w:val="center"/>
              <w:rPr>
                <w:b/>
                <w:color w:val="000000" w:themeColor="text1"/>
                <w:sz w:val="21"/>
                <w:szCs w:val="21"/>
                <w:highlight w:val="none"/>
              </w:rPr>
            </w:pPr>
            <w:r>
              <w:rPr>
                <w:b/>
                <w:color w:val="000000" w:themeColor="text1"/>
                <w:sz w:val="21"/>
                <w:szCs w:val="21"/>
                <w:highlight w:val="none"/>
              </w:rPr>
              <w:t>品名</w:t>
            </w:r>
          </w:p>
        </w:tc>
        <w:tc>
          <w:tcPr>
            <w:tcW w:w="7052" w:type="dxa"/>
            <w:tcBorders>
              <w:left w:val="single" w:color="000000" w:sz="6" w:space="0"/>
              <w:bottom w:val="single" w:color="000000" w:sz="6" w:space="0"/>
            </w:tcBorders>
            <w:noWrap w:val="0"/>
            <w:vAlign w:val="top"/>
          </w:tcPr>
          <w:p>
            <w:pPr>
              <w:pStyle w:val="306"/>
              <w:spacing w:before="79"/>
              <w:ind w:right="3434"/>
              <w:jc w:val="center"/>
              <w:rPr>
                <w:b/>
                <w:color w:val="000000" w:themeColor="text1"/>
                <w:sz w:val="21"/>
                <w:szCs w:val="21"/>
                <w:highlight w:val="none"/>
              </w:rPr>
            </w:pPr>
            <w:r>
              <w:rPr>
                <w:b/>
                <w:color w:val="000000" w:themeColor="text1"/>
                <w:sz w:val="21"/>
                <w:szCs w:val="21"/>
                <w:highlight w:val="none"/>
              </w:rPr>
              <w:t>质量描述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5" w:hRule="atLeast"/>
          <w:jc w:val="center"/>
        </w:trPr>
        <w:tc>
          <w:tcPr>
            <w:tcW w:w="1074" w:type="dxa"/>
            <w:tcBorders>
              <w:top w:val="single" w:color="000000" w:sz="6" w:space="0"/>
              <w:bottom w:val="single" w:color="000000" w:sz="6" w:space="0"/>
              <w:right w:val="single" w:color="000000" w:sz="6" w:space="0"/>
            </w:tcBorders>
            <w:noWrap w:val="0"/>
            <w:vAlign w:val="top"/>
          </w:tcPr>
          <w:p>
            <w:pPr>
              <w:pStyle w:val="306"/>
              <w:spacing w:before="3"/>
              <w:jc w:val="center"/>
              <w:rPr>
                <w:rFonts w:hint="eastAsia"/>
                <w:color w:val="000000" w:themeColor="text1"/>
                <w:szCs w:val="21"/>
                <w:highlight w:val="none"/>
              </w:rPr>
            </w:pPr>
          </w:p>
          <w:p>
            <w:pPr>
              <w:pStyle w:val="306"/>
              <w:spacing w:before="3"/>
              <w:jc w:val="center"/>
              <w:rPr>
                <w:rFonts w:hint="eastAsia"/>
                <w:color w:val="000000" w:themeColor="text1"/>
                <w:szCs w:val="21"/>
                <w:highlight w:val="none"/>
              </w:rPr>
            </w:pPr>
            <w:r>
              <w:rPr>
                <w:rFonts w:hint="eastAsia"/>
                <w:color w:val="000000" w:themeColor="text1"/>
                <w:szCs w:val="21"/>
                <w:highlight w:val="none"/>
              </w:rPr>
              <w:t>1</w:t>
            </w:r>
          </w:p>
        </w:tc>
        <w:tc>
          <w:tcPr>
            <w:tcW w:w="1266"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jc w:val="center"/>
              <w:rPr>
                <w:rFonts w:hint="eastAsia"/>
                <w:color w:val="000000" w:themeColor="text1"/>
                <w:szCs w:val="21"/>
                <w:highlight w:val="none"/>
              </w:rPr>
            </w:pPr>
          </w:p>
          <w:p>
            <w:pPr>
              <w:pStyle w:val="306"/>
              <w:spacing w:before="3"/>
              <w:jc w:val="center"/>
              <w:rPr>
                <w:rFonts w:hint="eastAsia"/>
                <w:color w:val="000000" w:themeColor="text1"/>
                <w:szCs w:val="21"/>
                <w:highlight w:val="none"/>
              </w:rPr>
            </w:pPr>
            <w:r>
              <w:rPr>
                <w:rFonts w:hint="eastAsia"/>
                <w:color w:val="000000" w:themeColor="text1"/>
                <w:szCs w:val="21"/>
                <w:highlight w:val="none"/>
              </w:rPr>
              <w:t>大米</w:t>
            </w:r>
          </w:p>
        </w:tc>
        <w:tc>
          <w:tcPr>
            <w:tcW w:w="7052" w:type="dxa"/>
            <w:tcBorders>
              <w:top w:val="single" w:color="000000" w:sz="6" w:space="0"/>
              <w:left w:val="single" w:color="000000" w:sz="6" w:space="0"/>
              <w:bottom w:val="single" w:color="000000" w:sz="6" w:space="0"/>
            </w:tcBorders>
            <w:noWrap w:val="0"/>
            <w:vAlign w:val="top"/>
          </w:tcPr>
          <w:p>
            <w:pPr>
              <w:pStyle w:val="306"/>
              <w:spacing w:before="3"/>
              <w:rPr>
                <w:rFonts w:hint="eastAsia"/>
                <w:color w:val="000000" w:themeColor="text1"/>
                <w:szCs w:val="21"/>
                <w:highlight w:val="none"/>
              </w:rPr>
            </w:pPr>
            <w:r>
              <w:rPr>
                <w:rFonts w:hint="eastAsia"/>
                <w:color w:val="000000" w:themeColor="text1"/>
                <w:szCs w:val="21"/>
                <w:highlight w:val="none"/>
                <w:lang w:val="en-US"/>
              </w:rPr>
              <w:t>1.</w:t>
            </w:r>
            <w:r>
              <w:rPr>
                <w:rFonts w:hint="eastAsia"/>
                <w:color w:val="000000" w:themeColor="text1"/>
                <w:szCs w:val="21"/>
                <w:highlight w:val="none"/>
              </w:rPr>
              <w:t>大米须达GB/T 1354-2018二级标准，水分含量在12°以下，无掺杂、无沙石，碎米少，无黄粒米；</w:t>
            </w:r>
          </w:p>
          <w:p>
            <w:pPr>
              <w:pStyle w:val="306"/>
              <w:spacing w:before="3"/>
              <w:rPr>
                <w:rFonts w:hint="eastAsia"/>
                <w:color w:val="000000" w:themeColor="text1"/>
                <w:szCs w:val="21"/>
                <w:highlight w:val="none"/>
              </w:rPr>
            </w:pPr>
            <w:r>
              <w:rPr>
                <w:rFonts w:hint="eastAsia"/>
                <w:color w:val="000000" w:themeColor="text1"/>
                <w:szCs w:val="21"/>
                <w:highlight w:val="none"/>
                <w:lang w:val="en-US"/>
              </w:rPr>
              <w:t>2.</w:t>
            </w:r>
            <w:r>
              <w:rPr>
                <w:rFonts w:hint="eastAsia"/>
                <w:color w:val="000000" w:themeColor="text1"/>
                <w:szCs w:val="21"/>
                <w:highlight w:val="none"/>
              </w:rPr>
              <w:t>大米包装袋上印有大米品名、等级、数量、出厂名、厂家地址及其电话。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49" w:hRule="atLeast"/>
          <w:jc w:val="center"/>
        </w:trPr>
        <w:tc>
          <w:tcPr>
            <w:tcW w:w="1074" w:type="dxa"/>
            <w:tcBorders>
              <w:top w:val="single" w:color="000000" w:sz="6" w:space="0"/>
              <w:bottom w:val="single" w:color="000000" w:sz="6" w:space="0"/>
              <w:right w:val="single" w:color="000000" w:sz="6" w:space="0"/>
            </w:tcBorders>
            <w:noWrap w:val="0"/>
            <w:vAlign w:val="top"/>
          </w:tcPr>
          <w:p>
            <w:pPr>
              <w:pStyle w:val="306"/>
              <w:spacing w:before="3"/>
              <w:jc w:val="center"/>
              <w:rPr>
                <w:rFonts w:hint="eastAsia"/>
                <w:color w:val="000000" w:themeColor="text1"/>
                <w:szCs w:val="21"/>
                <w:highlight w:val="none"/>
              </w:rPr>
            </w:pPr>
          </w:p>
          <w:p>
            <w:pPr>
              <w:pStyle w:val="306"/>
              <w:spacing w:before="3"/>
              <w:jc w:val="center"/>
              <w:rPr>
                <w:rFonts w:hint="eastAsia"/>
                <w:color w:val="000000" w:themeColor="text1"/>
                <w:szCs w:val="21"/>
                <w:highlight w:val="none"/>
              </w:rPr>
            </w:pPr>
          </w:p>
          <w:p>
            <w:pPr>
              <w:pStyle w:val="306"/>
              <w:spacing w:before="3"/>
              <w:jc w:val="center"/>
              <w:rPr>
                <w:rFonts w:hint="eastAsia"/>
                <w:color w:val="000000" w:themeColor="text1"/>
                <w:szCs w:val="21"/>
                <w:highlight w:val="none"/>
              </w:rPr>
            </w:pPr>
            <w:r>
              <w:rPr>
                <w:rFonts w:hint="eastAsia"/>
                <w:color w:val="000000" w:themeColor="text1"/>
                <w:szCs w:val="21"/>
                <w:highlight w:val="none"/>
              </w:rPr>
              <w:t>2</w:t>
            </w:r>
          </w:p>
        </w:tc>
        <w:tc>
          <w:tcPr>
            <w:tcW w:w="1266"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jc w:val="center"/>
              <w:rPr>
                <w:rFonts w:hint="eastAsia"/>
                <w:color w:val="000000" w:themeColor="text1"/>
                <w:szCs w:val="21"/>
                <w:highlight w:val="none"/>
              </w:rPr>
            </w:pPr>
          </w:p>
          <w:p>
            <w:pPr>
              <w:pStyle w:val="306"/>
              <w:spacing w:before="3"/>
              <w:jc w:val="center"/>
              <w:rPr>
                <w:rFonts w:hint="eastAsia"/>
                <w:color w:val="000000" w:themeColor="text1"/>
                <w:szCs w:val="21"/>
                <w:highlight w:val="none"/>
              </w:rPr>
            </w:pPr>
          </w:p>
          <w:p>
            <w:pPr>
              <w:pStyle w:val="306"/>
              <w:spacing w:before="3"/>
              <w:jc w:val="center"/>
              <w:rPr>
                <w:rFonts w:hint="eastAsia"/>
                <w:color w:val="000000" w:themeColor="text1"/>
                <w:szCs w:val="21"/>
                <w:highlight w:val="none"/>
              </w:rPr>
            </w:pPr>
            <w:r>
              <w:rPr>
                <w:rFonts w:hint="eastAsia"/>
                <w:color w:val="000000" w:themeColor="text1"/>
                <w:szCs w:val="21"/>
                <w:highlight w:val="none"/>
              </w:rPr>
              <w:t>油</w:t>
            </w:r>
          </w:p>
        </w:tc>
        <w:tc>
          <w:tcPr>
            <w:tcW w:w="7052" w:type="dxa"/>
            <w:tcBorders>
              <w:top w:val="single" w:color="000000" w:sz="6" w:space="0"/>
              <w:left w:val="single" w:color="000000" w:sz="6" w:space="0"/>
              <w:bottom w:val="single" w:color="000000" w:sz="6" w:space="0"/>
            </w:tcBorders>
            <w:noWrap w:val="0"/>
            <w:vAlign w:val="top"/>
          </w:tcPr>
          <w:p>
            <w:pPr>
              <w:pStyle w:val="306"/>
              <w:spacing w:before="3"/>
              <w:rPr>
                <w:rFonts w:hint="eastAsia"/>
                <w:color w:val="000000" w:themeColor="text1"/>
                <w:szCs w:val="21"/>
                <w:highlight w:val="none"/>
              </w:rPr>
            </w:pPr>
            <w:r>
              <w:rPr>
                <w:rFonts w:hint="eastAsia"/>
                <w:color w:val="000000" w:themeColor="text1"/>
                <w:szCs w:val="21"/>
                <w:highlight w:val="none"/>
                <w:lang w:val="en-US"/>
              </w:rPr>
              <w:t>1.</w:t>
            </w:r>
            <w:r>
              <w:rPr>
                <w:rFonts w:hint="eastAsia"/>
                <w:color w:val="000000" w:themeColor="text1"/>
                <w:szCs w:val="21"/>
                <w:highlight w:val="none"/>
              </w:rPr>
              <w:t>按国家食用调和油质量标准SB/T 10292-1998；</w:t>
            </w:r>
          </w:p>
          <w:p>
            <w:pPr>
              <w:pStyle w:val="306"/>
              <w:spacing w:before="3"/>
              <w:rPr>
                <w:rFonts w:hint="eastAsia"/>
                <w:color w:val="000000" w:themeColor="text1"/>
                <w:szCs w:val="21"/>
                <w:highlight w:val="none"/>
              </w:rPr>
            </w:pPr>
            <w:r>
              <w:rPr>
                <w:rFonts w:hint="eastAsia"/>
                <w:color w:val="000000" w:themeColor="text1"/>
                <w:szCs w:val="21"/>
                <w:highlight w:val="none"/>
                <w:lang w:val="en-US"/>
              </w:rPr>
              <w:t>2.</w:t>
            </w:r>
            <w:r>
              <w:rPr>
                <w:rFonts w:hint="eastAsia"/>
                <w:color w:val="000000" w:themeColor="text1"/>
                <w:szCs w:val="21"/>
                <w:highlight w:val="none"/>
              </w:rPr>
              <w:t>有合格检疫报告，外观的色泽、透明度、气味滋味等无异常；</w:t>
            </w:r>
          </w:p>
          <w:p>
            <w:pPr>
              <w:pStyle w:val="306"/>
              <w:spacing w:before="3"/>
              <w:rPr>
                <w:rFonts w:hint="eastAsia"/>
                <w:color w:val="000000" w:themeColor="text1"/>
                <w:szCs w:val="21"/>
                <w:highlight w:val="none"/>
              </w:rPr>
            </w:pPr>
            <w:r>
              <w:rPr>
                <w:rFonts w:hint="eastAsia"/>
                <w:color w:val="000000" w:themeColor="text1"/>
                <w:szCs w:val="21"/>
                <w:highlight w:val="none"/>
                <w:lang w:val="en-US"/>
              </w:rPr>
              <w:t>3.</w:t>
            </w:r>
            <w:r>
              <w:rPr>
                <w:rFonts w:hint="eastAsia"/>
                <w:color w:val="000000" w:themeColor="text1"/>
                <w:szCs w:val="21"/>
                <w:highlight w:val="none"/>
              </w:rPr>
              <w:t>定型包装。</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33" w:hRule="atLeast"/>
          <w:jc w:val="center"/>
        </w:trPr>
        <w:tc>
          <w:tcPr>
            <w:tcW w:w="1074" w:type="dxa"/>
            <w:tcBorders>
              <w:top w:val="single" w:color="000000" w:sz="6" w:space="0"/>
              <w:bottom w:val="single" w:color="000000" w:sz="6" w:space="0"/>
              <w:right w:val="single" w:color="000000" w:sz="6" w:space="0"/>
            </w:tcBorders>
            <w:noWrap w:val="0"/>
            <w:vAlign w:val="top"/>
          </w:tcPr>
          <w:p>
            <w:pPr>
              <w:pStyle w:val="306"/>
              <w:spacing w:before="3"/>
              <w:jc w:val="center"/>
              <w:rPr>
                <w:rFonts w:hint="eastAsia"/>
                <w:color w:val="000000" w:themeColor="text1"/>
                <w:szCs w:val="21"/>
                <w:highlight w:val="none"/>
              </w:rPr>
            </w:pPr>
          </w:p>
          <w:p>
            <w:pPr>
              <w:pStyle w:val="306"/>
              <w:spacing w:before="3"/>
              <w:jc w:val="center"/>
              <w:rPr>
                <w:rFonts w:hint="eastAsia"/>
                <w:color w:val="000000" w:themeColor="text1"/>
                <w:szCs w:val="21"/>
                <w:highlight w:val="none"/>
              </w:rPr>
            </w:pPr>
          </w:p>
          <w:p>
            <w:pPr>
              <w:pStyle w:val="306"/>
              <w:spacing w:before="3"/>
              <w:jc w:val="center"/>
              <w:rPr>
                <w:rFonts w:hint="eastAsia"/>
                <w:color w:val="000000" w:themeColor="text1"/>
                <w:szCs w:val="21"/>
                <w:highlight w:val="none"/>
              </w:rPr>
            </w:pPr>
            <w:r>
              <w:rPr>
                <w:rFonts w:hint="eastAsia"/>
                <w:color w:val="000000" w:themeColor="text1"/>
                <w:szCs w:val="21"/>
                <w:highlight w:val="none"/>
              </w:rPr>
              <w:t>3</w:t>
            </w:r>
          </w:p>
        </w:tc>
        <w:tc>
          <w:tcPr>
            <w:tcW w:w="1266"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jc w:val="center"/>
              <w:rPr>
                <w:rFonts w:hint="eastAsia"/>
                <w:color w:val="000000" w:themeColor="text1"/>
                <w:szCs w:val="21"/>
                <w:highlight w:val="none"/>
              </w:rPr>
            </w:pPr>
          </w:p>
          <w:p>
            <w:pPr>
              <w:pStyle w:val="306"/>
              <w:spacing w:before="3"/>
              <w:jc w:val="center"/>
              <w:rPr>
                <w:rFonts w:hint="eastAsia"/>
                <w:color w:val="000000" w:themeColor="text1"/>
                <w:szCs w:val="21"/>
                <w:highlight w:val="none"/>
              </w:rPr>
            </w:pPr>
            <w:r>
              <w:rPr>
                <w:rFonts w:hint="eastAsia"/>
                <w:color w:val="000000" w:themeColor="text1"/>
                <w:szCs w:val="21"/>
                <w:highlight w:val="none"/>
              </w:rPr>
              <w:t>高筋面粉（含面粉配料）</w:t>
            </w:r>
          </w:p>
        </w:tc>
        <w:tc>
          <w:tcPr>
            <w:tcW w:w="7052" w:type="dxa"/>
            <w:tcBorders>
              <w:top w:val="single" w:color="000000" w:sz="6" w:space="0"/>
              <w:left w:val="single" w:color="000000" w:sz="6" w:space="0"/>
              <w:bottom w:val="single" w:color="000000" w:sz="6" w:space="0"/>
            </w:tcBorders>
            <w:noWrap w:val="0"/>
            <w:vAlign w:val="top"/>
          </w:tcPr>
          <w:p>
            <w:pPr>
              <w:pStyle w:val="306"/>
              <w:spacing w:before="3"/>
              <w:rPr>
                <w:rFonts w:hint="eastAsia"/>
                <w:color w:val="000000" w:themeColor="text1"/>
                <w:szCs w:val="21"/>
                <w:highlight w:val="none"/>
              </w:rPr>
            </w:pPr>
            <w:r>
              <w:rPr>
                <w:rFonts w:hint="eastAsia"/>
                <w:color w:val="000000" w:themeColor="text1"/>
                <w:szCs w:val="21"/>
                <w:highlight w:val="none"/>
                <w:lang w:val="en-US"/>
              </w:rPr>
              <w:t>1.</w:t>
            </w:r>
            <w:r>
              <w:rPr>
                <w:rFonts w:hint="eastAsia"/>
                <w:color w:val="000000" w:themeColor="text1"/>
                <w:szCs w:val="21"/>
                <w:highlight w:val="none"/>
              </w:rPr>
              <w:t>高筋面粉达GB/T 8607-1988国家标准，质量等级一级；</w:t>
            </w:r>
          </w:p>
          <w:p>
            <w:pPr>
              <w:pStyle w:val="306"/>
              <w:spacing w:before="3"/>
              <w:rPr>
                <w:rFonts w:hint="eastAsia"/>
                <w:color w:val="000000" w:themeColor="text1"/>
                <w:szCs w:val="21"/>
                <w:highlight w:val="none"/>
              </w:rPr>
            </w:pPr>
            <w:r>
              <w:rPr>
                <w:rFonts w:hint="eastAsia"/>
                <w:color w:val="000000" w:themeColor="text1"/>
                <w:szCs w:val="21"/>
                <w:highlight w:val="none"/>
                <w:lang w:val="en-US"/>
              </w:rPr>
              <w:t>2.</w:t>
            </w:r>
            <w:r>
              <w:rPr>
                <w:rFonts w:hint="eastAsia"/>
                <w:color w:val="000000" w:themeColor="text1"/>
                <w:szCs w:val="21"/>
                <w:highlight w:val="none"/>
              </w:rPr>
              <w:t>色泽正常，干爽无异味；</w:t>
            </w:r>
          </w:p>
          <w:p>
            <w:pPr>
              <w:pStyle w:val="306"/>
              <w:spacing w:before="3"/>
              <w:rPr>
                <w:rFonts w:hint="eastAsia"/>
                <w:color w:val="000000" w:themeColor="text1"/>
                <w:szCs w:val="21"/>
                <w:highlight w:val="none"/>
              </w:rPr>
            </w:pPr>
            <w:r>
              <w:rPr>
                <w:rFonts w:hint="eastAsia"/>
                <w:color w:val="000000" w:themeColor="text1"/>
                <w:szCs w:val="21"/>
                <w:highlight w:val="none"/>
                <w:lang w:val="en-US"/>
              </w:rPr>
              <w:t>3.</w:t>
            </w:r>
            <w:r>
              <w:rPr>
                <w:rFonts w:hint="eastAsia"/>
                <w:color w:val="000000" w:themeColor="text1"/>
                <w:szCs w:val="21"/>
                <w:highlight w:val="none"/>
              </w:rPr>
              <w:t>按进货量抽查20％，数量按抽查验收实数为准；</w:t>
            </w:r>
          </w:p>
          <w:p>
            <w:pPr>
              <w:pStyle w:val="306"/>
              <w:spacing w:before="3"/>
              <w:rPr>
                <w:rFonts w:hint="eastAsia"/>
                <w:color w:val="000000" w:themeColor="text1"/>
                <w:szCs w:val="21"/>
                <w:highlight w:val="none"/>
              </w:rPr>
            </w:pPr>
            <w:r>
              <w:rPr>
                <w:rFonts w:hint="eastAsia"/>
                <w:color w:val="000000" w:themeColor="text1"/>
                <w:szCs w:val="21"/>
                <w:highlight w:val="none"/>
                <w:lang w:val="en-US"/>
              </w:rPr>
              <w:t>4.</w:t>
            </w:r>
            <w:r>
              <w:rPr>
                <w:rFonts w:hint="eastAsia"/>
                <w:color w:val="000000" w:themeColor="text1"/>
                <w:szCs w:val="21"/>
                <w:highlight w:val="none"/>
              </w:rPr>
              <w:t>包装袋上有注册商标及QS标注，有检验合格证、生产日期和保质期。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31" w:hRule="atLeast"/>
          <w:jc w:val="center"/>
        </w:trPr>
        <w:tc>
          <w:tcPr>
            <w:tcW w:w="1074" w:type="dxa"/>
            <w:tcBorders>
              <w:top w:val="single" w:color="000000" w:sz="6" w:space="0"/>
              <w:right w:val="single" w:color="000000" w:sz="6" w:space="0"/>
            </w:tcBorders>
            <w:noWrap w:val="0"/>
            <w:vAlign w:val="top"/>
          </w:tcPr>
          <w:p>
            <w:pPr>
              <w:pStyle w:val="306"/>
              <w:spacing w:before="3"/>
              <w:jc w:val="center"/>
              <w:rPr>
                <w:rFonts w:hint="eastAsia"/>
                <w:color w:val="000000" w:themeColor="text1"/>
                <w:szCs w:val="21"/>
                <w:highlight w:val="none"/>
              </w:rPr>
            </w:pPr>
          </w:p>
          <w:p>
            <w:pPr>
              <w:pStyle w:val="306"/>
              <w:spacing w:before="3"/>
              <w:jc w:val="center"/>
              <w:rPr>
                <w:rFonts w:hint="eastAsia"/>
                <w:color w:val="000000" w:themeColor="text1"/>
                <w:szCs w:val="21"/>
                <w:highlight w:val="none"/>
              </w:rPr>
            </w:pPr>
          </w:p>
          <w:p>
            <w:pPr>
              <w:pStyle w:val="306"/>
              <w:spacing w:before="3"/>
              <w:jc w:val="center"/>
              <w:rPr>
                <w:rFonts w:hint="eastAsia"/>
                <w:color w:val="000000" w:themeColor="text1"/>
                <w:szCs w:val="21"/>
                <w:highlight w:val="none"/>
              </w:rPr>
            </w:pPr>
            <w:r>
              <w:rPr>
                <w:rFonts w:hint="eastAsia"/>
                <w:color w:val="000000" w:themeColor="text1"/>
                <w:szCs w:val="21"/>
                <w:highlight w:val="none"/>
              </w:rPr>
              <w:t>4</w:t>
            </w:r>
          </w:p>
        </w:tc>
        <w:tc>
          <w:tcPr>
            <w:tcW w:w="1266" w:type="dxa"/>
            <w:tcBorders>
              <w:top w:val="single" w:color="000000" w:sz="6" w:space="0"/>
              <w:left w:val="single" w:color="000000" w:sz="6" w:space="0"/>
              <w:right w:val="single" w:color="000000" w:sz="6" w:space="0"/>
            </w:tcBorders>
            <w:noWrap w:val="0"/>
            <w:vAlign w:val="top"/>
          </w:tcPr>
          <w:p>
            <w:pPr>
              <w:pStyle w:val="306"/>
              <w:spacing w:before="3"/>
              <w:jc w:val="center"/>
              <w:rPr>
                <w:rFonts w:hint="eastAsia"/>
                <w:color w:val="000000" w:themeColor="text1"/>
                <w:szCs w:val="21"/>
                <w:highlight w:val="none"/>
              </w:rPr>
            </w:pPr>
          </w:p>
          <w:p>
            <w:pPr>
              <w:pStyle w:val="306"/>
              <w:spacing w:before="3"/>
              <w:jc w:val="center"/>
              <w:rPr>
                <w:rFonts w:hint="eastAsia"/>
                <w:color w:val="000000" w:themeColor="text1"/>
                <w:szCs w:val="21"/>
                <w:highlight w:val="none"/>
              </w:rPr>
            </w:pPr>
            <w:r>
              <w:rPr>
                <w:rFonts w:hint="eastAsia"/>
                <w:color w:val="000000" w:themeColor="text1"/>
                <w:szCs w:val="21"/>
                <w:highlight w:val="none"/>
              </w:rPr>
              <w:t>低筋面粉（含面粉配料）</w:t>
            </w:r>
          </w:p>
        </w:tc>
        <w:tc>
          <w:tcPr>
            <w:tcW w:w="7052" w:type="dxa"/>
            <w:tcBorders>
              <w:top w:val="single" w:color="000000" w:sz="6" w:space="0"/>
              <w:left w:val="single" w:color="000000" w:sz="6" w:space="0"/>
            </w:tcBorders>
            <w:noWrap w:val="0"/>
            <w:vAlign w:val="top"/>
          </w:tcPr>
          <w:p>
            <w:pPr>
              <w:pStyle w:val="306"/>
              <w:spacing w:before="3"/>
              <w:rPr>
                <w:rFonts w:hint="eastAsia"/>
                <w:color w:val="000000" w:themeColor="text1"/>
                <w:szCs w:val="21"/>
                <w:highlight w:val="none"/>
              </w:rPr>
            </w:pPr>
            <w:r>
              <w:rPr>
                <w:rFonts w:hint="eastAsia"/>
                <w:color w:val="000000" w:themeColor="text1"/>
                <w:szCs w:val="21"/>
                <w:highlight w:val="none"/>
                <w:lang w:val="en-US"/>
              </w:rPr>
              <w:t>1.</w:t>
            </w:r>
            <w:r>
              <w:rPr>
                <w:rFonts w:hint="eastAsia"/>
                <w:color w:val="000000" w:themeColor="text1"/>
                <w:szCs w:val="21"/>
                <w:highlight w:val="none"/>
              </w:rPr>
              <w:t>低筋面粉达GB/T 8608-1988标准，质量等级一级；</w:t>
            </w:r>
          </w:p>
          <w:p>
            <w:pPr>
              <w:pStyle w:val="306"/>
              <w:spacing w:before="3"/>
              <w:rPr>
                <w:rFonts w:hint="eastAsia"/>
                <w:color w:val="000000" w:themeColor="text1"/>
                <w:szCs w:val="21"/>
                <w:highlight w:val="none"/>
              </w:rPr>
            </w:pPr>
            <w:r>
              <w:rPr>
                <w:rFonts w:hint="eastAsia"/>
                <w:color w:val="000000" w:themeColor="text1"/>
                <w:szCs w:val="21"/>
                <w:highlight w:val="none"/>
                <w:lang w:val="en-US"/>
              </w:rPr>
              <w:t>2.</w:t>
            </w:r>
            <w:r>
              <w:rPr>
                <w:rFonts w:hint="eastAsia"/>
                <w:color w:val="000000" w:themeColor="text1"/>
                <w:szCs w:val="21"/>
                <w:highlight w:val="none"/>
              </w:rPr>
              <w:t>色泽正常，干爽无异味；</w:t>
            </w:r>
          </w:p>
          <w:p>
            <w:pPr>
              <w:pStyle w:val="306"/>
              <w:spacing w:before="3"/>
              <w:rPr>
                <w:rFonts w:hint="eastAsia"/>
                <w:color w:val="000000" w:themeColor="text1"/>
                <w:szCs w:val="21"/>
                <w:highlight w:val="none"/>
              </w:rPr>
            </w:pPr>
            <w:r>
              <w:rPr>
                <w:rFonts w:hint="eastAsia"/>
                <w:color w:val="000000" w:themeColor="text1"/>
                <w:szCs w:val="21"/>
                <w:highlight w:val="none"/>
                <w:lang w:val="en-US"/>
              </w:rPr>
              <w:t>3.</w:t>
            </w:r>
            <w:r>
              <w:rPr>
                <w:rFonts w:hint="eastAsia"/>
                <w:color w:val="000000" w:themeColor="text1"/>
                <w:szCs w:val="21"/>
                <w:highlight w:val="none"/>
              </w:rPr>
              <w:t>按进货量抽查20％，数量按抽查验收实数为准；</w:t>
            </w:r>
          </w:p>
          <w:p>
            <w:pPr>
              <w:pStyle w:val="306"/>
              <w:spacing w:before="3"/>
              <w:rPr>
                <w:rFonts w:hint="eastAsia"/>
                <w:color w:val="000000" w:themeColor="text1"/>
                <w:szCs w:val="21"/>
                <w:highlight w:val="none"/>
              </w:rPr>
            </w:pPr>
            <w:r>
              <w:rPr>
                <w:rFonts w:hint="eastAsia"/>
                <w:color w:val="000000" w:themeColor="text1"/>
                <w:szCs w:val="21"/>
                <w:highlight w:val="none"/>
                <w:lang w:val="en-US"/>
              </w:rPr>
              <w:t>4.</w:t>
            </w:r>
            <w:r>
              <w:rPr>
                <w:rFonts w:hint="eastAsia"/>
                <w:color w:val="000000" w:themeColor="text1"/>
                <w:szCs w:val="21"/>
                <w:highlight w:val="none"/>
              </w:rPr>
              <w:t>包装袋上有注册商标及QS标注，有检验合格证、生产日期和保质期。</w:t>
            </w:r>
          </w:p>
        </w:tc>
      </w:tr>
    </w:tbl>
    <w:p>
      <w:pPr>
        <w:pStyle w:val="191"/>
        <w:tabs>
          <w:tab w:val="left" w:pos="545"/>
        </w:tabs>
        <w:spacing w:before="86"/>
        <w:ind w:left="420" w:leftChars="200" w:firstLine="0" w:firstLineChars="0"/>
        <w:jc w:val="left"/>
        <w:rPr>
          <w:color w:val="000000" w:themeColor="text1"/>
          <w:sz w:val="15"/>
          <w:highlight w:val="none"/>
        </w:rPr>
      </w:pPr>
      <w:r>
        <w:rPr>
          <w:color w:val="000000" w:themeColor="text1"/>
          <w:szCs w:val="21"/>
          <w:highlight w:val="none"/>
        </w:rPr>
        <w:t>大米检测标准要求</w:t>
      </w:r>
    </w:p>
    <w:tbl>
      <w:tblPr>
        <w:tblStyle w:val="46"/>
        <w:tblW w:w="906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0"/>
        <w:gridCol w:w="2156"/>
        <w:gridCol w:w="1988"/>
        <w:gridCol w:w="39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b/>
                <w:bCs/>
                <w:color w:val="000000" w:themeColor="text1"/>
                <w:highlight w:val="none"/>
              </w:rPr>
            </w:pPr>
            <w:r>
              <w:rPr>
                <w:rFonts w:hint="eastAsia" w:ascii="宋体" w:hAnsi="宋体" w:cs="宋体"/>
                <w:b/>
                <w:bCs/>
                <w:color w:val="000000" w:themeColor="text1"/>
                <w:highlight w:val="none"/>
              </w:rPr>
              <w:t>序号</w:t>
            </w:r>
          </w:p>
        </w:tc>
        <w:tc>
          <w:tcPr>
            <w:tcW w:w="4144" w:type="dxa"/>
            <w:gridSpan w:val="2"/>
            <w:noWrap w:val="0"/>
            <w:vAlign w:val="center"/>
          </w:tcPr>
          <w:p>
            <w:pPr>
              <w:jc w:val="center"/>
              <w:rPr>
                <w:rFonts w:hint="eastAsia" w:ascii="宋体" w:hAnsi="宋体" w:cs="宋体"/>
                <w:b/>
                <w:bCs/>
                <w:color w:val="000000" w:themeColor="text1"/>
                <w:highlight w:val="none"/>
              </w:rPr>
            </w:pPr>
            <w:r>
              <w:rPr>
                <w:rFonts w:hint="eastAsia" w:ascii="宋体" w:hAnsi="宋体" w:cs="宋体"/>
                <w:b/>
                <w:bCs/>
                <w:color w:val="000000" w:themeColor="text1"/>
                <w:highlight w:val="none"/>
              </w:rPr>
              <w:t>内容</w:t>
            </w:r>
          </w:p>
        </w:tc>
        <w:tc>
          <w:tcPr>
            <w:tcW w:w="3987" w:type="dxa"/>
            <w:noWrap w:val="0"/>
            <w:vAlign w:val="center"/>
          </w:tcPr>
          <w:p>
            <w:pPr>
              <w:jc w:val="center"/>
              <w:rPr>
                <w:rFonts w:hint="eastAsia" w:ascii="宋体" w:hAnsi="宋体" w:cs="宋体"/>
                <w:b/>
                <w:bCs/>
                <w:color w:val="000000" w:themeColor="text1"/>
                <w:highlight w:val="none"/>
              </w:rPr>
            </w:pPr>
            <w:r>
              <w:rPr>
                <w:rFonts w:hint="eastAsia" w:ascii="宋体" w:hAnsi="宋体" w:cs="宋体"/>
                <w:b/>
                <w:bCs/>
                <w:color w:val="000000" w:themeColor="text1"/>
                <w:highlight w:val="none"/>
              </w:rPr>
              <w:t>质量标准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加工精度</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符合二等品或以上要求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2</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不完善粒</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3</w:t>
            </w:r>
          </w:p>
        </w:tc>
        <w:tc>
          <w:tcPr>
            <w:tcW w:w="2156" w:type="dxa"/>
            <w:vMerge w:val="restart"/>
            <w:noWrap w:val="0"/>
            <w:vAlign w:val="center"/>
          </w:tcPr>
          <w:p>
            <w:pPr>
              <w:jc w:val="center"/>
              <w:rPr>
                <w:rFonts w:hint="eastAsia" w:ascii="宋体" w:hAnsi="宋体" w:cs="宋体"/>
                <w:color w:val="000000" w:themeColor="text1"/>
                <w:highlight w:val="none"/>
              </w:rPr>
            </w:pPr>
          </w:p>
          <w:p>
            <w:pPr>
              <w:jc w:val="center"/>
              <w:rPr>
                <w:rFonts w:hint="eastAsia" w:ascii="宋体" w:hAnsi="宋体" w:cs="宋体"/>
                <w:color w:val="000000" w:themeColor="text1"/>
                <w:highlight w:val="none"/>
              </w:rPr>
            </w:pPr>
          </w:p>
          <w:p>
            <w:pPr>
              <w:jc w:val="center"/>
              <w:rPr>
                <w:rFonts w:hint="eastAsia" w:ascii="宋体" w:hAnsi="宋体" w:cs="宋体"/>
                <w:color w:val="000000" w:themeColor="text1"/>
                <w:highlight w:val="none"/>
              </w:rPr>
            </w:pPr>
          </w:p>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最大限度杂质</w:t>
            </w:r>
          </w:p>
        </w:tc>
        <w:tc>
          <w:tcPr>
            <w:tcW w:w="1988"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总量</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4</w:t>
            </w:r>
          </w:p>
        </w:tc>
        <w:tc>
          <w:tcPr>
            <w:tcW w:w="2156" w:type="dxa"/>
            <w:vMerge w:val="continue"/>
            <w:tcBorders>
              <w:top w:val="nil"/>
            </w:tcBorders>
            <w:noWrap w:val="0"/>
            <w:vAlign w:val="center"/>
          </w:tcPr>
          <w:p>
            <w:pPr>
              <w:jc w:val="center"/>
              <w:rPr>
                <w:rFonts w:hint="eastAsia" w:ascii="宋体" w:hAnsi="宋体" w:cs="宋体"/>
                <w:color w:val="000000" w:themeColor="text1"/>
                <w:highlight w:val="none"/>
              </w:rPr>
            </w:pPr>
          </w:p>
        </w:tc>
        <w:tc>
          <w:tcPr>
            <w:tcW w:w="1988"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糠粉</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5</w:t>
            </w:r>
          </w:p>
        </w:tc>
        <w:tc>
          <w:tcPr>
            <w:tcW w:w="2156" w:type="dxa"/>
            <w:vMerge w:val="continue"/>
            <w:tcBorders>
              <w:top w:val="nil"/>
            </w:tcBorders>
            <w:noWrap w:val="0"/>
            <w:vAlign w:val="center"/>
          </w:tcPr>
          <w:p>
            <w:pPr>
              <w:jc w:val="center"/>
              <w:rPr>
                <w:rFonts w:hint="eastAsia" w:ascii="宋体" w:hAnsi="宋体" w:cs="宋体"/>
                <w:color w:val="000000" w:themeColor="text1"/>
                <w:highlight w:val="none"/>
              </w:rPr>
            </w:pPr>
          </w:p>
        </w:tc>
        <w:tc>
          <w:tcPr>
            <w:tcW w:w="1988"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矿物质</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6</w:t>
            </w:r>
          </w:p>
        </w:tc>
        <w:tc>
          <w:tcPr>
            <w:tcW w:w="2156" w:type="dxa"/>
            <w:vMerge w:val="continue"/>
            <w:tcBorders>
              <w:top w:val="nil"/>
            </w:tcBorders>
            <w:noWrap w:val="0"/>
            <w:vAlign w:val="center"/>
          </w:tcPr>
          <w:p>
            <w:pPr>
              <w:jc w:val="center"/>
              <w:rPr>
                <w:rFonts w:hint="eastAsia" w:ascii="宋体" w:hAnsi="宋体" w:cs="宋体"/>
                <w:color w:val="000000" w:themeColor="text1"/>
                <w:highlight w:val="none"/>
              </w:rPr>
            </w:pPr>
          </w:p>
        </w:tc>
        <w:tc>
          <w:tcPr>
            <w:tcW w:w="1988"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 xml:space="preserve">带壳稞 </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≤70粒/kg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7</w:t>
            </w:r>
          </w:p>
        </w:tc>
        <w:tc>
          <w:tcPr>
            <w:tcW w:w="2156" w:type="dxa"/>
            <w:vMerge w:val="continue"/>
            <w:tcBorders>
              <w:top w:val="nil"/>
            </w:tcBorders>
            <w:noWrap w:val="0"/>
            <w:vAlign w:val="center"/>
          </w:tcPr>
          <w:p>
            <w:pPr>
              <w:jc w:val="center"/>
              <w:rPr>
                <w:rFonts w:hint="eastAsia" w:ascii="宋体" w:hAnsi="宋体" w:cs="宋体"/>
                <w:color w:val="000000" w:themeColor="text1"/>
                <w:highlight w:val="none"/>
              </w:rPr>
            </w:pPr>
          </w:p>
        </w:tc>
        <w:tc>
          <w:tcPr>
            <w:tcW w:w="1988"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 xml:space="preserve">稻谷粒 </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≤16粒/kg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8</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碎米总量</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9</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小碎米</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10</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黄粒米</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11</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水份</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12</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 xml:space="preserve">六六六 </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≤0.05mg/kg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13</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 xml:space="preserve">滴滴涕 </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≤0.05mg/kg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14</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色泽、气味、口味</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正常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15</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标签检验</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符合 GB2715-2016 标准第九款要求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16</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镉</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≤0.2mg/kg</w:t>
            </w:r>
          </w:p>
        </w:tc>
      </w:tr>
    </w:tbl>
    <w:p>
      <w:pPr>
        <w:pStyle w:val="191"/>
        <w:tabs>
          <w:tab w:val="left" w:pos="545"/>
        </w:tabs>
        <w:spacing w:before="86"/>
        <w:ind w:firstLine="0" w:firstLineChars="0"/>
        <w:jc w:val="left"/>
        <w:rPr>
          <w:color w:val="000000" w:themeColor="text1"/>
          <w:szCs w:val="21"/>
          <w:highlight w:val="none"/>
        </w:rPr>
      </w:pPr>
      <w:r>
        <w:rPr>
          <w:rFonts w:hint="eastAsia" w:ascii="宋体" w:hAnsi="宋体" w:cs="宋体"/>
          <w:color w:val="000000" w:themeColor="text1"/>
          <w:szCs w:val="21"/>
          <w:highlight w:val="none"/>
        </w:rPr>
        <w:t>2）特</w:t>
      </w:r>
      <w:r>
        <w:rPr>
          <w:color w:val="000000" w:themeColor="text1"/>
          <w:szCs w:val="21"/>
          <w:highlight w:val="none"/>
        </w:rPr>
        <w:t>一级面粉理化指标</w:t>
      </w:r>
    </w:p>
    <w:tbl>
      <w:tblPr>
        <w:tblStyle w:val="46"/>
        <w:tblW w:w="9175"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185"/>
        <w:gridCol w:w="499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4185" w:type="dxa"/>
            <w:tcBorders>
              <w:bottom w:val="single" w:color="000000" w:sz="6" w:space="0"/>
              <w:right w:val="single" w:color="000000" w:sz="6" w:space="0"/>
            </w:tcBorders>
            <w:noWrap w:val="0"/>
            <w:vAlign w:val="top"/>
          </w:tcPr>
          <w:p>
            <w:pPr>
              <w:pStyle w:val="306"/>
              <w:spacing w:before="79"/>
              <w:ind w:left="948" w:right="949"/>
              <w:jc w:val="center"/>
              <w:rPr>
                <w:b/>
                <w:color w:val="000000" w:themeColor="text1"/>
                <w:szCs w:val="21"/>
                <w:highlight w:val="none"/>
              </w:rPr>
            </w:pPr>
            <w:r>
              <w:rPr>
                <w:b/>
                <w:color w:val="000000" w:themeColor="text1"/>
                <w:szCs w:val="21"/>
                <w:highlight w:val="none"/>
              </w:rPr>
              <w:t>项目</w:t>
            </w:r>
          </w:p>
        </w:tc>
        <w:tc>
          <w:tcPr>
            <w:tcW w:w="4990" w:type="dxa"/>
            <w:tcBorders>
              <w:left w:val="single" w:color="000000" w:sz="6" w:space="0"/>
              <w:bottom w:val="single" w:color="000000" w:sz="6" w:space="0"/>
            </w:tcBorders>
            <w:noWrap w:val="0"/>
            <w:vAlign w:val="top"/>
          </w:tcPr>
          <w:p>
            <w:pPr>
              <w:pStyle w:val="306"/>
              <w:spacing w:before="79"/>
              <w:ind w:left="1015" w:right="1013"/>
              <w:jc w:val="center"/>
              <w:rPr>
                <w:b/>
                <w:color w:val="000000" w:themeColor="text1"/>
                <w:szCs w:val="21"/>
                <w:highlight w:val="none"/>
              </w:rPr>
            </w:pPr>
            <w:r>
              <w:rPr>
                <w:b/>
                <w:color w:val="000000" w:themeColor="text1"/>
                <w:szCs w:val="21"/>
                <w:highlight w:val="none"/>
              </w:rPr>
              <w:t>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pStyle w:val="306"/>
              <w:spacing w:before="80"/>
              <w:ind w:left="968" w:right="949"/>
              <w:jc w:val="center"/>
              <w:rPr>
                <w:color w:val="000000" w:themeColor="text1"/>
                <w:szCs w:val="21"/>
                <w:highlight w:val="none"/>
              </w:rPr>
            </w:pPr>
            <w:r>
              <w:rPr>
                <w:color w:val="000000" w:themeColor="text1"/>
                <w:szCs w:val="21"/>
                <w:highlight w:val="none"/>
              </w:rPr>
              <w:t>加工精度</w:t>
            </w:r>
          </w:p>
        </w:tc>
        <w:tc>
          <w:tcPr>
            <w:tcW w:w="4990" w:type="dxa"/>
            <w:tcBorders>
              <w:top w:val="single" w:color="000000" w:sz="6" w:space="0"/>
              <w:left w:val="single" w:color="000000" w:sz="6" w:space="0"/>
              <w:bottom w:val="single" w:color="000000" w:sz="6" w:space="0"/>
            </w:tcBorders>
            <w:noWrap w:val="0"/>
            <w:vAlign w:val="top"/>
          </w:tcPr>
          <w:p>
            <w:pPr>
              <w:pStyle w:val="306"/>
              <w:spacing w:before="80"/>
              <w:ind w:left="968" w:right="949"/>
              <w:jc w:val="center"/>
              <w:rPr>
                <w:color w:val="000000" w:themeColor="text1"/>
                <w:szCs w:val="21"/>
                <w:highlight w:val="none"/>
              </w:rPr>
            </w:pPr>
            <w:r>
              <w:rPr>
                <w:color w:val="000000" w:themeColor="text1"/>
                <w:szCs w:val="21"/>
                <w:highlight w:val="none"/>
              </w:rPr>
              <w:t>粉色合格，麸星合格</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4185" w:type="dxa"/>
            <w:tcBorders>
              <w:top w:val="single" w:color="000000" w:sz="6" w:space="0"/>
              <w:bottom w:val="single" w:color="000000" w:sz="6" w:space="0"/>
              <w:right w:val="single" w:color="000000" w:sz="6" w:space="0"/>
            </w:tcBorders>
            <w:noWrap w:val="0"/>
            <w:vAlign w:val="top"/>
          </w:tcPr>
          <w:p>
            <w:pPr>
              <w:pStyle w:val="306"/>
              <w:spacing w:before="80"/>
              <w:ind w:left="968" w:right="949"/>
              <w:jc w:val="center"/>
              <w:rPr>
                <w:color w:val="000000" w:themeColor="text1"/>
                <w:szCs w:val="21"/>
                <w:highlight w:val="none"/>
              </w:rPr>
            </w:pPr>
            <w:r>
              <w:rPr>
                <w:color w:val="000000" w:themeColor="text1"/>
                <w:szCs w:val="21"/>
                <w:highlight w:val="none"/>
              </w:rPr>
              <w:t>粗细度</w:t>
            </w:r>
          </w:p>
        </w:tc>
        <w:tc>
          <w:tcPr>
            <w:tcW w:w="4990" w:type="dxa"/>
            <w:tcBorders>
              <w:top w:val="single" w:color="000000" w:sz="6" w:space="0"/>
              <w:left w:val="single" w:color="000000" w:sz="6" w:space="0"/>
              <w:bottom w:val="single" w:color="000000" w:sz="6" w:space="0"/>
            </w:tcBorders>
            <w:noWrap w:val="0"/>
            <w:vAlign w:val="top"/>
          </w:tcPr>
          <w:p>
            <w:pPr>
              <w:pStyle w:val="306"/>
              <w:spacing w:before="80"/>
              <w:ind w:right="348" w:rightChars="0"/>
              <w:rPr>
                <w:color w:val="000000" w:themeColor="text1"/>
                <w:szCs w:val="21"/>
                <w:highlight w:val="none"/>
              </w:rPr>
            </w:pPr>
            <w:r>
              <w:rPr>
                <w:color w:val="000000" w:themeColor="text1"/>
                <w:szCs w:val="21"/>
                <w:highlight w:val="none"/>
              </w:rPr>
              <w:t>GB36号全部通过；GB42晒留存量不超</w:t>
            </w:r>
            <w:r>
              <w:rPr>
                <w:rFonts w:hint="eastAsia"/>
                <w:color w:val="000000" w:themeColor="text1"/>
                <w:szCs w:val="21"/>
                <w:highlight w:val="none"/>
              </w:rPr>
              <w:t>过</w:t>
            </w:r>
            <w:r>
              <w:rPr>
                <w:color w:val="000000" w:themeColor="text1"/>
                <w:szCs w:val="21"/>
                <w:highlight w:val="none"/>
              </w:rPr>
              <w:t>10.0%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4185" w:type="dxa"/>
            <w:tcBorders>
              <w:top w:val="single" w:color="000000" w:sz="6" w:space="0"/>
              <w:bottom w:val="single" w:color="000000" w:sz="6" w:space="0"/>
              <w:right w:val="single" w:color="000000" w:sz="6" w:space="0"/>
            </w:tcBorders>
            <w:noWrap w:val="0"/>
            <w:vAlign w:val="top"/>
          </w:tcPr>
          <w:p>
            <w:pPr>
              <w:pStyle w:val="306"/>
              <w:spacing w:before="80"/>
              <w:ind w:left="968" w:right="949"/>
              <w:jc w:val="center"/>
              <w:rPr>
                <w:color w:val="000000" w:themeColor="text1"/>
                <w:szCs w:val="21"/>
                <w:highlight w:val="none"/>
              </w:rPr>
            </w:pPr>
            <w:r>
              <w:rPr>
                <w:color w:val="000000" w:themeColor="text1"/>
                <w:szCs w:val="21"/>
                <w:highlight w:val="none"/>
              </w:rPr>
              <w:t>面筋质（以湿重计）</w:t>
            </w:r>
          </w:p>
        </w:tc>
        <w:tc>
          <w:tcPr>
            <w:tcW w:w="4990" w:type="dxa"/>
            <w:tcBorders>
              <w:top w:val="single" w:color="000000" w:sz="6" w:space="0"/>
              <w:left w:val="single" w:color="000000" w:sz="6" w:space="0"/>
              <w:bottom w:val="single" w:color="000000" w:sz="6" w:space="0"/>
            </w:tcBorders>
            <w:noWrap w:val="0"/>
            <w:vAlign w:val="top"/>
          </w:tcPr>
          <w:p>
            <w:pPr>
              <w:pStyle w:val="306"/>
              <w:spacing w:before="80"/>
              <w:ind w:left="968" w:right="949"/>
              <w:jc w:val="center"/>
              <w:rPr>
                <w:color w:val="000000" w:themeColor="text1"/>
                <w:szCs w:val="21"/>
                <w:highlight w:val="none"/>
              </w:rPr>
            </w:pPr>
            <w:r>
              <w:rPr>
                <w:color w:val="000000" w:themeColor="text1"/>
                <w:szCs w:val="21"/>
                <w:highlight w:val="none"/>
              </w:rPr>
              <w:t>≥26.0%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2" w:hRule="atLeast"/>
          <w:jc w:val="center"/>
        </w:trPr>
        <w:tc>
          <w:tcPr>
            <w:tcW w:w="4185" w:type="dxa"/>
            <w:tcBorders>
              <w:top w:val="single" w:color="000000" w:sz="6" w:space="0"/>
              <w:bottom w:val="single" w:color="000000" w:sz="6" w:space="0"/>
              <w:right w:val="single" w:color="000000" w:sz="6" w:space="0"/>
            </w:tcBorders>
            <w:noWrap w:val="0"/>
            <w:vAlign w:val="top"/>
          </w:tcPr>
          <w:p>
            <w:pPr>
              <w:pStyle w:val="306"/>
              <w:spacing w:before="80"/>
              <w:ind w:left="968" w:right="949"/>
              <w:jc w:val="center"/>
              <w:rPr>
                <w:color w:val="000000" w:themeColor="text1"/>
                <w:szCs w:val="21"/>
                <w:highlight w:val="none"/>
              </w:rPr>
            </w:pPr>
            <w:r>
              <w:rPr>
                <w:color w:val="000000" w:themeColor="text1"/>
                <w:szCs w:val="21"/>
                <w:highlight w:val="none"/>
              </w:rPr>
              <w:t>含砂量</w:t>
            </w:r>
          </w:p>
        </w:tc>
        <w:tc>
          <w:tcPr>
            <w:tcW w:w="4990" w:type="dxa"/>
            <w:tcBorders>
              <w:top w:val="single" w:color="000000" w:sz="6" w:space="0"/>
              <w:left w:val="single" w:color="000000" w:sz="6" w:space="0"/>
              <w:bottom w:val="single" w:color="000000" w:sz="6" w:space="0"/>
            </w:tcBorders>
            <w:noWrap w:val="0"/>
            <w:vAlign w:val="top"/>
          </w:tcPr>
          <w:p>
            <w:pPr>
              <w:pStyle w:val="306"/>
              <w:spacing w:before="80"/>
              <w:ind w:left="968" w:right="949"/>
              <w:jc w:val="center"/>
              <w:rPr>
                <w:color w:val="000000" w:themeColor="text1"/>
                <w:szCs w:val="21"/>
                <w:highlight w:val="none"/>
              </w:rPr>
            </w:pPr>
            <w:r>
              <w:rPr>
                <w:color w:val="000000" w:themeColor="text1"/>
                <w:szCs w:val="21"/>
                <w:highlight w:val="none"/>
              </w:rPr>
              <w:t>≤0.02%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pStyle w:val="306"/>
              <w:spacing w:before="80"/>
              <w:ind w:left="968" w:right="949"/>
              <w:jc w:val="center"/>
              <w:rPr>
                <w:color w:val="000000" w:themeColor="text1"/>
                <w:szCs w:val="21"/>
                <w:highlight w:val="none"/>
              </w:rPr>
            </w:pPr>
            <w:r>
              <w:rPr>
                <w:color w:val="000000" w:themeColor="text1"/>
                <w:szCs w:val="21"/>
                <w:highlight w:val="none"/>
              </w:rPr>
              <w:t>灰分（以干物质计）</w:t>
            </w:r>
          </w:p>
        </w:tc>
        <w:tc>
          <w:tcPr>
            <w:tcW w:w="4990" w:type="dxa"/>
            <w:tcBorders>
              <w:top w:val="single" w:color="000000" w:sz="6" w:space="0"/>
              <w:left w:val="single" w:color="000000" w:sz="6" w:space="0"/>
              <w:bottom w:val="single" w:color="000000" w:sz="6" w:space="0"/>
            </w:tcBorders>
            <w:noWrap w:val="0"/>
            <w:vAlign w:val="top"/>
          </w:tcPr>
          <w:p>
            <w:pPr>
              <w:pStyle w:val="306"/>
              <w:spacing w:before="80"/>
              <w:ind w:left="968" w:right="949"/>
              <w:jc w:val="center"/>
              <w:rPr>
                <w:color w:val="000000" w:themeColor="text1"/>
                <w:szCs w:val="21"/>
                <w:highlight w:val="none"/>
              </w:rPr>
            </w:pPr>
            <w:r>
              <w:rPr>
                <w:color w:val="000000" w:themeColor="text1"/>
                <w:szCs w:val="21"/>
                <w:highlight w:val="none"/>
              </w:rPr>
              <w:t>≤0.70%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pStyle w:val="306"/>
              <w:spacing w:before="80"/>
              <w:ind w:left="968" w:right="949"/>
              <w:jc w:val="center"/>
              <w:rPr>
                <w:color w:val="000000" w:themeColor="text1"/>
                <w:szCs w:val="21"/>
                <w:highlight w:val="none"/>
              </w:rPr>
            </w:pPr>
            <w:r>
              <w:rPr>
                <w:color w:val="000000" w:themeColor="text1"/>
                <w:szCs w:val="21"/>
                <w:highlight w:val="none"/>
              </w:rPr>
              <w:t>水分</w:t>
            </w:r>
          </w:p>
        </w:tc>
        <w:tc>
          <w:tcPr>
            <w:tcW w:w="4990" w:type="dxa"/>
            <w:tcBorders>
              <w:top w:val="single" w:color="000000" w:sz="6" w:space="0"/>
              <w:left w:val="single" w:color="000000" w:sz="6" w:space="0"/>
              <w:bottom w:val="single" w:color="000000" w:sz="6" w:space="0"/>
            </w:tcBorders>
            <w:noWrap w:val="0"/>
            <w:vAlign w:val="top"/>
          </w:tcPr>
          <w:p>
            <w:pPr>
              <w:pStyle w:val="306"/>
              <w:spacing w:before="80"/>
              <w:ind w:left="968" w:right="949"/>
              <w:jc w:val="center"/>
              <w:rPr>
                <w:color w:val="000000" w:themeColor="text1"/>
                <w:szCs w:val="21"/>
                <w:highlight w:val="none"/>
              </w:rPr>
            </w:pPr>
            <w:r>
              <w:rPr>
                <w:color w:val="000000" w:themeColor="text1"/>
                <w:szCs w:val="21"/>
                <w:highlight w:val="none"/>
              </w:rPr>
              <w:t>≤14.0%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pStyle w:val="306"/>
              <w:spacing w:before="80"/>
              <w:ind w:left="968" w:right="949"/>
              <w:jc w:val="center"/>
              <w:rPr>
                <w:color w:val="000000" w:themeColor="text1"/>
                <w:szCs w:val="21"/>
                <w:highlight w:val="none"/>
              </w:rPr>
            </w:pPr>
            <w:r>
              <w:rPr>
                <w:color w:val="000000" w:themeColor="text1"/>
                <w:szCs w:val="21"/>
                <w:highlight w:val="none"/>
              </w:rPr>
              <w:t>磁性金属物质</w:t>
            </w:r>
          </w:p>
        </w:tc>
        <w:tc>
          <w:tcPr>
            <w:tcW w:w="4990" w:type="dxa"/>
            <w:tcBorders>
              <w:top w:val="single" w:color="000000" w:sz="6" w:space="0"/>
              <w:left w:val="single" w:color="000000" w:sz="6" w:space="0"/>
              <w:bottom w:val="single" w:color="000000" w:sz="6" w:space="0"/>
            </w:tcBorders>
            <w:noWrap w:val="0"/>
            <w:vAlign w:val="top"/>
          </w:tcPr>
          <w:p>
            <w:pPr>
              <w:pStyle w:val="306"/>
              <w:spacing w:before="80"/>
              <w:ind w:left="968" w:right="949"/>
              <w:jc w:val="center"/>
              <w:rPr>
                <w:color w:val="000000" w:themeColor="text1"/>
                <w:szCs w:val="21"/>
                <w:highlight w:val="none"/>
              </w:rPr>
            </w:pPr>
            <w:r>
              <w:rPr>
                <w:color w:val="000000" w:themeColor="text1"/>
                <w:szCs w:val="21"/>
                <w:highlight w:val="none"/>
              </w:rPr>
              <w:t>≤0.003g/kg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pStyle w:val="306"/>
              <w:spacing w:before="80"/>
              <w:ind w:left="968" w:right="949"/>
              <w:jc w:val="center"/>
              <w:rPr>
                <w:color w:val="000000" w:themeColor="text1"/>
                <w:szCs w:val="21"/>
                <w:highlight w:val="none"/>
              </w:rPr>
            </w:pPr>
            <w:r>
              <w:rPr>
                <w:color w:val="000000" w:themeColor="text1"/>
                <w:szCs w:val="21"/>
                <w:highlight w:val="none"/>
              </w:rPr>
              <w:t>脂肪酸值（湿基计）</w:t>
            </w:r>
          </w:p>
        </w:tc>
        <w:tc>
          <w:tcPr>
            <w:tcW w:w="4990" w:type="dxa"/>
            <w:tcBorders>
              <w:top w:val="single" w:color="000000" w:sz="6" w:space="0"/>
              <w:left w:val="single" w:color="000000" w:sz="6" w:space="0"/>
              <w:bottom w:val="single" w:color="000000" w:sz="6" w:space="0"/>
            </w:tcBorders>
            <w:noWrap w:val="0"/>
            <w:vAlign w:val="top"/>
          </w:tcPr>
          <w:p>
            <w:pPr>
              <w:pStyle w:val="306"/>
              <w:spacing w:before="80"/>
              <w:ind w:left="968" w:right="949"/>
              <w:jc w:val="center"/>
              <w:rPr>
                <w:color w:val="000000" w:themeColor="text1"/>
                <w:szCs w:val="21"/>
                <w:highlight w:val="none"/>
              </w:rPr>
            </w:pPr>
            <w:r>
              <w:rPr>
                <w:color w:val="000000" w:themeColor="text1"/>
                <w:szCs w:val="21"/>
                <w:highlight w:val="none"/>
              </w:rPr>
              <w:t>≤80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pStyle w:val="306"/>
              <w:spacing w:before="80"/>
              <w:ind w:right="949"/>
              <w:jc w:val="center"/>
              <w:rPr>
                <w:color w:val="000000" w:themeColor="text1"/>
                <w:szCs w:val="21"/>
                <w:highlight w:val="none"/>
              </w:rPr>
            </w:pPr>
            <w:r>
              <w:rPr>
                <w:color w:val="000000" w:themeColor="text1"/>
                <w:szCs w:val="21"/>
                <w:highlight w:val="none"/>
              </w:rPr>
              <w:t>六六六（以成品粮计）</w:t>
            </w:r>
          </w:p>
        </w:tc>
        <w:tc>
          <w:tcPr>
            <w:tcW w:w="4990" w:type="dxa"/>
            <w:tcBorders>
              <w:top w:val="single" w:color="000000" w:sz="6" w:space="0"/>
              <w:left w:val="single" w:color="000000" w:sz="6" w:space="0"/>
              <w:bottom w:val="single" w:color="000000" w:sz="6" w:space="0"/>
            </w:tcBorders>
            <w:noWrap w:val="0"/>
            <w:vAlign w:val="top"/>
          </w:tcPr>
          <w:p>
            <w:pPr>
              <w:pStyle w:val="306"/>
              <w:spacing w:before="80"/>
              <w:ind w:left="968" w:right="949"/>
              <w:jc w:val="center"/>
              <w:rPr>
                <w:color w:val="000000" w:themeColor="text1"/>
                <w:szCs w:val="21"/>
                <w:highlight w:val="none"/>
              </w:rPr>
            </w:pPr>
            <w:r>
              <w:rPr>
                <w:color w:val="000000" w:themeColor="text1"/>
                <w:szCs w:val="21"/>
                <w:highlight w:val="none"/>
              </w:rPr>
              <w:t>≤0.3mg/kg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pStyle w:val="306"/>
              <w:spacing w:before="80"/>
              <w:ind w:right="949"/>
              <w:jc w:val="center"/>
              <w:rPr>
                <w:color w:val="000000" w:themeColor="text1"/>
                <w:szCs w:val="21"/>
                <w:highlight w:val="none"/>
              </w:rPr>
            </w:pPr>
            <w:r>
              <w:rPr>
                <w:color w:val="000000" w:themeColor="text1"/>
                <w:szCs w:val="21"/>
                <w:highlight w:val="none"/>
              </w:rPr>
              <w:t>滴滴涕（成品粮计）</w:t>
            </w:r>
          </w:p>
        </w:tc>
        <w:tc>
          <w:tcPr>
            <w:tcW w:w="4990" w:type="dxa"/>
            <w:tcBorders>
              <w:top w:val="single" w:color="000000" w:sz="6" w:space="0"/>
              <w:left w:val="single" w:color="000000" w:sz="6" w:space="0"/>
              <w:bottom w:val="single" w:color="000000" w:sz="6" w:space="0"/>
            </w:tcBorders>
            <w:noWrap w:val="0"/>
            <w:vAlign w:val="top"/>
          </w:tcPr>
          <w:p>
            <w:pPr>
              <w:pStyle w:val="306"/>
              <w:spacing w:before="80"/>
              <w:ind w:left="968" w:right="949"/>
              <w:jc w:val="center"/>
              <w:rPr>
                <w:color w:val="000000" w:themeColor="text1"/>
                <w:szCs w:val="21"/>
                <w:highlight w:val="none"/>
              </w:rPr>
            </w:pPr>
            <w:r>
              <w:rPr>
                <w:color w:val="000000" w:themeColor="text1"/>
                <w:szCs w:val="21"/>
                <w:highlight w:val="none"/>
              </w:rPr>
              <w:t>≤0.2mg/kg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pStyle w:val="306"/>
              <w:spacing w:before="80"/>
              <w:ind w:left="968" w:right="949"/>
              <w:jc w:val="center"/>
              <w:rPr>
                <w:color w:val="000000" w:themeColor="text1"/>
                <w:szCs w:val="21"/>
                <w:highlight w:val="none"/>
              </w:rPr>
            </w:pPr>
            <w:r>
              <w:rPr>
                <w:color w:val="000000" w:themeColor="text1"/>
                <w:szCs w:val="21"/>
                <w:highlight w:val="none"/>
              </w:rPr>
              <w:t>汞（成品粮计）</w:t>
            </w:r>
          </w:p>
        </w:tc>
        <w:tc>
          <w:tcPr>
            <w:tcW w:w="4990" w:type="dxa"/>
            <w:tcBorders>
              <w:top w:val="single" w:color="000000" w:sz="6" w:space="0"/>
              <w:left w:val="single" w:color="000000" w:sz="6" w:space="0"/>
              <w:bottom w:val="single" w:color="000000" w:sz="6" w:space="0"/>
            </w:tcBorders>
            <w:noWrap w:val="0"/>
            <w:vAlign w:val="top"/>
          </w:tcPr>
          <w:p>
            <w:pPr>
              <w:pStyle w:val="306"/>
              <w:spacing w:before="80"/>
              <w:ind w:left="968" w:right="949"/>
              <w:jc w:val="center"/>
              <w:rPr>
                <w:color w:val="000000" w:themeColor="text1"/>
                <w:szCs w:val="21"/>
                <w:highlight w:val="none"/>
              </w:rPr>
            </w:pPr>
            <w:r>
              <w:rPr>
                <w:color w:val="000000" w:themeColor="text1"/>
                <w:szCs w:val="21"/>
                <w:highlight w:val="none"/>
              </w:rPr>
              <w:t>≤0.02mg/kg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8" w:hRule="atLeast"/>
          <w:jc w:val="center"/>
        </w:trPr>
        <w:tc>
          <w:tcPr>
            <w:tcW w:w="4185" w:type="dxa"/>
            <w:tcBorders>
              <w:top w:val="single" w:color="000000" w:sz="6" w:space="0"/>
              <w:right w:val="single" w:color="000000" w:sz="6" w:space="0"/>
            </w:tcBorders>
            <w:noWrap w:val="0"/>
            <w:vAlign w:val="top"/>
          </w:tcPr>
          <w:p>
            <w:pPr>
              <w:pStyle w:val="306"/>
              <w:spacing w:before="80"/>
              <w:ind w:left="968" w:right="949"/>
              <w:jc w:val="center"/>
              <w:rPr>
                <w:color w:val="000000" w:themeColor="text1"/>
                <w:szCs w:val="21"/>
                <w:highlight w:val="none"/>
              </w:rPr>
            </w:pPr>
            <w:r>
              <w:rPr>
                <w:color w:val="000000" w:themeColor="text1"/>
                <w:szCs w:val="21"/>
                <w:highlight w:val="none"/>
              </w:rPr>
              <w:t>黄霉素毒素B1</w:t>
            </w:r>
          </w:p>
        </w:tc>
        <w:tc>
          <w:tcPr>
            <w:tcW w:w="4990" w:type="dxa"/>
            <w:tcBorders>
              <w:top w:val="single" w:color="000000" w:sz="6" w:space="0"/>
              <w:left w:val="single" w:color="000000" w:sz="6" w:space="0"/>
            </w:tcBorders>
            <w:noWrap w:val="0"/>
            <w:vAlign w:val="top"/>
          </w:tcPr>
          <w:p>
            <w:pPr>
              <w:pStyle w:val="306"/>
              <w:spacing w:before="80"/>
              <w:ind w:left="968" w:right="949"/>
              <w:jc w:val="center"/>
              <w:rPr>
                <w:rFonts w:hint="eastAsia" w:eastAsia="宋体"/>
                <w:color w:val="000000" w:themeColor="text1"/>
                <w:szCs w:val="21"/>
                <w:highlight w:val="none"/>
                <w:lang w:val="en-US" w:eastAsia="zh-CN"/>
              </w:rPr>
            </w:pPr>
            <w:r>
              <w:rPr>
                <w:color w:val="000000" w:themeColor="text1"/>
                <w:szCs w:val="21"/>
                <w:highlight w:val="none"/>
              </w:rPr>
              <w:t>≤5μg/kg</w:t>
            </w:r>
            <w:r>
              <w:rPr>
                <w:rFonts w:hint="eastAsia"/>
                <w:color w:val="000000" w:themeColor="text1"/>
                <w:szCs w:val="21"/>
                <w:highlight w:val="none"/>
                <w:lang w:val="en-US" w:eastAsia="zh-CN"/>
              </w:rPr>
              <w:t xml:space="preserve"> </w:t>
            </w:r>
          </w:p>
        </w:tc>
      </w:tr>
    </w:tbl>
    <w:p>
      <w:pPr>
        <w:pStyle w:val="191"/>
        <w:tabs>
          <w:tab w:val="left" w:pos="545"/>
        </w:tabs>
        <w:spacing w:before="141"/>
        <w:ind w:firstLine="0" w:firstLineChars="0"/>
        <w:jc w:val="left"/>
        <w:rPr>
          <w:color w:val="000000" w:themeColor="text1"/>
          <w:szCs w:val="21"/>
          <w:highlight w:val="none"/>
        </w:rPr>
      </w:pPr>
      <w:r>
        <w:rPr>
          <w:color w:val="000000" w:themeColor="text1"/>
          <w:szCs w:val="21"/>
          <w:highlight w:val="none"/>
        </w:rPr>
        <w:t>标准面粉理化指标</w:t>
      </w:r>
    </w:p>
    <w:tbl>
      <w:tblPr>
        <w:tblStyle w:val="46"/>
        <w:tblW w:w="9162"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555"/>
        <w:gridCol w:w="560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3555" w:type="dxa"/>
            <w:tcBorders>
              <w:bottom w:val="single" w:color="000000" w:sz="6" w:space="0"/>
              <w:right w:val="single" w:color="000000" w:sz="6" w:space="0"/>
            </w:tcBorders>
            <w:noWrap w:val="0"/>
            <w:vAlign w:val="center"/>
          </w:tcPr>
          <w:p>
            <w:pPr>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项目</w:t>
            </w:r>
          </w:p>
        </w:tc>
        <w:tc>
          <w:tcPr>
            <w:tcW w:w="5607" w:type="dxa"/>
            <w:tcBorders>
              <w:left w:val="single" w:color="000000" w:sz="6" w:space="0"/>
              <w:bottom w:val="single" w:color="000000" w:sz="6" w:space="0"/>
            </w:tcBorders>
            <w:noWrap w:val="0"/>
            <w:vAlign w:val="center"/>
          </w:tcPr>
          <w:p>
            <w:pPr>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加工精度</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对照实物标准样品对照检验粉色、麸星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灰分（以干物质计）</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≤1.10%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水分</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粗细度</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全部通过CQ20号筛，留存在CB30号筛的不超过20.0%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面筋质</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含砂量</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≤0.02%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磁性金属物质</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≤0.003g/kg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脂肪酸值（湿基计）</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≤80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六六六（以成品粮计）</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≤0.3mg/kg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滴滴涕（成品粮计）</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≤0.2mg/kg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汞（成品粮计）</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≤0.02mg/kg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3555" w:type="dxa"/>
            <w:tcBorders>
              <w:top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黄霉素毒素 B1</w:t>
            </w:r>
          </w:p>
        </w:tc>
        <w:tc>
          <w:tcPr>
            <w:tcW w:w="5607" w:type="dxa"/>
            <w:tcBorders>
              <w:top w:val="single" w:color="000000" w:sz="6" w:space="0"/>
              <w:lef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≤5μg/kg</w:t>
            </w:r>
          </w:p>
        </w:tc>
      </w:tr>
    </w:tbl>
    <w:p>
      <w:pPr>
        <w:pStyle w:val="191"/>
        <w:tabs>
          <w:tab w:val="left" w:pos="545"/>
        </w:tabs>
        <w:spacing w:before="141"/>
        <w:ind w:firstLine="0" w:firstLineChars="0"/>
        <w:jc w:val="left"/>
        <w:rPr>
          <w:color w:val="000000" w:themeColor="text1"/>
          <w:szCs w:val="21"/>
          <w:highlight w:val="none"/>
        </w:rPr>
      </w:pPr>
      <w:r>
        <w:rPr>
          <w:rFonts w:hint="eastAsia" w:ascii="宋体" w:hAnsi="宋体" w:cs="宋体"/>
          <w:color w:val="000000" w:themeColor="text1"/>
          <w:szCs w:val="21"/>
          <w:highlight w:val="none"/>
        </w:rPr>
        <w:t>3）油</w:t>
      </w:r>
      <w:r>
        <w:rPr>
          <w:color w:val="000000" w:themeColor="text1"/>
          <w:szCs w:val="21"/>
          <w:highlight w:val="none"/>
        </w:rPr>
        <w:t>类执行标准</w:t>
      </w:r>
    </w:p>
    <w:tbl>
      <w:tblPr>
        <w:tblStyle w:val="46"/>
        <w:tblW w:w="90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35"/>
        <w:gridCol w:w="2887"/>
        <w:gridCol w:w="1853"/>
        <w:gridCol w:w="240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935"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油类</w:t>
            </w:r>
          </w:p>
        </w:tc>
        <w:tc>
          <w:tcPr>
            <w:tcW w:w="2887"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标准</w:t>
            </w:r>
          </w:p>
        </w:tc>
        <w:tc>
          <w:tcPr>
            <w:tcW w:w="1853"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油类</w:t>
            </w:r>
          </w:p>
        </w:tc>
        <w:tc>
          <w:tcPr>
            <w:tcW w:w="2406"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935"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食用植物油</w:t>
            </w:r>
          </w:p>
        </w:tc>
        <w:tc>
          <w:tcPr>
            <w:tcW w:w="2887"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 2716-2005</w:t>
            </w:r>
          </w:p>
        </w:tc>
        <w:tc>
          <w:tcPr>
            <w:tcW w:w="1853"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棉籽油</w:t>
            </w:r>
          </w:p>
        </w:tc>
        <w:tc>
          <w:tcPr>
            <w:tcW w:w="2406"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GB/T 1537-2019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935"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花生油</w:t>
            </w:r>
          </w:p>
        </w:tc>
        <w:tc>
          <w:tcPr>
            <w:tcW w:w="2887"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GB/T 1534-2017</w:t>
            </w:r>
          </w:p>
        </w:tc>
        <w:tc>
          <w:tcPr>
            <w:tcW w:w="1853"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油茶籽油</w:t>
            </w:r>
          </w:p>
        </w:tc>
        <w:tc>
          <w:tcPr>
            <w:tcW w:w="2406"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GB/T 11765-2018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935"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大豆油</w:t>
            </w:r>
          </w:p>
        </w:tc>
        <w:tc>
          <w:tcPr>
            <w:tcW w:w="2887"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GB/T 1535-2017</w:t>
            </w:r>
          </w:p>
        </w:tc>
        <w:tc>
          <w:tcPr>
            <w:tcW w:w="1853"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玉米油</w:t>
            </w:r>
          </w:p>
        </w:tc>
        <w:tc>
          <w:tcPr>
            <w:tcW w:w="2406"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GB/T 19111-2017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jc w:val="center"/>
        </w:trPr>
        <w:tc>
          <w:tcPr>
            <w:tcW w:w="1935"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葵花籽油</w:t>
            </w:r>
          </w:p>
        </w:tc>
        <w:tc>
          <w:tcPr>
            <w:tcW w:w="2887"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GB/T 10464-2017</w:t>
            </w:r>
          </w:p>
        </w:tc>
        <w:tc>
          <w:tcPr>
            <w:tcW w:w="1853"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米糠油</w:t>
            </w:r>
          </w:p>
        </w:tc>
        <w:tc>
          <w:tcPr>
            <w:tcW w:w="2406"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GB/T 19112-2003</w:t>
            </w:r>
          </w:p>
        </w:tc>
      </w:tr>
    </w:tbl>
    <w:p>
      <w:pPr>
        <w:pStyle w:val="191"/>
        <w:tabs>
          <w:tab w:val="left" w:pos="545"/>
        </w:tabs>
        <w:spacing w:before="86"/>
        <w:ind w:firstLine="0" w:firstLineChars="0"/>
        <w:jc w:val="left"/>
        <w:rPr>
          <w:color w:val="000000" w:themeColor="text1"/>
          <w:szCs w:val="21"/>
          <w:highlight w:val="none"/>
        </w:rPr>
      </w:pPr>
    </w:p>
    <w:p>
      <w:pPr>
        <w:pStyle w:val="191"/>
        <w:tabs>
          <w:tab w:val="left" w:pos="545"/>
        </w:tabs>
        <w:spacing w:before="86"/>
        <w:ind w:firstLine="0" w:firstLineChars="0"/>
        <w:jc w:val="left"/>
        <w:rPr>
          <w:color w:val="000000" w:themeColor="text1"/>
          <w:szCs w:val="21"/>
          <w:highlight w:val="none"/>
        </w:rPr>
      </w:pPr>
      <w:r>
        <w:rPr>
          <w:color w:val="000000" w:themeColor="text1"/>
          <w:szCs w:val="21"/>
          <w:highlight w:val="none"/>
        </w:rPr>
        <w:t>花生原油质量指标</w:t>
      </w:r>
    </w:p>
    <w:tbl>
      <w:tblPr>
        <w:tblStyle w:val="46"/>
        <w:tblW w:w="9525"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320"/>
        <w:gridCol w:w="520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4320" w:type="dxa"/>
            <w:tcBorders>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项目</w:t>
            </w:r>
          </w:p>
        </w:tc>
        <w:tc>
          <w:tcPr>
            <w:tcW w:w="5205" w:type="dxa"/>
            <w:tcBorders>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质量指标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4320"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气味、滋味</w:t>
            </w:r>
          </w:p>
        </w:tc>
        <w:tc>
          <w:tcPr>
            <w:tcW w:w="5205"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具有花生原油固有的气味和滋味，无异味</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水分及挥发物</w:t>
            </w:r>
          </w:p>
        </w:tc>
        <w:tc>
          <w:tcPr>
            <w:tcW w:w="5205"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≤0.20%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不溶性杂质</w:t>
            </w:r>
          </w:p>
        </w:tc>
        <w:tc>
          <w:tcPr>
            <w:tcW w:w="5205"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≤0.20%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酸值(KOH)</w:t>
            </w:r>
          </w:p>
        </w:tc>
        <w:tc>
          <w:tcPr>
            <w:tcW w:w="5205"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≤4.0mg/g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过氧化值</w:t>
            </w:r>
          </w:p>
        </w:tc>
        <w:tc>
          <w:tcPr>
            <w:tcW w:w="5205"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≤7.5mmol/kg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4320" w:type="dxa"/>
            <w:tcBorders>
              <w:top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溶剂残留量</w:t>
            </w:r>
          </w:p>
        </w:tc>
        <w:tc>
          <w:tcPr>
            <w:tcW w:w="5205" w:type="dxa"/>
            <w:tcBorders>
              <w:top w:val="single" w:color="000000" w:sz="6" w:space="0"/>
              <w:lef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≤100mg/kg</w:t>
            </w:r>
          </w:p>
        </w:tc>
      </w:tr>
    </w:tbl>
    <w:p>
      <w:pPr>
        <w:rPr>
          <w:color w:val="000000" w:themeColor="text1"/>
          <w:highlight w:val="none"/>
        </w:rPr>
      </w:pPr>
      <w:r>
        <w:rPr>
          <w:color w:val="000000" w:themeColor="text1"/>
          <w:highlight w:val="none"/>
        </w:rPr>
        <w:t>压榨成品花生油质量指标</w:t>
      </w:r>
    </w:p>
    <w:tbl>
      <w:tblPr>
        <w:tblStyle w:val="46"/>
        <w:tblW w:w="9788"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333"/>
        <w:gridCol w:w="3739"/>
        <w:gridCol w:w="371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1" w:hRule="atLeast"/>
          <w:jc w:val="center"/>
        </w:trPr>
        <w:tc>
          <w:tcPr>
            <w:tcW w:w="2333" w:type="dxa"/>
            <w:vMerge w:val="restart"/>
            <w:tcBorders>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p>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项目</w:t>
            </w:r>
          </w:p>
        </w:tc>
        <w:tc>
          <w:tcPr>
            <w:tcW w:w="7455" w:type="dxa"/>
            <w:gridSpan w:val="2"/>
            <w:tcBorders>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质量指标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vMerge w:val="continue"/>
            <w:tcBorders>
              <w:top w:val="nil"/>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一级</w:t>
            </w:r>
          </w:p>
        </w:tc>
        <w:tc>
          <w:tcPr>
            <w:tcW w:w="3716"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二级</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333"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色泽(罗维朋比色槽 25.4mm)≤</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黄15  红1.5</w:t>
            </w:r>
          </w:p>
        </w:tc>
        <w:tc>
          <w:tcPr>
            <w:tcW w:w="3716"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黄25  红4.0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2333"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气味、滋味</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具有花生油固有的香味和滋味，无异味。</w:t>
            </w:r>
          </w:p>
        </w:tc>
        <w:tc>
          <w:tcPr>
            <w:tcW w:w="3716"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具有花生油固有的香味和滋味，无异味。</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透明度</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澄清、透明</w:t>
            </w:r>
          </w:p>
        </w:tc>
        <w:tc>
          <w:tcPr>
            <w:tcW w:w="3716"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澄清、透明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6" w:hRule="atLeast"/>
          <w:jc w:val="center"/>
        </w:trPr>
        <w:tc>
          <w:tcPr>
            <w:tcW w:w="2333"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水分及挥发物(%)≤</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0.10</w:t>
            </w:r>
          </w:p>
        </w:tc>
        <w:tc>
          <w:tcPr>
            <w:tcW w:w="3716"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0.15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不溶性杂质(%)≤</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0.05</w:t>
            </w:r>
          </w:p>
        </w:tc>
        <w:tc>
          <w:tcPr>
            <w:tcW w:w="3716"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0.05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酸值(KOH)/(mg/g)≤</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1.0</w:t>
            </w:r>
          </w:p>
        </w:tc>
        <w:tc>
          <w:tcPr>
            <w:tcW w:w="3716"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9" w:hRule="atLeast"/>
          <w:jc w:val="center"/>
        </w:trPr>
        <w:tc>
          <w:tcPr>
            <w:tcW w:w="2333"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过氧化值/(mmol/g)≤</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6.0</w:t>
            </w:r>
          </w:p>
        </w:tc>
        <w:tc>
          <w:tcPr>
            <w:tcW w:w="3716"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7.5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溶剂残留量/(mg/kg)</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不得检出</w:t>
            </w:r>
          </w:p>
        </w:tc>
        <w:tc>
          <w:tcPr>
            <w:tcW w:w="3716"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不得检出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1031" w:hRule="atLeast"/>
          <w:jc w:val="center"/>
        </w:trPr>
        <w:tc>
          <w:tcPr>
            <w:tcW w:w="2333" w:type="dxa"/>
            <w:tcBorders>
              <w:top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p>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加热试验(280℃)</w:t>
            </w:r>
          </w:p>
        </w:tc>
        <w:tc>
          <w:tcPr>
            <w:tcW w:w="3739" w:type="dxa"/>
            <w:tcBorders>
              <w:top w:val="single" w:color="000000" w:sz="6" w:space="0"/>
              <w:left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无析出物，罗维朋比色：黄色值不变，红色值增加小于0.4。</w:t>
            </w:r>
          </w:p>
        </w:tc>
        <w:tc>
          <w:tcPr>
            <w:tcW w:w="3716" w:type="dxa"/>
            <w:tcBorders>
              <w:top w:val="single" w:color="000000" w:sz="6" w:space="0"/>
              <w:lef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微量析出物，罗维朋比色：黄色值不变，红色值增加小于4.0，蓝色值增加小于0.5。</w:t>
            </w:r>
          </w:p>
        </w:tc>
      </w:tr>
    </w:tbl>
    <w:p>
      <w:pPr>
        <w:rPr>
          <w:rFonts w:hint="eastAsia"/>
          <w:color w:val="000000" w:themeColor="text1"/>
          <w:highlight w:val="none"/>
        </w:rPr>
      </w:pPr>
      <w:r>
        <w:rPr>
          <w:rFonts w:hint="eastAsia"/>
          <w:color w:val="000000" w:themeColor="text1"/>
          <w:highlight w:val="none"/>
        </w:rPr>
        <w:t>浸出成品花生油质量指标</w:t>
      </w:r>
    </w:p>
    <w:tbl>
      <w:tblPr>
        <w:tblStyle w:val="46"/>
        <w:tblW w:w="982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581"/>
        <w:gridCol w:w="1725"/>
        <w:gridCol w:w="1725"/>
        <w:gridCol w:w="1725"/>
        <w:gridCol w:w="207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2581" w:type="dxa"/>
            <w:vMerge w:val="restart"/>
            <w:tcBorders>
              <w:bottom w:val="single" w:color="000000" w:sz="6" w:space="0"/>
              <w:right w:val="single" w:color="000000" w:sz="6" w:space="0"/>
            </w:tcBorders>
            <w:noWrap w:val="0"/>
            <w:vAlign w:val="top"/>
          </w:tcPr>
          <w:p>
            <w:pPr>
              <w:pStyle w:val="306"/>
              <w:spacing w:before="1"/>
              <w:rPr>
                <w:color w:val="000000" w:themeColor="text1"/>
                <w:szCs w:val="21"/>
                <w:highlight w:val="none"/>
              </w:rPr>
            </w:pPr>
          </w:p>
          <w:p>
            <w:pPr>
              <w:pStyle w:val="306"/>
              <w:spacing w:before="0"/>
              <w:ind w:left="1001" w:right="1002"/>
              <w:jc w:val="center"/>
              <w:rPr>
                <w:b/>
                <w:color w:val="000000" w:themeColor="text1"/>
                <w:szCs w:val="21"/>
                <w:highlight w:val="none"/>
              </w:rPr>
            </w:pPr>
            <w:r>
              <w:rPr>
                <w:b/>
                <w:color w:val="000000" w:themeColor="text1"/>
                <w:szCs w:val="21"/>
                <w:highlight w:val="none"/>
              </w:rPr>
              <w:t>项目</w:t>
            </w:r>
          </w:p>
        </w:tc>
        <w:tc>
          <w:tcPr>
            <w:tcW w:w="7245" w:type="dxa"/>
            <w:gridSpan w:val="4"/>
            <w:tcBorders>
              <w:left w:val="single" w:color="000000" w:sz="6" w:space="0"/>
              <w:bottom w:val="single" w:color="000000" w:sz="6" w:space="0"/>
            </w:tcBorders>
            <w:noWrap w:val="0"/>
            <w:vAlign w:val="top"/>
          </w:tcPr>
          <w:p>
            <w:pPr>
              <w:pStyle w:val="306"/>
              <w:spacing w:before="79"/>
              <w:ind w:left="1484" w:right="1473"/>
              <w:jc w:val="center"/>
              <w:rPr>
                <w:b/>
                <w:color w:val="000000" w:themeColor="text1"/>
                <w:szCs w:val="21"/>
                <w:highlight w:val="none"/>
              </w:rPr>
            </w:pPr>
            <w:r>
              <w:rPr>
                <w:b/>
                <w:color w:val="000000" w:themeColor="text1"/>
                <w:szCs w:val="21"/>
                <w:highlight w:val="none"/>
              </w:rPr>
              <w:t>质量指标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581" w:type="dxa"/>
            <w:vMerge w:val="continue"/>
            <w:tcBorders>
              <w:top w:val="nil"/>
              <w:bottom w:val="single" w:color="000000" w:sz="6" w:space="0"/>
              <w:right w:val="single" w:color="000000" w:sz="6" w:space="0"/>
            </w:tcBorders>
            <w:noWrap w:val="0"/>
            <w:vAlign w:val="top"/>
          </w:tcPr>
          <w:p>
            <w:pPr>
              <w:rPr>
                <w:color w:val="000000" w:themeColor="text1"/>
                <w:szCs w:val="21"/>
                <w:highlight w:val="none"/>
              </w:rPr>
            </w:pP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92"/>
              <w:ind w:left="417" w:right="382"/>
              <w:jc w:val="center"/>
              <w:rPr>
                <w:color w:val="000000" w:themeColor="text1"/>
                <w:szCs w:val="21"/>
                <w:highlight w:val="none"/>
              </w:rPr>
            </w:pPr>
            <w:r>
              <w:rPr>
                <w:color w:val="000000" w:themeColor="text1"/>
                <w:szCs w:val="21"/>
                <w:highlight w:val="none"/>
              </w:rPr>
              <w:t>一级</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92"/>
              <w:ind w:left="417" w:right="383"/>
              <w:jc w:val="center"/>
              <w:rPr>
                <w:color w:val="000000" w:themeColor="text1"/>
                <w:szCs w:val="21"/>
                <w:highlight w:val="none"/>
              </w:rPr>
            </w:pPr>
            <w:r>
              <w:rPr>
                <w:color w:val="000000" w:themeColor="text1"/>
                <w:szCs w:val="21"/>
                <w:highlight w:val="none"/>
              </w:rPr>
              <w:t>二级</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92"/>
              <w:ind w:left="357"/>
              <w:rPr>
                <w:color w:val="000000" w:themeColor="text1"/>
                <w:szCs w:val="21"/>
                <w:highlight w:val="none"/>
              </w:rPr>
            </w:pPr>
            <w:r>
              <w:rPr>
                <w:color w:val="000000" w:themeColor="text1"/>
                <w:szCs w:val="21"/>
                <w:highlight w:val="none"/>
              </w:rPr>
              <w:t>三级</w:t>
            </w:r>
          </w:p>
        </w:tc>
        <w:tc>
          <w:tcPr>
            <w:tcW w:w="2070" w:type="dxa"/>
            <w:tcBorders>
              <w:top w:val="single" w:color="000000" w:sz="6" w:space="0"/>
              <w:left w:val="single" w:color="000000" w:sz="6" w:space="0"/>
              <w:bottom w:val="single" w:color="000000" w:sz="6" w:space="0"/>
            </w:tcBorders>
            <w:noWrap w:val="0"/>
            <w:vAlign w:val="top"/>
          </w:tcPr>
          <w:p>
            <w:pPr>
              <w:pStyle w:val="306"/>
              <w:spacing w:before="92"/>
              <w:ind w:right="796"/>
              <w:jc w:val="center"/>
              <w:rPr>
                <w:color w:val="000000" w:themeColor="text1"/>
                <w:szCs w:val="21"/>
                <w:highlight w:val="none"/>
              </w:rPr>
            </w:pPr>
            <w:r>
              <w:rPr>
                <w:color w:val="000000" w:themeColor="text1"/>
                <w:szCs w:val="21"/>
                <w:highlight w:val="none"/>
              </w:rPr>
              <w:t>四极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5" w:hRule="atLeast"/>
          <w:jc w:val="center"/>
        </w:trPr>
        <w:tc>
          <w:tcPr>
            <w:tcW w:w="2581" w:type="dxa"/>
            <w:tcBorders>
              <w:top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(罗维朋比色槽 25.4mm)≤</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黄25红4.0</w:t>
            </w:r>
          </w:p>
        </w:tc>
        <w:tc>
          <w:tcPr>
            <w:tcW w:w="2070" w:type="dxa"/>
            <w:tcBorders>
              <w:top w:val="single" w:color="000000" w:sz="6" w:space="0"/>
              <w:left w:val="single" w:color="000000" w:sz="6" w:space="0"/>
              <w:bottom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黄25红4.0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5" w:hRule="atLeast"/>
          <w:jc w:val="center"/>
        </w:trPr>
        <w:tc>
          <w:tcPr>
            <w:tcW w:w="2581" w:type="dxa"/>
            <w:tcBorders>
              <w:top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(罗维朋比色槽 133.4mm)≤</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黄25红1.5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黄25红2.0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w:t>
            </w:r>
          </w:p>
        </w:tc>
        <w:tc>
          <w:tcPr>
            <w:tcW w:w="2070" w:type="dxa"/>
            <w:tcBorders>
              <w:top w:val="single" w:color="000000" w:sz="6" w:space="0"/>
              <w:left w:val="single" w:color="000000" w:sz="6" w:space="0"/>
              <w:bottom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气味</w:t>
            </w:r>
          </w:p>
        </w:tc>
        <w:tc>
          <w:tcPr>
            <w:tcW w:w="7245" w:type="dxa"/>
            <w:gridSpan w:val="4"/>
            <w:tcBorders>
              <w:top w:val="single" w:color="000000" w:sz="6" w:space="0"/>
              <w:left w:val="single" w:color="000000" w:sz="6" w:space="0"/>
              <w:bottom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无气味、口感好，具有花生油固有的气味和滋味，</w:t>
            </w:r>
            <w:r>
              <w:rPr>
                <w:rFonts w:hint="eastAsia"/>
                <w:color w:val="000000" w:themeColor="text1"/>
                <w:szCs w:val="21"/>
                <w:highlight w:val="none"/>
              </w:rPr>
              <w:t>无</w:t>
            </w:r>
            <w:r>
              <w:rPr>
                <w:color w:val="000000" w:themeColor="text1"/>
                <w:szCs w:val="21"/>
                <w:highlight w:val="none"/>
              </w:rPr>
              <w:t>异味</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透明度</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澄清、透明</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澄清、透明</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w:t>
            </w:r>
          </w:p>
        </w:tc>
        <w:tc>
          <w:tcPr>
            <w:tcW w:w="2070" w:type="dxa"/>
            <w:tcBorders>
              <w:top w:val="single" w:color="000000" w:sz="6" w:space="0"/>
              <w:left w:val="single" w:color="000000" w:sz="6" w:space="0"/>
              <w:bottom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水分及挥发物/(%)≤</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0.05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0.05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0.10</w:t>
            </w:r>
          </w:p>
        </w:tc>
        <w:tc>
          <w:tcPr>
            <w:tcW w:w="2070" w:type="dxa"/>
            <w:tcBorders>
              <w:top w:val="single" w:color="000000" w:sz="6" w:space="0"/>
              <w:left w:val="single" w:color="000000" w:sz="6" w:space="0"/>
              <w:bottom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0.20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不溶性杂质/(%)≤</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0.05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0.05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0.05</w:t>
            </w:r>
          </w:p>
        </w:tc>
        <w:tc>
          <w:tcPr>
            <w:tcW w:w="2070" w:type="dxa"/>
            <w:tcBorders>
              <w:top w:val="single" w:color="000000" w:sz="6" w:space="0"/>
              <w:left w:val="single" w:color="000000" w:sz="6" w:space="0"/>
              <w:bottom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0.05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酸值(KOH)/(mg/g)≤</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0.20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0.30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1.0</w:t>
            </w:r>
          </w:p>
        </w:tc>
        <w:tc>
          <w:tcPr>
            <w:tcW w:w="2070" w:type="dxa"/>
            <w:tcBorders>
              <w:top w:val="single" w:color="000000" w:sz="6" w:space="0"/>
              <w:left w:val="single" w:color="000000" w:sz="6" w:space="0"/>
              <w:bottom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3.0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过氧化值/(mmol/g)≤</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5.0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5.0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7.5</w:t>
            </w:r>
          </w:p>
        </w:tc>
        <w:tc>
          <w:tcPr>
            <w:tcW w:w="2070" w:type="dxa"/>
            <w:tcBorders>
              <w:top w:val="single" w:color="000000" w:sz="6" w:space="0"/>
              <w:left w:val="single" w:color="000000" w:sz="6" w:space="0"/>
              <w:bottom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7.5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45" w:hRule="atLeast"/>
          <w:jc w:val="center"/>
        </w:trPr>
        <w:tc>
          <w:tcPr>
            <w:tcW w:w="2581" w:type="dxa"/>
            <w:tcBorders>
              <w:top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p>
          <w:p>
            <w:pPr>
              <w:pStyle w:val="306"/>
              <w:spacing w:before="3"/>
              <w:rPr>
                <w:color w:val="000000" w:themeColor="text1"/>
                <w:szCs w:val="21"/>
                <w:highlight w:val="none"/>
              </w:rPr>
            </w:pPr>
          </w:p>
          <w:p>
            <w:pPr>
              <w:pStyle w:val="306"/>
              <w:spacing w:before="3"/>
              <w:rPr>
                <w:color w:val="000000" w:themeColor="text1"/>
                <w:szCs w:val="21"/>
                <w:highlight w:val="none"/>
              </w:rPr>
            </w:pPr>
            <w:r>
              <w:rPr>
                <w:color w:val="000000" w:themeColor="text1"/>
                <w:szCs w:val="21"/>
                <w:highlight w:val="none"/>
              </w:rPr>
              <w:t>加热试验(280℃)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p>
          <w:p>
            <w:pPr>
              <w:pStyle w:val="306"/>
              <w:spacing w:before="3"/>
              <w:rPr>
                <w:color w:val="000000" w:themeColor="text1"/>
                <w:szCs w:val="21"/>
                <w:highlight w:val="none"/>
              </w:rPr>
            </w:pPr>
          </w:p>
          <w:p>
            <w:pPr>
              <w:pStyle w:val="306"/>
              <w:spacing w:before="3"/>
              <w:rPr>
                <w:color w:val="000000" w:themeColor="text1"/>
                <w:szCs w:val="21"/>
                <w:highlight w:val="none"/>
              </w:rPr>
            </w:pP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p>
          <w:p>
            <w:pPr>
              <w:pStyle w:val="306"/>
              <w:spacing w:before="3"/>
              <w:rPr>
                <w:color w:val="000000" w:themeColor="text1"/>
                <w:szCs w:val="21"/>
                <w:highlight w:val="none"/>
              </w:rPr>
            </w:pPr>
          </w:p>
          <w:p>
            <w:pPr>
              <w:pStyle w:val="306"/>
              <w:spacing w:before="3"/>
              <w:rPr>
                <w:color w:val="000000" w:themeColor="text1"/>
                <w:szCs w:val="21"/>
                <w:highlight w:val="none"/>
              </w:rPr>
            </w:pP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无析出物，罗维朋比色：黄色值不变，红色值增加小于0.4。</w:t>
            </w:r>
          </w:p>
        </w:tc>
        <w:tc>
          <w:tcPr>
            <w:tcW w:w="2070" w:type="dxa"/>
            <w:tcBorders>
              <w:top w:val="single" w:color="000000" w:sz="6" w:space="0"/>
              <w:left w:val="single" w:color="000000" w:sz="6" w:space="0"/>
              <w:bottom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微量析出物，罗维朋比色：黄色值不变，红色值增加小于4.0，蓝色值增加小于0.5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含皂量/(%)≤</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0.03</w:t>
            </w:r>
          </w:p>
        </w:tc>
        <w:tc>
          <w:tcPr>
            <w:tcW w:w="2070" w:type="dxa"/>
            <w:tcBorders>
              <w:top w:val="single" w:color="000000" w:sz="6" w:space="0"/>
              <w:left w:val="single" w:color="000000" w:sz="6" w:space="0"/>
              <w:bottom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烟点/℃≥</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215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205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w:t>
            </w:r>
          </w:p>
        </w:tc>
        <w:tc>
          <w:tcPr>
            <w:tcW w:w="2070" w:type="dxa"/>
            <w:tcBorders>
              <w:top w:val="single" w:color="000000" w:sz="6" w:space="0"/>
              <w:left w:val="single" w:color="000000" w:sz="6" w:space="0"/>
              <w:bottom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2581" w:type="dxa"/>
            <w:tcBorders>
              <w:top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溶剂残留量/(mg／kg)</w:t>
            </w:r>
          </w:p>
        </w:tc>
        <w:tc>
          <w:tcPr>
            <w:tcW w:w="1725" w:type="dxa"/>
            <w:tcBorders>
              <w:top w:val="single" w:color="000000" w:sz="6" w:space="0"/>
              <w:left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不得检出</w:t>
            </w:r>
          </w:p>
        </w:tc>
        <w:tc>
          <w:tcPr>
            <w:tcW w:w="1725" w:type="dxa"/>
            <w:tcBorders>
              <w:top w:val="single" w:color="000000" w:sz="6" w:space="0"/>
              <w:left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不得检出</w:t>
            </w:r>
          </w:p>
        </w:tc>
        <w:tc>
          <w:tcPr>
            <w:tcW w:w="1725" w:type="dxa"/>
            <w:tcBorders>
              <w:top w:val="single" w:color="000000" w:sz="6" w:space="0"/>
              <w:left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≤50</w:t>
            </w:r>
          </w:p>
        </w:tc>
        <w:tc>
          <w:tcPr>
            <w:tcW w:w="2070" w:type="dxa"/>
            <w:tcBorders>
              <w:top w:val="single" w:color="000000" w:sz="6" w:space="0"/>
              <w:lef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≤50</w:t>
            </w:r>
          </w:p>
        </w:tc>
      </w:tr>
    </w:tbl>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color w:val="000000" w:themeColor="text1"/>
          <w:sz w:val="21"/>
          <w:szCs w:val="21"/>
          <w:highlight w:val="none"/>
          <w:lang w:val="en-US" w:eastAsia="zh-CN"/>
        </w:rPr>
      </w:pP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color w:val="000000" w:themeColor="text1"/>
          <w:sz w:val="21"/>
          <w:szCs w:val="21"/>
          <w:highlight w:val="none"/>
          <w:lang w:val="en-US" w:eastAsia="zh-CN"/>
        </w:rPr>
      </w:pPr>
      <w:r>
        <w:rPr>
          <w:rFonts w:hint="eastAsia" w:ascii="宋体" w:hAnsi="宋体" w:eastAsia="宋体" w:cs="宋体"/>
          <w:b/>
          <w:color w:val="000000" w:themeColor="text1"/>
          <w:sz w:val="21"/>
          <w:szCs w:val="21"/>
          <w:highlight w:val="none"/>
          <w:lang w:val="en-US" w:eastAsia="zh-CN"/>
        </w:rPr>
        <w:t>03包组：糕点类：包子、馒头、蛋糕等各种糕点</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lang w:val="en-US" w:eastAsia="zh-CN"/>
        </w:rPr>
        <w:t>1）糕点类的基本要求</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 xml:space="preserve"> 产品质量必须符合国家行业标准要求，有明确的商品标签，有生产日期、保质期、质量等级，不得有掺假、变质、变味、过期等现象出现，运输过程</w:t>
      </w:r>
      <w:r>
        <w:rPr>
          <w:rFonts w:hint="eastAsia" w:ascii="宋体" w:hAnsi="宋体" w:eastAsia="宋体" w:cs="宋体"/>
          <w:bCs/>
          <w:color w:val="000000" w:themeColor="text1"/>
          <w:sz w:val="21"/>
          <w:szCs w:val="21"/>
          <w:highlight w:val="none"/>
          <w:lang w:eastAsia="zh-CN"/>
        </w:rPr>
        <w:t>必须符合糕点运输的国家标准要求</w:t>
      </w:r>
      <w:r>
        <w:rPr>
          <w:rFonts w:hint="eastAsia" w:ascii="宋体" w:hAnsi="宋体" w:eastAsia="宋体" w:cs="宋体"/>
          <w:bCs/>
          <w:color w:val="000000" w:themeColor="text1"/>
          <w:sz w:val="21"/>
          <w:szCs w:val="21"/>
          <w:highlight w:val="none"/>
        </w:rPr>
        <w:t>，送达目的地时</w:t>
      </w:r>
      <w:r>
        <w:rPr>
          <w:rFonts w:hint="eastAsia" w:ascii="宋体" w:hAnsi="宋体" w:eastAsia="宋体" w:cs="宋体"/>
          <w:bCs/>
          <w:color w:val="000000" w:themeColor="text1"/>
          <w:sz w:val="21"/>
          <w:szCs w:val="21"/>
          <w:highlight w:val="none"/>
          <w:lang w:eastAsia="zh-CN"/>
        </w:rPr>
        <w:t>糕点新鲜，</w:t>
      </w:r>
      <w:r>
        <w:rPr>
          <w:rFonts w:hint="eastAsia" w:ascii="宋体" w:hAnsi="宋体" w:eastAsia="宋体" w:cs="宋体"/>
          <w:bCs/>
          <w:color w:val="000000" w:themeColor="text1"/>
          <w:sz w:val="21"/>
          <w:szCs w:val="21"/>
          <w:highlight w:val="none"/>
        </w:rPr>
        <w:t>外包装箱干爽，无软化现象</w:t>
      </w:r>
      <w:r>
        <w:rPr>
          <w:rFonts w:hint="eastAsia" w:ascii="宋体" w:hAnsi="宋体" w:eastAsia="宋体" w:cs="宋体"/>
          <w:bCs/>
          <w:color w:val="000000" w:themeColor="text1"/>
          <w:sz w:val="21"/>
          <w:szCs w:val="21"/>
          <w:highlight w:val="none"/>
          <w:lang w:eastAsia="zh-CN"/>
        </w:rPr>
        <w:t>等</w:t>
      </w:r>
      <w:r>
        <w:rPr>
          <w:rFonts w:hint="eastAsia" w:ascii="宋体" w:hAnsi="宋体" w:eastAsia="宋体" w:cs="宋体"/>
          <w:bCs/>
          <w:color w:val="000000" w:themeColor="text1"/>
          <w:sz w:val="21"/>
          <w:szCs w:val="21"/>
          <w:highlight w:val="none"/>
        </w:rPr>
        <w:t>。</w:t>
      </w:r>
    </w:p>
    <w:p>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五</w:t>
      </w:r>
      <w:r>
        <w:rPr>
          <w:rFonts w:hint="eastAsia" w:ascii="宋体" w:hAnsi="宋体" w:eastAsia="宋体" w:cs="宋体"/>
          <w:b/>
          <w:bCs/>
          <w:color w:val="000000" w:themeColor="text1"/>
          <w:sz w:val="21"/>
          <w:szCs w:val="21"/>
          <w:highlight w:val="none"/>
        </w:rPr>
        <w:t>、项目其它要求</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 中标供应商在食品配送过程中如出现需向采购人支付经济赔偿金、违约罚金等相关费用时，采购人可直接在每月食品配送结算金额或履约金中扣除，如金额不足以支付时，差额部分中标供应商需另行向采购人支付。</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2. 中标供应商因违反合同约定给采购人造成重大影响或经济损失，由此所造成采购人的经济损失以及引致的法律责任由中标供应商承担。</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3. 非采购人的原因而出现食品质量问题，由中标供应商负责更换或退货，并承担因此而产生的一切责任及费用。</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4. 采购人对中标供应商食品配送工作进行不定期抽查考核，原则上每月考核一次。</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 中标供应商有以下行为，经调查属实的，采购人将立即解除相关供应合同：</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5.1 弄虚作假，提供虚假材料取得中标资格的；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5.2 因所供货物质量原因导致发生食品安全事故的；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5.3 中标后将项目转包、分包行为的；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5.4 无正当理由拒绝履行合同向采购人供货的；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5.5 有行贿、给回扣等不正当竞争行为的；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5.6 所供应食品存在故意假冒伪劣行为的；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5.7 经营情况发生重大变化，已经不具备承接中标供应项目能力的；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default"/>
          <w:color w:val="000000" w:themeColor="text1"/>
          <w:highlight w:val="none"/>
          <w:lang w:val="en-US" w:eastAsia="zh-CN"/>
        </w:rPr>
      </w:pPr>
      <w:r>
        <w:rPr>
          <w:rFonts w:hint="eastAsia" w:ascii="宋体" w:hAnsi="宋体" w:eastAsia="宋体" w:cs="宋体"/>
          <w:bCs/>
          <w:color w:val="000000" w:themeColor="text1"/>
          <w:sz w:val="21"/>
          <w:szCs w:val="21"/>
          <w:highlight w:val="none"/>
        </w:rPr>
        <w:t>5.8 违反招标文件和合同相关管理规定，或有其它违法违纪行为的。</w:t>
      </w:r>
      <w:r>
        <w:rPr>
          <w:rFonts w:hint="default"/>
          <w:color w:val="000000" w:themeColor="text1"/>
          <w:highlight w:val="none"/>
          <w:lang w:val="en-US" w:eastAsia="zh-CN"/>
        </w:rPr>
        <w:br w:type="page"/>
      </w:r>
    </w:p>
    <w:p>
      <w:pPr>
        <w:spacing w:line="240" w:lineRule="auto"/>
        <w:jc w:val="left"/>
        <w:rPr>
          <w:rFonts w:hint="eastAsia" w:ascii="宋体" w:hAnsi="宋体" w:cs="宋体"/>
          <w:b/>
          <w:bCs/>
          <w:color w:val="000000" w:themeColor="text1"/>
          <w:highlight w:val="none"/>
        </w:rPr>
      </w:pPr>
      <w:r>
        <w:rPr>
          <w:rFonts w:hint="eastAsia" w:ascii="宋体" w:hAnsi="宋体" w:cs="宋体"/>
          <w:b/>
          <w:bCs/>
          <w:color w:val="000000" w:themeColor="text1"/>
          <w:highlight w:val="none"/>
        </w:rPr>
        <w:t xml:space="preserve">附件                            </w:t>
      </w:r>
    </w:p>
    <w:p>
      <w:pPr>
        <w:spacing w:line="240" w:lineRule="auto"/>
        <w:jc w:val="center"/>
        <w:rPr>
          <w:rFonts w:hint="eastAsia" w:ascii="宋体" w:hAnsi="宋体" w:cs="宋体"/>
          <w:b/>
          <w:bCs/>
          <w:color w:val="000000" w:themeColor="text1"/>
          <w:highlight w:val="none"/>
        </w:rPr>
      </w:pPr>
      <w:r>
        <w:rPr>
          <w:rFonts w:hint="eastAsia" w:ascii="宋体" w:hAnsi="宋体" w:cs="宋体"/>
          <w:b/>
          <w:bCs/>
          <w:color w:val="000000" w:themeColor="text1"/>
          <w:highlight w:val="none"/>
        </w:rPr>
        <w:t>配送服务质量考核评价办法</w:t>
      </w:r>
    </w:p>
    <w:p>
      <w:pPr>
        <w:spacing w:line="240" w:lineRule="auto"/>
        <w:rPr>
          <w:rFonts w:hint="eastAsia" w:ascii="宋体" w:hAnsi="宋体" w:cs="宋体"/>
          <w:color w:val="000000" w:themeColor="text1"/>
          <w:highlight w:val="none"/>
        </w:rPr>
      </w:pPr>
    </w:p>
    <w:p>
      <w:pPr>
        <w:spacing w:line="360" w:lineRule="auto"/>
        <w:rPr>
          <w:rFonts w:hint="eastAsia" w:ascii="宋体" w:hAnsi="宋体" w:cs="宋体"/>
          <w:color w:val="000000" w:themeColor="text1"/>
          <w:highlight w:val="none"/>
        </w:rPr>
      </w:pPr>
      <w:r>
        <w:rPr>
          <w:rFonts w:hint="eastAsia" w:ascii="宋体" w:hAnsi="宋体" w:cs="宋体"/>
          <w:color w:val="000000" w:themeColor="text1"/>
          <w:highlight w:val="none"/>
        </w:rPr>
        <w:t>1、每月综合服务满意度满分为100分，合格标准为90分，满意度低于90分的每下降1%扣除当月结算金额的1%。半年内累计出现低于合格满意度次数超过3次的，采购人有权解除合同。</w:t>
      </w:r>
    </w:p>
    <w:p>
      <w:pPr>
        <w:spacing w:line="360" w:lineRule="auto"/>
        <w:rPr>
          <w:rFonts w:hint="eastAsia" w:ascii="宋体" w:hAnsi="宋体" w:cs="宋体"/>
          <w:color w:val="000000" w:themeColor="text1"/>
          <w:highlight w:val="none"/>
        </w:rPr>
      </w:pPr>
      <w:r>
        <w:rPr>
          <w:rFonts w:hint="eastAsia" w:ascii="宋体" w:hAnsi="宋体" w:cs="宋体"/>
          <w:color w:val="000000" w:themeColor="text1"/>
          <w:highlight w:val="none"/>
        </w:rPr>
        <w:t>2、中标供应商需及时对采购人提出的存在问题作出响应并实施整改，次月未作出整改的，采购人将发出警告信1次，连续因同一问题发出警告信息3次，采购人有权终止其供货资格。</w:t>
      </w:r>
    </w:p>
    <w:p>
      <w:pPr>
        <w:spacing w:line="360" w:lineRule="auto"/>
        <w:rPr>
          <w:rFonts w:hint="eastAsia" w:ascii="宋体" w:hAnsi="宋体" w:cs="宋体"/>
          <w:color w:val="000000" w:themeColor="text1"/>
          <w:highlight w:val="none"/>
        </w:rPr>
      </w:pPr>
      <w:r>
        <w:rPr>
          <w:rFonts w:hint="eastAsia" w:ascii="宋体" w:hAnsi="宋体" w:cs="宋体"/>
          <w:color w:val="000000" w:themeColor="text1"/>
          <w:highlight w:val="none"/>
        </w:rPr>
        <w:t>3、提前终止供货服务的一周前，需以书面形式通知对方。</w:t>
      </w:r>
    </w:p>
    <w:tbl>
      <w:tblPr>
        <w:tblStyle w:val="46"/>
        <w:tblW w:w="9893" w:type="dxa"/>
        <w:jc w:val="center"/>
        <w:tblLayout w:type="fixed"/>
        <w:tblCellMar>
          <w:top w:w="0" w:type="dxa"/>
          <w:left w:w="0" w:type="dxa"/>
          <w:bottom w:w="0" w:type="dxa"/>
          <w:right w:w="0" w:type="dxa"/>
        </w:tblCellMar>
      </w:tblPr>
      <w:tblGrid>
        <w:gridCol w:w="1160"/>
        <w:gridCol w:w="645"/>
        <w:gridCol w:w="4250"/>
        <w:gridCol w:w="777"/>
        <w:gridCol w:w="3061"/>
      </w:tblGrid>
      <w:tr>
        <w:trPr>
          <w:trHeight w:val="440" w:hRule="atLeast"/>
          <w:jc w:val="center"/>
        </w:trPr>
        <w:tc>
          <w:tcPr>
            <w:tcW w:w="9893" w:type="dxa"/>
            <w:gridSpan w:val="5"/>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考核细则</w:t>
            </w:r>
          </w:p>
        </w:tc>
      </w:tr>
      <w:tr>
        <w:tblPrEx>
          <w:tblCellMar>
            <w:top w:w="0" w:type="dxa"/>
            <w:left w:w="0" w:type="dxa"/>
            <w:bottom w:w="0" w:type="dxa"/>
            <w:right w:w="0" w:type="dxa"/>
          </w:tblCellMar>
        </w:tblPrEx>
        <w:trPr>
          <w:trHeight w:val="380" w:hRule="atLeast"/>
          <w:jc w:val="center"/>
        </w:trPr>
        <w:tc>
          <w:tcPr>
            <w:tcW w:w="11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项目</w:t>
            </w: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序号</w:t>
            </w:r>
          </w:p>
        </w:tc>
        <w:tc>
          <w:tcPr>
            <w:tcW w:w="42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评分细则</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扣分</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备注</w:t>
            </w:r>
          </w:p>
        </w:tc>
      </w:tr>
      <w:tr>
        <w:tblPrEx>
          <w:tblCellMar>
            <w:top w:w="0" w:type="dxa"/>
            <w:left w:w="0" w:type="dxa"/>
            <w:bottom w:w="0" w:type="dxa"/>
            <w:right w:w="0" w:type="dxa"/>
          </w:tblCellMar>
        </w:tblPrEx>
        <w:trPr>
          <w:trHeight w:val="524" w:hRule="atLeast"/>
          <w:jc w:val="center"/>
        </w:trPr>
        <w:tc>
          <w:tcPr>
            <w:tcW w:w="1160" w:type="dxa"/>
            <w:vMerge w:val="restar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配送要求</w:t>
            </w: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配送车辆、实际运输不符合招标文件及合同约定的，每次扣2分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614" w:hRule="atLeast"/>
          <w:jc w:val="center"/>
        </w:trPr>
        <w:tc>
          <w:tcPr>
            <w:tcW w:w="116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在协议供货期，未在规定时间内（迟到超过半小时）完成配送、供货，每次扣3分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569" w:hRule="atLeast"/>
          <w:jc w:val="center"/>
        </w:trPr>
        <w:tc>
          <w:tcPr>
            <w:tcW w:w="116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实际配送货物少于订购数量且不能及时补充的，每次扣5分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590" w:hRule="atLeast"/>
          <w:jc w:val="center"/>
        </w:trPr>
        <w:tc>
          <w:tcPr>
            <w:tcW w:w="116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实际配送的货物与订购货物种类、质量不符，每次扣5分；未能及时更换的，采购人有权拒收，并每次加扣5分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10</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375" w:hRule="atLeast"/>
          <w:jc w:val="center"/>
        </w:trPr>
        <w:tc>
          <w:tcPr>
            <w:tcW w:w="116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相应批次的货物未能提供相关合格检验证明的，每次扣8分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8</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1420" w:hRule="atLeast"/>
          <w:jc w:val="center"/>
        </w:trPr>
        <w:tc>
          <w:tcPr>
            <w:tcW w:w="1160" w:type="dxa"/>
            <w:vMerge w:val="restar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质量要求</w:t>
            </w: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6</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食品卫生不符合要求造成食物中毒的，每次扣25分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25</w:t>
            </w:r>
          </w:p>
        </w:tc>
        <w:tc>
          <w:tcPr>
            <w:tcW w:w="30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zh-CN"/>
              </w:rPr>
              <w:t>中标供应商应承担由此造成的全部法律责任及经济损失赔偿（主要包括但不限于食物中毒人员医疗费、误工费、事故处理费等）</w:t>
            </w:r>
          </w:p>
        </w:tc>
      </w:tr>
      <w:tr>
        <w:tblPrEx>
          <w:tblCellMar>
            <w:top w:w="0" w:type="dxa"/>
            <w:left w:w="0" w:type="dxa"/>
            <w:bottom w:w="0" w:type="dxa"/>
            <w:right w:w="0" w:type="dxa"/>
          </w:tblCellMar>
        </w:tblPrEx>
        <w:trPr>
          <w:trHeight w:val="665" w:hRule="atLeast"/>
          <w:jc w:val="center"/>
        </w:trPr>
        <w:tc>
          <w:tcPr>
            <w:tcW w:w="116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7</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滥用或过量使用食品添加剂、发现使用劣质原料、抗生素、激素等有害物质，每次扣5分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345" w:hRule="atLeast"/>
          <w:jc w:val="center"/>
        </w:trPr>
        <w:tc>
          <w:tcPr>
            <w:tcW w:w="116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8</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货物品质与招标文件不符，并未能及时补充的，每次扣5分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575" w:hRule="atLeast"/>
          <w:jc w:val="center"/>
        </w:trPr>
        <w:tc>
          <w:tcPr>
            <w:tcW w:w="1160" w:type="dxa"/>
            <w:vMerge w:val="restart"/>
            <w:tcBorders>
              <w:top w:val="single" w:color="000000" w:sz="4" w:space="0"/>
              <w:left w:val="single" w:color="000000" w:sz="4" w:space="0"/>
              <w:right w:val="single" w:color="auto"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zh-CN"/>
              </w:rPr>
              <w:t>安全生产管理要求</w:t>
            </w: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9</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没有建立、健全本单位安全生产责任制，制定安全生产规章制度和操作规程，或违反制度操作的，每次扣2分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310" w:hRule="atLeast"/>
          <w:jc w:val="center"/>
        </w:trPr>
        <w:tc>
          <w:tcPr>
            <w:tcW w:w="1160" w:type="dxa"/>
            <w:vMerge w:val="continue"/>
            <w:tcBorders>
              <w:left w:val="single" w:color="000000" w:sz="4" w:space="0"/>
              <w:right w:val="single" w:color="auto"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rPr>
            </w:pP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10</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没有相关应急预案的，每次扣5分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380" w:hRule="atLeast"/>
          <w:jc w:val="center"/>
        </w:trPr>
        <w:tc>
          <w:tcPr>
            <w:tcW w:w="1160" w:type="dxa"/>
            <w:vMerge w:val="continue"/>
            <w:tcBorders>
              <w:left w:val="single" w:color="000000" w:sz="4" w:space="0"/>
              <w:right w:val="single" w:color="auto"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11</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造成重大事故或有重大事故不配合处理的，每宗扣10分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10</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315" w:hRule="atLeast"/>
          <w:jc w:val="center"/>
        </w:trPr>
        <w:tc>
          <w:tcPr>
            <w:tcW w:w="1160" w:type="dxa"/>
            <w:vMerge w:val="continue"/>
            <w:tcBorders>
              <w:left w:val="single" w:color="000000" w:sz="4" w:space="0"/>
              <w:right w:val="single" w:color="auto"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12</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未按要求及时、如实报告生产安全事故，每次扣10分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10</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350" w:hRule="atLeast"/>
          <w:jc w:val="center"/>
        </w:trPr>
        <w:tc>
          <w:tcPr>
            <w:tcW w:w="1160" w:type="dxa"/>
            <w:vMerge w:val="continue"/>
            <w:tcBorders>
              <w:left w:val="single" w:color="000000" w:sz="4" w:space="0"/>
              <w:bottom w:val="single" w:color="000000" w:sz="4" w:space="0"/>
              <w:right w:val="single" w:color="auto"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13</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提供资料弄虚作假的，每次扣5分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1040" w:hRule="atLeast"/>
          <w:jc w:val="center"/>
        </w:trPr>
        <w:tc>
          <w:tcPr>
            <w:tcW w:w="11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zh-CN"/>
              </w:rPr>
              <w:t>其他</w:t>
            </w: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14</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有违反招标文件及合同规定的其他违约事件的，每发现1次，需按违约性质并结合上述违约类型，每次扣5分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bl>
    <w:p>
      <w:pPr>
        <w:rPr>
          <w:color w:val="000000" w:themeColor="text1"/>
          <w:highlight w:val="none"/>
        </w:rPr>
      </w:pPr>
    </w:p>
    <w:p>
      <w:pPr>
        <w:rPr>
          <w:color w:val="000000" w:themeColor="text1"/>
          <w:highlight w:val="none"/>
        </w:rPr>
      </w:pPr>
    </w:p>
    <w:p>
      <w:pPr>
        <w:rPr>
          <w:rFonts w:hint="eastAsia"/>
          <w:color w:val="000000" w:themeColor="text1"/>
          <w:highlight w:val="none"/>
        </w:rPr>
      </w:pPr>
      <w:r>
        <w:rPr>
          <w:rFonts w:hint="eastAsia"/>
          <w:color w:val="000000" w:themeColor="text1"/>
          <w:highlight w:val="none"/>
        </w:rPr>
        <w:br w:type="page"/>
      </w:r>
    </w:p>
    <w:p>
      <w:pPr>
        <w:pStyle w:val="3"/>
        <w:numPr>
          <w:ilvl w:val="0"/>
          <w:numId w:val="0"/>
        </w:numPr>
        <w:spacing w:beforeLines="0" w:line="240" w:lineRule="auto"/>
        <w:rPr>
          <w:color w:val="000000" w:themeColor="text1"/>
          <w:highlight w:val="none"/>
        </w:rPr>
      </w:pPr>
      <w:bookmarkStart w:id="115" w:name="_Toc20100"/>
      <w:r>
        <w:rPr>
          <w:rFonts w:hint="eastAsia"/>
          <w:color w:val="000000" w:themeColor="text1"/>
          <w:highlight w:val="none"/>
        </w:rPr>
        <w:t>第三部分 投标人须知</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5"/>
    </w:p>
    <w:p>
      <w:pPr>
        <w:pStyle w:val="4"/>
        <w:numPr>
          <w:ilvl w:val="0"/>
          <w:numId w:val="0"/>
        </w:numPr>
        <w:rPr>
          <w:rFonts w:hint="eastAsia"/>
          <w:color w:val="000000" w:themeColor="text1"/>
          <w:szCs w:val="21"/>
          <w:highlight w:val="none"/>
        </w:rPr>
      </w:pPr>
      <w:bookmarkStart w:id="116" w:name="_Toc2623"/>
      <w:bookmarkStart w:id="117" w:name="_Toc456648358"/>
      <w:bookmarkStart w:id="118" w:name="_Toc456272919"/>
      <w:bookmarkStart w:id="119" w:name="_Toc434832495"/>
      <w:r>
        <w:rPr>
          <w:rFonts w:hint="eastAsia"/>
          <w:color w:val="000000" w:themeColor="text1"/>
          <w:szCs w:val="21"/>
          <w:highlight w:val="none"/>
        </w:rPr>
        <w:t>投标人须知前附表</w:t>
      </w:r>
      <w:bookmarkEnd w:id="116"/>
      <w:bookmarkEnd w:id="117"/>
      <w:bookmarkEnd w:id="118"/>
      <w:bookmarkEnd w:id="119"/>
    </w:p>
    <w:tbl>
      <w:tblPr>
        <w:tblStyle w:val="46"/>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rPr>
            </w:pPr>
            <w:r>
              <w:rPr>
                <w:rFonts w:hint="eastAsia"/>
                <w:color w:val="000000" w:themeColor="text1"/>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bCs/>
                <w:color w:val="000000" w:themeColor="text1"/>
                <w:highlight w:val="none"/>
              </w:rPr>
              <w:t>评标委员会</w:t>
            </w:r>
            <w:r>
              <w:rPr>
                <w:rFonts w:hint="eastAsia" w:ascii="宋体"/>
                <w:bCs/>
                <w:color w:val="000000" w:themeColor="text1"/>
                <w:highlight w:val="none"/>
                <w:lang w:val="en-US" w:eastAsia="zh-CN"/>
              </w:rPr>
              <w:t>根据政府采购相关法律法规组成</w:t>
            </w:r>
            <w:r>
              <w:rPr>
                <w:rFonts w:hint="eastAsia" w:ascii="宋体"/>
                <w:bCs/>
                <w:color w:val="000000" w:themeColor="text1"/>
                <w:highlight w:val="none"/>
              </w:rPr>
              <w:t>，评审专家根据相关法律法规及法律程序</w:t>
            </w:r>
            <w:r>
              <w:rPr>
                <w:rFonts w:hint="eastAsia" w:ascii="宋体"/>
                <w:bCs/>
                <w:color w:val="000000" w:themeColor="text1"/>
                <w:highlight w:val="none"/>
                <w:lang w:eastAsia="zh-CN"/>
              </w:rPr>
              <w:t>，</w:t>
            </w:r>
            <w:r>
              <w:rPr>
                <w:rFonts w:hint="eastAsia" w:ascii="宋体"/>
                <w:bCs/>
                <w:color w:val="000000" w:themeColor="text1"/>
                <w:highlight w:val="none"/>
              </w:rPr>
              <w:t>依据本次采购活动的特点和需要在政府指定的专家库中随机抽取产生,</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w:t>
            </w:r>
            <w:r>
              <w:rPr>
                <w:rFonts w:hint="eastAsia" w:ascii="宋体"/>
                <w:b/>
                <w:bCs/>
                <w:color w:val="000000" w:themeColor="text1"/>
                <w:highlight w:val="none"/>
                <w:u w:val="single"/>
                <w:lang w:val="en-US" w:eastAsia="zh-CN"/>
              </w:rPr>
              <w:t>7</w:t>
            </w:r>
            <w:r>
              <w:rPr>
                <w:rFonts w:ascii="宋体"/>
                <w:b/>
                <w:bCs/>
                <w:color w:val="000000" w:themeColor="text1"/>
                <w:highlight w:val="none"/>
                <w:u w:val="single"/>
              </w:rPr>
              <w:t xml:space="preserve"> </w:t>
            </w:r>
            <w:r>
              <w:rPr>
                <w:rFonts w:hint="eastAsia" w:ascii="宋体"/>
                <w:b/>
                <w:bCs/>
                <w:color w:val="000000" w:themeColor="text1"/>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投标资料数量和封装</w:t>
            </w:r>
            <w:r>
              <w:rPr>
                <w:rFonts w:hint="eastAsia" w:ascii="宋体" w:hAnsi="宋体"/>
                <w:color w:val="000000" w:themeColor="text1"/>
                <w:szCs w:val="21"/>
                <w:highlight w:val="none"/>
                <w:lang w:val="en-US" w:eastAsia="zh-CN"/>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rPr>
            </w:pPr>
            <w:r>
              <w:rPr>
                <w:rFonts w:hint="eastAsia" w:ascii="宋体" w:hAnsi="宋体"/>
                <w:b/>
                <w:bCs/>
                <w:color w:val="000000" w:themeColor="text1"/>
                <w:szCs w:val="21"/>
                <w:highlight w:val="none"/>
                <w:lang w:val="en-US" w:eastAsia="zh-CN"/>
              </w:rPr>
              <w:t>共提供4份</w:t>
            </w:r>
            <w:r>
              <w:rPr>
                <w:rFonts w:hint="eastAsia" w:ascii="宋体" w:hAnsi="宋体"/>
                <w:b/>
                <w:bCs/>
                <w:color w:val="000000" w:themeColor="text1"/>
                <w:szCs w:val="21"/>
                <w:highlight w:val="none"/>
              </w:rPr>
              <w:t>投标</w:t>
            </w:r>
            <w:r>
              <w:rPr>
                <w:rFonts w:hint="eastAsia" w:ascii="宋体" w:hAnsi="宋体"/>
                <w:b/>
                <w:bCs/>
                <w:color w:val="000000" w:themeColor="text1"/>
                <w:szCs w:val="21"/>
                <w:highlight w:val="none"/>
                <w:lang w:val="en-US" w:eastAsia="zh-CN"/>
              </w:rPr>
              <w:t>资料，分别封装：</w:t>
            </w:r>
            <w:r>
              <w:rPr>
                <w:rFonts w:hint="eastAsia" w:ascii="宋体" w:hAnsi="宋体"/>
                <w:b/>
                <w:bCs/>
                <w:color w:val="000000" w:themeColor="text1"/>
                <w:szCs w:val="21"/>
                <w:highlight w:val="none"/>
                <w:lang w:val="en-US" w:eastAsia="zh-CN"/>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1、</w:t>
            </w:r>
            <w:r>
              <w:rPr>
                <w:rFonts w:hint="eastAsia" w:ascii="宋体" w:hAnsi="宋体"/>
                <w:b/>
                <w:bCs/>
                <w:color w:val="000000" w:themeColor="text1"/>
                <w:szCs w:val="21"/>
                <w:highlight w:val="none"/>
              </w:rPr>
              <w:t>资格审查文件</w:t>
            </w:r>
            <w:r>
              <w:rPr>
                <w:rFonts w:hint="eastAsia" w:ascii="宋体" w:hAnsi="宋体"/>
                <w:b/>
                <w:bCs/>
                <w:color w:val="000000" w:themeColor="text1"/>
                <w:szCs w:val="21"/>
                <w:highlight w:val="none"/>
                <w:lang w:eastAsia="zh-CN"/>
              </w:rPr>
              <w:t>。</w:t>
            </w:r>
            <w:r>
              <w:rPr>
                <w:rFonts w:hint="eastAsia"/>
                <w:color w:val="000000" w:themeColor="text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6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商务及技术文件</w:t>
            </w:r>
            <w:r>
              <w:rPr>
                <w:rFonts w:hint="eastAsia" w:ascii="宋体" w:hAnsi="宋体"/>
                <w:b/>
                <w:bCs/>
                <w:color w:val="000000" w:themeColor="text1"/>
                <w:szCs w:val="2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6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7"/>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rPr>
              <w:t>开标信封</w:t>
            </w:r>
            <w:r>
              <w:rPr>
                <w:rFonts w:hint="eastAsia"/>
                <w:b/>
                <w:bCs/>
                <w:color w:val="000000" w:themeColor="text1"/>
                <w:szCs w:val="21"/>
                <w:highlight w:val="none"/>
                <w:lang w:eastAsia="zh-CN"/>
              </w:rPr>
              <w:t>。</w:t>
            </w:r>
            <w:r>
              <w:rPr>
                <w:rFonts w:hint="eastAsia"/>
                <w:color w:val="000000" w:themeColor="text1"/>
                <w:highlight w:val="none"/>
                <w:lang w:val="en-US" w:eastAsia="zh-CN"/>
              </w:rPr>
              <w:t>（内含“开标一览表”、“投标保证金”“保证金退付书”、“法定代表人（负责人）证明书”和“法定代表人（负责人）授权书”</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lang w:val="en-US" w:eastAsia="zh-CN"/>
              </w:rPr>
              <w:t>4、</w:t>
            </w:r>
            <w:r>
              <w:rPr>
                <w:rFonts w:hint="eastAsia"/>
                <w:b/>
                <w:bCs/>
                <w:color w:val="000000" w:themeColor="text1"/>
                <w:highlight w:val="none"/>
                <w:lang w:val="en-US" w:eastAsia="zh-CN"/>
              </w:rPr>
              <w:t>投标文件电子版。</w:t>
            </w:r>
            <w:r>
              <w:rPr>
                <w:rFonts w:hint="eastAsia"/>
                <w:color w:val="000000" w:themeColor="text1"/>
                <w:highlight w:val="none"/>
                <w:lang w:val="en-US" w:eastAsia="zh-CN"/>
              </w:rPr>
              <w:t>（以光盘或U盘提供，内含PDF及可编辑的投标文件电子版1份，</w:t>
            </w:r>
            <w:r>
              <w:rPr>
                <w:rFonts w:hint="eastAsia"/>
                <w:color w:val="000000" w:themeColor="text1"/>
                <w:szCs w:val="21"/>
                <w:highlight w:val="none"/>
              </w:rPr>
              <w:t>在封面上注明“</w:t>
            </w:r>
            <w:r>
              <w:rPr>
                <w:rFonts w:hint="eastAsia"/>
                <w:color w:val="000000" w:themeColor="text1"/>
                <w:szCs w:val="21"/>
                <w:highlight w:val="none"/>
                <w:lang w:val="en-US" w:eastAsia="zh-CN"/>
              </w:rPr>
              <w:t>公司名称-</w:t>
            </w:r>
            <w:r>
              <w:rPr>
                <w:rFonts w:hint="eastAsia"/>
                <w:color w:val="000000" w:themeColor="text1"/>
                <w:highlight w:val="none"/>
                <w:lang w:val="en-US" w:eastAsia="zh-CN"/>
              </w:rPr>
              <w:t>投标文件电子版</w:t>
            </w:r>
            <w:r>
              <w:rPr>
                <w:rFonts w:hint="eastAsia"/>
                <w:color w:val="000000" w:themeColor="text1"/>
                <w:szCs w:val="21"/>
                <w:highlight w:val="none"/>
              </w:rPr>
              <w:t>”</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hAnsi="宋体"/>
                <w:b/>
                <w:bCs w:val="0"/>
                <w:color w:val="000000" w:themeColor="text1"/>
                <w:szCs w:val="21"/>
                <w:highlight w:val="none"/>
                <w:lang w:val="en-US" w:eastAsia="zh-CN"/>
              </w:rPr>
              <w:t>所有投标资料</w:t>
            </w:r>
            <w:r>
              <w:rPr>
                <w:rFonts w:hint="eastAsia" w:ascii="宋体"/>
                <w:bCs/>
                <w:color w:val="000000" w:themeColor="text1"/>
                <w:szCs w:val="21"/>
                <w:highlight w:val="none"/>
              </w:rPr>
              <w:t>分别</w:t>
            </w:r>
            <w:r>
              <w:rPr>
                <w:rFonts w:hint="eastAsia" w:ascii="宋体" w:hAnsi="宋体"/>
                <w:bCs/>
                <w:color w:val="000000" w:themeColor="text1"/>
                <w:szCs w:val="21"/>
                <w:highlight w:val="none"/>
              </w:rPr>
              <w:t>密封在不透明的外层封装中，</w:t>
            </w:r>
            <w:r>
              <w:rPr>
                <w:rFonts w:hint="eastAsia"/>
                <w:color w:val="000000" w:themeColor="text1"/>
                <w:szCs w:val="21"/>
                <w:highlight w:val="none"/>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bCs/>
                <w:color w:val="000000" w:themeColor="text1"/>
                <w:highlight w:val="none"/>
              </w:rPr>
              <w:t>每一密封封</w:t>
            </w:r>
            <w:r>
              <w:rPr>
                <w:rFonts w:hint="eastAsia" w:ascii="宋体"/>
                <w:bCs/>
                <w:color w:val="000000" w:themeColor="text1"/>
                <w:highlight w:val="none"/>
                <w:lang w:val="en-US" w:eastAsia="zh-CN"/>
              </w:rPr>
              <w:t>装</w:t>
            </w:r>
            <w:r>
              <w:rPr>
                <w:rFonts w:hint="eastAsia" w:ascii="宋体"/>
                <w:bCs/>
                <w:color w:val="000000" w:themeColor="text1"/>
                <w:highlight w:val="none"/>
              </w:rPr>
              <w:t>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rPr>
            </w:pPr>
            <w:r>
              <w:rPr>
                <w:rFonts w:hint="eastAsia" w:ascii="宋体"/>
                <w:bCs/>
                <w:color w:val="000000" w:themeColor="text1"/>
                <w:highlight w:val="none"/>
              </w:rPr>
              <w:t>投标人未按上述规定对投标文件进行密封和加写标记，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r>
              <w:rPr>
                <w:b/>
                <w:bCs/>
                <w:color w:val="000000" w:themeColor="text1"/>
                <w:szCs w:val="21"/>
                <w:highlight w:val="none"/>
              </w:rPr>
              <w:t>所有投标文件密封袋的封口处应加盖投标人</w:t>
            </w:r>
            <w:r>
              <w:rPr>
                <w:rFonts w:hint="eastAsia"/>
                <w:b/>
                <w:bCs/>
                <w:color w:val="000000" w:themeColor="text1"/>
                <w:szCs w:val="21"/>
                <w:highlight w:val="none"/>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rPr>
            </w:pPr>
            <w:r>
              <w:rPr>
                <w:rFonts w:hint="eastAsia"/>
                <w:b/>
                <w:color w:val="000000" w:themeColor="text1"/>
                <w:sz w:val="21"/>
                <w:szCs w:val="21"/>
                <w:highlight w:val="none"/>
              </w:rPr>
              <w:t>招标文件中打“★”号条款必须实质性响应，负偏离（不满足要求）将导致投标无效。</w:t>
            </w:r>
          </w:p>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rPr>
            </w:pPr>
            <w:r>
              <w:rPr>
                <w:rFonts w:hint="eastAsia"/>
                <w:b/>
                <w:color w:val="000000" w:themeColor="text1"/>
                <w:sz w:val="21"/>
                <w:szCs w:val="21"/>
                <w:highlight w:val="none"/>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rFonts w:ascii="宋体" w:hAnsi="宋体"/>
                <w:color w:val="000000" w:themeColor="text1"/>
                <w:szCs w:val="21"/>
                <w:highlight w:val="none"/>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pPr>
        <w:pStyle w:val="5"/>
        <w:ind w:left="0" w:leftChars="0" w:firstLine="0" w:firstLineChars="0"/>
        <w:rPr>
          <w:rFonts w:hint="eastAsia"/>
          <w:color w:val="000000" w:themeColor="text1"/>
          <w:szCs w:val="21"/>
          <w:highlight w:val="none"/>
        </w:rPr>
      </w:pPr>
    </w:p>
    <w:p>
      <w:pPr>
        <w:pStyle w:val="5"/>
        <w:ind w:left="0" w:leftChars="0" w:firstLine="0" w:firstLineChars="0"/>
        <w:rPr>
          <w:rFonts w:hint="eastAsia"/>
          <w:color w:val="000000" w:themeColor="text1"/>
          <w:szCs w:val="21"/>
          <w:highlight w:val="none"/>
        </w:rPr>
      </w:pPr>
    </w:p>
    <w:p>
      <w:pPr>
        <w:pStyle w:val="4"/>
        <w:numPr>
          <w:ilvl w:val="0"/>
          <w:numId w:val="0"/>
        </w:numPr>
        <w:rPr>
          <w:color w:val="000000" w:themeColor="text1"/>
          <w:sz w:val="24"/>
          <w:highlight w:val="none"/>
        </w:rPr>
      </w:pPr>
      <w:bookmarkStart w:id="120" w:name="_Hlt21938668"/>
      <w:bookmarkEnd w:id="120"/>
      <w:bookmarkStart w:id="121" w:name="_Hlt21938665"/>
      <w:bookmarkEnd w:id="121"/>
      <w:bookmarkStart w:id="122" w:name="_Toc339362268"/>
      <w:bookmarkStart w:id="123" w:name="_Toc349143557"/>
      <w:bookmarkStart w:id="124" w:name="_Toc333935655"/>
      <w:bookmarkStart w:id="125" w:name="_Toc333237645"/>
      <w:bookmarkStart w:id="126" w:name="_Toc349127594"/>
      <w:bookmarkStart w:id="127" w:name="_Toc339019983"/>
      <w:bookmarkStart w:id="128" w:name="_Toc350438717"/>
      <w:bookmarkStart w:id="129" w:name="_Toc503785396"/>
      <w:bookmarkStart w:id="130" w:name="_Toc18745"/>
      <w:bookmarkStart w:id="131" w:name="_Toc336681548"/>
      <w:bookmarkStart w:id="132" w:name="_Toc340677038"/>
      <w:bookmarkStart w:id="133" w:name="_Toc365967041"/>
      <w:bookmarkStart w:id="134" w:name="_Toc340672837"/>
      <w:bookmarkStart w:id="135" w:name="_Toc337632326"/>
      <w:bookmarkStart w:id="136" w:name="_Toc339020201"/>
      <w:bookmarkStart w:id="137" w:name="_Toc339019857"/>
      <w:bookmarkStart w:id="138" w:name="_Toc342060342"/>
      <w:bookmarkStart w:id="139" w:name="_Toc350756418"/>
      <w:bookmarkStart w:id="140" w:name="_Toc345513835"/>
      <w:bookmarkStart w:id="141" w:name="_Toc497224194"/>
      <w:bookmarkStart w:id="142" w:name="_Toc333935314"/>
      <w:bookmarkStart w:id="143" w:name="_Toc342296728"/>
      <w:bookmarkStart w:id="144" w:name="_Toc336681903"/>
      <w:bookmarkStart w:id="145" w:name="_Toc332270314"/>
      <w:bookmarkStart w:id="146" w:name="_Toc330459953"/>
      <w:bookmarkStart w:id="147" w:name="_Toc333238601"/>
      <w:bookmarkStart w:id="148" w:name="_Toc340507410"/>
      <w:bookmarkStart w:id="149" w:name="_Toc332206676"/>
      <w:bookmarkStart w:id="150" w:name="_Toc366072496"/>
      <w:bookmarkStart w:id="151" w:name="_Toc341348306"/>
      <w:bookmarkStart w:id="152" w:name="_Toc365985147"/>
      <w:bookmarkStart w:id="153" w:name="_Toc339441055"/>
      <w:bookmarkStart w:id="154" w:name="_Toc331684006"/>
      <w:bookmarkStart w:id="155" w:name="_Toc333237756"/>
      <w:bookmarkStart w:id="156" w:name="_Toc339020063"/>
      <w:bookmarkStart w:id="157" w:name="_Toc331512866"/>
      <w:r>
        <w:rPr>
          <w:rFonts w:hint="eastAsia"/>
          <w:color w:val="000000" w:themeColor="text1"/>
          <w:sz w:val="24"/>
          <w:highlight w:val="none"/>
        </w:rPr>
        <w:t>Ａ说明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6"/>
        <w:numPr>
          <w:ilvl w:val="4"/>
          <w:numId w:val="28"/>
        </w:numPr>
        <w:tabs>
          <w:tab w:val="left" w:pos="720"/>
        </w:tabs>
        <w:spacing w:before="240" w:after="120"/>
        <w:ind w:left="2432" w:hanging="2432"/>
        <w:rPr>
          <w:color w:val="000000" w:themeColor="text1"/>
          <w:highlight w:val="none"/>
        </w:rPr>
      </w:pPr>
      <w:bookmarkStart w:id="158" w:name="_Toc503785397"/>
      <w:bookmarkStart w:id="159" w:name="_Toc497224195"/>
      <w:bookmarkStart w:id="160" w:name="_Toc332270315"/>
      <w:bookmarkStart w:id="161" w:name="_Toc333935656"/>
      <w:bookmarkStart w:id="162" w:name="_Toc339020202"/>
      <w:bookmarkStart w:id="163" w:name="_Toc339362269"/>
      <w:bookmarkStart w:id="164" w:name="_Toc333237646"/>
      <w:bookmarkStart w:id="165" w:name="_Toc331684007"/>
      <w:bookmarkStart w:id="166" w:name="_Toc337632327"/>
      <w:bookmarkStart w:id="167" w:name="_Toc342296729"/>
      <w:bookmarkStart w:id="168" w:name="_Toc340507411"/>
      <w:bookmarkStart w:id="169" w:name="_Toc365985148"/>
      <w:bookmarkStart w:id="170" w:name="_Toc350756419"/>
      <w:bookmarkStart w:id="171" w:name="_Toc345513836"/>
      <w:bookmarkStart w:id="172" w:name="_Toc336681549"/>
      <w:bookmarkStart w:id="173" w:name="_Toc340677039"/>
      <w:bookmarkStart w:id="174" w:name="_Toc339020064"/>
      <w:bookmarkStart w:id="175" w:name="_Toc333238602"/>
      <w:bookmarkStart w:id="176" w:name="_Toc339019984"/>
      <w:bookmarkStart w:id="177" w:name="_Toc349143558"/>
      <w:bookmarkStart w:id="178" w:name="_Toc365967042"/>
      <w:bookmarkStart w:id="179" w:name="_Toc333237757"/>
      <w:bookmarkStart w:id="180" w:name="_Toc331512867"/>
      <w:bookmarkStart w:id="181" w:name="_Toc349127595"/>
      <w:bookmarkStart w:id="182" w:name="_Toc350438718"/>
      <w:bookmarkStart w:id="183" w:name="_Toc333935315"/>
      <w:bookmarkStart w:id="184" w:name="_Toc336681904"/>
      <w:bookmarkStart w:id="185" w:name="_Toc339441056"/>
      <w:bookmarkStart w:id="186" w:name="_Toc332206677"/>
      <w:bookmarkStart w:id="187" w:name="_Toc342060343"/>
      <w:bookmarkStart w:id="188" w:name="_Toc341348307"/>
      <w:bookmarkStart w:id="189" w:name="_Toc340672838"/>
      <w:bookmarkStart w:id="190" w:name="_Toc366072497"/>
      <w:bookmarkStart w:id="191" w:name="_Toc330459954"/>
      <w:bookmarkStart w:id="192" w:name="_Toc14009"/>
      <w:bookmarkStart w:id="193" w:name="_Toc339019858"/>
      <w:r>
        <w:rPr>
          <w:rFonts w:hint="eastAsia"/>
          <w:color w:val="000000" w:themeColor="text1"/>
          <w:highlight w:val="none"/>
        </w:rPr>
        <w:t>适用范围</w:t>
      </w:r>
      <w:bookmarkEnd w:id="158"/>
      <w:bookmarkEnd w:id="159"/>
      <w:r>
        <w:rPr>
          <w:rFonts w:hint="eastAsia"/>
          <w:color w:val="000000" w:themeColor="text1"/>
          <w:highlight w:val="none"/>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bookmarkStart w:id="194" w:name="_Toc366072498"/>
      <w:bookmarkStart w:id="195" w:name="_Toc332270316"/>
      <w:bookmarkStart w:id="196" w:name="_Toc342296730"/>
      <w:bookmarkStart w:id="197" w:name="_Toc374454571"/>
      <w:bookmarkStart w:id="198" w:name="_Toc497224196"/>
      <w:bookmarkStart w:id="199" w:name="_Toc503785398"/>
      <w:bookmarkStart w:id="200" w:name="_Toc339019985"/>
      <w:bookmarkStart w:id="201" w:name="_Toc365985149"/>
      <w:bookmarkStart w:id="202" w:name="_Toc336681550"/>
      <w:bookmarkStart w:id="203" w:name="_Toc331512868"/>
      <w:bookmarkStart w:id="204" w:name="_Toc345513837"/>
      <w:bookmarkStart w:id="205" w:name="_Toc331684008"/>
      <w:bookmarkStart w:id="206" w:name="_Toc342060344"/>
      <w:bookmarkStart w:id="207" w:name="_Toc332206678"/>
      <w:bookmarkStart w:id="208" w:name="_Toc339019859"/>
      <w:bookmarkStart w:id="209" w:name="_Toc339020065"/>
      <w:bookmarkStart w:id="210" w:name="_Toc339441057"/>
      <w:bookmarkStart w:id="211" w:name="_Toc330459955"/>
      <w:bookmarkStart w:id="212" w:name="_Toc333237758"/>
      <w:bookmarkStart w:id="213" w:name="_Toc333935316"/>
      <w:bookmarkStart w:id="214" w:name="_Toc365967043"/>
      <w:bookmarkStart w:id="215" w:name="_Toc350438719"/>
      <w:bookmarkStart w:id="216" w:name="_Toc333237647"/>
      <w:bookmarkStart w:id="217" w:name="_Toc336681905"/>
      <w:bookmarkStart w:id="218" w:name="_Toc337632328"/>
      <w:bookmarkStart w:id="219" w:name="_Toc333238603"/>
      <w:bookmarkStart w:id="220" w:name="_Toc340507412"/>
      <w:bookmarkStart w:id="221" w:name="_Toc339362270"/>
      <w:bookmarkStart w:id="222" w:name="_Toc339020203"/>
      <w:bookmarkStart w:id="223" w:name="_Toc341348308"/>
      <w:bookmarkStart w:id="224" w:name="_Toc340672839"/>
      <w:bookmarkStart w:id="225" w:name="_Toc340677040"/>
      <w:bookmarkStart w:id="226" w:name="_Toc349127596"/>
      <w:bookmarkStart w:id="227" w:name="_Toc333935657"/>
      <w:bookmarkStart w:id="228" w:name="_Toc350756420"/>
      <w:bookmarkStart w:id="229" w:name="_Toc349143559"/>
      <w:r>
        <w:rPr>
          <w:rFonts w:hint="eastAsia" w:ascii="宋体"/>
          <w:bCs/>
          <w:color w:val="000000" w:themeColor="text1"/>
          <w:highlight w:val="none"/>
        </w:rPr>
        <w:t>1</w:t>
      </w:r>
      <w:r>
        <w:rPr>
          <w:rFonts w:ascii="宋体"/>
          <w:bCs/>
          <w:color w:val="000000" w:themeColor="text1"/>
          <w:highlight w:val="none"/>
        </w:rPr>
        <w:t>.1</w:t>
      </w:r>
      <w:r>
        <w:rPr>
          <w:rFonts w:hint="eastAsia" w:ascii="宋体"/>
          <w:bCs/>
          <w:color w:val="000000" w:themeColor="text1"/>
          <w:highlight w:val="none"/>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3    本招标文件由代理采购机构负责解释。</w:t>
      </w:r>
    </w:p>
    <w:p>
      <w:pPr>
        <w:pStyle w:val="6"/>
        <w:numPr>
          <w:ilvl w:val="4"/>
          <w:numId w:val="28"/>
        </w:numPr>
        <w:tabs>
          <w:tab w:val="left" w:pos="720"/>
        </w:tabs>
        <w:spacing w:before="240" w:after="120"/>
        <w:ind w:left="2432" w:hanging="2432"/>
        <w:rPr>
          <w:color w:val="000000" w:themeColor="text1"/>
          <w:highlight w:val="none"/>
        </w:rPr>
      </w:pPr>
      <w:bookmarkStart w:id="230" w:name="_Toc11296"/>
      <w:r>
        <w:rPr>
          <w:rFonts w:hint="eastAsia"/>
          <w:color w:val="000000" w:themeColor="text1"/>
          <w:highlight w:val="none"/>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2.1</w:t>
      </w:r>
      <w:r>
        <w:rPr>
          <w:rFonts w:ascii="宋体"/>
          <w:bCs/>
          <w:color w:val="000000" w:themeColor="text1"/>
          <w:highlight w:val="none"/>
        </w:rPr>
        <w:tab/>
      </w:r>
      <w:r>
        <w:rPr>
          <w:rFonts w:hint="eastAsia" w:ascii="宋体"/>
          <w:bCs/>
          <w:color w:val="000000" w:themeColor="text1"/>
          <w:highlight w:val="none"/>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bCs/>
          <w:color w:val="000000" w:themeColor="text1"/>
          <w:highlight w:val="none"/>
        </w:rPr>
        <w:t>2</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“投标人”系指</w:t>
      </w:r>
      <w:r>
        <w:rPr>
          <w:rFonts w:hint="eastAsia" w:ascii="宋体" w:hAnsi="宋体"/>
          <w:bCs/>
          <w:color w:val="000000" w:themeColor="text1"/>
          <w:highlight w:val="none"/>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rPr>
      </w:pPr>
      <w:r>
        <w:rPr>
          <w:rFonts w:hint="eastAsia" w:ascii="宋体"/>
          <w:bCs/>
          <w:color w:val="000000" w:themeColor="text1"/>
          <w:highlight w:val="none"/>
        </w:rPr>
        <w:t>2.3</w:t>
      </w:r>
      <w:r>
        <w:rPr>
          <w:rFonts w:hint="eastAsia" w:ascii="宋体"/>
          <w:bCs/>
          <w:color w:val="000000" w:themeColor="text1"/>
          <w:highlight w:val="none"/>
        </w:rPr>
        <w:tab/>
      </w:r>
      <w:r>
        <w:rPr>
          <w:rFonts w:hint="eastAsia" w:ascii="宋体"/>
          <w:bCs/>
          <w:color w:val="000000" w:themeColor="text1"/>
          <w:highlight w:val="none"/>
        </w:rPr>
        <w:t>“采购人”系指</w:t>
      </w:r>
      <w:r>
        <w:rPr>
          <w:rFonts w:hint="eastAsia" w:ascii="宋体"/>
          <w:bCs/>
          <w:color w:val="000000" w:themeColor="text1"/>
          <w:highlight w:val="none"/>
          <w:lang w:eastAsia="zh-CN"/>
        </w:rPr>
        <w:t>阳江市实验学校</w:t>
      </w:r>
      <w:r>
        <w:rPr>
          <w:rFonts w:hint="eastAsia" w:ascii="宋体"/>
          <w:bCs/>
          <w:color w:val="000000" w:themeColor="text1"/>
          <w:highlight w:val="none"/>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bCs/>
          <w:color w:val="000000" w:themeColor="text1"/>
          <w:highlight w:val="none"/>
        </w:rPr>
        <w:t>2.4</w:t>
      </w:r>
      <w:r>
        <w:rPr>
          <w:rFonts w:hint="eastAsia" w:ascii="宋体"/>
          <w:bCs/>
          <w:color w:val="000000" w:themeColor="text1"/>
          <w:highlight w:val="none"/>
        </w:rPr>
        <w:tab/>
      </w:r>
      <w:r>
        <w:rPr>
          <w:rFonts w:hint="eastAsia" w:ascii="宋体"/>
          <w:bCs/>
          <w:color w:val="000000" w:themeColor="text1"/>
          <w:highlight w:val="none"/>
        </w:rPr>
        <w:t xml:space="preserve"> </w:t>
      </w:r>
      <w:r>
        <w:rPr>
          <w:rFonts w:ascii="宋体" w:hAnsi="宋体"/>
          <w:bCs/>
          <w:color w:val="000000" w:themeColor="text1"/>
          <w:highlight w:val="none"/>
        </w:rPr>
        <w:t>“</w:t>
      </w:r>
      <w:r>
        <w:rPr>
          <w:rFonts w:hint="eastAsia" w:ascii="宋体" w:hAnsi="宋体"/>
          <w:bCs/>
          <w:color w:val="000000" w:themeColor="text1"/>
          <w:highlight w:val="none"/>
        </w:rPr>
        <w:t>货物</w:t>
      </w:r>
      <w:r>
        <w:rPr>
          <w:rFonts w:ascii="宋体" w:hAnsi="宋体"/>
          <w:bCs/>
          <w:color w:val="000000" w:themeColor="text1"/>
          <w:highlight w:val="none"/>
        </w:rPr>
        <w:t>”</w:t>
      </w:r>
      <w:r>
        <w:rPr>
          <w:rFonts w:hint="eastAsia" w:ascii="宋体" w:hAnsi="宋体"/>
          <w:bCs/>
          <w:color w:val="000000" w:themeColor="text1"/>
          <w:highlight w:val="none"/>
        </w:rPr>
        <w:t>系指投标人根据招标文件规定，须向采购人提供的设备、材料、备品备件、工具、使用手册、软件及有关技术资料等。</w:t>
      </w:r>
    </w:p>
    <w:p>
      <w:pPr>
        <w:widowControl/>
        <w:numPr>
          <w:ilvl w:val="1"/>
          <w:numId w:val="29"/>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9"/>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“日”系指日历天。</w:t>
      </w:r>
    </w:p>
    <w:p>
      <w:pPr>
        <w:widowControl/>
        <w:numPr>
          <w:ilvl w:val="1"/>
          <w:numId w:val="29"/>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“工作日”系指国家规定除法定节假日以外的以日</w:t>
      </w:r>
      <w:r>
        <w:rPr>
          <w:rFonts w:ascii="宋体" w:hAnsi="宋体"/>
          <w:bCs/>
          <w:color w:val="000000" w:themeColor="text1"/>
          <w:highlight w:val="none"/>
        </w:rPr>
        <w:t>为计算单位的工作时间</w:t>
      </w:r>
      <w:r>
        <w:rPr>
          <w:rFonts w:hint="eastAsia" w:ascii="宋体" w:hAnsi="宋体"/>
          <w:bCs/>
          <w:color w:val="000000" w:themeColor="text1"/>
          <w:highlight w:val="none"/>
        </w:rPr>
        <w:t>。</w:t>
      </w:r>
    </w:p>
    <w:p>
      <w:pPr>
        <w:pStyle w:val="6"/>
        <w:numPr>
          <w:ilvl w:val="4"/>
          <w:numId w:val="28"/>
        </w:numPr>
        <w:tabs>
          <w:tab w:val="left" w:pos="720"/>
        </w:tabs>
        <w:spacing w:before="240" w:after="120"/>
        <w:ind w:left="2432" w:hanging="2432"/>
        <w:rPr>
          <w:color w:val="000000" w:themeColor="text1"/>
          <w:highlight w:val="none"/>
        </w:rPr>
      </w:pPr>
      <w:bookmarkStart w:id="231" w:name="_Toc503785399"/>
      <w:bookmarkStart w:id="232" w:name="_Toc497224197"/>
      <w:bookmarkStart w:id="233" w:name="_Toc336681551"/>
      <w:bookmarkStart w:id="234" w:name="_Toc337632329"/>
      <w:bookmarkStart w:id="235" w:name="_Toc342296731"/>
      <w:bookmarkStart w:id="236" w:name="_Toc341348309"/>
      <w:bookmarkStart w:id="237" w:name="_Toc340507413"/>
      <w:bookmarkStart w:id="238" w:name="_Toc6822"/>
      <w:bookmarkStart w:id="239" w:name="_Toc339441058"/>
      <w:bookmarkStart w:id="240" w:name="_Toc339020204"/>
      <w:bookmarkStart w:id="241" w:name="_Toc350756421"/>
      <w:bookmarkStart w:id="242" w:name="_Toc339019860"/>
      <w:bookmarkStart w:id="243" w:name="_Toc350438720"/>
      <w:bookmarkStart w:id="244" w:name="_Toc365967044"/>
      <w:bookmarkStart w:id="245" w:name="_Toc345513838"/>
      <w:bookmarkStart w:id="246" w:name="_Toc342060345"/>
      <w:bookmarkStart w:id="247" w:name="_Toc340672840"/>
      <w:bookmarkStart w:id="248" w:name="_Toc331512869"/>
      <w:bookmarkStart w:id="249" w:name="_Toc331684009"/>
      <w:bookmarkStart w:id="250" w:name="_Toc365985150"/>
      <w:bookmarkStart w:id="251" w:name="_Toc339019986"/>
      <w:bookmarkStart w:id="252" w:name="_Toc333238604"/>
      <w:bookmarkStart w:id="253" w:name="_Toc333935658"/>
      <w:bookmarkStart w:id="254" w:name="_Toc374454572"/>
      <w:bookmarkStart w:id="255" w:name="_Toc339362271"/>
      <w:bookmarkStart w:id="256" w:name="_Toc333237759"/>
      <w:bookmarkStart w:id="257" w:name="_Toc340677041"/>
      <w:bookmarkStart w:id="258" w:name="_Toc349127597"/>
      <w:bookmarkStart w:id="259" w:name="_Toc339020066"/>
      <w:bookmarkStart w:id="260" w:name="_Toc332206679"/>
      <w:bookmarkStart w:id="261" w:name="_Toc366072499"/>
      <w:bookmarkStart w:id="262" w:name="_Toc333237648"/>
      <w:bookmarkStart w:id="263" w:name="_Toc333935317"/>
      <w:bookmarkStart w:id="264" w:name="_Toc330459956"/>
      <w:bookmarkStart w:id="265" w:name="_Toc332270317"/>
      <w:bookmarkStart w:id="266" w:name="_Toc336681906"/>
      <w:bookmarkStart w:id="267" w:name="_Toc349143560"/>
      <w:r>
        <w:rPr>
          <w:rFonts w:hint="eastAsia"/>
          <w:color w:val="000000" w:themeColor="text1"/>
          <w:highlight w:val="none"/>
        </w:rPr>
        <w:t>合格的</w:t>
      </w:r>
      <w:bookmarkEnd w:id="231"/>
      <w:bookmarkEnd w:id="232"/>
      <w:r>
        <w:rPr>
          <w:rFonts w:hint="eastAsia"/>
          <w:color w:val="000000" w:themeColor="text1"/>
          <w:highlight w:val="none"/>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3.1</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国内有能力提供采购项目相关的工程、货物和服务且符合本项目合格投标人资格条件的投标人</w:t>
      </w:r>
      <w:r>
        <w:rPr>
          <w:rFonts w:hint="eastAsia" w:ascii="宋体"/>
          <w:bCs/>
          <w:color w:val="000000" w:themeColor="text1"/>
          <w:highlight w:val="none"/>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3.2</w:t>
      </w:r>
      <w:r>
        <w:rPr>
          <w:rFonts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szCs w:val="21"/>
          <w:highlight w:val="none"/>
        </w:rPr>
        <w:t xml:space="preserve">3.6    </w:t>
      </w:r>
      <w:r>
        <w:rPr>
          <w:bCs/>
          <w:color w:val="000000" w:themeColor="text1"/>
          <w:szCs w:val="21"/>
          <w:highlight w:val="none"/>
        </w:rPr>
        <w:t>专门面向中小微企业采购的项目，只能由中小企业或微型企业参加。</w:t>
      </w:r>
    </w:p>
    <w:p>
      <w:pPr>
        <w:pStyle w:val="6"/>
        <w:numPr>
          <w:ilvl w:val="4"/>
          <w:numId w:val="28"/>
        </w:numPr>
        <w:tabs>
          <w:tab w:val="left" w:pos="720"/>
        </w:tabs>
        <w:spacing w:before="240" w:after="120"/>
        <w:ind w:left="2432" w:hanging="2432"/>
        <w:rPr>
          <w:color w:val="000000" w:themeColor="text1"/>
          <w:highlight w:val="none"/>
        </w:rPr>
      </w:pPr>
      <w:bookmarkStart w:id="268" w:name="_Toc330459957"/>
      <w:bookmarkStart w:id="269" w:name="_Toc331684010"/>
      <w:bookmarkStart w:id="270" w:name="_Toc340677042"/>
      <w:bookmarkStart w:id="271" w:name="_Toc333237760"/>
      <w:bookmarkStart w:id="272" w:name="_Toc349143561"/>
      <w:bookmarkStart w:id="273" w:name="_Toc333935659"/>
      <w:bookmarkStart w:id="274" w:name="_Toc342060346"/>
      <w:bookmarkStart w:id="275" w:name="_Toc349127598"/>
      <w:bookmarkStart w:id="276" w:name="_Toc337632330"/>
      <w:bookmarkStart w:id="277" w:name="_Toc340507414"/>
      <w:bookmarkStart w:id="278" w:name="_Toc339441059"/>
      <w:bookmarkStart w:id="279" w:name="_Toc331512870"/>
      <w:bookmarkStart w:id="280" w:name="_Toc332270318"/>
      <w:bookmarkStart w:id="281" w:name="_Toc342296732"/>
      <w:bookmarkStart w:id="282" w:name="_Toc336681552"/>
      <w:bookmarkStart w:id="283" w:name="_Toc365985151"/>
      <w:bookmarkStart w:id="284" w:name="_Toc339020205"/>
      <w:bookmarkStart w:id="285" w:name="_Toc374454573"/>
      <w:bookmarkStart w:id="286" w:name="_Toc365967045"/>
      <w:bookmarkStart w:id="287" w:name="_Toc333935318"/>
      <w:bookmarkStart w:id="288" w:name="_Toc366072500"/>
      <w:bookmarkStart w:id="289" w:name="_Toc339019987"/>
      <w:bookmarkStart w:id="290" w:name="_Toc503785400"/>
      <w:bookmarkStart w:id="291" w:name="_Toc497224198"/>
      <w:bookmarkStart w:id="292" w:name="_Toc345513839"/>
      <w:bookmarkStart w:id="293" w:name="_Toc339362272"/>
      <w:bookmarkStart w:id="294" w:name="_Toc339020067"/>
      <w:bookmarkStart w:id="295" w:name="_Toc332206680"/>
      <w:bookmarkStart w:id="296" w:name="_Toc2454"/>
      <w:bookmarkStart w:id="297" w:name="_Toc333237649"/>
      <w:bookmarkStart w:id="298" w:name="_Toc340672841"/>
      <w:bookmarkStart w:id="299" w:name="_Toc341348310"/>
      <w:bookmarkStart w:id="300" w:name="_Toc333238605"/>
      <w:bookmarkStart w:id="301" w:name="_Toc339019861"/>
      <w:bookmarkStart w:id="302" w:name="_Toc350438721"/>
      <w:bookmarkStart w:id="303" w:name="_Toc336681907"/>
      <w:bookmarkStart w:id="304" w:name="_Toc350756422"/>
      <w:r>
        <w:rPr>
          <w:rFonts w:hint="eastAsia"/>
          <w:color w:val="000000" w:themeColor="text1"/>
          <w:highlight w:val="none"/>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4.1</w:t>
      </w:r>
      <w:r>
        <w:rPr>
          <w:rFonts w:hint="eastAsia" w:ascii="宋体"/>
          <w:bCs/>
          <w:color w:val="000000" w:themeColor="text1"/>
          <w:highlight w:val="none"/>
        </w:rPr>
        <w:tab/>
      </w:r>
      <w:r>
        <w:rPr>
          <w:rFonts w:hint="eastAsia" w:hAnsi="宋体"/>
          <w:color w:val="000000" w:themeColor="text1"/>
          <w:highlight w:val="none"/>
        </w:rPr>
        <w:t>投标人应承担所有与准备和参加投标有关的费用。不论投标的结果如何，代理采购机构和采购人均无义务和责任承担这些费用</w:t>
      </w:r>
      <w:r>
        <w:rPr>
          <w:rFonts w:hint="eastAsia" w:ascii="宋体"/>
          <w:bCs/>
          <w:color w:val="000000" w:themeColor="text1"/>
          <w:highlight w:val="none"/>
        </w:rPr>
        <w:t>。</w:t>
      </w:r>
      <w:bookmarkStart w:id="305" w:name="_Toc366072501"/>
      <w:bookmarkStart w:id="306" w:name="_Toc342296733"/>
      <w:bookmarkStart w:id="307" w:name="_Toc341348311"/>
      <w:bookmarkStart w:id="308" w:name="_Toc339019988"/>
      <w:bookmarkStart w:id="309" w:name="_Toc332270319"/>
      <w:bookmarkStart w:id="310" w:name="_Toc503785401"/>
      <w:bookmarkStart w:id="311" w:name="_Toc333238606"/>
      <w:bookmarkStart w:id="312" w:name="_Toc333935319"/>
      <w:bookmarkStart w:id="313" w:name="_Toc350756423"/>
      <w:bookmarkStart w:id="314" w:name="_Toc339362273"/>
      <w:bookmarkStart w:id="315" w:name="_Toc331512871"/>
      <w:bookmarkStart w:id="316" w:name="_Toc333237761"/>
      <w:bookmarkStart w:id="317" w:name="_Toc339441060"/>
      <w:bookmarkStart w:id="318" w:name="_Toc349143562"/>
      <w:bookmarkStart w:id="319" w:name="_Toc339020206"/>
      <w:bookmarkStart w:id="320" w:name="_Toc350438722"/>
      <w:bookmarkStart w:id="321" w:name="_Toc374454574"/>
      <w:bookmarkStart w:id="322" w:name="_Toc339020068"/>
      <w:bookmarkStart w:id="323" w:name="_Toc336681553"/>
      <w:bookmarkStart w:id="324" w:name="_Toc336681908"/>
      <w:bookmarkStart w:id="325" w:name="_Toc349127599"/>
      <w:bookmarkStart w:id="326" w:name="_Toc345513840"/>
      <w:bookmarkStart w:id="327" w:name="_Toc340507415"/>
      <w:bookmarkStart w:id="328" w:name="_Toc330459958"/>
      <w:bookmarkStart w:id="329" w:name="_Toc497224199"/>
      <w:bookmarkStart w:id="330" w:name="_Toc340677043"/>
      <w:bookmarkStart w:id="331" w:name="_Toc365967046"/>
      <w:bookmarkStart w:id="332" w:name="_Toc331684011"/>
      <w:bookmarkStart w:id="333" w:name="_Toc342060347"/>
      <w:bookmarkStart w:id="334" w:name="_Toc340672842"/>
      <w:bookmarkStart w:id="335" w:name="_Toc333237650"/>
      <w:bookmarkStart w:id="336" w:name="_Toc332206681"/>
      <w:bookmarkStart w:id="337" w:name="_Toc333935660"/>
      <w:bookmarkStart w:id="338" w:name="_Toc365985152"/>
      <w:bookmarkStart w:id="339" w:name="_Toc339019862"/>
      <w:bookmarkStart w:id="340" w:name="_Toc337632331"/>
    </w:p>
    <w:p>
      <w:pPr>
        <w:pStyle w:val="4"/>
        <w:numPr>
          <w:ilvl w:val="0"/>
          <w:numId w:val="0"/>
        </w:numPr>
        <w:rPr>
          <w:color w:val="000000" w:themeColor="text1"/>
          <w:sz w:val="24"/>
          <w:highlight w:val="none"/>
        </w:rPr>
      </w:pPr>
      <w:bookmarkStart w:id="341" w:name="_Toc22830"/>
      <w:r>
        <w:rPr>
          <w:rFonts w:hint="eastAsia"/>
          <w:color w:val="000000" w:themeColor="text1"/>
          <w:sz w:val="24"/>
          <w:highlight w:val="none"/>
        </w:rPr>
        <w:t>Ｂ招标文件说明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pPr>
        <w:pStyle w:val="6"/>
        <w:numPr>
          <w:ilvl w:val="4"/>
          <w:numId w:val="28"/>
        </w:numPr>
        <w:tabs>
          <w:tab w:val="left" w:pos="720"/>
        </w:tabs>
        <w:spacing w:before="240" w:after="120"/>
        <w:ind w:left="2432" w:hanging="2432"/>
        <w:rPr>
          <w:color w:val="000000" w:themeColor="text1"/>
          <w:highlight w:val="none"/>
        </w:rPr>
      </w:pPr>
      <w:bookmarkStart w:id="342" w:name="_Toc339020069"/>
      <w:bookmarkStart w:id="343" w:name="_Toc339019989"/>
      <w:bookmarkStart w:id="344" w:name="_Toc365985153"/>
      <w:bookmarkStart w:id="345" w:name="_Toc339020207"/>
      <w:bookmarkStart w:id="346" w:name="_Toc333238607"/>
      <w:bookmarkStart w:id="347" w:name="_Toc331512872"/>
      <w:bookmarkStart w:id="348" w:name="_Toc349127600"/>
      <w:bookmarkStart w:id="349" w:name="_Toc350756424"/>
      <w:bookmarkStart w:id="350" w:name="_Toc340672843"/>
      <w:bookmarkStart w:id="351" w:name="_Toc333237762"/>
      <w:bookmarkStart w:id="352" w:name="_Toc342296734"/>
      <w:bookmarkStart w:id="353" w:name="_Toc332270320"/>
      <w:bookmarkStart w:id="354" w:name="_Toc342060348"/>
      <w:bookmarkStart w:id="355" w:name="_Toc336681909"/>
      <w:bookmarkStart w:id="356" w:name="_Toc497224200"/>
      <w:bookmarkStart w:id="357" w:name="_Toc330459959"/>
      <w:bookmarkStart w:id="358" w:name="_Toc336681554"/>
      <w:bookmarkStart w:id="359" w:name="_Toc337632332"/>
      <w:bookmarkStart w:id="360" w:name="_Toc332206682"/>
      <w:bookmarkStart w:id="361" w:name="_Toc345513841"/>
      <w:bookmarkStart w:id="362" w:name="_Toc340507416"/>
      <w:bookmarkStart w:id="363" w:name="_Toc333935320"/>
      <w:bookmarkStart w:id="364" w:name="_Toc331684012"/>
      <w:bookmarkStart w:id="365" w:name="_Toc366072502"/>
      <w:bookmarkStart w:id="366" w:name="_Toc29019"/>
      <w:bookmarkStart w:id="367" w:name="_Toc349143563"/>
      <w:bookmarkStart w:id="368" w:name="_Toc365967047"/>
      <w:bookmarkStart w:id="369" w:name="_Toc340677044"/>
      <w:bookmarkStart w:id="370" w:name="_Toc374454575"/>
      <w:bookmarkStart w:id="371" w:name="_Toc339362274"/>
      <w:bookmarkStart w:id="372" w:name="_Toc339019863"/>
      <w:bookmarkStart w:id="373" w:name="_Toc333237651"/>
      <w:bookmarkStart w:id="374" w:name="_Toc333935661"/>
      <w:bookmarkStart w:id="375" w:name="_Toc341348312"/>
      <w:bookmarkStart w:id="376" w:name="_Toc503785402"/>
      <w:bookmarkStart w:id="377" w:name="_Toc339441061"/>
      <w:bookmarkStart w:id="378" w:name="_Toc350438723"/>
      <w:r>
        <w:rPr>
          <w:rFonts w:hint="eastAsia"/>
          <w:color w:val="000000" w:themeColor="text1"/>
          <w:highlight w:val="none"/>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5.1</w:t>
      </w:r>
      <w:r>
        <w:rPr>
          <w:rFonts w:ascii="宋体"/>
          <w:bCs/>
          <w:color w:val="000000" w:themeColor="text1"/>
          <w:highlight w:val="none"/>
        </w:rPr>
        <w:tab/>
      </w:r>
      <w:r>
        <w:rPr>
          <w:rFonts w:hint="eastAsia" w:ascii="宋体"/>
          <w:bCs/>
          <w:color w:val="000000" w:themeColor="text1"/>
          <w:highlight w:val="none"/>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招标文件以中文编印。</w:t>
      </w:r>
    </w:p>
    <w:p>
      <w:pPr>
        <w:pStyle w:val="6"/>
        <w:numPr>
          <w:ilvl w:val="4"/>
          <w:numId w:val="28"/>
        </w:numPr>
        <w:tabs>
          <w:tab w:val="left" w:pos="720"/>
        </w:tabs>
        <w:spacing w:before="240" w:after="120"/>
        <w:ind w:left="2432" w:hanging="2432"/>
        <w:rPr>
          <w:color w:val="000000" w:themeColor="text1"/>
          <w:highlight w:val="none"/>
        </w:rPr>
      </w:pPr>
      <w:bookmarkStart w:id="379" w:name="_Toc331684013"/>
      <w:bookmarkStart w:id="380" w:name="_Toc333935662"/>
      <w:bookmarkStart w:id="381" w:name="_Toc339020070"/>
      <w:bookmarkStart w:id="382" w:name="_Toc339019990"/>
      <w:bookmarkStart w:id="383" w:name="_Toc340677045"/>
      <w:bookmarkStart w:id="384" w:name="_Toc333935321"/>
      <w:bookmarkStart w:id="385" w:name="_Toc341348313"/>
      <w:bookmarkStart w:id="386" w:name="_Toc365967048"/>
      <w:bookmarkStart w:id="387" w:name="_Toc333238608"/>
      <w:bookmarkStart w:id="388" w:name="_Toc350438724"/>
      <w:bookmarkStart w:id="389" w:name="_Toc339441062"/>
      <w:bookmarkStart w:id="390" w:name="_Toc350756425"/>
      <w:bookmarkStart w:id="391" w:name="_Toc331512873"/>
      <w:bookmarkStart w:id="392" w:name="_Toc345513842"/>
      <w:bookmarkStart w:id="393" w:name="_Toc336681555"/>
      <w:bookmarkStart w:id="394" w:name="_Toc336681910"/>
      <w:bookmarkStart w:id="395" w:name="_Toc337632333"/>
      <w:bookmarkStart w:id="396" w:name="_Toc339019864"/>
      <w:bookmarkStart w:id="397" w:name="_Toc497224201"/>
      <w:bookmarkStart w:id="398" w:name="_Toc365985154"/>
      <w:bookmarkStart w:id="399" w:name="_Toc332270321"/>
      <w:bookmarkStart w:id="400" w:name="_Toc342060349"/>
      <w:bookmarkStart w:id="401" w:name="_Toc503785403"/>
      <w:bookmarkStart w:id="402" w:name="_Toc332206683"/>
      <w:bookmarkStart w:id="403" w:name="_Toc330459960"/>
      <w:bookmarkStart w:id="404" w:name="_Toc349127601"/>
      <w:bookmarkStart w:id="405" w:name="_Toc340507417"/>
      <w:bookmarkStart w:id="406" w:name="_Toc333237652"/>
      <w:bookmarkStart w:id="407" w:name="_Toc339362275"/>
      <w:bookmarkStart w:id="408" w:name="_Toc340672844"/>
      <w:bookmarkStart w:id="409" w:name="_Toc339020208"/>
      <w:bookmarkStart w:id="410" w:name="_Toc370388389"/>
      <w:bookmarkStart w:id="411" w:name="_Toc333237763"/>
      <w:bookmarkStart w:id="412" w:name="_Toc342296735"/>
      <w:bookmarkStart w:id="413" w:name="_Toc349143564"/>
      <w:bookmarkStart w:id="414" w:name="_Toc16231"/>
      <w:bookmarkStart w:id="415" w:name="_Toc374454576"/>
      <w:bookmarkStart w:id="416" w:name="_Toc497224203"/>
      <w:bookmarkStart w:id="417" w:name="_Toc503785405"/>
      <w:bookmarkStart w:id="418" w:name="_Toc339020072"/>
      <w:bookmarkStart w:id="419" w:name="_Toc350756427"/>
      <w:bookmarkStart w:id="420" w:name="_Toc332206685"/>
      <w:bookmarkStart w:id="421" w:name="_Toc349143566"/>
      <w:bookmarkStart w:id="422" w:name="_Toc339441064"/>
      <w:bookmarkStart w:id="423" w:name="_Toc333935664"/>
      <w:bookmarkStart w:id="424" w:name="_Toc333237654"/>
      <w:bookmarkStart w:id="425" w:name="_Toc333238610"/>
      <w:bookmarkStart w:id="426" w:name="_Toc349127603"/>
      <w:bookmarkStart w:id="427" w:name="_Toc339019992"/>
      <w:bookmarkStart w:id="428" w:name="_Toc340507419"/>
      <w:bookmarkStart w:id="429" w:name="_Toc336681557"/>
      <w:bookmarkStart w:id="430" w:name="_Toc366072505"/>
      <w:bookmarkStart w:id="431" w:name="_Toc365967050"/>
      <w:bookmarkStart w:id="432" w:name="_Toc331684015"/>
      <w:bookmarkStart w:id="433" w:name="_Toc339020210"/>
      <w:bookmarkStart w:id="434" w:name="_Toc336681912"/>
      <w:bookmarkStart w:id="435" w:name="_Toc331512875"/>
      <w:bookmarkStart w:id="436" w:name="_Toc342296737"/>
      <w:bookmarkStart w:id="437" w:name="_Toc337632335"/>
      <w:bookmarkStart w:id="438" w:name="_Toc333935323"/>
      <w:bookmarkStart w:id="439" w:name="_Toc332270323"/>
      <w:bookmarkStart w:id="440" w:name="_Toc339019866"/>
      <w:bookmarkStart w:id="441" w:name="_Toc350438726"/>
      <w:bookmarkStart w:id="442" w:name="_Toc330459962"/>
      <w:bookmarkStart w:id="443" w:name="_Toc340672846"/>
      <w:bookmarkStart w:id="444" w:name="_Toc365985156"/>
      <w:bookmarkStart w:id="445" w:name="_Toc333237765"/>
      <w:bookmarkStart w:id="446" w:name="_Toc345513844"/>
      <w:bookmarkStart w:id="447" w:name="_Toc342060351"/>
      <w:bookmarkStart w:id="448" w:name="_Toc341348315"/>
      <w:bookmarkStart w:id="449" w:name="_Toc339362277"/>
      <w:bookmarkStart w:id="450" w:name="_Toc340677047"/>
      <w:r>
        <w:rPr>
          <w:rFonts w:hint="eastAsia"/>
          <w:color w:val="000000" w:themeColor="text1"/>
          <w:highlight w:val="none"/>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rPr>
        <w:t>、修改</w:t>
      </w:r>
      <w:bookmarkEnd w:id="414"/>
      <w:bookmarkEnd w:id="415"/>
    </w:p>
    <w:p>
      <w:pPr>
        <w:widowControl/>
        <w:numPr>
          <w:ilvl w:val="1"/>
          <w:numId w:val="30"/>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30"/>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highlight w:val="none"/>
        </w:rPr>
      </w:pPr>
      <w:bookmarkStart w:id="451" w:name="_Toc374454577"/>
      <w:r>
        <w:rPr>
          <w:color w:val="000000" w:themeColor="text1"/>
          <w:sz w:val="24"/>
          <w:highlight w:val="none"/>
        </w:rPr>
        <w:br w:type="page"/>
      </w:r>
      <w:bookmarkStart w:id="452" w:name="_Toc20281"/>
      <w:r>
        <w:rPr>
          <w:rFonts w:hint="eastAsia"/>
          <w:color w:val="000000" w:themeColor="text1"/>
          <w:sz w:val="24"/>
          <w:highlight w:val="none"/>
        </w:rPr>
        <w:t>Ｃ投标文件的编</w:t>
      </w:r>
      <w:bookmarkEnd w:id="416"/>
      <w:bookmarkEnd w:id="417"/>
      <w:r>
        <w:rPr>
          <w:rFonts w:hint="eastAsia"/>
          <w:color w:val="000000" w:themeColor="text1"/>
          <w:sz w:val="24"/>
          <w:highlight w:val="none"/>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pPr>
        <w:pStyle w:val="6"/>
        <w:numPr>
          <w:ilvl w:val="4"/>
          <w:numId w:val="28"/>
        </w:numPr>
        <w:tabs>
          <w:tab w:val="left" w:pos="720"/>
        </w:tabs>
        <w:spacing w:before="240" w:after="120"/>
        <w:ind w:left="2432" w:hanging="2432"/>
        <w:rPr>
          <w:color w:val="000000" w:themeColor="text1"/>
          <w:highlight w:val="none"/>
        </w:rPr>
      </w:pPr>
      <w:bookmarkStart w:id="453" w:name="_Toc342296738"/>
      <w:bookmarkStart w:id="454" w:name="_Toc340672847"/>
      <w:bookmarkStart w:id="455" w:name="_Toc337632336"/>
      <w:bookmarkStart w:id="456" w:name="_Toc333237766"/>
      <w:bookmarkStart w:id="457" w:name="_Toc350438727"/>
      <w:bookmarkStart w:id="458" w:name="_Toc333935665"/>
      <w:bookmarkStart w:id="459" w:name="_Toc503785406"/>
      <w:bookmarkStart w:id="460" w:name="_Toc341348316"/>
      <w:bookmarkStart w:id="461" w:name="_Toc333238611"/>
      <w:bookmarkStart w:id="462" w:name="_Toc374454578"/>
      <w:bookmarkStart w:id="463" w:name="_Toc333935324"/>
      <w:bookmarkStart w:id="464" w:name="_Toc342060352"/>
      <w:bookmarkStart w:id="465" w:name="_Toc366072506"/>
      <w:bookmarkStart w:id="466" w:name="_Toc339362278"/>
      <w:bookmarkStart w:id="467" w:name="_Toc332206686"/>
      <w:bookmarkStart w:id="468" w:name="_Toc336681558"/>
      <w:bookmarkStart w:id="469" w:name="_Toc14548"/>
      <w:bookmarkStart w:id="470" w:name="_Toc340677048"/>
      <w:bookmarkStart w:id="471" w:name="_Toc332270324"/>
      <w:bookmarkStart w:id="472" w:name="_Toc345513845"/>
      <w:bookmarkStart w:id="473" w:name="_Toc350756428"/>
      <w:bookmarkStart w:id="474" w:name="_Toc339441065"/>
      <w:bookmarkStart w:id="475" w:name="_Toc330459963"/>
      <w:bookmarkStart w:id="476" w:name="_Toc497224204"/>
      <w:bookmarkStart w:id="477" w:name="_Toc331684016"/>
      <w:bookmarkStart w:id="478" w:name="_Toc333237655"/>
      <w:bookmarkStart w:id="479" w:name="_Toc339020211"/>
      <w:bookmarkStart w:id="480" w:name="_Toc339019867"/>
      <w:bookmarkStart w:id="481" w:name="_Toc349127604"/>
      <w:bookmarkStart w:id="482" w:name="_Toc339019993"/>
      <w:bookmarkStart w:id="483" w:name="_Toc331512876"/>
      <w:bookmarkStart w:id="484" w:name="_Toc340507420"/>
      <w:bookmarkStart w:id="485" w:name="_Toc336681913"/>
      <w:bookmarkStart w:id="486" w:name="_Toc365985157"/>
      <w:bookmarkStart w:id="487" w:name="_Toc365967051"/>
      <w:bookmarkStart w:id="488" w:name="_Toc339020073"/>
      <w:bookmarkStart w:id="489" w:name="_Toc349143567"/>
      <w:r>
        <w:rPr>
          <w:rFonts w:hint="eastAsia"/>
          <w:color w:val="000000" w:themeColor="text1"/>
          <w:highlight w:val="none"/>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7</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6"/>
        <w:numPr>
          <w:ilvl w:val="4"/>
          <w:numId w:val="28"/>
        </w:numPr>
        <w:tabs>
          <w:tab w:val="left" w:pos="720"/>
        </w:tabs>
        <w:spacing w:before="240" w:after="120"/>
        <w:ind w:left="2432" w:hanging="2432"/>
        <w:rPr>
          <w:color w:val="000000" w:themeColor="text1"/>
          <w:highlight w:val="none"/>
        </w:rPr>
      </w:pPr>
      <w:bookmarkStart w:id="490" w:name="_Toc342296739"/>
      <w:bookmarkStart w:id="491" w:name="_Toc365967052"/>
      <w:bookmarkStart w:id="492" w:name="_Toc336681559"/>
      <w:bookmarkStart w:id="493" w:name="_Toc332206687"/>
      <w:bookmarkStart w:id="494" w:name="_Toc340507421"/>
      <w:bookmarkStart w:id="495" w:name="_Toc350438728"/>
      <w:bookmarkStart w:id="496" w:name="_Toc340672848"/>
      <w:bookmarkStart w:id="497" w:name="_Toc366072507"/>
      <w:bookmarkStart w:id="498" w:name="_Toc341348317"/>
      <w:bookmarkStart w:id="499" w:name="_Toc339020212"/>
      <w:bookmarkStart w:id="500" w:name="_Toc340677049"/>
      <w:bookmarkStart w:id="501" w:name="_Toc339019868"/>
      <w:bookmarkStart w:id="502" w:name="_Toc333935666"/>
      <w:bookmarkStart w:id="503" w:name="_Toc339362279"/>
      <w:bookmarkStart w:id="504" w:name="_Toc330459964"/>
      <w:bookmarkStart w:id="505" w:name="_Toc374454579"/>
      <w:bookmarkStart w:id="506" w:name="_Toc339020074"/>
      <w:bookmarkStart w:id="507" w:name="_Toc332270325"/>
      <w:bookmarkStart w:id="508" w:name="_Toc339441066"/>
      <w:bookmarkStart w:id="509" w:name="_Toc365985158"/>
      <w:bookmarkStart w:id="510" w:name="_Toc337632337"/>
      <w:bookmarkStart w:id="511" w:name="_Toc331684017"/>
      <w:bookmarkStart w:id="512" w:name="_Toc350756429"/>
      <w:bookmarkStart w:id="513" w:name="_Toc339019994"/>
      <w:bookmarkStart w:id="514" w:name="_Toc349143568"/>
      <w:bookmarkStart w:id="515" w:name="_Toc497224205"/>
      <w:bookmarkStart w:id="516" w:name="_Toc23552"/>
      <w:bookmarkStart w:id="517" w:name="_Toc331512877"/>
      <w:bookmarkStart w:id="518" w:name="_Toc333238612"/>
      <w:bookmarkStart w:id="519" w:name="_Toc503785407"/>
      <w:bookmarkStart w:id="520" w:name="_Toc342060353"/>
      <w:bookmarkStart w:id="521" w:name="_Toc333237656"/>
      <w:bookmarkStart w:id="522" w:name="_Toc336681914"/>
      <w:bookmarkStart w:id="523" w:name="_Toc349127605"/>
      <w:bookmarkStart w:id="524" w:name="_Toc345513846"/>
      <w:bookmarkStart w:id="525" w:name="_Toc333237767"/>
      <w:bookmarkStart w:id="526" w:name="_Toc333935325"/>
      <w:r>
        <w:rPr>
          <w:rFonts w:hint="eastAsia"/>
          <w:color w:val="000000" w:themeColor="text1"/>
          <w:highlight w:val="none"/>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除在招标文件的技术规格中另有规定外，计量单位应使用中华人民共和国法定计量单位</w:t>
      </w:r>
      <w:r>
        <w:rPr>
          <w:rFonts w:hint="eastAsia"/>
          <w:bCs/>
          <w:color w:val="000000" w:themeColor="text1"/>
          <w:highlight w:val="none"/>
        </w:rPr>
        <w:t>（国际单位制和国家选定的其他计量单位）</w:t>
      </w:r>
      <w:r>
        <w:rPr>
          <w:rFonts w:hint="eastAsia" w:ascii="宋体"/>
          <w:bCs/>
          <w:color w:val="000000" w:themeColor="text1"/>
          <w:highlight w:val="none"/>
        </w:rPr>
        <w:t>。</w:t>
      </w:r>
    </w:p>
    <w:p>
      <w:pPr>
        <w:pStyle w:val="6"/>
        <w:numPr>
          <w:ilvl w:val="4"/>
          <w:numId w:val="28"/>
        </w:numPr>
        <w:tabs>
          <w:tab w:val="left" w:pos="720"/>
        </w:tabs>
        <w:spacing w:before="240" w:after="120"/>
        <w:ind w:left="2432" w:hanging="2432"/>
        <w:rPr>
          <w:color w:val="000000" w:themeColor="text1"/>
          <w:highlight w:val="none"/>
        </w:rPr>
      </w:pPr>
      <w:bookmarkStart w:id="527" w:name="_Toc366072508"/>
      <w:bookmarkStart w:id="528" w:name="_Toc332270326"/>
      <w:bookmarkStart w:id="529" w:name="_Toc339020213"/>
      <w:bookmarkStart w:id="530" w:name="_Toc331684018"/>
      <w:bookmarkStart w:id="531" w:name="_Toc339362280"/>
      <w:bookmarkStart w:id="532" w:name="_Toc342060354"/>
      <w:bookmarkStart w:id="533" w:name="_Toc350438729"/>
      <w:bookmarkStart w:id="534" w:name="_Toc339441067"/>
      <w:bookmarkStart w:id="535" w:name="_Toc333935326"/>
      <w:bookmarkStart w:id="536" w:name="_Toc340507422"/>
      <w:bookmarkStart w:id="537" w:name="_Toc340677050"/>
      <w:bookmarkStart w:id="538" w:name="_Toc333935667"/>
      <w:bookmarkStart w:id="539" w:name="_Toc340672849"/>
      <w:bookmarkStart w:id="540" w:name="_Toc333237768"/>
      <w:bookmarkStart w:id="541" w:name="_Toc339020075"/>
      <w:bookmarkStart w:id="542" w:name="_Toc341348318"/>
      <w:bookmarkStart w:id="543" w:name="_Toc349127606"/>
      <w:bookmarkStart w:id="544" w:name="_Toc336681560"/>
      <w:bookmarkStart w:id="545" w:name="_Toc374454580"/>
      <w:bookmarkStart w:id="546" w:name="_Toc349143569"/>
      <w:bookmarkStart w:id="547" w:name="_Toc4340"/>
      <w:bookmarkStart w:id="548" w:name="_Toc339019869"/>
      <w:bookmarkStart w:id="549" w:name="_Toc336681915"/>
      <w:bookmarkStart w:id="550" w:name="_Toc345513847"/>
      <w:bookmarkStart w:id="551" w:name="_Toc365985159"/>
      <w:bookmarkStart w:id="552" w:name="_Toc330459965"/>
      <w:bookmarkStart w:id="553" w:name="_Toc333237657"/>
      <w:bookmarkStart w:id="554" w:name="_Toc339019995"/>
      <w:bookmarkStart w:id="555" w:name="_Toc331512878"/>
      <w:bookmarkStart w:id="556" w:name="_Toc333238613"/>
      <w:bookmarkStart w:id="557" w:name="_Toc365967053"/>
      <w:bookmarkStart w:id="558" w:name="_Toc503785408"/>
      <w:bookmarkStart w:id="559" w:name="_Toc342296740"/>
      <w:bookmarkStart w:id="560" w:name="_Toc337632338"/>
      <w:bookmarkStart w:id="561" w:name="_Toc497224206"/>
      <w:bookmarkStart w:id="562" w:name="_Toc350756430"/>
      <w:bookmarkStart w:id="563" w:name="_Toc332206688"/>
      <w:r>
        <w:rPr>
          <w:rFonts w:hint="eastAsia"/>
          <w:color w:val="000000" w:themeColor="text1"/>
          <w:highlight w:val="none"/>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pPr>
        <w:widowControl/>
        <w:tabs>
          <w:tab w:val="left" w:pos="753"/>
        </w:tabs>
        <w:adjustRightInd w:val="0"/>
        <w:snapToGrid w:val="0"/>
        <w:spacing w:line="360" w:lineRule="auto"/>
        <w:rPr>
          <w:rFonts w:ascii="宋体"/>
          <w:bCs/>
          <w:color w:val="000000" w:themeColor="text1"/>
          <w:highlight w:val="none"/>
        </w:rPr>
      </w:pPr>
      <w:r>
        <w:rPr>
          <w:rFonts w:hint="eastAsia" w:ascii="宋体"/>
          <w:bCs/>
          <w:color w:val="000000" w:themeColor="text1"/>
          <w:highlight w:val="none"/>
        </w:rPr>
        <w:t>9</w:t>
      </w:r>
      <w:r>
        <w:rPr>
          <w:rFonts w:ascii="宋体"/>
          <w:bCs/>
          <w:color w:val="000000" w:themeColor="text1"/>
          <w:highlight w:val="none"/>
        </w:rPr>
        <w:t>.1</w:t>
      </w:r>
      <w:r>
        <w:rPr>
          <w:rFonts w:hint="eastAsia" w:ascii="宋体"/>
          <w:bCs/>
          <w:color w:val="000000" w:themeColor="text1"/>
          <w:highlight w:val="none"/>
        </w:rPr>
        <w:t xml:space="preserve">   投标文件包括：</w:t>
      </w:r>
    </w:p>
    <w:p>
      <w:pPr>
        <w:widowControl/>
        <w:adjustRightInd w:val="0"/>
        <w:snapToGrid w:val="0"/>
        <w:spacing w:line="360" w:lineRule="auto"/>
        <w:ind w:left="734"/>
        <w:rPr>
          <w:rFonts w:ascii="宋体" w:hAnsi="宋体"/>
          <w:bCs/>
          <w:color w:val="000000" w:themeColor="text1"/>
          <w:highlight w:val="none"/>
        </w:rPr>
      </w:pPr>
      <w:bookmarkStart w:id="564" w:name="_Toc503785409"/>
      <w:bookmarkStart w:id="565" w:name="_Toc497224207"/>
      <w:r>
        <w:rPr>
          <w:rFonts w:hint="eastAsia" w:ascii="宋体" w:hAnsi="宋体"/>
          <w:bCs/>
          <w:color w:val="000000" w:themeColor="text1"/>
          <w:highlight w:val="none"/>
        </w:rPr>
        <w:t>第一章 资格审查文件（含附件）</w:t>
      </w:r>
    </w:p>
    <w:p>
      <w:pPr>
        <w:widowControl/>
        <w:adjustRightInd w:val="0"/>
        <w:snapToGrid w:val="0"/>
        <w:spacing w:line="360" w:lineRule="auto"/>
        <w:ind w:left="734"/>
        <w:rPr>
          <w:rFonts w:ascii="宋体" w:hAnsi="宋体"/>
          <w:bCs/>
          <w:color w:val="000000" w:themeColor="text1"/>
          <w:highlight w:val="none"/>
        </w:rPr>
      </w:pPr>
      <w:r>
        <w:rPr>
          <w:rFonts w:hint="eastAsia" w:ascii="宋体" w:hAnsi="宋体"/>
          <w:bCs/>
          <w:color w:val="000000" w:themeColor="text1"/>
          <w:highlight w:val="none"/>
        </w:rPr>
        <w:t>第二章 商务和技术部分</w:t>
      </w:r>
    </w:p>
    <w:p>
      <w:pPr>
        <w:pStyle w:val="6"/>
        <w:numPr>
          <w:ilvl w:val="4"/>
          <w:numId w:val="28"/>
        </w:numPr>
        <w:tabs>
          <w:tab w:val="left" w:pos="720"/>
        </w:tabs>
        <w:spacing w:before="240" w:after="120"/>
        <w:ind w:left="2432" w:hanging="2432"/>
        <w:rPr>
          <w:color w:val="000000" w:themeColor="text1"/>
          <w:highlight w:val="none"/>
        </w:rPr>
      </w:pPr>
      <w:bookmarkStart w:id="566" w:name="_Toc339019996"/>
      <w:bookmarkStart w:id="567" w:name="_Toc350756431"/>
      <w:bookmarkStart w:id="568" w:name="_Toc332270327"/>
      <w:bookmarkStart w:id="569" w:name="_Toc339441068"/>
      <w:bookmarkStart w:id="570" w:name="_Toc342060355"/>
      <w:bookmarkStart w:id="571" w:name="_Toc339362281"/>
      <w:bookmarkStart w:id="572" w:name="_Toc339020076"/>
      <w:bookmarkStart w:id="573" w:name="_Toc339019870"/>
      <w:bookmarkStart w:id="574" w:name="_Toc350438730"/>
      <w:bookmarkStart w:id="575" w:name="_Toc340507423"/>
      <w:bookmarkStart w:id="576" w:name="_Toc349127607"/>
      <w:bookmarkStart w:id="577" w:name="_Toc333238614"/>
      <w:bookmarkStart w:id="578" w:name="_Toc337632339"/>
      <w:bookmarkStart w:id="579" w:name="_Toc7005"/>
      <w:bookmarkStart w:id="580" w:name="_Toc365967054"/>
      <w:bookmarkStart w:id="581" w:name="_Toc342296741"/>
      <w:bookmarkStart w:id="582" w:name="_Toc339020214"/>
      <w:bookmarkStart w:id="583" w:name="_Toc336681916"/>
      <w:bookmarkStart w:id="584" w:name="_Toc331512879"/>
      <w:bookmarkStart w:id="585" w:name="_Toc333935327"/>
      <w:bookmarkStart w:id="586" w:name="_Toc340672850"/>
      <w:bookmarkStart w:id="587" w:name="_Toc374454581"/>
      <w:bookmarkStart w:id="588" w:name="_Toc333935668"/>
      <w:bookmarkStart w:id="589" w:name="_Toc365985160"/>
      <w:bookmarkStart w:id="590" w:name="_Toc349143570"/>
      <w:bookmarkStart w:id="591" w:name="_Toc345513848"/>
      <w:bookmarkStart w:id="592" w:name="_Toc340677051"/>
      <w:bookmarkStart w:id="593" w:name="_Toc366072509"/>
      <w:bookmarkStart w:id="594" w:name="_Toc336681561"/>
      <w:bookmarkStart w:id="595" w:name="_Toc341348319"/>
      <w:bookmarkStart w:id="596" w:name="_Toc333237769"/>
      <w:bookmarkStart w:id="597" w:name="_Toc330459966"/>
      <w:bookmarkStart w:id="598" w:name="_Toc332206689"/>
      <w:bookmarkStart w:id="599" w:name="_Toc333237658"/>
      <w:bookmarkStart w:id="600" w:name="_Toc331684019"/>
      <w:r>
        <w:rPr>
          <w:rFonts w:hint="eastAsia"/>
          <w:color w:val="000000" w:themeColor="text1"/>
          <w:highlight w:val="none"/>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 xml:space="preserve">   投标人应</w:t>
      </w:r>
      <w:r>
        <w:rPr>
          <w:rFonts w:hint="eastAsia" w:ascii="宋体" w:hAnsi="宋体"/>
          <w:bCs/>
          <w:color w:val="000000" w:themeColor="text1"/>
          <w:highlight w:val="none"/>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10.2 </w:t>
      </w:r>
      <w:r>
        <w:rPr>
          <w:rFonts w:hint="eastAsia" w:ascii="宋体" w:hAnsi="宋体"/>
          <w:bCs/>
          <w:color w:val="000000" w:themeColor="text1"/>
          <w:highlight w:val="none"/>
        </w:rPr>
        <w:tab/>
      </w:r>
      <w:r>
        <w:rPr>
          <w:rFonts w:hint="eastAsia" w:ascii="宋体" w:hAnsi="宋体"/>
          <w:bCs/>
          <w:color w:val="000000" w:themeColor="text1"/>
          <w:highlight w:val="none"/>
        </w:rPr>
        <w:tab/>
      </w:r>
      <w:r>
        <w:rPr>
          <w:rFonts w:hint="eastAsia" w:ascii="宋体" w:hAnsi="宋体"/>
          <w:bCs/>
          <w:color w:val="000000" w:themeColor="text1"/>
          <w:highlight w:val="none"/>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6"/>
        <w:numPr>
          <w:ilvl w:val="4"/>
          <w:numId w:val="28"/>
        </w:numPr>
        <w:tabs>
          <w:tab w:val="left" w:pos="720"/>
        </w:tabs>
        <w:spacing w:before="240" w:after="120"/>
        <w:ind w:left="2432" w:hanging="2432"/>
        <w:rPr>
          <w:color w:val="000000" w:themeColor="text1"/>
          <w:highlight w:val="none"/>
        </w:rPr>
      </w:pPr>
      <w:bookmarkStart w:id="601" w:name="_Toc339362282"/>
      <w:bookmarkStart w:id="602" w:name="_Toc342296742"/>
      <w:bookmarkStart w:id="603" w:name="_Toc349127608"/>
      <w:bookmarkStart w:id="604" w:name="_Toc339441069"/>
      <w:bookmarkStart w:id="605" w:name="_Toc12871"/>
      <w:bookmarkStart w:id="606" w:name="_Toc374454582"/>
      <w:bookmarkStart w:id="607" w:name="_Toc340677052"/>
      <w:bookmarkStart w:id="608" w:name="_Toc349143571"/>
      <w:bookmarkStart w:id="609" w:name="_Toc342060356"/>
      <w:bookmarkStart w:id="610" w:name="_Toc345513849"/>
      <w:bookmarkStart w:id="611" w:name="_Toc340507424"/>
      <w:bookmarkStart w:id="612" w:name="_Toc365985161"/>
      <w:bookmarkStart w:id="613" w:name="_Toc5003680"/>
      <w:bookmarkStart w:id="614" w:name="_Toc336681562"/>
      <w:bookmarkStart w:id="615" w:name="_Toc332270328"/>
      <w:bookmarkStart w:id="616" w:name="_Toc331684020"/>
      <w:bookmarkStart w:id="617" w:name="_Toc366072510"/>
      <w:bookmarkStart w:id="618" w:name="_Toc333935328"/>
      <w:bookmarkStart w:id="619" w:name="_Toc341348320"/>
      <w:bookmarkStart w:id="620" w:name="_Toc336681917"/>
      <w:bookmarkStart w:id="621" w:name="_Toc331512880"/>
      <w:bookmarkStart w:id="622" w:name="_Toc337632340"/>
      <w:bookmarkStart w:id="623" w:name="_Toc333935669"/>
      <w:bookmarkStart w:id="624" w:name="_Toc333237659"/>
      <w:bookmarkStart w:id="625" w:name="_Toc339020215"/>
      <w:bookmarkStart w:id="626" w:name="_Toc350756432"/>
      <w:bookmarkStart w:id="627" w:name="_Toc333237770"/>
      <w:bookmarkStart w:id="628" w:name="_Toc339020077"/>
      <w:bookmarkStart w:id="629" w:name="_Toc330459967"/>
      <w:bookmarkStart w:id="630" w:name="_Toc340672851"/>
      <w:bookmarkStart w:id="631" w:name="_Toc365967055"/>
      <w:bookmarkStart w:id="632" w:name="_Toc350438731"/>
      <w:bookmarkStart w:id="633" w:name="_Toc333238615"/>
      <w:bookmarkStart w:id="634" w:name="_Toc339019871"/>
      <w:bookmarkStart w:id="635" w:name="_Toc332206690"/>
      <w:bookmarkStart w:id="636" w:name="_Toc339019997"/>
      <w:r>
        <w:rPr>
          <w:rFonts w:hint="eastAsia"/>
          <w:color w:val="000000" w:themeColor="text1"/>
          <w:highlight w:val="none"/>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11.1  </w:t>
      </w:r>
      <w:r>
        <w:rPr>
          <w:rFonts w:hint="eastAsia" w:ascii="宋体" w:hAnsi="宋体"/>
          <w:bCs/>
          <w:color w:val="000000" w:themeColor="text1"/>
          <w:highlight w:val="none"/>
        </w:rPr>
        <w:tab/>
      </w:r>
      <w:r>
        <w:rPr>
          <w:rFonts w:hint="eastAsia" w:ascii="宋体" w:hAnsi="宋体"/>
          <w:bCs/>
          <w:color w:val="000000" w:themeColor="text1"/>
          <w:highlight w:val="none"/>
        </w:rPr>
        <w:t>投标人应按招标文件的要求，提交其有资格参加投标和中标后有履行合同能力的文件，并作为其投标文件的组成部分，包括但不限于下列文件：</w:t>
      </w:r>
    </w:p>
    <w:p>
      <w:pPr>
        <w:widowControl/>
        <w:numPr>
          <w:ilvl w:val="0"/>
          <w:numId w:val="31"/>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投标人满足招标文件中列出的资格标准；</w:t>
      </w:r>
    </w:p>
    <w:p>
      <w:pPr>
        <w:widowControl/>
        <w:numPr>
          <w:ilvl w:val="0"/>
          <w:numId w:val="31"/>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6"/>
        <w:numPr>
          <w:ilvl w:val="4"/>
          <w:numId w:val="28"/>
        </w:numPr>
        <w:tabs>
          <w:tab w:val="left" w:pos="720"/>
        </w:tabs>
        <w:spacing w:before="240" w:after="120"/>
        <w:ind w:left="2432" w:hanging="2432"/>
        <w:rPr>
          <w:color w:val="000000" w:themeColor="text1"/>
          <w:highlight w:val="none"/>
        </w:rPr>
      </w:pPr>
      <w:bookmarkStart w:id="637" w:name="_Toc333935670"/>
      <w:bookmarkStart w:id="638" w:name="_Toc350438732"/>
      <w:bookmarkStart w:id="639" w:name="_Toc331684021"/>
      <w:bookmarkStart w:id="640" w:name="_Toc339362283"/>
      <w:bookmarkStart w:id="641" w:name="_Toc341348321"/>
      <w:bookmarkStart w:id="642" w:name="_Toc331512881"/>
      <w:bookmarkStart w:id="643" w:name="_Toc340507425"/>
      <w:bookmarkStart w:id="644" w:name="_Toc366072511"/>
      <w:bookmarkStart w:id="645" w:name="_Toc345513850"/>
      <w:bookmarkStart w:id="646" w:name="_Toc336681563"/>
      <w:bookmarkStart w:id="647" w:name="_Toc349127609"/>
      <w:bookmarkStart w:id="648" w:name="_Toc365967056"/>
      <w:bookmarkStart w:id="649" w:name="_Toc339441070"/>
      <w:bookmarkStart w:id="650" w:name="_Toc332270329"/>
      <w:bookmarkStart w:id="651" w:name="_Toc333935329"/>
      <w:bookmarkStart w:id="652" w:name="_Toc333238616"/>
      <w:bookmarkStart w:id="653" w:name="_Toc332206691"/>
      <w:bookmarkStart w:id="654" w:name="_Toc339019872"/>
      <w:bookmarkStart w:id="655" w:name="_Toc330459968"/>
      <w:bookmarkStart w:id="656" w:name="_Toc340672852"/>
      <w:bookmarkStart w:id="657" w:name="_Toc339020216"/>
      <w:bookmarkStart w:id="658" w:name="_Toc349143572"/>
      <w:bookmarkStart w:id="659" w:name="_Toc365985162"/>
      <w:bookmarkStart w:id="660" w:name="_Toc336681918"/>
      <w:bookmarkStart w:id="661" w:name="_Toc374454583"/>
      <w:bookmarkStart w:id="662" w:name="_Toc339020078"/>
      <w:bookmarkStart w:id="663" w:name="_Toc333237771"/>
      <w:bookmarkStart w:id="664" w:name="_Toc339019998"/>
      <w:bookmarkStart w:id="665" w:name="_Toc342060357"/>
      <w:bookmarkStart w:id="666" w:name="_Toc337632341"/>
      <w:bookmarkStart w:id="667" w:name="_Toc340677053"/>
      <w:bookmarkStart w:id="668" w:name="_Toc333237660"/>
      <w:bookmarkStart w:id="669" w:name="_Toc350756433"/>
      <w:bookmarkStart w:id="670" w:name="_Toc342296743"/>
      <w:bookmarkStart w:id="671" w:name="_Toc5003681"/>
      <w:bookmarkStart w:id="672" w:name="_Toc30026"/>
      <w:r>
        <w:rPr>
          <w:rFonts w:hint="eastAsia"/>
          <w:color w:val="000000" w:themeColor="text1"/>
          <w:highlight w:val="none"/>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12.1 </w:t>
      </w:r>
      <w:r>
        <w:rPr>
          <w:rFonts w:hint="eastAsia" w:ascii="宋体" w:hAnsi="宋体"/>
          <w:bCs/>
          <w:color w:val="000000" w:themeColor="text1"/>
          <w:highlight w:val="none"/>
        </w:rPr>
        <w:tab/>
      </w:r>
      <w:r>
        <w:rPr>
          <w:rFonts w:hint="eastAsia" w:ascii="宋体" w:hAnsi="宋体"/>
          <w:bCs/>
          <w:color w:val="000000" w:themeColor="text1"/>
          <w:highlight w:val="none"/>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12.2</w:t>
      </w:r>
      <w:r>
        <w:rPr>
          <w:rFonts w:hint="eastAsia" w:ascii="宋体" w:hAnsi="宋体"/>
          <w:bCs/>
          <w:color w:val="000000" w:themeColor="text1"/>
          <w:highlight w:val="none"/>
        </w:rPr>
        <w:tab/>
      </w:r>
      <w:r>
        <w:rPr>
          <w:rFonts w:hint="eastAsia" w:ascii="宋体" w:hAnsi="宋体"/>
          <w:bCs/>
          <w:color w:val="000000" w:themeColor="text1"/>
          <w:highlight w:val="none"/>
        </w:rPr>
        <w:t xml:space="preserve"> 证明货物和服务与招标文件的要求相一致的文件，它可以是文字资料、图纸、手册和数据，包括：</w:t>
      </w:r>
    </w:p>
    <w:p>
      <w:pPr>
        <w:numPr>
          <w:ilvl w:val="5"/>
          <w:numId w:val="28"/>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货物主要技术指标和性能的详细说明。</w:t>
      </w:r>
    </w:p>
    <w:p>
      <w:pPr>
        <w:numPr>
          <w:ilvl w:val="5"/>
          <w:numId w:val="28"/>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货物从采购人开始使用至招标要求中规定的周期内正常、连续地使用所必须的备件和专用工具清单，包括备件和专用工具的货源及现行价格。</w:t>
      </w:r>
    </w:p>
    <w:p>
      <w:pPr>
        <w:numPr>
          <w:ilvl w:val="5"/>
          <w:numId w:val="28"/>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12.3</w:t>
      </w:r>
      <w:r>
        <w:rPr>
          <w:rFonts w:hint="eastAsia" w:ascii="宋体" w:hAnsi="宋体"/>
          <w:bCs/>
          <w:color w:val="000000" w:themeColor="text1"/>
          <w:highlight w:val="none"/>
        </w:rPr>
        <w:tab/>
      </w:r>
      <w:r>
        <w:rPr>
          <w:rFonts w:hint="eastAsia" w:ascii="宋体" w:hAnsi="宋体"/>
          <w:bCs/>
          <w:color w:val="000000" w:themeColor="text1"/>
          <w:highlight w:val="none"/>
        </w:rPr>
        <w:t xml:space="preserve"> </w:t>
      </w:r>
      <w:r>
        <w:rPr>
          <w:rFonts w:hint="eastAsia"/>
          <w:color w:val="000000" w:themeColor="text1"/>
          <w:highlight w:val="none"/>
        </w:rPr>
        <w:t>投标人在阐述上述第</w:t>
      </w:r>
      <w:r>
        <w:rPr>
          <w:rFonts w:hint="eastAsia" w:ascii="宋体" w:hAnsi="宋体"/>
          <w:color w:val="000000" w:themeColor="text1"/>
          <w:highlight w:val="none"/>
        </w:rPr>
        <w:t>12.2（3）</w:t>
      </w:r>
      <w:r>
        <w:rPr>
          <w:rFonts w:hint="eastAsia"/>
          <w:color w:val="000000" w:themeColor="text1"/>
          <w:highlight w:val="none"/>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color w:val="000000" w:themeColor="text1"/>
          <w:highlight w:val="none"/>
        </w:rPr>
        <w:t>12.4   评标委员会对投标人所提供的证明货物和服务的合格性的文件进行审查，审查不合格的投标将作为无效投标处理。</w:t>
      </w:r>
    </w:p>
    <w:p>
      <w:pPr>
        <w:pStyle w:val="6"/>
        <w:numPr>
          <w:ilvl w:val="4"/>
          <w:numId w:val="28"/>
        </w:numPr>
        <w:tabs>
          <w:tab w:val="left" w:pos="720"/>
        </w:tabs>
        <w:spacing w:before="240" w:after="120"/>
        <w:ind w:left="2432" w:hanging="2432"/>
        <w:rPr>
          <w:color w:val="000000" w:themeColor="text1"/>
          <w:highlight w:val="none"/>
        </w:rPr>
      </w:pPr>
      <w:bookmarkStart w:id="673" w:name="_Toc341348322"/>
      <w:bookmarkStart w:id="674" w:name="_Toc340672853"/>
      <w:bookmarkStart w:id="675" w:name="_Toc332270330"/>
      <w:bookmarkStart w:id="676" w:name="_Toc350756434"/>
      <w:bookmarkStart w:id="677" w:name="_Toc339019999"/>
      <w:bookmarkStart w:id="678" w:name="_Toc333237772"/>
      <w:bookmarkStart w:id="679" w:name="_Toc345513851"/>
      <w:bookmarkStart w:id="680" w:name="_Toc365967057"/>
      <w:bookmarkStart w:id="681" w:name="_Toc497224209"/>
      <w:bookmarkStart w:id="682" w:name="_Toc349127610"/>
      <w:bookmarkStart w:id="683" w:name="_Toc365985163"/>
      <w:bookmarkStart w:id="684" w:name="_Toc342060358"/>
      <w:bookmarkStart w:id="685" w:name="_Toc336681919"/>
      <w:bookmarkStart w:id="686" w:name="_Toc339020217"/>
      <w:bookmarkStart w:id="687" w:name="_Toc333238617"/>
      <w:bookmarkStart w:id="688" w:name="_Toc331512882"/>
      <w:bookmarkStart w:id="689" w:name="_Toc340677054"/>
      <w:bookmarkStart w:id="690" w:name="_Toc331684022"/>
      <w:bookmarkStart w:id="691" w:name="_Toc333935671"/>
      <w:bookmarkStart w:id="692" w:name="_Toc339019873"/>
      <w:bookmarkStart w:id="693" w:name="_Toc330459969"/>
      <w:bookmarkStart w:id="694" w:name="_Toc339362284"/>
      <w:bookmarkStart w:id="695" w:name="_Toc337632342"/>
      <w:bookmarkStart w:id="696" w:name="_Toc350438733"/>
      <w:bookmarkStart w:id="697" w:name="_Toc374454584"/>
      <w:bookmarkStart w:id="698" w:name="_Toc339441071"/>
      <w:bookmarkStart w:id="699" w:name="_Toc22126"/>
      <w:bookmarkStart w:id="700" w:name="_Toc336681564"/>
      <w:bookmarkStart w:id="701" w:name="_Toc503785411"/>
      <w:bookmarkStart w:id="702" w:name="_Toc349143573"/>
      <w:bookmarkStart w:id="703" w:name="_Toc339020079"/>
      <w:bookmarkStart w:id="704" w:name="_Toc342296744"/>
      <w:bookmarkStart w:id="705" w:name="_Toc333237661"/>
      <w:bookmarkStart w:id="706" w:name="_Toc366072512"/>
      <w:bookmarkStart w:id="707" w:name="_Toc332206692"/>
      <w:bookmarkStart w:id="708" w:name="_Toc340507426"/>
      <w:bookmarkStart w:id="709" w:name="_Toc333935330"/>
      <w:r>
        <w:rPr>
          <w:rFonts w:hint="eastAsia"/>
          <w:color w:val="000000" w:themeColor="text1"/>
          <w:highlight w:val="none"/>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13.1</w:t>
      </w:r>
      <w:r>
        <w:rPr>
          <w:rFonts w:hint="eastAsia" w:ascii="宋体" w:hAnsi="宋体"/>
          <w:color w:val="000000" w:themeColor="text1"/>
          <w:highlight w:val="none"/>
        </w:rPr>
        <w:tab/>
      </w:r>
      <w:r>
        <w:rPr>
          <w:rFonts w:hint="eastAsia" w:ascii="宋体" w:hAnsi="宋体"/>
          <w:color w:val="000000" w:themeColor="text1"/>
          <w:highlight w:val="none"/>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13.2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13.3</w:t>
      </w:r>
      <w:r>
        <w:rPr>
          <w:rFonts w:hint="eastAsia" w:ascii="宋体" w:hAnsi="宋体"/>
          <w:color w:val="000000" w:themeColor="text1"/>
          <w:highlight w:val="none"/>
        </w:rPr>
        <w:tab/>
      </w:r>
      <w:r>
        <w:rPr>
          <w:rFonts w:hint="eastAsia" w:ascii="宋体" w:hAnsi="宋体"/>
          <w:color w:val="000000" w:themeColor="text1"/>
          <w:highlight w:val="none"/>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13.6   投标人在投标文件中如有任何遗漏，影响到招标文件中规定的范围、质量、性能和项目的实施或限制了采购人的权利和投标人的义务，由此产生的费用由投标人负责。</w:t>
      </w:r>
    </w:p>
    <w:p>
      <w:pPr>
        <w:pStyle w:val="6"/>
        <w:numPr>
          <w:ilvl w:val="4"/>
          <w:numId w:val="28"/>
        </w:numPr>
        <w:tabs>
          <w:tab w:val="left" w:pos="720"/>
        </w:tabs>
        <w:spacing w:before="240" w:after="120"/>
        <w:ind w:left="2432" w:hanging="2432"/>
        <w:rPr>
          <w:color w:val="000000" w:themeColor="text1"/>
          <w:highlight w:val="none"/>
        </w:rPr>
      </w:pPr>
      <w:bookmarkStart w:id="710" w:name="_Toc336681565"/>
      <w:bookmarkStart w:id="711" w:name="_Toc333238618"/>
      <w:bookmarkStart w:id="712" w:name="_Toc339020000"/>
      <w:bookmarkStart w:id="713" w:name="_Toc332270331"/>
      <w:bookmarkStart w:id="714" w:name="_Toc503785414"/>
      <w:bookmarkStart w:id="715" w:name="_Toc340672854"/>
      <w:bookmarkStart w:id="716" w:name="_Toc341348323"/>
      <w:bookmarkStart w:id="717" w:name="_Toc350438734"/>
      <w:bookmarkStart w:id="718" w:name="_Toc365985164"/>
      <w:bookmarkStart w:id="719" w:name="_Toc497224212"/>
      <w:bookmarkStart w:id="720" w:name="_Toc342296745"/>
      <w:bookmarkStart w:id="721" w:name="_Toc349127611"/>
      <w:bookmarkStart w:id="722" w:name="_Toc333935331"/>
      <w:bookmarkStart w:id="723" w:name="_Toc342060359"/>
      <w:bookmarkStart w:id="724" w:name="_Toc366072513"/>
      <w:bookmarkStart w:id="725" w:name="_Toc330459970"/>
      <w:bookmarkStart w:id="726" w:name="_Toc336681920"/>
      <w:bookmarkStart w:id="727" w:name="_Toc339441072"/>
      <w:bookmarkStart w:id="728" w:name="_Toc12336"/>
      <w:bookmarkStart w:id="729" w:name="_Toc332206693"/>
      <w:bookmarkStart w:id="730" w:name="_Toc350756435"/>
      <w:bookmarkStart w:id="731" w:name="_Toc337632343"/>
      <w:bookmarkStart w:id="732" w:name="_Toc331512883"/>
      <w:bookmarkStart w:id="733" w:name="_Toc365967058"/>
      <w:bookmarkStart w:id="734" w:name="_Toc333935672"/>
      <w:bookmarkStart w:id="735" w:name="_Toc333237662"/>
      <w:bookmarkStart w:id="736" w:name="_Toc339020080"/>
      <w:bookmarkStart w:id="737" w:name="_Toc374454585"/>
      <w:bookmarkStart w:id="738" w:name="_Toc349143574"/>
      <w:bookmarkStart w:id="739" w:name="_Toc339019874"/>
      <w:bookmarkStart w:id="740" w:name="_Toc345513852"/>
      <w:bookmarkStart w:id="741" w:name="_Toc340507427"/>
      <w:bookmarkStart w:id="742" w:name="_Toc333237773"/>
      <w:bookmarkStart w:id="743" w:name="_Toc340677055"/>
      <w:bookmarkStart w:id="744" w:name="_Toc331684023"/>
      <w:bookmarkStart w:id="745" w:name="_Toc339362285"/>
      <w:bookmarkStart w:id="746" w:name="_Toc339020218"/>
      <w:r>
        <w:rPr>
          <w:rFonts w:hint="eastAsia"/>
          <w:color w:val="000000" w:themeColor="text1"/>
          <w:highlight w:val="none"/>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color w:val="000000" w:themeColor="text1"/>
          <w:highlight w:val="none"/>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bCs/>
          <w:color w:val="000000" w:themeColor="text1"/>
          <w:highlight w:val="none"/>
        </w:rPr>
        <w:t>14.3</w:t>
      </w:r>
      <w:r>
        <w:rPr>
          <w:rFonts w:hint="eastAsia" w:ascii="宋体"/>
          <w:bCs/>
          <w:color w:val="000000" w:themeColor="text1"/>
          <w:highlight w:val="none"/>
        </w:rPr>
        <w:tab/>
      </w:r>
      <w:r>
        <w:rPr>
          <w:rFonts w:hint="eastAsia" w:ascii="宋体"/>
          <w:bCs/>
          <w:color w:val="000000" w:themeColor="text1"/>
          <w:highlight w:val="none"/>
        </w:rPr>
        <w:t>投标保证金用于保护本次招标免遭因投标人的行为而蒙受的损失。</w:t>
      </w:r>
      <w:r>
        <w:rPr>
          <w:rFonts w:hint="eastAsia" w:ascii="宋体" w:hAnsi="宋体"/>
          <w:color w:val="000000" w:themeColor="text1"/>
          <w:highlight w:val="none"/>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hAnsi="宋体"/>
          <w:bCs/>
          <w:color w:val="000000" w:themeColor="text1"/>
          <w:highlight w:val="none"/>
        </w:rPr>
        <w:t>凡未按本须知第14.2条规定随附有效投标保证金的投标</w:t>
      </w:r>
      <w:r>
        <w:rPr>
          <w:rFonts w:ascii="宋体" w:hAnsi="宋体"/>
          <w:bCs/>
          <w:color w:val="000000" w:themeColor="text1"/>
          <w:highlight w:val="none"/>
        </w:rPr>
        <w:t>,</w:t>
      </w:r>
      <w:r>
        <w:rPr>
          <w:rFonts w:hint="eastAsia" w:ascii="宋体" w:hAnsi="宋体"/>
          <w:bCs/>
          <w:color w:val="000000" w:themeColor="text1"/>
          <w:highlight w:val="none"/>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5</w:t>
      </w:r>
      <w:r>
        <w:rPr>
          <w:rFonts w:ascii="宋体"/>
          <w:bCs/>
          <w:color w:val="000000" w:themeColor="text1"/>
          <w:highlight w:val="none"/>
        </w:rPr>
        <w:tab/>
      </w:r>
      <w:r>
        <w:rPr>
          <w:rFonts w:hint="eastAsia" w:ascii="宋体" w:hAnsi="宋体"/>
          <w:bCs/>
          <w:color w:val="000000" w:themeColor="text1"/>
          <w:highlight w:val="none"/>
        </w:rPr>
        <w:t>未中标的投标人的投标保证金，采购</w:t>
      </w:r>
      <w:r>
        <w:rPr>
          <w:rFonts w:hint="eastAsia" w:ascii="宋体" w:hAnsi="宋体"/>
          <w:bCs/>
          <w:color w:val="000000" w:themeColor="text1"/>
          <w:szCs w:val="21"/>
          <w:highlight w:val="none"/>
        </w:rPr>
        <w:t>代理</w:t>
      </w:r>
      <w:r>
        <w:rPr>
          <w:rFonts w:hint="eastAsia" w:ascii="宋体" w:hAnsi="宋体"/>
          <w:bCs/>
          <w:color w:val="000000" w:themeColor="text1"/>
          <w:highlight w:val="none"/>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6</w:t>
      </w:r>
      <w:r>
        <w:rPr>
          <w:rFonts w:ascii="宋体"/>
          <w:bCs/>
          <w:color w:val="000000" w:themeColor="text1"/>
          <w:highlight w:val="none"/>
        </w:rPr>
        <w:tab/>
      </w:r>
      <w:r>
        <w:rPr>
          <w:rFonts w:hint="eastAsia" w:ascii="宋体" w:hAnsi="宋体"/>
          <w:bCs/>
          <w:color w:val="000000" w:themeColor="text1"/>
          <w:highlight w:val="none"/>
        </w:rPr>
        <w:t>中标投标人的投标保证金</w:t>
      </w:r>
      <w:r>
        <w:rPr>
          <w:rFonts w:ascii="宋体" w:hAnsi="宋体"/>
          <w:bCs/>
          <w:color w:val="000000" w:themeColor="text1"/>
          <w:highlight w:val="none"/>
        </w:rPr>
        <w:t>，</w:t>
      </w:r>
      <w:r>
        <w:rPr>
          <w:rFonts w:hint="eastAsia" w:ascii="宋体" w:hAnsi="宋体"/>
          <w:bCs/>
          <w:color w:val="000000" w:themeColor="text1"/>
          <w:highlight w:val="none"/>
        </w:rPr>
        <w:t>在中标投标人付清中标服务费、签订合同之日起5个工作日内无息退</w:t>
      </w:r>
      <w:r>
        <w:rPr>
          <w:rFonts w:hint="eastAsia" w:ascii="宋体"/>
          <w:bCs/>
          <w:color w:val="000000" w:themeColor="text1"/>
          <w:highlight w:val="none"/>
        </w:rPr>
        <w:t>还。</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7</w:t>
      </w:r>
      <w:r>
        <w:rPr>
          <w:rFonts w:ascii="宋体"/>
          <w:bCs/>
          <w:color w:val="000000" w:themeColor="text1"/>
          <w:highlight w:val="none"/>
        </w:rPr>
        <w:tab/>
      </w:r>
      <w:r>
        <w:rPr>
          <w:rFonts w:hint="eastAsia" w:ascii="宋体"/>
          <w:bCs/>
          <w:color w:val="000000" w:themeColor="text1"/>
          <w:highlight w:val="none"/>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（4）投标人提供虚假投标文件或虚假补充文件的。</w:t>
      </w:r>
    </w:p>
    <w:p>
      <w:pPr>
        <w:pStyle w:val="6"/>
        <w:numPr>
          <w:ilvl w:val="4"/>
          <w:numId w:val="28"/>
        </w:numPr>
        <w:tabs>
          <w:tab w:val="left" w:pos="720"/>
        </w:tabs>
        <w:spacing w:before="240" w:after="120"/>
        <w:ind w:left="2432" w:hanging="2432"/>
        <w:rPr>
          <w:color w:val="000000" w:themeColor="text1"/>
          <w:highlight w:val="none"/>
        </w:rPr>
      </w:pPr>
      <w:bookmarkStart w:id="747" w:name="_Toc339019875"/>
      <w:bookmarkStart w:id="748" w:name="_Toc342296746"/>
      <w:bookmarkStart w:id="749" w:name="_Toc339020081"/>
      <w:bookmarkStart w:id="750" w:name="_Toc333238619"/>
      <w:bookmarkStart w:id="751" w:name="_Toc333935332"/>
      <w:bookmarkStart w:id="752" w:name="_Toc365967059"/>
      <w:bookmarkStart w:id="753" w:name="_Toc30798"/>
      <w:bookmarkStart w:id="754" w:name="_Toc339020001"/>
      <w:bookmarkStart w:id="755" w:name="_Toc341348324"/>
      <w:bookmarkStart w:id="756" w:name="_Toc349127612"/>
      <w:bookmarkStart w:id="757" w:name="_Toc339441073"/>
      <w:bookmarkStart w:id="758" w:name="_Toc332270332"/>
      <w:bookmarkStart w:id="759" w:name="_Toc337632344"/>
      <w:bookmarkStart w:id="760" w:name="_Toc350438735"/>
      <w:bookmarkStart w:id="761" w:name="_Toc331512884"/>
      <w:bookmarkStart w:id="762" w:name="_Toc339020219"/>
      <w:bookmarkStart w:id="763" w:name="_Toc333237663"/>
      <w:bookmarkStart w:id="764" w:name="_Toc349143575"/>
      <w:bookmarkStart w:id="765" w:name="_Toc340507428"/>
      <w:bookmarkStart w:id="766" w:name="_Toc340677056"/>
      <w:bookmarkStart w:id="767" w:name="_Toc333237774"/>
      <w:bookmarkStart w:id="768" w:name="_Toc342060360"/>
      <w:bookmarkStart w:id="769" w:name="_Toc331684024"/>
      <w:bookmarkStart w:id="770" w:name="_Toc340672855"/>
      <w:bookmarkStart w:id="771" w:name="_Toc350756436"/>
      <w:bookmarkStart w:id="772" w:name="_Toc374454586"/>
      <w:bookmarkStart w:id="773" w:name="_Toc339362286"/>
      <w:bookmarkStart w:id="774" w:name="_Toc365985165"/>
      <w:bookmarkStart w:id="775" w:name="_Toc503785415"/>
      <w:bookmarkStart w:id="776" w:name="_Toc345513853"/>
      <w:bookmarkStart w:id="777" w:name="_Toc330459971"/>
      <w:bookmarkStart w:id="778" w:name="_Toc497224213"/>
      <w:bookmarkStart w:id="779" w:name="_Toc336681921"/>
      <w:bookmarkStart w:id="780" w:name="_Toc336681566"/>
      <w:bookmarkStart w:id="781" w:name="_Toc366072514"/>
      <w:bookmarkStart w:id="782" w:name="_Toc332206694"/>
      <w:bookmarkStart w:id="783" w:name="_Toc333935673"/>
      <w:r>
        <w:rPr>
          <w:rFonts w:hint="eastAsia"/>
          <w:color w:val="000000" w:themeColor="text1"/>
          <w:highlight w:val="none"/>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6"/>
        <w:numPr>
          <w:ilvl w:val="4"/>
          <w:numId w:val="28"/>
        </w:numPr>
        <w:tabs>
          <w:tab w:val="left" w:pos="720"/>
        </w:tabs>
        <w:spacing w:before="240" w:after="120"/>
        <w:ind w:left="2432" w:hanging="2432"/>
        <w:rPr>
          <w:color w:val="000000" w:themeColor="text1"/>
          <w:highlight w:val="none"/>
        </w:rPr>
      </w:pPr>
      <w:bookmarkStart w:id="784" w:name="_Toc497224214"/>
      <w:bookmarkStart w:id="785" w:name="_Toc339441074"/>
      <w:bookmarkStart w:id="786" w:name="_Toc331684025"/>
      <w:bookmarkStart w:id="787" w:name="_Toc332206695"/>
      <w:bookmarkStart w:id="788" w:name="_Toc337632345"/>
      <w:bookmarkStart w:id="789" w:name="_Toc339020002"/>
      <w:bookmarkStart w:id="790" w:name="_Toc366072515"/>
      <w:bookmarkStart w:id="791" w:name="_Toc503785416"/>
      <w:bookmarkStart w:id="792" w:name="_Toc339019876"/>
      <w:bookmarkStart w:id="793" w:name="_Toc333238620"/>
      <w:bookmarkStart w:id="794" w:name="_Toc340677057"/>
      <w:bookmarkStart w:id="795" w:name="_Toc340507429"/>
      <w:bookmarkStart w:id="796" w:name="_Toc342060361"/>
      <w:bookmarkStart w:id="797" w:name="_Toc345513854"/>
      <w:bookmarkStart w:id="798" w:name="_Toc350756437"/>
      <w:bookmarkStart w:id="799" w:name="_Toc349143576"/>
      <w:bookmarkStart w:id="800" w:name="_Toc111534389"/>
      <w:bookmarkStart w:id="801" w:name="_Toc365967060"/>
      <w:bookmarkStart w:id="802" w:name="_Toc333935674"/>
      <w:bookmarkStart w:id="803" w:name="_Toc365985166"/>
      <w:bookmarkStart w:id="804" w:name="_Toc333237664"/>
      <w:bookmarkStart w:id="805" w:name="_Toc333237775"/>
      <w:bookmarkStart w:id="806" w:name="_Toc341348325"/>
      <w:bookmarkStart w:id="807" w:name="_Toc350438736"/>
      <w:bookmarkStart w:id="808" w:name="_Toc339020220"/>
      <w:bookmarkStart w:id="809" w:name="_Toc349127613"/>
      <w:bookmarkStart w:id="810" w:name="_Toc374454587"/>
      <w:bookmarkStart w:id="811" w:name="_Toc330459972"/>
      <w:bookmarkStart w:id="812" w:name="_Toc336681922"/>
      <w:bookmarkStart w:id="813" w:name="_Toc339362287"/>
      <w:bookmarkStart w:id="814" w:name="_Toc336681567"/>
      <w:bookmarkStart w:id="815" w:name="_Toc339020082"/>
      <w:bookmarkStart w:id="816" w:name="_Toc342296747"/>
      <w:bookmarkStart w:id="817" w:name="_Toc340672856"/>
      <w:bookmarkStart w:id="818" w:name="_Toc30966"/>
      <w:bookmarkStart w:id="819" w:name="_Toc333935333"/>
      <w:bookmarkStart w:id="820" w:name="_Toc331512885"/>
      <w:bookmarkStart w:id="821" w:name="_Toc332270333"/>
      <w:r>
        <w:rPr>
          <w:rFonts w:hint="eastAsia"/>
          <w:color w:val="000000" w:themeColor="text1"/>
          <w:highlight w:val="none"/>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.2</w:t>
      </w:r>
      <w:r>
        <w:rPr>
          <w:rFonts w:hint="eastAsia" w:ascii="宋体"/>
          <w:bCs/>
          <w:color w:val="000000" w:themeColor="text1"/>
          <w:highlight w:val="none"/>
        </w:rPr>
        <w:tab/>
      </w:r>
      <w:r>
        <w:rPr>
          <w:rFonts w:hint="eastAsia" w:ascii="宋体" w:hAnsi="宋体"/>
          <w:bCs/>
          <w:color w:val="000000" w:themeColor="text1"/>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 xml:space="preserve"> 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rPr>
      </w:pPr>
      <w:bookmarkStart w:id="822" w:name="_Toc365967061"/>
      <w:bookmarkStart w:id="823" w:name="_Toc374454588"/>
      <w:bookmarkStart w:id="824" w:name="_Toc333935334"/>
      <w:bookmarkStart w:id="825" w:name="_Toc337632346"/>
      <w:bookmarkStart w:id="826" w:name="_Toc333237665"/>
      <w:bookmarkStart w:id="827" w:name="_Toc111534390"/>
      <w:bookmarkStart w:id="828" w:name="_Toc339362288"/>
      <w:bookmarkStart w:id="829" w:name="_Toc339441075"/>
      <w:bookmarkStart w:id="830" w:name="_Toc331512886"/>
      <w:bookmarkStart w:id="831" w:name="_Toc345513855"/>
      <w:bookmarkStart w:id="832" w:name="_Toc365985167"/>
      <w:bookmarkStart w:id="833" w:name="_Toc503785417"/>
      <w:bookmarkStart w:id="834" w:name="_Toc350438737"/>
      <w:bookmarkStart w:id="835" w:name="_Toc332206696"/>
      <w:bookmarkStart w:id="836" w:name="_Toc332270334"/>
      <w:bookmarkStart w:id="837" w:name="_Toc339020003"/>
      <w:bookmarkStart w:id="838" w:name="_Toc342296748"/>
      <w:bookmarkStart w:id="839" w:name="_Toc340672857"/>
      <w:bookmarkStart w:id="840" w:name="_Toc497224215"/>
      <w:bookmarkStart w:id="841" w:name="_Toc339020221"/>
      <w:bookmarkStart w:id="842" w:name="_Toc341348326"/>
      <w:bookmarkStart w:id="843" w:name="_Toc331684026"/>
      <w:bookmarkStart w:id="844" w:name="_Toc339019877"/>
      <w:bookmarkStart w:id="845" w:name="_Toc349143577"/>
      <w:bookmarkStart w:id="846" w:name="_Toc333935675"/>
      <w:bookmarkStart w:id="847" w:name="_Toc339020083"/>
      <w:bookmarkStart w:id="848" w:name="_Toc333237776"/>
      <w:bookmarkStart w:id="849" w:name="_Toc340507430"/>
      <w:bookmarkStart w:id="850" w:name="_Toc340677058"/>
      <w:bookmarkStart w:id="851" w:name="_Toc366072516"/>
      <w:bookmarkStart w:id="852" w:name="_Toc336681568"/>
      <w:bookmarkStart w:id="853" w:name="_Toc342060362"/>
      <w:bookmarkStart w:id="854" w:name="_Toc350756438"/>
      <w:bookmarkStart w:id="855" w:name="_Toc349127614"/>
      <w:bookmarkStart w:id="856" w:name="_Toc336681923"/>
      <w:bookmarkStart w:id="857" w:name="_Toc330459973"/>
      <w:bookmarkStart w:id="858" w:name="_Toc333238621"/>
      <w:r>
        <w:rPr>
          <w:color w:val="000000" w:themeColor="text1"/>
          <w:sz w:val="24"/>
          <w:highlight w:val="none"/>
        </w:rPr>
        <w:br w:type="page"/>
      </w:r>
      <w:bookmarkStart w:id="859" w:name="_Toc8296"/>
      <w:r>
        <w:rPr>
          <w:rFonts w:hint="eastAsia"/>
          <w:color w:val="000000" w:themeColor="text1"/>
          <w:sz w:val="24"/>
          <w:highlight w:val="none"/>
        </w:rPr>
        <w:t>Ｄ投标文件的递交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pPr>
        <w:pStyle w:val="6"/>
        <w:numPr>
          <w:ilvl w:val="4"/>
          <w:numId w:val="28"/>
        </w:numPr>
        <w:tabs>
          <w:tab w:val="left" w:pos="251"/>
          <w:tab w:val="left" w:pos="720"/>
        </w:tabs>
        <w:spacing w:before="240" w:after="120"/>
        <w:ind w:left="751" w:leftChars="1" w:hangingChars="357"/>
        <w:rPr>
          <w:rFonts w:ascii="宋体" w:hAnsi="宋体"/>
          <w:color w:val="000000" w:themeColor="text1"/>
          <w:highlight w:val="none"/>
        </w:rPr>
      </w:pPr>
      <w:bookmarkStart w:id="860" w:name="_Toc339020222"/>
      <w:bookmarkStart w:id="861" w:name="_Toc337632347"/>
      <w:bookmarkStart w:id="862" w:name="_Toc339441076"/>
      <w:bookmarkStart w:id="863" w:name="_Toc342060363"/>
      <w:bookmarkStart w:id="864" w:name="_Toc330459974"/>
      <w:bookmarkStart w:id="865" w:name="_Toc350756439"/>
      <w:bookmarkStart w:id="866" w:name="_Toc339020084"/>
      <w:bookmarkStart w:id="867" w:name="_Toc333935335"/>
      <w:bookmarkStart w:id="868" w:name="_Toc350438738"/>
      <w:bookmarkStart w:id="869" w:name="_Toc331512887"/>
      <w:bookmarkStart w:id="870" w:name="_Toc340677059"/>
      <w:bookmarkStart w:id="871" w:name="_Toc349143578"/>
      <w:bookmarkStart w:id="872" w:name="_Toc331684027"/>
      <w:bookmarkStart w:id="873" w:name="_Toc497224216"/>
      <w:bookmarkStart w:id="874" w:name="_Toc339362289"/>
      <w:bookmarkStart w:id="875" w:name="_Toc333237666"/>
      <w:bookmarkStart w:id="876" w:name="_Toc503785418"/>
      <w:bookmarkStart w:id="877" w:name="_Toc332206697"/>
      <w:bookmarkStart w:id="878" w:name="_Toc336681569"/>
      <w:bookmarkStart w:id="879" w:name="_Toc332270335"/>
      <w:bookmarkStart w:id="880" w:name="_Toc333935676"/>
      <w:bookmarkStart w:id="881" w:name="_Toc339020004"/>
      <w:bookmarkStart w:id="882" w:name="_Toc340507431"/>
      <w:bookmarkStart w:id="883" w:name="_Toc365967062"/>
      <w:bookmarkStart w:id="884" w:name="_Toc336681924"/>
      <w:bookmarkStart w:id="885" w:name="_Toc333237777"/>
      <w:bookmarkStart w:id="886" w:name="_Toc333238622"/>
      <w:bookmarkStart w:id="887" w:name="_Toc345513856"/>
      <w:bookmarkStart w:id="888" w:name="_Toc374454589"/>
      <w:bookmarkStart w:id="889" w:name="_Toc366072517"/>
      <w:bookmarkStart w:id="890" w:name="_Toc342296749"/>
      <w:bookmarkStart w:id="891" w:name="_Toc111534391"/>
      <w:bookmarkStart w:id="892" w:name="_Toc340672858"/>
      <w:bookmarkStart w:id="893" w:name="_Toc341348327"/>
      <w:bookmarkStart w:id="894" w:name="_Toc365985168"/>
      <w:bookmarkStart w:id="895" w:name="_Toc349127615"/>
      <w:bookmarkStart w:id="896" w:name="_Toc339019878"/>
      <w:r>
        <w:rPr>
          <w:rFonts w:hint="eastAsia"/>
          <w:color w:val="000000" w:themeColor="text1"/>
          <w:highlight w:val="none"/>
        </w:rPr>
        <w:t xml:space="preserve">     </w:t>
      </w:r>
      <w:bookmarkStart w:id="897" w:name="_Toc20614"/>
      <w:r>
        <w:rPr>
          <w:rFonts w:hint="eastAsia"/>
          <w:color w:val="000000" w:themeColor="text1"/>
          <w:highlight w:val="none"/>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pPr>
        <w:pStyle w:val="5"/>
        <w:rPr>
          <w:color w:val="000000" w:themeColor="text1"/>
          <w:highlight w:val="none"/>
        </w:rPr>
      </w:pPr>
      <w:r>
        <w:rPr>
          <w:rFonts w:hint="eastAsia"/>
          <w:color w:val="000000" w:themeColor="text1"/>
          <w:highlight w:val="none"/>
        </w:rPr>
        <w:tab/>
      </w:r>
      <w:r>
        <w:rPr>
          <w:rFonts w:hint="eastAsia"/>
          <w:color w:val="000000" w:themeColor="text1"/>
          <w:highlight w:val="none"/>
        </w:rPr>
        <w:t xml:space="preserve">  </w:t>
      </w:r>
      <w:r>
        <w:rPr>
          <w:rFonts w:hint="eastAsia" w:ascii="黑体" w:eastAsia="黑体"/>
          <w:bCs/>
          <w:color w:val="000000" w:themeColor="text1"/>
          <w:kern w:val="2"/>
          <w:sz w:val="21"/>
          <w:szCs w:val="24"/>
          <w:highlight w:val="none"/>
        </w:rPr>
        <w:t>详见第三部份《投标人须知〈投标人须知前附表〉》。</w:t>
      </w:r>
    </w:p>
    <w:p>
      <w:pPr>
        <w:pStyle w:val="6"/>
        <w:numPr>
          <w:ilvl w:val="4"/>
          <w:numId w:val="28"/>
        </w:numPr>
        <w:tabs>
          <w:tab w:val="left" w:pos="720"/>
        </w:tabs>
        <w:spacing w:before="240" w:after="120"/>
        <w:ind w:left="2432" w:hanging="2432"/>
        <w:rPr>
          <w:color w:val="000000" w:themeColor="text1"/>
          <w:highlight w:val="none"/>
        </w:rPr>
      </w:pPr>
      <w:bookmarkStart w:id="898" w:name="_Toc342060364"/>
      <w:bookmarkStart w:id="899" w:name="_Toc333935336"/>
      <w:bookmarkStart w:id="900" w:name="_Toc366072518"/>
      <w:bookmarkStart w:id="901" w:name="_Toc111534392"/>
      <w:bookmarkStart w:id="902" w:name="_Toc341348328"/>
      <w:bookmarkStart w:id="903" w:name="_Toc333935677"/>
      <w:bookmarkStart w:id="904" w:name="_Toc365967063"/>
      <w:bookmarkStart w:id="905" w:name="_Toc331684028"/>
      <w:bookmarkStart w:id="906" w:name="_Toc374454590"/>
      <w:bookmarkStart w:id="907" w:name="_Toc349127616"/>
      <w:bookmarkStart w:id="908" w:name="_Toc497224217"/>
      <w:bookmarkStart w:id="909" w:name="_Toc333237778"/>
      <w:bookmarkStart w:id="910" w:name="_Toc336681570"/>
      <w:bookmarkStart w:id="911" w:name="_Toc350438739"/>
      <w:bookmarkStart w:id="912" w:name="_Toc339362290"/>
      <w:bookmarkStart w:id="913" w:name="_Toc340507432"/>
      <w:bookmarkStart w:id="914" w:name="_Toc333238623"/>
      <w:bookmarkStart w:id="915" w:name="_Toc349143579"/>
      <w:bookmarkStart w:id="916" w:name="_Toc339441077"/>
      <w:bookmarkStart w:id="917" w:name="_Toc339020223"/>
      <w:bookmarkStart w:id="918" w:name="_Toc340672859"/>
      <w:bookmarkStart w:id="919" w:name="_Toc337632348"/>
      <w:bookmarkStart w:id="920" w:name="_Toc503785419"/>
      <w:bookmarkStart w:id="921" w:name="_Toc339019879"/>
      <w:bookmarkStart w:id="922" w:name="_Toc345513857"/>
      <w:bookmarkStart w:id="923" w:name="_Toc350756440"/>
      <w:bookmarkStart w:id="924" w:name="_Toc365985169"/>
      <w:bookmarkStart w:id="925" w:name="_Toc331512888"/>
      <w:bookmarkStart w:id="926" w:name="_Toc336681925"/>
      <w:bookmarkStart w:id="927" w:name="_Toc339020085"/>
      <w:bookmarkStart w:id="928" w:name="_Toc332206698"/>
      <w:bookmarkStart w:id="929" w:name="_Toc339020005"/>
      <w:bookmarkStart w:id="930" w:name="_Toc342296750"/>
      <w:bookmarkStart w:id="931" w:name="_Toc340677060"/>
      <w:bookmarkStart w:id="932" w:name="_Toc332270336"/>
      <w:bookmarkStart w:id="933" w:name="_Toc333237667"/>
      <w:bookmarkStart w:id="934" w:name="_Toc9403"/>
      <w:bookmarkStart w:id="935" w:name="_Toc330459975"/>
      <w:r>
        <w:rPr>
          <w:rFonts w:hint="eastAsia"/>
          <w:color w:val="000000" w:themeColor="text1"/>
          <w:highlight w:val="none"/>
        </w:rPr>
        <w:t>递交投标文件的时间、地点及截止时间</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18.1</w:t>
      </w:r>
      <w:r>
        <w:rPr>
          <w:rFonts w:hint="eastAsia" w:ascii="宋体" w:hAnsi="宋体"/>
          <w:bCs/>
          <w:color w:val="000000" w:themeColor="text1"/>
          <w:highlight w:val="none"/>
        </w:rPr>
        <w:tab/>
      </w:r>
      <w:r>
        <w:rPr>
          <w:rFonts w:hint="eastAsia" w:ascii="宋体" w:hAnsi="宋体"/>
          <w:bCs/>
          <w:color w:val="000000" w:themeColor="text1"/>
          <w:highlight w:val="none"/>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18.2</w:t>
      </w:r>
      <w:r>
        <w:rPr>
          <w:rFonts w:hint="eastAsia" w:ascii="宋体" w:hAnsi="宋体"/>
          <w:bCs/>
          <w:color w:val="000000" w:themeColor="text1"/>
          <w:highlight w:val="none"/>
        </w:rPr>
        <w:tab/>
      </w:r>
      <w:r>
        <w:rPr>
          <w:rFonts w:hint="eastAsia" w:ascii="宋体" w:hAnsi="宋体"/>
          <w:bCs/>
          <w:color w:val="000000" w:themeColor="text1"/>
          <w:highlight w:val="none"/>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bookmarkStart w:id="936" w:name="_Toc374454591"/>
      <w:bookmarkStart w:id="937" w:name="_Toc340672860"/>
      <w:bookmarkStart w:id="938" w:name="_Toc333238624"/>
      <w:bookmarkStart w:id="939" w:name="_Toc331684029"/>
      <w:bookmarkStart w:id="940" w:name="_Toc333935678"/>
      <w:bookmarkStart w:id="941" w:name="_Toc336681571"/>
      <w:bookmarkStart w:id="942" w:name="_Toc366072519"/>
      <w:bookmarkStart w:id="943" w:name="_Toc339020224"/>
      <w:bookmarkStart w:id="944" w:name="_Toc330459976"/>
      <w:bookmarkStart w:id="945" w:name="_Toc350438740"/>
      <w:bookmarkStart w:id="946" w:name="_Toc339020006"/>
      <w:bookmarkStart w:id="947" w:name="_Toc350756441"/>
      <w:bookmarkStart w:id="948" w:name="_Toc339019880"/>
      <w:bookmarkStart w:id="949" w:name="_Toc365967064"/>
      <w:bookmarkStart w:id="950" w:name="_Toc331512889"/>
      <w:bookmarkStart w:id="951" w:name="_Toc340677061"/>
      <w:bookmarkStart w:id="952" w:name="_Toc340507433"/>
      <w:bookmarkStart w:id="953" w:name="_Toc345513858"/>
      <w:bookmarkStart w:id="954" w:name="_Toc332270337"/>
      <w:bookmarkStart w:id="955" w:name="_Toc349143580"/>
      <w:bookmarkStart w:id="956" w:name="_Toc332206699"/>
      <w:bookmarkStart w:id="957" w:name="_Toc333237668"/>
      <w:bookmarkStart w:id="958" w:name="_Toc342060365"/>
      <w:bookmarkStart w:id="959" w:name="_Toc339441078"/>
      <w:bookmarkStart w:id="960" w:name="_Toc339362291"/>
      <w:bookmarkStart w:id="961" w:name="_Toc497224218"/>
      <w:bookmarkStart w:id="962" w:name="_Toc365985170"/>
      <w:bookmarkStart w:id="963" w:name="_Toc333237779"/>
      <w:bookmarkStart w:id="964" w:name="_Toc337632349"/>
      <w:bookmarkStart w:id="965" w:name="_Toc341348329"/>
      <w:bookmarkStart w:id="966" w:name="_Toc336681926"/>
      <w:bookmarkStart w:id="967" w:name="_Toc333935337"/>
      <w:bookmarkStart w:id="968" w:name="_Toc339020086"/>
      <w:bookmarkStart w:id="969" w:name="_Toc503785420"/>
      <w:bookmarkStart w:id="970" w:name="_Toc349127617"/>
      <w:bookmarkStart w:id="971" w:name="_Toc342296751"/>
      <w:r>
        <w:rPr>
          <w:rFonts w:hint="eastAsia" w:ascii="宋体" w:hAnsi="宋体"/>
          <w:bCs/>
          <w:color w:val="000000" w:themeColor="text1"/>
          <w:highlight w:val="none"/>
        </w:rPr>
        <w:t>18.3</w:t>
      </w:r>
      <w:r>
        <w:rPr>
          <w:rFonts w:hint="eastAsia" w:ascii="宋体" w:hAnsi="宋体"/>
          <w:bCs/>
          <w:color w:val="000000" w:themeColor="text1"/>
          <w:highlight w:val="none"/>
        </w:rPr>
        <w:tab/>
      </w:r>
      <w:r>
        <w:rPr>
          <w:rFonts w:hint="eastAsia" w:ascii="宋体" w:hAnsi="宋体"/>
          <w:bCs/>
          <w:color w:val="000000" w:themeColor="text1"/>
          <w:highlight w:val="none"/>
        </w:rPr>
        <w:t xml:space="preserve"> 代理采购机构于投标截止时间前30分钟开始接收投标文件，并于招标文件“第一部分投标邀请函”规定的开标时间、开标地点公开开标。</w:t>
      </w:r>
    </w:p>
    <w:p>
      <w:pPr>
        <w:pStyle w:val="6"/>
        <w:numPr>
          <w:ilvl w:val="4"/>
          <w:numId w:val="28"/>
        </w:numPr>
        <w:tabs>
          <w:tab w:val="left" w:pos="720"/>
        </w:tabs>
        <w:spacing w:before="240" w:after="120"/>
        <w:ind w:left="2432" w:hanging="2432"/>
        <w:rPr>
          <w:color w:val="000000" w:themeColor="text1"/>
          <w:highlight w:val="none"/>
        </w:rPr>
      </w:pPr>
      <w:bookmarkStart w:id="972" w:name="_Toc12955"/>
      <w:r>
        <w:rPr>
          <w:rFonts w:hint="eastAsia"/>
          <w:color w:val="000000" w:themeColor="text1"/>
          <w:highlight w:val="none"/>
        </w:rPr>
        <w:t>迟交的投标文件</w:t>
      </w:r>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hint="eastAsia" w:ascii="宋体"/>
          <w:bCs/>
          <w:color w:val="000000" w:themeColor="text1"/>
          <w:highlight w:val="none"/>
        </w:rPr>
        <w:t>19</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代理采购机构将拒绝在投标截止时间后递交的任何投标文件。</w:t>
      </w:r>
    </w:p>
    <w:p>
      <w:pPr>
        <w:pStyle w:val="6"/>
        <w:numPr>
          <w:ilvl w:val="4"/>
          <w:numId w:val="28"/>
        </w:numPr>
        <w:tabs>
          <w:tab w:val="left" w:pos="720"/>
        </w:tabs>
        <w:spacing w:before="240" w:after="120"/>
        <w:ind w:left="2432" w:hanging="2432"/>
        <w:rPr>
          <w:color w:val="000000" w:themeColor="text1"/>
          <w:highlight w:val="none"/>
        </w:rPr>
      </w:pPr>
      <w:bookmarkStart w:id="973" w:name="_Toc497224219"/>
      <w:bookmarkStart w:id="974" w:name="_Toc503785421"/>
      <w:bookmarkStart w:id="975" w:name="_Toc337632350"/>
      <w:bookmarkStart w:id="976" w:name="_Toc339362292"/>
      <w:bookmarkStart w:id="977" w:name="_Toc350756442"/>
      <w:bookmarkStart w:id="978" w:name="_Toc340507434"/>
      <w:bookmarkStart w:id="979" w:name="_Toc339019881"/>
      <w:bookmarkStart w:id="980" w:name="_Toc333935679"/>
      <w:bookmarkStart w:id="981" w:name="_Toc342296752"/>
      <w:bookmarkStart w:id="982" w:name="_Toc330459977"/>
      <w:bookmarkStart w:id="983" w:name="_Toc342060366"/>
      <w:bookmarkStart w:id="984" w:name="_Toc336681927"/>
      <w:bookmarkStart w:id="985" w:name="_Toc333238625"/>
      <w:bookmarkStart w:id="986" w:name="_Toc340672861"/>
      <w:bookmarkStart w:id="987" w:name="_Toc332206700"/>
      <w:bookmarkStart w:id="988" w:name="_Toc340677062"/>
      <w:bookmarkStart w:id="989" w:name="_Toc350438741"/>
      <w:bookmarkStart w:id="990" w:name="_Toc349127618"/>
      <w:bookmarkStart w:id="991" w:name="_Toc349143581"/>
      <w:bookmarkStart w:id="992" w:name="_Toc365985171"/>
      <w:bookmarkStart w:id="993" w:name="_Toc341348330"/>
      <w:bookmarkStart w:id="994" w:name="_Toc336681572"/>
      <w:bookmarkStart w:id="995" w:name="_Toc339020087"/>
      <w:bookmarkStart w:id="996" w:name="_Toc333935338"/>
      <w:bookmarkStart w:id="997" w:name="_Toc333237669"/>
      <w:bookmarkStart w:id="998" w:name="_Toc366072520"/>
      <w:bookmarkStart w:id="999" w:name="_Toc339020007"/>
      <w:bookmarkStart w:id="1000" w:name="_Toc331684030"/>
      <w:bookmarkStart w:id="1001" w:name="_Toc365967065"/>
      <w:bookmarkStart w:id="1002" w:name="_Toc339441079"/>
      <w:bookmarkStart w:id="1003" w:name="_Toc332270338"/>
      <w:bookmarkStart w:id="1004" w:name="_Toc374454592"/>
      <w:bookmarkStart w:id="1005" w:name="_Toc339020225"/>
      <w:bookmarkStart w:id="1006" w:name="_Toc333237780"/>
      <w:bookmarkStart w:id="1007" w:name="_Toc345513859"/>
      <w:bookmarkStart w:id="1008" w:name="_Toc331512890"/>
      <w:bookmarkStart w:id="1009" w:name="_Toc238"/>
      <w:r>
        <w:rPr>
          <w:rFonts w:hint="eastAsia"/>
          <w:color w:val="000000" w:themeColor="text1"/>
          <w:highlight w:val="none"/>
        </w:rPr>
        <w:t>投标文件的修改和撤</w:t>
      </w:r>
      <w:bookmarkEnd w:id="973"/>
      <w:bookmarkEnd w:id="974"/>
      <w:r>
        <w:rPr>
          <w:rFonts w:hint="eastAsia"/>
          <w:color w:val="000000" w:themeColor="text1"/>
          <w:highlight w:val="none"/>
        </w:rPr>
        <w:t>回</w:t>
      </w:r>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 xml:space="preserve"> 投标人在</w:t>
      </w:r>
      <w:r>
        <w:rPr>
          <w:rFonts w:hint="eastAsia" w:ascii="宋体"/>
          <w:bCs/>
          <w:color w:val="000000" w:themeColor="text1"/>
          <w:highlight w:val="none"/>
          <w:lang w:val="en-US" w:eastAsia="zh-CN"/>
        </w:rPr>
        <w:t>投标</w:t>
      </w:r>
      <w:r>
        <w:rPr>
          <w:rFonts w:hint="eastAsia" w:ascii="宋体"/>
          <w:bCs/>
          <w:color w:val="000000" w:themeColor="text1"/>
          <w:highlight w:val="none"/>
        </w:rPr>
        <w:t>截止时间前，可以修改或撤回其投标文件。但必须在规定的</w:t>
      </w:r>
      <w:r>
        <w:rPr>
          <w:rFonts w:hint="eastAsia" w:ascii="宋体"/>
          <w:bCs/>
          <w:color w:val="000000" w:themeColor="text1"/>
          <w:highlight w:val="none"/>
          <w:lang w:val="en-US" w:eastAsia="zh-CN"/>
        </w:rPr>
        <w:t>投标</w:t>
      </w:r>
      <w:r>
        <w:rPr>
          <w:rFonts w:hint="eastAsia" w:ascii="宋体"/>
          <w:bCs/>
          <w:color w:val="000000" w:themeColor="text1"/>
          <w:highlight w:val="none"/>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rPr>
      </w:pPr>
      <w:bookmarkStart w:id="1010" w:name="_Toc333237781"/>
      <w:bookmarkStart w:id="1011" w:name="_Toc333237670"/>
      <w:bookmarkStart w:id="1012" w:name="_Toc337632351"/>
      <w:bookmarkStart w:id="1013" w:name="_Toc365985172"/>
      <w:bookmarkStart w:id="1014" w:name="_Toc339362293"/>
      <w:bookmarkStart w:id="1015" w:name="_Toc341348331"/>
      <w:bookmarkStart w:id="1016" w:name="_Toc339020226"/>
      <w:bookmarkStart w:id="1017" w:name="_Toc332206701"/>
      <w:bookmarkStart w:id="1018" w:name="_Toc350438742"/>
      <w:bookmarkStart w:id="1019" w:name="_Toc365967066"/>
      <w:bookmarkStart w:id="1020" w:name="_Toc339441080"/>
      <w:bookmarkStart w:id="1021" w:name="_Toc333238626"/>
      <w:bookmarkStart w:id="1022" w:name="_Toc350756443"/>
      <w:bookmarkStart w:id="1023" w:name="_Toc340672862"/>
      <w:bookmarkStart w:id="1024" w:name="_Toc331684031"/>
      <w:bookmarkStart w:id="1025" w:name="_Toc503785422"/>
      <w:bookmarkStart w:id="1026" w:name="_Toc342060367"/>
      <w:bookmarkStart w:id="1027" w:name="_Toc340507435"/>
      <w:bookmarkStart w:id="1028" w:name="_Toc339020008"/>
      <w:bookmarkStart w:id="1029" w:name="_Toc330459978"/>
      <w:bookmarkStart w:id="1030" w:name="_Toc340677063"/>
      <w:bookmarkStart w:id="1031" w:name="_Toc345513860"/>
      <w:bookmarkStart w:id="1032" w:name="_Toc349127619"/>
      <w:bookmarkStart w:id="1033" w:name="_Toc331512891"/>
      <w:bookmarkStart w:id="1034" w:name="_Toc339020088"/>
      <w:bookmarkStart w:id="1035" w:name="_Toc497224220"/>
      <w:bookmarkStart w:id="1036" w:name="_Toc336681573"/>
      <w:bookmarkStart w:id="1037" w:name="_Toc332270339"/>
      <w:bookmarkStart w:id="1038" w:name="_Toc349143582"/>
      <w:bookmarkStart w:id="1039" w:name="_Toc333935680"/>
      <w:bookmarkStart w:id="1040" w:name="_Toc333935339"/>
      <w:bookmarkStart w:id="1041" w:name="_Toc366072521"/>
      <w:bookmarkStart w:id="1042" w:name="_Toc374454593"/>
      <w:bookmarkStart w:id="1043" w:name="_Toc336681928"/>
      <w:bookmarkStart w:id="1044" w:name="_Toc342296753"/>
      <w:bookmarkStart w:id="1045" w:name="_Toc339019882"/>
      <w:r>
        <w:rPr>
          <w:color w:val="000000" w:themeColor="text1"/>
          <w:sz w:val="24"/>
          <w:highlight w:val="none"/>
        </w:rPr>
        <w:br w:type="page"/>
      </w:r>
      <w:bookmarkStart w:id="1046" w:name="_Toc10191"/>
      <w:r>
        <w:rPr>
          <w:rFonts w:hint="eastAsia"/>
          <w:color w:val="000000" w:themeColor="text1"/>
          <w:sz w:val="24"/>
          <w:highlight w:val="none"/>
        </w:rPr>
        <w:t>Ｅ开标和评标</w:t>
      </w:r>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p>
    <w:p>
      <w:pPr>
        <w:pStyle w:val="6"/>
        <w:numPr>
          <w:ilvl w:val="4"/>
          <w:numId w:val="28"/>
        </w:numPr>
        <w:tabs>
          <w:tab w:val="left" w:pos="720"/>
        </w:tabs>
        <w:spacing w:before="240" w:after="120"/>
        <w:ind w:left="2432" w:hanging="2432"/>
        <w:rPr>
          <w:color w:val="000000" w:themeColor="text1"/>
          <w:highlight w:val="none"/>
        </w:rPr>
      </w:pPr>
      <w:bookmarkStart w:id="1047" w:name="_Toc339441081"/>
      <w:bookmarkStart w:id="1048" w:name="_Toc333935340"/>
      <w:bookmarkStart w:id="1049" w:name="_Toc20627"/>
      <w:bookmarkStart w:id="1050" w:name="_Toc365967067"/>
      <w:bookmarkStart w:id="1051" w:name="_Toc333237671"/>
      <w:bookmarkStart w:id="1052" w:name="_Toc332270340"/>
      <w:bookmarkStart w:id="1053" w:name="_Toc331512892"/>
      <w:bookmarkStart w:id="1054" w:name="_Toc340507436"/>
      <w:bookmarkStart w:id="1055" w:name="_Toc503785423"/>
      <w:bookmarkStart w:id="1056" w:name="_Toc339020227"/>
      <w:bookmarkStart w:id="1057" w:name="_Toc374454594"/>
      <w:bookmarkStart w:id="1058" w:name="_Toc330459979"/>
      <w:bookmarkStart w:id="1059" w:name="_Toc350756444"/>
      <w:bookmarkStart w:id="1060" w:name="_Toc333237782"/>
      <w:bookmarkStart w:id="1061" w:name="_Toc350438743"/>
      <w:bookmarkStart w:id="1062" w:name="_Toc333935681"/>
      <w:bookmarkStart w:id="1063" w:name="_Toc331684032"/>
      <w:bookmarkStart w:id="1064" w:name="_Toc349143583"/>
      <w:bookmarkStart w:id="1065" w:name="_Toc342296754"/>
      <w:bookmarkStart w:id="1066" w:name="_Toc341348332"/>
      <w:bookmarkStart w:id="1067" w:name="_Toc336681929"/>
      <w:bookmarkStart w:id="1068" w:name="_Toc333238627"/>
      <w:bookmarkStart w:id="1069" w:name="_Toc349127620"/>
      <w:bookmarkStart w:id="1070" w:name="_Toc339362294"/>
      <w:bookmarkStart w:id="1071" w:name="_Toc365985173"/>
      <w:bookmarkStart w:id="1072" w:name="_Toc339020089"/>
      <w:bookmarkStart w:id="1073" w:name="_Toc345513861"/>
      <w:bookmarkStart w:id="1074" w:name="_Toc337632352"/>
      <w:bookmarkStart w:id="1075" w:name="_Toc340672863"/>
      <w:bookmarkStart w:id="1076" w:name="_Toc342060368"/>
      <w:bookmarkStart w:id="1077" w:name="_Toc336681574"/>
      <w:bookmarkStart w:id="1078" w:name="_Toc366072522"/>
      <w:bookmarkStart w:id="1079" w:name="_Toc497224221"/>
      <w:bookmarkStart w:id="1080" w:name="_Toc339020009"/>
      <w:bookmarkStart w:id="1081" w:name="_Toc340677064"/>
      <w:bookmarkStart w:id="1082" w:name="_Toc339019883"/>
      <w:bookmarkStart w:id="1083" w:name="_Toc332206702"/>
      <w:r>
        <w:rPr>
          <w:rFonts w:hint="eastAsia"/>
          <w:color w:val="000000" w:themeColor="text1"/>
          <w:highlight w:val="none"/>
        </w:rPr>
        <w:t>开标</w:t>
      </w:r>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21.4</w:t>
      </w:r>
      <w:r>
        <w:rPr>
          <w:rFonts w:hint="eastAsia" w:ascii="宋体" w:hAnsi="宋体"/>
          <w:bCs/>
          <w:color w:val="000000" w:themeColor="text1"/>
          <w:highlight w:val="none"/>
        </w:rPr>
        <w:tab/>
      </w:r>
      <w:r>
        <w:rPr>
          <w:rFonts w:hint="eastAsia" w:ascii="宋体" w:hAnsi="宋体"/>
          <w:bCs/>
          <w:color w:val="000000" w:themeColor="text1"/>
          <w:highlight w:val="none"/>
        </w:rPr>
        <w:t xml:space="preserve"> 唱标结束后，代理采购机构将做唱标记录，并按规定在唱标记录上签字。</w:t>
      </w:r>
    </w:p>
    <w:p>
      <w:pPr>
        <w:pStyle w:val="6"/>
        <w:numPr>
          <w:ilvl w:val="4"/>
          <w:numId w:val="28"/>
        </w:numPr>
        <w:tabs>
          <w:tab w:val="left" w:pos="720"/>
        </w:tabs>
        <w:spacing w:before="240" w:after="120"/>
        <w:ind w:left="752" w:hanging="751" w:hangingChars="358"/>
        <w:rPr>
          <w:rFonts w:ascii="宋体" w:hAnsi="宋体"/>
          <w:color w:val="000000" w:themeColor="text1"/>
          <w:highlight w:val="none"/>
        </w:rPr>
      </w:pPr>
      <w:bookmarkStart w:id="1084" w:name="_Toc331512893"/>
      <w:bookmarkStart w:id="1085" w:name="_Toc350756445"/>
      <w:bookmarkStart w:id="1086" w:name="_Toc336681575"/>
      <w:bookmarkStart w:id="1087" w:name="_Toc350438744"/>
      <w:bookmarkStart w:id="1088" w:name="_Toc339020228"/>
      <w:bookmarkStart w:id="1089" w:name="_Toc339020090"/>
      <w:bookmarkStart w:id="1090" w:name="_Toc336681930"/>
      <w:bookmarkStart w:id="1091" w:name="_Toc349143584"/>
      <w:bookmarkStart w:id="1092" w:name="_Toc330459980"/>
      <w:bookmarkStart w:id="1093" w:name="_Toc339441082"/>
      <w:bookmarkStart w:id="1094" w:name="_Toc333237672"/>
      <w:bookmarkStart w:id="1095" w:name="_Toc374454595"/>
      <w:bookmarkStart w:id="1096" w:name="_Toc503785424"/>
      <w:bookmarkStart w:id="1097" w:name="_Toc17726"/>
      <w:bookmarkStart w:id="1098" w:name="_Toc366072523"/>
      <w:bookmarkStart w:id="1099" w:name="_Toc340507437"/>
      <w:bookmarkStart w:id="1100" w:name="_Toc332206703"/>
      <w:bookmarkStart w:id="1101" w:name="_Toc365967068"/>
      <w:bookmarkStart w:id="1102" w:name="_Toc332270341"/>
      <w:bookmarkStart w:id="1103" w:name="_Toc333935341"/>
      <w:bookmarkStart w:id="1104" w:name="_Toc340677065"/>
      <w:bookmarkStart w:id="1105" w:name="_Toc340672864"/>
      <w:bookmarkStart w:id="1106" w:name="_Toc345513862"/>
      <w:bookmarkStart w:id="1107" w:name="_Toc342060369"/>
      <w:bookmarkStart w:id="1108" w:name="_Toc497224222"/>
      <w:bookmarkStart w:id="1109" w:name="_Toc342296755"/>
      <w:bookmarkStart w:id="1110" w:name="_Toc339019884"/>
      <w:bookmarkStart w:id="1111" w:name="_Toc333935682"/>
      <w:bookmarkStart w:id="1112" w:name="_Toc331684033"/>
      <w:bookmarkStart w:id="1113" w:name="_Toc333238628"/>
      <w:bookmarkStart w:id="1114" w:name="_Toc339020010"/>
      <w:bookmarkStart w:id="1115" w:name="_Toc337632353"/>
      <w:bookmarkStart w:id="1116" w:name="_Toc349127621"/>
      <w:bookmarkStart w:id="1117" w:name="_Toc365985174"/>
      <w:bookmarkStart w:id="1118" w:name="_Toc333237783"/>
      <w:bookmarkStart w:id="1119" w:name="_Toc339362295"/>
      <w:bookmarkStart w:id="1120" w:name="_Toc341348333"/>
      <w:r>
        <w:rPr>
          <w:rFonts w:hint="eastAsia"/>
          <w:color w:val="000000" w:themeColor="text1"/>
          <w:highlight w:val="none"/>
        </w:rPr>
        <w:t>评标委员会</w:t>
      </w:r>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p>
    <w:p>
      <w:pPr>
        <w:pStyle w:val="5"/>
        <w:rPr>
          <w:color w:val="000000" w:themeColor="text1"/>
          <w:highlight w:val="none"/>
        </w:rPr>
      </w:pPr>
      <w:r>
        <w:rPr>
          <w:rFonts w:hint="eastAsia" w:ascii="黑体" w:eastAsia="黑体"/>
          <w:bCs/>
          <w:color w:val="000000" w:themeColor="text1"/>
          <w:kern w:val="2"/>
          <w:sz w:val="21"/>
          <w:szCs w:val="24"/>
          <w:highlight w:val="none"/>
        </w:rPr>
        <w:t>详见第三部份《投标人须知〈投标人须知前附表〉》。</w:t>
      </w:r>
    </w:p>
    <w:p>
      <w:pPr>
        <w:pStyle w:val="6"/>
        <w:numPr>
          <w:ilvl w:val="4"/>
          <w:numId w:val="28"/>
        </w:numPr>
        <w:tabs>
          <w:tab w:val="left" w:pos="720"/>
        </w:tabs>
        <w:spacing w:before="240" w:after="120"/>
        <w:ind w:left="2432" w:hanging="2432"/>
        <w:rPr>
          <w:color w:val="000000" w:themeColor="text1"/>
          <w:highlight w:val="none"/>
        </w:rPr>
      </w:pPr>
      <w:bookmarkStart w:id="1121" w:name="_Toc340672865"/>
      <w:bookmarkStart w:id="1122" w:name="_Toc330459981"/>
      <w:bookmarkStart w:id="1123" w:name="_Toc342296756"/>
      <w:bookmarkStart w:id="1124" w:name="_Toc365985175"/>
      <w:bookmarkStart w:id="1125" w:name="_Toc341348334"/>
      <w:bookmarkStart w:id="1126" w:name="_Toc336681931"/>
      <w:bookmarkStart w:id="1127" w:name="_Toc332270342"/>
      <w:bookmarkStart w:id="1128" w:name="_Toc339019885"/>
      <w:bookmarkStart w:id="1129" w:name="_Toc340507438"/>
      <w:bookmarkStart w:id="1130" w:name="_Toc339020011"/>
      <w:bookmarkStart w:id="1131" w:name="_Toc366072524"/>
      <w:bookmarkStart w:id="1132" w:name="_Toc503785425"/>
      <w:bookmarkStart w:id="1133" w:name="_Toc339362296"/>
      <w:bookmarkStart w:id="1134" w:name="_Toc339020229"/>
      <w:bookmarkStart w:id="1135" w:name="_Toc331684034"/>
      <w:bookmarkStart w:id="1136" w:name="_Toc339020091"/>
      <w:bookmarkStart w:id="1137" w:name="_Toc333935683"/>
      <w:bookmarkStart w:id="1138" w:name="_Toc331512894"/>
      <w:bookmarkStart w:id="1139" w:name="_Toc336681576"/>
      <w:bookmarkStart w:id="1140" w:name="_Toc333935342"/>
      <w:bookmarkStart w:id="1141" w:name="_Toc340677066"/>
      <w:bookmarkStart w:id="1142" w:name="_Toc333238629"/>
      <w:bookmarkStart w:id="1143" w:name="_Toc350438745"/>
      <w:bookmarkStart w:id="1144" w:name="_Toc349127622"/>
      <w:bookmarkStart w:id="1145" w:name="_Toc349143585"/>
      <w:bookmarkStart w:id="1146" w:name="_Toc345513863"/>
      <w:bookmarkStart w:id="1147" w:name="_Toc365967069"/>
      <w:bookmarkStart w:id="1148" w:name="_Toc337632354"/>
      <w:bookmarkStart w:id="1149" w:name="_Toc339441083"/>
      <w:bookmarkStart w:id="1150" w:name="_Toc350756446"/>
      <w:bookmarkStart w:id="1151" w:name="_Toc1221"/>
      <w:bookmarkStart w:id="1152" w:name="_Toc342060370"/>
      <w:bookmarkStart w:id="1153" w:name="_Toc497224223"/>
      <w:bookmarkStart w:id="1154" w:name="_Toc332206704"/>
      <w:bookmarkStart w:id="1155" w:name="_Toc333237784"/>
      <w:bookmarkStart w:id="1156" w:name="_Toc333237673"/>
      <w:bookmarkStart w:id="1157" w:name="_Toc374454596"/>
      <w:r>
        <w:rPr>
          <w:rFonts w:hint="eastAsia"/>
          <w:color w:val="000000" w:themeColor="text1"/>
          <w:highlight w:val="none"/>
        </w:rPr>
        <w:t>对投标文件的初审和响应性的确定</w:t>
      </w:r>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rPr>
      </w:pPr>
      <w:r>
        <w:rPr>
          <w:rFonts w:hint="eastAsia" w:ascii="宋体"/>
          <w:bCs/>
          <w:color w:val="000000" w:themeColor="text1"/>
          <w:highlight w:val="none"/>
        </w:rPr>
        <w:t xml:space="preserve">23.2   </w:t>
      </w:r>
      <w:r>
        <w:rPr>
          <w:rFonts w:hint="eastAsia" w:ascii="宋体" w:hAnsi="宋体"/>
          <w:color w:val="000000" w:themeColor="text1"/>
          <w:highlight w:val="none"/>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rPr>
        <w:t>是</w:t>
      </w:r>
      <w:r>
        <w:rPr>
          <w:rFonts w:hint="eastAsia" w:ascii="宋体"/>
          <w:bCs/>
          <w:color w:val="000000" w:themeColor="text1"/>
          <w:highlight w:val="none"/>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 xml:space="preserve">5 </w:t>
      </w:r>
      <w:r>
        <w:rPr>
          <w:rFonts w:hint="eastAsia" w:ascii="宋体"/>
          <w:bCs/>
          <w:color w:val="000000" w:themeColor="text1"/>
          <w:highlight w:val="none"/>
        </w:rPr>
        <w:tab/>
      </w:r>
      <w:r>
        <w:rPr>
          <w:rFonts w:hint="eastAsia" w:ascii="宋体" w:hAnsi="宋体"/>
          <w:bCs/>
          <w:color w:val="000000" w:themeColor="text1"/>
          <w:highlight w:val="none"/>
        </w:rPr>
        <w:t>如果发现下列情况之一的，其投标将被拒绝而作无效投标处理：</w:t>
      </w:r>
    </w:p>
    <w:p>
      <w:pPr>
        <w:numPr>
          <w:ilvl w:val="0"/>
          <w:numId w:val="32"/>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资格审查结果为不合格的；</w:t>
      </w:r>
    </w:p>
    <w:p>
      <w:pPr>
        <w:numPr>
          <w:ilvl w:val="0"/>
          <w:numId w:val="32"/>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投标人未提交投标保证金或投标保证金金额不足或无效的；</w:t>
      </w:r>
    </w:p>
    <w:p>
      <w:pPr>
        <w:numPr>
          <w:ilvl w:val="0"/>
          <w:numId w:val="32"/>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投标函</w:t>
      </w:r>
      <w:r>
        <w:rPr>
          <w:rFonts w:ascii="宋体" w:hAnsi="宋体"/>
          <w:bCs/>
          <w:color w:val="000000" w:themeColor="text1"/>
          <w:highlight w:val="none"/>
        </w:rPr>
        <w:t>未加盖</w:t>
      </w:r>
      <w:r>
        <w:rPr>
          <w:rFonts w:hint="eastAsia" w:ascii="宋体" w:hAnsi="宋体"/>
          <w:bCs/>
          <w:color w:val="000000" w:themeColor="text1"/>
          <w:highlight w:val="none"/>
        </w:rPr>
        <w:t>投标人</w:t>
      </w:r>
      <w:r>
        <w:rPr>
          <w:rFonts w:ascii="宋体" w:hAnsi="宋体"/>
          <w:bCs/>
          <w:color w:val="000000" w:themeColor="text1"/>
          <w:highlight w:val="none"/>
        </w:rPr>
        <w:t>公章</w:t>
      </w:r>
      <w:r>
        <w:rPr>
          <w:rFonts w:hint="eastAsia" w:ascii="宋体" w:hAnsi="宋体"/>
          <w:bCs/>
          <w:color w:val="000000" w:themeColor="text1"/>
          <w:highlight w:val="none"/>
        </w:rPr>
        <w:t>或</w:t>
      </w:r>
      <w:r>
        <w:rPr>
          <w:rFonts w:ascii="宋体" w:hAnsi="宋体"/>
          <w:bCs/>
          <w:color w:val="000000" w:themeColor="text1"/>
          <w:highlight w:val="none"/>
        </w:rPr>
        <w:t>未有</w:t>
      </w:r>
      <w:r>
        <w:rPr>
          <w:rFonts w:hint="eastAsia" w:ascii="宋体" w:hAnsi="宋体"/>
          <w:bCs/>
          <w:color w:val="000000" w:themeColor="text1"/>
          <w:highlight w:val="none"/>
        </w:rPr>
        <w:t>法定代表人（负责人）</w:t>
      </w:r>
      <w:r>
        <w:rPr>
          <w:rFonts w:ascii="宋体" w:hAnsi="宋体"/>
          <w:bCs/>
          <w:color w:val="000000" w:themeColor="text1"/>
          <w:highlight w:val="none"/>
        </w:rPr>
        <w:t>或者被授权人签名的；</w:t>
      </w:r>
    </w:p>
    <w:p>
      <w:pPr>
        <w:numPr>
          <w:ilvl w:val="0"/>
          <w:numId w:val="32"/>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未按招标文件规定格式填写或者字迹模糊不清的；</w:t>
      </w:r>
    </w:p>
    <w:p>
      <w:pPr>
        <w:numPr>
          <w:ilvl w:val="0"/>
          <w:numId w:val="32"/>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投标报价超出最高投标报价（预算价）上限的；</w:t>
      </w:r>
    </w:p>
    <w:p>
      <w:pPr>
        <w:numPr>
          <w:ilvl w:val="0"/>
          <w:numId w:val="32"/>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 xml:space="preserve">投标文件载明的招标项目完工期（服务期）超过招标文件规定的期限，或服务期不满足招标文件规定要求的； </w:t>
      </w:r>
    </w:p>
    <w:p>
      <w:pPr>
        <w:numPr>
          <w:ilvl w:val="0"/>
          <w:numId w:val="32"/>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投标有效期不足的；</w:t>
      </w:r>
    </w:p>
    <w:p>
      <w:pPr>
        <w:numPr>
          <w:ilvl w:val="0"/>
          <w:numId w:val="32"/>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投标文件附有采购人或代理采购机构不能接受的条件的；</w:t>
      </w:r>
    </w:p>
    <w:p>
      <w:pPr>
        <w:numPr>
          <w:ilvl w:val="0"/>
          <w:numId w:val="32"/>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招标文件规定的其他实质性要求的；</w:t>
      </w:r>
    </w:p>
    <w:p>
      <w:pPr>
        <w:numPr>
          <w:ilvl w:val="0"/>
          <w:numId w:val="32"/>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法律、法规规定的其他废标条款。</w:t>
      </w:r>
    </w:p>
    <w:p>
      <w:pPr>
        <w:pStyle w:val="6"/>
        <w:numPr>
          <w:ilvl w:val="4"/>
          <w:numId w:val="28"/>
        </w:numPr>
        <w:tabs>
          <w:tab w:val="left" w:pos="720"/>
        </w:tabs>
        <w:spacing w:before="240" w:after="120"/>
        <w:ind w:left="2432" w:hanging="2432"/>
        <w:rPr>
          <w:color w:val="000000" w:themeColor="text1"/>
          <w:highlight w:val="none"/>
        </w:rPr>
      </w:pPr>
      <w:bookmarkStart w:id="1158" w:name="_Toc349127623"/>
      <w:bookmarkStart w:id="1159" w:name="_Toc339019886"/>
      <w:bookmarkStart w:id="1160" w:name="_Toc333935684"/>
      <w:bookmarkStart w:id="1161" w:name="_Toc333935343"/>
      <w:bookmarkStart w:id="1162" w:name="_Toc336681577"/>
      <w:bookmarkStart w:id="1163" w:name="_Toc339020092"/>
      <w:bookmarkStart w:id="1164" w:name="_Toc331684035"/>
      <w:bookmarkStart w:id="1165" w:name="_Toc342060371"/>
      <w:bookmarkStart w:id="1166" w:name="_Toc333237674"/>
      <w:bookmarkStart w:id="1167" w:name="_Toc350438746"/>
      <w:bookmarkStart w:id="1168" w:name="_Toc330459982"/>
      <w:bookmarkStart w:id="1169" w:name="_Toc374454597"/>
      <w:bookmarkStart w:id="1170" w:name="_Toc28230"/>
      <w:bookmarkStart w:id="1171" w:name="_Toc333238630"/>
      <w:bookmarkStart w:id="1172" w:name="_Toc365985176"/>
      <w:bookmarkStart w:id="1173" w:name="_Toc340507439"/>
      <w:bookmarkStart w:id="1174" w:name="_Toc339441084"/>
      <w:bookmarkStart w:id="1175" w:name="_Toc332206705"/>
      <w:bookmarkStart w:id="1176" w:name="_Toc331512895"/>
      <w:bookmarkStart w:id="1177" w:name="_Toc339020012"/>
      <w:bookmarkStart w:id="1178" w:name="_Toc350756447"/>
      <w:bookmarkStart w:id="1179" w:name="_Toc339362297"/>
      <w:bookmarkStart w:id="1180" w:name="_Toc333237785"/>
      <w:bookmarkStart w:id="1181" w:name="_Toc365967070"/>
      <w:bookmarkStart w:id="1182" w:name="_Toc342296757"/>
      <w:bookmarkStart w:id="1183" w:name="_Toc345513864"/>
      <w:bookmarkStart w:id="1184" w:name="_Toc337632355"/>
      <w:bookmarkStart w:id="1185" w:name="_Toc336681932"/>
      <w:bookmarkStart w:id="1186" w:name="_Toc366072525"/>
      <w:bookmarkStart w:id="1187" w:name="_Toc349143586"/>
      <w:bookmarkStart w:id="1188" w:name="_Toc332270343"/>
      <w:bookmarkStart w:id="1189" w:name="_Toc341348335"/>
      <w:bookmarkStart w:id="1190" w:name="_Toc339020230"/>
      <w:bookmarkStart w:id="1191" w:name="_Toc340677067"/>
      <w:bookmarkStart w:id="1192" w:name="_Toc340672866"/>
      <w:r>
        <w:rPr>
          <w:rFonts w:hint="eastAsia"/>
          <w:color w:val="000000" w:themeColor="text1"/>
          <w:highlight w:val="none"/>
        </w:rPr>
        <w:t>投标报价的审核</w:t>
      </w:r>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p>
    <w:p>
      <w:pPr>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24.1 </w:t>
      </w:r>
      <w:r>
        <w:rPr>
          <w:rFonts w:hint="eastAsia" w:ascii="宋体" w:hAnsi="宋体"/>
          <w:bCs/>
          <w:color w:val="000000" w:themeColor="text1"/>
          <w:highlight w:val="none"/>
        </w:rPr>
        <w:tab/>
      </w:r>
      <w:r>
        <w:rPr>
          <w:rFonts w:hint="eastAsia" w:ascii="宋体" w:hAnsi="宋体"/>
          <w:bCs/>
          <w:color w:val="000000" w:themeColor="text1"/>
          <w:highlight w:val="none"/>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rPr>
      </w:pPr>
      <w:r>
        <w:rPr>
          <w:rFonts w:hint="eastAsia" w:ascii="宋体" w:hAnsi="宋体"/>
          <w:bCs/>
          <w:color w:val="000000" w:themeColor="text1"/>
          <w:highlight w:val="none"/>
        </w:rPr>
        <w:t xml:space="preserve">24.2  </w:t>
      </w:r>
      <w:r>
        <w:rPr>
          <w:rFonts w:ascii="宋体" w:hAnsi="宋体"/>
          <w:bCs/>
          <w:color w:val="000000" w:themeColor="text1"/>
          <w:highlight w:val="none"/>
        </w:rPr>
        <w:t>（1）</w:t>
      </w:r>
      <w:r>
        <w:rPr>
          <w:rFonts w:hint="eastAsia" w:ascii="宋体" w:hAnsi="宋体"/>
          <w:bCs/>
          <w:color w:val="000000" w:themeColor="text1"/>
          <w:highlight w:val="none"/>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大写金额和小写金额不一致的，以大写金额为准;</w:t>
      </w:r>
    </w:p>
    <w:p>
      <w:pPr>
        <w:spacing w:line="360" w:lineRule="auto"/>
        <w:ind w:firstLine="735" w:firstLineChars="350"/>
        <w:jc w:val="left"/>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（4）</w:t>
      </w:r>
      <w:r>
        <w:rPr>
          <w:rFonts w:hint="eastAsia" w:ascii="宋体" w:hAnsi="宋体"/>
          <w:bCs/>
          <w:color w:val="000000" w:themeColor="text1"/>
          <w:highlight w:val="none"/>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rPr>
      </w:pPr>
      <w:r>
        <w:rPr>
          <w:rFonts w:ascii="宋体" w:hAnsi="宋体"/>
          <w:bCs/>
          <w:color w:val="000000" w:themeColor="text1"/>
          <w:highlight w:val="none"/>
        </w:rPr>
        <w:t>（5）</w:t>
      </w:r>
      <w:r>
        <w:rPr>
          <w:rFonts w:hint="eastAsia" w:ascii="宋体" w:hAnsi="宋体"/>
          <w:bCs/>
          <w:color w:val="000000" w:themeColor="text1"/>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6"/>
        <w:numPr>
          <w:ilvl w:val="4"/>
          <w:numId w:val="28"/>
        </w:numPr>
        <w:tabs>
          <w:tab w:val="left" w:pos="720"/>
        </w:tabs>
        <w:spacing w:before="240" w:after="120"/>
        <w:ind w:left="2432" w:hanging="2432"/>
        <w:rPr>
          <w:color w:val="000000" w:themeColor="text1"/>
          <w:highlight w:val="none"/>
        </w:rPr>
      </w:pPr>
      <w:bookmarkStart w:id="1193" w:name="_Toc30575"/>
      <w:bookmarkStart w:id="1194" w:name="_Toc333935344"/>
      <w:bookmarkStart w:id="1195" w:name="_Toc497224224"/>
      <w:bookmarkStart w:id="1196" w:name="_Toc365967071"/>
      <w:bookmarkStart w:id="1197" w:name="_Toc340672867"/>
      <w:bookmarkStart w:id="1198" w:name="_Toc366072526"/>
      <w:bookmarkStart w:id="1199" w:name="_Toc349127624"/>
      <w:bookmarkStart w:id="1200" w:name="_Toc339020013"/>
      <w:bookmarkStart w:id="1201" w:name="_Toc333237675"/>
      <w:bookmarkStart w:id="1202" w:name="_Toc350438747"/>
      <w:bookmarkStart w:id="1203" w:name="_Toc333238631"/>
      <w:bookmarkStart w:id="1204" w:name="_Toc331512896"/>
      <w:bookmarkStart w:id="1205" w:name="_Toc340507440"/>
      <w:bookmarkStart w:id="1206" w:name="_Toc333935685"/>
      <w:bookmarkStart w:id="1207" w:name="_Toc339019887"/>
      <w:bookmarkStart w:id="1208" w:name="_Toc503785426"/>
      <w:bookmarkStart w:id="1209" w:name="_Toc332206706"/>
      <w:bookmarkStart w:id="1210" w:name="_Toc349143587"/>
      <w:bookmarkStart w:id="1211" w:name="_Toc332270344"/>
      <w:bookmarkStart w:id="1212" w:name="_Toc336681933"/>
      <w:bookmarkStart w:id="1213" w:name="_Toc341348336"/>
      <w:bookmarkStart w:id="1214" w:name="_Toc337632356"/>
      <w:bookmarkStart w:id="1215" w:name="_Toc339441085"/>
      <w:bookmarkStart w:id="1216" w:name="_Toc330459983"/>
      <w:bookmarkStart w:id="1217" w:name="_Toc331684036"/>
      <w:bookmarkStart w:id="1218" w:name="_Toc339362298"/>
      <w:bookmarkStart w:id="1219" w:name="_Toc340677068"/>
      <w:bookmarkStart w:id="1220" w:name="_Toc342296758"/>
      <w:bookmarkStart w:id="1221" w:name="_Toc365985177"/>
      <w:bookmarkStart w:id="1222" w:name="_Toc339020093"/>
      <w:bookmarkStart w:id="1223" w:name="_Toc342060372"/>
      <w:bookmarkStart w:id="1224" w:name="_Toc350756448"/>
      <w:bookmarkStart w:id="1225" w:name="_Toc336681578"/>
      <w:bookmarkStart w:id="1226" w:name="_Toc345513865"/>
      <w:bookmarkStart w:id="1227" w:name="_Toc339020231"/>
      <w:bookmarkStart w:id="1228" w:name="_Toc333237786"/>
      <w:bookmarkStart w:id="1229" w:name="_Toc374454598"/>
      <w:r>
        <w:rPr>
          <w:rFonts w:hint="eastAsia"/>
          <w:color w:val="000000" w:themeColor="text1"/>
          <w:highlight w:val="none"/>
        </w:rPr>
        <w:t>询标及投标文件的澄清</w:t>
      </w:r>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rPr>
      </w:pPr>
      <w:r>
        <w:rPr>
          <w:rFonts w:ascii="宋体"/>
          <w:color w:val="000000" w:themeColor="text1"/>
          <w:highlight w:val="none"/>
        </w:rPr>
        <w:t>2</w:t>
      </w:r>
      <w:r>
        <w:rPr>
          <w:rFonts w:hint="eastAsia" w:ascii="宋体"/>
          <w:color w:val="000000" w:themeColor="text1"/>
          <w:highlight w:val="none"/>
        </w:rPr>
        <w:t>5</w:t>
      </w:r>
      <w:r>
        <w:rPr>
          <w:rFonts w:ascii="宋体"/>
          <w:color w:val="000000" w:themeColor="text1"/>
          <w:highlight w:val="none"/>
        </w:rPr>
        <w:t>.2</w:t>
      </w:r>
      <w:r>
        <w:rPr>
          <w:rFonts w:hint="eastAsia" w:ascii="宋体"/>
          <w:color w:val="000000" w:themeColor="text1"/>
          <w:highlight w:val="none"/>
        </w:rPr>
        <w:t xml:space="preserve"> </w:t>
      </w:r>
      <w:r>
        <w:rPr>
          <w:rFonts w:hint="eastAsia" w:ascii="宋体"/>
          <w:color w:val="000000" w:themeColor="text1"/>
          <w:highlight w:val="none"/>
        </w:rPr>
        <w:tab/>
      </w:r>
      <w:r>
        <w:rPr>
          <w:rFonts w:hint="eastAsia" w:ascii="宋体"/>
          <w:color w:val="000000" w:themeColor="text1"/>
          <w:highlight w:val="none"/>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rPr>
      </w:pPr>
      <w:r>
        <w:rPr>
          <w:rFonts w:hint="eastAsia" w:ascii="宋体" w:hAnsi="宋体"/>
          <w:color w:val="000000" w:themeColor="text1"/>
          <w:highlight w:val="none"/>
        </w:rPr>
        <w:t>25.3</w:t>
      </w:r>
      <w:r>
        <w:rPr>
          <w:rFonts w:hint="eastAsia"/>
          <w:color w:val="000000" w:themeColor="text1"/>
          <w:highlight w:val="none"/>
        </w:rPr>
        <w:tab/>
      </w:r>
      <w:r>
        <w:rPr>
          <w:rFonts w:hint="eastAsia" w:cs="Arial Unicode MS"/>
          <w:color w:val="000000" w:themeColor="text1"/>
          <w:highlight w:val="none"/>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6"/>
        <w:numPr>
          <w:ilvl w:val="4"/>
          <w:numId w:val="28"/>
        </w:numPr>
        <w:tabs>
          <w:tab w:val="left" w:pos="720"/>
        </w:tabs>
        <w:spacing w:before="240" w:after="120"/>
        <w:ind w:left="2432" w:hanging="2432"/>
        <w:rPr>
          <w:color w:val="000000" w:themeColor="text1"/>
          <w:highlight w:val="none"/>
        </w:rPr>
      </w:pPr>
      <w:bookmarkStart w:id="1230" w:name="_Toc333237787"/>
      <w:bookmarkStart w:id="1231" w:name="_Toc345513866"/>
      <w:bookmarkStart w:id="1232" w:name="_Toc339020014"/>
      <w:bookmarkStart w:id="1233" w:name="_Toc341348337"/>
      <w:bookmarkStart w:id="1234" w:name="_Toc339020094"/>
      <w:bookmarkStart w:id="1235" w:name="_Toc365985178"/>
      <w:bookmarkStart w:id="1236" w:name="_Toc374454599"/>
      <w:bookmarkStart w:id="1237" w:name="_Toc330459984"/>
      <w:bookmarkStart w:id="1238" w:name="_Toc342060373"/>
      <w:bookmarkStart w:id="1239" w:name="_Toc333935345"/>
      <w:bookmarkStart w:id="1240" w:name="_Toc337632357"/>
      <w:bookmarkStart w:id="1241" w:name="_Toc336681934"/>
      <w:bookmarkStart w:id="1242" w:name="_Toc333935686"/>
      <w:bookmarkStart w:id="1243" w:name="_Toc331684037"/>
      <w:bookmarkStart w:id="1244" w:name="_Toc336681579"/>
      <w:bookmarkStart w:id="1245" w:name="_Toc342296759"/>
      <w:bookmarkStart w:id="1246" w:name="_Toc331512897"/>
      <w:bookmarkStart w:id="1247" w:name="_Toc349127625"/>
      <w:bookmarkStart w:id="1248" w:name="_Toc332206707"/>
      <w:bookmarkStart w:id="1249" w:name="_Toc339441086"/>
      <w:bookmarkStart w:id="1250" w:name="_Toc339019888"/>
      <w:bookmarkStart w:id="1251" w:name="_Toc366072527"/>
      <w:bookmarkStart w:id="1252" w:name="_Toc340677069"/>
      <w:bookmarkStart w:id="1253" w:name="_Toc333238632"/>
      <w:bookmarkStart w:id="1254" w:name="_Toc350756449"/>
      <w:bookmarkStart w:id="1255" w:name="_Toc4385"/>
      <w:bookmarkStart w:id="1256" w:name="_Toc340507441"/>
      <w:bookmarkStart w:id="1257" w:name="_Toc340672868"/>
      <w:bookmarkStart w:id="1258" w:name="_Toc339362299"/>
      <w:bookmarkStart w:id="1259" w:name="_Toc365967072"/>
      <w:bookmarkStart w:id="1260" w:name="_Toc350438748"/>
      <w:bookmarkStart w:id="1261" w:name="_Toc339020232"/>
      <w:bookmarkStart w:id="1262" w:name="_Toc332270345"/>
      <w:bookmarkStart w:id="1263" w:name="_Toc333237676"/>
      <w:bookmarkStart w:id="1264" w:name="_Toc349143588"/>
      <w:r>
        <w:rPr>
          <w:rFonts w:hint="eastAsia"/>
          <w:color w:val="000000" w:themeColor="text1"/>
          <w:highlight w:val="none"/>
        </w:rPr>
        <w:t>评标原则</w:t>
      </w:r>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p>
    <w:p>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26.2</w:t>
      </w:r>
      <w:r>
        <w:rPr>
          <w:rFonts w:hint="eastAsia" w:ascii="宋体"/>
          <w:bCs/>
          <w:color w:val="000000" w:themeColor="text1"/>
          <w:highlight w:val="none"/>
        </w:rPr>
        <w:tab/>
      </w:r>
      <w:r>
        <w:rPr>
          <w:rFonts w:hint="eastAsia" w:ascii="宋体"/>
          <w:bCs/>
          <w:color w:val="000000" w:themeColor="text1"/>
          <w:highlight w:val="none"/>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26.3</w:t>
      </w:r>
      <w:r>
        <w:rPr>
          <w:rFonts w:hint="eastAsia" w:ascii="宋体"/>
          <w:bCs/>
          <w:color w:val="000000" w:themeColor="text1"/>
          <w:highlight w:val="none"/>
        </w:rPr>
        <w:tab/>
      </w:r>
      <w:r>
        <w:rPr>
          <w:rFonts w:hint="eastAsia" w:ascii="宋体"/>
          <w:bCs/>
          <w:color w:val="000000" w:themeColor="text1"/>
          <w:highlight w:val="none"/>
        </w:rPr>
        <w:t>实行科学评估、集体决策。</w:t>
      </w:r>
    </w:p>
    <w:p>
      <w:pPr>
        <w:pStyle w:val="6"/>
        <w:numPr>
          <w:ilvl w:val="4"/>
          <w:numId w:val="28"/>
        </w:numPr>
        <w:tabs>
          <w:tab w:val="left" w:pos="720"/>
        </w:tabs>
        <w:spacing w:before="240" w:after="120"/>
        <w:ind w:left="2432" w:hanging="2432"/>
        <w:rPr>
          <w:color w:val="000000" w:themeColor="text1"/>
          <w:highlight w:val="none"/>
        </w:rPr>
      </w:pPr>
      <w:bookmarkStart w:id="1265" w:name="_Toc365967073"/>
      <w:bookmarkStart w:id="1266" w:name="_Toc342296760"/>
      <w:bookmarkStart w:id="1267" w:name="_Toc339020233"/>
      <w:bookmarkStart w:id="1268" w:name="_Toc340507442"/>
      <w:bookmarkStart w:id="1269" w:name="_Toc330459985"/>
      <w:bookmarkStart w:id="1270" w:name="_Toc336681580"/>
      <w:bookmarkStart w:id="1271" w:name="_Toc345513867"/>
      <w:bookmarkStart w:id="1272" w:name="_Toc349143589"/>
      <w:bookmarkStart w:id="1273" w:name="_Toc339020095"/>
      <w:bookmarkStart w:id="1274" w:name="_Toc333935346"/>
      <w:bookmarkStart w:id="1275" w:name="_Toc332270346"/>
      <w:bookmarkStart w:id="1276" w:name="_Toc332206708"/>
      <w:bookmarkStart w:id="1277" w:name="_Toc374454600"/>
      <w:bookmarkStart w:id="1278" w:name="_Toc337632358"/>
      <w:bookmarkStart w:id="1279" w:name="_Toc339020015"/>
      <w:bookmarkStart w:id="1280" w:name="_Toc339441087"/>
      <w:bookmarkStart w:id="1281" w:name="_Toc341348338"/>
      <w:bookmarkStart w:id="1282" w:name="_Toc336681935"/>
      <w:bookmarkStart w:id="1283" w:name="_Toc366072528"/>
      <w:bookmarkStart w:id="1284" w:name="_Toc331512898"/>
      <w:bookmarkStart w:id="1285" w:name="_Toc349127626"/>
      <w:bookmarkStart w:id="1286" w:name="_Toc331684038"/>
      <w:bookmarkStart w:id="1287" w:name="_Toc350438749"/>
      <w:bookmarkStart w:id="1288" w:name="_Toc340677070"/>
      <w:bookmarkStart w:id="1289" w:name="_Toc365985179"/>
      <w:bookmarkStart w:id="1290" w:name="_Toc333238633"/>
      <w:bookmarkStart w:id="1291" w:name="_Toc350756450"/>
      <w:bookmarkStart w:id="1292" w:name="_Toc333237677"/>
      <w:bookmarkStart w:id="1293" w:name="_Toc342060374"/>
      <w:bookmarkStart w:id="1294" w:name="_Toc333237788"/>
      <w:bookmarkStart w:id="1295" w:name="_Toc20981"/>
      <w:bookmarkStart w:id="1296" w:name="_Toc333935687"/>
      <w:bookmarkStart w:id="1297" w:name="_Toc339019889"/>
      <w:bookmarkStart w:id="1298" w:name="_Toc339362300"/>
      <w:bookmarkStart w:id="1299" w:name="_Toc340672869"/>
      <w:r>
        <w:rPr>
          <w:rFonts w:hint="eastAsia"/>
          <w:color w:val="000000" w:themeColor="text1"/>
          <w:highlight w:val="none"/>
        </w:rPr>
        <w:t>评标标准和办法</w:t>
      </w:r>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p>
    <w:p>
      <w:pPr>
        <w:pStyle w:val="24"/>
        <w:tabs>
          <w:tab w:val="left" w:pos="753"/>
        </w:tabs>
        <w:adjustRightInd w:val="0"/>
        <w:snapToGrid w:val="0"/>
        <w:spacing w:line="360" w:lineRule="auto"/>
        <w:ind w:left="751" w:leftChars="1" w:hanging="749" w:hangingChars="357"/>
        <w:rPr>
          <w:rFonts w:hAnsi="宋体"/>
          <w:bCs/>
          <w:color w:val="000000" w:themeColor="text1"/>
          <w:highlight w:val="none"/>
        </w:rPr>
      </w:pPr>
      <w:r>
        <w:rPr>
          <w:rFonts w:hint="eastAsia" w:hAnsi="宋体"/>
          <w:bCs/>
          <w:color w:val="000000" w:themeColor="text1"/>
          <w:highlight w:val="none"/>
        </w:rPr>
        <w:t>27.1</w:t>
      </w:r>
      <w:r>
        <w:rPr>
          <w:rFonts w:hint="eastAsia" w:hAnsi="宋体"/>
          <w:bCs/>
          <w:color w:val="000000" w:themeColor="text1"/>
          <w:highlight w:val="none"/>
        </w:rPr>
        <w:tab/>
      </w:r>
      <w:r>
        <w:rPr>
          <w:rFonts w:hint="eastAsia" w:hAnsi="宋体"/>
          <w:bCs/>
          <w:color w:val="000000" w:themeColor="text1"/>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4"/>
        <w:widowControl/>
        <w:tabs>
          <w:tab w:val="left" w:pos="753"/>
        </w:tabs>
        <w:adjustRightInd w:val="0"/>
        <w:snapToGrid w:val="0"/>
        <w:spacing w:line="360" w:lineRule="auto"/>
        <w:ind w:left="752" w:hanging="751" w:hangingChars="358"/>
        <w:rPr>
          <w:rFonts w:hAnsi="宋体"/>
          <w:color w:val="000000" w:themeColor="text1"/>
          <w:highlight w:val="none"/>
        </w:rPr>
      </w:pPr>
      <w:r>
        <w:rPr>
          <w:rFonts w:hint="eastAsia" w:hAnsi="宋体"/>
          <w:bCs/>
          <w:color w:val="000000" w:themeColor="text1"/>
          <w:highlight w:val="none"/>
        </w:rPr>
        <w:t>27</w:t>
      </w:r>
      <w:r>
        <w:rPr>
          <w:rFonts w:hAnsi="宋体"/>
          <w:bCs/>
          <w:color w:val="000000" w:themeColor="text1"/>
          <w:highlight w:val="none"/>
        </w:rPr>
        <w:t>.2</w:t>
      </w:r>
      <w:r>
        <w:rPr>
          <w:rFonts w:hint="eastAsia" w:hAnsi="宋体"/>
          <w:bCs/>
          <w:color w:val="000000" w:themeColor="text1"/>
          <w:highlight w:val="none"/>
        </w:rPr>
        <w:tab/>
      </w:r>
      <w:bookmarkStart w:id="1300" w:name="_Toc500861023"/>
      <w:bookmarkStart w:id="1301" w:name="_Toc500953375"/>
      <w:bookmarkStart w:id="1302" w:name="_Toc497707712"/>
      <w:r>
        <w:rPr>
          <w:rFonts w:hint="eastAsia" w:hAnsi="宋体"/>
          <w:bCs/>
          <w:color w:val="000000" w:themeColor="text1"/>
          <w:highlight w:val="none"/>
        </w:rPr>
        <w:t>采用计分法（综合评价法）来确定各投标人的排名。其操作程序为：</w:t>
      </w:r>
      <w:r>
        <w:rPr>
          <w:rFonts w:hint="eastAsia" w:hAnsi="宋体"/>
          <w:b/>
          <w:color w:val="000000" w:themeColor="text1"/>
          <w:highlight w:val="none"/>
        </w:rPr>
        <w:t>详见H评标细则。</w:t>
      </w:r>
    </w:p>
    <w:p>
      <w:pPr>
        <w:pStyle w:val="6"/>
        <w:numPr>
          <w:ilvl w:val="4"/>
          <w:numId w:val="28"/>
        </w:numPr>
        <w:tabs>
          <w:tab w:val="left" w:pos="720"/>
        </w:tabs>
        <w:spacing w:before="240" w:after="120"/>
        <w:ind w:left="2432" w:hanging="2432"/>
        <w:rPr>
          <w:color w:val="000000" w:themeColor="text1"/>
          <w:highlight w:val="none"/>
        </w:rPr>
      </w:pPr>
      <w:bookmarkStart w:id="1303" w:name="_Toc327368025"/>
      <w:bookmarkStart w:id="1304" w:name="_Toc7532"/>
      <w:bookmarkStart w:id="1305" w:name="_Toc327367761"/>
      <w:bookmarkStart w:id="1306" w:name="_Toc366072529"/>
      <w:bookmarkStart w:id="1307" w:name="_Toc337632359"/>
      <w:bookmarkStart w:id="1308" w:name="_Toc339020016"/>
      <w:bookmarkStart w:id="1309" w:name="_Toc333935347"/>
      <w:bookmarkStart w:id="1310" w:name="_Toc330459986"/>
      <w:bookmarkStart w:id="1311" w:name="_Toc339362301"/>
      <w:bookmarkStart w:id="1312" w:name="_Toc333237678"/>
      <w:bookmarkStart w:id="1313" w:name="_Toc332270347"/>
      <w:bookmarkStart w:id="1314" w:name="_Toc340677071"/>
      <w:bookmarkStart w:id="1315" w:name="_Toc339019890"/>
      <w:bookmarkStart w:id="1316" w:name="_Toc342060375"/>
      <w:bookmarkStart w:id="1317" w:name="_Toc339441088"/>
      <w:bookmarkStart w:id="1318" w:name="_Toc345513902"/>
      <w:bookmarkStart w:id="1319" w:name="_Toc331684039"/>
      <w:bookmarkStart w:id="1320" w:name="_Toc339020234"/>
      <w:bookmarkStart w:id="1321" w:name="_Toc331512899"/>
      <w:bookmarkStart w:id="1322" w:name="_Toc333935688"/>
      <w:bookmarkStart w:id="1323" w:name="_Toc340672870"/>
      <w:bookmarkStart w:id="1324" w:name="_Toc340507443"/>
      <w:bookmarkStart w:id="1325" w:name="_Toc333238634"/>
      <w:bookmarkStart w:id="1326" w:name="_Toc336681936"/>
      <w:bookmarkStart w:id="1327" w:name="_Toc336681581"/>
      <w:bookmarkStart w:id="1328" w:name="_Toc332206709"/>
      <w:bookmarkStart w:id="1329" w:name="_Toc341348339"/>
      <w:bookmarkStart w:id="1330" w:name="_Toc333237789"/>
      <w:bookmarkStart w:id="1331" w:name="_Toc342296761"/>
      <w:bookmarkStart w:id="1332" w:name="_Toc339020096"/>
      <w:r>
        <w:rPr>
          <w:rFonts w:hint="eastAsia"/>
          <w:color w:val="000000" w:themeColor="text1"/>
          <w:highlight w:val="none"/>
        </w:rPr>
        <w:t>评标注意事项</w:t>
      </w:r>
      <w:bookmarkEnd w:id="1303"/>
      <w:bookmarkEnd w:id="1304"/>
      <w:bookmarkEnd w:id="1305"/>
      <w:bookmarkEnd w:id="1306"/>
    </w:p>
    <w:bookmarkEnd w:id="35"/>
    <w:bookmarkEnd w:id="1300"/>
    <w:bookmarkEnd w:id="1301"/>
    <w:bookmarkEnd w:id="1302"/>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bookmarkStart w:id="1333" w:name="_Toc26066260"/>
      <w:bookmarkStart w:id="1334" w:name="_Toc6397151"/>
      <w:bookmarkStart w:id="1335" w:name="_Toc500861027"/>
      <w:bookmarkStart w:id="1336" w:name="_Toc491658680"/>
      <w:bookmarkStart w:id="1337" w:name="_Toc6727972"/>
      <w:r>
        <w:rPr>
          <w:rFonts w:hint="eastAsia" w:ascii="宋体" w:hAnsi="宋体"/>
          <w:bCs/>
          <w:color w:val="000000" w:themeColor="text1"/>
          <w:highlight w:val="none"/>
        </w:rPr>
        <w:t>28.1</w:t>
      </w:r>
      <w:r>
        <w:rPr>
          <w:rFonts w:hint="eastAsia" w:ascii="宋体" w:hAnsi="宋体"/>
          <w:bCs/>
          <w:color w:val="000000" w:themeColor="text1"/>
          <w:highlight w:val="none"/>
        </w:rPr>
        <w:tab/>
      </w:r>
      <w:r>
        <w:rPr>
          <w:rFonts w:hint="eastAsia" w:ascii="宋体" w:hAnsi="宋体"/>
          <w:bCs/>
          <w:color w:val="000000" w:themeColor="text1"/>
          <w:highlight w:val="none"/>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28.2 </w:t>
      </w:r>
      <w:r>
        <w:rPr>
          <w:rFonts w:hint="eastAsia" w:ascii="宋体" w:hAnsi="宋体"/>
          <w:bCs/>
          <w:color w:val="000000" w:themeColor="text1"/>
          <w:highlight w:val="none"/>
        </w:rPr>
        <w:tab/>
      </w:r>
      <w:r>
        <w:rPr>
          <w:rFonts w:hint="eastAsia" w:ascii="宋体" w:hAnsi="宋体"/>
          <w:bCs/>
          <w:color w:val="000000" w:themeColor="text1"/>
          <w:highlight w:val="none"/>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28.3</w:t>
      </w:r>
      <w:r>
        <w:rPr>
          <w:rFonts w:hint="eastAsia" w:ascii="宋体" w:hAnsi="宋体"/>
          <w:bCs/>
          <w:color w:val="000000" w:themeColor="text1"/>
          <w:highlight w:val="none"/>
        </w:rPr>
        <w:tab/>
      </w:r>
      <w:r>
        <w:rPr>
          <w:rFonts w:hint="eastAsia" w:ascii="宋体" w:hAnsi="宋体"/>
          <w:bCs/>
          <w:color w:val="000000" w:themeColor="text1"/>
          <w:highlight w:val="none"/>
        </w:rPr>
        <w:t>在招标工作结束后，评标委员会成员和参与评标的有关工作人员不得透露与评标有关的情况。</w:t>
      </w:r>
    </w:p>
    <w:p>
      <w:pPr>
        <w:pStyle w:val="6"/>
        <w:numPr>
          <w:ilvl w:val="4"/>
          <w:numId w:val="28"/>
        </w:numPr>
        <w:tabs>
          <w:tab w:val="left" w:pos="720"/>
        </w:tabs>
        <w:spacing w:before="240" w:after="120"/>
        <w:ind w:left="2432" w:hanging="2432"/>
        <w:rPr>
          <w:color w:val="000000" w:themeColor="text1"/>
          <w:highlight w:val="none"/>
        </w:rPr>
      </w:pPr>
      <w:bookmarkStart w:id="1338" w:name="_Toc339362302"/>
      <w:bookmarkStart w:id="1339" w:name="_Toc350756452"/>
      <w:bookmarkStart w:id="1340" w:name="_Toc332270348"/>
      <w:bookmarkStart w:id="1341" w:name="_Toc366072530"/>
      <w:bookmarkStart w:id="1342" w:name="_Toc333935689"/>
      <w:bookmarkStart w:id="1343" w:name="_Toc331512900"/>
      <w:bookmarkStart w:id="1344" w:name="_Toc330459987"/>
      <w:bookmarkStart w:id="1345" w:name="_Toc339019891"/>
      <w:bookmarkStart w:id="1346" w:name="_Toc340677072"/>
      <w:bookmarkStart w:id="1347" w:name="_Toc332206710"/>
      <w:bookmarkStart w:id="1348" w:name="_Toc341348340"/>
      <w:bookmarkStart w:id="1349" w:name="_Toc333935348"/>
      <w:bookmarkStart w:id="1350" w:name="_Toc340507444"/>
      <w:bookmarkStart w:id="1351" w:name="_Toc349127628"/>
      <w:bookmarkStart w:id="1352" w:name="_Toc349143591"/>
      <w:bookmarkStart w:id="1353" w:name="_Toc365985180"/>
      <w:bookmarkStart w:id="1354" w:name="_Toc374454602"/>
      <w:bookmarkStart w:id="1355" w:name="_Toc336681582"/>
      <w:bookmarkStart w:id="1356" w:name="_Toc333238635"/>
      <w:bookmarkStart w:id="1357" w:name="_Toc339020017"/>
      <w:bookmarkStart w:id="1358" w:name="_Toc345513903"/>
      <w:bookmarkStart w:id="1359" w:name="_Toc339020097"/>
      <w:bookmarkStart w:id="1360" w:name="_Toc333237679"/>
      <w:bookmarkStart w:id="1361" w:name="_Toc350438751"/>
      <w:bookmarkStart w:id="1362" w:name="_Toc336681937"/>
      <w:bookmarkStart w:id="1363" w:name="_Toc10786"/>
      <w:bookmarkStart w:id="1364" w:name="_Toc331684040"/>
      <w:bookmarkStart w:id="1365" w:name="_Toc337632360"/>
      <w:bookmarkStart w:id="1366" w:name="_Toc342296762"/>
      <w:bookmarkStart w:id="1367" w:name="_Toc342060376"/>
      <w:bookmarkStart w:id="1368" w:name="_Toc333237790"/>
      <w:bookmarkStart w:id="1369" w:name="_Toc339441089"/>
      <w:bookmarkStart w:id="1370" w:name="_Toc340672871"/>
      <w:bookmarkStart w:id="1371" w:name="_Toc365967074"/>
      <w:bookmarkStart w:id="1372" w:name="_Toc339020235"/>
      <w:r>
        <w:rPr>
          <w:rFonts w:hint="eastAsia"/>
          <w:color w:val="000000" w:themeColor="text1"/>
          <w:highlight w:val="none"/>
        </w:rPr>
        <w:t>接受和拒绝投标的权利</w:t>
      </w:r>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29.2</w:t>
      </w:r>
      <w:r>
        <w:rPr>
          <w:rFonts w:hint="eastAsia" w:ascii="宋体" w:hAnsi="宋体"/>
          <w:bCs/>
          <w:color w:val="000000" w:themeColor="text1"/>
          <w:highlight w:val="none"/>
        </w:rPr>
        <w:tab/>
      </w:r>
      <w:r>
        <w:rPr>
          <w:rFonts w:hint="eastAsia" w:ascii="宋体" w:hAnsi="宋体"/>
          <w:bCs/>
          <w:color w:val="000000" w:themeColor="text1"/>
          <w:highlight w:val="none"/>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6"/>
        <w:numPr>
          <w:ilvl w:val="4"/>
          <w:numId w:val="28"/>
        </w:numPr>
        <w:tabs>
          <w:tab w:val="left" w:pos="720"/>
        </w:tabs>
        <w:spacing w:before="240" w:after="120"/>
        <w:ind w:left="2432" w:hanging="2432"/>
        <w:rPr>
          <w:color w:val="000000" w:themeColor="text1"/>
          <w:highlight w:val="none"/>
        </w:rPr>
      </w:pPr>
      <w:bookmarkStart w:id="1373" w:name="_Toc11229"/>
      <w:bookmarkStart w:id="1374" w:name="_Toc374454603"/>
      <w:bookmarkStart w:id="1375" w:name="_Toc366072531"/>
      <w:r>
        <w:rPr>
          <w:rFonts w:hint="eastAsia"/>
          <w:color w:val="000000" w:themeColor="text1"/>
          <w:highlight w:val="none"/>
        </w:rPr>
        <w:t>发布中标结果公告和发放中标通知书</w:t>
      </w:r>
      <w:bookmarkEnd w:id="1373"/>
      <w:bookmarkEnd w:id="1374"/>
      <w:bookmarkEnd w:id="1375"/>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6" w:name="_Toc366072532"/>
      <w:r>
        <w:rPr>
          <w:rFonts w:hint="eastAsia" w:ascii="宋体" w:hAnsi="宋体"/>
          <w:color w:val="000000" w:themeColor="text1"/>
          <w:szCs w:val="21"/>
          <w:highlight w:val="none"/>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30.2   中标投标人确认后，中标结果将于指定媒体上公告(</w:t>
      </w:r>
      <w:r>
        <w:rPr>
          <w:rFonts w:hint="eastAsia" w:ascii="黑体" w:eastAsia="黑体"/>
          <w:bCs/>
          <w:color w:val="000000" w:themeColor="text1"/>
          <w:highlight w:val="none"/>
        </w:rPr>
        <w:t>详见第三部份《投标人须知〈投标人须知前附表〉》</w:t>
      </w:r>
      <w:r>
        <w:rPr>
          <w:rFonts w:hint="eastAsia" w:ascii="宋体" w:hAnsi="宋体"/>
          <w:color w:val="000000" w:themeColor="text1"/>
          <w:highlight w:val="none"/>
        </w:rPr>
        <w:t>)</w:t>
      </w:r>
      <w:r>
        <w:rPr>
          <w:rFonts w:hint="eastAsia" w:ascii="宋体" w:hAnsi="宋体"/>
          <w:color w:val="000000" w:themeColor="text1"/>
          <w:szCs w:val="21"/>
          <w:highlight w:val="none"/>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30.4   中标通知书发出后，采购人改变中标结果，或者中标投标人放弃中标，应当承担相应的法律责任。</w:t>
      </w:r>
    </w:p>
    <w:p>
      <w:pPr>
        <w:pStyle w:val="6"/>
        <w:numPr>
          <w:ilvl w:val="4"/>
          <w:numId w:val="28"/>
        </w:numPr>
        <w:tabs>
          <w:tab w:val="left" w:pos="720"/>
        </w:tabs>
        <w:spacing w:before="240" w:after="120"/>
        <w:ind w:left="2432" w:hanging="2432"/>
        <w:rPr>
          <w:color w:val="000000" w:themeColor="text1"/>
          <w:highlight w:val="none"/>
        </w:rPr>
      </w:pPr>
      <w:bookmarkStart w:id="1377" w:name="_Toc3973"/>
      <w:bookmarkStart w:id="1378" w:name="_Toc374454604"/>
      <w:r>
        <w:rPr>
          <w:rFonts w:hint="eastAsia"/>
          <w:color w:val="000000" w:themeColor="text1"/>
          <w:highlight w:val="none"/>
        </w:rPr>
        <w:t>投标人对中标结果的质疑、投诉</w:t>
      </w:r>
      <w:bookmarkEnd w:id="1376"/>
      <w:bookmarkEnd w:id="1377"/>
      <w:bookmarkEnd w:id="1378"/>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9" w:name="_Toc339020238"/>
      <w:bookmarkStart w:id="1380" w:name="_Toc330459990"/>
      <w:bookmarkStart w:id="1381" w:name="_Toc333237682"/>
      <w:bookmarkStart w:id="1382" w:name="_Toc339019894"/>
      <w:bookmarkStart w:id="1383" w:name="_Toc340677075"/>
      <w:bookmarkStart w:id="1384" w:name="_Toc336681585"/>
      <w:bookmarkStart w:id="1385" w:name="_Toc339020020"/>
      <w:bookmarkStart w:id="1386" w:name="_Toc332270351"/>
      <w:bookmarkStart w:id="1387" w:name="_Toc345513906"/>
      <w:bookmarkStart w:id="1388" w:name="_Toc342296765"/>
      <w:bookmarkStart w:id="1389" w:name="_Toc332206713"/>
      <w:bookmarkStart w:id="1390" w:name="_Toc339020100"/>
      <w:bookmarkStart w:id="1391" w:name="_Toc342060379"/>
      <w:bookmarkStart w:id="1392" w:name="_Toc340507447"/>
      <w:bookmarkStart w:id="1393" w:name="_Toc339362305"/>
      <w:bookmarkStart w:id="1394" w:name="_Toc336681940"/>
      <w:bookmarkStart w:id="1395" w:name="_Toc331684043"/>
      <w:bookmarkStart w:id="1396" w:name="_Toc333935692"/>
      <w:bookmarkStart w:id="1397" w:name="_Toc365985183"/>
      <w:bookmarkStart w:id="1398" w:name="_Toc333238638"/>
      <w:bookmarkStart w:id="1399" w:name="_Toc339441092"/>
      <w:bookmarkStart w:id="1400" w:name="_Toc349127631"/>
      <w:bookmarkStart w:id="1401" w:name="_Toc350438754"/>
      <w:bookmarkStart w:id="1402" w:name="_Toc333237793"/>
      <w:bookmarkStart w:id="1403" w:name="_Toc365967077"/>
      <w:bookmarkStart w:id="1404" w:name="_Toc337632363"/>
      <w:bookmarkStart w:id="1405" w:name="_Toc350756455"/>
      <w:bookmarkStart w:id="1406" w:name="_Toc349143594"/>
      <w:bookmarkStart w:id="1407" w:name="_Toc341348343"/>
      <w:bookmarkStart w:id="1408" w:name="_Toc340672874"/>
      <w:bookmarkStart w:id="1409" w:name="_Toc333935351"/>
      <w:bookmarkStart w:id="1410" w:name="_Toc331512903"/>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rPr>
      </w:pPr>
      <w:bookmarkStart w:id="1411" w:name="_Toc374454605"/>
      <w:bookmarkStart w:id="1412" w:name="_Toc366072533"/>
      <w:r>
        <w:rPr>
          <w:color w:val="000000" w:themeColor="text1"/>
          <w:sz w:val="24"/>
          <w:highlight w:val="none"/>
        </w:rPr>
        <w:br w:type="page"/>
      </w:r>
      <w:bookmarkStart w:id="1413" w:name="_Toc18613"/>
      <w:r>
        <w:rPr>
          <w:rFonts w:hint="eastAsia"/>
          <w:color w:val="000000" w:themeColor="text1"/>
          <w:sz w:val="24"/>
          <w:highlight w:val="none"/>
        </w:rPr>
        <w:t>Ｆ  授予合同</w:t>
      </w:r>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p>
    <w:p>
      <w:pPr>
        <w:pStyle w:val="6"/>
        <w:numPr>
          <w:ilvl w:val="4"/>
          <w:numId w:val="28"/>
        </w:numPr>
        <w:tabs>
          <w:tab w:val="left" w:pos="720"/>
        </w:tabs>
        <w:spacing w:before="240" w:after="120"/>
        <w:ind w:left="2432" w:hanging="2432"/>
        <w:rPr>
          <w:color w:val="000000" w:themeColor="text1"/>
          <w:highlight w:val="none"/>
        </w:rPr>
      </w:pPr>
      <w:bookmarkStart w:id="1414" w:name="_Toc21660"/>
      <w:bookmarkStart w:id="1415" w:name="_Toc333237794"/>
      <w:bookmarkStart w:id="1416" w:name="_Toc349127632"/>
      <w:bookmarkStart w:id="1417" w:name="_Toc491658670"/>
      <w:bookmarkStart w:id="1418" w:name="_Toc342296766"/>
      <w:bookmarkStart w:id="1419" w:name="_Toc366072534"/>
      <w:bookmarkStart w:id="1420" w:name="_Toc332270352"/>
      <w:bookmarkStart w:id="1421" w:name="_Toc480010727"/>
      <w:bookmarkStart w:id="1422" w:name="_Toc467987842"/>
      <w:bookmarkStart w:id="1423" w:name="_Toc339020101"/>
      <w:bookmarkStart w:id="1424" w:name="_Toc340507448"/>
      <w:bookmarkStart w:id="1425" w:name="_Toc365967078"/>
      <w:bookmarkStart w:id="1426" w:name="_Toc330459991"/>
      <w:bookmarkStart w:id="1427" w:name="_Toc480021072"/>
      <w:bookmarkStart w:id="1428" w:name="_Toc340672875"/>
      <w:bookmarkStart w:id="1429" w:name="_Toc331512904"/>
      <w:bookmarkStart w:id="1430" w:name="_Toc339020021"/>
      <w:bookmarkStart w:id="1431" w:name="_Toc339441093"/>
      <w:bookmarkStart w:id="1432" w:name="_Toc365985184"/>
      <w:bookmarkStart w:id="1433" w:name="_Toc339362306"/>
      <w:bookmarkStart w:id="1434" w:name="_Toc333238639"/>
      <w:bookmarkStart w:id="1435" w:name="_Toc350756456"/>
      <w:bookmarkStart w:id="1436" w:name="_Toc349143595"/>
      <w:bookmarkStart w:id="1437" w:name="_Toc350438755"/>
      <w:bookmarkStart w:id="1438" w:name="_Toc468157555"/>
      <w:bookmarkStart w:id="1439" w:name="_Toc333935352"/>
      <w:bookmarkStart w:id="1440" w:name="_Toc333935693"/>
      <w:bookmarkStart w:id="1441" w:name="_Toc468606048"/>
      <w:bookmarkStart w:id="1442" w:name="_Toc339019895"/>
      <w:bookmarkStart w:id="1443" w:name="_Toc341348344"/>
      <w:bookmarkStart w:id="1444" w:name="_Toc332206714"/>
      <w:bookmarkStart w:id="1445" w:name="_Toc340677076"/>
      <w:bookmarkStart w:id="1446" w:name="_Toc342060380"/>
      <w:bookmarkStart w:id="1447" w:name="_Toc331684044"/>
      <w:bookmarkStart w:id="1448" w:name="_Toc500861016"/>
      <w:bookmarkStart w:id="1449" w:name="_Toc337632364"/>
      <w:bookmarkStart w:id="1450" w:name="_Toc336681941"/>
      <w:bookmarkStart w:id="1451" w:name="_Toc339020239"/>
      <w:bookmarkStart w:id="1452" w:name="_Toc336681586"/>
      <w:bookmarkStart w:id="1453" w:name="_Toc467236759"/>
      <w:bookmarkStart w:id="1454" w:name="_Toc479991601"/>
      <w:bookmarkStart w:id="1455" w:name="_Toc480020276"/>
      <w:bookmarkStart w:id="1456" w:name="_Toc374454606"/>
      <w:bookmarkStart w:id="1457" w:name="_Toc333237683"/>
      <w:bookmarkStart w:id="1458" w:name="_Toc345513907"/>
      <w:bookmarkStart w:id="1459" w:name="_Toc454701400"/>
      <w:bookmarkStart w:id="1460" w:name="_Toc458262633"/>
      <w:r>
        <w:rPr>
          <w:rFonts w:hint="eastAsia"/>
          <w:color w:val="000000" w:themeColor="text1"/>
          <w:highlight w:val="none"/>
        </w:rPr>
        <w:t>合同授予标准</w:t>
      </w:r>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p>
    <w:p>
      <w:pPr>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2</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 xml:space="preserve"> 按第30条规定，采购人将把合同授予此次招标的中标投标人。</w:t>
      </w:r>
    </w:p>
    <w:bookmarkEnd w:id="1459"/>
    <w:bookmarkEnd w:id="1460"/>
    <w:p>
      <w:pPr>
        <w:pStyle w:val="6"/>
        <w:numPr>
          <w:ilvl w:val="4"/>
          <w:numId w:val="28"/>
        </w:numPr>
        <w:tabs>
          <w:tab w:val="left" w:pos="720"/>
        </w:tabs>
        <w:spacing w:before="240" w:after="120"/>
        <w:ind w:left="2432" w:hanging="2432"/>
        <w:rPr>
          <w:color w:val="000000" w:themeColor="text1"/>
          <w:highlight w:val="none"/>
        </w:rPr>
      </w:pPr>
      <w:bookmarkStart w:id="1461" w:name="_Toc468157559"/>
      <w:bookmarkStart w:id="1462" w:name="_Toc342060381"/>
      <w:bookmarkStart w:id="1463" w:name="_Toc339020240"/>
      <w:bookmarkStart w:id="1464" w:name="_Toc350438756"/>
      <w:bookmarkStart w:id="1465" w:name="_Toc333237684"/>
      <w:bookmarkStart w:id="1466" w:name="_Toc339020022"/>
      <w:bookmarkStart w:id="1467" w:name="_Toc479991605"/>
      <w:bookmarkStart w:id="1468" w:name="_Toc331512905"/>
      <w:bookmarkStart w:id="1469" w:name="_Toc345513908"/>
      <w:bookmarkStart w:id="1470" w:name="_Toc480010731"/>
      <w:bookmarkStart w:id="1471" w:name="_Toc349143596"/>
      <w:bookmarkStart w:id="1472" w:name="_Toc330459992"/>
      <w:bookmarkStart w:id="1473" w:name="_Toc333238640"/>
      <w:bookmarkStart w:id="1474" w:name="_Toc468606052"/>
      <w:bookmarkStart w:id="1475" w:name="_Toc340672876"/>
      <w:bookmarkStart w:id="1476" w:name="_Toc340677077"/>
      <w:bookmarkStart w:id="1477" w:name="_Toc500861020"/>
      <w:bookmarkStart w:id="1478" w:name="_Toc333935353"/>
      <w:bookmarkStart w:id="1479" w:name="_Toc336681942"/>
      <w:bookmarkStart w:id="1480" w:name="_Toc366072535"/>
      <w:bookmarkStart w:id="1481" w:name="_Toc340507449"/>
      <w:bookmarkStart w:id="1482" w:name="_Toc333935694"/>
      <w:bookmarkStart w:id="1483" w:name="_Toc332270353"/>
      <w:bookmarkStart w:id="1484" w:name="_Toc339362307"/>
      <w:bookmarkStart w:id="1485" w:name="_Toc467236763"/>
      <w:bookmarkStart w:id="1486" w:name="_Toc339020102"/>
      <w:bookmarkStart w:id="1487" w:name="_Toc349127633"/>
      <w:bookmarkStart w:id="1488" w:name="_Toc467987846"/>
      <w:bookmarkStart w:id="1489" w:name="_Toc339019896"/>
      <w:bookmarkStart w:id="1490" w:name="_Toc7856"/>
      <w:bookmarkStart w:id="1491" w:name="_Toc331684045"/>
      <w:bookmarkStart w:id="1492" w:name="_Toc342296767"/>
      <w:bookmarkStart w:id="1493" w:name="_Toc339441094"/>
      <w:bookmarkStart w:id="1494" w:name="_Toc350756457"/>
      <w:bookmarkStart w:id="1495" w:name="_Toc365985185"/>
      <w:bookmarkStart w:id="1496" w:name="_Toc333237795"/>
      <w:bookmarkStart w:id="1497" w:name="_Toc454701402"/>
      <w:bookmarkStart w:id="1498" w:name="_Toc480021076"/>
      <w:bookmarkStart w:id="1499" w:name="_Toc374454607"/>
      <w:bookmarkStart w:id="1500" w:name="_Toc491658674"/>
      <w:bookmarkStart w:id="1501" w:name="_Toc365967079"/>
      <w:bookmarkStart w:id="1502" w:name="_Toc480020280"/>
      <w:bookmarkStart w:id="1503" w:name="_Toc341348345"/>
      <w:bookmarkStart w:id="1504" w:name="_Toc458262635"/>
      <w:bookmarkStart w:id="1505" w:name="_Toc337632365"/>
      <w:bookmarkStart w:id="1506" w:name="_Toc332206715"/>
      <w:bookmarkStart w:id="1507" w:name="_Toc336681587"/>
      <w:r>
        <w:rPr>
          <w:rFonts w:hint="eastAsia"/>
          <w:color w:val="000000" w:themeColor="text1"/>
          <w:highlight w:val="none"/>
        </w:rPr>
        <w:t>签订合同</w:t>
      </w:r>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p>
    <w:p>
      <w:pPr>
        <w:widowControl/>
        <w:tabs>
          <w:tab w:val="left" w:pos="753"/>
        </w:tabs>
        <w:adjustRightInd w:val="0"/>
        <w:snapToGrid w:val="0"/>
        <w:spacing w:line="360" w:lineRule="auto"/>
        <w:ind w:left="753" w:hanging="753"/>
        <w:rPr>
          <w:rFonts w:ascii="宋体" w:hAnsi="宋体"/>
          <w:bCs/>
          <w:color w:val="000000" w:themeColor="text1"/>
          <w:highlight w:val="none"/>
        </w:rPr>
      </w:pPr>
      <w:bookmarkStart w:id="1508" w:name="_Toc370309169"/>
      <w:bookmarkStart w:id="1509" w:name="_Toc370983962"/>
      <w:bookmarkStart w:id="1510" w:name="_Toc373401413"/>
      <w:bookmarkStart w:id="1511" w:name="_Toc369700990"/>
      <w:bookmarkStart w:id="1512" w:name="_Toc367095382"/>
      <w:bookmarkStart w:id="1513" w:name="_Toc383069738"/>
      <w:bookmarkStart w:id="1514" w:name="_Toc374454608"/>
      <w:bookmarkStart w:id="1515" w:name="_Toc366681897"/>
      <w:bookmarkStart w:id="1516" w:name="_Toc378261823"/>
      <w:bookmarkStart w:id="1517" w:name="_Toc372209289"/>
      <w:bookmarkStart w:id="1518" w:name="_Toc377129068"/>
      <w:bookmarkStart w:id="1519" w:name="_Toc379896705"/>
      <w:bookmarkStart w:id="1520" w:name="_Toc366072536"/>
      <w:bookmarkStart w:id="1521" w:name="_Toc374093632"/>
      <w:bookmarkStart w:id="1522" w:name="_Toc340672877"/>
      <w:bookmarkStart w:id="1523" w:name="_Toc349127634"/>
      <w:bookmarkStart w:id="1524" w:name="_Toc331684046"/>
      <w:bookmarkStart w:id="1525" w:name="_Toc339019897"/>
      <w:bookmarkStart w:id="1526" w:name="_Toc340507450"/>
      <w:bookmarkStart w:id="1527" w:name="_Toc336681943"/>
      <w:bookmarkStart w:id="1528" w:name="_Toc341348346"/>
      <w:bookmarkStart w:id="1529" w:name="_Toc345513909"/>
      <w:bookmarkStart w:id="1530" w:name="_Toc339020103"/>
      <w:bookmarkStart w:id="1531" w:name="_Toc340677078"/>
      <w:bookmarkStart w:id="1532" w:name="_Toc333237796"/>
      <w:bookmarkStart w:id="1533" w:name="_Toc339020023"/>
      <w:bookmarkStart w:id="1534" w:name="_Toc333935695"/>
      <w:bookmarkStart w:id="1535" w:name="_Toc349143597"/>
      <w:bookmarkStart w:id="1536" w:name="_Toc333935354"/>
      <w:bookmarkStart w:id="1537" w:name="_Toc339362308"/>
      <w:bookmarkStart w:id="1538" w:name="_Toc350438757"/>
      <w:bookmarkStart w:id="1539" w:name="_Toc331512906"/>
      <w:bookmarkStart w:id="1540" w:name="_Toc336681588"/>
      <w:bookmarkStart w:id="1541" w:name="_Toc332270354"/>
      <w:bookmarkStart w:id="1542" w:name="_Toc339020241"/>
      <w:bookmarkStart w:id="1543" w:name="_Toc339441095"/>
      <w:bookmarkStart w:id="1544" w:name="_Toc350756458"/>
      <w:bookmarkStart w:id="1545" w:name="_Toc333237685"/>
      <w:bookmarkStart w:id="1546" w:name="_Toc342060382"/>
      <w:bookmarkStart w:id="1547" w:name="_Toc337632366"/>
      <w:bookmarkStart w:id="1548" w:name="_Toc332206716"/>
      <w:bookmarkStart w:id="1549" w:name="_Toc333238641"/>
      <w:bookmarkStart w:id="1550" w:name="_Toc342296768"/>
      <w:bookmarkStart w:id="1551" w:name="_Toc365985186"/>
      <w:bookmarkStart w:id="1552" w:name="_Toc330459993"/>
      <w:bookmarkStart w:id="1553" w:name="_Toc365967080"/>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p>
    <w:p>
      <w:pPr>
        <w:widowControl/>
        <w:tabs>
          <w:tab w:val="left" w:pos="753"/>
        </w:tabs>
        <w:adjustRightInd w:val="0"/>
        <w:snapToGrid w:val="0"/>
        <w:spacing w:line="360" w:lineRule="auto"/>
        <w:ind w:left="753" w:hanging="753"/>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rPr>
      </w:pPr>
      <w:r>
        <w:rPr>
          <w:rFonts w:hint="eastAsia" w:ascii="宋体" w:hAnsi="宋体" w:cs="Arial"/>
          <w:color w:val="000000" w:themeColor="text1"/>
          <w:szCs w:val="21"/>
          <w:highlight w:val="none"/>
        </w:rPr>
        <w:t xml:space="preserve">33.3   </w:t>
      </w:r>
      <w:r>
        <w:rPr>
          <w:rFonts w:ascii="宋体" w:hAnsi="宋体"/>
          <w:bCs/>
          <w:color w:val="000000" w:themeColor="text1"/>
          <w:highlight w:val="none"/>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rPr>
        <w:t>。</w:t>
      </w: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p>
      <w:pPr>
        <w:pStyle w:val="4"/>
        <w:numPr>
          <w:ilvl w:val="0"/>
          <w:numId w:val="0"/>
        </w:numPr>
        <w:rPr>
          <w:color w:val="000000" w:themeColor="text1"/>
          <w:sz w:val="24"/>
          <w:highlight w:val="none"/>
        </w:rPr>
      </w:pPr>
      <w:bookmarkStart w:id="1554" w:name="_Toc432682726"/>
      <w:bookmarkStart w:id="1555" w:name="_Toc430771059"/>
      <w:bookmarkStart w:id="1556" w:name="_Toc31366"/>
      <w:bookmarkStart w:id="1557" w:name="_Toc468157562"/>
      <w:bookmarkStart w:id="1558" w:name="_Toc480021079"/>
      <w:bookmarkStart w:id="1559" w:name="_Toc491658677"/>
      <w:bookmarkStart w:id="1560" w:name="_Toc479991608"/>
      <w:bookmarkStart w:id="1561" w:name="_Toc467236766"/>
      <w:bookmarkStart w:id="1562" w:name="_Toc480020283"/>
      <w:bookmarkStart w:id="1563" w:name="_Toc500861024"/>
      <w:bookmarkStart w:id="1564" w:name="_Toc480010734"/>
      <w:bookmarkStart w:id="1565" w:name="_Toc467987849"/>
      <w:bookmarkStart w:id="1566" w:name="_Toc468606055"/>
      <w:r>
        <w:rPr>
          <w:color w:val="000000" w:themeColor="text1"/>
          <w:sz w:val="24"/>
          <w:highlight w:val="none"/>
        </w:rPr>
        <w:t>G</w:t>
      </w:r>
      <w:r>
        <w:rPr>
          <w:rFonts w:hint="eastAsia"/>
          <w:color w:val="000000" w:themeColor="text1"/>
          <w:sz w:val="24"/>
          <w:highlight w:val="none"/>
        </w:rPr>
        <w:t>、政府采购政策</w:t>
      </w:r>
      <w:bookmarkEnd w:id="1554"/>
      <w:bookmarkEnd w:id="1555"/>
      <w:bookmarkEnd w:id="1556"/>
    </w:p>
    <w:p>
      <w:pPr>
        <w:spacing w:line="360" w:lineRule="auto"/>
        <w:ind w:left="735" w:hanging="735" w:hangingChars="350"/>
        <w:rPr>
          <w:rFonts w:hint="eastAsia" w:ascii="宋体" w:hAnsi="宋体" w:eastAsia="宋体" w:cs="宋体"/>
          <w:color w:val="000000" w:themeColor="text1"/>
          <w:highlight w:val="none"/>
        </w:rPr>
      </w:pPr>
      <w:bookmarkStart w:id="1567" w:name="_Toc430771060"/>
      <w:bookmarkStart w:id="1568" w:name="_Toc430185803"/>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rPr>
        <w:t xml:space="preserve">     </w:t>
      </w:r>
      <w:bookmarkStart w:id="1569"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1567"/>
      <w:bookmarkEnd w:id="1568"/>
      <w:bookmarkEnd w:id="1569"/>
    </w:p>
    <w:p>
      <w:pPr>
        <w:spacing w:line="360" w:lineRule="auto"/>
        <w:ind w:left="735" w:hanging="735" w:hangingChars="350"/>
        <w:rPr>
          <w:rFonts w:hint="eastAsia" w:ascii="宋体" w:hAnsi="宋体" w:eastAsia="宋体" w:cs="宋体"/>
          <w:color w:val="000000" w:themeColor="text1"/>
          <w:highlight w:val="none"/>
        </w:rPr>
      </w:pPr>
      <w:bookmarkStart w:id="1570" w:name="_Toc430185804"/>
      <w:bookmarkStart w:id="1571" w:name="_Toc430771061"/>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0"/>
      <w:bookmarkEnd w:id="1571"/>
    </w:p>
    <w:p>
      <w:pPr>
        <w:spacing w:line="360" w:lineRule="auto"/>
        <w:ind w:left="735" w:hanging="735" w:hangingChars="350"/>
        <w:rPr>
          <w:rFonts w:hint="eastAsia" w:ascii="宋体" w:hAnsi="宋体" w:eastAsia="宋体" w:cs="宋体"/>
          <w:color w:val="000000" w:themeColor="text1"/>
          <w:highlight w:val="none"/>
        </w:rPr>
      </w:pPr>
      <w:bookmarkStart w:id="1572" w:name="_Toc430185805"/>
      <w:bookmarkStart w:id="1573" w:name="_Toc430771062"/>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6</w:t>
      </w:r>
      <w:r>
        <w:rPr>
          <w:rFonts w:hint="eastAsia" w:ascii="宋体" w:hAnsi="宋体" w:eastAsia="宋体" w:cs="宋体"/>
          <w:color w:val="000000" w:themeColor="text1"/>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1572"/>
      <w:bookmarkEnd w:id="1573"/>
    </w:p>
    <w:p>
      <w:pPr>
        <w:spacing w:line="360" w:lineRule="auto"/>
        <w:ind w:left="735" w:hanging="735" w:hangingChars="350"/>
        <w:rPr>
          <w:rFonts w:hint="eastAsia" w:ascii="宋体" w:hAnsi="宋体" w:eastAsia="宋体" w:cs="宋体"/>
          <w:color w:val="000000" w:themeColor="text1"/>
          <w:highlight w:val="none"/>
        </w:rPr>
      </w:pPr>
      <w:bookmarkStart w:id="1574" w:name="_Toc430771063"/>
      <w:bookmarkStart w:id="1575" w:name="_Toc430185806"/>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7</w:t>
      </w:r>
      <w:r>
        <w:rPr>
          <w:rFonts w:hint="eastAsia" w:ascii="宋体" w:hAnsi="宋体" w:eastAsia="宋体" w:cs="宋体"/>
          <w:color w:val="000000" w:themeColor="text1"/>
          <w:highlight w:val="none"/>
        </w:rPr>
        <w:t xml:space="preserve">     根据《关于印发《政府采购促进中小企业发展管理方法》的通知》（财库[2020]46号）的规定，投标人投标时需注意：</w:t>
      </w:r>
      <w:bookmarkEnd w:id="1574"/>
      <w:bookmarkEnd w:id="1575"/>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w:t>
      </w:r>
      <w:r>
        <w:rPr>
          <w:rFonts w:hint="eastAsia" w:ascii="宋体" w:hAnsi="宋体" w:cs="宋体"/>
          <w:bCs/>
          <w:color w:val="000000" w:themeColor="text1"/>
          <w:kern w:val="2"/>
          <w:sz w:val="21"/>
          <w:szCs w:val="24"/>
          <w:highlight w:val="none"/>
          <w:lang w:val="en-US" w:eastAsia="zh-CN" w:bidi="ar-SA"/>
        </w:rPr>
        <w:t>7</w:t>
      </w:r>
      <w:r>
        <w:rPr>
          <w:rFonts w:hint="eastAsia" w:ascii="宋体" w:hAnsi="宋体" w:eastAsia="宋体" w:cs="宋体"/>
          <w:bCs/>
          <w:color w:val="000000" w:themeColor="text1"/>
          <w:kern w:val="2"/>
          <w:sz w:val="21"/>
          <w:szCs w:val="24"/>
          <w:highlight w:val="none"/>
          <w:lang w:val="en-US" w:eastAsia="zh-CN" w:bidi="ar-SA"/>
        </w:rPr>
        <w:t>.</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w:t>
            </w:r>
          </w:p>
        </w:tc>
      </w:tr>
    </w:tbl>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pStyle w:val="4"/>
        <w:numPr>
          <w:ilvl w:val="0"/>
          <w:numId w:val="0"/>
        </w:numPr>
        <w:rPr>
          <w:color w:val="000000" w:themeColor="text1"/>
          <w:sz w:val="24"/>
          <w:highlight w:val="none"/>
        </w:rPr>
      </w:pPr>
      <w:bookmarkStart w:id="1576" w:name="_Toc28289"/>
      <w:r>
        <w:rPr>
          <w:rFonts w:hint="eastAsia"/>
          <w:color w:val="000000" w:themeColor="text1"/>
          <w:sz w:val="24"/>
          <w:highlight w:val="none"/>
        </w:rPr>
        <w:t>H、评标细则</w:t>
      </w:r>
      <w:bookmarkEnd w:id="1576"/>
    </w:p>
    <w:p>
      <w:pPr>
        <w:pStyle w:val="24"/>
        <w:widowControl/>
        <w:tabs>
          <w:tab w:val="left" w:pos="753"/>
        </w:tabs>
        <w:adjustRightInd w:val="0"/>
        <w:snapToGrid w:val="0"/>
        <w:spacing w:line="360" w:lineRule="auto"/>
        <w:ind w:left="752" w:hanging="751" w:hangingChars="358"/>
        <w:rPr>
          <w:rFonts w:hAnsi="宋体"/>
          <w:bCs/>
          <w:color w:val="000000" w:themeColor="text1"/>
          <w:highlight w:val="none"/>
        </w:rPr>
      </w:pPr>
      <w:r>
        <w:rPr>
          <w:rFonts w:hint="eastAsia" w:hAnsi="宋体"/>
          <w:bCs/>
          <w:color w:val="000000" w:themeColor="text1"/>
          <w:highlight w:val="none"/>
        </w:rPr>
        <w:t>采用计分法（综合评价法）来确定各投标人的排名。其操作程序为：</w:t>
      </w:r>
    </w:p>
    <w:p>
      <w:pPr>
        <w:pStyle w:val="27"/>
        <w:widowControl/>
        <w:numPr>
          <w:ilvl w:val="0"/>
          <w:numId w:val="33"/>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根据招标文件和评标原则，按下表（评价指标和权重表）所列评价指标和各评价指标的权重进行评标。</w:t>
      </w:r>
    </w:p>
    <w:p>
      <w:pPr>
        <w:pStyle w:val="27"/>
        <w:widowControl/>
        <w:numPr>
          <w:ilvl w:val="0"/>
          <w:numId w:val="33"/>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color w:val="000000" w:themeColor="text1"/>
          <w:sz w:val="21"/>
          <w:highlight w:val="none"/>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rPr>
        <w:t>经济价格标得分＝(评标基准价/投标报价)×价格指标权重×100。</w:t>
      </w:r>
    </w:p>
    <w:p>
      <w:pPr>
        <w:pStyle w:val="27"/>
        <w:widowControl/>
        <w:numPr>
          <w:ilvl w:val="0"/>
          <w:numId w:val="33"/>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由评委独立地根据各项指标的评价标准，结合每个投标人的实际情况，分别就投标报价以外的各项指标对每个投标人独立打分。</w:t>
      </w:r>
    </w:p>
    <w:p>
      <w:pPr>
        <w:pStyle w:val="27"/>
        <w:widowControl/>
        <w:numPr>
          <w:ilvl w:val="0"/>
          <w:numId w:val="33"/>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技术部分和商务部分得分结果为全部评委评价指标评分的算术平均值。</w:t>
      </w:r>
    </w:p>
    <w:p>
      <w:pPr>
        <w:pStyle w:val="27"/>
        <w:widowControl/>
        <w:numPr>
          <w:ilvl w:val="0"/>
          <w:numId w:val="33"/>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将所有评价指标所得实际评价分数相加，即为该投标人的综合得分。</w:t>
      </w:r>
    </w:p>
    <w:p>
      <w:pPr>
        <w:pStyle w:val="27"/>
        <w:widowControl/>
        <w:numPr>
          <w:ilvl w:val="0"/>
          <w:numId w:val="33"/>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评标委员会将推荐综合得分最高的投标人为该项目的中标候选人。</w:t>
      </w:r>
    </w:p>
    <w:p>
      <w:pPr>
        <w:widowControl/>
        <w:tabs>
          <w:tab w:val="left" w:pos="502"/>
        </w:tabs>
        <w:adjustRightInd w:val="0"/>
        <w:snapToGrid w:val="0"/>
        <w:spacing w:line="360" w:lineRule="auto"/>
        <w:ind w:left="105" w:leftChars="50" w:firstLine="209" w:firstLineChars="99"/>
        <w:rPr>
          <w:rFonts w:hint="eastAsia" w:ascii="宋体" w:hAnsi="宋体" w:cs="Tahoma"/>
          <w:b/>
          <w:bCs/>
          <w:color w:val="000000" w:themeColor="text1"/>
          <w:highlight w:val="none"/>
          <w:lang w:val="en-US" w:eastAsia="zh-CN"/>
        </w:rPr>
      </w:pPr>
    </w:p>
    <w:p>
      <w:pPr>
        <w:widowControl/>
        <w:tabs>
          <w:tab w:val="left" w:pos="502"/>
        </w:tabs>
        <w:adjustRightInd w:val="0"/>
        <w:snapToGrid w:val="0"/>
        <w:spacing w:line="360" w:lineRule="auto"/>
        <w:rPr>
          <w:rFonts w:hint="default" w:ascii="宋体" w:hAnsi="宋体" w:eastAsia="宋体" w:cs="Tahoma"/>
          <w:b/>
          <w:bCs/>
          <w:color w:val="000000" w:themeColor="text1"/>
          <w:highlight w:val="none"/>
          <w:lang w:val="en-US" w:eastAsia="zh-CN"/>
        </w:rPr>
      </w:pPr>
      <w:r>
        <w:rPr>
          <w:rFonts w:hint="eastAsia" w:ascii="宋体" w:hAnsi="宋体" w:cs="Tahoma"/>
          <w:b/>
          <w:bCs/>
          <w:color w:val="000000" w:themeColor="text1"/>
          <w:highlight w:val="none"/>
          <w:lang w:val="en-US" w:eastAsia="zh-CN"/>
        </w:rPr>
        <w:t>01包组：</w:t>
      </w:r>
      <w:r>
        <w:rPr>
          <w:rFonts w:hint="eastAsia" w:ascii="宋体" w:hAnsi="宋体" w:eastAsia="宋体" w:cs="宋体"/>
          <w:b/>
          <w:bCs/>
          <w:color w:val="000000" w:themeColor="text1"/>
          <w:szCs w:val="21"/>
          <w:highlight w:val="none"/>
          <w:lang w:val="en-US" w:eastAsia="zh-CN"/>
        </w:rPr>
        <w:t>肉类、腊味制品、瓜果疏菜、水产海鲜、冻品类</w:t>
      </w:r>
    </w:p>
    <w:p>
      <w:pPr>
        <w:rPr>
          <w:color w:val="000000" w:themeColor="text1"/>
          <w:highlight w:val="none"/>
        </w:rPr>
      </w:pPr>
      <w:r>
        <w:rPr>
          <w:rFonts w:hint="eastAsia"/>
          <w:color w:val="000000" w:themeColor="text1"/>
          <w:highlight w:val="none"/>
        </w:rPr>
        <w:t>评价指标及权重：</w:t>
      </w:r>
    </w:p>
    <w:p>
      <w:pPr>
        <w:rPr>
          <w:color w:val="000000" w:themeColor="text1"/>
          <w:highlight w:val="none"/>
        </w:rPr>
      </w:pPr>
    </w:p>
    <w:tbl>
      <w:tblPr>
        <w:tblStyle w:val="46"/>
        <w:tblW w:w="8874" w:type="dxa"/>
        <w:jc w:val="center"/>
        <w:tblLayout w:type="fixed"/>
        <w:tblCellMar>
          <w:top w:w="0" w:type="dxa"/>
          <w:left w:w="0" w:type="dxa"/>
          <w:bottom w:w="0" w:type="dxa"/>
          <w:right w:w="0" w:type="dxa"/>
        </w:tblCellMar>
      </w:tblPr>
      <w:tblGrid>
        <w:gridCol w:w="2570"/>
        <w:gridCol w:w="2261"/>
        <w:gridCol w:w="2138"/>
        <w:gridCol w:w="1905"/>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评分项目</w:t>
            </w:r>
          </w:p>
        </w:tc>
        <w:tc>
          <w:tcPr>
            <w:tcW w:w="226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213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分值</w:t>
            </w:r>
          </w:p>
        </w:tc>
        <w:tc>
          <w:tcPr>
            <w:tcW w:w="226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30</w:t>
            </w:r>
            <w:r>
              <w:rPr>
                <w:rFonts w:hint="eastAsia" w:ascii="宋体" w:hAnsi="宋体" w:eastAsia="宋体" w:cs="宋体"/>
                <w:color w:val="000000" w:themeColor="text1"/>
                <w:kern w:val="0"/>
                <w:sz w:val="21"/>
                <w:szCs w:val="21"/>
                <w:highlight w:val="none"/>
              </w:rPr>
              <w:t>分</w:t>
            </w:r>
          </w:p>
        </w:tc>
        <w:tc>
          <w:tcPr>
            <w:tcW w:w="213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60</w:t>
            </w:r>
            <w:r>
              <w:rPr>
                <w:rFonts w:hint="eastAsia" w:ascii="宋体" w:hAnsi="宋体" w:eastAsia="宋体" w:cs="宋体"/>
                <w:color w:val="000000" w:themeColor="text1"/>
                <w:kern w:val="0"/>
                <w:sz w:val="21"/>
                <w:szCs w:val="21"/>
                <w:highlight w:val="none"/>
              </w:rPr>
              <w:t>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10</w:t>
            </w:r>
            <w:r>
              <w:rPr>
                <w:rFonts w:hint="eastAsia" w:ascii="宋体" w:hAnsi="宋体" w:eastAsia="宋体" w:cs="宋体"/>
                <w:color w:val="000000" w:themeColor="text1"/>
                <w:kern w:val="0"/>
                <w:sz w:val="21"/>
                <w:szCs w:val="21"/>
                <w:highlight w:val="none"/>
              </w:rPr>
              <w:t>分</w:t>
            </w:r>
          </w:p>
        </w:tc>
      </w:tr>
    </w:tbl>
    <w:p>
      <w:pPr>
        <w:rPr>
          <w:color w:val="000000" w:themeColor="text1"/>
          <w:highlight w:val="none"/>
        </w:rPr>
      </w:pPr>
    </w:p>
    <w:p>
      <w:pPr>
        <w:rPr>
          <w:color w:val="000000" w:themeColor="text1"/>
          <w:highlight w:val="none"/>
        </w:rPr>
      </w:pPr>
      <w:r>
        <w:rPr>
          <w:rFonts w:hint="eastAsia"/>
          <w:color w:val="000000" w:themeColor="text1"/>
          <w:highlight w:val="none"/>
        </w:rPr>
        <w:t>技术评分细则：</w:t>
      </w:r>
    </w:p>
    <w:tbl>
      <w:tblPr>
        <w:tblStyle w:val="46"/>
        <w:tblW w:w="9517" w:type="dxa"/>
        <w:tblInd w:w="108" w:type="dxa"/>
        <w:shd w:val="clear" w:color="auto" w:fill="FFFFFF"/>
        <w:tblLayout w:type="fixed"/>
        <w:tblCellMar>
          <w:top w:w="0" w:type="dxa"/>
          <w:left w:w="0" w:type="dxa"/>
          <w:bottom w:w="0" w:type="dxa"/>
          <w:right w:w="0" w:type="dxa"/>
        </w:tblCellMar>
      </w:tblPr>
      <w:tblGrid>
        <w:gridCol w:w="729"/>
        <w:gridCol w:w="1475"/>
        <w:gridCol w:w="726"/>
        <w:gridCol w:w="6587"/>
      </w:tblGrid>
      <w:tr>
        <w:tblPrEx>
          <w:tblCellMar>
            <w:top w:w="0" w:type="dxa"/>
            <w:left w:w="0" w:type="dxa"/>
            <w:bottom w:w="0" w:type="dxa"/>
            <w:right w:w="0" w:type="dxa"/>
          </w:tblCellMar>
        </w:tblPrEx>
        <w:trPr>
          <w:cantSplit/>
          <w:trHeight w:val="460" w:hRule="atLeast"/>
          <w:tblHead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tblPrEx>
          <w:shd w:val="clear" w:color="auto" w:fill="FFFFFF"/>
          <w:tblCellMar>
            <w:top w:w="0" w:type="dxa"/>
            <w:left w:w="0" w:type="dxa"/>
            <w:bottom w:w="0" w:type="dxa"/>
            <w:right w:w="0" w:type="dxa"/>
          </w:tblCellMar>
        </w:tblPrEx>
        <w:trPr>
          <w:cantSplit/>
          <w:trHeight w:val="2114" w:hRule="atLeast"/>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配送服务方案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对</w:t>
            </w:r>
            <w:r>
              <w:rPr>
                <w:rFonts w:hint="eastAsia" w:ascii="宋体" w:hAnsi="宋体" w:eastAsia="宋体" w:cs="宋体"/>
                <w:color w:val="000000" w:themeColor="text1"/>
                <w:highlight w:val="none"/>
              </w:rPr>
              <w:t xml:space="preserve">投标人配送方案、效率及响应时间进行评分：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1.配送方案及响应时间、效率优于采购需求，内容合理、完整，内容有针对性，得</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2.配送方案及响应时间、效率满足采购需求，内容较合理、较完整，内容有一定的针对性，得</w:t>
            </w:r>
            <w:r>
              <w:rPr>
                <w:rFonts w:hint="eastAsia" w:ascii="宋体" w:hAnsi="宋体" w:eastAsia="宋体" w:cs="宋体"/>
                <w:color w:val="000000" w:themeColor="text1"/>
                <w:highlight w:val="none"/>
                <w:lang w:val="en-US" w:eastAsia="zh-CN"/>
              </w:rPr>
              <w:t>5</w:t>
            </w:r>
            <w:r>
              <w:rPr>
                <w:rFonts w:hint="eastAsia" w:ascii="宋体" w:hAnsi="宋体" w:eastAsia="宋体" w:cs="宋体"/>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3.配送方案简单，内容没有针对性，得</w:t>
            </w: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tblPrEx>
          <w:shd w:val="clear" w:color="auto" w:fill="FFFFFF"/>
          <w:tblCellMar>
            <w:top w:w="0" w:type="dxa"/>
            <w:left w:w="0" w:type="dxa"/>
            <w:bottom w:w="0" w:type="dxa"/>
            <w:right w:w="0" w:type="dxa"/>
          </w:tblCellMar>
        </w:tblPrEx>
        <w:trPr>
          <w:cantSplit/>
          <w:trHeight w:val="2156" w:hRule="atLeast"/>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质量保障及食品安全措施</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对投标文件中的质量控制方案进行评分（根据投标货物的来源、生长环境、加工、包装、保存、运输各环节的质量保证及食品安全措施进行评价）：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1.方案优于采购需求，描述合理、完整，内容有针对性，得</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2.方案满足采购需求，较合理、较完整，内容有一定的针对性，得</w:t>
            </w:r>
            <w:r>
              <w:rPr>
                <w:rFonts w:hint="eastAsia" w:ascii="宋体" w:hAnsi="宋体" w:eastAsia="宋体" w:cs="宋体"/>
                <w:color w:val="000000" w:themeColor="text1"/>
                <w:highlight w:val="none"/>
                <w:lang w:val="en-US" w:eastAsia="zh-CN"/>
              </w:rPr>
              <w:t>5</w:t>
            </w:r>
            <w:r>
              <w:rPr>
                <w:rFonts w:hint="eastAsia" w:ascii="宋体" w:hAnsi="宋体" w:eastAsia="宋体" w:cs="宋体"/>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3.方案简单，内容没有针对性，得</w:t>
            </w: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tblPrEx>
          <w:shd w:val="clear" w:color="auto" w:fill="FFFFFF"/>
          <w:tblCellMar>
            <w:top w:w="0" w:type="dxa"/>
            <w:left w:w="0" w:type="dxa"/>
            <w:bottom w:w="0" w:type="dxa"/>
            <w:right w:w="0" w:type="dxa"/>
          </w:tblCellMar>
        </w:tblPrEx>
        <w:trPr>
          <w:cantSplit/>
          <w:trHeight w:val="1722" w:hRule="atLeast"/>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出现产品质量问题退换货方案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根据投标文件中投标人对产品出现质量问题的退换货承诺（包括但不限于：退换时间、退换方式等）进行评分：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1.对产品出现质量问题的退换承诺具体可行、科学合理，得10分；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2.对产品出现质量问题的退换承诺较合理可行，得5分；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3.对产品出现质量问题的退换承诺不具体，可行性低，得2分；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tblPrEx>
          <w:shd w:val="clear" w:color="auto" w:fill="FFFFFF"/>
          <w:tblCellMar>
            <w:top w:w="0" w:type="dxa"/>
            <w:left w:w="0" w:type="dxa"/>
            <w:bottom w:w="0" w:type="dxa"/>
            <w:right w:w="0" w:type="dxa"/>
          </w:tblCellMar>
        </w:tblPrEx>
        <w:trPr>
          <w:cantSplit/>
          <w:trHeight w:val="419" w:hRule="atLeast"/>
        </w:trPr>
        <w:tc>
          <w:tcPr>
            <w:tcW w:w="22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tc>
      </w:tr>
    </w:tbl>
    <w:p>
      <w:pPr>
        <w:rPr>
          <w:color w:val="000000" w:themeColor="text1"/>
          <w:highlight w:val="none"/>
        </w:rPr>
      </w:pPr>
    </w:p>
    <w:p>
      <w:pPr>
        <w:rPr>
          <w:color w:val="000000" w:themeColor="text1"/>
          <w:highlight w:val="none"/>
        </w:rPr>
      </w:pPr>
    </w:p>
    <w:p>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6"/>
        <w:tblW w:w="9559" w:type="dxa"/>
        <w:jc w:val="center"/>
        <w:tblLayout w:type="fixed"/>
        <w:tblCellMar>
          <w:top w:w="0" w:type="dxa"/>
          <w:left w:w="0" w:type="dxa"/>
          <w:bottom w:w="0" w:type="dxa"/>
          <w:right w:w="0" w:type="dxa"/>
        </w:tblCellMar>
      </w:tblPr>
      <w:tblGrid>
        <w:gridCol w:w="777"/>
        <w:gridCol w:w="1500"/>
        <w:gridCol w:w="701"/>
        <w:gridCol w:w="6581"/>
      </w:tblGrid>
      <w:tr>
        <w:tblPrEx>
          <w:tblCellMar>
            <w:top w:w="0" w:type="dxa"/>
            <w:left w:w="0" w:type="dxa"/>
            <w:bottom w:w="0" w:type="dxa"/>
            <w:right w:w="0" w:type="dxa"/>
          </w:tblCellMar>
        </w:tblPrEx>
        <w:trPr>
          <w:cantSplit/>
          <w:trHeight w:val="403"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tblPrEx>
          <w:tblCellMar>
            <w:top w:w="0" w:type="dxa"/>
            <w:left w:w="0" w:type="dxa"/>
            <w:bottom w:w="0" w:type="dxa"/>
            <w:right w:w="0" w:type="dxa"/>
          </w:tblCellMar>
        </w:tblPrEx>
        <w:trPr>
          <w:cantSplit/>
          <w:trHeight w:val="1666"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投标人资质情况</w:t>
            </w:r>
          </w:p>
        </w:tc>
        <w:tc>
          <w:tcPr>
            <w:tcW w:w="701"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分</w:t>
            </w:r>
          </w:p>
        </w:tc>
        <w:tc>
          <w:tcPr>
            <w:tcW w:w="6581" w:type="dxa"/>
            <w:tcBorders>
              <w:top w:val="single" w:color="auto" w:sz="8" w:space="0"/>
              <w:left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投标人</w:t>
            </w:r>
            <w:r>
              <w:rPr>
                <w:rFonts w:hint="eastAsia" w:ascii="宋体" w:hAnsi="宋体" w:eastAsia="宋体" w:cs="宋体"/>
                <w:color w:val="000000" w:themeColor="text1"/>
                <w:sz w:val="21"/>
                <w:szCs w:val="21"/>
                <w:highlight w:val="none"/>
                <w:lang w:val="en-US" w:eastAsia="zh-CN"/>
              </w:rPr>
              <w:t>提供以下</w:t>
            </w:r>
            <w:r>
              <w:rPr>
                <w:rFonts w:hint="eastAsia" w:ascii="宋体" w:hAnsi="宋体" w:eastAsia="宋体" w:cs="宋体"/>
                <w:color w:val="000000" w:themeColor="text1"/>
                <w:sz w:val="21"/>
                <w:szCs w:val="21"/>
                <w:highlight w:val="none"/>
              </w:rPr>
              <w:t>证书，</w:t>
            </w:r>
            <w:r>
              <w:rPr>
                <w:rFonts w:hint="eastAsia" w:ascii="宋体" w:hAnsi="宋体" w:eastAsia="宋体" w:cs="宋体"/>
                <w:color w:val="000000" w:themeColor="text1"/>
                <w:sz w:val="21"/>
                <w:szCs w:val="21"/>
                <w:highlight w:val="none"/>
                <w:lang w:val="en-US" w:eastAsia="zh-CN"/>
              </w:rPr>
              <w:t>一个</w:t>
            </w:r>
            <w:r>
              <w:rPr>
                <w:rFonts w:hint="eastAsia" w:ascii="宋体" w:hAnsi="宋体" w:eastAsia="宋体" w:cs="宋体"/>
                <w:color w:val="000000" w:themeColor="text1"/>
                <w:sz w:val="21"/>
                <w:szCs w:val="21"/>
                <w:highlight w:val="none"/>
              </w:rPr>
              <w:t>得1分。</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具有有效期内的质量管理体系体系认证证书；</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具有有效期内的</w:t>
            </w:r>
            <w:r>
              <w:rPr>
                <w:rFonts w:hint="eastAsia" w:ascii="宋体" w:hAnsi="宋体" w:eastAsia="宋体" w:cs="宋体"/>
                <w:color w:val="000000" w:themeColor="text1"/>
                <w:highlight w:val="none"/>
              </w:rPr>
              <w:t>职业健康安全管理体系认证证书</w:t>
            </w:r>
            <w:r>
              <w:rPr>
                <w:rFonts w:hint="eastAsia" w:ascii="宋体" w:hAnsi="宋体" w:eastAsia="宋体" w:cs="宋体"/>
                <w:color w:val="000000" w:themeColor="text1"/>
                <w:sz w:val="21"/>
                <w:szCs w:val="21"/>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具有有效期内的</w:t>
            </w:r>
            <w:r>
              <w:rPr>
                <w:rFonts w:hint="eastAsia" w:ascii="宋体" w:hAnsi="宋体" w:eastAsia="宋体" w:cs="宋体"/>
                <w:color w:val="000000" w:themeColor="text1"/>
                <w:highlight w:val="none"/>
                <w:lang w:val="en-US" w:eastAsia="zh-CN"/>
              </w:rPr>
              <w:t>环境</w:t>
            </w:r>
            <w:r>
              <w:rPr>
                <w:rFonts w:hint="eastAsia" w:ascii="宋体" w:hAnsi="宋体" w:eastAsia="宋体" w:cs="宋体"/>
                <w:color w:val="000000" w:themeColor="text1"/>
                <w:highlight w:val="none"/>
              </w:rPr>
              <w:t>管理体系认证证书</w:t>
            </w:r>
            <w:r>
              <w:rPr>
                <w:rFonts w:hint="eastAsia" w:ascii="宋体" w:hAnsi="宋体" w:eastAsia="宋体" w:cs="宋体"/>
                <w:color w:val="000000" w:themeColor="text1"/>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注：提供证书</w:t>
            </w:r>
            <w:r>
              <w:rPr>
                <w:rFonts w:hint="eastAsia" w:ascii="宋体" w:hAnsi="宋体" w:eastAsia="宋体" w:cs="宋体"/>
                <w:color w:val="000000" w:themeColor="text1"/>
                <w:sz w:val="21"/>
                <w:szCs w:val="21"/>
                <w:highlight w:val="none"/>
                <w:lang w:val="en-US" w:eastAsia="zh-CN"/>
              </w:rPr>
              <w:t>复印件</w:t>
            </w:r>
            <w:r>
              <w:rPr>
                <w:rFonts w:hint="eastAsia" w:ascii="宋体" w:hAnsi="宋体" w:eastAsia="宋体" w:cs="宋体"/>
                <w:color w:val="000000" w:themeColor="text1"/>
                <w:sz w:val="21"/>
                <w:szCs w:val="21"/>
                <w:highlight w:val="none"/>
              </w:rPr>
              <w:t>加盖投标人公章，不提供的不得分。</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同类项目业绩及评价</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18</w:t>
            </w:r>
            <w:r>
              <w:rPr>
                <w:rFonts w:hint="eastAsia" w:ascii="宋体" w:hAnsi="宋体" w:eastAsia="宋体" w:cs="宋体"/>
                <w:color w:val="000000" w:themeColor="text1"/>
                <w:sz w:val="21"/>
                <w:szCs w:val="21"/>
                <w:highlight w:val="none"/>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highlight w:val="none"/>
              </w:rPr>
              <w:t>投标人提供</w:t>
            </w:r>
            <w:r>
              <w:rPr>
                <w:rFonts w:hint="eastAsia" w:ascii="宋体" w:hAnsi="宋体" w:eastAsia="宋体" w:cs="宋体"/>
                <w:color w:val="000000" w:themeColor="text1"/>
                <w:highlight w:val="none"/>
                <w:lang w:val="en-US" w:eastAsia="zh-CN"/>
              </w:rPr>
              <w:t>近三年</w:t>
            </w:r>
            <w:r>
              <w:rPr>
                <w:rFonts w:hint="eastAsia" w:ascii="宋体" w:hAnsi="宋体" w:eastAsia="宋体" w:cs="宋体"/>
                <w:color w:val="000000" w:themeColor="text1"/>
                <w:highlight w:val="none"/>
              </w:rPr>
              <w:t>（以合同签订时间为准）的同类项目业绩，每个得</w:t>
            </w:r>
            <w:r>
              <w:rPr>
                <w:rFonts w:hint="eastAsia" w:ascii="宋体" w:hAnsi="宋体" w:eastAsia="宋体" w:cs="宋体"/>
                <w:color w:val="000000" w:themeColor="text1"/>
                <w:highlight w:val="none"/>
                <w:lang w:val="en-US" w:eastAsia="zh-CN"/>
              </w:rPr>
              <w:t>4</w:t>
            </w:r>
            <w:r>
              <w:rPr>
                <w:rFonts w:hint="eastAsia" w:ascii="宋体" w:hAnsi="宋体" w:eastAsia="宋体" w:cs="宋体"/>
                <w:color w:val="000000" w:themeColor="text1"/>
                <w:highlight w:val="none"/>
              </w:rPr>
              <w:t>分，最高得</w:t>
            </w:r>
            <w:r>
              <w:rPr>
                <w:rFonts w:hint="eastAsia" w:ascii="宋体" w:hAnsi="宋体" w:eastAsia="宋体" w:cs="宋体"/>
                <w:color w:val="000000" w:themeColor="text1"/>
                <w:highlight w:val="none"/>
                <w:lang w:val="en-US" w:eastAsia="zh-CN"/>
              </w:rPr>
              <w:t>12</w:t>
            </w:r>
            <w:r>
              <w:rPr>
                <w:rFonts w:hint="eastAsia" w:ascii="宋体" w:hAnsi="宋体" w:eastAsia="宋体" w:cs="宋体"/>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highlight w:val="none"/>
              </w:rPr>
              <w:t>注：提供项目的合同关键页复印件加盖投标人公章，不提供不得分。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2.提供上述</w:t>
            </w:r>
            <w:r>
              <w:rPr>
                <w:rFonts w:hint="eastAsia" w:ascii="宋体" w:hAnsi="宋体" w:eastAsia="宋体" w:cs="宋体"/>
                <w:color w:val="000000" w:themeColor="text1"/>
                <w:highlight w:val="none"/>
              </w:rPr>
              <w:t>同类</w:t>
            </w:r>
            <w:r>
              <w:rPr>
                <w:rFonts w:hint="eastAsia" w:ascii="宋体" w:hAnsi="宋体" w:eastAsia="宋体" w:cs="宋体"/>
                <w:color w:val="000000" w:themeColor="text1"/>
                <w:sz w:val="21"/>
                <w:szCs w:val="21"/>
                <w:highlight w:val="none"/>
                <w:lang w:val="en-US" w:eastAsia="zh-CN"/>
              </w:rPr>
              <w:t>项目的</w:t>
            </w:r>
            <w:r>
              <w:rPr>
                <w:rFonts w:hint="eastAsia" w:ascii="宋体" w:hAnsi="宋体" w:eastAsia="宋体" w:cs="宋体"/>
                <w:color w:val="000000" w:themeColor="text1"/>
                <w:sz w:val="21"/>
                <w:szCs w:val="21"/>
                <w:highlight w:val="none"/>
              </w:rPr>
              <w:t>服务单位好评（即“满意或好评”等正面评价），每提供一份有效的证明材料，得</w:t>
            </w: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highlight w:val="none"/>
              </w:rPr>
              <w:t>最高得</w:t>
            </w:r>
            <w:r>
              <w:rPr>
                <w:rFonts w:hint="eastAsia" w:ascii="宋体" w:hAnsi="宋体" w:eastAsia="宋体" w:cs="宋体"/>
                <w:color w:val="000000" w:themeColor="text1"/>
                <w:highlight w:val="none"/>
                <w:lang w:val="en-US" w:eastAsia="zh-CN"/>
              </w:rPr>
              <w:t>6</w:t>
            </w:r>
            <w:r>
              <w:rPr>
                <w:rFonts w:hint="eastAsia" w:ascii="宋体" w:hAnsi="宋体" w:eastAsia="宋体" w:cs="宋体"/>
                <w:color w:val="000000" w:themeColor="text1"/>
                <w:highlight w:val="none"/>
              </w:rPr>
              <w:t>分</w:t>
            </w:r>
            <w:r>
              <w:rPr>
                <w:rFonts w:hint="eastAsia" w:ascii="宋体" w:hAnsi="宋体" w:eastAsia="宋体" w:cs="宋体"/>
                <w:color w:val="000000" w:themeColor="text1"/>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 ①同一客户或同一项目提供多份用户满意度评价的，按一份计算；②提供经服务单位盖章确认的满意度评价证明材料</w:t>
            </w:r>
            <w:r>
              <w:rPr>
                <w:rFonts w:hint="eastAsia" w:ascii="宋体" w:hAnsi="宋体" w:eastAsia="宋体" w:cs="宋体"/>
                <w:color w:val="000000" w:themeColor="text1"/>
                <w:sz w:val="21"/>
                <w:szCs w:val="21"/>
                <w:highlight w:val="none"/>
                <w:lang w:val="en-US" w:eastAsia="zh-CN"/>
              </w:rPr>
              <w:t>复印件</w:t>
            </w:r>
            <w:r>
              <w:rPr>
                <w:rFonts w:hint="eastAsia" w:ascii="宋体" w:hAnsi="宋体" w:eastAsia="宋体" w:cs="宋体"/>
                <w:color w:val="000000" w:themeColor="text1"/>
                <w:sz w:val="21"/>
                <w:szCs w:val="21"/>
                <w:highlight w:val="none"/>
              </w:rPr>
              <w:t>加盖投标人公章，</w:t>
            </w:r>
            <w:r>
              <w:rPr>
                <w:rFonts w:hint="eastAsia" w:ascii="宋体" w:hAnsi="宋体" w:eastAsia="宋体" w:cs="宋体"/>
                <w:color w:val="000000" w:themeColor="text1"/>
                <w:highlight w:val="none"/>
              </w:rPr>
              <w:t>不提供不得分</w:t>
            </w:r>
            <w:r>
              <w:rPr>
                <w:rFonts w:hint="eastAsia" w:ascii="宋体" w:hAnsi="宋体" w:eastAsia="宋体" w:cs="宋体"/>
                <w:color w:val="000000" w:themeColor="text1"/>
                <w:sz w:val="21"/>
                <w:szCs w:val="21"/>
                <w:highlight w:val="none"/>
              </w:rPr>
              <w:t>。</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食品安全责任险保障</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投标人能提供食品安全责任险保障：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壹仟</w:t>
            </w:r>
            <w:r>
              <w:rPr>
                <w:rFonts w:hint="eastAsia" w:ascii="宋体" w:hAnsi="宋体" w:eastAsia="宋体" w:cs="宋体"/>
                <w:color w:val="000000" w:themeColor="text1"/>
                <w:sz w:val="21"/>
                <w:szCs w:val="21"/>
                <w:highlight w:val="none"/>
              </w:rPr>
              <w:t>万元或以上，得</w:t>
            </w:r>
            <w:r>
              <w:rPr>
                <w:rFonts w:hint="eastAsia" w:ascii="宋体" w:hAnsi="宋体" w:eastAsia="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伍</w:t>
            </w:r>
            <w:r>
              <w:rPr>
                <w:rFonts w:hint="eastAsia" w:ascii="宋体" w:hAnsi="宋体" w:eastAsia="宋体" w:cs="宋体"/>
                <w:color w:val="000000" w:themeColor="text1"/>
                <w:sz w:val="21"/>
                <w:szCs w:val="21"/>
                <w:highlight w:val="none"/>
              </w:rPr>
              <w:t>佰万元（含）-</w:t>
            </w:r>
            <w:r>
              <w:rPr>
                <w:rFonts w:hint="eastAsia" w:ascii="宋体" w:hAnsi="宋体" w:eastAsia="宋体" w:cs="宋体"/>
                <w:color w:val="000000" w:themeColor="text1"/>
                <w:sz w:val="21"/>
                <w:szCs w:val="21"/>
                <w:highlight w:val="none"/>
                <w:lang w:val="en-US" w:eastAsia="zh-CN"/>
              </w:rPr>
              <w:t>壹仟</w:t>
            </w:r>
            <w:r>
              <w:rPr>
                <w:rFonts w:hint="eastAsia" w:ascii="宋体" w:hAnsi="宋体" w:eastAsia="宋体" w:cs="宋体"/>
                <w:color w:val="000000" w:themeColor="text1"/>
                <w:sz w:val="21"/>
                <w:szCs w:val="21"/>
                <w:highlight w:val="none"/>
              </w:rPr>
              <w:t>万元（不含），得</w:t>
            </w:r>
            <w:r>
              <w:rPr>
                <w:rFonts w:hint="eastAsia" w:ascii="宋体" w:hAnsi="宋体" w:eastAsia="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伍</w:t>
            </w:r>
            <w:r>
              <w:rPr>
                <w:rFonts w:hint="eastAsia" w:ascii="宋体" w:hAnsi="宋体" w:eastAsia="宋体" w:cs="宋体"/>
                <w:color w:val="000000" w:themeColor="text1"/>
                <w:sz w:val="21"/>
                <w:szCs w:val="21"/>
                <w:highlight w:val="none"/>
              </w:rPr>
              <w:t>佰万元（不含）以下</w:t>
            </w:r>
            <w:r>
              <w:rPr>
                <w:rFonts w:hint="eastAsia" w:ascii="宋体" w:hAnsi="宋体" w:eastAsia="宋体" w:cs="宋体"/>
                <w:color w:val="000000" w:themeColor="text1"/>
                <w:sz w:val="21"/>
                <w:szCs w:val="21"/>
                <w:highlight w:val="none"/>
                <w:lang w:val="en-US" w:eastAsia="zh-CN"/>
              </w:rPr>
              <w:t>得2分</w:t>
            </w:r>
            <w:r>
              <w:rPr>
                <w:rFonts w:hint="eastAsia" w:ascii="宋体" w:hAnsi="宋体" w:eastAsia="宋体" w:cs="宋体"/>
                <w:color w:val="000000" w:themeColor="text1"/>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eastAsia="宋体"/>
                <w:color w:val="000000" w:themeColor="text1"/>
                <w:highlight w:val="none"/>
                <w:lang w:val="en-US" w:eastAsia="zh-CN"/>
              </w:rPr>
            </w:pPr>
            <w:r>
              <w:rPr>
                <w:rFonts w:hint="eastAsia" w:ascii="宋体" w:hAnsi="宋体" w:eastAsia="宋体" w:cs="宋体"/>
                <w:color w:val="000000" w:themeColor="text1"/>
                <w:sz w:val="21"/>
                <w:szCs w:val="21"/>
                <w:highlight w:val="none"/>
                <w:lang w:val="en-US" w:eastAsia="zh-CN"/>
              </w:rPr>
              <w:t>其他不得分。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注：提供有效保单复印件加盖投标人公章，不提供不得分。</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4</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拟投入项目团队人员</w:t>
            </w:r>
            <w:r>
              <w:rPr>
                <w:rFonts w:hint="eastAsia" w:ascii="宋体" w:hAnsi="宋体" w:eastAsia="宋体" w:cs="宋体"/>
                <w:color w:val="000000" w:themeColor="text1"/>
                <w:sz w:val="21"/>
                <w:szCs w:val="21"/>
                <w:highlight w:val="none"/>
                <w:lang w:val="en-US" w:eastAsia="zh-CN"/>
              </w:rPr>
              <w:t>情况</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sz w:val="21"/>
                <w:szCs w:val="21"/>
                <w:highlight w:val="none"/>
              </w:rPr>
              <w:t>投标人</w:t>
            </w:r>
            <w:r>
              <w:rPr>
                <w:rFonts w:hint="eastAsia" w:ascii="宋体" w:hAnsi="宋体" w:eastAsia="宋体" w:cs="宋体"/>
                <w:color w:val="000000" w:themeColor="text1"/>
                <w:sz w:val="21"/>
                <w:szCs w:val="21"/>
                <w:highlight w:val="none"/>
                <w:lang w:val="en-US" w:eastAsia="zh-CN"/>
              </w:rPr>
              <w:t>具有</w:t>
            </w:r>
            <w:r>
              <w:rPr>
                <w:rFonts w:hint="eastAsia" w:ascii="宋体" w:hAnsi="宋体" w:eastAsia="宋体" w:cs="宋体"/>
                <w:color w:val="000000" w:themeColor="text1"/>
                <w:sz w:val="21"/>
                <w:szCs w:val="21"/>
                <w:highlight w:val="none"/>
              </w:rPr>
              <w:t>专门的</w:t>
            </w:r>
            <w:r>
              <w:rPr>
                <w:rFonts w:hint="eastAsia" w:ascii="宋体" w:hAnsi="宋体" w:eastAsia="宋体" w:cs="宋体"/>
                <w:color w:val="000000" w:themeColor="text1"/>
                <w:sz w:val="21"/>
                <w:szCs w:val="21"/>
                <w:highlight w:val="none"/>
                <w:lang w:val="en-US" w:eastAsia="zh-CN"/>
              </w:rPr>
              <w:t>食品安全管理人员</w:t>
            </w:r>
            <w:r>
              <w:rPr>
                <w:rFonts w:hint="eastAsia" w:ascii="宋体" w:hAnsi="宋体" w:eastAsia="宋体" w:cs="宋体"/>
                <w:color w:val="000000" w:themeColor="text1"/>
                <w:highlight w:val="none"/>
              </w:rPr>
              <w:t>，每</w:t>
            </w:r>
            <w:r>
              <w:rPr>
                <w:rFonts w:hint="eastAsia" w:ascii="宋体" w:hAnsi="宋体" w:eastAsia="宋体" w:cs="宋体"/>
                <w:color w:val="000000" w:themeColor="text1"/>
                <w:highlight w:val="none"/>
                <w:lang w:val="en-US" w:eastAsia="zh-CN"/>
              </w:rPr>
              <w:t>人得5</w:t>
            </w:r>
            <w:r>
              <w:rPr>
                <w:rFonts w:hint="eastAsia" w:ascii="宋体" w:hAnsi="宋体" w:eastAsia="宋体" w:cs="宋体"/>
                <w:color w:val="000000" w:themeColor="text1"/>
                <w:highlight w:val="none"/>
              </w:rPr>
              <w:t>分，最高得</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rPr>
              <w:t>分</w:t>
            </w:r>
            <w:r>
              <w:rPr>
                <w:rFonts w:hint="eastAsia" w:ascii="宋体" w:hAnsi="宋体" w:eastAsia="宋体" w:cs="宋体"/>
                <w:color w:val="000000" w:themeColor="text1"/>
                <w:highlight w:val="none"/>
                <w:lang w:eastAsia="zh-CN"/>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w:t>
            </w:r>
            <w:r>
              <w:rPr>
                <w:rFonts w:hint="eastAsia" w:ascii="宋体" w:hAnsi="宋体" w:eastAsia="宋体" w:cs="宋体"/>
                <w:color w:val="000000" w:themeColor="text1"/>
                <w:sz w:val="21"/>
                <w:szCs w:val="21"/>
                <w:highlight w:val="none"/>
                <w:lang w:val="en-US" w:eastAsia="zh-CN"/>
              </w:rPr>
              <w:t>配备人员</w:t>
            </w:r>
            <w:r>
              <w:rPr>
                <w:rFonts w:hint="eastAsia" w:ascii="宋体" w:hAnsi="宋体" w:eastAsia="宋体" w:cs="宋体"/>
                <w:color w:val="000000" w:themeColor="text1"/>
                <w:sz w:val="21"/>
                <w:szCs w:val="21"/>
                <w:highlight w:val="none"/>
              </w:rPr>
              <w:t>需</w:t>
            </w:r>
            <w:r>
              <w:rPr>
                <w:rFonts w:hint="eastAsia" w:ascii="宋体" w:hAnsi="宋体" w:eastAsia="宋体" w:cs="宋体"/>
                <w:color w:val="000000" w:themeColor="text1"/>
                <w:sz w:val="21"/>
                <w:szCs w:val="21"/>
                <w:highlight w:val="none"/>
                <w:lang w:val="en-US" w:eastAsia="zh-CN"/>
              </w:rPr>
              <w:t>提供广东省食品安全管理人员考试合格证明证书复印件加盖投标人公章</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highlight w:val="none"/>
              </w:rPr>
              <w:t>不提供不得分</w:t>
            </w:r>
            <w:r>
              <w:rPr>
                <w:rFonts w:hint="eastAsia" w:ascii="宋体" w:hAnsi="宋体" w:eastAsia="宋体" w:cs="宋体"/>
                <w:color w:val="000000" w:themeColor="text1"/>
                <w:sz w:val="21"/>
                <w:szCs w:val="21"/>
                <w:highlight w:val="none"/>
              </w:rPr>
              <w:t>。</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5</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配送能力</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9分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投标人针对本项目投入的配送车辆，每配备1台配送车辆的得</w:t>
            </w:r>
            <w:r>
              <w:rPr>
                <w:rFonts w:hint="eastAsia" w:ascii="宋体" w:hAnsi="宋体" w:eastAsia="宋体" w:cs="宋体"/>
                <w:color w:val="000000" w:themeColor="text1"/>
                <w:sz w:val="21"/>
                <w:szCs w:val="21"/>
                <w:highlight w:val="none"/>
                <w:lang w:val="en-US" w:eastAsia="zh-CN"/>
              </w:rPr>
              <w:t>3分，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本项</w:t>
            </w:r>
            <w:r>
              <w:rPr>
                <w:rFonts w:hint="eastAsia" w:ascii="宋体" w:hAnsi="宋体" w:eastAsia="宋体" w:cs="宋体"/>
                <w:color w:val="000000" w:themeColor="text1"/>
                <w:sz w:val="21"/>
                <w:szCs w:val="21"/>
                <w:highlight w:val="none"/>
              </w:rPr>
              <w:t>最高得</w:t>
            </w:r>
            <w:r>
              <w:rPr>
                <w:rFonts w:hint="eastAsia" w:ascii="宋体" w:hAnsi="宋体" w:eastAsia="宋体" w:cs="宋体"/>
                <w:color w:val="000000" w:themeColor="text1"/>
                <w:sz w:val="21"/>
                <w:szCs w:val="21"/>
                <w:highlight w:val="none"/>
                <w:lang w:val="en-US" w:eastAsia="zh-CN"/>
              </w:rPr>
              <w:t>9</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注：投标人自有</w:t>
            </w:r>
            <w:r>
              <w:rPr>
                <w:rFonts w:hint="eastAsia" w:ascii="宋体" w:hAnsi="宋体" w:eastAsia="宋体" w:cs="宋体"/>
                <w:color w:val="000000" w:themeColor="text1"/>
                <w:sz w:val="21"/>
                <w:szCs w:val="21"/>
                <w:highlight w:val="none"/>
                <w:lang w:val="en-US" w:eastAsia="zh-CN"/>
              </w:rPr>
              <w:t>车辆的</w:t>
            </w:r>
            <w:r>
              <w:rPr>
                <w:rFonts w:hint="eastAsia" w:ascii="宋体" w:hAnsi="宋体" w:eastAsia="宋体" w:cs="宋体"/>
                <w:color w:val="000000" w:themeColor="text1"/>
                <w:sz w:val="21"/>
                <w:szCs w:val="21"/>
                <w:highlight w:val="none"/>
              </w:rPr>
              <w:t>，需提供购车发票</w:t>
            </w:r>
            <w:r>
              <w:rPr>
                <w:rFonts w:hint="eastAsia" w:ascii="宋体" w:hAnsi="宋体" w:eastAsia="宋体" w:cs="宋体"/>
                <w:color w:val="000000" w:themeColor="text1"/>
                <w:sz w:val="21"/>
                <w:szCs w:val="21"/>
                <w:highlight w:val="none"/>
                <w:lang w:val="en-US" w:eastAsia="zh-CN"/>
              </w:rPr>
              <w:t>复印件或</w:t>
            </w:r>
            <w:r>
              <w:rPr>
                <w:rFonts w:hint="eastAsia" w:ascii="宋体" w:hAnsi="宋体" w:eastAsia="宋体" w:cs="宋体"/>
                <w:color w:val="000000" w:themeColor="text1"/>
                <w:sz w:val="21"/>
                <w:szCs w:val="21"/>
                <w:highlight w:val="none"/>
              </w:rPr>
              <w:t>有效的《机动车行驶证》</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车辆照片加盖投标人公章；</w:t>
            </w:r>
            <w:r>
              <w:rPr>
                <w:rFonts w:hint="eastAsia" w:ascii="宋体" w:hAnsi="宋体" w:eastAsia="宋体" w:cs="宋体"/>
                <w:color w:val="000000" w:themeColor="text1"/>
                <w:sz w:val="21"/>
                <w:szCs w:val="21"/>
                <w:highlight w:val="none"/>
                <w:lang w:val="en-US" w:eastAsia="zh-CN"/>
              </w:rPr>
              <w:t>投标人租赁车辆的</w:t>
            </w:r>
            <w:r>
              <w:rPr>
                <w:rFonts w:hint="eastAsia" w:ascii="宋体" w:hAnsi="宋体" w:eastAsia="宋体" w:cs="宋体"/>
                <w:color w:val="000000" w:themeColor="text1"/>
                <w:sz w:val="21"/>
                <w:szCs w:val="21"/>
                <w:highlight w:val="none"/>
              </w:rPr>
              <w:t>，需提供</w:t>
            </w:r>
            <w:r>
              <w:rPr>
                <w:rFonts w:hint="eastAsia" w:ascii="宋体" w:hAnsi="宋体" w:eastAsia="宋体" w:cs="宋体"/>
                <w:color w:val="000000" w:themeColor="text1"/>
                <w:sz w:val="21"/>
                <w:szCs w:val="21"/>
                <w:highlight w:val="none"/>
                <w:lang w:val="en-US" w:eastAsia="zh-CN"/>
              </w:rPr>
              <w:t>以投标人或法定代表人签署的</w:t>
            </w:r>
            <w:r>
              <w:rPr>
                <w:rFonts w:hint="eastAsia" w:ascii="宋体" w:hAnsi="宋体" w:eastAsia="宋体" w:cs="宋体"/>
                <w:color w:val="000000" w:themeColor="text1"/>
                <w:sz w:val="21"/>
                <w:szCs w:val="21"/>
                <w:highlight w:val="none"/>
              </w:rPr>
              <w:t>车辆租赁合同</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有效的《机动车行驶证》</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车辆照片加盖投标人公章。不提供不得分。</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6</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投标人自有或租赁的冷冻/冷藏库情况</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4分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投标人具有</w:t>
            </w:r>
            <w:r>
              <w:rPr>
                <w:rFonts w:hint="eastAsia" w:ascii="宋体" w:hAnsi="宋体" w:eastAsia="宋体" w:cs="宋体"/>
                <w:color w:val="000000" w:themeColor="text1"/>
                <w:sz w:val="21"/>
                <w:szCs w:val="21"/>
                <w:highlight w:val="none"/>
              </w:rPr>
              <w:t>冷冻/冷藏库</w:t>
            </w:r>
            <w:r>
              <w:rPr>
                <w:rFonts w:hint="eastAsia" w:ascii="宋体" w:hAnsi="宋体" w:eastAsia="宋体" w:cs="宋体"/>
                <w:color w:val="000000" w:themeColor="text1"/>
                <w:sz w:val="21"/>
                <w:szCs w:val="21"/>
                <w:highlight w:val="none"/>
                <w:lang w:val="en-US" w:eastAsia="zh-CN"/>
              </w:rPr>
              <w:t>的</w:t>
            </w:r>
            <w:r>
              <w:rPr>
                <w:rFonts w:hint="eastAsia" w:ascii="宋体" w:hAnsi="宋体" w:eastAsia="宋体" w:cs="宋体"/>
                <w:color w:val="000000" w:themeColor="text1"/>
                <w:sz w:val="21"/>
                <w:szCs w:val="21"/>
                <w:highlight w:val="none"/>
              </w:rPr>
              <w:t>，得</w:t>
            </w:r>
            <w:r>
              <w:rPr>
                <w:rFonts w:hint="eastAsia" w:ascii="宋体" w:hAnsi="宋体" w:eastAsia="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w:t>
            </w:r>
            <w:r>
              <w:rPr>
                <w:rFonts w:hint="eastAsia" w:ascii="宋体" w:hAnsi="宋体" w:eastAsia="宋体" w:cs="宋体"/>
                <w:color w:val="000000" w:themeColor="text1"/>
                <w:sz w:val="21"/>
                <w:szCs w:val="21"/>
                <w:highlight w:val="none"/>
                <w:lang w:val="en-US" w:eastAsia="zh-CN"/>
              </w:rPr>
              <w:t>投标人或法定代表人</w:t>
            </w:r>
            <w:r>
              <w:rPr>
                <w:rFonts w:hint="eastAsia" w:ascii="宋体" w:hAnsi="宋体" w:eastAsia="宋体" w:cs="宋体"/>
                <w:color w:val="000000" w:themeColor="text1"/>
                <w:sz w:val="21"/>
                <w:szCs w:val="21"/>
                <w:highlight w:val="none"/>
              </w:rPr>
              <w:t>的产权证明或以</w:t>
            </w:r>
            <w:r>
              <w:rPr>
                <w:rFonts w:hint="eastAsia" w:ascii="宋体" w:hAnsi="宋体" w:eastAsia="宋体" w:cs="宋体"/>
                <w:color w:val="000000" w:themeColor="text1"/>
                <w:sz w:val="21"/>
                <w:szCs w:val="21"/>
                <w:highlight w:val="none"/>
                <w:lang w:val="en-US" w:eastAsia="zh-CN"/>
              </w:rPr>
              <w:t>投标人或法定代表人签署</w:t>
            </w:r>
            <w:r>
              <w:rPr>
                <w:rFonts w:hint="eastAsia" w:ascii="宋体" w:hAnsi="宋体" w:eastAsia="宋体" w:cs="宋体"/>
                <w:color w:val="000000" w:themeColor="text1"/>
                <w:sz w:val="21"/>
                <w:szCs w:val="21"/>
                <w:highlight w:val="none"/>
              </w:rPr>
              <w:t>的租赁合同</w:t>
            </w:r>
            <w:r>
              <w:rPr>
                <w:rFonts w:hint="eastAsia" w:ascii="宋体" w:hAnsi="宋体" w:eastAsia="宋体" w:cs="宋体"/>
                <w:color w:val="000000" w:themeColor="text1"/>
                <w:sz w:val="21"/>
                <w:szCs w:val="21"/>
                <w:highlight w:val="none"/>
                <w:lang w:val="en-US" w:eastAsia="zh-CN"/>
              </w:rPr>
              <w:t>复印件</w:t>
            </w:r>
            <w:r>
              <w:rPr>
                <w:rFonts w:hint="eastAsia" w:ascii="宋体" w:hAnsi="宋体" w:eastAsia="宋体" w:cs="宋体"/>
                <w:color w:val="000000" w:themeColor="text1"/>
                <w:sz w:val="21"/>
                <w:szCs w:val="21"/>
                <w:highlight w:val="none"/>
              </w:rPr>
              <w:t>及冷冻/冷藏库照片并加盖投标人公章</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不提供不得分。</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7</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配送场地</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4分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投标人</w:t>
            </w:r>
            <w:r>
              <w:rPr>
                <w:rFonts w:hint="eastAsia" w:ascii="宋体" w:hAnsi="宋体" w:eastAsia="宋体" w:cs="宋体"/>
                <w:color w:val="000000" w:themeColor="text1"/>
                <w:sz w:val="21"/>
                <w:szCs w:val="21"/>
                <w:highlight w:val="none"/>
                <w:lang w:val="en-US" w:eastAsia="zh-CN"/>
              </w:rPr>
              <w:t>具有</w:t>
            </w:r>
            <w:r>
              <w:rPr>
                <w:rFonts w:hint="eastAsia" w:ascii="宋体" w:hAnsi="宋体" w:eastAsia="宋体" w:cs="宋体"/>
                <w:color w:val="000000" w:themeColor="text1"/>
                <w:sz w:val="21"/>
                <w:szCs w:val="21"/>
                <w:highlight w:val="none"/>
              </w:rPr>
              <w:t xml:space="preserve">配送场地。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w:t>
            </w:r>
            <w:r>
              <w:rPr>
                <w:rFonts w:hint="eastAsia" w:ascii="宋体" w:hAnsi="宋体" w:eastAsia="宋体" w:cs="宋体"/>
                <w:color w:val="000000" w:themeColor="text1"/>
                <w:sz w:val="21"/>
                <w:szCs w:val="21"/>
                <w:highlight w:val="none"/>
                <w:lang w:val="en-US" w:eastAsia="zh-CN"/>
              </w:rPr>
              <w:t>投标人或法定代表人</w:t>
            </w:r>
            <w:r>
              <w:rPr>
                <w:rFonts w:hint="eastAsia" w:ascii="宋体" w:hAnsi="宋体" w:eastAsia="宋体" w:cs="宋体"/>
                <w:color w:val="000000" w:themeColor="text1"/>
                <w:sz w:val="21"/>
                <w:szCs w:val="21"/>
                <w:highlight w:val="none"/>
              </w:rPr>
              <w:t>的产权证明或以</w:t>
            </w:r>
            <w:r>
              <w:rPr>
                <w:rFonts w:hint="eastAsia" w:ascii="宋体" w:hAnsi="宋体" w:eastAsia="宋体" w:cs="宋体"/>
                <w:color w:val="000000" w:themeColor="text1"/>
                <w:sz w:val="21"/>
                <w:szCs w:val="21"/>
                <w:highlight w:val="none"/>
                <w:lang w:val="en-US" w:eastAsia="zh-CN"/>
              </w:rPr>
              <w:t>投标人或法定代表人签署</w:t>
            </w:r>
            <w:r>
              <w:rPr>
                <w:rFonts w:hint="eastAsia" w:ascii="宋体" w:hAnsi="宋体" w:eastAsia="宋体" w:cs="宋体"/>
                <w:color w:val="000000" w:themeColor="text1"/>
                <w:sz w:val="21"/>
                <w:szCs w:val="21"/>
                <w:highlight w:val="none"/>
              </w:rPr>
              <w:t>的租赁合同</w:t>
            </w:r>
            <w:r>
              <w:rPr>
                <w:rFonts w:hint="eastAsia" w:ascii="宋体" w:hAnsi="宋体" w:eastAsia="宋体" w:cs="宋体"/>
                <w:color w:val="000000" w:themeColor="text1"/>
                <w:sz w:val="21"/>
                <w:szCs w:val="21"/>
                <w:highlight w:val="none"/>
                <w:lang w:val="en-US" w:eastAsia="zh-CN"/>
              </w:rPr>
              <w:t>复印件</w:t>
            </w:r>
            <w:r>
              <w:rPr>
                <w:rFonts w:hint="eastAsia" w:ascii="宋体" w:hAnsi="宋体" w:eastAsia="宋体" w:cs="宋体"/>
                <w:color w:val="000000" w:themeColor="text1"/>
                <w:sz w:val="21"/>
                <w:szCs w:val="21"/>
                <w:highlight w:val="none"/>
              </w:rPr>
              <w:t>及配送场地照片并加盖投标人公章</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不提供不得分。</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8</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食品卫生检测能力</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6分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投标人具</w:t>
            </w:r>
            <w:r>
              <w:rPr>
                <w:rFonts w:hint="eastAsia" w:ascii="宋体" w:hAnsi="宋体" w:eastAsia="宋体" w:cs="宋体"/>
                <w:color w:val="000000" w:themeColor="text1"/>
                <w:sz w:val="21"/>
                <w:szCs w:val="21"/>
                <w:highlight w:val="none"/>
                <w:lang w:val="en-US" w:eastAsia="zh-CN"/>
              </w:rPr>
              <w:t>有</w:t>
            </w:r>
            <w:r>
              <w:rPr>
                <w:rFonts w:hint="eastAsia" w:ascii="宋体" w:hAnsi="宋体" w:eastAsia="宋体" w:cs="宋体"/>
                <w:color w:val="000000" w:themeColor="text1"/>
                <w:sz w:val="21"/>
                <w:szCs w:val="21"/>
                <w:highlight w:val="none"/>
              </w:rPr>
              <w:t>食品检测室，得</w:t>
            </w: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分。</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注：须提供食品检测室场所</w:t>
            </w:r>
            <w:r>
              <w:rPr>
                <w:rFonts w:hint="eastAsia" w:ascii="宋体" w:hAnsi="宋体" w:eastAsia="宋体" w:cs="宋体"/>
                <w:color w:val="000000" w:themeColor="text1"/>
                <w:sz w:val="21"/>
                <w:szCs w:val="21"/>
                <w:highlight w:val="none"/>
                <w:lang w:val="en-US" w:eastAsia="zh-CN"/>
              </w:rPr>
              <w:t>照片</w:t>
            </w:r>
            <w:r>
              <w:rPr>
                <w:rFonts w:hint="eastAsia" w:ascii="宋体" w:hAnsi="宋体" w:eastAsia="宋体" w:cs="宋体"/>
                <w:color w:val="000000" w:themeColor="text1"/>
                <w:sz w:val="21"/>
                <w:szCs w:val="21"/>
                <w:highlight w:val="none"/>
              </w:rPr>
              <w:t>并加盖投标人公章</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 xml:space="preserve">不提供不得分；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2</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投标人具有农药残留检测仪，得</w:t>
            </w: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具有</w:t>
            </w:r>
            <w:r>
              <w:rPr>
                <w:rFonts w:hint="eastAsia" w:ascii="宋体" w:hAnsi="宋体" w:eastAsia="宋体" w:cs="宋体"/>
                <w:color w:val="000000" w:themeColor="text1"/>
                <w:sz w:val="21"/>
                <w:szCs w:val="21"/>
                <w:highlight w:val="none"/>
                <w:lang w:val="en-US" w:eastAsia="zh-CN"/>
              </w:rPr>
              <w:t>肉类综合检测仪</w:t>
            </w:r>
            <w:r>
              <w:rPr>
                <w:rFonts w:hint="eastAsia" w:ascii="宋体" w:hAnsi="宋体" w:eastAsia="宋体" w:cs="宋体"/>
                <w:color w:val="000000" w:themeColor="text1"/>
                <w:sz w:val="21"/>
                <w:szCs w:val="21"/>
                <w:highlight w:val="none"/>
              </w:rPr>
              <w:t>，得</w:t>
            </w: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注：提供上述检测仪器的</w:t>
            </w:r>
            <w:r>
              <w:rPr>
                <w:rFonts w:hint="eastAsia" w:ascii="宋体" w:hAnsi="宋体" w:eastAsia="宋体" w:cs="宋体"/>
                <w:color w:val="000000" w:themeColor="text1"/>
                <w:sz w:val="21"/>
                <w:szCs w:val="21"/>
                <w:highlight w:val="none"/>
                <w:lang w:val="en-US" w:eastAsia="zh-CN"/>
              </w:rPr>
              <w:t>图片</w:t>
            </w:r>
            <w:r>
              <w:rPr>
                <w:rFonts w:hint="eastAsia" w:ascii="宋体" w:hAnsi="宋体" w:eastAsia="宋体" w:cs="宋体"/>
                <w:color w:val="000000" w:themeColor="text1"/>
                <w:sz w:val="21"/>
                <w:szCs w:val="21"/>
                <w:highlight w:val="none"/>
              </w:rPr>
              <w:t>并加盖投标人公章</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不提供不得分。</w:t>
            </w:r>
          </w:p>
        </w:tc>
      </w:tr>
      <w:tr>
        <w:tblPrEx>
          <w:tblCellMar>
            <w:top w:w="0" w:type="dxa"/>
            <w:left w:w="0" w:type="dxa"/>
            <w:bottom w:w="0" w:type="dxa"/>
            <w:right w:w="0" w:type="dxa"/>
          </w:tblCellMar>
        </w:tblPrEx>
        <w:trPr>
          <w:cantSplit/>
          <w:trHeight w:val="429" w:hRule="atLeast"/>
          <w:jc w:val="center"/>
        </w:trPr>
        <w:tc>
          <w:tcPr>
            <w:tcW w:w="2277"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60</w:t>
            </w:r>
            <w:r>
              <w:rPr>
                <w:rFonts w:hint="eastAsia" w:ascii="宋体" w:hAnsi="宋体" w:eastAsia="宋体" w:cs="宋体"/>
                <w:color w:val="000000" w:themeColor="text1"/>
                <w:sz w:val="21"/>
                <w:szCs w:val="21"/>
                <w:highlight w:val="none"/>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p>
        </w:tc>
      </w:tr>
    </w:tbl>
    <w:p>
      <w:pPr>
        <w:rPr>
          <w:rFonts w:ascii="宋体"/>
          <w:color w:val="000000" w:themeColor="text1"/>
          <w:szCs w:val="21"/>
          <w:highlight w:val="none"/>
        </w:rPr>
      </w:pPr>
      <w:r>
        <w:rPr>
          <w:rFonts w:hint="eastAsia"/>
          <w:color w:val="000000" w:themeColor="text1"/>
          <w:highlight w:val="none"/>
        </w:rPr>
        <w:t>注：对照每项评价指标要求，投标文件完全不满足要求的，不得分。</w:t>
      </w: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widowControl/>
        <w:tabs>
          <w:tab w:val="left" w:pos="502"/>
        </w:tabs>
        <w:adjustRightInd w:val="0"/>
        <w:snapToGrid w:val="0"/>
        <w:spacing w:line="360" w:lineRule="auto"/>
        <w:rPr>
          <w:rFonts w:hint="default" w:ascii="宋体" w:hAnsi="宋体" w:eastAsia="宋体" w:cs="Tahoma"/>
          <w:b/>
          <w:bCs/>
          <w:color w:val="000000" w:themeColor="text1"/>
          <w:highlight w:val="none"/>
          <w:lang w:val="en-US" w:eastAsia="zh-CN"/>
        </w:rPr>
      </w:pPr>
      <w:r>
        <w:rPr>
          <w:rFonts w:hint="eastAsia" w:ascii="宋体" w:hAnsi="宋体" w:cs="Tahoma"/>
          <w:b/>
          <w:bCs/>
          <w:color w:val="000000" w:themeColor="text1"/>
          <w:highlight w:val="none"/>
          <w:lang w:val="en-US" w:eastAsia="zh-CN"/>
        </w:rPr>
        <w:t>02包组：</w:t>
      </w:r>
      <w:r>
        <w:rPr>
          <w:rFonts w:hint="eastAsia" w:ascii="宋体" w:hAnsi="宋体" w:eastAsia="宋体" w:cs="宋体"/>
          <w:b/>
          <w:bCs/>
          <w:color w:val="000000" w:themeColor="text1"/>
          <w:highlight w:val="none"/>
          <w:lang w:val="en-US" w:eastAsia="zh-CN"/>
        </w:rPr>
        <w:t>大米、面类、豆类、干货类、油、盐、糖、酱、酒、醋、添加剂等</w:t>
      </w:r>
    </w:p>
    <w:p>
      <w:pPr>
        <w:rPr>
          <w:color w:val="000000" w:themeColor="text1"/>
          <w:highlight w:val="none"/>
        </w:rPr>
      </w:pPr>
      <w:r>
        <w:rPr>
          <w:rFonts w:hint="eastAsia"/>
          <w:color w:val="000000" w:themeColor="text1"/>
          <w:highlight w:val="none"/>
        </w:rPr>
        <w:t>评价指标及权重：</w:t>
      </w:r>
    </w:p>
    <w:p>
      <w:pPr>
        <w:rPr>
          <w:color w:val="000000" w:themeColor="text1"/>
          <w:highlight w:val="none"/>
        </w:rPr>
      </w:pPr>
    </w:p>
    <w:tbl>
      <w:tblPr>
        <w:tblStyle w:val="46"/>
        <w:tblW w:w="8874" w:type="dxa"/>
        <w:jc w:val="center"/>
        <w:tblLayout w:type="fixed"/>
        <w:tblCellMar>
          <w:top w:w="0" w:type="dxa"/>
          <w:left w:w="0" w:type="dxa"/>
          <w:bottom w:w="0" w:type="dxa"/>
          <w:right w:w="0" w:type="dxa"/>
        </w:tblCellMar>
      </w:tblPr>
      <w:tblGrid>
        <w:gridCol w:w="2570"/>
        <w:gridCol w:w="2311"/>
        <w:gridCol w:w="2088"/>
        <w:gridCol w:w="1905"/>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评分项目</w:t>
            </w:r>
          </w:p>
        </w:tc>
        <w:tc>
          <w:tcPr>
            <w:tcW w:w="23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20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分值</w:t>
            </w:r>
          </w:p>
        </w:tc>
        <w:tc>
          <w:tcPr>
            <w:tcW w:w="23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30</w:t>
            </w:r>
            <w:r>
              <w:rPr>
                <w:rFonts w:hint="eastAsia" w:ascii="宋体" w:hAnsi="宋体" w:eastAsia="宋体" w:cs="宋体"/>
                <w:color w:val="000000" w:themeColor="text1"/>
                <w:kern w:val="0"/>
                <w:sz w:val="21"/>
                <w:szCs w:val="21"/>
                <w:highlight w:val="none"/>
              </w:rPr>
              <w:t>分</w:t>
            </w:r>
          </w:p>
        </w:tc>
        <w:tc>
          <w:tcPr>
            <w:tcW w:w="20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60</w:t>
            </w:r>
            <w:r>
              <w:rPr>
                <w:rFonts w:hint="eastAsia" w:ascii="宋体" w:hAnsi="宋体" w:eastAsia="宋体" w:cs="宋体"/>
                <w:color w:val="000000" w:themeColor="text1"/>
                <w:kern w:val="0"/>
                <w:sz w:val="21"/>
                <w:szCs w:val="21"/>
                <w:highlight w:val="none"/>
              </w:rPr>
              <w:t>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10</w:t>
            </w:r>
            <w:r>
              <w:rPr>
                <w:rFonts w:hint="eastAsia" w:ascii="宋体" w:hAnsi="宋体" w:eastAsia="宋体" w:cs="宋体"/>
                <w:color w:val="000000" w:themeColor="text1"/>
                <w:kern w:val="0"/>
                <w:sz w:val="21"/>
                <w:szCs w:val="21"/>
                <w:highlight w:val="none"/>
              </w:rPr>
              <w:t>分</w:t>
            </w:r>
          </w:p>
        </w:tc>
      </w:tr>
    </w:tbl>
    <w:p>
      <w:pPr>
        <w:rPr>
          <w:color w:val="000000" w:themeColor="text1"/>
          <w:highlight w:val="none"/>
        </w:rPr>
      </w:pPr>
    </w:p>
    <w:p>
      <w:pPr>
        <w:rPr>
          <w:color w:val="000000" w:themeColor="text1"/>
          <w:highlight w:val="none"/>
        </w:rPr>
      </w:pPr>
      <w:r>
        <w:rPr>
          <w:rFonts w:hint="eastAsia"/>
          <w:color w:val="000000" w:themeColor="text1"/>
          <w:highlight w:val="none"/>
        </w:rPr>
        <w:t>技术评分细则：</w:t>
      </w:r>
    </w:p>
    <w:tbl>
      <w:tblPr>
        <w:tblStyle w:val="46"/>
        <w:tblW w:w="9517" w:type="dxa"/>
        <w:tblInd w:w="108" w:type="dxa"/>
        <w:shd w:val="clear" w:color="auto" w:fill="FFFFFF"/>
        <w:tblLayout w:type="fixed"/>
        <w:tblCellMar>
          <w:top w:w="0" w:type="dxa"/>
          <w:left w:w="0" w:type="dxa"/>
          <w:bottom w:w="0" w:type="dxa"/>
          <w:right w:w="0" w:type="dxa"/>
        </w:tblCellMar>
      </w:tblPr>
      <w:tblGrid>
        <w:gridCol w:w="729"/>
        <w:gridCol w:w="1475"/>
        <w:gridCol w:w="726"/>
        <w:gridCol w:w="6587"/>
      </w:tblGrid>
      <w:tr>
        <w:tblPrEx>
          <w:shd w:val="clear" w:color="auto" w:fill="FFFFFF"/>
          <w:tblCellMar>
            <w:top w:w="0" w:type="dxa"/>
            <w:left w:w="0" w:type="dxa"/>
            <w:bottom w:w="0" w:type="dxa"/>
            <w:right w:w="0" w:type="dxa"/>
          </w:tblCellMar>
        </w:tblPrEx>
        <w:trPr>
          <w:cantSplit/>
          <w:trHeight w:val="460" w:hRule="atLeast"/>
          <w:tblHead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tblPrEx>
          <w:shd w:val="clear" w:color="auto" w:fill="FFFFFF"/>
          <w:tblCellMar>
            <w:top w:w="0" w:type="dxa"/>
            <w:left w:w="0" w:type="dxa"/>
            <w:bottom w:w="0" w:type="dxa"/>
            <w:right w:w="0" w:type="dxa"/>
          </w:tblCellMar>
        </w:tblPrEx>
        <w:trPr>
          <w:cantSplit/>
          <w:trHeight w:val="2114" w:hRule="atLeast"/>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配送服务方案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对</w:t>
            </w:r>
            <w:r>
              <w:rPr>
                <w:rFonts w:hint="eastAsia" w:ascii="宋体" w:hAnsi="宋体" w:eastAsia="宋体" w:cs="宋体"/>
                <w:color w:val="000000" w:themeColor="text1"/>
                <w:highlight w:val="none"/>
              </w:rPr>
              <w:t xml:space="preserve">投标人配送方案、效率及响应时间进行评分：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1.配送方案及响应时间、效率优于采购需求，内容合理、完整，内容有针对性，得</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2.配送方案及响应时间、效率满足采购需求，内容较合理、较完整，内容有一定的针对性，得</w:t>
            </w:r>
            <w:r>
              <w:rPr>
                <w:rFonts w:hint="eastAsia" w:ascii="宋体" w:hAnsi="宋体" w:eastAsia="宋体" w:cs="宋体"/>
                <w:color w:val="000000" w:themeColor="text1"/>
                <w:highlight w:val="none"/>
                <w:lang w:val="en-US" w:eastAsia="zh-CN"/>
              </w:rPr>
              <w:t>5</w:t>
            </w:r>
            <w:r>
              <w:rPr>
                <w:rFonts w:hint="eastAsia" w:ascii="宋体" w:hAnsi="宋体" w:eastAsia="宋体" w:cs="宋体"/>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3.配送方案简单，内容没有针对性，得</w:t>
            </w: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tblPrEx>
          <w:shd w:val="clear" w:color="auto" w:fill="FFFFFF"/>
          <w:tblCellMar>
            <w:top w:w="0" w:type="dxa"/>
            <w:left w:w="0" w:type="dxa"/>
            <w:bottom w:w="0" w:type="dxa"/>
            <w:right w:w="0" w:type="dxa"/>
          </w:tblCellMar>
        </w:tblPrEx>
        <w:trPr>
          <w:cantSplit/>
          <w:trHeight w:val="2156" w:hRule="atLeast"/>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质量保障及食品安全措施</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对投标文件中的质量控制方案进行评分（根据投标货物的来源、生长环境、加工、包装、保存、运输各环节的质量保证及食品安全措施进行评价）：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1.方案优于采购需求，描述合理、完整，内容有针对性，得</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2.方案满足采购需求，较合理、较完整，内容有一定的针对性，得</w:t>
            </w:r>
            <w:r>
              <w:rPr>
                <w:rFonts w:hint="eastAsia" w:ascii="宋体" w:hAnsi="宋体" w:eastAsia="宋体" w:cs="宋体"/>
                <w:color w:val="000000" w:themeColor="text1"/>
                <w:highlight w:val="none"/>
                <w:lang w:val="en-US" w:eastAsia="zh-CN"/>
              </w:rPr>
              <w:t>5</w:t>
            </w:r>
            <w:r>
              <w:rPr>
                <w:rFonts w:hint="eastAsia" w:ascii="宋体" w:hAnsi="宋体" w:eastAsia="宋体" w:cs="宋体"/>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3.方案简单，内容没有针对性，得</w:t>
            </w: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tblPrEx>
          <w:shd w:val="clear" w:color="auto" w:fill="FFFFFF"/>
          <w:tblCellMar>
            <w:top w:w="0" w:type="dxa"/>
            <w:left w:w="0" w:type="dxa"/>
            <w:bottom w:w="0" w:type="dxa"/>
            <w:right w:w="0" w:type="dxa"/>
          </w:tblCellMar>
        </w:tblPrEx>
        <w:trPr>
          <w:cantSplit/>
          <w:trHeight w:val="1722" w:hRule="atLeast"/>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出现产品质量问题退换货方案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根据投标文件中投标人对产品出现质量问题的退换货承诺（包括但不限于：退换时间、退换方式等）进行评分：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1.对产品出现质量问题的退换承诺具体可行、科学合理，得10分；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2.对产品出现质量问题的退换承诺较合理可行，得5分；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3.对产品出现质量问题的退换承诺不具体，可行性低，得2分；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tblPrEx>
          <w:shd w:val="clear" w:color="auto" w:fill="FFFFFF"/>
          <w:tblCellMar>
            <w:top w:w="0" w:type="dxa"/>
            <w:left w:w="0" w:type="dxa"/>
            <w:bottom w:w="0" w:type="dxa"/>
            <w:right w:w="0" w:type="dxa"/>
          </w:tblCellMar>
        </w:tblPrEx>
        <w:trPr>
          <w:cantSplit/>
          <w:trHeight w:val="419" w:hRule="atLeast"/>
        </w:trPr>
        <w:tc>
          <w:tcPr>
            <w:tcW w:w="22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tc>
      </w:tr>
    </w:tbl>
    <w:p>
      <w:pPr>
        <w:rPr>
          <w:color w:val="000000" w:themeColor="text1"/>
          <w:highlight w:val="none"/>
        </w:rPr>
      </w:pPr>
    </w:p>
    <w:p>
      <w:pPr>
        <w:rPr>
          <w:color w:val="000000" w:themeColor="text1"/>
          <w:highlight w:val="none"/>
        </w:rPr>
      </w:pPr>
    </w:p>
    <w:p>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6"/>
        <w:tblW w:w="9559" w:type="dxa"/>
        <w:jc w:val="center"/>
        <w:tblLayout w:type="fixed"/>
        <w:tblCellMar>
          <w:top w:w="0" w:type="dxa"/>
          <w:left w:w="0" w:type="dxa"/>
          <w:bottom w:w="0" w:type="dxa"/>
          <w:right w:w="0" w:type="dxa"/>
        </w:tblCellMar>
      </w:tblPr>
      <w:tblGrid>
        <w:gridCol w:w="777"/>
        <w:gridCol w:w="1500"/>
        <w:gridCol w:w="701"/>
        <w:gridCol w:w="6581"/>
      </w:tblGrid>
      <w:tr>
        <w:tblPrEx>
          <w:tblCellMar>
            <w:top w:w="0" w:type="dxa"/>
            <w:left w:w="0" w:type="dxa"/>
            <w:bottom w:w="0" w:type="dxa"/>
            <w:right w:w="0" w:type="dxa"/>
          </w:tblCellMar>
        </w:tblPrEx>
        <w:trPr>
          <w:cantSplit/>
          <w:trHeight w:val="403"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tblPrEx>
          <w:tblCellMar>
            <w:top w:w="0" w:type="dxa"/>
            <w:left w:w="0" w:type="dxa"/>
            <w:bottom w:w="0" w:type="dxa"/>
            <w:right w:w="0" w:type="dxa"/>
          </w:tblCellMar>
        </w:tblPrEx>
        <w:trPr>
          <w:cantSplit/>
          <w:trHeight w:val="1666"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投标人资质情况</w:t>
            </w:r>
          </w:p>
        </w:tc>
        <w:tc>
          <w:tcPr>
            <w:tcW w:w="701"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9</w:t>
            </w:r>
            <w:r>
              <w:rPr>
                <w:rFonts w:hint="eastAsia" w:ascii="宋体" w:hAnsi="宋体" w:eastAsia="宋体" w:cs="宋体"/>
                <w:color w:val="000000" w:themeColor="text1"/>
                <w:sz w:val="21"/>
                <w:szCs w:val="21"/>
                <w:highlight w:val="none"/>
              </w:rPr>
              <w:t>分</w:t>
            </w:r>
          </w:p>
        </w:tc>
        <w:tc>
          <w:tcPr>
            <w:tcW w:w="6581" w:type="dxa"/>
            <w:tcBorders>
              <w:top w:val="single" w:color="auto" w:sz="8" w:space="0"/>
              <w:left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投标人</w:t>
            </w:r>
            <w:r>
              <w:rPr>
                <w:rFonts w:hint="eastAsia" w:ascii="宋体" w:hAnsi="宋体" w:eastAsia="宋体" w:cs="宋体"/>
                <w:color w:val="000000" w:themeColor="text1"/>
                <w:sz w:val="21"/>
                <w:szCs w:val="21"/>
                <w:highlight w:val="none"/>
                <w:lang w:val="en-US" w:eastAsia="zh-CN"/>
              </w:rPr>
              <w:t>提供以下</w:t>
            </w:r>
            <w:r>
              <w:rPr>
                <w:rFonts w:hint="eastAsia" w:ascii="宋体" w:hAnsi="宋体" w:eastAsia="宋体" w:cs="宋体"/>
                <w:color w:val="000000" w:themeColor="text1"/>
                <w:sz w:val="21"/>
                <w:szCs w:val="21"/>
                <w:highlight w:val="none"/>
              </w:rPr>
              <w:t>证书，</w:t>
            </w:r>
            <w:r>
              <w:rPr>
                <w:rFonts w:hint="eastAsia" w:ascii="宋体" w:hAnsi="宋体" w:eastAsia="宋体" w:cs="宋体"/>
                <w:color w:val="000000" w:themeColor="text1"/>
                <w:sz w:val="21"/>
                <w:szCs w:val="21"/>
                <w:highlight w:val="none"/>
                <w:lang w:val="en-US" w:eastAsia="zh-CN"/>
              </w:rPr>
              <w:t>一个</w:t>
            </w:r>
            <w:r>
              <w:rPr>
                <w:rFonts w:hint="eastAsia" w:ascii="宋体" w:hAnsi="宋体" w:eastAsia="宋体" w:cs="宋体"/>
                <w:color w:val="000000" w:themeColor="text1"/>
                <w:sz w:val="21"/>
                <w:szCs w:val="21"/>
                <w:highlight w:val="none"/>
              </w:rPr>
              <w:t>得</w:t>
            </w:r>
            <w:r>
              <w:rPr>
                <w:rFonts w:hint="eastAsia" w:ascii="宋体" w:hAnsi="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分。</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具有有效期内的质量管理体系体系认证证书；</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具有有效期内的</w:t>
            </w:r>
            <w:r>
              <w:rPr>
                <w:rFonts w:hint="eastAsia" w:ascii="宋体" w:hAnsi="宋体" w:eastAsia="宋体" w:cs="宋体"/>
                <w:color w:val="000000" w:themeColor="text1"/>
                <w:highlight w:val="none"/>
              </w:rPr>
              <w:t>职业健康安全管理体系认证证书</w:t>
            </w:r>
            <w:r>
              <w:rPr>
                <w:rFonts w:hint="eastAsia" w:ascii="宋体" w:hAnsi="宋体" w:eastAsia="宋体" w:cs="宋体"/>
                <w:color w:val="000000" w:themeColor="text1"/>
                <w:sz w:val="21"/>
                <w:szCs w:val="21"/>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具有有效期内的</w:t>
            </w:r>
            <w:r>
              <w:rPr>
                <w:rFonts w:hint="eastAsia" w:ascii="宋体" w:hAnsi="宋体" w:eastAsia="宋体" w:cs="宋体"/>
                <w:color w:val="000000" w:themeColor="text1"/>
                <w:highlight w:val="none"/>
                <w:lang w:val="en-US" w:eastAsia="zh-CN"/>
              </w:rPr>
              <w:t>环境</w:t>
            </w:r>
            <w:r>
              <w:rPr>
                <w:rFonts w:hint="eastAsia" w:ascii="宋体" w:hAnsi="宋体" w:eastAsia="宋体" w:cs="宋体"/>
                <w:color w:val="000000" w:themeColor="text1"/>
                <w:highlight w:val="none"/>
              </w:rPr>
              <w:t>管理体系认证证书</w:t>
            </w:r>
            <w:r>
              <w:rPr>
                <w:rFonts w:hint="eastAsia" w:ascii="宋体" w:hAnsi="宋体" w:eastAsia="宋体" w:cs="宋体"/>
                <w:color w:val="000000" w:themeColor="text1"/>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注：提供证书</w:t>
            </w:r>
            <w:r>
              <w:rPr>
                <w:rFonts w:hint="eastAsia" w:ascii="宋体" w:hAnsi="宋体" w:eastAsia="宋体" w:cs="宋体"/>
                <w:color w:val="000000" w:themeColor="text1"/>
                <w:sz w:val="21"/>
                <w:szCs w:val="21"/>
                <w:highlight w:val="none"/>
                <w:lang w:val="en-US" w:eastAsia="zh-CN"/>
              </w:rPr>
              <w:t>复印件</w:t>
            </w:r>
            <w:r>
              <w:rPr>
                <w:rFonts w:hint="eastAsia" w:ascii="宋体" w:hAnsi="宋体" w:eastAsia="宋体" w:cs="宋体"/>
                <w:color w:val="000000" w:themeColor="text1"/>
                <w:sz w:val="21"/>
                <w:szCs w:val="21"/>
                <w:highlight w:val="none"/>
              </w:rPr>
              <w:t>加盖投标人公章，不提供的不得分。</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同类项目业绩及评价</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18</w:t>
            </w:r>
            <w:r>
              <w:rPr>
                <w:rFonts w:hint="eastAsia" w:ascii="宋体" w:hAnsi="宋体" w:eastAsia="宋体" w:cs="宋体"/>
                <w:color w:val="000000" w:themeColor="text1"/>
                <w:sz w:val="21"/>
                <w:szCs w:val="21"/>
                <w:highlight w:val="none"/>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highlight w:val="none"/>
              </w:rPr>
              <w:t>投标人提供</w:t>
            </w:r>
            <w:r>
              <w:rPr>
                <w:rFonts w:hint="eastAsia" w:ascii="宋体" w:hAnsi="宋体" w:eastAsia="宋体" w:cs="宋体"/>
                <w:color w:val="000000" w:themeColor="text1"/>
                <w:highlight w:val="none"/>
                <w:lang w:val="en-US" w:eastAsia="zh-CN"/>
              </w:rPr>
              <w:t>近三年</w:t>
            </w:r>
            <w:r>
              <w:rPr>
                <w:rFonts w:hint="eastAsia" w:ascii="宋体" w:hAnsi="宋体" w:eastAsia="宋体" w:cs="宋体"/>
                <w:color w:val="000000" w:themeColor="text1"/>
                <w:highlight w:val="none"/>
              </w:rPr>
              <w:t>（以合同签订时间为准）的同类项目业绩，每个得</w:t>
            </w:r>
            <w:r>
              <w:rPr>
                <w:rFonts w:hint="eastAsia" w:ascii="宋体" w:hAnsi="宋体" w:eastAsia="宋体" w:cs="宋体"/>
                <w:color w:val="000000" w:themeColor="text1"/>
                <w:highlight w:val="none"/>
                <w:lang w:val="en-US" w:eastAsia="zh-CN"/>
              </w:rPr>
              <w:t>4</w:t>
            </w:r>
            <w:r>
              <w:rPr>
                <w:rFonts w:hint="eastAsia" w:ascii="宋体" w:hAnsi="宋体" w:eastAsia="宋体" w:cs="宋体"/>
                <w:color w:val="000000" w:themeColor="text1"/>
                <w:highlight w:val="none"/>
              </w:rPr>
              <w:t>分，最高得</w:t>
            </w:r>
            <w:r>
              <w:rPr>
                <w:rFonts w:hint="eastAsia" w:ascii="宋体" w:hAnsi="宋体" w:eastAsia="宋体" w:cs="宋体"/>
                <w:color w:val="000000" w:themeColor="text1"/>
                <w:highlight w:val="none"/>
                <w:lang w:val="en-US" w:eastAsia="zh-CN"/>
              </w:rPr>
              <w:t>12</w:t>
            </w:r>
            <w:r>
              <w:rPr>
                <w:rFonts w:hint="eastAsia" w:ascii="宋体" w:hAnsi="宋体" w:eastAsia="宋体" w:cs="宋体"/>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highlight w:val="none"/>
              </w:rPr>
              <w:t>注：提供项目的合同关键页复印件加盖投标人公章，不提供不得分。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2.提供上述</w:t>
            </w:r>
            <w:r>
              <w:rPr>
                <w:rFonts w:hint="eastAsia" w:ascii="宋体" w:hAnsi="宋体" w:eastAsia="宋体" w:cs="宋体"/>
                <w:color w:val="000000" w:themeColor="text1"/>
                <w:highlight w:val="none"/>
              </w:rPr>
              <w:t>同类</w:t>
            </w:r>
            <w:r>
              <w:rPr>
                <w:rFonts w:hint="eastAsia" w:ascii="宋体" w:hAnsi="宋体" w:eastAsia="宋体" w:cs="宋体"/>
                <w:color w:val="000000" w:themeColor="text1"/>
                <w:sz w:val="21"/>
                <w:szCs w:val="21"/>
                <w:highlight w:val="none"/>
                <w:lang w:val="en-US" w:eastAsia="zh-CN"/>
              </w:rPr>
              <w:t>项目的</w:t>
            </w:r>
            <w:r>
              <w:rPr>
                <w:rFonts w:hint="eastAsia" w:ascii="宋体" w:hAnsi="宋体" w:eastAsia="宋体" w:cs="宋体"/>
                <w:color w:val="000000" w:themeColor="text1"/>
                <w:sz w:val="21"/>
                <w:szCs w:val="21"/>
                <w:highlight w:val="none"/>
              </w:rPr>
              <w:t>服务单位好评（即“满意或好评”等正面评价），每提供一份有效的证明材料，得</w:t>
            </w: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highlight w:val="none"/>
              </w:rPr>
              <w:t>最高得</w:t>
            </w:r>
            <w:r>
              <w:rPr>
                <w:rFonts w:hint="eastAsia" w:ascii="宋体" w:hAnsi="宋体" w:eastAsia="宋体" w:cs="宋体"/>
                <w:color w:val="000000" w:themeColor="text1"/>
                <w:highlight w:val="none"/>
                <w:lang w:val="en-US" w:eastAsia="zh-CN"/>
              </w:rPr>
              <w:t>6</w:t>
            </w:r>
            <w:r>
              <w:rPr>
                <w:rFonts w:hint="eastAsia" w:ascii="宋体" w:hAnsi="宋体" w:eastAsia="宋体" w:cs="宋体"/>
                <w:color w:val="000000" w:themeColor="text1"/>
                <w:highlight w:val="none"/>
              </w:rPr>
              <w:t>分</w:t>
            </w:r>
            <w:r>
              <w:rPr>
                <w:rFonts w:hint="eastAsia" w:ascii="宋体" w:hAnsi="宋体" w:eastAsia="宋体" w:cs="宋体"/>
                <w:color w:val="000000" w:themeColor="text1"/>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 ①同一客户或同一项目提供多份用户满意度评价的，按一份计算；②提供经服务单位盖章确认的满意度评价证明材料</w:t>
            </w:r>
            <w:r>
              <w:rPr>
                <w:rFonts w:hint="eastAsia" w:ascii="宋体" w:hAnsi="宋体" w:eastAsia="宋体" w:cs="宋体"/>
                <w:color w:val="000000" w:themeColor="text1"/>
                <w:sz w:val="21"/>
                <w:szCs w:val="21"/>
                <w:highlight w:val="none"/>
                <w:lang w:val="en-US" w:eastAsia="zh-CN"/>
              </w:rPr>
              <w:t>复印件</w:t>
            </w:r>
            <w:r>
              <w:rPr>
                <w:rFonts w:hint="eastAsia" w:ascii="宋体" w:hAnsi="宋体" w:eastAsia="宋体" w:cs="宋体"/>
                <w:color w:val="000000" w:themeColor="text1"/>
                <w:sz w:val="21"/>
                <w:szCs w:val="21"/>
                <w:highlight w:val="none"/>
              </w:rPr>
              <w:t>加盖投标人公章，</w:t>
            </w:r>
            <w:r>
              <w:rPr>
                <w:rFonts w:hint="eastAsia" w:ascii="宋体" w:hAnsi="宋体" w:eastAsia="宋体" w:cs="宋体"/>
                <w:color w:val="000000" w:themeColor="text1"/>
                <w:highlight w:val="none"/>
              </w:rPr>
              <w:t>不提供不得分</w:t>
            </w:r>
            <w:r>
              <w:rPr>
                <w:rFonts w:hint="eastAsia" w:ascii="宋体" w:hAnsi="宋体" w:eastAsia="宋体" w:cs="宋体"/>
                <w:color w:val="000000" w:themeColor="text1"/>
                <w:sz w:val="21"/>
                <w:szCs w:val="21"/>
                <w:highlight w:val="none"/>
              </w:rPr>
              <w:t>。</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食品安全责任险保障</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投标人能提供食品安全责任险保障：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壹仟</w:t>
            </w:r>
            <w:r>
              <w:rPr>
                <w:rFonts w:hint="eastAsia" w:ascii="宋体" w:hAnsi="宋体" w:eastAsia="宋体" w:cs="宋体"/>
                <w:color w:val="000000" w:themeColor="text1"/>
                <w:sz w:val="21"/>
                <w:szCs w:val="21"/>
                <w:highlight w:val="none"/>
              </w:rPr>
              <w:t>万元或以上，得</w:t>
            </w:r>
            <w:r>
              <w:rPr>
                <w:rFonts w:hint="eastAsia" w:ascii="宋体" w:hAnsi="宋体" w:eastAsia="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伍</w:t>
            </w:r>
            <w:r>
              <w:rPr>
                <w:rFonts w:hint="eastAsia" w:ascii="宋体" w:hAnsi="宋体" w:eastAsia="宋体" w:cs="宋体"/>
                <w:color w:val="000000" w:themeColor="text1"/>
                <w:sz w:val="21"/>
                <w:szCs w:val="21"/>
                <w:highlight w:val="none"/>
              </w:rPr>
              <w:t>佰万元（含）-</w:t>
            </w:r>
            <w:r>
              <w:rPr>
                <w:rFonts w:hint="eastAsia" w:ascii="宋体" w:hAnsi="宋体" w:eastAsia="宋体" w:cs="宋体"/>
                <w:color w:val="000000" w:themeColor="text1"/>
                <w:sz w:val="21"/>
                <w:szCs w:val="21"/>
                <w:highlight w:val="none"/>
                <w:lang w:val="en-US" w:eastAsia="zh-CN"/>
              </w:rPr>
              <w:t>壹仟</w:t>
            </w:r>
            <w:r>
              <w:rPr>
                <w:rFonts w:hint="eastAsia" w:ascii="宋体" w:hAnsi="宋体" w:eastAsia="宋体" w:cs="宋体"/>
                <w:color w:val="000000" w:themeColor="text1"/>
                <w:sz w:val="21"/>
                <w:szCs w:val="21"/>
                <w:highlight w:val="none"/>
              </w:rPr>
              <w:t>万元（不含），得</w:t>
            </w:r>
            <w:r>
              <w:rPr>
                <w:rFonts w:hint="eastAsia" w:ascii="宋体" w:hAnsi="宋体" w:eastAsia="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伍</w:t>
            </w:r>
            <w:r>
              <w:rPr>
                <w:rFonts w:hint="eastAsia" w:ascii="宋体" w:hAnsi="宋体" w:eastAsia="宋体" w:cs="宋体"/>
                <w:color w:val="000000" w:themeColor="text1"/>
                <w:sz w:val="21"/>
                <w:szCs w:val="21"/>
                <w:highlight w:val="none"/>
              </w:rPr>
              <w:t>佰万元（不含）以下</w:t>
            </w:r>
            <w:r>
              <w:rPr>
                <w:rFonts w:hint="eastAsia" w:ascii="宋体" w:hAnsi="宋体" w:eastAsia="宋体" w:cs="宋体"/>
                <w:color w:val="000000" w:themeColor="text1"/>
                <w:sz w:val="21"/>
                <w:szCs w:val="21"/>
                <w:highlight w:val="none"/>
                <w:lang w:val="en-US" w:eastAsia="zh-CN"/>
              </w:rPr>
              <w:t>得2分</w:t>
            </w:r>
            <w:r>
              <w:rPr>
                <w:rFonts w:hint="eastAsia" w:ascii="宋体" w:hAnsi="宋体" w:eastAsia="宋体" w:cs="宋体"/>
                <w:color w:val="000000" w:themeColor="text1"/>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eastAsia="宋体"/>
                <w:color w:val="000000" w:themeColor="text1"/>
                <w:highlight w:val="none"/>
                <w:lang w:val="en-US" w:eastAsia="zh-CN"/>
              </w:rPr>
            </w:pPr>
            <w:r>
              <w:rPr>
                <w:rFonts w:hint="eastAsia" w:ascii="宋体" w:hAnsi="宋体" w:eastAsia="宋体" w:cs="宋体"/>
                <w:color w:val="000000" w:themeColor="text1"/>
                <w:sz w:val="21"/>
                <w:szCs w:val="21"/>
                <w:highlight w:val="none"/>
                <w:lang w:val="en-US" w:eastAsia="zh-CN"/>
              </w:rPr>
              <w:t>其他不得分。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注：提供有效保单复印件加盖投标人公章，不提供不得分。</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4</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拟投入项目团队人员</w:t>
            </w:r>
            <w:r>
              <w:rPr>
                <w:rFonts w:hint="eastAsia" w:ascii="宋体" w:hAnsi="宋体" w:eastAsia="宋体" w:cs="宋体"/>
                <w:color w:val="000000" w:themeColor="text1"/>
                <w:sz w:val="21"/>
                <w:szCs w:val="21"/>
                <w:highlight w:val="none"/>
                <w:lang w:val="en-US" w:eastAsia="zh-CN"/>
              </w:rPr>
              <w:t>情况</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sz w:val="21"/>
                <w:szCs w:val="21"/>
                <w:highlight w:val="none"/>
              </w:rPr>
              <w:t>投标人</w:t>
            </w:r>
            <w:r>
              <w:rPr>
                <w:rFonts w:hint="eastAsia" w:ascii="宋体" w:hAnsi="宋体" w:eastAsia="宋体" w:cs="宋体"/>
                <w:color w:val="000000" w:themeColor="text1"/>
                <w:sz w:val="21"/>
                <w:szCs w:val="21"/>
                <w:highlight w:val="none"/>
                <w:lang w:val="en-US" w:eastAsia="zh-CN"/>
              </w:rPr>
              <w:t>具有</w:t>
            </w:r>
            <w:r>
              <w:rPr>
                <w:rFonts w:hint="eastAsia" w:ascii="宋体" w:hAnsi="宋体" w:eastAsia="宋体" w:cs="宋体"/>
                <w:color w:val="000000" w:themeColor="text1"/>
                <w:sz w:val="21"/>
                <w:szCs w:val="21"/>
                <w:highlight w:val="none"/>
              </w:rPr>
              <w:t>专门的</w:t>
            </w:r>
            <w:r>
              <w:rPr>
                <w:rFonts w:hint="eastAsia" w:ascii="宋体" w:hAnsi="宋体" w:eastAsia="宋体" w:cs="宋体"/>
                <w:color w:val="000000" w:themeColor="text1"/>
                <w:sz w:val="21"/>
                <w:szCs w:val="21"/>
                <w:highlight w:val="none"/>
                <w:lang w:val="en-US" w:eastAsia="zh-CN"/>
              </w:rPr>
              <w:t>食品安全管理人员</w:t>
            </w:r>
            <w:r>
              <w:rPr>
                <w:rFonts w:hint="eastAsia" w:ascii="宋体" w:hAnsi="宋体" w:eastAsia="宋体" w:cs="宋体"/>
                <w:color w:val="000000" w:themeColor="text1"/>
                <w:highlight w:val="none"/>
              </w:rPr>
              <w:t>，每</w:t>
            </w:r>
            <w:r>
              <w:rPr>
                <w:rFonts w:hint="eastAsia" w:ascii="宋体" w:hAnsi="宋体" w:eastAsia="宋体" w:cs="宋体"/>
                <w:color w:val="000000" w:themeColor="text1"/>
                <w:highlight w:val="none"/>
                <w:lang w:val="en-US" w:eastAsia="zh-CN"/>
              </w:rPr>
              <w:t>人得5</w:t>
            </w:r>
            <w:r>
              <w:rPr>
                <w:rFonts w:hint="eastAsia" w:ascii="宋体" w:hAnsi="宋体" w:eastAsia="宋体" w:cs="宋体"/>
                <w:color w:val="000000" w:themeColor="text1"/>
                <w:highlight w:val="none"/>
              </w:rPr>
              <w:t>分，最高得</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rPr>
              <w:t>分</w:t>
            </w:r>
            <w:r>
              <w:rPr>
                <w:rFonts w:hint="eastAsia" w:ascii="宋体" w:hAnsi="宋体" w:eastAsia="宋体" w:cs="宋体"/>
                <w:color w:val="000000" w:themeColor="text1"/>
                <w:highlight w:val="none"/>
                <w:lang w:eastAsia="zh-CN"/>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w:t>
            </w:r>
            <w:r>
              <w:rPr>
                <w:rFonts w:hint="eastAsia" w:ascii="宋体" w:hAnsi="宋体" w:eastAsia="宋体" w:cs="宋体"/>
                <w:color w:val="000000" w:themeColor="text1"/>
                <w:sz w:val="21"/>
                <w:szCs w:val="21"/>
                <w:highlight w:val="none"/>
                <w:lang w:val="en-US" w:eastAsia="zh-CN"/>
              </w:rPr>
              <w:t>配备人员</w:t>
            </w:r>
            <w:r>
              <w:rPr>
                <w:rFonts w:hint="eastAsia" w:ascii="宋体" w:hAnsi="宋体" w:eastAsia="宋体" w:cs="宋体"/>
                <w:color w:val="000000" w:themeColor="text1"/>
                <w:sz w:val="21"/>
                <w:szCs w:val="21"/>
                <w:highlight w:val="none"/>
              </w:rPr>
              <w:t>需</w:t>
            </w:r>
            <w:r>
              <w:rPr>
                <w:rFonts w:hint="eastAsia" w:ascii="宋体" w:hAnsi="宋体" w:eastAsia="宋体" w:cs="宋体"/>
                <w:color w:val="000000" w:themeColor="text1"/>
                <w:sz w:val="21"/>
                <w:szCs w:val="21"/>
                <w:highlight w:val="none"/>
                <w:lang w:val="en-US" w:eastAsia="zh-CN"/>
              </w:rPr>
              <w:t>提供广东省食品安全管理人员考试合格证明证书复印件加盖投标人公章</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highlight w:val="none"/>
              </w:rPr>
              <w:t>不提供不得分</w:t>
            </w:r>
            <w:r>
              <w:rPr>
                <w:rFonts w:hint="eastAsia" w:ascii="宋体" w:hAnsi="宋体" w:eastAsia="宋体" w:cs="宋体"/>
                <w:color w:val="000000" w:themeColor="text1"/>
                <w:sz w:val="21"/>
                <w:szCs w:val="21"/>
                <w:highlight w:val="none"/>
              </w:rPr>
              <w:t>。</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5</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配送能力</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9分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投标人针对本项目投入的配送车辆，每配备1台配送车辆的得</w:t>
            </w:r>
            <w:r>
              <w:rPr>
                <w:rFonts w:hint="eastAsia" w:ascii="宋体" w:hAnsi="宋体" w:eastAsia="宋体" w:cs="宋体"/>
                <w:color w:val="000000" w:themeColor="text1"/>
                <w:sz w:val="21"/>
                <w:szCs w:val="21"/>
                <w:highlight w:val="none"/>
                <w:lang w:val="en-US" w:eastAsia="zh-CN"/>
              </w:rPr>
              <w:t>3分，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本项</w:t>
            </w:r>
            <w:r>
              <w:rPr>
                <w:rFonts w:hint="eastAsia" w:ascii="宋体" w:hAnsi="宋体" w:eastAsia="宋体" w:cs="宋体"/>
                <w:color w:val="000000" w:themeColor="text1"/>
                <w:sz w:val="21"/>
                <w:szCs w:val="21"/>
                <w:highlight w:val="none"/>
              </w:rPr>
              <w:t>最高得</w:t>
            </w:r>
            <w:r>
              <w:rPr>
                <w:rFonts w:hint="eastAsia" w:ascii="宋体" w:hAnsi="宋体" w:eastAsia="宋体" w:cs="宋体"/>
                <w:color w:val="000000" w:themeColor="text1"/>
                <w:sz w:val="21"/>
                <w:szCs w:val="21"/>
                <w:highlight w:val="none"/>
                <w:lang w:val="en-US" w:eastAsia="zh-CN"/>
              </w:rPr>
              <w:t>9</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注：投标人自有</w:t>
            </w:r>
            <w:r>
              <w:rPr>
                <w:rFonts w:hint="eastAsia" w:ascii="宋体" w:hAnsi="宋体" w:eastAsia="宋体" w:cs="宋体"/>
                <w:color w:val="000000" w:themeColor="text1"/>
                <w:sz w:val="21"/>
                <w:szCs w:val="21"/>
                <w:highlight w:val="none"/>
                <w:lang w:val="en-US" w:eastAsia="zh-CN"/>
              </w:rPr>
              <w:t>车辆的</w:t>
            </w:r>
            <w:r>
              <w:rPr>
                <w:rFonts w:hint="eastAsia" w:ascii="宋体" w:hAnsi="宋体" w:eastAsia="宋体" w:cs="宋体"/>
                <w:color w:val="000000" w:themeColor="text1"/>
                <w:sz w:val="21"/>
                <w:szCs w:val="21"/>
                <w:highlight w:val="none"/>
              </w:rPr>
              <w:t>，需提供购车发票</w:t>
            </w:r>
            <w:r>
              <w:rPr>
                <w:rFonts w:hint="eastAsia" w:ascii="宋体" w:hAnsi="宋体" w:eastAsia="宋体" w:cs="宋体"/>
                <w:color w:val="000000" w:themeColor="text1"/>
                <w:sz w:val="21"/>
                <w:szCs w:val="21"/>
                <w:highlight w:val="none"/>
                <w:lang w:val="en-US" w:eastAsia="zh-CN"/>
              </w:rPr>
              <w:t>复印件或</w:t>
            </w:r>
            <w:r>
              <w:rPr>
                <w:rFonts w:hint="eastAsia" w:ascii="宋体" w:hAnsi="宋体" w:eastAsia="宋体" w:cs="宋体"/>
                <w:color w:val="000000" w:themeColor="text1"/>
                <w:sz w:val="21"/>
                <w:szCs w:val="21"/>
                <w:highlight w:val="none"/>
              </w:rPr>
              <w:t>有效的《机动车行驶证》</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车辆照片加盖投标人公章；</w:t>
            </w:r>
            <w:r>
              <w:rPr>
                <w:rFonts w:hint="eastAsia" w:ascii="宋体" w:hAnsi="宋体" w:eastAsia="宋体" w:cs="宋体"/>
                <w:color w:val="000000" w:themeColor="text1"/>
                <w:sz w:val="21"/>
                <w:szCs w:val="21"/>
                <w:highlight w:val="none"/>
                <w:lang w:val="en-US" w:eastAsia="zh-CN"/>
              </w:rPr>
              <w:t>投标人租赁车辆的</w:t>
            </w:r>
            <w:r>
              <w:rPr>
                <w:rFonts w:hint="eastAsia" w:ascii="宋体" w:hAnsi="宋体" w:eastAsia="宋体" w:cs="宋体"/>
                <w:color w:val="000000" w:themeColor="text1"/>
                <w:sz w:val="21"/>
                <w:szCs w:val="21"/>
                <w:highlight w:val="none"/>
              </w:rPr>
              <w:t>，需提供</w:t>
            </w:r>
            <w:r>
              <w:rPr>
                <w:rFonts w:hint="eastAsia" w:ascii="宋体" w:hAnsi="宋体" w:eastAsia="宋体" w:cs="宋体"/>
                <w:color w:val="000000" w:themeColor="text1"/>
                <w:sz w:val="21"/>
                <w:szCs w:val="21"/>
                <w:highlight w:val="none"/>
                <w:lang w:val="en-US" w:eastAsia="zh-CN"/>
              </w:rPr>
              <w:t>以投标人或法定代表人签署的</w:t>
            </w:r>
            <w:r>
              <w:rPr>
                <w:rFonts w:hint="eastAsia" w:ascii="宋体" w:hAnsi="宋体" w:eastAsia="宋体" w:cs="宋体"/>
                <w:color w:val="000000" w:themeColor="text1"/>
                <w:sz w:val="21"/>
                <w:szCs w:val="21"/>
                <w:highlight w:val="none"/>
              </w:rPr>
              <w:t>车辆租赁合同</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有效的《机动车行驶证》</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车辆照片加盖投标人公章。不提供不得分。</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6</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投标人自有或租赁的冷冻/冷藏库情况</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4分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投标人具有</w:t>
            </w:r>
            <w:r>
              <w:rPr>
                <w:rFonts w:hint="eastAsia" w:ascii="宋体" w:hAnsi="宋体" w:eastAsia="宋体" w:cs="宋体"/>
                <w:color w:val="000000" w:themeColor="text1"/>
                <w:sz w:val="21"/>
                <w:szCs w:val="21"/>
                <w:highlight w:val="none"/>
              </w:rPr>
              <w:t>冷冻/冷藏库</w:t>
            </w:r>
            <w:r>
              <w:rPr>
                <w:rFonts w:hint="eastAsia" w:ascii="宋体" w:hAnsi="宋体" w:eastAsia="宋体" w:cs="宋体"/>
                <w:color w:val="000000" w:themeColor="text1"/>
                <w:sz w:val="21"/>
                <w:szCs w:val="21"/>
                <w:highlight w:val="none"/>
                <w:lang w:val="en-US" w:eastAsia="zh-CN"/>
              </w:rPr>
              <w:t>的</w:t>
            </w:r>
            <w:r>
              <w:rPr>
                <w:rFonts w:hint="eastAsia" w:ascii="宋体" w:hAnsi="宋体" w:eastAsia="宋体" w:cs="宋体"/>
                <w:color w:val="000000" w:themeColor="text1"/>
                <w:sz w:val="21"/>
                <w:szCs w:val="21"/>
                <w:highlight w:val="none"/>
              </w:rPr>
              <w:t>，得</w:t>
            </w:r>
            <w:r>
              <w:rPr>
                <w:rFonts w:hint="eastAsia" w:ascii="宋体" w:hAnsi="宋体" w:eastAsia="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w:t>
            </w:r>
            <w:r>
              <w:rPr>
                <w:rFonts w:hint="eastAsia" w:ascii="宋体" w:hAnsi="宋体" w:eastAsia="宋体" w:cs="宋体"/>
                <w:color w:val="000000" w:themeColor="text1"/>
                <w:sz w:val="21"/>
                <w:szCs w:val="21"/>
                <w:highlight w:val="none"/>
                <w:lang w:val="en-US" w:eastAsia="zh-CN"/>
              </w:rPr>
              <w:t>投标人或法定代表人</w:t>
            </w:r>
            <w:r>
              <w:rPr>
                <w:rFonts w:hint="eastAsia" w:ascii="宋体" w:hAnsi="宋体" w:eastAsia="宋体" w:cs="宋体"/>
                <w:color w:val="000000" w:themeColor="text1"/>
                <w:sz w:val="21"/>
                <w:szCs w:val="21"/>
                <w:highlight w:val="none"/>
              </w:rPr>
              <w:t>的产权证明或以</w:t>
            </w:r>
            <w:r>
              <w:rPr>
                <w:rFonts w:hint="eastAsia" w:ascii="宋体" w:hAnsi="宋体" w:eastAsia="宋体" w:cs="宋体"/>
                <w:color w:val="000000" w:themeColor="text1"/>
                <w:sz w:val="21"/>
                <w:szCs w:val="21"/>
                <w:highlight w:val="none"/>
                <w:lang w:val="en-US" w:eastAsia="zh-CN"/>
              </w:rPr>
              <w:t>投标人或法定代表人签署</w:t>
            </w:r>
            <w:r>
              <w:rPr>
                <w:rFonts w:hint="eastAsia" w:ascii="宋体" w:hAnsi="宋体" w:eastAsia="宋体" w:cs="宋体"/>
                <w:color w:val="000000" w:themeColor="text1"/>
                <w:sz w:val="21"/>
                <w:szCs w:val="21"/>
                <w:highlight w:val="none"/>
              </w:rPr>
              <w:t>的租赁合同</w:t>
            </w:r>
            <w:r>
              <w:rPr>
                <w:rFonts w:hint="eastAsia" w:ascii="宋体" w:hAnsi="宋体" w:eastAsia="宋体" w:cs="宋体"/>
                <w:color w:val="000000" w:themeColor="text1"/>
                <w:sz w:val="21"/>
                <w:szCs w:val="21"/>
                <w:highlight w:val="none"/>
                <w:lang w:val="en-US" w:eastAsia="zh-CN"/>
              </w:rPr>
              <w:t>复印件</w:t>
            </w:r>
            <w:r>
              <w:rPr>
                <w:rFonts w:hint="eastAsia" w:ascii="宋体" w:hAnsi="宋体" w:eastAsia="宋体" w:cs="宋体"/>
                <w:color w:val="000000" w:themeColor="text1"/>
                <w:sz w:val="21"/>
                <w:szCs w:val="21"/>
                <w:highlight w:val="none"/>
              </w:rPr>
              <w:t>及冷冻/冷藏库照片并加盖投标人公章</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不提供不得分。</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7</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配送场地</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4分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投标人</w:t>
            </w:r>
            <w:r>
              <w:rPr>
                <w:rFonts w:hint="eastAsia" w:ascii="宋体" w:hAnsi="宋体" w:eastAsia="宋体" w:cs="宋体"/>
                <w:color w:val="000000" w:themeColor="text1"/>
                <w:sz w:val="21"/>
                <w:szCs w:val="21"/>
                <w:highlight w:val="none"/>
                <w:lang w:val="en-US" w:eastAsia="zh-CN"/>
              </w:rPr>
              <w:t>具有</w:t>
            </w:r>
            <w:r>
              <w:rPr>
                <w:rFonts w:hint="eastAsia" w:ascii="宋体" w:hAnsi="宋体" w:eastAsia="宋体" w:cs="宋体"/>
                <w:color w:val="000000" w:themeColor="text1"/>
                <w:sz w:val="21"/>
                <w:szCs w:val="21"/>
                <w:highlight w:val="none"/>
              </w:rPr>
              <w:t xml:space="preserve">配送场地。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w:t>
            </w:r>
            <w:r>
              <w:rPr>
                <w:rFonts w:hint="eastAsia" w:ascii="宋体" w:hAnsi="宋体" w:eastAsia="宋体" w:cs="宋体"/>
                <w:color w:val="000000" w:themeColor="text1"/>
                <w:sz w:val="21"/>
                <w:szCs w:val="21"/>
                <w:highlight w:val="none"/>
                <w:lang w:val="en-US" w:eastAsia="zh-CN"/>
              </w:rPr>
              <w:t>投标人或法定代表人</w:t>
            </w:r>
            <w:r>
              <w:rPr>
                <w:rFonts w:hint="eastAsia" w:ascii="宋体" w:hAnsi="宋体" w:eastAsia="宋体" w:cs="宋体"/>
                <w:color w:val="000000" w:themeColor="text1"/>
                <w:sz w:val="21"/>
                <w:szCs w:val="21"/>
                <w:highlight w:val="none"/>
              </w:rPr>
              <w:t>的产权证明或以</w:t>
            </w:r>
            <w:r>
              <w:rPr>
                <w:rFonts w:hint="eastAsia" w:ascii="宋体" w:hAnsi="宋体" w:eastAsia="宋体" w:cs="宋体"/>
                <w:color w:val="000000" w:themeColor="text1"/>
                <w:sz w:val="21"/>
                <w:szCs w:val="21"/>
                <w:highlight w:val="none"/>
                <w:lang w:val="en-US" w:eastAsia="zh-CN"/>
              </w:rPr>
              <w:t>投标人或法定代表人签署</w:t>
            </w:r>
            <w:r>
              <w:rPr>
                <w:rFonts w:hint="eastAsia" w:ascii="宋体" w:hAnsi="宋体" w:eastAsia="宋体" w:cs="宋体"/>
                <w:color w:val="000000" w:themeColor="text1"/>
                <w:sz w:val="21"/>
                <w:szCs w:val="21"/>
                <w:highlight w:val="none"/>
              </w:rPr>
              <w:t>的租赁合同</w:t>
            </w:r>
            <w:r>
              <w:rPr>
                <w:rFonts w:hint="eastAsia" w:ascii="宋体" w:hAnsi="宋体" w:eastAsia="宋体" w:cs="宋体"/>
                <w:color w:val="000000" w:themeColor="text1"/>
                <w:sz w:val="21"/>
                <w:szCs w:val="21"/>
                <w:highlight w:val="none"/>
                <w:lang w:val="en-US" w:eastAsia="zh-CN"/>
              </w:rPr>
              <w:t>复印件</w:t>
            </w:r>
            <w:r>
              <w:rPr>
                <w:rFonts w:hint="eastAsia" w:ascii="宋体" w:hAnsi="宋体" w:eastAsia="宋体" w:cs="宋体"/>
                <w:color w:val="000000" w:themeColor="text1"/>
                <w:sz w:val="21"/>
                <w:szCs w:val="21"/>
                <w:highlight w:val="none"/>
              </w:rPr>
              <w:t>及配送场地照片并加盖投标人公章</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不提供不得分。</w:t>
            </w:r>
          </w:p>
        </w:tc>
      </w:tr>
      <w:tr>
        <w:tblPrEx>
          <w:tblCellMar>
            <w:top w:w="0" w:type="dxa"/>
            <w:left w:w="0" w:type="dxa"/>
            <w:bottom w:w="0" w:type="dxa"/>
            <w:right w:w="0" w:type="dxa"/>
          </w:tblCellMar>
        </w:tblPrEx>
        <w:trPr>
          <w:cantSplit/>
          <w:trHeight w:val="429" w:hRule="atLeast"/>
          <w:jc w:val="center"/>
        </w:trPr>
        <w:tc>
          <w:tcPr>
            <w:tcW w:w="2277"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60</w:t>
            </w:r>
            <w:r>
              <w:rPr>
                <w:rFonts w:hint="eastAsia" w:ascii="宋体" w:hAnsi="宋体" w:eastAsia="宋体" w:cs="宋体"/>
                <w:color w:val="000000" w:themeColor="text1"/>
                <w:sz w:val="21"/>
                <w:szCs w:val="21"/>
                <w:highlight w:val="none"/>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p>
        </w:tc>
      </w:tr>
    </w:tbl>
    <w:p>
      <w:pPr>
        <w:rPr>
          <w:rFonts w:ascii="宋体"/>
          <w:color w:val="000000" w:themeColor="text1"/>
          <w:szCs w:val="21"/>
          <w:highlight w:val="none"/>
        </w:rPr>
      </w:pPr>
      <w:r>
        <w:rPr>
          <w:rFonts w:hint="eastAsia"/>
          <w:color w:val="000000" w:themeColor="text1"/>
          <w:highlight w:val="none"/>
        </w:rPr>
        <w:t>注：对照每项评价指标要求，投标文件完全不满足要求的，不得分。</w:t>
      </w:r>
    </w:p>
    <w:p>
      <w:pPr>
        <w:pStyle w:val="2"/>
        <w:rPr>
          <w:rFonts w:hint="eastAsia" w:ascii="宋体"/>
          <w:color w:val="000000" w:themeColor="text1"/>
          <w:szCs w:val="21"/>
          <w:highlight w:val="none"/>
          <w:lang w:val="en-US" w:eastAsia="zh-CN"/>
        </w:rPr>
      </w:pPr>
    </w:p>
    <w:p>
      <w:pPr>
        <w:widowControl/>
        <w:tabs>
          <w:tab w:val="left" w:pos="502"/>
        </w:tabs>
        <w:adjustRightInd w:val="0"/>
        <w:snapToGrid w:val="0"/>
        <w:spacing w:line="360" w:lineRule="auto"/>
        <w:rPr>
          <w:rFonts w:hint="eastAsia" w:ascii="宋体" w:hAnsi="宋体" w:cs="Tahoma"/>
          <w:b/>
          <w:bCs/>
          <w:color w:val="000000" w:themeColor="text1"/>
          <w:highlight w:val="none"/>
          <w:lang w:val="en-US" w:eastAsia="zh-CN"/>
        </w:rPr>
      </w:pPr>
      <w:r>
        <w:rPr>
          <w:rFonts w:hint="eastAsia" w:ascii="宋体" w:hAnsi="宋体" w:cs="Tahoma"/>
          <w:b/>
          <w:bCs/>
          <w:color w:val="000000" w:themeColor="text1"/>
          <w:highlight w:val="none"/>
          <w:lang w:val="en-US" w:eastAsia="zh-CN"/>
        </w:rPr>
        <w:t>03包组：包子、馒头、蛋糕等各种糕点</w:t>
      </w:r>
    </w:p>
    <w:p>
      <w:pPr>
        <w:rPr>
          <w:color w:val="000000" w:themeColor="text1"/>
          <w:highlight w:val="none"/>
        </w:rPr>
      </w:pPr>
      <w:r>
        <w:rPr>
          <w:rFonts w:hint="eastAsia"/>
          <w:color w:val="000000" w:themeColor="text1"/>
          <w:highlight w:val="none"/>
        </w:rPr>
        <w:t>评价指标及权重：</w:t>
      </w:r>
    </w:p>
    <w:p>
      <w:pPr>
        <w:rPr>
          <w:color w:val="000000" w:themeColor="text1"/>
          <w:highlight w:val="none"/>
        </w:rPr>
      </w:pPr>
    </w:p>
    <w:tbl>
      <w:tblPr>
        <w:tblStyle w:val="46"/>
        <w:tblW w:w="8874" w:type="dxa"/>
        <w:jc w:val="center"/>
        <w:tblLayout w:type="fixed"/>
        <w:tblCellMar>
          <w:top w:w="0" w:type="dxa"/>
          <w:left w:w="0" w:type="dxa"/>
          <w:bottom w:w="0" w:type="dxa"/>
          <w:right w:w="0" w:type="dxa"/>
        </w:tblCellMar>
      </w:tblPr>
      <w:tblGrid>
        <w:gridCol w:w="2570"/>
        <w:gridCol w:w="2392"/>
        <w:gridCol w:w="2007"/>
        <w:gridCol w:w="1905"/>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color w:val="000000" w:themeColor="text1"/>
                <w:kern w:val="0"/>
                <w:sz w:val="21"/>
                <w:szCs w:val="21"/>
                <w:highlight w:val="none"/>
              </w:rPr>
              <w:t>评分项目</w:t>
            </w:r>
          </w:p>
        </w:tc>
        <w:tc>
          <w:tcPr>
            <w:tcW w:w="23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20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color w:val="000000" w:themeColor="text1"/>
                <w:kern w:val="0"/>
                <w:sz w:val="21"/>
                <w:szCs w:val="21"/>
                <w:highlight w:val="none"/>
              </w:rPr>
              <w:t>分值</w:t>
            </w:r>
          </w:p>
        </w:tc>
        <w:tc>
          <w:tcPr>
            <w:tcW w:w="23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40</w:t>
            </w:r>
            <w:r>
              <w:rPr>
                <w:rFonts w:hint="eastAsia" w:ascii="宋体" w:hAnsi="宋体" w:eastAsia="宋体" w:cs="宋体"/>
                <w:color w:val="000000" w:themeColor="text1"/>
                <w:kern w:val="0"/>
                <w:sz w:val="21"/>
                <w:szCs w:val="21"/>
                <w:highlight w:val="none"/>
              </w:rPr>
              <w:t>分</w:t>
            </w:r>
          </w:p>
        </w:tc>
        <w:tc>
          <w:tcPr>
            <w:tcW w:w="20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50</w:t>
            </w:r>
            <w:r>
              <w:rPr>
                <w:rFonts w:hint="eastAsia" w:ascii="宋体" w:hAnsi="宋体" w:eastAsia="宋体" w:cs="宋体"/>
                <w:color w:val="000000" w:themeColor="text1"/>
                <w:kern w:val="0"/>
                <w:sz w:val="21"/>
                <w:szCs w:val="21"/>
                <w:highlight w:val="none"/>
              </w:rPr>
              <w:t>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10</w:t>
            </w:r>
            <w:r>
              <w:rPr>
                <w:rFonts w:hint="eastAsia" w:ascii="宋体" w:hAnsi="宋体" w:eastAsia="宋体" w:cs="宋体"/>
                <w:color w:val="000000" w:themeColor="text1"/>
                <w:kern w:val="0"/>
                <w:sz w:val="21"/>
                <w:szCs w:val="21"/>
                <w:highlight w:val="none"/>
              </w:rPr>
              <w:t>分</w:t>
            </w:r>
          </w:p>
        </w:tc>
      </w:tr>
    </w:tbl>
    <w:p>
      <w:pPr>
        <w:rPr>
          <w:color w:val="000000" w:themeColor="text1"/>
          <w:highlight w:val="none"/>
        </w:rPr>
      </w:pPr>
    </w:p>
    <w:p>
      <w:pPr>
        <w:rPr>
          <w:color w:val="000000" w:themeColor="text1"/>
          <w:highlight w:val="none"/>
        </w:rPr>
      </w:pPr>
      <w:r>
        <w:rPr>
          <w:rFonts w:hint="eastAsia"/>
          <w:color w:val="000000" w:themeColor="text1"/>
          <w:highlight w:val="none"/>
        </w:rPr>
        <w:t>技术评分细则：</w:t>
      </w:r>
    </w:p>
    <w:tbl>
      <w:tblPr>
        <w:tblStyle w:val="46"/>
        <w:tblW w:w="9517" w:type="dxa"/>
        <w:tblInd w:w="108" w:type="dxa"/>
        <w:shd w:val="clear" w:color="auto" w:fill="FFFFFF"/>
        <w:tblLayout w:type="fixed"/>
        <w:tblCellMar>
          <w:top w:w="0" w:type="dxa"/>
          <w:left w:w="0" w:type="dxa"/>
          <w:bottom w:w="0" w:type="dxa"/>
          <w:right w:w="0" w:type="dxa"/>
        </w:tblCellMar>
      </w:tblPr>
      <w:tblGrid>
        <w:gridCol w:w="729"/>
        <w:gridCol w:w="1475"/>
        <w:gridCol w:w="726"/>
        <w:gridCol w:w="6587"/>
      </w:tblGrid>
      <w:tr>
        <w:tblPrEx>
          <w:shd w:val="clear" w:color="auto" w:fill="FFFFFF"/>
          <w:tblCellMar>
            <w:top w:w="0" w:type="dxa"/>
            <w:left w:w="0" w:type="dxa"/>
            <w:bottom w:w="0" w:type="dxa"/>
            <w:right w:w="0" w:type="dxa"/>
          </w:tblCellMar>
        </w:tblPrEx>
        <w:trPr>
          <w:cantSplit/>
          <w:trHeight w:val="460" w:hRule="atLeast"/>
          <w:tblHead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tblPrEx>
          <w:shd w:val="clear" w:color="auto" w:fill="FFFFFF"/>
          <w:tblCellMar>
            <w:top w:w="0" w:type="dxa"/>
            <w:left w:w="0" w:type="dxa"/>
            <w:bottom w:w="0" w:type="dxa"/>
            <w:right w:w="0" w:type="dxa"/>
          </w:tblCellMar>
        </w:tblPrEx>
        <w:trPr>
          <w:cantSplit/>
          <w:trHeight w:val="2114" w:hRule="atLeast"/>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配送服务方案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对</w:t>
            </w:r>
            <w:r>
              <w:rPr>
                <w:rFonts w:hint="eastAsia" w:ascii="宋体" w:hAnsi="宋体" w:eastAsia="宋体" w:cs="宋体"/>
                <w:color w:val="000000" w:themeColor="text1"/>
                <w:highlight w:val="none"/>
              </w:rPr>
              <w:t xml:space="preserve">投标人配送方案、效率及响应时间进行评分：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1.配送方案及响应时间、效率优于采购需求，内容合理、完整，内容有针对性，得</w:t>
            </w:r>
            <w:r>
              <w:rPr>
                <w:rFonts w:hint="eastAsia" w:ascii="宋体" w:hAnsi="宋体" w:eastAsia="宋体" w:cs="宋体"/>
                <w:color w:val="000000" w:themeColor="text1"/>
                <w:highlight w:val="none"/>
                <w:lang w:val="en-US" w:eastAsia="zh-CN"/>
              </w:rPr>
              <w:t>1</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2.配送方案及响应时间、效率满足采购需求，内容较合理、较完整，内容有一定的针对性，得</w:t>
            </w:r>
            <w:r>
              <w:rPr>
                <w:rFonts w:hint="eastAsia" w:ascii="宋体" w:hAnsi="宋体" w:cs="宋体"/>
                <w:color w:val="000000" w:themeColor="text1"/>
                <w:highlight w:val="none"/>
                <w:lang w:val="en-US" w:eastAsia="zh-CN"/>
              </w:rPr>
              <w:t>10</w:t>
            </w:r>
            <w:r>
              <w:rPr>
                <w:rFonts w:hint="eastAsia" w:ascii="宋体" w:hAnsi="宋体" w:eastAsia="宋体" w:cs="宋体"/>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3.配送方案简单，内容没有针对性，得</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tblPrEx>
          <w:shd w:val="clear" w:color="auto" w:fill="FFFFFF"/>
          <w:tblCellMar>
            <w:top w:w="0" w:type="dxa"/>
            <w:left w:w="0" w:type="dxa"/>
            <w:bottom w:w="0" w:type="dxa"/>
            <w:right w:w="0" w:type="dxa"/>
          </w:tblCellMar>
        </w:tblPrEx>
        <w:trPr>
          <w:cantSplit/>
          <w:trHeight w:val="2156" w:hRule="atLeast"/>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质量保障及食品安全措施</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对投标文件中的质量控制方案进行评分（根据投标货物的来源、生长环境、加工、包装、保存、运输各环节的质量保证及食品安全措施进行评价）：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1.方案优于采购需求，描述合理、完整，内容有针对性，得</w:t>
            </w:r>
            <w:r>
              <w:rPr>
                <w:rFonts w:hint="eastAsia" w:ascii="宋体" w:hAnsi="宋体" w:eastAsia="宋体" w:cs="宋体"/>
                <w:color w:val="000000" w:themeColor="text1"/>
                <w:highlight w:val="none"/>
                <w:lang w:val="en-US" w:eastAsia="zh-CN"/>
              </w:rPr>
              <w:t>1</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2.方案满足采购需求，较合理、较完整，内容有一定的针对性，得</w:t>
            </w:r>
            <w:r>
              <w:rPr>
                <w:rFonts w:hint="eastAsia" w:ascii="宋体" w:hAnsi="宋体" w:cs="宋体"/>
                <w:color w:val="000000" w:themeColor="text1"/>
                <w:highlight w:val="none"/>
                <w:lang w:val="en-US" w:eastAsia="zh-CN"/>
              </w:rPr>
              <w:t>10</w:t>
            </w:r>
            <w:r>
              <w:rPr>
                <w:rFonts w:hint="eastAsia" w:ascii="宋体" w:hAnsi="宋体" w:eastAsia="宋体" w:cs="宋体"/>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3.方案简单，内容没有针对性，得</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tblPrEx>
          <w:shd w:val="clear" w:color="auto" w:fill="FFFFFF"/>
          <w:tblCellMar>
            <w:top w:w="0" w:type="dxa"/>
            <w:left w:w="0" w:type="dxa"/>
            <w:bottom w:w="0" w:type="dxa"/>
            <w:right w:w="0" w:type="dxa"/>
          </w:tblCellMar>
        </w:tblPrEx>
        <w:trPr>
          <w:cantSplit/>
          <w:trHeight w:val="1722" w:hRule="atLeast"/>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出现产品质量问题退换货方案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根据投标文件中投标人对产品出现质量问题的退换货承诺（包括但不限于：退换时间、退换方式等）进行评分：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1.对产品出现质量问题的退换承诺具体可行、科学合理，得10分；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2.对产品出现质量问题的退换承诺较合理可行，得5分；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3.对产品出现质量问题的退换承诺不具体，可行性低，得2分；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tblPrEx>
          <w:shd w:val="clear" w:color="auto" w:fill="FFFFFF"/>
          <w:tblCellMar>
            <w:top w:w="0" w:type="dxa"/>
            <w:left w:w="0" w:type="dxa"/>
            <w:bottom w:w="0" w:type="dxa"/>
            <w:right w:w="0" w:type="dxa"/>
          </w:tblCellMar>
        </w:tblPrEx>
        <w:trPr>
          <w:cantSplit/>
          <w:trHeight w:val="419" w:hRule="atLeast"/>
        </w:trPr>
        <w:tc>
          <w:tcPr>
            <w:tcW w:w="22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lang w:val="en-US" w:eastAsia="zh-CN"/>
              </w:rPr>
              <w:t>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tc>
      </w:tr>
    </w:tbl>
    <w:p>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6"/>
        <w:tblW w:w="9559" w:type="dxa"/>
        <w:jc w:val="center"/>
        <w:tblLayout w:type="fixed"/>
        <w:tblCellMar>
          <w:top w:w="0" w:type="dxa"/>
          <w:left w:w="0" w:type="dxa"/>
          <w:bottom w:w="0" w:type="dxa"/>
          <w:right w:w="0" w:type="dxa"/>
        </w:tblCellMar>
      </w:tblPr>
      <w:tblGrid>
        <w:gridCol w:w="777"/>
        <w:gridCol w:w="1500"/>
        <w:gridCol w:w="701"/>
        <w:gridCol w:w="6581"/>
      </w:tblGrid>
      <w:tr>
        <w:tblPrEx>
          <w:tblCellMar>
            <w:top w:w="0" w:type="dxa"/>
            <w:left w:w="0" w:type="dxa"/>
            <w:bottom w:w="0" w:type="dxa"/>
            <w:right w:w="0" w:type="dxa"/>
          </w:tblCellMar>
        </w:tblPrEx>
        <w:trPr>
          <w:cantSplit/>
          <w:trHeight w:val="403"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tblPrEx>
          <w:tblCellMar>
            <w:top w:w="0" w:type="dxa"/>
            <w:left w:w="0" w:type="dxa"/>
            <w:bottom w:w="0" w:type="dxa"/>
            <w:right w:w="0" w:type="dxa"/>
          </w:tblCellMar>
        </w:tblPrEx>
        <w:trPr>
          <w:cantSplit/>
          <w:trHeight w:val="1666"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投标人资质情况</w:t>
            </w:r>
          </w:p>
        </w:tc>
        <w:tc>
          <w:tcPr>
            <w:tcW w:w="701"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rPr>
              <w:t>分</w:t>
            </w:r>
          </w:p>
        </w:tc>
        <w:tc>
          <w:tcPr>
            <w:tcW w:w="6581" w:type="dxa"/>
            <w:tcBorders>
              <w:top w:val="single" w:color="auto" w:sz="8" w:space="0"/>
              <w:left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投标人</w:t>
            </w:r>
            <w:r>
              <w:rPr>
                <w:rFonts w:hint="eastAsia" w:ascii="宋体" w:hAnsi="宋体" w:eastAsia="宋体" w:cs="宋体"/>
                <w:color w:val="000000" w:themeColor="text1"/>
                <w:sz w:val="21"/>
                <w:szCs w:val="21"/>
                <w:highlight w:val="none"/>
                <w:lang w:val="en-US" w:eastAsia="zh-CN"/>
              </w:rPr>
              <w:t>提供以下</w:t>
            </w:r>
            <w:r>
              <w:rPr>
                <w:rFonts w:hint="eastAsia" w:ascii="宋体" w:hAnsi="宋体" w:eastAsia="宋体" w:cs="宋体"/>
                <w:color w:val="000000" w:themeColor="text1"/>
                <w:sz w:val="21"/>
                <w:szCs w:val="21"/>
                <w:highlight w:val="none"/>
              </w:rPr>
              <w:t>证书，</w:t>
            </w:r>
            <w:r>
              <w:rPr>
                <w:rFonts w:hint="eastAsia" w:ascii="宋体" w:hAnsi="宋体" w:eastAsia="宋体" w:cs="宋体"/>
                <w:color w:val="000000" w:themeColor="text1"/>
                <w:sz w:val="21"/>
                <w:szCs w:val="21"/>
                <w:highlight w:val="none"/>
                <w:lang w:val="en-US" w:eastAsia="zh-CN"/>
              </w:rPr>
              <w:t>一个</w:t>
            </w:r>
            <w:r>
              <w:rPr>
                <w:rFonts w:hint="eastAsia" w:ascii="宋体" w:hAnsi="宋体" w:eastAsia="宋体" w:cs="宋体"/>
                <w:color w:val="000000" w:themeColor="text1"/>
                <w:sz w:val="21"/>
                <w:szCs w:val="21"/>
                <w:highlight w:val="none"/>
              </w:rPr>
              <w:t>得</w:t>
            </w:r>
            <w:r>
              <w:rPr>
                <w:rFonts w:hint="eastAsia" w:ascii="宋体" w:hAnsi="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分。</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具有有效期内的质量管理体系体系认证证书；</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具有有效期内的</w:t>
            </w:r>
            <w:r>
              <w:rPr>
                <w:rFonts w:hint="eastAsia" w:ascii="宋体" w:hAnsi="宋体" w:eastAsia="宋体" w:cs="宋体"/>
                <w:color w:val="000000" w:themeColor="text1"/>
                <w:highlight w:val="none"/>
              </w:rPr>
              <w:t>职业健康安全管理体系认证证书</w:t>
            </w:r>
            <w:r>
              <w:rPr>
                <w:rFonts w:hint="eastAsia" w:ascii="宋体" w:hAnsi="宋体" w:eastAsia="宋体" w:cs="宋体"/>
                <w:color w:val="000000" w:themeColor="text1"/>
                <w:sz w:val="21"/>
                <w:szCs w:val="21"/>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具有有效期内的</w:t>
            </w:r>
            <w:r>
              <w:rPr>
                <w:rFonts w:hint="eastAsia" w:ascii="宋体" w:hAnsi="宋体" w:eastAsia="宋体" w:cs="宋体"/>
                <w:color w:val="000000" w:themeColor="text1"/>
                <w:highlight w:val="none"/>
                <w:lang w:val="en-US" w:eastAsia="zh-CN"/>
              </w:rPr>
              <w:t>环境</w:t>
            </w:r>
            <w:r>
              <w:rPr>
                <w:rFonts w:hint="eastAsia" w:ascii="宋体" w:hAnsi="宋体" w:eastAsia="宋体" w:cs="宋体"/>
                <w:color w:val="000000" w:themeColor="text1"/>
                <w:highlight w:val="none"/>
              </w:rPr>
              <w:t>管理体系认证证书</w:t>
            </w:r>
            <w:r>
              <w:rPr>
                <w:rFonts w:hint="eastAsia" w:ascii="宋体" w:hAnsi="宋体" w:eastAsia="宋体" w:cs="宋体"/>
                <w:color w:val="000000" w:themeColor="text1"/>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注：提供证书</w:t>
            </w:r>
            <w:r>
              <w:rPr>
                <w:rFonts w:hint="eastAsia" w:ascii="宋体" w:hAnsi="宋体" w:eastAsia="宋体" w:cs="宋体"/>
                <w:color w:val="000000" w:themeColor="text1"/>
                <w:sz w:val="21"/>
                <w:szCs w:val="21"/>
                <w:highlight w:val="none"/>
                <w:lang w:val="en-US" w:eastAsia="zh-CN"/>
              </w:rPr>
              <w:t>复印件</w:t>
            </w:r>
            <w:r>
              <w:rPr>
                <w:rFonts w:hint="eastAsia" w:ascii="宋体" w:hAnsi="宋体" w:eastAsia="宋体" w:cs="宋体"/>
                <w:color w:val="000000" w:themeColor="text1"/>
                <w:sz w:val="21"/>
                <w:szCs w:val="21"/>
                <w:highlight w:val="none"/>
              </w:rPr>
              <w:t>加盖投标人公章，不提供的不得分。</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同类项目业绩及评价</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highlight w:val="none"/>
              </w:rPr>
              <w:t>投标人提供</w:t>
            </w:r>
            <w:r>
              <w:rPr>
                <w:rFonts w:hint="eastAsia" w:ascii="宋体" w:hAnsi="宋体" w:eastAsia="宋体" w:cs="宋体"/>
                <w:color w:val="000000" w:themeColor="text1"/>
                <w:highlight w:val="none"/>
                <w:lang w:val="en-US" w:eastAsia="zh-CN"/>
              </w:rPr>
              <w:t>近三年</w:t>
            </w:r>
            <w:r>
              <w:rPr>
                <w:rFonts w:hint="eastAsia" w:ascii="宋体" w:hAnsi="宋体" w:eastAsia="宋体" w:cs="宋体"/>
                <w:color w:val="000000" w:themeColor="text1"/>
                <w:highlight w:val="none"/>
              </w:rPr>
              <w:t>（以合同签订时间为准）的同类项目业绩，每个得</w:t>
            </w:r>
            <w:r>
              <w:rPr>
                <w:rFonts w:hint="eastAsia" w:ascii="宋体" w:hAnsi="宋体" w:eastAsia="宋体" w:cs="宋体"/>
                <w:color w:val="000000" w:themeColor="text1"/>
                <w:highlight w:val="none"/>
                <w:lang w:val="en-US" w:eastAsia="zh-CN"/>
              </w:rPr>
              <w:t>4</w:t>
            </w:r>
            <w:r>
              <w:rPr>
                <w:rFonts w:hint="eastAsia" w:ascii="宋体" w:hAnsi="宋体" w:eastAsia="宋体" w:cs="宋体"/>
                <w:color w:val="000000" w:themeColor="text1"/>
                <w:highlight w:val="none"/>
              </w:rPr>
              <w:t>分，最高得</w:t>
            </w:r>
            <w:r>
              <w:rPr>
                <w:rFonts w:hint="eastAsia" w:ascii="宋体" w:hAnsi="宋体" w:eastAsia="宋体" w:cs="宋体"/>
                <w:color w:val="000000" w:themeColor="text1"/>
                <w:highlight w:val="none"/>
                <w:lang w:val="en-US" w:eastAsia="zh-CN"/>
              </w:rPr>
              <w:t>12</w:t>
            </w:r>
            <w:r>
              <w:rPr>
                <w:rFonts w:hint="eastAsia" w:ascii="宋体" w:hAnsi="宋体" w:eastAsia="宋体" w:cs="宋体"/>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注：提供项目的合同关键页复印件加盖投标人公章，不提供不得分。</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食品安全责任险保障</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投标人能提供食品安全责任险保障：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壹仟</w:t>
            </w:r>
            <w:r>
              <w:rPr>
                <w:rFonts w:hint="eastAsia" w:ascii="宋体" w:hAnsi="宋体" w:eastAsia="宋体" w:cs="宋体"/>
                <w:color w:val="000000" w:themeColor="text1"/>
                <w:sz w:val="21"/>
                <w:szCs w:val="21"/>
                <w:highlight w:val="none"/>
              </w:rPr>
              <w:t>万元或以上，得</w:t>
            </w:r>
            <w:r>
              <w:rPr>
                <w:rFonts w:hint="eastAsia" w:ascii="宋体" w:hAnsi="宋体" w:eastAsia="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伍</w:t>
            </w:r>
            <w:r>
              <w:rPr>
                <w:rFonts w:hint="eastAsia" w:ascii="宋体" w:hAnsi="宋体" w:eastAsia="宋体" w:cs="宋体"/>
                <w:color w:val="000000" w:themeColor="text1"/>
                <w:sz w:val="21"/>
                <w:szCs w:val="21"/>
                <w:highlight w:val="none"/>
              </w:rPr>
              <w:t>佰万元（含）-</w:t>
            </w:r>
            <w:r>
              <w:rPr>
                <w:rFonts w:hint="eastAsia" w:ascii="宋体" w:hAnsi="宋体" w:eastAsia="宋体" w:cs="宋体"/>
                <w:color w:val="000000" w:themeColor="text1"/>
                <w:sz w:val="21"/>
                <w:szCs w:val="21"/>
                <w:highlight w:val="none"/>
                <w:lang w:val="en-US" w:eastAsia="zh-CN"/>
              </w:rPr>
              <w:t>壹仟</w:t>
            </w:r>
            <w:r>
              <w:rPr>
                <w:rFonts w:hint="eastAsia" w:ascii="宋体" w:hAnsi="宋体" w:eastAsia="宋体" w:cs="宋体"/>
                <w:color w:val="000000" w:themeColor="text1"/>
                <w:sz w:val="21"/>
                <w:szCs w:val="21"/>
                <w:highlight w:val="none"/>
              </w:rPr>
              <w:t>万元（不含），得</w:t>
            </w:r>
            <w:r>
              <w:rPr>
                <w:rFonts w:hint="eastAsia" w:ascii="宋体" w:hAnsi="宋体" w:eastAsia="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伍</w:t>
            </w:r>
            <w:r>
              <w:rPr>
                <w:rFonts w:hint="eastAsia" w:ascii="宋体" w:hAnsi="宋体" w:eastAsia="宋体" w:cs="宋体"/>
                <w:color w:val="000000" w:themeColor="text1"/>
                <w:sz w:val="21"/>
                <w:szCs w:val="21"/>
                <w:highlight w:val="none"/>
              </w:rPr>
              <w:t>佰万元（不含）以下</w:t>
            </w:r>
            <w:r>
              <w:rPr>
                <w:rFonts w:hint="eastAsia" w:ascii="宋体" w:hAnsi="宋体" w:eastAsia="宋体" w:cs="宋体"/>
                <w:color w:val="000000" w:themeColor="text1"/>
                <w:sz w:val="21"/>
                <w:szCs w:val="21"/>
                <w:highlight w:val="none"/>
                <w:lang w:val="en-US" w:eastAsia="zh-CN"/>
              </w:rPr>
              <w:t>得2分</w:t>
            </w:r>
            <w:r>
              <w:rPr>
                <w:rFonts w:hint="eastAsia" w:ascii="宋体" w:hAnsi="宋体" w:eastAsia="宋体" w:cs="宋体"/>
                <w:color w:val="000000" w:themeColor="text1"/>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eastAsia="宋体"/>
                <w:color w:val="000000" w:themeColor="text1"/>
                <w:highlight w:val="none"/>
                <w:lang w:val="en-US" w:eastAsia="zh-CN"/>
              </w:rPr>
            </w:pPr>
            <w:r>
              <w:rPr>
                <w:rFonts w:hint="eastAsia" w:ascii="宋体" w:hAnsi="宋体" w:eastAsia="宋体" w:cs="宋体"/>
                <w:color w:val="000000" w:themeColor="text1"/>
                <w:sz w:val="21"/>
                <w:szCs w:val="21"/>
                <w:highlight w:val="none"/>
                <w:lang w:val="en-US" w:eastAsia="zh-CN"/>
              </w:rPr>
              <w:t>其他不得分。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注：提供有效保单复印件加盖投标人公章，不提供不得分。</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4</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拟投入项目团队人员</w:t>
            </w:r>
            <w:r>
              <w:rPr>
                <w:rFonts w:hint="eastAsia" w:ascii="宋体" w:hAnsi="宋体" w:eastAsia="宋体" w:cs="宋体"/>
                <w:color w:val="000000" w:themeColor="text1"/>
                <w:sz w:val="21"/>
                <w:szCs w:val="21"/>
                <w:highlight w:val="none"/>
                <w:lang w:val="en-US" w:eastAsia="zh-CN"/>
              </w:rPr>
              <w:t>情况</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sz w:val="21"/>
                <w:szCs w:val="21"/>
                <w:highlight w:val="none"/>
              </w:rPr>
              <w:t>投标人</w:t>
            </w:r>
            <w:r>
              <w:rPr>
                <w:rFonts w:hint="eastAsia" w:ascii="宋体" w:hAnsi="宋体" w:eastAsia="宋体" w:cs="宋体"/>
                <w:color w:val="000000" w:themeColor="text1"/>
                <w:sz w:val="21"/>
                <w:szCs w:val="21"/>
                <w:highlight w:val="none"/>
                <w:lang w:val="en-US" w:eastAsia="zh-CN"/>
              </w:rPr>
              <w:t>具有</w:t>
            </w:r>
            <w:r>
              <w:rPr>
                <w:rFonts w:hint="eastAsia" w:ascii="宋体" w:hAnsi="宋体" w:eastAsia="宋体" w:cs="宋体"/>
                <w:color w:val="000000" w:themeColor="text1"/>
                <w:sz w:val="21"/>
                <w:szCs w:val="21"/>
                <w:highlight w:val="none"/>
              </w:rPr>
              <w:t>专门的</w:t>
            </w:r>
            <w:r>
              <w:rPr>
                <w:rFonts w:hint="eastAsia" w:ascii="宋体" w:hAnsi="宋体" w:eastAsia="宋体" w:cs="宋体"/>
                <w:color w:val="000000" w:themeColor="text1"/>
                <w:sz w:val="21"/>
                <w:szCs w:val="21"/>
                <w:highlight w:val="none"/>
                <w:lang w:val="en-US" w:eastAsia="zh-CN"/>
              </w:rPr>
              <w:t>食品安全管理人员</w:t>
            </w:r>
            <w:r>
              <w:rPr>
                <w:rFonts w:hint="eastAsia" w:ascii="宋体" w:hAnsi="宋体" w:eastAsia="宋体" w:cs="宋体"/>
                <w:color w:val="000000" w:themeColor="text1"/>
                <w:highlight w:val="none"/>
              </w:rPr>
              <w:t>，每</w:t>
            </w:r>
            <w:r>
              <w:rPr>
                <w:rFonts w:hint="eastAsia" w:ascii="宋体" w:hAnsi="宋体" w:eastAsia="宋体" w:cs="宋体"/>
                <w:color w:val="000000" w:themeColor="text1"/>
                <w:highlight w:val="none"/>
                <w:lang w:val="en-US" w:eastAsia="zh-CN"/>
              </w:rPr>
              <w:t>人得5</w:t>
            </w:r>
            <w:r>
              <w:rPr>
                <w:rFonts w:hint="eastAsia" w:ascii="宋体" w:hAnsi="宋体" w:eastAsia="宋体" w:cs="宋体"/>
                <w:color w:val="000000" w:themeColor="text1"/>
                <w:highlight w:val="none"/>
              </w:rPr>
              <w:t>分，最高得</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rPr>
              <w:t>分</w:t>
            </w:r>
            <w:r>
              <w:rPr>
                <w:rFonts w:hint="eastAsia" w:ascii="宋体" w:hAnsi="宋体" w:eastAsia="宋体" w:cs="宋体"/>
                <w:color w:val="000000" w:themeColor="text1"/>
                <w:highlight w:val="none"/>
                <w:lang w:eastAsia="zh-CN"/>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w:t>
            </w:r>
            <w:r>
              <w:rPr>
                <w:rFonts w:hint="eastAsia" w:ascii="宋体" w:hAnsi="宋体" w:eastAsia="宋体" w:cs="宋体"/>
                <w:color w:val="000000" w:themeColor="text1"/>
                <w:sz w:val="21"/>
                <w:szCs w:val="21"/>
                <w:highlight w:val="none"/>
                <w:lang w:val="en-US" w:eastAsia="zh-CN"/>
              </w:rPr>
              <w:t>配备人员</w:t>
            </w:r>
            <w:r>
              <w:rPr>
                <w:rFonts w:hint="eastAsia" w:ascii="宋体" w:hAnsi="宋体" w:eastAsia="宋体" w:cs="宋体"/>
                <w:color w:val="000000" w:themeColor="text1"/>
                <w:sz w:val="21"/>
                <w:szCs w:val="21"/>
                <w:highlight w:val="none"/>
              </w:rPr>
              <w:t>需</w:t>
            </w:r>
            <w:r>
              <w:rPr>
                <w:rFonts w:hint="eastAsia" w:ascii="宋体" w:hAnsi="宋体" w:eastAsia="宋体" w:cs="宋体"/>
                <w:color w:val="000000" w:themeColor="text1"/>
                <w:sz w:val="21"/>
                <w:szCs w:val="21"/>
                <w:highlight w:val="none"/>
                <w:lang w:val="en-US" w:eastAsia="zh-CN"/>
              </w:rPr>
              <w:t>提供广东省食品安全管理人员考试合格证明证书复印件加盖投标人公章</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highlight w:val="none"/>
              </w:rPr>
              <w:t>不提供不得分</w:t>
            </w:r>
            <w:r>
              <w:rPr>
                <w:rFonts w:hint="eastAsia" w:ascii="宋体" w:hAnsi="宋体" w:eastAsia="宋体" w:cs="宋体"/>
                <w:color w:val="000000" w:themeColor="text1"/>
                <w:sz w:val="21"/>
                <w:szCs w:val="21"/>
                <w:highlight w:val="none"/>
              </w:rPr>
              <w:t>。</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5</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配送能力</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lang w:val="en-US" w:eastAsia="zh-CN"/>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投标人针对本项目投入的配送车辆，每配备1台配送车辆的得</w:t>
            </w:r>
            <w:r>
              <w:rPr>
                <w:rFonts w:hint="eastAsia" w:ascii="宋体" w:hAnsi="宋体" w:eastAsia="宋体" w:cs="宋体"/>
                <w:color w:val="000000" w:themeColor="text1"/>
                <w:sz w:val="21"/>
                <w:szCs w:val="21"/>
                <w:highlight w:val="none"/>
                <w:lang w:val="en-US" w:eastAsia="zh-CN"/>
              </w:rPr>
              <w:t>3分，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本项</w:t>
            </w:r>
            <w:r>
              <w:rPr>
                <w:rFonts w:hint="eastAsia" w:ascii="宋体" w:hAnsi="宋体" w:eastAsia="宋体" w:cs="宋体"/>
                <w:color w:val="000000" w:themeColor="text1"/>
                <w:sz w:val="21"/>
                <w:szCs w:val="21"/>
                <w:highlight w:val="none"/>
              </w:rPr>
              <w:t>最高得</w:t>
            </w:r>
            <w:r>
              <w:rPr>
                <w:rFonts w:hint="eastAsia" w:ascii="宋体" w:hAnsi="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注：投标人自有</w:t>
            </w:r>
            <w:r>
              <w:rPr>
                <w:rFonts w:hint="eastAsia" w:ascii="宋体" w:hAnsi="宋体" w:eastAsia="宋体" w:cs="宋体"/>
                <w:color w:val="000000" w:themeColor="text1"/>
                <w:sz w:val="21"/>
                <w:szCs w:val="21"/>
                <w:highlight w:val="none"/>
                <w:lang w:val="en-US" w:eastAsia="zh-CN"/>
              </w:rPr>
              <w:t>车辆的</w:t>
            </w:r>
            <w:r>
              <w:rPr>
                <w:rFonts w:hint="eastAsia" w:ascii="宋体" w:hAnsi="宋体" w:eastAsia="宋体" w:cs="宋体"/>
                <w:color w:val="000000" w:themeColor="text1"/>
                <w:sz w:val="21"/>
                <w:szCs w:val="21"/>
                <w:highlight w:val="none"/>
              </w:rPr>
              <w:t>，需提供购车发票</w:t>
            </w:r>
            <w:r>
              <w:rPr>
                <w:rFonts w:hint="eastAsia" w:ascii="宋体" w:hAnsi="宋体" w:eastAsia="宋体" w:cs="宋体"/>
                <w:color w:val="000000" w:themeColor="text1"/>
                <w:sz w:val="21"/>
                <w:szCs w:val="21"/>
                <w:highlight w:val="none"/>
                <w:lang w:val="en-US" w:eastAsia="zh-CN"/>
              </w:rPr>
              <w:t>复印件或</w:t>
            </w:r>
            <w:r>
              <w:rPr>
                <w:rFonts w:hint="eastAsia" w:ascii="宋体" w:hAnsi="宋体" w:eastAsia="宋体" w:cs="宋体"/>
                <w:color w:val="000000" w:themeColor="text1"/>
                <w:sz w:val="21"/>
                <w:szCs w:val="21"/>
                <w:highlight w:val="none"/>
              </w:rPr>
              <w:t>有效的《机动车行驶证》</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车辆照片加盖投标人公章；</w:t>
            </w:r>
            <w:r>
              <w:rPr>
                <w:rFonts w:hint="eastAsia" w:ascii="宋体" w:hAnsi="宋体" w:eastAsia="宋体" w:cs="宋体"/>
                <w:color w:val="000000" w:themeColor="text1"/>
                <w:sz w:val="21"/>
                <w:szCs w:val="21"/>
                <w:highlight w:val="none"/>
                <w:lang w:val="en-US" w:eastAsia="zh-CN"/>
              </w:rPr>
              <w:t>投标人租赁车辆的</w:t>
            </w:r>
            <w:r>
              <w:rPr>
                <w:rFonts w:hint="eastAsia" w:ascii="宋体" w:hAnsi="宋体" w:eastAsia="宋体" w:cs="宋体"/>
                <w:color w:val="000000" w:themeColor="text1"/>
                <w:sz w:val="21"/>
                <w:szCs w:val="21"/>
                <w:highlight w:val="none"/>
              </w:rPr>
              <w:t>，需提供</w:t>
            </w:r>
            <w:r>
              <w:rPr>
                <w:rFonts w:hint="eastAsia" w:ascii="宋体" w:hAnsi="宋体" w:eastAsia="宋体" w:cs="宋体"/>
                <w:color w:val="000000" w:themeColor="text1"/>
                <w:sz w:val="21"/>
                <w:szCs w:val="21"/>
                <w:highlight w:val="none"/>
                <w:lang w:val="en-US" w:eastAsia="zh-CN"/>
              </w:rPr>
              <w:t>以投标人或法定代表人签署的</w:t>
            </w:r>
            <w:r>
              <w:rPr>
                <w:rFonts w:hint="eastAsia" w:ascii="宋体" w:hAnsi="宋体" w:eastAsia="宋体" w:cs="宋体"/>
                <w:color w:val="000000" w:themeColor="text1"/>
                <w:sz w:val="21"/>
                <w:szCs w:val="21"/>
                <w:highlight w:val="none"/>
              </w:rPr>
              <w:t>车辆租赁合同</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有效的《机动车行驶证》</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车辆照片加盖投标人公章。不提供不得分。</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6</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投标人自有或租赁的冷冻/冷藏库情况</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4分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投标人具有</w:t>
            </w:r>
            <w:r>
              <w:rPr>
                <w:rFonts w:hint="eastAsia" w:ascii="宋体" w:hAnsi="宋体" w:eastAsia="宋体" w:cs="宋体"/>
                <w:color w:val="000000" w:themeColor="text1"/>
                <w:sz w:val="21"/>
                <w:szCs w:val="21"/>
                <w:highlight w:val="none"/>
              </w:rPr>
              <w:t>冷冻/冷藏库</w:t>
            </w:r>
            <w:r>
              <w:rPr>
                <w:rFonts w:hint="eastAsia" w:ascii="宋体" w:hAnsi="宋体" w:eastAsia="宋体" w:cs="宋体"/>
                <w:color w:val="000000" w:themeColor="text1"/>
                <w:sz w:val="21"/>
                <w:szCs w:val="21"/>
                <w:highlight w:val="none"/>
                <w:lang w:val="en-US" w:eastAsia="zh-CN"/>
              </w:rPr>
              <w:t>的</w:t>
            </w:r>
            <w:r>
              <w:rPr>
                <w:rFonts w:hint="eastAsia" w:ascii="宋体" w:hAnsi="宋体" w:eastAsia="宋体" w:cs="宋体"/>
                <w:color w:val="000000" w:themeColor="text1"/>
                <w:sz w:val="21"/>
                <w:szCs w:val="21"/>
                <w:highlight w:val="none"/>
              </w:rPr>
              <w:t>，得</w:t>
            </w:r>
            <w:r>
              <w:rPr>
                <w:rFonts w:hint="eastAsia" w:ascii="宋体" w:hAnsi="宋体" w:eastAsia="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w:t>
            </w:r>
            <w:r>
              <w:rPr>
                <w:rFonts w:hint="eastAsia" w:ascii="宋体" w:hAnsi="宋体" w:eastAsia="宋体" w:cs="宋体"/>
                <w:color w:val="000000" w:themeColor="text1"/>
                <w:sz w:val="21"/>
                <w:szCs w:val="21"/>
                <w:highlight w:val="none"/>
                <w:lang w:val="en-US" w:eastAsia="zh-CN"/>
              </w:rPr>
              <w:t>投标人或法定代表人</w:t>
            </w:r>
            <w:r>
              <w:rPr>
                <w:rFonts w:hint="eastAsia" w:ascii="宋体" w:hAnsi="宋体" w:eastAsia="宋体" w:cs="宋体"/>
                <w:color w:val="000000" w:themeColor="text1"/>
                <w:sz w:val="21"/>
                <w:szCs w:val="21"/>
                <w:highlight w:val="none"/>
              </w:rPr>
              <w:t>的产权证明或以</w:t>
            </w:r>
            <w:r>
              <w:rPr>
                <w:rFonts w:hint="eastAsia" w:ascii="宋体" w:hAnsi="宋体" w:eastAsia="宋体" w:cs="宋体"/>
                <w:color w:val="000000" w:themeColor="text1"/>
                <w:sz w:val="21"/>
                <w:szCs w:val="21"/>
                <w:highlight w:val="none"/>
                <w:lang w:val="en-US" w:eastAsia="zh-CN"/>
              </w:rPr>
              <w:t>投标人或法定代表人签署</w:t>
            </w:r>
            <w:r>
              <w:rPr>
                <w:rFonts w:hint="eastAsia" w:ascii="宋体" w:hAnsi="宋体" w:eastAsia="宋体" w:cs="宋体"/>
                <w:color w:val="000000" w:themeColor="text1"/>
                <w:sz w:val="21"/>
                <w:szCs w:val="21"/>
                <w:highlight w:val="none"/>
              </w:rPr>
              <w:t>的租赁合同</w:t>
            </w:r>
            <w:r>
              <w:rPr>
                <w:rFonts w:hint="eastAsia" w:ascii="宋体" w:hAnsi="宋体" w:eastAsia="宋体" w:cs="宋体"/>
                <w:color w:val="000000" w:themeColor="text1"/>
                <w:sz w:val="21"/>
                <w:szCs w:val="21"/>
                <w:highlight w:val="none"/>
                <w:lang w:val="en-US" w:eastAsia="zh-CN"/>
              </w:rPr>
              <w:t>复印件</w:t>
            </w:r>
            <w:r>
              <w:rPr>
                <w:rFonts w:hint="eastAsia" w:ascii="宋体" w:hAnsi="宋体" w:eastAsia="宋体" w:cs="宋体"/>
                <w:color w:val="000000" w:themeColor="text1"/>
                <w:sz w:val="21"/>
                <w:szCs w:val="21"/>
                <w:highlight w:val="none"/>
              </w:rPr>
              <w:t>及冷冻/冷藏库照片并加盖投标人公章</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不提供不得分。</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7</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工作</w:t>
            </w:r>
            <w:r>
              <w:rPr>
                <w:rFonts w:hint="eastAsia" w:ascii="宋体" w:hAnsi="宋体" w:eastAsia="宋体" w:cs="宋体"/>
                <w:color w:val="000000" w:themeColor="text1"/>
                <w:sz w:val="21"/>
                <w:szCs w:val="21"/>
                <w:highlight w:val="none"/>
              </w:rPr>
              <w:t>场地</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lang w:val="en-US" w:eastAsia="zh-CN"/>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投标人</w:t>
            </w:r>
            <w:r>
              <w:rPr>
                <w:rFonts w:hint="eastAsia" w:ascii="宋体" w:hAnsi="宋体" w:eastAsia="宋体" w:cs="宋体"/>
                <w:color w:val="000000" w:themeColor="text1"/>
                <w:sz w:val="21"/>
                <w:szCs w:val="21"/>
                <w:highlight w:val="none"/>
                <w:lang w:val="en-US" w:eastAsia="zh-CN"/>
              </w:rPr>
              <w:t>具有</w:t>
            </w:r>
            <w:r>
              <w:rPr>
                <w:rFonts w:hint="eastAsia" w:ascii="宋体" w:hAnsi="宋体" w:cs="宋体"/>
                <w:color w:val="000000" w:themeColor="text1"/>
                <w:sz w:val="21"/>
                <w:szCs w:val="21"/>
                <w:highlight w:val="none"/>
                <w:lang w:val="en-US" w:eastAsia="zh-CN"/>
              </w:rPr>
              <w:t>工作</w:t>
            </w:r>
            <w:r>
              <w:rPr>
                <w:rFonts w:hint="eastAsia" w:ascii="宋体" w:hAnsi="宋体" w:eastAsia="宋体" w:cs="宋体"/>
                <w:color w:val="000000" w:themeColor="text1"/>
                <w:sz w:val="21"/>
                <w:szCs w:val="21"/>
                <w:highlight w:val="none"/>
              </w:rPr>
              <w:t xml:space="preserve">场地。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w:t>
            </w:r>
            <w:r>
              <w:rPr>
                <w:rFonts w:hint="eastAsia" w:ascii="宋体" w:hAnsi="宋体" w:eastAsia="宋体" w:cs="宋体"/>
                <w:color w:val="000000" w:themeColor="text1"/>
                <w:sz w:val="21"/>
                <w:szCs w:val="21"/>
                <w:highlight w:val="none"/>
                <w:lang w:val="en-US" w:eastAsia="zh-CN"/>
              </w:rPr>
              <w:t>投标人或法定代表人</w:t>
            </w:r>
            <w:r>
              <w:rPr>
                <w:rFonts w:hint="eastAsia" w:ascii="宋体" w:hAnsi="宋体" w:eastAsia="宋体" w:cs="宋体"/>
                <w:color w:val="000000" w:themeColor="text1"/>
                <w:sz w:val="21"/>
                <w:szCs w:val="21"/>
                <w:highlight w:val="none"/>
              </w:rPr>
              <w:t>的产权证明或以</w:t>
            </w:r>
            <w:r>
              <w:rPr>
                <w:rFonts w:hint="eastAsia" w:ascii="宋体" w:hAnsi="宋体" w:eastAsia="宋体" w:cs="宋体"/>
                <w:color w:val="000000" w:themeColor="text1"/>
                <w:sz w:val="21"/>
                <w:szCs w:val="21"/>
                <w:highlight w:val="none"/>
                <w:lang w:val="en-US" w:eastAsia="zh-CN"/>
              </w:rPr>
              <w:t>投标人或法定代表人签署</w:t>
            </w:r>
            <w:r>
              <w:rPr>
                <w:rFonts w:hint="eastAsia" w:ascii="宋体" w:hAnsi="宋体" w:eastAsia="宋体" w:cs="宋体"/>
                <w:color w:val="000000" w:themeColor="text1"/>
                <w:sz w:val="21"/>
                <w:szCs w:val="21"/>
                <w:highlight w:val="none"/>
              </w:rPr>
              <w:t>的租赁合同</w:t>
            </w:r>
            <w:r>
              <w:rPr>
                <w:rFonts w:hint="eastAsia" w:ascii="宋体" w:hAnsi="宋体" w:eastAsia="宋体" w:cs="宋体"/>
                <w:color w:val="000000" w:themeColor="text1"/>
                <w:sz w:val="21"/>
                <w:szCs w:val="21"/>
                <w:highlight w:val="none"/>
                <w:lang w:val="en-US" w:eastAsia="zh-CN"/>
              </w:rPr>
              <w:t>复印件</w:t>
            </w:r>
            <w:r>
              <w:rPr>
                <w:rFonts w:hint="eastAsia" w:ascii="宋体" w:hAnsi="宋体" w:eastAsia="宋体" w:cs="宋体"/>
                <w:color w:val="000000" w:themeColor="text1"/>
                <w:sz w:val="21"/>
                <w:szCs w:val="21"/>
                <w:highlight w:val="none"/>
              </w:rPr>
              <w:t>及配送场地照片并加盖投标人公章</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不提供不得分。</w:t>
            </w:r>
          </w:p>
        </w:tc>
      </w:tr>
      <w:tr>
        <w:tblPrEx>
          <w:tblCellMar>
            <w:top w:w="0" w:type="dxa"/>
            <w:left w:w="0" w:type="dxa"/>
            <w:bottom w:w="0" w:type="dxa"/>
            <w:right w:w="0" w:type="dxa"/>
          </w:tblCellMar>
        </w:tblPrEx>
        <w:trPr>
          <w:cantSplit/>
          <w:trHeight w:val="429" w:hRule="atLeast"/>
          <w:jc w:val="center"/>
        </w:trPr>
        <w:tc>
          <w:tcPr>
            <w:tcW w:w="2277"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lang w:val="en-US" w:eastAsia="zh-CN"/>
              </w:rPr>
              <w:t>0</w:t>
            </w:r>
            <w:r>
              <w:rPr>
                <w:rFonts w:hint="eastAsia" w:ascii="宋体" w:hAnsi="宋体" w:eastAsia="宋体" w:cs="宋体"/>
                <w:color w:val="000000" w:themeColor="text1"/>
                <w:sz w:val="21"/>
                <w:szCs w:val="21"/>
                <w:highlight w:val="none"/>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p>
        </w:tc>
      </w:tr>
    </w:tbl>
    <w:p>
      <w:pPr>
        <w:rPr>
          <w:rFonts w:hint="eastAsia"/>
          <w:color w:val="000000" w:themeColor="text1"/>
          <w:highlight w:val="none"/>
        </w:rPr>
      </w:pPr>
      <w:r>
        <w:rPr>
          <w:rFonts w:hint="eastAsia"/>
          <w:color w:val="000000" w:themeColor="text1"/>
          <w:highlight w:val="none"/>
        </w:rPr>
        <w:t>注：对照每项评价指标要求，投标文件完全不满足要求的，不得分。</w:t>
      </w: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rPr>
        <w:sectPr>
          <w:footerReference r:id="rId10" w:type="first"/>
          <w:footerReference r:id="rId9" w:type="default"/>
          <w:pgSz w:w="11906" w:h="16838"/>
          <w:pgMar w:top="1418" w:right="1230" w:bottom="1418" w:left="1230" w:header="851" w:footer="851" w:gutter="0"/>
          <w:cols w:space="720" w:num="1"/>
          <w:docGrid w:linePitch="312" w:charSpace="0"/>
        </w:sectPr>
      </w:pPr>
    </w:p>
    <w:bookmarkEnd w:id="1557"/>
    <w:bookmarkEnd w:id="1558"/>
    <w:bookmarkEnd w:id="1559"/>
    <w:bookmarkEnd w:id="1560"/>
    <w:bookmarkEnd w:id="1561"/>
    <w:bookmarkEnd w:id="1562"/>
    <w:bookmarkEnd w:id="1563"/>
    <w:bookmarkEnd w:id="1564"/>
    <w:bookmarkEnd w:id="1565"/>
    <w:bookmarkEnd w:id="1566"/>
    <w:p>
      <w:pPr>
        <w:pStyle w:val="3"/>
        <w:numPr>
          <w:ilvl w:val="0"/>
          <w:numId w:val="0"/>
        </w:numPr>
        <w:spacing w:beforeLines="0"/>
        <w:rPr>
          <w:color w:val="000000" w:themeColor="text1"/>
          <w:highlight w:val="none"/>
        </w:rPr>
      </w:pPr>
      <w:bookmarkStart w:id="1577" w:name="_Hlt21939000"/>
      <w:bookmarkEnd w:id="1577"/>
      <w:bookmarkStart w:id="1578" w:name="_Toc341348347"/>
      <w:bookmarkStart w:id="1579" w:name="_Toc374454610"/>
      <w:bookmarkStart w:id="1580" w:name="_Toc340507451"/>
      <w:bookmarkStart w:id="1581" w:name="_Toc331684047"/>
      <w:bookmarkStart w:id="1582" w:name="_Toc349143598"/>
      <w:bookmarkStart w:id="1583" w:name="_Toc339020024"/>
      <w:bookmarkStart w:id="1584" w:name="_Toc365967081"/>
      <w:bookmarkStart w:id="1585" w:name="_Toc332206717"/>
      <w:bookmarkStart w:id="1586" w:name="_Toc342060383"/>
      <w:bookmarkStart w:id="1587" w:name="_Toc333935355"/>
      <w:bookmarkStart w:id="1588" w:name="_Toc330459994"/>
      <w:bookmarkStart w:id="1589" w:name="_Toc333237797"/>
      <w:bookmarkStart w:id="1590" w:name="_Toc332270355"/>
      <w:bookmarkStart w:id="1591" w:name="_Toc342296769"/>
      <w:bookmarkStart w:id="1592" w:name="_Toc366072538"/>
      <w:bookmarkStart w:id="1593" w:name="_Toc340672878"/>
      <w:bookmarkStart w:id="1594" w:name="_Toc336681944"/>
      <w:bookmarkStart w:id="1595" w:name="_Toc365985187"/>
      <w:bookmarkStart w:id="1596" w:name="_Toc333238642"/>
      <w:bookmarkStart w:id="1597" w:name="_Toc339441096"/>
      <w:bookmarkStart w:id="1598" w:name="_Toc350756459"/>
      <w:bookmarkStart w:id="1599" w:name="_Toc339020104"/>
      <w:bookmarkStart w:id="1600" w:name="_Toc333237686"/>
      <w:bookmarkStart w:id="1601" w:name="_Toc340677079"/>
      <w:bookmarkStart w:id="1602" w:name="_Toc349127635"/>
      <w:bookmarkStart w:id="1603" w:name="_Toc345513910"/>
      <w:bookmarkStart w:id="1604" w:name="_Toc333935696"/>
      <w:bookmarkStart w:id="1605" w:name="_Toc339020242"/>
      <w:bookmarkStart w:id="1606" w:name="_Toc337632367"/>
      <w:bookmarkStart w:id="1607" w:name="_Toc336681589"/>
      <w:bookmarkStart w:id="1608" w:name="_Toc350438758"/>
      <w:bookmarkStart w:id="1609" w:name="_Toc339362309"/>
      <w:bookmarkStart w:id="1610" w:name="_Toc331512907"/>
      <w:bookmarkStart w:id="1611" w:name="_Toc339019898"/>
      <w:bookmarkStart w:id="1612" w:name="_Toc6927"/>
      <w:r>
        <w:rPr>
          <w:rFonts w:hint="eastAsia"/>
          <w:color w:val="000000" w:themeColor="text1"/>
          <w:highlight w:val="none"/>
        </w:rPr>
        <w:t>第四部分  采购项目合同</w:t>
      </w:r>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Start w:id="1613" w:name="_Hlt97188170"/>
      <w:bookmarkEnd w:id="1613"/>
      <w:r>
        <w:rPr>
          <w:rFonts w:hint="eastAsia"/>
          <w:color w:val="000000" w:themeColor="text1"/>
          <w:highlight w:val="none"/>
        </w:rPr>
        <w:t>（参考范本）</w:t>
      </w:r>
      <w:bookmarkEnd w:id="1612"/>
    </w:p>
    <w:p>
      <w:pPr>
        <w:rPr>
          <w:bCs/>
          <w:color w:val="000000" w:themeColor="text1"/>
          <w:highlight w:val="none"/>
        </w:rPr>
      </w:pPr>
    </w:p>
    <w:p>
      <w:pPr>
        <w:rPr>
          <w:color w:val="000000" w:themeColor="text1"/>
          <w:highlight w:val="none"/>
        </w:rPr>
      </w:pPr>
    </w:p>
    <w:p>
      <w:pPr>
        <w:jc w:val="center"/>
        <w:rPr>
          <w:rFonts w:hint="eastAsia" w:ascii="宋体" w:hAnsi="宋体"/>
          <w:b/>
          <w:color w:val="000000" w:themeColor="text1"/>
          <w:sz w:val="30"/>
          <w:szCs w:val="30"/>
          <w:highlight w:val="none"/>
        </w:rPr>
      </w:pPr>
    </w:p>
    <w:p>
      <w:pPr>
        <w:jc w:val="center"/>
        <w:rPr>
          <w:rFonts w:hint="eastAsia" w:ascii="宋体" w:hAnsi="宋体"/>
          <w:b/>
          <w:color w:val="000000" w:themeColor="text1"/>
          <w:sz w:val="36"/>
          <w:szCs w:val="36"/>
          <w:highlight w:val="none"/>
        </w:rPr>
      </w:pPr>
    </w:p>
    <w:p>
      <w:pPr>
        <w:pStyle w:val="53"/>
        <w:rPr>
          <w:rFonts w:hint="eastAsia" w:ascii="宋体" w:hAnsi="宋体"/>
          <w:b/>
          <w:color w:val="000000" w:themeColor="text1"/>
          <w:sz w:val="36"/>
          <w:szCs w:val="36"/>
          <w:highlight w:val="none"/>
        </w:rPr>
      </w:pPr>
    </w:p>
    <w:p>
      <w:pPr>
        <w:pStyle w:val="53"/>
        <w:rPr>
          <w:rFonts w:hint="eastAsia" w:ascii="宋体" w:hAnsi="宋体"/>
          <w:b/>
          <w:color w:val="000000" w:themeColor="text1"/>
          <w:sz w:val="36"/>
          <w:szCs w:val="36"/>
          <w:highlight w:val="none"/>
        </w:rPr>
      </w:pPr>
    </w:p>
    <w:p>
      <w:pPr>
        <w:pStyle w:val="53"/>
        <w:rPr>
          <w:rFonts w:hint="eastAsia" w:ascii="宋体" w:hAnsi="宋体"/>
          <w:b/>
          <w:color w:val="000000" w:themeColor="text1"/>
          <w:sz w:val="36"/>
          <w:szCs w:val="36"/>
          <w:highlight w:val="none"/>
        </w:rPr>
      </w:pPr>
    </w:p>
    <w:p>
      <w:pPr>
        <w:pStyle w:val="53"/>
        <w:rPr>
          <w:rFonts w:hint="eastAsia" w:ascii="宋体" w:hAnsi="宋体"/>
          <w:b/>
          <w:color w:val="000000" w:themeColor="text1"/>
          <w:sz w:val="36"/>
          <w:szCs w:val="36"/>
          <w:highlight w:val="none"/>
        </w:rPr>
      </w:pPr>
    </w:p>
    <w:p>
      <w:pPr>
        <w:jc w:val="center"/>
        <w:rPr>
          <w:rFonts w:hint="eastAsia" w:ascii="宋体" w:hAnsi="宋体"/>
          <w:b/>
          <w:color w:val="000000" w:themeColor="text1"/>
          <w:sz w:val="72"/>
          <w:szCs w:val="72"/>
          <w:highlight w:val="none"/>
        </w:rPr>
      </w:pPr>
      <w:r>
        <w:rPr>
          <w:rFonts w:hint="eastAsia" w:ascii="宋体" w:hAnsi="宋体"/>
          <w:b/>
          <w:color w:val="000000" w:themeColor="text1"/>
          <w:sz w:val="72"/>
          <w:szCs w:val="72"/>
          <w:highlight w:val="none"/>
        </w:rPr>
        <w:t>合 同 书</w:t>
      </w:r>
    </w:p>
    <w:p>
      <w:pPr>
        <w:jc w:val="center"/>
        <w:rPr>
          <w:rFonts w:hint="eastAsia" w:ascii="宋体" w:hAnsi="宋体"/>
          <w:b/>
          <w:color w:val="000000" w:themeColor="text1"/>
          <w:sz w:val="28"/>
          <w:szCs w:val="28"/>
          <w:highlight w:val="none"/>
        </w:rPr>
      </w:pPr>
    </w:p>
    <w:p>
      <w:pPr>
        <w:jc w:val="center"/>
        <w:rPr>
          <w:rFonts w:hint="eastAsia" w:ascii="宋体" w:hAnsi="宋体"/>
          <w:b/>
          <w:color w:val="000000" w:themeColor="text1"/>
          <w:sz w:val="28"/>
          <w:szCs w:val="28"/>
          <w:highlight w:val="none"/>
        </w:rPr>
      </w:pPr>
    </w:p>
    <w:p>
      <w:pPr>
        <w:jc w:val="center"/>
        <w:rPr>
          <w:rFonts w:hint="eastAsia" w:ascii="宋体" w:hAnsi="宋体"/>
          <w:b/>
          <w:color w:val="000000" w:themeColor="text1"/>
          <w:sz w:val="28"/>
          <w:szCs w:val="28"/>
          <w:highlight w:val="none"/>
        </w:rPr>
      </w:pPr>
    </w:p>
    <w:p>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采购编号：</w:t>
      </w:r>
      <w:r>
        <w:rPr>
          <w:rFonts w:hint="eastAsia" w:ascii="宋体" w:hAnsi="宋体"/>
          <w:b/>
          <w:color w:val="000000" w:themeColor="text1"/>
          <w:sz w:val="28"/>
          <w:szCs w:val="28"/>
          <w:highlight w:val="none"/>
          <w:u w:val="single"/>
        </w:rPr>
        <w:t xml:space="preserve">                          </w:t>
      </w:r>
    </w:p>
    <w:p>
      <w:pPr>
        <w:rPr>
          <w:rFonts w:hint="eastAsia" w:ascii="宋体" w:hAnsi="宋体"/>
          <w:b/>
          <w:color w:val="000000" w:themeColor="text1"/>
          <w:sz w:val="28"/>
          <w:szCs w:val="28"/>
          <w:highlight w:val="none"/>
        </w:rPr>
      </w:pPr>
    </w:p>
    <w:p>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项目名称：</w:t>
      </w:r>
      <w:r>
        <w:rPr>
          <w:rFonts w:hint="eastAsia" w:ascii="宋体" w:hAnsi="宋体"/>
          <w:b/>
          <w:color w:val="000000" w:themeColor="text1"/>
          <w:sz w:val="28"/>
          <w:szCs w:val="28"/>
          <w:highlight w:val="none"/>
          <w:u w:val="single"/>
        </w:rPr>
        <w:t xml:space="preserve">                           </w:t>
      </w: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Cs w:val="21"/>
          <w:highlight w:val="none"/>
        </w:rPr>
      </w:pPr>
      <w:r>
        <w:rPr>
          <w:rFonts w:hint="eastAsia" w:ascii="宋体" w:hAnsi="宋体"/>
          <w:b/>
          <w:color w:val="000000" w:themeColor="text1"/>
          <w:szCs w:val="21"/>
          <w:highlight w:val="none"/>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    方：</w:t>
      </w:r>
      <w:r>
        <w:rPr>
          <w:rFonts w:hint="eastAsia" w:ascii="宋体" w:hAnsi="宋体" w:eastAsia="宋体" w:cs="宋体"/>
          <w:b/>
          <w:color w:val="000000" w:themeColor="text1"/>
          <w:sz w:val="21"/>
          <w:szCs w:val="21"/>
          <w:highlight w:val="none"/>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乙    方：</w:t>
      </w:r>
      <w:r>
        <w:rPr>
          <w:rFonts w:hint="eastAsia" w:ascii="宋体" w:hAnsi="宋体" w:eastAsia="宋体" w:cs="宋体"/>
          <w:b/>
          <w:color w:val="000000" w:themeColor="text1"/>
          <w:sz w:val="21"/>
          <w:szCs w:val="21"/>
          <w:highlight w:val="none"/>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根据 </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项目（采购编号：</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）的采购结果</w:t>
      </w:r>
      <w:r>
        <w:rPr>
          <w:rFonts w:hint="eastAsia" w:ascii="宋体" w:hAnsi="宋体" w:eastAsia="宋体" w:cs="宋体"/>
          <w:color w:val="000000" w:themeColor="text1"/>
          <w:sz w:val="21"/>
          <w:szCs w:val="21"/>
          <w:highlight w:val="none"/>
          <w:lang w:val="en-US" w:eastAsia="zh-CN"/>
        </w:rPr>
        <w:t>及</w:t>
      </w:r>
      <w:r>
        <w:rPr>
          <w:rFonts w:hint="eastAsia" w:ascii="宋体" w:hAnsi="宋体" w:eastAsia="宋体" w:cs="宋体"/>
          <w:color w:val="000000" w:themeColor="text1"/>
          <w:sz w:val="21"/>
          <w:szCs w:val="21"/>
          <w:highlight w:val="none"/>
        </w:rPr>
        <w:t>招标投标文件中的相关约定，按照《中华人民共和国政府采购法》、</w:t>
      </w:r>
      <w:r>
        <w:rPr>
          <w:rFonts w:hint="eastAsia" w:ascii="宋体" w:hAnsi="宋体" w:cs="宋体"/>
          <w:color w:val="000000" w:themeColor="text1"/>
          <w:sz w:val="21"/>
          <w:szCs w:val="21"/>
          <w:highlight w:val="none"/>
          <w:lang w:eastAsia="zh-CN"/>
        </w:rPr>
        <w:t>《中华人民共和国民法典》</w:t>
      </w:r>
      <w:r>
        <w:rPr>
          <w:rFonts w:hint="eastAsia" w:ascii="宋体" w:hAnsi="宋体" w:eastAsia="宋体" w:cs="宋体"/>
          <w:color w:val="000000" w:themeColor="text1"/>
          <w:sz w:val="21"/>
          <w:szCs w:val="21"/>
          <w:highlight w:val="none"/>
        </w:rPr>
        <w:t>的规定，</w:t>
      </w:r>
      <w:r>
        <w:rPr>
          <w:rFonts w:hint="eastAsia" w:ascii="宋体" w:hAnsi="宋体" w:eastAsia="宋体" w:cs="宋体"/>
          <w:color w:val="000000" w:themeColor="text1"/>
          <w:kern w:val="28"/>
          <w:sz w:val="21"/>
          <w:szCs w:val="21"/>
          <w:highlight w:val="none"/>
        </w:rPr>
        <w:t>经双方协商，</w:t>
      </w:r>
      <w:r>
        <w:rPr>
          <w:rFonts w:hint="eastAsia" w:ascii="宋体" w:hAnsi="宋体" w:eastAsia="宋体" w:cs="宋体"/>
          <w:color w:val="000000" w:themeColor="text1"/>
          <w:sz w:val="21"/>
          <w:szCs w:val="21"/>
          <w:highlight w:val="none"/>
        </w:rPr>
        <w:t>本着平等互利和诚实信用的原则，</w:t>
      </w:r>
      <w:r>
        <w:rPr>
          <w:rFonts w:hint="eastAsia" w:ascii="宋体" w:hAnsi="宋体" w:eastAsia="宋体" w:cs="宋体"/>
          <w:color w:val="000000" w:themeColor="text1"/>
          <w:kern w:val="28"/>
          <w:sz w:val="21"/>
          <w:szCs w:val="21"/>
          <w:highlight w:val="none"/>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一、</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合同金额为人民币（大写</w:t>
      </w:r>
      <w:r>
        <w:rPr>
          <w:rFonts w:hint="eastAsia" w:ascii="宋体" w:hAnsi="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 xml:space="preserve">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二、</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甲方聘请乙方提供以下服务：</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u w:val="single"/>
          <w:lang w:val="en-US" w:eastAsia="zh-CN"/>
        </w:rPr>
        <w:t xml:space="preserve">             </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rPr>
      </w:pPr>
      <w:r>
        <w:rPr>
          <w:rFonts w:hint="eastAsia" w:ascii="宋体" w:hAnsi="宋体" w:eastAsia="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u w:val="single"/>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eastAsia="宋体"/>
          <w:b/>
          <w:bCs/>
          <w:color w:val="000000" w:themeColor="text1"/>
          <w:highlight w:val="none"/>
          <w:lang w:val="en-US" w:eastAsia="zh-CN"/>
        </w:rPr>
        <w:t>三、</w:t>
      </w:r>
      <w:r>
        <w:rPr>
          <w:rFonts w:hint="eastAsia" w:ascii="宋体" w:hAnsi="宋体" w:eastAsia="宋体" w:cs="宋体"/>
          <w:b/>
          <w:bCs/>
          <w:color w:val="000000" w:themeColor="text1"/>
          <w:sz w:val="21"/>
          <w:szCs w:val="21"/>
          <w:highlight w:val="none"/>
        </w:rPr>
        <w:t>甲方乙方的权利和义务</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甲方的权利和义务</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乙方的权利和义务</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四、</w:t>
      </w:r>
      <w:r>
        <w:rPr>
          <w:rFonts w:hint="eastAsia" w:ascii="宋体" w:hAnsi="宋体" w:eastAsia="宋体" w:cs="宋体"/>
          <w:b/>
          <w:bCs/>
          <w:color w:val="000000" w:themeColor="text1"/>
          <w:sz w:val="21"/>
          <w:szCs w:val="21"/>
          <w:highlight w:val="none"/>
        </w:rPr>
        <w:t>服务期间（项目完成期限）</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 xml:space="preserve">委托服务期间自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月至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月止。</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五、付款方式</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六、 知识产权归属</w:t>
      </w:r>
    </w:p>
    <w:p>
      <w:pPr>
        <w:pStyle w:val="53"/>
        <w:rPr>
          <w:rFonts w:hint="eastAsia"/>
          <w:color w:val="000000" w:themeColor="text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七 、 保 密</w:t>
      </w:r>
    </w:p>
    <w:p>
      <w:pPr>
        <w:pStyle w:val="53"/>
        <w:rPr>
          <w:rFonts w:hint="eastAsia"/>
          <w:color w:val="000000" w:themeColor="text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八、 违约责任与赔偿损失</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乙方提供的服务不符合本合同规定的，甲方有权拒收，并且乙方须向甲方支付本合同总价 5%的违约金。</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甲方无正当理由拒收接受服务，到期拒付服务款项的，甲方向乙方偿付本合同总的5%的违约金。甲方人逾期付款，则每日按本合同总价的 3‰向乙方偿付违约金。</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其它违约责任按</w:t>
      </w:r>
      <w:r>
        <w:rPr>
          <w:rFonts w:hint="eastAsia" w:ascii="宋体" w:hAnsi="宋体" w:cs="宋体"/>
          <w:color w:val="000000" w:themeColor="text1"/>
          <w:sz w:val="21"/>
          <w:szCs w:val="21"/>
          <w:highlight w:val="none"/>
          <w:lang w:eastAsia="zh-CN"/>
        </w:rPr>
        <w:t>《中华人民共和国民法典》</w:t>
      </w:r>
      <w:r>
        <w:rPr>
          <w:rFonts w:hint="eastAsia" w:ascii="宋体" w:hAnsi="宋体" w:eastAsia="宋体" w:cs="宋体"/>
          <w:color w:val="000000" w:themeColor="text1"/>
          <w:sz w:val="21"/>
          <w:szCs w:val="21"/>
          <w:highlight w:val="none"/>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九、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十一、  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十二、 其它</w:t>
      </w:r>
    </w:p>
    <w:p>
      <w:pPr>
        <w:keepNext w:val="0"/>
        <w:keepLines w:val="0"/>
        <w:pageBreakBefore w:val="0"/>
        <w:widowControl w:val="0"/>
        <w:numPr>
          <w:ilvl w:val="0"/>
          <w:numId w:val="3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本合同所有附件、招标文件、投标文件、中标通知书均为合同的有效组成部分，与本合同具有同等法律效力。</w:t>
      </w:r>
    </w:p>
    <w:p>
      <w:pPr>
        <w:keepNext w:val="0"/>
        <w:keepLines w:val="0"/>
        <w:pageBreakBefore w:val="0"/>
        <w:widowControl w:val="0"/>
        <w:numPr>
          <w:ilvl w:val="0"/>
          <w:numId w:val="3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在执行本合同的过程中，所有经双方签署确认的文件（包括会议纪要、补充协议、往来信函）即成为本合同的有效组成部分。</w:t>
      </w:r>
    </w:p>
    <w:p>
      <w:pPr>
        <w:keepNext w:val="0"/>
        <w:keepLines w:val="0"/>
        <w:pageBreakBefore w:val="0"/>
        <w:widowControl w:val="0"/>
        <w:numPr>
          <w:ilvl w:val="0"/>
          <w:numId w:val="3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如一方地址、电话、传真号码有变更，应在变更当日内书面通知对方，否则，应承担相应责任。</w:t>
      </w:r>
    </w:p>
    <w:p>
      <w:pPr>
        <w:keepNext w:val="0"/>
        <w:keepLines w:val="0"/>
        <w:pageBreakBefore w:val="0"/>
        <w:widowControl w:val="0"/>
        <w:numPr>
          <w:ilvl w:val="0"/>
          <w:numId w:val="3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十三、</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合同生效</w:t>
      </w:r>
    </w:p>
    <w:p>
      <w:pPr>
        <w:keepNext w:val="0"/>
        <w:keepLines w:val="0"/>
        <w:pageBreakBefore w:val="0"/>
        <w:widowControl w:val="0"/>
        <w:numPr>
          <w:ilvl w:val="0"/>
          <w:numId w:val="3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本合同在甲乙双方法人代表或其授权代表签字盖章后生效。</w:t>
      </w:r>
    </w:p>
    <w:p>
      <w:pPr>
        <w:keepNext w:val="0"/>
        <w:keepLines w:val="0"/>
        <w:pageBreakBefore w:val="0"/>
        <w:widowControl w:val="0"/>
        <w:numPr>
          <w:ilvl w:val="0"/>
          <w:numId w:val="3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合同一式 </w:t>
      </w:r>
      <w:r>
        <w:rPr>
          <w:rFonts w:hint="eastAsia" w:ascii="宋体" w:hAnsi="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u w:val="single"/>
        </w:rPr>
        <w:tab/>
      </w:r>
      <w:r>
        <w:rPr>
          <w:rFonts w:hint="eastAsia" w:ascii="宋体" w:hAnsi="宋体" w:eastAsia="宋体" w:cs="宋体"/>
          <w:color w:val="000000" w:themeColor="text1"/>
          <w:sz w:val="21"/>
          <w:szCs w:val="21"/>
          <w:highlight w:val="none"/>
        </w:rPr>
        <w:t>份。</w:t>
      </w:r>
    </w:p>
    <w:p>
      <w:pPr>
        <w:keepNext w:val="0"/>
        <w:keepLines w:val="0"/>
        <w:pageBreakBefore w:val="0"/>
        <w:widowControl w:val="0"/>
        <w:numPr>
          <w:ilvl w:val="0"/>
          <w:numId w:val="3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本项目合同订立后，应提供</w:t>
      </w:r>
      <w:r>
        <w:rPr>
          <w:rFonts w:hint="eastAsia" w:ascii="宋体" w:hAnsi="宋体" w:eastAsia="宋体" w:cs="宋体"/>
          <w:color w:val="000000" w:themeColor="text1"/>
          <w:sz w:val="21"/>
          <w:szCs w:val="21"/>
          <w:highlight w:val="none"/>
          <w:lang w:val="en-US" w:eastAsia="zh-CN"/>
        </w:rPr>
        <w:t>一份</w:t>
      </w:r>
      <w:r>
        <w:rPr>
          <w:rFonts w:hint="eastAsia" w:ascii="宋体" w:hAnsi="宋体" w:eastAsia="宋体" w:cs="宋体"/>
          <w:color w:val="000000" w:themeColor="text1"/>
          <w:sz w:val="21"/>
          <w:szCs w:val="21"/>
          <w:highlight w:val="none"/>
        </w:rPr>
        <w:t>至</w:t>
      </w:r>
      <w:r>
        <w:rPr>
          <w:rFonts w:hint="eastAsia" w:ascii="宋体" w:hAnsi="宋体" w:eastAsia="宋体" w:cs="宋体"/>
          <w:color w:val="000000" w:themeColor="text1"/>
          <w:sz w:val="21"/>
          <w:szCs w:val="21"/>
          <w:highlight w:val="none"/>
          <w:u w:val="single"/>
        </w:rPr>
        <w:t>广东业信采购招标有限公司</w:t>
      </w:r>
      <w:r>
        <w:rPr>
          <w:rFonts w:hint="eastAsia" w:ascii="宋体" w:hAnsi="宋体" w:eastAsia="宋体" w:cs="宋体"/>
          <w:color w:val="000000" w:themeColor="text1"/>
          <w:sz w:val="21"/>
          <w:szCs w:val="21"/>
          <w:highlight w:val="none"/>
        </w:rPr>
        <w:t xml:space="preserve">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银行帐号：</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highlight w:val="none"/>
        </w:rPr>
      </w:pPr>
      <w:r>
        <w:rPr>
          <w:rFonts w:hint="eastAsia" w:ascii="宋体" w:hAnsi="宋体" w:eastAsia="宋体" w:cs="宋体"/>
          <w:color w:val="000000" w:themeColor="text1"/>
          <w:sz w:val="21"/>
          <w:szCs w:val="21"/>
          <w:highlight w:val="none"/>
        </w:rPr>
        <w:t>开 户 行：</w:t>
      </w:r>
    </w:p>
    <w:p>
      <w:pPr>
        <w:rPr>
          <w:color w:val="000000" w:themeColor="text1"/>
          <w:highlight w:val="none"/>
        </w:rPr>
      </w:pPr>
    </w:p>
    <w:p>
      <w:pPr>
        <w:tabs>
          <w:tab w:val="left" w:pos="1004"/>
        </w:tabs>
        <w:spacing w:line="440" w:lineRule="exact"/>
        <w:ind w:right="31" w:rightChars="15"/>
        <w:rPr>
          <w:rFonts w:ascii="宋体" w:hAnsi="宋体"/>
          <w:b/>
          <w:bCs/>
          <w:color w:val="000000" w:themeColor="text1"/>
          <w:szCs w:val="21"/>
          <w:highlight w:val="none"/>
        </w:rPr>
        <w:sectPr>
          <w:pgSz w:w="11906" w:h="16838"/>
          <w:pgMar w:top="1418" w:right="1474" w:bottom="1418" w:left="1474" w:header="851" w:footer="851" w:gutter="0"/>
          <w:cols w:space="720" w:num="1"/>
          <w:titlePg/>
          <w:docGrid w:linePitch="312" w:charSpace="0"/>
        </w:sectPr>
      </w:pPr>
    </w:p>
    <w:p>
      <w:pPr>
        <w:pStyle w:val="3"/>
        <w:numPr>
          <w:ilvl w:val="0"/>
          <w:numId w:val="0"/>
        </w:numPr>
        <w:spacing w:beforeLines="0"/>
        <w:rPr>
          <w:color w:val="000000" w:themeColor="text1"/>
          <w:highlight w:val="none"/>
        </w:rPr>
      </w:pPr>
      <w:bookmarkStart w:id="1614" w:name="_Toc331512908"/>
      <w:bookmarkStart w:id="1615" w:name="_Toc339362310"/>
      <w:bookmarkStart w:id="1616" w:name="_Toc339441097"/>
      <w:bookmarkStart w:id="1617" w:name="_Toc337632368"/>
      <w:bookmarkStart w:id="1618" w:name="_Toc340677080"/>
      <w:bookmarkStart w:id="1619" w:name="_Toc340507452"/>
      <w:bookmarkStart w:id="1620" w:name="_Toc333238643"/>
      <w:bookmarkStart w:id="1621" w:name="_Toc342296770"/>
      <w:bookmarkStart w:id="1622" w:name="_Toc336681590"/>
      <w:bookmarkStart w:id="1623" w:name="_Toc336681945"/>
      <w:bookmarkStart w:id="1624" w:name="_Toc500861025"/>
      <w:bookmarkStart w:id="1625" w:name="_Toc365967082"/>
      <w:bookmarkStart w:id="1626" w:name="_Toc332206718"/>
      <w:bookmarkStart w:id="1627" w:name="_Toc350438759"/>
      <w:bookmarkStart w:id="1628" w:name="_Toc341348348"/>
      <w:bookmarkStart w:id="1629" w:name="_Toc339020025"/>
      <w:bookmarkStart w:id="1630" w:name="_Toc332270356"/>
      <w:bookmarkStart w:id="1631" w:name="_Toc339019899"/>
      <w:bookmarkStart w:id="1632" w:name="_Toc491658678"/>
      <w:bookmarkStart w:id="1633" w:name="_Toc365985188"/>
      <w:bookmarkStart w:id="1634" w:name="_Toc333935697"/>
      <w:bookmarkStart w:id="1635" w:name="_Toc333237798"/>
      <w:bookmarkStart w:id="1636" w:name="_Toc331684048"/>
      <w:bookmarkStart w:id="1637" w:name="_Toc342060384"/>
      <w:bookmarkStart w:id="1638" w:name="_Toc339020105"/>
      <w:bookmarkStart w:id="1639" w:name="_Toc333935356"/>
      <w:bookmarkStart w:id="1640" w:name="_Toc345513911"/>
      <w:bookmarkStart w:id="1641" w:name="_Toc330459995"/>
      <w:bookmarkStart w:id="1642" w:name="_Toc349127636"/>
      <w:bookmarkStart w:id="1643" w:name="_Toc339020243"/>
      <w:bookmarkStart w:id="1644" w:name="_Toc333237687"/>
      <w:bookmarkStart w:id="1645" w:name="_Toc366072539"/>
      <w:bookmarkStart w:id="1646" w:name="_Toc24344"/>
      <w:bookmarkStart w:id="1647" w:name="_Toc349143599"/>
      <w:bookmarkStart w:id="1648" w:name="_Toc350756460"/>
      <w:bookmarkStart w:id="1649" w:name="_Toc340672879"/>
      <w:r>
        <w:rPr>
          <w:rFonts w:hint="eastAsia"/>
          <w:color w:val="000000" w:themeColor="text1"/>
          <w:highlight w:val="none"/>
        </w:rPr>
        <w:t>第五部分</w:t>
      </w:r>
      <w:bookmarkStart w:id="1650" w:name="_Hlt97188172"/>
      <w:bookmarkEnd w:id="1650"/>
      <w:r>
        <w:rPr>
          <w:rFonts w:hint="eastAsia"/>
          <w:color w:val="000000" w:themeColor="text1"/>
          <w:highlight w:val="none"/>
        </w:rPr>
        <w:t>投标文件格式</w:t>
      </w:r>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Start w:id="1651" w:name="_Hlt21938933"/>
      <w:bookmarkEnd w:id="1651"/>
    </w:p>
    <w:p>
      <w:pPr>
        <w:pStyle w:val="4"/>
        <w:numPr>
          <w:ilvl w:val="0"/>
          <w:numId w:val="0"/>
        </w:numPr>
        <w:rPr>
          <w:color w:val="000000" w:themeColor="text1"/>
          <w:sz w:val="24"/>
          <w:highlight w:val="none"/>
        </w:rPr>
      </w:pPr>
      <w:bookmarkStart w:id="1652" w:name="_Toc18699"/>
      <w:bookmarkStart w:id="1653" w:name="_Toc19539"/>
      <w:r>
        <w:rPr>
          <w:rFonts w:hint="eastAsia"/>
          <w:color w:val="000000" w:themeColor="text1"/>
          <w:sz w:val="24"/>
          <w:highlight w:val="none"/>
        </w:rPr>
        <w:t>资格审查封面格式</w:t>
      </w:r>
      <w:bookmarkEnd w:id="1652"/>
      <w:bookmarkEnd w:id="1653"/>
    </w:p>
    <w:p>
      <w:pPr>
        <w:pStyle w:val="5"/>
        <w:rPr>
          <w:rFonts w:hAnsi="宋体"/>
          <w:bCs/>
          <w:color w:val="000000" w:themeColor="text1"/>
          <w:sz w:val="21"/>
          <w:highlight w:val="none"/>
        </w:rPr>
      </w:pP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 xml:space="preserve">1、投标内容应当编有目录、页码，按页码排序并装订成册。  </w:t>
      </w:r>
    </w:p>
    <w:p>
      <w:pPr>
        <w:pStyle w:val="5"/>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pPr>
        <w:pStyle w:val="5"/>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（资格审查文件）</w:t>
      </w: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440" w:lineRule="exact"/>
        <w:jc w:val="center"/>
        <w:rPr>
          <w:rFonts w:hAnsi="宋体"/>
          <w:bCs/>
          <w:color w:val="000000" w:themeColor="text1"/>
          <w:sz w:val="21"/>
          <w:highlight w:val="none"/>
        </w:rPr>
      </w:pPr>
    </w:p>
    <w:p>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5"/>
        <w:spacing w:line="440" w:lineRule="exact"/>
        <w:rPr>
          <w:rFonts w:hint="default" w:hAnsi="宋体" w:eastAsia="宋体"/>
          <w:bCs/>
          <w:color w:val="000000" w:themeColor="text1"/>
          <w:sz w:val="21"/>
          <w:highlight w:val="none"/>
          <w:lang w:val="en-US" w:eastAsia="zh-CN"/>
        </w:rPr>
      </w:pP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5"/>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pStyle w:val="4"/>
        <w:numPr>
          <w:ilvl w:val="7"/>
          <w:numId w:val="6"/>
        </w:numPr>
        <w:tabs>
          <w:tab w:val="clear" w:pos="720"/>
        </w:tabs>
        <w:spacing w:before="240" w:after="240" w:line="360" w:lineRule="exact"/>
        <w:ind w:left="0" w:firstLine="0"/>
        <w:rPr>
          <w:color w:val="000000" w:themeColor="text1"/>
          <w:sz w:val="24"/>
          <w:highlight w:val="none"/>
        </w:rPr>
      </w:pPr>
      <w:r>
        <w:rPr>
          <w:rFonts w:hint="eastAsia"/>
          <w:color w:val="000000" w:themeColor="text1"/>
          <w:sz w:val="24"/>
          <w:highlight w:val="none"/>
        </w:rPr>
        <w:t xml:space="preserve">  </w:t>
      </w:r>
      <w:bookmarkStart w:id="1654" w:name="_Toc31809"/>
      <w:bookmarkStart w:id="1655" w:name="_Toc21837"/>
      <w:r>
        <w:rPr>
          <w:rFonts w:hint="eastAsia"/>
          <w:color w:val="000000" w:themeColor="text1"/>
          <w:sz w:val="24"/>
          <w:highlight w:val="none"/>
        </w:rPr>
        <w:t>自查表</w:t>
      </w:r>
      <w:bookmarkEnd w:id="1654"/>
      <w:bookmarkEnd w:id="1655"/>
    </w:p>
    <w:p>
      <w:pPr>
        <w:pStyle w:val="4"/>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656" w:name="_Toc15898"/>
      <w:r>
        <w:rPr>
          <w:rFonts w:hint="eastAsia" w:ascii="宋体"/>
          <w:b/>
          <w:bCs w:val="0"/>
          <w:color w:val="000000" w:themeColor="text1"/>
          <w:szCs w:val="21"/>
          <w:highlight w:val="none"/>
        </w:rPr>
        <w:t xml:space="preserve"> </w:t>
      </w:r>
      <w:bookmarkStart w:id="1657" w:name="_Toc4688"/>
      <w:r>
        <w:rPr>
          <w:rFonts w:hint="eastAsia" w:ascii="宋体"/>
          <w:b/>
          <w:bCs w:val="0"/>
          <w:color w:val="000000" w:themeColor="text1"/>
          <w:szCs w:val="21"/>
          <w:highlight w:val="none"/>
        </w:rPr>
        <w:t>资格性自查表</w:t>
      </w:r>
      <w:bookmarkEnd w:id="1656"/>
      <w:bookmarkEnd w:id="1657"/>
    </w:p>
    <w:p>
      <w:pPr>
        <w:jc w:val="center"/>
        <w:rPr>
          <w:rFonts w:hint="default" w:ascii="宋体" w:hAnsi="宋体" w:eastAsia="宋体"/>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01包组</w:t>
      </w: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25"/>
        <w:gridCol w:w="379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4"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3798"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0" w:hRule="atLeast"/>
          <w:jc w:val="center"/>
        </w:trPr>
        <w:tc>
          <w:tcPr>
            <w:tcW w:w="709" w:type="dxa"/>
            <w:vMerge w:val="restart"/>
            <w:vAlign w:val="center"/>
          </w:tcPr>
          <w:p>
            <w:pPr>
              <w:bidi w:val="0"/>
              <w:rPr>
                <w:color w:val="000000" w:themeColor="text1"/>
                <w:highlight w:val="none"/>
              </w:rPr>
            </w:pPr>
            <w:r>
              <w:rPr>
                <w:rFonts w:hint="eastAsia"/>
                <w:color w:val="000000" w:themeColor="text1"/>
                <w:highlight w:val="none"/>
              </w:rPr>
              <w:t>资格性检查</w:t>
            </w:r>
          </w:p>
        </w:tc>
        <w:tc>
          <w:tcPr>
            <w:tcW w:w="1125" w:type="dxa"/>
            <w:vMerge w:val="restart"/>
            <w:vAlign w:val="center"/>
          </w:tcPr>
          <w:p>
            <w:pPr>
              <w:bidi w:val="0"/>
              <w:rPr>
                <w:color w:val="000000" w:themeColor="text1"/>
                <w:highlight w:val="none"/>
              </w:rPr>
            </w:pPr>
            <w:r>
              <w:rPr>
                <w:rFonts w:hint="eastAsia"/>
                <w:color w:val="000000" w:themeColor="text1"/>
                <w:highlight w:val="none"/>
              </w:rPr>
              <w:t>投标人资格要求</w:t>
            </w:r>
          </w:p>
        </w:tc>
        <w:tc>
          <w:tcPr>
            <w:tcW w:w="379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tabs>
                <w:tab w:val="left" w:pos="0"/>
              </w:tabs>
              <w:rPr>
                <w:rFonts w:ascii="宋体" w:hAnsi="宋体"/>
                <w:b/>
                <w:bCs/>
                <w:color w:val="000000" w:themeColor="text1"/>
                <w:szCs w:val="21"/>
                <w:highlight w:val="none"/>
              </w:rPr>
            </w:pP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见投标文件</w:t>
            </w:r>
          </w:p>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要求：提交合法有效的营业执照复印件加盖公章、</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709"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125" w:type="dxa"/>
            <w:vMerge w:val="continue"/>
            <w:vAlign w:val="center"/>
          </w:tcPr>
          <w:p>
            <w:pPr>
              <w:tabs>
                <w:tab w:val="left" w:pos="146"/>
              </w:tabs>
              <w:ind w:left="146"/>
              <w:rPr>
                <w:rFonts w:ascii="宋体" w:hAnsi="宋体"/>
                <w:color w:val="000000" w:themeColor="text1"/>
                <w:szCs w:val="21"/>
                <w:highlight w:val="none"/>
              </w:rPr>
            </w:pPr>
          </w:p>
        </w:tc>
        <w:tc>
          <w:tcPr>
            <w:tcW w:w="3798" w:type="dxa"/>
            <w:vAlign w:val="center"/>
          </w:tcPr>
          <w:p>
            <w:pPr>
              <w:tabs>
                <w:tab w:val="left" w:pos="0"/>
              </w:tabs>
              <w:rPr>
                <w:rFonts w:ascii="宋体" w:hAnsi="宋体"/>
                <w:color w:val="000000" w:themeColor="text1"/>
                <w:szCs w:val="21"/>
                <w:highlight w:val="none"/>
              </w:rPr>
            </w:pPr>
            <w:r>
              <w:rPr>
                <w:rFonts w:hint="eastAsia" w:ascii="宋体" w:hAnsi="宋体" w:eastAsia="宋体" w:cs="宋体"/>
                <w:color w:val="000000" w:themeColor="text1"/>
                <w:highlight w:val="none"/>
                <w:lang w:val="en-US" w:eastAsia="zh-CN"/>
              </w:rPr>
              <w:t>单位负责人为同一人或者存在直接控股、管理关系的不同供应商，不得参加同一合同项下的政府采购活动。（提供</w:t>
            </w:r>
            <w:r>
              <w:rPr>
                <w:rFonts w:hint="eastAsia" w:ascii="宋体" w:hAnsi="宋体" w:cs="宋体"/>
                <w:color w:val="000000" w:themeColor="text1"/>
                <w:highlight w:val="none"/>
                <w:lang w:val="en-US" w:eastAsia="zh-CN"/>
              </w:rPr>
              <w:t>《投标函》</w:t>
            </w:r>
            <w:r>
              <w:rPr>
                <w:rFonts w:hint="eastAsia" w:ascii="宋体" w:hAnsi="宋体" w:eastAsia="宋体" w:cs="宋体"/>
                <w:color w:val="000000" w:themeColor="text1"/>
                <w:highlight w:val="none"/>
                <w:lang w:val="en-US" w:eastAsia="zh-CN"/>
              </w:rPr>
              <w:t>承诺）</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709"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125" w:type="dxa"/>
            <w:vMerge w:val="continue"/>
            <w:vAlign w:val="center"/>
          </w:tcPr>
          <w:p>
            <w:pPr>
              <w:tabs>
                <w:tab w:val="left" w:pos="146"/>
              </w:tabs>
              <w:ind w:left="146"/>
              <w:rPr>
                <w:rFonts w:ascii="宋体" w:hAnsi="宋体"/>
                <w:color w:val="000000" w:themeColor="text1"/>
                <w:szCs w:val="21"/>
                <w:highlight w:val="none"/>
              </w:rPr>
            </w:pPr>
          </w:p>
        </w:tc>
        <w:tc>
          <w:tcPr>
            <w:tcW w:w="3798" w:type="dxa"/>
            <w:vAlign w:val="center"/>
          </w:tcPr>
          <w:p>
            <w:pPr>
              <w:tabs>
                <w:tab w:val="left" w:pos="0"/>
              </w:tabs>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为采购项目提供整体设计、规范编制或者项目管理、监理、检测等服务的供应商，不得再参加采购项目的其他采购活动。（提供</w:t>
            </w:r>
            <w:r>
              <w:rPr>
                <w:rFonts w:hint="eastAsia" w:ascii="宋体" w:hAnsi="宋体" w:cs="宋体"/>
                <w:color w:val="000000" w:themeColor="text1"/>
                <w:highlight w:val="none"/>
                <w:lang w:val="en-US" w:eastAsia="zh-CN"/>
              </w:rPr>
              <w:t>《投标函》</w:t>
            </w:r>
            <w:r>
              <w:rPr>
                <w:rFonts w:hint="eastAsia" w:ascii="宋体" w:hAnsi="宋体" w:eastAsia="宋体" w:cs="宋体"/>
                <w:color w:val="000000" w:themeColor="text1"/>
                <w:highlight w:val="none"/>
                <w:lang w:val="en-US" w:eastAsia="zh-CN"/>
              </w:rPr>
              <w:t>承诺）</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1" w:hRule="atLeast"/>
          <w:jc w:val="center"/>
        </w:trPr>
        <w:tc>
          <w:tcPr>
            <w:tcW w:w="709"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125" w:type="dxa"/>
            <w:vMerge w:val="continue"/>
            <w:vAlign w:val="center"/>
          </w:tcPr>
          <w:p>
            <w:pPr>
              <w:tabs>
                <w:tab w:val="left" w:pos="146"/>
              </w:tabs>
              <w:ind w:left="146"/>
              <w:rPr>
                <w:rFonts w:ascii="宋体" w:hAnsi="宋体"/>
                <w:color w:val="000000" w:themeColor="text1"/>
                <w:szCs w:val="21"/>
                <w:highlight w:val="none"/>
              </w:rPr>
            </w:pPr>
          </w:p>
        </w:tc>
        <w:tc>
          <w:tcPr>
            <w:tcW w:w="3798" w:type="dxa"/>
            <w:vAlign w:val="center"/>
          </w:tcPr>
          <w:p>
            <w:pPr>
              <w:tabs>
                <w:tab w:val="left" w:pos="0"/>
              </w:tabs>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09"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125" w:type="dxa"/>
            <w:vMerge w:val="continue"/>
            <w:vAlign w:val="center"/>
          </w:tcPr>
          <w:p>
            <w:pPr>
              <w:tabs>
                <w:tab w:val="left" w:pos="146"/>
              </w:tabs>
              <w:ind w:left="146"/>
              <w:rPr>
                <w:rFonts w:ascii="宋体" w:hAnsi="宋体"/>
                <w:color w:val="000000" w:themeColor="text1"/>
                <w:szCs w:val="21"/>
                <w:highlight w:val="none"/>
              </w:rPr>
            </w:pPr>
          </w:p>
        </w:tc>
        <w:tc>
          <w:tcPr>
            <w:tcW w:w="3798" w:type="dxa"/>
            <w:vAlign w:val="center"/>
          </w:tcPr>
          <w:p>
            <w:pPr>
              <w:tabs>
                <w:tab w:val="left" w:pos="0"/>
              </w:tabs>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投标人必须具备有效的《食品经营许可证》</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09"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125" w:type="dxa"/>
            <w:vAlign w:val="center"/>
          </w:tcPr>
          <w:p>
            <w:pPr>
              <w:tabs>
                <w:tab w:val="left" w:pos="146"/>
              </w:tabs>
              <w:rPr>
                <w:rFonts w:ascii="宋体" w:hAnsi="宋体"/>
                <w:b/>
                <w:bCs/>
                <w:color w:val="000000" w:themeColor="text1"/>
                <w:szCs w:val="21"/>
                <w:highlight w:val="none"/>
              </w:rPr>
            </w:pPr>
            <w:r>
              <w:rPr>
                <w:rFonts w:hint="eastAsia" w:ascii="宋体" w:hAnsi="宋体"/>
                <w:color w:val="000000" w:themeColor="text1"/>
                <w:szCs w:val="21"/>
                <w:highlight w:val="none"/>
              </w:rPr>
              <w:t>不接受联合体投标</w:t>
            </w:r>
          </w:p>
        </w:tc>
        <w:tc>
          <w:tcPr>
            <w:tcW w:w="379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107" w:leftChars="-51" w:firstLine="106"/>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pPr>
        <w:tabs>
          <w:tab w:val="center" w:pos="4483"/>
        </w:tabs>
        <w:rPr>
          <w:rFonts w:ascii="宋体" w:hAnsi="宋体"/>
          <w:color w:val="000000" w:themeColor="text1"/>
          <w:szCs w:val="21"/>
          <w:highlight w:val="none"/>
        </w:rPr>
      </w:pPr>
      <w:r>
        <w:rPr>
          <w:rFonts w:hint="eastAsia" w:ascii="宋体" w:hAnsi="宋体"/>
          <w:color w:val="000000" w:themeColor="text1"/>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p>
    <w:p>
      <w:pPr>
        <w:adjustRightInd w:val="0"/>
        <w:snapToGrid w:val="0"/>
        <w:spacing w:line="300" w:lineRule="auto"/>
        <w:rPr>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adjustRightInd w:val="0"/>
        <w:snapToGrid w:val="0"/>
        <w:spacing w:line="300" w:lineRule="auto"/>
        <w:rPr>
          <w:color w:val="000000" w:themeColor="text1"/>
          <w:sz w:val="24"/>
          <w:highlight w:val="none"/>
        </w:rPr>
      </w:pPr>
    </w:p>
    <w:p>
      <w:pPr>
        <w:adjustRightInd w:val="0"/>
        <w:snapToGrid w:val="0"/>
        <w:spacing w:line="300" w:lineRule="auto"/>
        <w:rPr>
          <w:color w:val="000000" w:themeColor="text1"/>
          <w:sz w:val="24"/>
          <w:highlight w:val="none"/>
        </w:rPr>
      </w:pPr>
    </w:p>
    <w:p>
      <w:pPr>
        <w:adjustRightInd w:val="0"/>
        <w:snapToGrid w:val="0"/>
        <w:spacing w:line="300" w:lineRule="auto"/>
        <w:rPr>
          <w:color w:val="000000" w:themeColor="text1"/>
          <w:sz w:val="24"/>
          <w:highlight w:val="none"/>
        </w:rPr>
      </w:pPr>
    </w:p>
    <w:p>
      <w:pPr>
        <w:tabs>
          <w:tab w:val="left" w:pos="1004"/>
          <w:tab w:val="left" w:pos="4267"/>
        </w:tabs>
        <w:spacing w:line="400" w:lineRule="exact"/>
        <w:rPr>
          <w:rFonts w:ascii="宋体" w:hAnsi="宋体"/>
          <w:bCs/>
          <w:color w:val="000000" w:themeColor="text1"/>
          <w:highlight w:val="none"/>
        </w:rPr>
        <w:sectPr>
          <w:footerReference r:id="rId12" w:type="first"/>
          <w:footerReference r:id="rId11" w:type="default"/>
          <w:pgSz w:w="11906" w:h="16838"/>
          <w:pgMar w:top="1474" w:right="1418" w:bottom="1474" w:left="1418" w:header="851" w:footer="851" w:gutter="0"/>
          <w:cols w:space="720" w:num="1"/>
          <w:titlePg/>
          <w:docGrid w:linePitch="312" w:charSpace="0"/>
        </w:sectPr>
      </w:pPr>
    </w:p>
    <w:p>
      <w:pPr>
        <w:jc w:val="center"/>
        <w:rPr>
          <w:rFonts w:hint="eastAsia" w:ascii="宋体" w:hAnsi="宋体"/>
          <w:b/>
          <w:bCs/>
          <w:color w:val="000000" w:themeColor="text1"/>
          <w:szCs w:val="21"/>
          <w:highlight w:val="none"/>
          <w:lang w:val="en-US" w:eastAsia="zh-CN"/>
        </w:rPr>
      </w:pPr>
      <w:bookmarkStart w:id="1658" w:name="_Toc21470"/>
      <w:r>
        <w:rPr>
          <w:rFonts w:hint="eastAsia" w:ascii="宋体"/>
          <w:b/>
          <w:bCs w:val="0"/>
          <w:color w:val="000000" w:themeColor="text1"/>
          <w:szCs w:val="21"/>
          <w:highlight w:val="none"/>
        </w:rPr>
        <w:t xml:space="preserve"> 资格性自查表</w:t>
      </w:r>
    </w:p>
    <w:p>
      <w:pPr>
        <w:jc w:val="center"/>
        <w:rPr>
          <w:rFonts w:hint="default" w:ascii="宋体" w:hAnsi="宋体" w:eastAsia="宋体"/>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02包组</w:t>
      </w: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02"/>
        <w:gridCol w:w="3521"/>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1"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3521"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jc w:val="center"/>
        </w:trPr>
        <w:tc>
          <w:tcPr>
            <w:tcW w:w="709" w:type="dxa"/>
            <w:vMerge w:val="restart"/>
            <w:vAlign w:val="center"/>
          </w:tcPr>
          <w:p>
            <w:pPr>
              <w:bidi w:val="0"/>
              <w:rPr>
                <w:color w:val="000000" w:themeColor="text1"/>
                <w:highlight w:val="none"/>
              </w:rPr>
            </w:pPr>
            <w:r>
              <w:rPr>
                <w:rFonts w:hint="eastAsia"/>
                <w:color w:val="000000" w:themeColor="text1"/>
                <w:highlight w:val="none"/>
              </w:rPr>
              <w:t>资格性检查</w:t>
            </w:r>
          </w:p>
        </w:tc>
        <w:tc>
          <w:tcPr>
            <w:tcW w:w="1402" w:type="dxa"/>
            <w:vMerge w:val="restart"/>
            <w:vAlign w:val="center"/>
          </w:tcPr>
          <w:p>
            <w:pPr>
              <w:bidi w:val="0"/>
              <w:rPr>
                <w:color w:val="000000" w:themeColor="text1"/>
                <w:highlight w:val="none"/>
              </w:rPr>
            </w:pPr>
            <w:r>
              <w:rPr>
                <w:rFonts w:hint="eastAsia"/>
                <w:color w:val="000000" w:themeColor="text1"/>
                <w:highlight w:val="none"/>
              </w:rPr>
              <w:t>投标人资格要求</w:t>
            </w:r>
          </w:p>
        </w:tc>
        <w:tc>
          <w:tcPr>
            <w:tcW w:w="3521"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tabs>
                <w:tab w:val="left" w:pos="0"/>
              </w:tabs>
              <w:rPr>
                <w:rFonts w:ascii="宋体" w:hAnsi="宋体"/>
                <w:b/>
                <w:bCs/>
                <w:color w:val="000000" w:themeColor="text1"/>
                <w:szCs w:val="21"/>
                <w:highlight w:val="none"/>
              </w:rPr>
            </w:pP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见投标文件</w:t>
            </w:r>
          </w:p>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要求：提交合法有效的营业执照复印件加盖公章、</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709"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402" w:type="dxa"/>
            <w:vMerge w:val="continue"/>
            <w:vAlign w:val="center"/>
          </w:tcPr>
          <w:p>
            <w:pPr>
              <w:tabs>
                <w:tab w:val="left" w:pos="146"/>
              </w:tabs>
              <w:ind w:left="146"/>
              <w:rPr>
                <w:rFonts w:ascii="宋体" w:hAnsi="宋体"/>
                <w:color w:val="000000" w:themeColor="text1"/>
                <w:szCs w:val="21"/>
                <w:highlight w:val="none"/>
              </w:rPr>
            </w:pPr>
          </w:p>
        </w:tc>
        <w:tc>
          <w:tcPr>
            <w:tcW w:w="3521" w:type="dxa"/>
            <w:vAlign w:val="center"/>
          </w:tcPr>
          <w:p>
            <w:pPr>
              <w:tabs>
                <w:tab w:val="left" w:pos="0"/>
              </w:tabs>
              <w:rPr>
                <w:rFonts w:ascii="宋体" w:hAnsi="宋体"/>
                <w:color w:val="000000" w:themeColor="text1"/>
                <w:szCs w:val="21"/>
                <w:highlight w:val="none"/>
              </w:rPr>
            </w:pPr>
            <w:r>
              <w:rPr>
                <w:rFonts w:hint="eastAsia" w:ascii="宋体" w:hAnsi="宋体" w:eastAsia="宋体" w:cs="宋体"/>
                <w:color w:val="000000" w:themeColor="text1"/>
                <w:highlight w:val="none"/>
                <w:lang w:val="en-US" w:eastAsia="zh-CN"/>
              </w:rPr>
              <w:t>单位负责人为同一人或者存在直接控股、管理关系的不同供应商，不得参加同一合同项下的政府采购活动。（提供</w:t>
            </w:r>
            <w:r>
              <w:rPr>
                <w:rFonts w:hint="eastAsia" w:ascii="宋体" w:hAnsi="宋体" w:cs="宋体"/>
                <w:color w:val="000000" w:themeColor="text1"/>
                <w:highlight w:val="none"/>
                <w:lang w:val="en-US" w:eastAsia="zh-CN"/>
              </w:rPr>
              <w:t>《投标函》</w:t>
            </w:r>
            <w:r>
              <w:rPr>
                <w:rFonts w:hint="eastAsia" w:ascii="宋体" w:hAnsi="宋体" w:eastAsia="宋体" w:cs="宋体"/>
                <w:color w:val="000000" w:themeColor="text1"/>
                <w:highlight w:val="none"/>
                <w:lang w:val="en-US" w:eastAsia="zh-CN"/>
              </w:rPr>
              <w:t>承诺）</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709"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402" w:type="dxa"/>
            <w:vMerge w:val="continue"/>
            <w:vAlign w:val="center"/>
          </w:tcPr>
          <w:p>
            <w:pPr>
              <w:tabs>
                <w:tab w:val="left" w:pos="146"/>
              </w:tabs>
              <w:ind w:left="146"/>
              <w:rPr>
                <w:rFonts w:ascii="宋体" w:hAnsi="宋体"/>
                <w:color w:val="000000" w:themeColor="text1"/>
                <w:szCs w:val="21"/>
                <w:highlight w:val="none"/>
              </w:rPr>
            </w:pPr>
          </w:p>
        </w:tc>
        <w:tc>
          <w:tcPr>
            <w:tcW w:w="3521" w:type="dxa"/>
            <w:vAlign w:val="center"/>
          </w:tcPr>
          <w:p>
            <w:pPr>
              <w:tabs>
                <w:tab w:val="left" w:pos="0"/>
              </w:tabs>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为采购项目提供整体设计、规范编制或者项目管理、监理、检测等服务的供应商，不得再参加采购项目的其他采购活动。（提供</w:t>
            </w:r>
            <w:r>
              <w:rPr>
                <w:rFonts w:hint="eastAsia" w:ascii="宋体" w:hAnsi="宋体" w:cs="宋体"/>
                <w:color w:val="000000" w:themeColor="text1"/>
                <w:highlight w:val="none"/>
                <w:lang w:val="en-US" w:eastAsia="zh-CN"/>
              </w:rPr>
              <w:t>《投标函》</w:t>
            </w:r>
            <w:r>
              <w:rPr>
                <w:rFonts w:hint="eastAsia" w:ascii="宋体" w:hAnsi="宋体" w:eastAsia="宋体" w:cs="宋体"/>
                <w:color w:val="000000" w:themeColor="text1"/>
                <w:highlight w:val="none"/>
                <w:lang w:val="en-US" w:eastAsia="zh-CN"/>
              </w:rPr>
              <w:t>承诺）</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5" w:hRule="atLeast"/>
          <w:jc w:val="center"/>
        </w:trPr>
        <w:tc>
          <w:tcPr>
            <w:tcW w:w="709"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402" w:type="dxa"/>
            <w:vMerge w:val="continue"/>
            <w:vAlign w:val="center"/>
          </w:tcPr>
          <w:p>
            <w:pPr>
              <w:tabs>
                <w:tab w:val="left" w:pos="146"/>
              </w:tabs>
              <w:ind w:left="146"/>
              <w:rPr>
                <w:rFonts w:ascii="宋体" w:hAnsi="宋体"/>
                <w:color w:val="000000" w:themeColor="text1"/>
                <w:szCs w:val="21"/>
                <w:highlight w:val="none"/>
              </w:rPr>
            </w:pPr>
          </w:p>
        </w:tc>
        <w:tc>
          <w:tcPr>
            <w:tcW w:w="3521" w:type="dxa"/>
            <w:vAlign w:val="center"/>
          </w:tcPr>
          <w:p>
            <w:pPr>
              <w:tabs>
                <w:tab w:val="left" w:pos="0"/>
              </w:tabs>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09"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402" w:type="dxa"/>
            <w:vAlign w:val="center"/>
          </w:tcPr>
          <w:p>
            <w:pPr>
              <w:tabs>
                <w:tab w:val="left" w:pos="146"/>
              </w:tabs>
              <w:rPr>
                <w:rFonts w:ascii="宋体" w:hAnsi="宋体"/>
                <w:b/>
                <w:bCs/>
                <w:color w:val="000000" w:themeColor="text1"/>
                <w:szCs w:val="21"/>
                <w:highlight w:val="none"/>
              </w:rPr>
            </w:pPr>
            <w:r>
              <w:rPr>
                <w:rFonts w:hint="eastAsia" w:ascii="宋体" w:hAnsi="宋体"/>
                <w:color w:val="000000" w:themeColor="text1"/>
                <w:szCs w:val="21"/>
                <w:highlight w:val="none"/>
              </w:rPr>
              <w:t>不接受联合体投标</w:t>
            </w:r>
          </w:p>
        </w:tc>
        <w:tc>
          <w:tcPr>
            <w:tcW w:w="3521"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107" w:leftChars="-51" w:firstLine="106"/>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pPr>
        <w:tabs>
          <w:tab w:val="center" w:pos="4483"/>
        </w:tabs>
        <w:ind w:left="315" w:leftChars="50" w:hanging="210" w:hangingChars="100"/>
        <w:rPr>
          <w:rFonts w:ascii="宋体" w:hAnsi="宋体"/>
          <w:color w:val="000000" w:themeColor="text1"/>
          <w:szCs w:val="21"/>
          <w:highlight w:val="none"/>
        </w:rPr>
      </w:pPr>
    </w:p>
    <w:p>
      <w:pPr>
        <w:tabs>
          <w:tab w:val="center" w:pos="4483"/>
        </w:tabs>
        <w:rPr>
          <w:rFonts w:ascii="宋体" w:hAnsi="宋体"/>
          <w:color w:val="000000" w:themeColor="text1"/>
          <w:szCs w:val="21"/>
          <w:highlight w:val="none"/>
        </w:rPr>
      </w:pPr>
      <w:r>
        <w:rPr>
          <w:rFonts w:hint="eastAsia" w:ascii="宋体" w:hAnsi="宋体"/>
          <w:color w:val="000000" w:themeColor="text1"/>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p>
    <w:p>
      <w:pPr>
        <w:adjustRightInd w:val="0"/>
        <w:snapToGrid w:val="0"/>
        <w:spacing w:line="300" w:lineRule="auto"/>
        <w:rPr>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jc w:val="center"/>
        <w:rPr>
          <w:rFonts w:hint="eastAsia" w:ascii="宋体" w:hAnsi="宋体"/>
          <w:b/>
          <w:bCs/>
          <w:color w:val="000000" w:themeColor="text1"/>
          <w:szCs w:val="21"/>
          <w:highlight w:val="none"/>
          <w:lang w:val="en-US" w:eastAsia="zh-CN"/>
        </w:rPr>
      </w:pPr>
      <w:r>
        <w:rPr>
          <w:rFonts w:hint="eastAsia" w:ascii="宋体"/>
          <w:b/>
          <w:bCs w:val="0"/>
          <w:color w:val="000000" w:themeColor="text1"/>
          <w:szCs w:val="21"/>
          <w:highlight w:val="none"/>
        </w:rPr>
        <w:t xml:space="preserve"> 资格性自查表</w:t>
      </w:r>
    </w:p>
    <w:p>
      <w:pPr>
        <w:jc w:val="center"/>
        <w:rPr>
          <w:rFonts w:hint="default" w:ascii="宋体" w:hAnsi="宋体" w:eastAsia="宋体"/>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03包组</w:t>
      </w:r>
    </w:p>
    <w:tbl>
      <w:tblPr>
        <w:tblStyle w:val="46"/>
        <w:tblW w:w="10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07"/>
        <w:gridCol w:w="3962"/>
        <w:gridCol w:w="1860"/>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6"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3962"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860"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0" w:hRule="atLeast"/>
          <w:jc w:val="center"/>
        </w:trPr>
        <w:tc>
          <w:tcPr>
            <w:tcW w:w="709" w:type="dxa"/>
            <w:vMerge w:val="restart"/>
            <w:vAlign w:val="center"/>
          </w:tcPr>
          <w:p>
            <w:pPr>
              <w:bidi w:val="0"/>
              <w:rPr>
                <w:color w:val="000000" w:themeColor="text1"/>
                <w:highlight w:val="none"/>
              </w:rPr>
            </w:pPr>
            <w:r>
              <w:rPr>
                <w:rFonts w:hint="eastAsia"/>
                <w:color w:val="000000" w:themeColor="text1"/>
                <w:highlight w:val="none"/>
              </w:rPr>
              <w:t>资格性检查</w:t>
            </w:r>
          </w:p>
        </w:tc>
        <w:tc>
          <w:tcPr>
            <w:tcW w:w="1207" w:type="dxa"/>
            <w:vMerge w:val="restart"/>
            <w:vAlign w:val="center"/>
          </w:tcPr>
          <w:p>
            <w:pPr>
              <w:bidi w:val="0"/>
              <w:rPr>
                <w:color w:val="000000" w:themeColor="text1"/>
                <w:highlight w:val="none"/>
              </w:rPr>
            </w:pPr>
            <w:r>
              <w:rPr>
                <w:rFonts w:hint="eastAsia"/>
                <w:color w:val="000000" w:themeColor="text1"/>
                <w:highlight w:val="none"/>
              </w:rPr>
              <w:t>投标人资格要求</w:t>
            </w:r>
          </w:p>
        </w:tc>
        <w:tc>
          <w:tcPr>
            <w:tcW w:w="3962"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tabs>
                <w:tab w:val="left" w:pos="0"/>
              </w:tabs>
              <w:rPr>
                <w:rFonts w:ascii="宋体" w:hAnsi="宋体"/>
                <w:b/>
                <w:bCs/>
                <w:color w:val="000000" w:themeColor="text1"/>
                <w:szCs w:val="21"/>
                <w:highlight w:val="none"/>
              </w:rPr>
            </w:pPr>
          </w:p>
        </w:tc>
        <w:tc>
          <w:tcPr>
            <w:tcW w:w="1860" w:type="dxa"/>
            <w:vAlign w:val="center"/>
          </w:tcPr>
          <w:p>
            <w:pPr>
              <w:tabs>
                <w:tab w:val="left" w:pos="480"/>
              </w:tabs>
              <w:ind w:left="480" w:hanging="480"/>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见投标文件</w:t>
            </w:r>
          </w:p>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要求：提交合法有效的营业执照复印件加盖公章、</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709"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207" w:type="dxa"/>
            <w:vMerge w:val="continue"/>
            <w:vAlign w:val="center"/>
          </w:tcPr>
          <w:p>
            <w:pPr>
              <w:tabs>
                <w:tab w:val="left" w:pos="146"/>
              </w:tabs>
              <w:ind w:left="146"/>
              <w:rPr>
                <w:rFonts w:ascii="宋体" w:hAnsi="宋体"/>
                <w:color w:val="000000" w:themeColor="text1"/>
                <w:szCs w:val="21"/>
                <w:highlight w:val="none"/>
              </w:rPr>
            </w:pPr>
          </w:p>
        </w:tc>
        <w:tc>
          <w:tcPr>
            <w:tcW w:w="3962" w:type="dxa"/>
            <w:vAlign w:val="center"/>
          </w:tcPr>
          <w:p>
            <w:pPr>
              <w:tabs>
                <w:tab w:val="left" w:pos="0"/>
              </w:tabs>
              <w:rPr>
                <w:rFonts w:ascii="宋体" w:hAnsi="宋体"/>
                <w:color w:val="000000" w:themeColor="text1"/>
                <w:szCs w:val="21"/>
                <w:highlight w:val="none"/>
              </w:rPr>
            </w:pPr>
            <w:r>
              <w:rPr>
                <w:rFonts w:hint="eastAsia" w:ascii="宋体" w:hAnsi="宋体" w:eastAsia="宋体" w:cs="宋体"/>
                <w:color w:val="000000" w:themeColor="text1"/>
                <w:highlight w:val="none"/>
                <w:lang w:val="en-US" w:eastAsia="zh-CN"/>
              </w:rPr>
              <w:t>单位负责人为同一人或者存在直接控股、管理关系的不同供应商，不得参加同一合同项下的政府采购活动。（提供</w:t>
            </w:r>
            <w:r>
              <w:rPr>
                <w:rFonts w:hint="eastAsia" w:ascii="宋体" w:hAnsi="宋体" w:cs="宋体"/>
                <w:color w:val="000000" w:themeColor="text1"/>
                <w:highlight w:val="none"/>
                <w:lang w:val="en-US" w:eastAsia="zh-CN"/>
              </w:rPr>
              <w:t>《投标函》</w:t>
            </w:r>
            <w:r>
              <w:rPr>
                <w:rFonts w:hint="eastAsia" w:ascii="宋体" w:hAnsi="宋体" w:eastAsia="宋体" w:cs="宋体"/>
                <w:color w:val="000000" w:themeColor="text1"/>
                <w:highlight w:val="none"/>
                <w:lang w:val="en-US" w:eastAsia="zh-CN"/>
              </w:rPr>
              <w:t>承诺）</w:t>
            </w:r>
          </w:p>
        </w:tc>
        <w:tc>
          <w:tcPr>
            <w:tcW w:w="1860"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709"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207" w:type="dxa"/>
            <w:vMerge w:val="continue"/>
            <w:vAlign w:val="center"/>
          </w:tcPr>
          <w:p>
            <w:pPr>
              <w:tabs>
                <w:tab w:val="left" w:pos="146"/>
              </w:tabs>
              <w:ind w:left="146"/>
              <w:rPr>
                <w:rFonts w:ascii="宋体" w:hAnsi="宋体"/>
                <w:color w:val="000000" w:themeColor="text1"/>
                <w:szCs w:val="21"/>
                <w:highlight w:val="none"/>
              </w:rPr>
            </w:pPr>
          </w:p>
        </w:tc>
        <w:tc>
          <w:tcPr>
            <w:tcW w:w="3962" w:type="dxa"/>
            <w:vAlign w:val="center"/>
          </w:tcPr>
          <w:p>
            <w:pPr>
              <w:tabs>
                <w:tab w:val="left" w:pos="0"/>
              </w:tabs>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为采购项目提供整体设计、规范编制或者项目管理、监理、检测等服务的供应商，不得再参加采购项目的其他采购活动。（提供</w:t>
            </w:r>
            <w:r>
              <w:rPr>
                <w:rFonts w:hint="eastAsia" w:ascii="宋体" w:hAnsi="宋体" w:cs="宋体"/>
                <w:color w:val="000000" w:themeColor="text1"/>
                <w:highlight w:val="none"/>
                <w:lang w:val="en-US" w:eastAsia="zh-CN"/>
              </w:rPr>
              <w:t>《投标函》</w:t>
            </w:r>
            <w:r>
              <w:rPr>
                <w:rFonts w:hint="eastAsia" w:ascii="宋体" w:hAnsi="宋体" w:eastAsia="宋体" w:cs="宋体"/>
                <w:color w:val="000000" w:themeColor="text1"/>
                <w:highlight w:val="none"/>
                <w:lang w:val="en-US" w:eastAsia="zh-CN"/>
              </w:rPr>
              <w:t>承诺）</w:t>
            </w:r>
          </w:p>
        </w:tc>
        <w:tc>
          <w:tcPr>
            <w:tcW w:w="1860"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709"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207" w:type="dxa"/>
            <w:vMerge w:val="continue"/>
            <w:vAlign w:val="center"/>
          </w:tcPr>
          <w:p>
            <w:pPr>
              <w:tabs>
                <w:tab w:val="left" w:pos="146"/>
              </w:tabs>
              <w:ind w:left="146"/>
              <w:rPr>
                <w:rFonts w:ascii="宋体" w:hAnsi="宋体"/>
                <w:color w:val="000000" w:themeColor="text1"/>
                <w:szCs w:val="21"/>
                <w:highlight w:val="none"/>
              </w:rPr>
            </w:pPr>
          </w:p>
        </w:tc>
        <w:tc>
          <w:tcPr>
            <w:tcW w:w="3962" w:type="dxa"/>
            <w:vAlign w:val="center"/>
          </w:tcPr>
          <w:p>
            <w:pPr>
              <w:tabs>
                <w:tab w:val="left" w:pos="0"/>
              </w:tabs>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860"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09"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207" w:type="dxa"/>
            <w:vMerge w:val="continue"/>
            <w:vAlign w:val="center"/>
          </w:tcPr>
          <w:p>
            <w:pPr>
              <w:tabs>
                <w:tab w:val="left" w:pos="146"/>
              </w:tabs>
              <w:ind w:left="146"/>
              <w:rPr>
                <w:rFonts w:ascii="宋体" w:hAnsi="宋体"/>
                <w:color w:val="000000" w:themeColor="text1"/>
                <w:szCs w:val="21"/>
                <w:highlight w:val="none"/>
              </w:rPr>
            </w:pPr>
          </w:p>
        </w:tc>
        <w:tc>
          <w:tcPr>
            <w:tcW w:w="3962" w:type="dxa"/>
            <w:vAlign w:val="center"/>
          </w:tcPr>
          <w:p>
            <w:pPr>
              <w:tabs>
                <w:tab w:val="left" w:pos="0"/>
              </w:tabs>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投标人必须具备有效的《食品生产许可证》</w:t>
            </w:r>
          </w:p>
        </w:tc>
        <w:tc>
          <w:tcPr>
            <w:tcW w:w="1860"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09"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207" w:type="dxa"/>
            <w:vAlign w:val="center"/>
          </w:tcPr>
          <w:p>
            <w:pPr>
              <w:tabs>
                <w:tab w:val="left" w:pos="146"/>
              </w:tabs>
              <w:rPr>
                <w:rFonts w:ascii="宋体" w:hAnsi="宋体"/>
                <w:b/>
                <w:bCs/>
                <w:color w:val="000000" w:themeColor="text1"/>
                <w:szCs w:val="21"/>
                <w:highlight w:val="none"/>
              </w:rPr>
            </w:pPr>
            <w:r>
              <w:rPr>
                <w:rFonts w:hint="eastAsia" w:ascii="宋体" w:hAnsi="宋体"/>
                <w:color w:val="000000" w:themeColor="text1"/>
                <w:szCs w:val="21"/>
                <w:highlight w:val="none"/>
              </w:rPr>
              <w:t>不接受联合体投标</w:t>
            </w:r>
          </w:p>
        </w:tc>
        <w:tc>
          <w:tcPr>
            <w:tcW w:w="3962"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860" w:type="dxa"/>
            <w:vAlign w:val="center"/>
          </w:tcPr>
          <w:p>
            <w:pPr>
              <w:tabs>
                <w:tab w:val="left" w:pos="480"/>
              </w:tabs>
              <w:ind w:left="-107" w:leftChars="-51" w:firstLine="106"/>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pPr>
        <w:tabs>
          <w:tab w:val="center" w:pos="4483"/>
        </w:tabs>
        <w:ind w:left="315" w:leftChars="50" w:hanging="210" w:hangingChars="100"/>
        <w:rPr>
          <w:rFonts w:ascii="宋体" w:hAnsi="宋体"/>
          <w:color w:val="000000" w:themeColor="text1"/>
          <w:szCs w:val="21"/>
          <w:highlight w:val="none"/>
        </w:rPr>
      </w:pP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p>
    <w:p>
      <w:pPr>
        <w:adjustRightInd w:val="0"/>
        <w:snapToGrid w:val="0"/>
        <w:spacing w:line="300" w:lineRule="auto"/>
        <w:rPr>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rPr>
          <w:rFonts w:hint="eastAsia"/>
          <w:color w:val="000000" w:themeColor="text1"/>
          <w:highlight w:val="none"/>
        </w:rPr>
      </w:pPr>
    </w:p>
    <w:p>
      <w:pPr>
        <w:pStyle w:val="4"/>
        <w:numPr>
          <w:ilvl w:val="0"/>
          <w:numId w:val="0"/>
        </w:numPr>
        <w:rPr>
          <w:color w:val="000000" w:themeColor="text1"/>
          <w:highlight w:val="none"/>
        </w:rPr>
      </w:pPr>
      <w:bookmarkStart w:id="1659" w:name="_Toc13729"/>
      <w:r>
        <w:rPr>
          <w:rFonts w:hint="eastAsia"/>
          <w:color w:val="000000" w:themeColor="text1"/>
          <w:highlight w:val="none"/>
        </w:rPr>
        <w:t>（一）资格审查文件要求提交的有效证明文件</w:t>
      </w:r>
      <w:bookmarkEnd w:id="1658"/>
      <w:bookmarkEnd w:id="1659"/>
    </w:p>
    <w:p>
      <w:pPr>
        <w:adjustRightInd w:val="0"/>
        <w:snapToGrid w:val="0"/>
        <w:spacing w:line="360" w:lineRule="auto"/>
        <w:jc w:val="left"/>
        <w:rPr>
          <w:rFonts w:ascii="宋体" w:hAnsi="宋体"/>
          <w:b/>
          <w:bCs/>
          <w:cap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hint="default" w:ascii="宋体" w:hAnsi="宋体" w:eastAsia="宋体"/>
          <w:bCs/>
          <w:color w:val="000000" w:themeColor="text1"/>
          <w:highlight w:val="none"/>
          <w:lang w:val="en-US" w:eastAsia="zh-CN"/>
        </w:rPr>
      </w:pP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pPr>
        <w:pStyle w:val="5"/>
        <w:rPr>
          <w:color w:val="000000" w:themeColor="text1"/>
          <w:highlight w:val="none"/>
        </w:rPr>
      </w:pP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1、合法有效的营业执照复印件加盖公章；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3、缴税证明复印件加盖公章；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4、社会保险证明复印件加盖公章；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6、相关资质证明文件：</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ascii="宋体" w:hAnsi="宋体"/>
          <w:color w:val="000000" w:themeColor="text1"/>
          <w:szCs w:val="21"/>
          <w:highlight w:val="none"/>
        </w:rPr>
        <w:t>………</w:t>
      </w:r>
    </w:p>
    <w:p>
      <w:pPr>
        <w:pStyle w:val="5"/>
        <w:rPr>
          <w:rFonts w:hAnsi="宋体"/>
          <w:bCs/>
          <w:color w:val="000000" w:themeColor="text1"/>
          <w:sz w:val="21"/>
          <w:szCs w:val="21"/>
          <w:highlight w:val="none"/>
        </w:rPr>
      </w:pPr>
    </w:p>
    <w:p>
      <w:pPr>
        <w:pStyle w:val="5"/>
        <w:rPr>
          <w:rFonts w:hAnsi="宋体"/>
          <w:bCs/>
          <w:color w:val="000000" w:themeColor="text1"/>
          <w:sz w:val="21"/>
          <w:szCs w:val="21"/>
          <w:highlight w:val="none"/>
        </w:rPr>
      </w:pPr>
    </w:p>
    <w:p>
      <w:pPr>
        <w:pStyle w:val="5"/>
        <w:rPr>
          <w:rFonts w:hAnsi="宋体"/>
          <w:bCs/>
          <w:color w:val="000000" w:themeColor="text1"/>
          <w:sz w:val="21"/>
          <w:szCs w:val="21"/>
          <w:highlight w:val="none"/>
        </w:rPr>
      </w:pPr>
    </w:p>
    <w:p>
      <w:pPr>
        <w:pStyle w:val="5"/>
        <w:rPr>
          <w:rFonts w:hAnsi="宋体"/>
          <w:bCs/>
          <w:color w:val="000000" w:themeColor="text1"/>
          <w:sz w:val="21"/>
          <w:szCs w:val="21"/>
          <w:highlight w:val="none"/>
        </w:rPr>
      </w:pPr>
    </w:p>
    <w:p>
      <w:pPr>
        <w:pStyle w:val="5"/>
        <w:rPr>
          <w:rFonts w:hAnsi="宋体"/>
          <w:color w:val="000000" w:themeColor="text1"/>
          <w:sz w:val="21"/>
          <w:szCs w:val="21"/>
          <w:highlight w:val="none"/>
        </w:rPr>
      </w:pPr>
      <w:r>
        <w:rPr>
          <w:rFonts w:hint="eastAsia" w:hAnsi="宋体"/>
          <w:bCs/>
          <w:color w:val="000000" w:themeColor="text1"/>
          <w:sz w:val="21"/>
          <w:szCs w:val="21"/>
          <w:highlight w:val="none"/>
        </w:rPr>
        <w:t>提供招标文件要求的资格</w:t>
      </w:r>
      <w:r>
        <w:rPr>
          <w:rFonts w:hint="eastAsia" w:hAnsi="宋体"/>
          <w:color w:val="000000" w:themeColor="text1"/>
          <w:sz w:val="21"/>
          <w:szCs w:val="21"/>
          <w:highlight w:val="none"/>
        </w:rPr>
        <w:t>证明文件复印件加盖公章。</w:t>
      </w: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4"/>
        <w:numPr>
          <w:ilvl w:val="0"/>
          <w:numId w:val="0"/>
        </w:numPr>
        <w:rPr>
          <w:rFonts w:hAnsi="黑体"/>
          <w:color w:val="000000" w:themeColor="text1"/>
          <w:szCs w:val="21"/>
          <w:highlight w:val="none"/>
        </w:rPr>
      </w:pPr>
      <w:bookmarkStart w:id="1660" w:name="_Toc22038"/>
      <w:bookmarkStart w:id="1661" w:name="_Toc26194"/>
      <w:r>
        <w:rPr>
          <w:rFonts w:hint="eastAsia" w:hAnsi="黑体"/>
          <w:color w:val="000000" w:themeColor="text1"/>
          <w:szCs w:val="21"/>
          <w:highlight w:val="none"/>
        </w:rPr>
        <w:t>（二）无重大违法记录声明函</w:t>
      </w:r>
      <w:bookmarkEnd w:id="1660"/>
      <w:bookmarkEnd w:id="1661"/>
    </w:p>
    <w:p>
      <w:pPr>
        <w:pStyle w:val="5"/>
        <w:spacing w:line="360" w:lineRule="auto"/>
        <w:ind w:left="420" w:firstLine="0"/>
        <w:rPr>
          <w:color w:val="000000" w:themeColor="text1"/>
          <w:highlight w:val="none"/>
        </w:rPr>
      </w:pPr>
    </w:p>
    <w:p>
      <w:pPr>
        <w:spacing w:line="360" w:lineRule="auto"/>
        <w:rPr>
          <w:color w:val="000000" w:themeColor="text1"/>
          <w:szCs w:val="21"/>
          <w:highlight w:val="none"/>
        </w:rPr>
      </w:pPr>
      <w:r>
        <w:rPr>
          <w:rFonts w:hint="eastAsia"/>
          <w:color w:val="000000" w:themeColor="text1"/>
          <w:szCs w:val="21"/>
          <w:highlight w:val="none"/>
        </w:rPr>
        <w:t>致广东业信采购招标有限公司：</w:t>
      </w:r>
    </w:p>
    <w:p>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color w:val="000000" w:themeColor="text1"/>
          <w:szCs w:val="21"/>
          <w:highlight w:val="none"/>
        </w:rPr>
        <w:t xml:space="preserve">    针对贵</w:t>
      </w:r>
      <w:r>
        <w:rPr>
          <w:rFonts w:hint="eastAsia" w:ascii="宋体" w:hAnsi="宋体"/>
          <w:color w:val="000000" w:themeColor="text1"/>
          <w:szCs w:val="21"/>
          <w:highlight w:val="none"/>
        </w:rPr>
        <w:t>方</w:t>
      </w:r>
      <w:r>
        <w:rPr>
          <w:rFonts w:hint="eastAsia"/>
          <w:color w:val="000000" w:themeColor="text1"/>
          <w:szCs w:val="21"/>
          <w:highlight w:val="none"/>
        </w:rPr>
        <w:t>组织的（项目名称：</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u w:val="single"/>
          <w:lang w:val="en-US" w:eastAsia="zh-CN"/>
        </w:rPr>
        <w:t xml:space="preserve">   </w:t>
      </w:r>
      <w:r>
        <w:rPr>
          <w:rFonts w:hint="eastAsia" w:ascii="宋体" w:hAnsi="宋体"/>
          <w:bCs/>
          <w:color w:val="000000" w:themeColor="text1"/>
          <w:highlight w:val="none"/>
          <w:u w:val="single"/>
        </w:rPr>
        <w:t xml:space="preserve">   </w:t>
      </w: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color w:val="000000" w:themeColor="text1"/>
          <w:szCs w:val="21"/>
          <w:highlight w:val="none"/>
        </w:rPr>
        <w:t>），我方郑重承诺：</w:t>
      </w:r>
    </w:p>
    <w:p>
      <w:pPr>
        <w:spacing w:line="360" w:lineRule="auto"/>
        <w:rPr>
          <w:color w:val="000000" w:themeColor="text1"/>
          <w:szCs w:val="21"/>
          <w:highlight w:val="none"/>
        </w:rPr>
      </w:pPr>
      <w:r>
        <w:rPr>
          <w:rFonts w:hint="eastAsia"/>
          <w:color w:val="000000" w:themeColor="text1"/>
          <w:szCs w:val="21"/>
          <w:highlight w:val="none"/>
        </w:rPr>
        <w:t xml:space="preserve">    参加本次政府采购活动前三年内，在经营活动中没有重大违法记录。</w:t>
      </w:r>
    </w:p>
    <w:p>
      <w:pPr>
        <w:spacing w:line="360" w:lineRule="auto"/>
        <w:rPr>
          <w:color w:val="000000" w:themeColor="text1"/>
          <w:szCs w:val="21"/>
          <w:highlight w:val="none"/>
        </w:rPr>
      </w:pPr>
      <w:r>
        <w:rPr>
          <w:rFonts w:hint="eastAsia"/>
          <w:color w:val="000000" w:themeColor="text1"/>
          <w:szCs w:val="21"/>
          <w:highlight w:val="none"/>
        </w:rPr>
        <w:t xml:space="preserve">    本公司对上述声明的真实性负责。如有虚假，将依法承担相关责任。</w:t>
      </w:r>
    </w:p>
    <w:p>
      <w:pPr>
        <w:spacing w:line="360" w:lineRule="auto"/>
        <w:rPr>
          <w:color w:val="000000" w:themeColor="text1"/>
          <w:szCs w:val="21"/>
          <w:highlight w:val="none"/>
        </w:rPr>
      </w:pPr>
      <w:r>
        <w:rPr>
          <w:rFonts w:hint="eastAsia"/>
          <w:color w:val="000000" w:themeColor="text1"/>
          <w:szCs w:val="21"/>
          <w:highlight w:val="none"/>
        </w:rPr>
        <w:t xml:space="preserve">    特此声明。</w:t>
      </w: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rPr>
          <w:color w:val="000000" w:themeColor="text1"/>
          <w:szCs w:val="21"/>
          <w:highlight w:val="non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spacing w:line="360" w:lineRule="auto"/>
        <w:rPr>
          <w:color w:val="000000" w:themeColor="text1"/>
          <w:szCs w:val="21"/>
          <w:highlight w:val="none"/>
          <w:u w:val="single"/>
        </w:rPr>
      </w:pPr>
      <w:r>
        <w:rPr>
          <w:rFonts w:hint="eastAsia"/>
          <w:color w:val="000000" w:themeColor="text1"/>
          <w:szCs w:val="21"/>
          <w:highlight w:val="none"/>
        </w:rPr>
        <w:t>投标人名称（公章）：</w:t>
      </w:r>
      <w:r>
        <w:rPr>
          <w:rFonts w:hint="eastAsia"/>
          <w:color w:val="000000" w:themeColor="text1"/>
          <w:szCs w:val="21"/>
          <w:highlight w:val="none"/>
          <w:u w:val="single"/>
        </w:rPr>
        <w:t xml:space="preserve">                        </w:t>
      </w:r>
    </w:p>
    <w:p>
      <w:pPr>
        <w:spacing w:line="360" w:lineRule="auto"/>
        <w:rPr>
          <w:color w:val="000000" w:themeColor="text1"/>
          <w:szCs w:val="2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firstLine="0"/>
        <w:rPr>
          <w:color w:val="000000" w:themeColor="text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pStyle w:val="4"/>
        <w:numPr>
          <w:ilvl w:val="7"/>
          <w:numId w:val="6"/>
        </w:numPr>
        <w:tabs>
          <w:tab w:val="clear" w:pos="720"/>
        </w:tabs>
        <w:ind w:left="720"/>
        <w:rPr>
          <w:color w:val="000000" w:themeColor="text1"/>
          <w:highlight w:val="none"/>
        </w:rPr>
      </w:pPr>
      <w:bookmarkStart w:id="1662" w:name="_Toc18731"/>
      <w:bookmarkStart w:id="1663" w:name="_Toc5256"/>
      <w:r>
        <w:rPr>
          <w:rFonts w:hint="eastAsia"/>
          <w:color w:val="000000" w:themeColor="text1"/>
          <w:highlight w:val="none"/>
        </w:rPr>
        <w:t>投标文件商务及技术部分</w:t>
      </w:r>
      <w:bookmarkEnd w:id="1662"/>
      <w:bookmarkEnd w:id="1663"/>
    </w:p>
    <w:p>
      <w:pPr>
        <w:pStyle w:val="4"/>
        <w:numPr>
          <w:ilvl w:val="0"/>
          <w:numId w:val="0"/>
        </w:numPr>
        <w:rPr>
          <w:color w:val="000000" w:themeColor="text1"/>
          <w:sz w:val="24"/>
          <w:highlight w:val="none"/>
        </w:rPr>
      </w:pPr>
      <w:bookmarkStart w:id="1664" w:name="_Toc22399"/>
      <w:r>
        <w:rPr>
          <w:rFonts w:hint="eastAsia"/>
          <w:color w:val="000000" w:themeColor="text1"/>
          <w:sz w:val="24"/>
          <w:highlight w:val="none"/>
        </w:rPr>
        <w:t>商务及技术封面格式</w:t>
      </w:r>
      <w:bookmarkEnd w:id="1664"/>
    </w:p>
    <w:p>
      <w:pPr>
        <w:pStyle w:val="5"/>
        <w:rPr>
          <w:rFonts w:hAnsi="宋体"/>
          <w:bCs/>
          <w:color w:val="000000" w:themeColor="text1"/>
          <w:sz w:val="21"/>
          <w:highlight w:val="none"/>
        </w:rPr>
      </w:pPr>
    </w:p>
    <w:p>
      <w:pPr>
        <w:pStyle w:val="5"/>
        <w:spacing w:line="360" w:lineRule="auto"/>
        <w:rPr>
          <w:rFonts w:hAnsi="宋体"/>
          <w:bCs/>
          <w:color w:val="000000" w:themeColor="text1"/>
          <w:sz w:val="21"/>
          <w:highlight w:val="none"/>
        </w:rPr>
      </w:pPr>
      <w:r>
        <w:rPr>
          <w:rFonts w:hAnsi="宋体"/>
          <w:bCs/>
          <w:color w:val="000000" w:themeColor="text1"/>
          <w:sz w:val="21"/>
          <w:highlight w:val="none"/>
        </w:rPr>
        <w:t>1</w:t>
      </w:r>
      <w:r>
        <w:rPr>
          <w:rFonts w:hint="eastAsia" w:hAnsi="宋体"/>
          <w:bCs/>
          <w:color w:val="000000" w:themeColor="text1"/>
          <w:sz w:val="21"/>
          <w:highlight w:val="none"/>
        </w:rPr>
        <w:t xml:space="preserve">、投标内容应当编有目录、页码，按页码排序并装订成册。   </w:t>
      </w:r>
    </w:p>
    <w:p>
      <w:pPr>
        <w:pStyle w:val="5"/>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ind w:firstLine="0"/>
        <w:jc w:val="both"/>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pPr>
        <w:pStyle w:val="5"/>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（商务及技术文件）</w:t>
      </w: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440" w:lineRule="exact"/>
        <w:jc w:val="center"/>
        <w:rPr>
          <w:rFonts w:hAnsi="宋体"/>
          <w:bCs/>
          <w:color w:val="000000" w:themeColor="text1"/>
          <w:sz w:val="21"/>
          <w:highlight w:val="none"/>
        </w:rPr>
      </w:pPr>
    </w:p>
    <w:p>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5"/>
        <w:spacing w:line="440" w:lineRule="exact"/>
        <w:rPr>
          <w:rFonts w:hint="eastAsia" w:hAnsi="宋体"/>
          <w:bCs/>
          <w:color w:val="000000" w:themeColor="text1"/>
          <w:sz w:val="21"/>
          <w:highlight w:val="none"/>
          <w:lang w:val="en-US" w:eastAsia="zh-CN"/>
        </w:rPr>
      </w:pP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rPr>
        <w:t xml:space="preserve"> </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r>
        <w:rPr>
          <w:rFonts w:hint="eastAsia" w:hAnsi="宋体"/>
          <w:bCs/>
          <w:color w:val="000000" w:themeColor="text1"/>
          <w:sz w:val="21"/>
          <w:highlight w:val="none"/>
          <w:lang w:val="en-US" w:eastAsia="zh-CN"/>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5"/>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tabs>
          <w:tab w:val="left" w:pos="1004"/>
          <w:tab w:val="left" w:pos="4267"/>
        </w:tabs>
        <w:spacing w:line="400" w:lineRule="exact"/>
        <w:rPr>
          <w:rFonts w:ascii="宋体" w:hAnsi="宋体"/>
          <w:bCs/>
          <w:color w:val="000000" w:themeColor="text1"/>
          <w:highlight w:val="none"/>
        </w:rPr>
      </w:pPr>
    </w:p>
    <w:p>
      <w:pPr>
        <w:pStyle w:val="5"/>
        <w:rPr>
          <w:color w:val="000000" w:themeColor="text1"/>
          <w:highlight w:val="none"/>
        </w:rPr>
      </w:pPr>
    </w:p>
    <w:p>
      <w:pPr>
        <w:pStyle w:val="5"/>
        <w:ind w:firstLine="0"/>
        <w:rPr>
          <w:color w:val="000000" w:themeColor="text1"/>
          <w:highlight w:val="none"/>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665" w:name="_Toc1787"/>
      <w:r>
        <w:rPr>
          <w:rFonts w:hint="eastAsia" w:ascii="宋体"/>
          <w:b/>
          <w:bCs w:val="0"/>
          <w:color w:val="000000" w:themeColor="text1"/>
          <w:szCs w:val="21"/>
          <w:highlight w:val="none"/>
        </w:rPr>
        <w:t>符合性自查表</w:t>
      </w:r>
      <w:bookmarkEnd w:id="1665"/>
    </w:p>
    <w:p>
      <w:pPr>
        <w:jc w:val="center"/>
        <w:rPr>
          <w:rFonts w:ascii="宋体" w:hAnsi="宋体"/>
          <w:b/>
          <w:bCs/>
          <w:color w:val="000000" w:themeColor="text1"/>
          <w:szCs w:val="21"/>
          <w:highlight w:val="none"/>
        </w:rPr>
      </w:pPr>
    </w:p>
    <w:tbl>
      <w:tblPr>
        <w:tblStyle w:val="46"/>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1950"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符合性审查</w:t>
            </w:r>
          </w:p>
        </w:tc>
        <w:tc>
          <w:tcPr>
            <w:tcW w:w="230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须满足</w:t>
            </w:r>
            <w:r>
              <w:rPr>
                <w:rFonts w:hint="eastAsia" w:ascii="宋体" w:hAnsi="宋体"/>
                <w:color w:val="000000" w:themeColor="text1"/>
                <w:szCs w:val="21"/>
                <w:highlight w:val="none"/>
                <w:lang w:val="en-US" w:eastAsia="zh-CN"/>
              </w:rPr>
              <w:t>带“★”号</w:t>
            </w:r>
            <w:r>
              <w:rPr>
                <w:rFonts w:hint="eastAsia" w:ascii="宋体" w:hAnsi="宋体"/>
                <w:color w:val="000000" w:themeColor="text1"/>
                <w:szCs w:val="21"/>
                <w:highlight w:val="none"/>
              </w:rPr>
              <w:t>要求</w:t>
            </w:r>
          </w:p>
        </w:tc>
        <w:tc>
          <w:tcPr>
            <w:tcW w:w="195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1950"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vAlign w:val="center"/>
          </w:tcPr>
          <w:p>
            <w:pPr>
              <w:tabs>
                <w:tab w:val="left" w:pos="480"/>
              </w:tabs>
              <w:ind w:left="480" w:hanging="480"/>
              <w:jc w:val="center"/>
              <w:rPr>
                <w:rFonts w:hint="eastAsia" w:ascii="宋体" w:hAnsi="宋体"/>
                <w:color w:val="000000" w:themeColor="text1"/>
                <w:szCs w:val="21"/>
                <w:highlight w:val="none"/>
              </w:rPr>
            </w:pP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服务期须满足要求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rPr>
            </w:pPr>
          </w:p>
        </w:tc>
        <w:tc>
          <w:tcPr>
            <w:tcW w:w="1950"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投标报价未超出报价上限</w:t>
            </w:r>
          </w:p>
        </w:tc>
        <w:tc>
          <w:tcPr>
            <w:tcW w:w="195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1950"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保证金须满足要求</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color w:val="000000" w:themeColor="text1"/>
                <w:szCs w:val="21"/>
                <w:highlight w:val="none"/>
              </w:rPr>
            </w:pPr>
          </w:p>
        </w:tc>
        <w:tc>
          <w:tcPr>
            <w:tcW w:w="1950"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975" w:type="dxa"/>
            <w:vAlign w:val="center"/>
          </w:tcPr>
          <w:p>
            <w:pPr>
              <w:pStyle w:val="9"/>
              <w:rPr>
                <w:rFonts w:ascii="宋体" w:hAnsi="宋体"/>
                <w:bCs/>
                <w:color w:val="000000" w:themeColor="text1"/>
                <w:szCs w:val="21"/>
                <w:highlight w:val="none"/>
              </w:rPr>
            </w:pPr>
          </w:p>
        </w:tc>
        <w:tc>
          <w:tcPr>
            <w:tcW w:w="1950"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其他要求</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975" w:type="dxa"/>
            <w:vAlign w:val="center"/>
          </w:tcPr>
          <w:p>
            <w:pPr>
              <w:tabs>
                <w:tab w:val="left" w:pos="480"/>
              </w:tabs>
              <w:ind w:left="480" w:hanging="480"/>
              <w:rPr>
                <w:color w:val="000000" w:themeColor="text1"/>
                <w:highlight w:val="none"/>
              </w:rPr>
            </w:pPr>
          </w:p>
        </w:tc>
        <w:tc>
          <w:tcPr>
            <w:tcW w:w="1950"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bl>
    <w:p>
      <w:pPr>
        <w:tabs>
          <w:tab w:val="center" w:pos="4483"/>
        </w:tabs>
        <w:ind w:left="315" w:leftChars="50" w:hanging="210" w:hangingChars="100"/>
        <w:rPr>
          <w:rFonts w:ascii="宋体" w:hAnsi="宋体"/>
          <w:color w:val="000000" w:themeColor="text1"/>
          <w:szCs w:val="21"/>
          <w:highlight w:val="none"/>
        </w:rPr>
      </w:pPr>
    </w:p>
    <w:p>
      <w:pPr>
        <w:tabs>
          <w:tab w:val="center" w:pos="4483"/>
        </w:tabs>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bCs/>
          <w:color w:val="000000" w:themeColor="text1"/>
          <w:szCs w:val="21"/>
          <w:highlight w:val="none"/>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pPr>
        <w:adjustRightInd w:val="0"/>
        <w:snapToGrid w:val="0"/>
        <w:spacing w:line="300" w:lineRule="auto"/>
        <w:rPr>
          <w:color w:val="000000" w:themeColor="text1"/>
          <w:szCs w:val="21"/>
          <w:highlight w:val="none"/>
        </w:rPr>
      </w:pPr>
    </w:p>
    <w:p>
      <w:pPr>
        <w:adjustRightInd w:val="0"/>
        <w:snapToGrid w:val="0"/>
        <w:spacing w:line="300" w:lineRule="auto"/>
        <w:rPr>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pStyle w:val="4"/>
        <w:keepLines w:val="0"/>
        <w:numPr>
          <w:ilvl w:val="0"/>
          <w:numId w:val="0"/>
        </w:numPr>
        <w:tabs>
          <w:tab w:val="left" w:pos="4320"/>
        </w:tabs>
        <w:spacing w:before="240" w:after="60" w:line="480" w:lineRule="exact"/>
        <w:rPr>
          <w:rFonts w:ascii="宋体"/>
          <w:b/>
          <w:color w:val="000000" w:themeColor="text1"/>
          <w:szCs w:val="21"/>
          <w:highlight w:val="none"/>
        </w:rPr>
      </w:pPr>
      <w:r>
        <w:rPr>
          <w:rFonts w:ascii="宋体"/>
          <w:b/>
          <w:bCs w:val="0"/>
          <w:color w:val="000000" w:themeColor="text1"/>
          <w:szCs w:val="21"/>
          <w:highlight w:val="none"/>
        </w:rPr>
        <w:t xml:space="preserve">  </w:t>
      </w:r>
      <w:bookmarkStart w:id="1666" w:name="_Toc26704"/>
      <w:r>
        <w:rPr>
          <w:rFonts w:hint="eastAsia" w:ascii="宋体"/>
          <w:b/>
          <w:color w:val="000000" w:themeColor="text1"/>
          <w:szCs w:val="21"/>
          <w:highlight w:val="none"/>
        </w:rPr>
        <w:t xml:space="preserve"> </w:t>
      </w:r>
      <w:bookmarkStart w:id="1667" w:name="_Toc30094"/>
      <w:r>
        <w:rPr>
          <w:rFonts w:hint="eastAsia" w:ascii="宋体"/>
          <w:b/>
          <w:color w:val="000000" w:themeColor="text1"/>
          <w:szCs w:val="21"/>
          <w:highlight w:val="none"/>
        </w:rPr>
        <w:t>评审项目投标资料表</w:t>
      </w:r>
      <w:bookmarkEnd w:id="1666"/>
      <w:bookmarkEnd w:id="1667"/>
    </w:p>
    <w:p>
      <w:pPr>
        <w:jc w:val="center"/>
        <w:rPr>
          <w:rFonts w:ascii="宋体" w:hAnsi="宋体" w:eastAsia="黑体"/>
          <w:b/>
          <w:color w:val="000000" w:themeColor="text1"/>
          <w:kern w:val="44"/>
          <w:szCs w:val="21"/>
          <w:highlight w:val="none"/>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评审分项</w:t>
            </w:r>
          </w:p>
        </w:tc>
        <w:tc>
          <w:tcPr>
            <w:tcW w:w="5202"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评审细则</w:t>
            </w:r>
          </w:p>
        </w:tc>
        <w:tc>
          <w:tcPr>
            <w:tcW w:w="2300"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39"/>
              <w:jc w:val="both"/>
              <w:rPr>
                <w:rFonts w:ascii="宋体" w:hAnsi="宋体" w:eastAsia="宋体" w:cs="Times New Roman"/>
                <w:color w:val="000000" w:themeColor="text1"/>
                <w:sz w:val="2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3"/>
              <w:ind w:left="420" w:firstLine="420"/>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pStyle w:val="33"/>
              <w:ind w:left="420" w:firstLine="420"/>
              <w:rPr>
                <w:rFonts w:ascii="宋体" w:hAnsi="宋体"/>
                <w:color w:val="000000" w:themeColor="text1"/>
                <w:szCs w:val="21"/>
                <w:highlight w:val="none"/>
              </w:rPr>
            </w:pPr>
          </w:p>
        </w:tc>
        <w:tc>
          <w:tcPr>
            <w:tcW w:w="2300" w:type="dxa"/>
            <w:vAlign w:val="center"/>
          </w:tcPr>
          <w:p>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bl>
    <w:p>
      <w:pPr>
        <w:adjustRightInd w:val="0"/>
        <w:snapToGrid w:val="0"/>
        <w:spacing w:line="300" w:lineRule="auto"/>
        <w:rPr>
          <w:rFonts w:ascii="宋体" w:hAnsi="宋体"/>
          <w:color w:val="000000" w:themeColor="text1"/>
          <w:szCs w:val="21"/>
          <w:highlight w:val="none"/>
        </w:rPr>
      </w:pPr>
    </w:p>
    <w:p>
      <w:pPr>
        <w:adjustRightInd w:val="0"/>
        <w:snapToGrid w:val="0"/>
        <w:spacing w:line="30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pStyle w:val="5"/>
        <w:rPr>
          <w:color w:val="000000" w:themeColor="text1"/>
          <w:highlight w:val="none"/>
        </w:rPr>
      </w:pPr>
    </w:p>
    <w:p>
      <w:pPr>
        <w:pStyle w:val="5"/>
        <w:rPr>
          <w:color w:val="000000" w:themeColor="text1"/>
          <w:highlight w:val="none"/>
        </w:rPr>
      </w:pPr>
    </w:p>
    <w:bookmarkEnd w:id="1333"/>
    <w:bookmarkEnd w:id="1334"/>
    <w:bookmarkEnd w:id="1335"/>
    <w:bookmarkEnd w:id="1336"/>
    <w:bookmarkEnd w:id="1337"/>
    <w:p>
      <w:pPr>
        <w:tabs>
          <w:tab w:val="center" w:pos="4483"/>
        </w:tabs>
        <w:rPr>
          <w:rFonts w:ascii="宋体" w:hAnsi="宋体"/>
          <w:bCs/>
          <w:color w:val="000000" w:themeColor="text1"/>
          <w:szCs w:val="21"/>
          <w:highlight w:val="none"/>
        </w:rPr>
      </w:pPr>
      <w:bookmarkStart w:id="1668" w:name="_Toc458262638"/>
      <w:bookmarkStart w:id="1669" w:name="_Toc500861026"/>
      <w:bookmarkStart w:id="1670" w:name="_Toc467987851"/>
      <w:bookmarkStart w:id="1671" w:name="_Toc6727971"/>
      <w:bookmarkStart w:id="1672" w:name="_Toc6397150"/>
      <w:bookmarkStart w:id="1673" w:name="_Toc491658679"/>
      <w:bookmarkStart w:id="1674" w:name="_Toc480020285"/>
      <w:bookmarkStart w:id="1675" w:name="_Toc467236768"/>
      <w:bookmarkStart w:id="1676" w:name="_Toc480010736"/>
      <w:bookmarkStart w:id="1677" w:name="_Toc454701405"/>
      <w:bookmarkStart w:id="1678" w:name="_Toc468606057"/>
      <w:bookmarkStart w:id="1679" w:name="_Toc480021081"/>
      <w:bookmarkStart w:id="1680" w:name="_Toc468157564"/>
      <w:bookmarkStart w:id="1681" w:name="_Toc479991610"/>
    </w:p>
    <w:p>
      <w:pPr>
        <w:pStyle w:val="4"/>
        <w:numPr>
          <w:ilvl w:val="0"/>
          <w:numId w:val="0"/>
        </w:numPr>
        <w:rPr>
          <w:color w:val="000000" w:themeColor="text1"/>
          <w:highlight w:val="none"/>
        </w:rPr>
      </w:pPr>
      <w:bookmarkStart w:id="1682" w:name="_Toc13455"/>
      <w:bookmarkStart w:id="1683" w:name="_Toc19823"/>
      <w:r>
        <w:rPr>
          <w:rFonts w:hint="eastAsia"/>
          <w:color w:val="000000" w:themeColor="text1"/>
          <w:highlight w:val="none"/>
        </w:rPr>
        <w:t>（一）法定代表人（负责人）证明书</w:t>
      </w:r>
      <w:bookmarkEnd w:id="1682"/>
      <w:bookmarkEnd w:id="1683"/>
    </w:p>
    <w:p>
      <w:pPr>
        <w:pStyle w:val="5"/>
        <w:rPr>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投标人名称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，为法定代表人（负责人），特此证明。</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spacing w:line="560" w:lineRule="exact"/>
        <w:ind w:firstLine="420" w:firstLineChars="200"/>
        <w:rPr>
          <w:rFonts w:ascii="宋体" w:hAnsi="宋体"/>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pPr>
        <w:spacing w:line="480" w:lineRule="exact"/>
        <w:ind w:firstLine="420" w:firstLineChars="200"/>
        <w:rPr>
          <w:rFonts w:ascii="宋体" w:hAnsi="宋体"/>
          <w:color w:val="000000" w:themeColor="text1"/>
          <w:highlight w:val="none"/>
        </w:rPr>
      </w:pPr>
    </w:p>
    <w:p>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pPr>
        <w:spacing w:line="480" w:lineRule="exact"/>
        <w:ind w:firstLine="420" w:firstLineChars="200"/>
        <w:rPr>
          <w:rFonts w:ascii="宋体" w:hAnsi="宋体"/>
          <w:color w:val="000000" w:themeColor="text1"/>
          <w:highlight w:val="none"/>
        </w:rPr>
      </w:pPr>
    </w:p>
    <w:p>
      <w:pPr>
        <w:pStyle w:val="5"/>
        <w:rPr>
          <w:rFonts w:hAnsi="宋体"/>
          <w:color w:val="000000" w:themeColor="text1"/>
          <w:sz w:val="21"/>
          <w:highlight w:val="none"/>
        </w:rPr>
      </w:pPr>
    </w:p>
    <w:p>
      <w:pPr>
        <w:pStyle w:val="5"/>
        <w:rPr>
          <w:color w:val="000000" w:themeColor="text1"/>
          <w:highlight w:val="none"/>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6YT0S2AAAAAoBAAAPAAAAAAAAAAEAIAAAACIAAABkcnMv&#10;ZG93bnJldi54bWxQSwECFAAUAAAACACHTuJAIXfpTzwCAABWBAAADgAAAAAAAAABACAAAAAnAQAA&#10;ZHJzL2Uyb0RvYy54bWxQSwUGAAAAAAYABgBZAQAA1QUAAAAA&#10;">
            <v:path/>
            <v:fill focussize="0,0"/>
            <v:stroke joinstyle="miter"/>
            <v:imagedata o:title=""/>
            <o:lock v:ext="edit"/>
            <v:textbox>
              <w:txbxContent>
                <w:p/>
                <w:p/>
                <w:p>
                  <w:pPr>
                    <w:jc w:val="center"/>
                  </w:pPr>
                  <w:r>
                    <w:rPr>
                      <w:rFonts w:hint="eastAsia"/>
                    </w:rPr>
                    <w:t>身份证正反面复印件</w:t>
                  </w:r>
                </w:p>
              </w:txbxContent>
            </v:textbox>
          </v:shape>
        </w:pict>
      </w:r>
    </w:p>
    <w:p>
      <w:pPr>
        <w:pStyle w:val="4"/>
        <w:numPr>
          <w:ilvl w:val="0"/>
          <w:numId w:val="0"/>
        </w:numPr>
        <w:rPr>
          <w:color w:val="000000" w:themeColor="text1"/>
          <w:highlight w:val="none"/>
        </w:rPr>
      </w:pPr>
      <w:bookmarkStart w:id="1684" w:name="_Toc19178"/>
      <w:bookmarkStart w:id="1685" w:name="_Toc27194"/>
      <w:r>
        <w:rPr>
          <w:rFonts w:hint="eastAsia"/>
          <w:color w:val="000000" w:themeColor="text1"/>
          <w:highlight w:val="none"/>
        </w:rPr>
        <w:t>（二）法定代表人（负责人）授权书</w:t>
      </w:r>
      <w:bookmarkEnd w:id="1684"/>
      <w:bookmarkEnd w:id="1685"/>
    </w:p>
    <w:p>
      <w:pPr>
        <w:spacing w:line="360" w:lineRule="auto"/>
        <w:ind w:firstLine="420" w:firstLineChars="200"/>
        <w:rPr>
          <w:rFonts w:ascii="宋体" w:hAnsi="宋体"/>
          <w:bCs/>
          <w:color w:val="000000" w:themeColor="text1"/>
          <w:kern w:val="0"/>
          <w:highlight w:val="none"/>
        </w:rPr>
      </w:pPr>
    </w:p>
    <w:p>
      <w:pPr>
        <w:spacing w:line="360" w:lineRule="auto"/>
        <w:ind w:firstLine="420" w:firstLineChars="200"/>
        <w:rPr>
          <w:color w:val="000000" w:themeColor="text1"/>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（单位法定代表人（负责人）姓名）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的法定代表人（负责人），现授权委托</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为我公司代理人，以本公司的名义参加广东业信采购招标有限公司组织的</w:t>
      </w:r>
      <w:r>
        <w:rPr>
          <w:rFonts w:hint="eastAsia"/>
          <w:color w:val="000000" w:themeColor="text1"/>
          <w:szCs w:val="21"/>
          <w:highlight w:val="none"/>
        </w:rPr>
        <w:t>（项目名称：</w:t>
      </w:r>
      <w:r>
        <w:rPr>
          <w:rFonts w:hint="eastAsia"/>
          <w:color w:val="000000" w:themeColor="text1"/>
          <w:szCs w:val="21"/>
          <w:highlight w:val="none"/>
          <w:u w:val="single"/>
        </w:rPr>
        <w:t xml:space="preserve">                      </w:t>
      </w:r>
      <w:r>
        <w:rPr>
          <w:rFonts w:hint="eastAsia"/>
          <w:color w:val="000000" w:themeColor="text1"/>
          <w:szCs w:val="21"/>
          <w:highlight w:val="none"/>
        </w:rPr>
        <w:t>）</w:t>
      </w:r>
      <w:r>
        <w:rPr>
          <w:rFonts w:hint="eastAsia" w:ascii="宋体" w:hAnsi="宋体"/>
          <w:bCs/>
          <w:color w:val="000000" w:themeColor="text1"/>
          <w:highlight w:val="none"/>
        </w:rPr>
        <w:t>招标（</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rPr>
        <w:t xml:space="preserve"> </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ascii="宋体" w:hAnsi="宋体"/>
          <w:bCs/>
          <w:color w:val="000000" w:themeColor="text1"/>
          <w:highlight w:val="none"/>
        </w:rPr>
        <w:t>）</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rPr>
      </w:pP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w:t>
      </w:r>
      <w:r>
        <w:rPr>
          <w:rFonts w:hint="eastAsia" w:ascii="宋体" w:hAnsi="宋体"/>
          <w:bCs/>
          <w:color w:val="000000" w:themeColor="text1"/>
          <w:kern w:val="0"/>
          <w:highlight w:val="none"/>
          <w:u w:val="single"/>
        </w:rPr>
        <w:t xml:space="preserve">   </w:t>
      </w:r>
      <w:r>
        <w:rPr>
          <w:rFonts w:ascii="宋体" w:hAnsi="宋体"/>
          <w:bCs/>
          <w:color w:val="000000" w:themeColor="text1"/>
          <w:kern w:val="0"/>
          <w:highlight w:val="none"/>
          <w:u w:val="single"/>
        </w:rPr>
        <w:t xml:space="preserve"> </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性别：</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年龄：</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职务：</w:t>
      </w:r>
      <w:r>
        <w:rPr>
          <w:rFonts w:hint="eastAsia" w:ascii="宋体" w:hAnsi="宋体"/>
          <w:bCs/>
          <w:color w:val="000000" w:themeColor="text1"/>
          <w:kern w:val="0"/>
          <w:highlight w:val="none"/>
          <w:u w:val="single"/>
        </w:rPr>
        <w:t xml:space="preserve">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投标人：</w:t>
      </w:r>
      <w:r>
        <w:rPr>
          <w:rFonts w:hint="eastAsia" w:ascii="宋体" w:hAnsi="宋体"/>
          <w:bCs/>
          <w:color w:val="000000" w:themeColor="text1"/>
          <w:kern w:val="0"/>
          <w:highlight w:val="none"/>
          <w:u w:val="single"/>
        </w:rPr>
        <w:t xml:space="preserve">          （名称并加盖公章）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法定代表人（负责人）：</w:t>
      </w:r>
      <w:r>
        <w:rPr>
          <w:rFonts w:hint="eastAsia" w:ascii="宋体" w:hAnsi="宋体"/>
          <w:bCs/>
          <w:color w:val="000000" w:themeColor="text1"/>
          <w:kern w:val="0"/>
          <w:highlight w:val="none"/>
          <w:u w:val="single"/>
        </w:rPr>
        <w:t xml:space="preserve">    （签字或盖章）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autoSpaceDE w:val="0"/>
        <w:autoSpaceDN w:val="0"/>
        <w:adjustRightInd w:val="0"/>
        <w:snapToGrid w:val="0"/>
        <w:spacing w:line="360" w:lineRule="auto"/>
        <w:ind w:firstLine="630"/>
        <w:rPr>
          <w:rFonts w:ascii="宋体" w:hAnsi="宋体"/>
          <w:bCs/>
          <w:color w:val="000000" w:themeColor="text1"/>
          <w:kern w:val="0"/>
          <w:highlight w:val="none"/>
        </w:rPr>
      </w:pPr>
    </w:p>
    <w:p>
      <w:pPr>
        <w:rPr>
          <w:rFonts w:ascii="宋体" w:hAnsi="宋体"/>
          <w:b/>
          <w:color w:val="000000" w:themeColor="text1"/>
          <w:szCs w:val="21"/>
          <w:highlight w:val="none"/>
        </w:rPr>
      </w:pPr>
      <w:r>
        <w:rPr>
          <w:rFonts w:hint="eastAsia" w:ascii="宋体" w:hAnsi="宋体"/>
          <w:b/>
          <w:color w:val="000000" w:themeColor="text1"/>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rPr>
      </w:pPr>
    </w:p>
    <w:p>
      <w:pPr>
        <w:rPr>
          <w:color w:val="000000" w:themeColor="text1"/>
          <w:highlight w:val="none"/>
        </w:rPr>
      </w:pPr>
    </w:p>
    <w:p>
      <w:pPr>
        <w:rPr>
          <w:color w:val="000000" w:themeColor="text1"/>
          <w:highlight w:val="none"/>
        </w:rPr>
      </w:pPr>
      <w:r>
        <w:rPr>
          <w:color w:val="000000" w:themeColor="text1"/>
          <w:highlight w:val="none"/>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9gKkNcAAAAJAQAADwAAAAAAAAABACAAAAAiAAAAZHJzL2Rv&#10;d25yZXYueG1sUEsBAhQAFAAAAAgAh07iQF9ptNI7AgAAVgQAAA4AAAAAAAAAAQAgAAAAJgEAAGRy&#10;cy9lMm9Eb2MueG1sUEsFBgAAAAAGAAYAWQEAANMFA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sectPr>
          <w:footerReference r:id="rId14" w:type="default"/>
          <w:pgSz w:w="11906" w:h="16838"/>
          <w:pgMar w:top="1418" w:right="1474" w:bottom="1418" w:left="1474" w:header="851" w:footer="851" w:gutter="0"/>
          <w:cols w:space="720" w:num="1"/>
          <w:titlePg/>
          <w:docGrid w:linePitch="312" w:charSpace="0"/>
        </w:sectPr>
      </w:pPr>
    </w:p>
    <w:p>
      <w:pPr>
        <w:pStyle w:val="4"/>
        <w:numPr>
          <w:ilvl w:val="0"/>
          <w:numId w:val="0"/>
        </w:numPr>
        <w:rPr>
          <w:color w:val="000000" w:themeColor="text1"/>
          <w:highlight w:val="none"/>
        </w:rPr>
      </w:pPr>
      <w:bookmarkStart w:id="1686" w:name="_Toc343247121"/>
      <w:bookmarkStart w:id="1687" w:name="_Toc341348361"/>
      <w:bookmarkStart w:id="1688" w:name="_Toc340677091"/>
      <w:bookmarkStart w:id="1689" w:name="_Toc332206730"/>
      <w:bookmarkStart w:id="1690" w:name="_Toc331512922"/>
      <w:bookmarkStart w:id="1691" w:name="_Toc342312464"/>
      <w:bookmarkStart w:id="1692" w:name="_Toc339020116"/>
      <w:bookmarkStart w:id="1693" w:name="_Toc332270368"/>
      <w:bookmarkStart w:id="1694" w:name="_Toc339020036"/>
      <w:bookmarkStart w:id="1695" w:name="_Toc333935708"/>
      <w:bookmarkStart w:id="1696" w:name="_Toc333935367"/>
      <w:bookmarkStart w:id="1697" w:name="_Toc350438770"/>
      <w:bookmarkStart w:id="1698" w:name="_Toc342060396"/>
      <w:bookmarkStart w:id="1699" w:name="_Toc13135"/>
      <w:bookmarkStart w:id="1700" w:name="_Toc340507463"/>
      <w:bookmarkStart w:id="1701" w:name="_Toc339362321"/>
      <w:bookmarkStart w:id="1702" w:name="_Toc342296782"/>
      <w:bookmarkStart w:id="1703" w:name="_Toc345312618"/>
      <w:bookmarkStart w:id="1704" w:name="_Toc343248439"/>
      <w:bookmarkStart w:id="1705" w:name="_Toc336681956"/>
      <w:bookmarkStart w:id="1706" w:name="_Toc366072550"/>
      <w:bookmarkStart w:id="1707" w:name="_Toc333237699"/>
      <w:bookmarkStart w:id="1708" w:name="_Toc339019910"/>
      <w:bookmarkStart w:id="1709" w:name="_Toc339441108"/>
      <w:bookmarkStart w:id="1710" w:name="_Toc365967093"/>
      <w:bookmarkStart w:id="1711" w:name="_Toc331684063"/>
      <w:bookmarkStart w:id="1712" w:name="_Toc330460007"/>
      <w:bookmarkStart w:id="1713" w:name="_Toc333237810"/>
      <w:bookmarkStart w:id="1714" w:name="_Toc343612941"/>
      <w:bookmarkStart w:id="1715" w:name="_Toc365985199"/>
      <w:bookmarkStart w:id="1716" w:name="_Toc350756471"/>
      <w:bookmarkStart w:id="1717" w:name="_Toc333238655"/>
      <w:bookmarkStart w:id="1718" w:name="_Toc340672890"/>
      <w:bookmarkStart w:id="1719" w:name="_Toc342398151"/>
      <w:bookmarkStart w:id="1720" w:name="_Toc337632379"/>
      <w:bookmarkStart w:id="1721" w:name="_Toc339020254"/>
      <w:bookmarkStart w:id="1722" w:name="_Toc336681601"/>
      <w:r>
        <w:rPr>
          <w:rFonts w:hint="eastAsia"/>
          <w:color w:val="000000" w:themeColor="text1"/>
          <w:highlight w:val="none"/>
        </w:rPr>
        <w:t>附件一：投标</w:t>
      </w:r>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r>
        <w:rPr>
          <w:rFonts w:hint="eastAsia"/>
          <w:color w:val="000000" w:themeColor="text1"/>
          <w:highlight w:val="none"/>
        </w:rPr>
        <w:t>函</w:t>
      </w:r>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p>
    <w:p>
      <w:pPr>
        <w:widowControl/>
        <w:spacing w:line="400" w:lineRule="exact"/>
        <w:jc w:val="left"/>
        <w:rPr>
          <w:rFonts w:ascii="宋体" w:hAnsi="宋体" w:cs="宋体"/>
          <w:b/>
          <w:color w:val="000000" w:themeColor="text1"/>
          <w:kern w:val="0"/>
          <w:sz w:val="24"/>
          <w:highlight w:val="none"/>
          <w:u w:val="single"/>
        </w:rPr>
      </w:pPr>
      <w:r>
        <w:rPr>
          <w:rFonts w:ascii="宋体" w:hAnsi="宋体"/>
          <w:b/>
          <w:bCs/>
          <w:color w:val="000000" w:themeColor="text1"/>
          <w:highlight w:val="none"/>
        </w:rPr>
        <w:t>致</w:t>
      </w:r>
      <w:r>
        <w:rPr>
          <w:rFonts w:ascii="宋体" w:hAnsi="宋体"/>
          <w:b/>
          <w:bCs/>
          <w:color w:val="000000" w:themeColor="text1"/>
          <w:highlight w:val="none"/>
          <w:u w:val="single"/>
        </w:rPr>
        <w:t>（采购人</w:t>
      </w:r>
      <w:r>
        <w:rPr>
          <w:rFonts w:hint="eastAsia" w:ascii="宋体" w:hAnsi="宋体"/>
          <w:b/>
          <w:bCs/>
          <w:color w:val="000000" w:themeColor="text1"/>
          <w:highlight w:val="none"/>
          <w:u w:val="single"/>
        </w:rPr>
        <w:t>名称</w:t>
      </w:r>
      <w:r>
        <w:rPr>
          <w:rFonts w:ascii="宋体" w:hAnsi="宋体"/>
          <w:b/>
          <w:bCs/>
          <w:color w:val="000000" w:themeColor="text1"/>
          <w:highlight w:val="none"/>
          <w:u w:val="single"/>
        </w:rPr>
        <w:t>）           </w:t>
      </w:r>
      <w:r>
        <w:rPr>
          <w:rFonts w:ascii="宋体" w:hAnsi="宋体" w:cs="宋体"/>
          <w:b/>
          <w:color w:val="000000" w:themeColor="text1"/>
          <w:kern w:val="0"/>
          <w:sz w:val="24"/>
          <w:highlight w:val="none"/>
        </w:rPr>
        <w:t xml:space="preserve">： </w:t>
      </w:r>
    </w:p>
    <w:p>
      <w:pPr>
        <w:adjustRightInd w:val="0"/>
        <w:snapToGrid w:val="0"/>
        <w:spacing w:line="400" w:lineRule="exact"/>
        <w:ind w:firstLine="420"/>
        <w:rPr>
          <w:rFonts w:ascii="宋体" w:hAnsi="宋体"/>
          <w:b/>
          <w:bCs/>
          <w:color w:val="000000" w:themeColor="text1"/>
          <w:highlight w:val="none"/>
        </w:rPr>
      </w:pPr>
      <w:r>
        <w:rPr>
          <w:rFonts w:hint="eastAsia" w:ascii="宋体" w:hAnsi="宋体"/>
          <w:b/>
          <w:bCs/>
          <w:color w:val="000000" w:themeColor="text1"/>
          <w:highlight w:val="none"/>
        </w:rPr>
        <w:t>根据贵方就</w:t>
      </w:r>
      <w:r>
        <w:rPr>
          <w:rFonts w:hint="eastAsia" w:hAnsi="宋体" w:cs="宋体"/>
          <w:b/>
          <w:color w:val="000000" w:themeColor="text1"/>
          <w:szCs w:val="21"/>
          <w:highlight w:val="none"/>
          <w:u w:val="single"/>
        </w:rPr>
        <w:t>项目名称</w:t>
      </w:r>
      <w:r>
        <w:rPr>
          <w:rFonts w:hint="eastAsia" w:ascii="宋体" w:hAnsi="宋体" w:cs="宋体"/>
          <w:b/>
          <w:color w:val="000000" w:themeColor="text1"/>
          <w:szCs w:val="21"/>
          <w:highlight w:val="none"/>
          <w:u w:val="single"/>
        </w:rPr>
        <w:t xml:space="preserve">，由投标人填写    </w:t>
      </w:r>
      <w:r>
        <w:rPr>
          <w:rFonts w:hint="eastAsia" w:ascii="宋体" w:hAnsi="宋体"/>
          <w:b/>
          <w:bCs/>
          <w:color w:val="000000" w:themeColor="text1"/>
          <w:highlight w:val="none"/>
        </w:rPr>
        <w:t>的投标邀请（项目编号:</w:t>
      </w:r>
      <w:r>
        <w:rPr>
          <w:rFonts w:hint="eastAsia" w:ascii="宋体" w:hAnsi="宋体"/>
          <w:b/>
          <w:bCs/>
          <w:color w:val="000000" w:themeColor="text1"/>
          <w:highlight w:val="none"/>
          <w:u w:val="single"/>
        </w:rPr>
        <w:t xml:space="preserve">            </w:t>
      </w:r>
      <w:r>
        <w:rPr>
          <w:rFonts w:hint="eastAsia" w:hAnsi="宋体"/>
          <w:b/>
          <w:bCs w:val="0"/>
          <w:color w:val="000000" w:themeColor="text1"/>
          <w:sz w:val="21"/>
          <w:highlight w:val="none"/>
          <w:lang w:val="en-US" w:eastAsia="zh-CN"/>
        </w:rPr>
        <w:t>包组号：</w:t>
      </w:r>
      <w:r>
        <w:rPr>
          <w:rFonts w:hint="eastAsia" w:hAnsi="宋体"/>
          <w:b/>
          <w:bCs w:val="0"/>
          <w:color w:val="000000" w:themeColor="text1"/>
          <w:sz w:val="21"/>
          <w:highlight w:val="none"/>
        </w:rPr>
        <w:t xml:space="preserve"> </w:t>
      </w:r>
      <w:r>
        <w:rPr>
          <w:rFonts w:hint="eastAsia" w:hAnsi="宋体"/>
          <w:b/>
          <w:bCs w:val="0"/>
          <w:color w:val="000000" w:themeColor="text1"/>
          <w:sz w:val="21"/>
          <w:highlight w:val="none"/>
          <w:u w:val="single"/>
        </w:rPr>
        <w:t xml:space="preserve">  </w:t>
      </w:r>
      <w:r>
        <w:rPr>
          <w:rFonts w:hAnsi="宋体"/>
          <w:b/>
          <w:bCs w:val="0"/>
          <w:color w:val="000000" w:themeColor="text1"/>
          <w:sz w:val="21"/>
          <w:highlight w:val="none"/>
          <w:u w:val="single"/>
        </w:rPr>
        <w:t xml:space="preserve">     </w:t>
      </w:r>
      <w:r>
        <w:rPr>
          <w:rFonts w:hint="eastAsia" w:ascii="宋体" w:hAnsi="宋体"/>
          <w:b/>
          <w:bCs/>
          <w:color w:val="000000" w:themeColor="text1"/>
          <w:highlight w:val="none"/>
        </w:rPr>
        <w:t>），我方正式响应投标并提交投标文件</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份正本和</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份副本，</w:t>
      </w:r>
      <w:r>
        <w:rPr>
          <w:rFonts w:hint="eastAsia" w:ascii="宋体" w:hAnsi="宋体"/>
          <w:b/>
          <w:color w:val="000000" w:themeColor="text1"/>
          <w:kern w:val="0"/>
          <w:szCs w:val="21"/>
          <w:highlight w:val="none"/>
        </w:rPr>
        <w:t>电子文件</w:t>
      </w:r>
      <w:r>
        <w:rPr>
          <w:rFonts w:hint="eastAsia" w:ascii="宋体" w:hAnsi="宋体"/>
          <w:b/>
          <w:color w:val="000000" w:themeColor="text1"/>
          <w:kern w:val="0"/>
          <w:szCs w:val="21"/>
          <w:highlight w:val="none"/>
          <w:u w:val="single"/>
        </w:rPr>
        <w:t xml:space="preserve">    </w:t>
      </w:r>
      <w:r>
        <w:rPr>
          <w:rFonts w:hint="eastAsia" w:ascii="宋体" w:hAnsi="宋体"/>
          <w:b/>
          <w:color w:val="000000" w:themeColor="text1"/>
          <w:kern w:val="0"/>
          <w:szCs w:val="21"/>
          <w:highlight w:val="none"/>
        </w:rPr>
        <w:t>份</w:t>
      </w:r>
      <w:r>
        <w:rPr>
          <w:rFonts w:hint="eastAsia" w:ascii="宋体" w:hAnsi="宋体"/>
          <w:b/>
          <w:bCs/>
          <w:color w:val="000000" w:themeColor="text1"/>
          <w:highlight w:val="none"/>
        </w:rPr>
        <w:t>。</w:t>
      </w:r>
    </w:p>
    <w:p>
      <w:pPr>
        <w:widowControl/>
        <w:tabs>
          <w:tab w:val="left" w:pos="840"/>
        </w:tabs>
        <w:adjustRightInd w:val="0"/>
        <w:snapToGrid w:val="0"/>
        <w:rPr>
          <w:rFonts w:ascii="宋体" w:hAnsi="宋体"/>
          <w:b/>
          <w:bCs/>
          <w:color w:val="000000" w:themeColor="text1"/>
          <w:highlight w:val="none"/>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rPr>
      </w:pPr>
      <w:r>
        <w:rPr>
          <w:rFonts w:hint="eastAsia" w:ascii="宋体" w:hAnsi="宋体"/>
          <w:b/>
          <w:bCs/>
          <w:color w:val="000000" w:themeColor="text1"/>
          <w:highlight w:val="none"/>
        </w:rPr>
        <w:t>以</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形式提交的投标保证金，金额为大写</w:t>
      </w:r>
      <w:r>
        <w:rPr>
          <w:rFonts w:hint="eastAsia" w:ascii="宋体"/>
          <w:b/>
          <w:color w:val="000000" w:themeColor="text1"/>
          <w:highlight w:val="none"/>
        </w:rPr>
        <w:t>人民币</w:t>
      </w:r>
      <w:r>
        <w:rPr>
          <w:rFonts w:hint="eastAsia" w:ascii="宋体"/>
          <w:b/>
          <w:color w:val="000000" w:themeColor="text1"/>
          <w:highlight w:val="none"/>
          <w:u w:val="single"/>
        </w:rPr>
        <w:t xml:space="preserve">             </w:t>
      </w:r>
      <w:r>
        <w:rPr>
          <w:rFonts w:hint="eastAsia" w:ascii="宋体"/>
          <w:b/>
          <w:color w:val="000000" w:themeColor="text1"/>
          <w:highlight w:val="none"/>
        </w:rPr>
        <w:t>（</w:t>
      </w:r>
      <w:r>
        <w:rPr>
          <w:rFonts w:hint="eastAsia" w:ascii="宋体"/>
          <w:b/>
          <w:bCs/>
          <w:color w:val="000000" w:themeColor="text1"/>
          <w:highlight w:val="none"/>
        </w:rPr>
        <w:t>￥</w:t>
      </w:r>
      <w:r>
        <w:rPr>
          <w:rFonts w:hint="eastAsia" w:ascii="宋体"/>
          <w:b/>
          <w:bCs/>
          <w:color w:val="000000" w:themeColor="text1"/>
          <w:highlight w:val="none"/>
          <w:u w:val="single"/>
        </w:rPr>
        <w:t xml:space="preserve">          </w:t>
      </w:r>
      <w:r>
        <w:rPr>
          <w:rFonts w:hint="eastAsia" w:ascii="宋体"/>
          <w:b/>
          <w:bCs/>
          <w:color w:val="000000" w:themeColor="text1"/>
          <w:highlight w:val="none"/>
        </w:rPr>
        <w:t>）。</w:t>
      </w:r>
    </w:p>
    <w:p>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rPr>
      </w:pPr>
      <w:r>
        <w:rPr>
          <w:rFonts w:hint="eastAsia" w:ascii="宋体" w:hAnsi="宋体"/>
          <w:b/>
          <w:bCs/>
          <w:color w:val="000000" w:themeColor="text1"/>
          <w:highlight w:val="none"/>
        </w:rPr>
        <w:t>据此函，签字代表宣布同意如下：</w:t>
      </w:r>
    </w:p>
    <w:p>
      <w:pPr>
        <w:widowControl/>
        <w:numPr>
          <w:ilvl w:val="0"/>
          <w:numId w:val="38"/>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color w:val="000000" w:themeColor="text1"/>
          <w:highlight w:val="none"/>
        </w:rPr>
        <w:t>所附投标价格表中规定的应提交和交付的投标总价为人民币：</w:t>
      </w:r>
      <w:r>
        <w:rPr>
          <w:rFonts w:hint="eastAsia" w:ascii="宋体" w:hAnsi="宋体"/>
          <w:color w:val="000000" w:themeColor="text1"/>
          <w:highlight w:val="none"/>
          <w:u w:val="single"/>
        </w:rPr>
        <w:t xml:space="preserve"> （用文字和数字表示的投标总价）  </w:t>
      </w:r>
      <w:r>
        <w:rPr>
          <w:rFonts w:hint="eastAsia" w:ascii="宋体" w:hAnsi="宋体"/>
          <w:color w:val="000000" w:themeColor="text1"/>
          <w:highlight w:val="none"/>
        </w:rPr>
        <w:t>。</w:t>
      </w:r>
    </w:p>
    <w:p>
      <w:pPr>
        <w:widowControl/>
        <w:numPr>
          <w:ilvl w:val="0"/>
          <w:numId w:val="38"/>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eastAsia="宋体" w:cs="宋体"/>
          <w:color w:val="000000" w:themeColor="text1"/>
          <w:highlight w:val="none"/>
          <w:lang w:val="en-US" w:eastAsia="zh-CN"/>
        </w:rPr>
        <w:t>单位负责人为同一人或者存在直接控股、管理关系的不同供应商，不得参加同一合同项下的政府采购活动。</w:t>
      </w:r>
    </w:p>
    <w:p>
      <w:pPr>
        <w:widowControl/>
        <w:numPr>
          <w:ilvl w:val="0"/>
          <w:numId w:val="38"/>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eastAsia="宋体" w:cs="宋体"/>
          <w:color w:val="000000" w:themeColor="text1"/>
          <w:highlight w:val="none"/>
          <w:lang w:val="en-US" w:eastAsia="zh-CN"/>
        </w:rPr>
        <w:t>为采购项目提供整体设计、规范编制或者项目管理、监理、检测等服务的供应商，不得再参加采购项目的其他采购活动。</w:t>
      </w:r>
    </w:p>
    <w:p>
      <w:pPr>
        <w:widowControl/>
        <w:numPr>
          <w:ilvl w:val="0"/>
          <w:numId w:val="38"/>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本次投标所报内容完全按照招标文件要求填报，所有内容都是真实、准确的。</w:t>
      </w:r>
    </w:p>
    <w:p>
      <w:pPr>
        <w:widowControl/>
        <w:numPr>
          <w:ilvl w:val="0"/>
          <w:numId w:val="38"/>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投标人将按招标文件的规定履行全部合同责任和义务。</w:t>
      </w:r>
    </w:p>
    <w:p>
      <w:pPr>
        <w:widowControl/>
        <w:numPr>
          <w:ilvl w:val="0"/>
          <w:numId w:val="38"/>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投标人已详细审查全部招标文件，包括修改文件（如有的话）以及全部参考资料和有关附件。我们完全理解并同意放弃对这方面有不明及误解的权利。</w:t>
      </w:r>
    </w:p>
    <w:p>
      <w:pPr>
        <w:widowControl/>
        <w:numPr>
          <w:ilvl w:val="0"/>
          <w:numId w:val="38"/>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本次投标自开标日起有效期为90天。</w:t>
      </w:r>
    </w:p>
    <w:p>
      <w:pPr>
        <w:widowControl/>
        <w:numPr>
          <w:ilvl w:val="0"/>
          <w:numId w:val="38"/>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如果在规定的开标时间后，投标人在投标有效期内撤回投标文件，投标保证金将被贵</w:t>
      </w:r>
      <w:r>
        <w:rPr>
          <w:rFonts w:hint="eastAsia" w:ascii="宋体" w:hAnsi="宋体"/>
          <w:color w:val="000000" w:themeColor="text1"/>
          <w:szCs w:val="21"/>
          <w:highlight w:val="none"/>
        </w:rPr>
        <w:t>方</w:t>
      </w:r>
      <w:r>
        <w:rPr>
          <w:rFonts w:hint="eastAsia" w:ascii="宋体" w:hAnsi="宋体"/>
          <w:bCs/>
          <w:color w:val="000000" w:themeColor="text1"/>
          <w:highlight w:val="none"/>
        </w:rPr>
        <w:t>不予退还。</w:t>
      </w:r>
    </w:p>
    <w:p>
      <w:pPr>
        <w:widowControl/>
        <w:numPr>
          <w:ilvl w:val="0"/>
          <w:numId w:val="38"/>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投标人同意提供按照贵方可能要求与其投标有关的一切数据或资料，完全理解贵方不一定接受最低价的投标或收到的任何投标。</w:t>
      </w:r>
    </w:p>
    <w:p>
      <w:pPr>
        <w:widowControl/>
        <w:numPr>
          <w:ilvl w:val="0"/>
          <w:numId w:val="38"/>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24"/>
        <w:spacing w:line="400" w:lineRule="exact"/>
        <w:rPr>
          <w:rFonts w:hAnsi="宋体"/>
          <w:color w:val="000000" w:themeColor="text1"/>
          <w:highlight w:val="none"/>
        </w:rPr>
      </w:pPr>
      <w:r>
        <w:rPr>
          <w:rFonts w:hint="eastAsia" w:hAnsi="宋体"/>
          <w:color w:val="000000" w:themeColor="text1"/>
          <w:highlight w:val="none"/>
        </w:rPr>
        <w:t>注：本投标函为投标人响应本次招标项目的郑重承诺，投标人不得改动且必须满足。</w:t>
      </w:r>
    </w:p>
    <w:p>
      <w:pPr>
        <w:pStyle w:val="24"/>
        <w:spacing w:line="400" w:lineRule="exact"/>
        <w:rPr>
          <w:rFonts w:hAnsi="宋体"/>
          <w:color w:val="000000" w:themeColor="text1"/>
          <w:highlight w:val="none"/>
        </w:rPr>
      </w:pPr>
    </w:p>
    <w:p>
      <w:pPr>
        <w:pStyle w:val="4"/>
        <w:numPr>
          <w:ilvl w:val="0"/>
          <w:numId w:val="0"/>
        </w:numPr>
        <w:spacing w:line="400" w:lineRule="exact"/>
        <w:rPr>
          <w:color w:val="000000" w:themeColor="text1"/>
          <w:highlight w:val="none"/>
        </w:rPr>
      </w:pPr>
      <w:bookmarkStart w:id="1723" w:name="_Hlt16935467"/>
      <w:bookmarkEnd w:id="1723"/>
      <w:bookmarkStart w:id="1724" w:name="_Toc337632380"/>
      <w:bookmarkStart w:id="1725" w:name="_Toc339362322"/>
      <w:bookmarkStart w:id="1726" w:name="_Toc339019911"/>
      <w:bookmarkStart w:id="1727" w:name="_Toc78816017"/>
      <w:bookmarkStart w:id="1728" w:name="_Toc336681602"/>
      <w:bookmarkStart w:id="1729" w:name="_Toc350756472"/>
      <w:bookmarkStart w:id="1730" w:name="_Toc343248440"/>
      <w:bookmarkStart w:id="1731" w:name="_Toc345312619"/>
      <w:bookmarkStart w:id="1732" w:name="_Toc330460008"/>
      <w:bookmarkStart w:id="1733" w:name="_Toc342060397"/>
      <w:bookmarkStart w:id="1734" w:name="_Toc350438771"/>
      <w:bookmarkStart w:id="1735" w:name="_Toc342296783"/>
      <w:bookmarkStart w:id="1736" w:name="_Toc333238656"/>
      <w:bookmarkStart w:id="1737" w:name="_Toc333935709"/>
      <w:bookmarkStart w:id="1738" w:name="_Toc343612942"/>
      <w:bookmarkStart w:id="1739" w:name="_Toc342312465"/>
      <w:bookmarkStart w:id="1740" w:name="_Toc333237700"/>
      <w:bookmarkStart w:id="1741" w:name="_Toc365985200"/>
      <w:bookmarkStart w:id="1742" w:name="_Toc365967094"/>
      <w:bookmarkStart w:id="1743" w:name="_Toc339020037"/>
      <w:bookmarkStart w:id="1744" w:name="_Toc331512923"/>
      <w:bookmarkStart w:id="1745" w:name="_Toc340507464"/>
      <w:bookmarkStart w:id="1746" w:name="_Toc333935368"/>
      <w:bookmarkStart w:id="1747" w:name="_Toc366072551"/>
      <w:bookmarkStart w:id="1748" w:name="_Toc341348362"/>
      <w:bookmarkStart w:id="1749" w:name="_Toc336681957"/>
      <w:bookmarkStart w:id="1750" w:name="_Toc18192"/>
      <w:bookmarkStart w:id="1751" w:name="_Toc340672891"/>
      <w:bookmarkStart w:id="1752" w:name="_Toc339020117"/>
      <w:bookmarkStart w:id="1753" w:name="_Toc333237811"/>
      <w:bookmarkStart w:id="1754" w:name="_Toc340677092"/>
      <w:bookmarkStart w:id="1755" w:name="_Toc331684064"/>
      <w:bookmarkStart w:id="1756" w:name="_Toc343247122"/>
      <w:bookmarkStart w:id="1757" w:name="_Toc339441109"/>
      <w:bookmarkStart w:id="1758" w:name="_Toc342398152"/>
      <w:bookmarkStart w:id="1759" w:name="_Toc332270369"/>
      <w:bookmarkStart w:id="1760" w:name="_Toc339020255"/>
      <w:bookmarkStart w:id="1761" w:name="_Toc332206731"/>
      <w:r>
        <w:rPr>
          <w:rFonts w:hint="eastAsia"/>
          <w:color w:val="000000" w:themeColor="text1"/>
          <w:highlight w:val="none"/>
        </w:rPr>
        <w:t>附件二：开标一览表</w:t>
      </w:r>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hint="eastAsia" w:ascii="宋体" w:hAnsi="宋体"/>
          <w:bCs/>
          <w:color w:val="000000" w:themeColor="text1"/>
          <w:highlight w:val="none"/>
        </w:rPr>
      </w:pP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rPr>
        <w:t xml:space="preserve"> </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Ansi="宋体"/>
          <w:bCs/>
          <w:color w:val="000000" w:themeColor="text1"/>
          <w:sz w:val="21"/>
          <w:highlight w:val="none"/>
          <w:u w:val="singl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项目编号</w:t>
            </w:r>
          </w:p>
        </w:tc>
        <w:tc>
          <w:tcPr>
            <w:tcW w:w="2873"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2719" w:type="dxa"/>
            <w:vAlign w:val="center"/>
          </w:tcPr>
          <w:p>
            <w:pPr>
              <w:jc w:val="center"/>
              <w:rPr>
                <w:rFonts w:ascii="宋体" w:hAnsi="宋体"/>
                <w:bCs/>
                <w:color w:val="000000" w:themeColor="text1"/>
                <w:highlight w:val="none"/>
              </w:rPr>
            </w:pPr>
            <w:r>
              <w:rPr>
                <w:rFonts w:hint="eastAsia" w:ascii="宋体" w:hAnsi="宋体" w:cs="宋体"/>
                <w:color w:val="000000" w:themeColor="text1"/>
                <w:kern w:val="0"/>
                <w:szCs w:val="21"/>
                <w:highlight w:val="none"/>
              </w:rPr>
              <w:t>折扣率</w:t>
            </w:r>
          </w:p>
        </w:tc>
        <w:tc>
          <w:tcPr>
            <w:tcW w:w="1673" w:type="dxa"/>
            <w:vAlign w:val="center"/>
          </w:tcPr>
          <w:p>
            <w:pPr>
              <w:jc w:val="center"/>
              <w:rPr>
                <w:rFonts w:ascii="宋体" w:hAnsi="宋体"/>
                <w:bCs/>
                <w:color w:val="000000" w:themeColor="text1"/>
                <w:highlight w:val="none"/>
              </w:rPr>
            </w:pPr>
            <w:r>
              <w:rPr>
                <w:rFonts w:hint="eastAsia" w:ascii="宋体" w:hAnsi="宋体"/>
                <w:bCs/>
                <w:color w:val="000000" w:themeColor="text1"/>
                <w:highlight w:val="none"/>
              </w:rPr>
              <w:t>服务期</w:t>
            </w:r>
          </w:p>
        </w:tc>
        <w:tc>
          <w:tcPr>
            <w:tcW w:w="689"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rPr>
            </w:pPr>
          </w:p>
        </w:tc>
        <w:tc>
          <w:tcPr>
            <w:tcW w:w="2873" w:type="dxa"/>
            <w:vAlign w:val="center"/>
          </w:tcPr>
          <w:p>
            <w:pPr>
              <w:adjustRightInd w:val="0"/>
              <w:snapToGrid w:val="0"/>
              <w:spacing w:line="300" w:lineRule="exact"/>
              <w:jc w:val="center"/>
              <w:rPr>
                <w:rFonts w:ascii="宋体" w:hAnsi="宋体"/>
                <w:bCs/>
                <w:color w:val="000000" w:themeColor="text1"/>
                <w:highlight w:val="none"/>
              </w:rPr>
            </w:pPr>
          </w:p>
        </w:tc>
        <w:tc>
          <w:tcPr>
            <w:tcW w:w="2719" w:type="dxa"/>
            <w:vAlign w:val="center"/>
          </w:tcPr>
          <w:p>
            <w:pPr>
              <w:spacing w:line="260" w:lineRule="exact"/>
              <w:jc w:val="center"/>
              <w:rPr>
                <w:rFonts w:hint="eastAsia" w:ascii="宋体" w:hAnsi="宋体" w:eastAsia="宋体"/>
                <w:bCs/>
                <w:color w:val="000000" w:themeColor="text1"/>
                <w:highlight w:val="none"/>
                <w:lang w:val="en-US" w:eastAsia="zh-CN"/>
              </w:rPr>
            </w:pPr>
            <w:r>
              <w:rPr>
                <w:rFonts w:hint="eastAsia" w:ascii="宋体" w:hAnsi="宋体"/>
                <w:bCs/>
                <w:color w:val="000000" w:themeColor="text1"/>
                <w:highlight w:val="none"/>
                <w:lang w:val="en-US" w:eastAsia="zh-CN"/>
              </w:rPr>
              <w:t>%</w:t>
            </w:r>
          </w:p>
        </w:tc>
        <w:tc>
          <w:tcPr>
            <w:tcW w:w="1673" w:type="dxa"/>
            <w:vAlign w:val="center"/>
          </w:tcPr>
          <w:p>
            <w:pPr>
              <w:topLinePunct/>
              <w:jc w:val="left"/>
              <w:rPr>
                <w:rFonts w:ascii="宋体" w:hAnsi="宋体"/>
                <w:bCs/>
                <w:color w:val="000000" w:themeColor="text1"/>
                <w:highlight w:val="none"/>
                <w:u w:val="single"/>
              </w:rPr>
            </w:pPr>
          </w:p>
        </w:tc>
        <w:tc>
          <w:tcPr>
            <w:tcW w:w="689" w:type="dxa"/>
            <w:vAlign w:val="center"/>
          </w:tcPr>
          <w:p>
            <w:pPr>
              <w:rPr>
                <w:rFonts w:ascii="宋体" w:hAnsi="宋体"/>
                <w:bCs/>
                <w:color w:val="000000" w:themeColor="text1"/>
                <w:highlight w:val="none"/>
              </w:rPr>
            </w:pPr>
          </w:p>
        </w:tc>
      </w:tr>
    </w:tbl>
    <w:p>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pPr>
        <w:numPr>
          <w:ilvl w:val="0"/>
          <w:numId w:val="4"/>
        </w:numPr>
        <w:tabs>
          <w:tab w:val="left" w:pos="1365"/>
        </w:tabs>
        <w:spacing w:line="360" w:lineRule="auto"/>
        <w:rPr>
          <w:rFonts w:ascii="宋体" w:hAnsi="宋体"/>
          <w:bCs/>
          <w:color w:val="000000" w:themeColor="text1"/>
          <w:highlight w:val="none"/>
        </w:rPr>
      </w:pPr>
      <w:r>
        <w:rPr>
          <w:rFonts w:hint="eastAsia" w:ascii="宋体" w:hAnsi="宋体"/>
          <w:color w:val="000000" w:themeColor="text1"/>
          <w:highlight w:val="none"/>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rPr>
      </w:pPr>
      <w:r>
        <w:rPr>
          <w:rFonts w:hint="eastAsia"/>
          <w:bCs/>
          <w:color w:val="000000" w:themeColor="text1"/>
          <w:highlight w:val="none"/>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rPr>
      </w:pPr>
      <w:r>
        <w:rPr>
          <w:rFonts w:hint="eastAsia" w:ascii="宋体" w:hAnsi="宋体"/>
          <w:bCs/>
          <w:color w:val="000000" w:themeColor="text1"/>
          <w:highlight w:val="none"/>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pStyle w:val="4"/>
        <w:numPr>
          <w:ilvl w:val="0"/>
          <w:numId w:val="0"/>
        </w:numPr>
        <w:spacing w:line="400" w:lineRule="exact"/>
        <w:rPr>
          <w:color w:val="000000" w:themeColor="text1"/>
          <w:highlight w:val="none"/>
        </w:rPr>
      </w:pPr>
      <w:bookmarkStart w:id="1762" w:name="_Toc333935370"/>
      <w:bookmarkStart w:id="1763" w:name="_Toc343247124"/>
      <w:bookmarkStart w:id="1764" w:name="_Toc336681604"/>
      <w:bookmarkStart w:id="1765" w:name="_Toc333237702"/>
      <w:bookmarkStart w:id="1766" w:name="_Toc341348364"/>
      <w:bookmarkStart w:id="1767" w:name="_Toc339020039"/>
      <w:bookmarkStart w:id="1768" w:name="_Toc5804"/>
      <w:bookmarkStart w:id="1769" w:name="_Toc345312621"/>
      <w:bookmarkStart w:id="1770" w:name="_Toc336681959"/>
      <w:bookmarkStart w:id="1771" w:name="_Toc340677094"/>
      <w:bookmarkStart w:id="1772" w:name="_Toc342060399"/>
      <w:bookmarkStart w:id="1773" w:name="_Toc339019913"/>
      <w:bookmarkStart w:id="1774" w:name="_Toc339362324"/>
      <w:bookmarkStart w:id="1775" w:name="_Toc365967096"/>
      <w:bookmarkStart w:id="1776" w:name="_Toc342398154"/>
      <w:bookmarkStart w:id="1777" w:name="_Toc330460010"/>
      <w:bookmarkStart w:id="1778" w:name="_Toc343612944"/>
      <w:bookmarkStart w:id="1779" w:name="_Toc342296785"/>
      <w:bookmarkStart w:id="1780" w:name="_Toc332206733"/>
      <w:bookmarkStart w:id="1781" w:name="_Toc340672893"/>
      <w:bookmarkStart w:id="1782" w:name="_Toc339441111"/>
      <w:bookmarkStart w:id="1783" w:name="_Toc350438773"/>
      <w:bookmarkStart w:id="1784" w:name="_Toc331512925"/>
      <w:bookmarkStart w:id="1785" w:name="_Toc333935711"/>
      <w:bookmarkStart w:id="1786" w:name="_Toc366072553"/>
      <w:bookmarkStart w:id="1787" w:name="_Toc333237813"/>
      <w:bookmarkStart w:id="1788" w:name="_Toc340507466"/>
      <w:bookmarkStart w:id="1789" w:name="_Toc337632382"/>
      <w:bookmarkStart w:id="1790" w:name="_Toc343248442"/>
      <w:bookmarkStart w:id="1791" w:name="_Toc331684066"/>
      <w:bookmarkStart w:id="1792" w:name="_Toc342312467"/>
      <w:bookmarkStart w:id="1793" w:name="_Toc332270371"/>
      <w:bookmarkStart w:id="1794" w:name="_Toc339020119"/>
      <w:bookmarkStart w:id="1795" w:name="_Toc350756474"/>
      <w:bookmarkStart w:id="1796" w:name="_Toc339020257"/>
      <w:bookmarkStart w:id="1797" w:name="_Toc365985202"/>
      <w:bookmarkStart w:id="1798" w:name="_Toc333238658"/>
      <w:r>
        <w:rPr>
          <w:rFonts w:hint="eastAsia"/>
          <w:color w:val="000000" w:themeColor="text1"/>
          <w:highlight w:val="none"/>
        </w:rPr>
        <w:t>附件</w:t>
      </w:r>
      <w:r>
        <w:rPr>
          <w:rFonts w:hint="eastAsia"/>
          <w:color w:val="000000" w:themeColor="text1"/>
          <w:highlight w:val="none"/>
          <w:lang w:val="en-US" w:eastAsia="zh-CN"/>
        </w:rPr>
        <w:t>三</w:t>
      </w:r>
      <w:r>
        <w:rPr>
          <w:rFonts w:hint="eastAsia"/>
          <w:color w:val="000000" w:themeColor="text1"/>
          <w:highlight w:val="none"/>
        </w:rPr>
        <w:t>：商务条款偏离一览表</w:t>
      </w:r>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hint="eastAsia" w:ascii="宋体" w:hAnsi="宋体"/>
          <w:bCs/>
          <w:color w:val="000000" w:themeColor="text1"/>
          <w:highlight w:val="none"/>
        </w:rPr>
      </w:pP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rPr>
        <w:t xml:space="preserve"> </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Ansi="宋体"/>
          <w:bCs/>
          <w:color w:val="000000" w:themeColor="text1"/>
          <w:sz w:val="21"/>
          <w:highlight w:val="none"/>
          <w:u w:val="singl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2）对招标文件中商务条款按上列格式逐条说明。</w:t>
      </w:r>
    </w:p>
    <w:p>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4"/>
        <w:numPr>
          <w:ilvl w:val="0"/>
          <w:numId w:val="0"/>
        </w:numPr>
        <w:spacing w:line="400" w:lineRule="exact"/>
        <w:rPr>
          <w:color w:val="000000" w:themeColor="text1"/>
          <w:highlight w:val="none"/>
        </w:rPr>
      </w:pPr>
      <w:bookmarkStart w:id="1799" w:name="_Toc29231"/>
      <w:bookmarkStart w:id="1800" w:name="_Toc339020040"/>
      <w:bookmarkStart w:id="1801" w:name="_Toc330460011"/>
      <w:bookmarkStart w:id="1802" w:name="_Toc339020120"/>
      <w:bookmarkStart w:id="1803" w:name="_Toc365985203"/>
      <w:bookmarkStart w:id="1804" w:name="_Toc350756475"/>
      <w:bookmarkStart w:id="1805" w:name="_Toc342398155"/>
      <w:bookmarkStart w:id="1806" w:name="_Toc339020258"/>
      <w:bookmarkStart w:id="1807" w:name="_Toc336681605"/>
      <w:bookmarkStart w:id="1808" w:name="_Toc345312622"/>
      <w:bookmarkStart w:id="1809" w:name="_Toc339019914"/>
      <w:bookmarkStart w:id="1810" w:name="_Toc332270372"/>
      <w:bookmarkStart w:id="1811" w:name="_Toc331512926"/>
      <w:bookmarkStart w:id="1812" w:name="_Toc333935712"/>
      <w:bookmarkStart w:id="1813" w:name="_Toc339441112"/>
      <w:bookmarkStart w:id="1814" w:name="_Toc341348365"/>
      <w:bookmarkStart w:id="1815" w:name="_Toc340672894"/>
      <w:bookmarkStart w:id="1816" w:name="_Toc331684067"/>
      <w:bookmarkStart w:id="1817" w:name="_Toc366072554"/>
      <w:bookmarkStart w:id="1818" w:name="_Toc343248443"/>
      <w:bookmarkStart w:id="1819" w:name="_Toc332206734"/>
      <w:bookmarkStart w:id="1820" w:name="_Toc339362325"/>
      <w:bookmarkStart w:id="1821" w:name="_Toc333237814"/>
      <w:bookmarkStart w:id="1822" w:name="_Toc342312468"/>
      <w:bookmarkStart w:id="1823" w:name="_Toc365967097"/>
      <w:bookmarkStart w:id="1824" w:name="_Toc336681960"/>
      <w:bookmarkStart w:id="1825" w:name="_Toc343612945"/>
      <w:bookmarkStart w:id="1826" w:name="_Toc342296786"/>
      <w:bookmarkStart w:id="1827" w:name="_Toc342060400"/>
      <w:bookmarkStart w:id="1828" w:name="_Toc340507467"/>
      <w:bookmarkStart w:id="1829" w:name="_Toc350438774"/>
      <w:bookmarkStart w:id="1830" w:name="_Toc333237703"/>
      <w:bookmarkStart w:id="1831" w:name="_Toc343247125"/>
      <w:bookmarkStart w:id="1832" w:name="_Toc333238659"/>
      <w:bookmarkStart w:id="1833" w:name="_Toc340677095"/>
      <w:bookmarkStart w:id="1834" w:name="_Toc333935371"/>
      <w:bookmarkStart w:id="1835" w:name="_Toc337632383"/>
      <w:r>
        <w:rPr>
          <w:rFonts w:hint="eastAsia"/>
          <w:color w:val="000000" w:themeColor="text1"/>
          <w:highlight w:val="none"/>
        </w:rPr>
        <w:t>附件</w:t>
      </w:r>
      <w:r>
        <w:rPr>
          <w:rFonts w:hint="eastAsia"/>
          <w:color w:val="000000" w:themeColor="text1"/>
          <w:highlight w:val="none"/>
          <w:lang w:val="en-US" w:eastAsia="zh-CN"/>
        </w:rPr>
        <w:t>四</w:t>
      </w:r>
      <w:r>
        <w:rPr>
          <w:rFonts w:hint="eastAsia"/>
          <w:color w:val="000000" w:themeColor="text1"/>
          <w:highlight w:val="none"/>
        </w:rPr>
        <w:t>：技术条款偏离一览表</w:t>
      </w:r>
      <w:bookmarkEnd w:id="1799"/>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hint="eastAsia" w:ascii="宋体" w:hAnsi="宋体"/>
          <w:bCs/>
          <w:color w:val="000000" w:themeColor="text1"/>
          <w:highlight w:val="none"/>
        </w:rPr>
      </w:pP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rPr>
        <w:t xml:space="preserve"> </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Ansi="宋体"/>
          <w:bCs/>
          <w:color w:val="000000" w:themeColor="text1"/>
          <w:sz w:val="21"/>
          <w:highlight w:val="none"/>
          <w:u w:val="singl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2）对招标文件中技术条款按上列格式逐条说明。</w:t>
      </w:r>
    </w:p>
    <w:p>
      <w:pPr>
        <w:adjustRightInd w:val="0"/>
        <w:snapToGrid w:val="0"/>
        <w:spacing w:line="360" w:lineRule="auto"/>
        <w:ind w:firstLine="630" w:firstLineChars="300"/>
        <w:rPr>
          <w:rFonts w:ascii="宋体" w:hAnsi="宋体"/>
          <w:bCs/>
          <w:color w:val="000000" w:themeColor="text1"/>
          <w:highlight w:val="none"/>
        </w:rPr>
      </w:pPr>
    </w:p>
    <w:p>
      <w:pPr>
        <w:adjustRightInd w:val="0"/>
        <w:snapToGrid w:val="0"/>
        <w:spacing w:line="360" w:lineRule="auto"/>
        <w:rPr>
          <w:rFonts w:ascii="宋体" w:hAnsi="宋体"/>
          <w:b/>
          <w:bCs/>
          <w:color w:val="000000" w:themeColor="text1"/>
          <w:highlight w:val="none"/>
        </w:rPr>
      </w:pPr>
    </w:p>
    <w:p>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投标人声明：表中未列全的技术条款，我方均表示完全响应招标文件技术条款的所有要求。</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p>
      <w:pPr>
        <w:pStyle w:val="4"/>
        <w:numPr>
          <w:ilvl w:val="1"/>
          <w:numId w:val="0"/>
        </w:numPr>
        <w:spacing w:line="400" w:lineRule="exact"/>
        <w:rPr>
          <w:color w:val="000000" w:themeColor="text1"/>
          <w:highlight w:val="none"/>
        </w:rPr>
        <w:sectPr>
          <w:footerReference r:id="rId15" w:type="default"/>
          <w:pgSz w:w="11906" w:h="16838"/>
          <w:pgMar w:top="1474" w:right="1418" w:bottom="1474" w:left="1418" w:header="851" w:footer="850" w:gutter="0"/>
          <w:cols w:space="0" w:num="1"/>
          <w:titlePg/>
          <w:docGrid w:linePitch="312" w:charSpace="0"/>
        </w:sectPr>
      </w:pPr>
      <w:bookmarkStart w:id="1836" w:name="_Toc339020262"/>
      <w:bookmarkStart w:id="1837" w:name="_Toc343248447"/>
      <w:bookmarkStart w:id="1838" w:name="_Toc337632387"/>
      <w:bookmarkStart w:id="1839" w:name="_Toc339441116"/>
      <w:bookmarkStart w:id="1840" w:name="_Toc366072561"/>
      <w:bookmarkStart w:id="1841" w:name="_Toc333935375"/>
      <w:bookmarkStart w:id="1842" w:name="_Toc339020044"/>
      <w:bookmarkStart w:id="1843" w:name="_Toc336681609"/>
      <w:bookmarkStart w:id="1844" w:name="_Toc343247129"/>
      <w:bookmarkStart w:id="1845" w:name="_Toc341348369"/>
      <w:bookmarkStart w:id="1846" w:name="_Toc330460015"/>
      <w:bookmarkStart w:id="1847" w:name="_Toc340672898"/>
      <w:bookmarkStart w:id="1848" w:name="_Toc342312472"/>
      <w:bookmarkStart w:id="1849" w:name="_Toc342296790"/>
      <w:bookmarkStart w:id="1850" w:name="_Toc350438778"/>
      <w:bookmarkStart w:id="1851" w:name="_Toc333237707"/>
      <w:bookmarkStart w:id="1852" w:name="_Toc333935716"/>
      <w:bookmarkStart w:id="1853" w:name="_Toc342398159"/>
      <w:bookmarkStart w:id="1854" w:name="_Toc339019918"/>
      <w:bookmarkStart w:id="1855" w:name="_Toc340677099"/>
      <w:bookmarkStart w:id="1856" w:name="_Toc331512930"/>
      <w:bookmarkStart w:id="1857" w:name="_Toc365985210"/>
      <w:bookmarkStart w:id="1858" w:name="_Toc333237818"/>
      <w:bookmarkStart w:id="1859" w:name="_Toc432695228"/>
      <w:bookmarkStart w:id="1860" w:name="_Toc350756479"/>
      <w:bookmarkStart w:id="1861" w:name="_Toc345312626"/>
      <w:bookmarkStart w:id="1862" w:name="_Toc332206738"/>
      <w:bookmarkStart w:id="1863" w:name="_Toc332270376"/>
      <w:bookmarkStart w:id="1864" w:name="_Toc365967104"/>
      <w:bookmarkStart w:id="1865" w:name="_Toc336681964"/>
      <w:bookmarkStart w:id="1866" w:name="_Toc333238663"/>
      <w:bookmarkStart w:id="1867" w:name="_Toc343612949"/>
      <w:bookmarkStart w:id="1868" w:name="_Toc331684071"/>
      <w:bookmarkStart w:id="1869" w:name="_Toc339362329"/>
      <w:bookmarkStart w:id="1870" w:name="_Toc342060404"/>
      <w:bookmarkStart w:id="1871" w:name="_Toc339020124"/>
      <w:bookmarkStart w:id="1872" w:name="_Toc340507471"/>
    </w:p>
    <w:p>
      <w:pPr>
        <w:pStyle w:val="4"/>
        <w:numPr>
          <w:ilvl w:val="1"/>
          <w:numId w:val="0"/>
        </w:numPr>
        <w:spacing w:line="400" w:lineRule="exact"/>
        <w:rPr>
          <w:color w:val="000000" w:themeColor="text1"/>
          <w:highlight w:val="none"/>
        </w:rPr>
      </w:pPr>
      <w:bookmarkStart w:id="1873" w:name="_Toc32723"/>
      <w:r>
        <w:rPr>
          <w:rFonts w:hint="eastAsia"/>
          <w:color w:val="000000" w:themeColor="text1"/>
          <w:highlight w:val="none"/>
        </w:rPr>
        <w:t>附件</w:t>
      </w:r>
      <w:r>
        <w:rPr>
          <w:rFonts w:hint="eastAsia"/>
          <w:color w:val="000000" w:themeColor="text1"/>
          <w:highlight w:val="none"/>
          <w:lang w:val="en-US" w:eastAsia="zh-CN"/>
        </w:rPr>
        <w:t>五</w:t>
      </w:r>
      <w:r>
        <w:rPr>
          <w:rFonts w:hint="eastAsia"/>
          <w:color w:val="000000" w:themeColor="text1"/>
          <w:highlight w:val="none"/>
        </w:rPr>
        <w:t>：同类业绩一览表</w:t>
      </w:r>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p>
    <w:p>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ind w:left="1050" w:hanging="1050" w:hangingChars="500"/>
        <w:jc w:val="left"/>
        <w:rPr>
          <w:rFonts w:hint="eastAsia" w:ascii="宋体" w:hAnsi="宋体"/>
          <w:bCs/>
          <w:color w:val="000000" w:themeColor="text1"/>
          <w:highlight w:val="none"/>
        </w:rPr>
      </w:pP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rPr>
        <w:t xml:space="preserve"> </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Ansi="宋体"/>
          <w:bCs/>
          <w:color w:val="000000" w:themeColor="text1"/>
          <w:sz w:val="21"/>
          <w:highlight w:val="none"/>
          <w:u w:val="singl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中标金额（元）</w:t>
            </w:r>
          </w:p>
        </w:tc>
        <w:tc>
          <w:tcPr>
            <w:tcW w:w="1233"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rPr>
            </w:pPr>
          </w:p>
        </w:tc>
        <w:tc>
          <w:tcPr>
            <w:tcW w:w="1215" w:type="dxa"/>
            <w:vAlign w:val="center"/>
          </w:tcPr>
          <w:p>
            <w:pPr>
              <w:pStyle w:val="5"/>
              <w:snapToGrid w:val="0"/>
              <w:ind w:firstLine="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ind w:firstLine="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bl>
    <w:p>
      <w:pPr>
        <w:pStyle w:val="5"/>
        <w:snapToGrid w:val="0"/>
        <w:spacing w:line="360" w:lineRule="auto"/>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pPr>
        <w:pStyle w:val="5"/>
        <w:snapToGrid w:val="0"/>
        <w:spacing w:line="360" w:lineRule="auto"/>
        <w:rPr>
          <w:rFonts w:hAnsi="宋体"/>
          <w:bCs/>
          <w:color w:val="000000" w:themeColor="text1"/>
          <w:sz w:val="21"/>
          <w:highlight w:val="none"/>
        </w:rPr>
      </w:pPr>
    </w:p>
    <w:p>
      <w:pPr>
        <w:pStyle w:val="5"/>
        <w:snapToGrid w:val="0"/>
        <w:spacing w:line="360" w:lineRule="auto"/>
        <w:rPr>
          <w:rFonts w:hAnsi="宋体"/>
          <w:bCs/>
          <w:color w:val="000000" w:themeColor="text1"/>
          <w:sz w:val="21"/>
          <w:highlight w:val="none"/>
        </w:rPr>
      </w:pPr>
    </w:p>
    <w:p>
      <w:pPr>
        <w:pStyle w:val="5"/>
        <w:snapToGrid w:val="0"/>
        <w:spacing w:line="360" w:lineRule="auto"/>
        <w:rPr>
          <w:rFonts w:hAnsi="宋体"/>
          <w:bCs/>
          <w:color w:val="000000" w:themeColor="text1"/>
          <w:sz w:val="21"/>
          <w:highlight w:val="none"/>
        </w:rPr>
      </w:pPr>
    </w:p>
    <w:p>
      <w:pPr>
        <w:pStyle w:val="5"/>
        <w:snapToGrid w:val="0"/>
        <w:spacing w:line="360" w:lineRule="auto"/>
        <w:rPr>
          <w:rFonts w:hAnsi="宋体"/>
          <w:bCs/>
          <w:color w:val="000000" w:themeColor="text1"/>
          <w:sz w:val="2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4"/>
        <w:numPr>
          <w:ilvl w:val="1"/>
          <w:numId w:val="0"/>
        </w:numPr>
        <w:jc w:val="both"/>
        <w:rPr>
          <w:color w:val="000000" w:themeColor="text1"/>
          <w:highlight w:val="none"/>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rPr>
      </w:pPr>
      <w:bookmarkStart w:id="1874" w:name="_Toc14540"/>
      <w:bookmarkStart w:id="1875" w:name="_Toc432682754"/>
      <w:bookmarkStart w:id="1876" w:name="_Toc430771089"/>
      <w:bookmarkStart w:id="1877" w:name="_Toc432695229"/>
      <w:bookmarkStart w:id="1878" w:name="_Toc336681610"/>
      <w:bookmarkStart w:id="1879" w:name="_Toc331512931"/>
      <w:bookmarkStart w:id="1880" w:name="_Toc340677100"/>
      <w:bookmarkStart w:id="1881" w:name="_Toc333238664"/>
      <w:bookmarkStart w:id="1882" w:name="_Toc365967105"/>
      <w:bookmarkStart w:id="1883" w:name="_Toc333237819"/>
      <w:bookmarkStart w:id="1884" w:name="_Toc365985211"/>
      <w:bookmarkStart w:id="1885" w:name="_Toc342060405"/>
      <w:bookmarkStart w:id="1886" w:name="_Toc332270377"/>
      <w:bookmarkStart w:id="1887" w:name="_Toc339020125"/>
      <w:bookmarkStart w:id="1888" w:name="_Toc350438779"/>
      <w:bookmarkStart w:id="1889" w:name="_Toc343612950"/>
      <w:bookmarkStart w:id="1890" w:name="_Toc339441117"/>
      <w:bookmarkStart w:id="1891" w:name="_Toc342296791"/>
      <w:bookmarkStart w:id="1892" w:name="_Toc332206739"/>
      <w:bookmarkStart w:id="1893" w:name="_Toc343248448"/>
      <w:bookmarkStart w:id="1894" w:name="_Toc341348370"/>
      <w:bookmarkStart w:id="1895" w:name="_Toc333935376"/>
      <w:bookmarkStart w:id="1896" w:name="_Toc343247130"/>
      <w:bookmarkStart w:id="1897" w:name="_Toc331684072"/>
      <w:bookmarkStart w:id="1898" w:name="_Toc339362330"/>
      <w:bookmarkStart w:id="1899" w:name="_Toc342312473"/>
      <w:bookmarkStart w:id="1900" w:name="_Toc330460016"/>
      <w:bookmarkStart w:id="1901" w:name="_Toc342398160"/>
      <w:bookmarkStart w:id="1902" w:name="_Toc339020263"/>
      <w:bookmarkStart w:id="1903" w:name="_Toc333237708"/>
      <w:bookmarkStart w:id="1904" w:name="_Toc339019919"/>
      <w:bookmarkStart w:id="1905" w:name="_Toc336681965"/>
      <w:bookmarkStart w:id="1906" w:name="_Toc337632388"/>
      <w:bookmarkStart w:id="1907" w:name="_Toc102451601"/>
      <w:bookmarkStart w:id="1908" w:name="_Toc333935717"/>
      <w:bookmarkStart w:id="1909" w:name="_Toc366072562"/>
      <w:bookmarkStart w:id="1910" w:name="_Toc340507472"/>
      <w:bookmarkStart w:id="1911" w:name="_Toc345312627"/>
      <w:bookmarkStart w:id="1912" w:name="_Toc339020045"/>
      <w:bookmarkStart w:id="1913" w:name="_Toc350756480"/>
      <w:bookmarkStart w:id="1914" w:name="_Toc340672899"/>
      <w:r>
        <w:rPr>
          <w:rFonts w:hint="eastAsia"/>
          <w:color w:val="000000" w:themeColor="text1"/>
          <w:highlight w:val="none"/>
        </w:rPr>
        <w:t>附件</w:t>
      </w:r>
      <w:r>
        <w:rPr>
          <w:rFonts w:hint="eastAsia"/>
          <w:color w:val="000000" w:themeColor="text1"/>
          <w:highlight w:val="none"/>
          <w:lang w:val="en-US" w:eastAsia="zh-CN"/>
        </w:rPr>
        <w:t>六</w:t>
      </w:r>
      <w:r>
        <w:rPr>
          <w:rFonts w:hint="eastAsia"/>
          <w:color w:val="000000" w:themeColor="text1"/>
          <w:highlight w:val="none"/>
        </w:rPr>
        <w:t>：</w:t>
      </w:r>
      <w:r>
        <w:rPr>
          <w:rFonts w:hint="eastAsia" w:hAnsi="黑体" w:cs="黑体"/>
          <w:color w:val="000000" w:themeColor="text1"/>
          <w:highlight w:val="none"/>
        </w:rPr>
        <w:t>中小微企业声明函</w:t>
      </w:r>
      <w:bookmarkEnd w:id="1874"/>
      <w:bookmarkEnd w:id="1875"/>
      <w:bookmarkEnd w:id="1876"/>
      <w:bookmarkEnd w:id="1877"/>
    </w:p>
    <w:p>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pPr>
        <w:spacing w:line="440" w:lineRule="exact"/>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spacing w:line="440" w:lineRule="exact"/>
        <w:rPr>
          <w:rFonts w:ascii="宋体"/>
          <w:color w:val="000000" w:themeColor="text1"/>
          <w:highlight w:val="none"/>
        </w:rPr>
      </w:pPr>
      <w:r>
        <w:rPr>
          <w:rFonts w:ascii="宋体" w:hAnsi="宋体"/>
          <w:color w:val="000000" w:themeColor="text1"/>
          <w:szCs w:val="21"/>
          <w:highlight w:val="none"/>
        </w:rPr>
        <w:t>日期：</w:t>
      </w:r>
      <w:r>
        <w:rPr>
          <w:rFonts w:ascii="宋体" w:hAnsi="宋体"/>
          <w:color w:val="000000" w:themeColor="text1"/>
          <w:szCs w:val="21"/>
          <w:highlight w:val="none"/>
          <w:u w:val="single"/>
        </w:rPr>
        <w:t xml:space="preserve">       </w:t>
      </w:r>
      <w:r>
        <w:rPr>
          <w:rFonts w:ascii="宋体" w:hAnsi="宋体"/>
          <w:color w:val="000000" w:themeColor="text1"/>
          <w:szCs w:val="21"/>
          <w:highlight w:val="none"/>
        </w:rPr>
        <w:t>年</w:t>
      </w:r>
      <w:r>
        <w:rPr>
          <w:rFonts w:ascii="宋体" w:hAnsi="宋体"/>
          <w:color w:val="000000" w:themeColor="text1"/>
          <w:szCs w:val="21"/>
          <w:highlight w:val="none"/>
          <w:u w:val="single"/>
        </w:rPr>
        <w:t xml:space="preserve">     </w:t>
      </w:r>
      <w:r>
        <w:rPr>
          <w:rFonts w:ascii="宋体" w:hAnsi="宋体"/>
          <w:color w:val="000000" w:themeColor="text1"/>
          <w:szCs w:val="21"/>
          <w:highlight w:val="none"/>
        </w:rPr>
        <w:t>月</w:t>
      </w:r>
      <w:r>
        <w:rPr>
          <w:rFonts w:ascii="宋体" w:hAnsi="宋体"/>
          <w:color w:val="000000" w:themeColor="text1"/>
          <w:szCs w:val="21"/>
          <w:highlight w:val="none"/>
          <w:u w:val="single"/>
        </w:rPr>
        <w:t xml:space="preserve">      </w:t>
      </w:r>
      <w:r>
        <w:rPr>
          <w:rFonts w:ascii="宋体" w:hAnsi="宋体"/>
          <w:color w:val="000000" w:themeColor="text1"/>
          <w:szCs w:val="21"/>
          <w:highlight w:val="none"/>
        </w:rPr>
        <w:t>日</w:t>
      </w:r>
    </w:p>
    <w:p>
      <w:pPr>
        <w:spacing w:line="440" w:lineRule="exact"/>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p>
      <w:pPr>
        <w:pStyle w:val="4"/>
        <w:keepLines w:val="0"/>
        <w:numPr>
          <w:ilvl w:val="0"/>
          <w:numId w:val="0"/>
        </w:numPr>
        <w:tabs>
          <w:tab w:val="left" w:pos="851"/>
        </w:tabs>
        <w:spacing w:before="0" w:after="0" w:line="360" w:lineRule="auto"/>
        <w:rPr>
          <w:rFonts w:ascii="宋体" w:eastAsia="宋体"/>
          <w:color w:val="000000" w:themeColor="text1"/>
          <w:szCs w:val="21"/>
          <w:highlight w:val="none"/>
        </w:rPr>
      </w:pPr>
      <w:bookmarkStart w:id="1915" w:name="_Toc24799"/>
      <w:bookmarkStart w:id="1916" w:name="_Toc32373"/>
      <w:bookmarkStart w:id="1917" w:name="_Toc434832511"/>
      <w:r>
        <w:rPr>
          <w:rFonts w:hint="eastAsia"/>
          <w:color w:val="000000" w:themeColor="text1"/>
          <w:highlight w:val="none"/>
        </w:rPr>
        <w:t>附件</w:t>
      </w:r>
      <w:r>
        <w:rPr>
          <w:rFonts w:hint="eastAsia"/>
          <w:color w:val="000000" w:themeColor="text1"/>
          <w:highlight w:val="none"/>
          <w:lang w:val="en-US" w:eastAsia="zh-CN"/>
        </w:rPr>
        <w:t>七</w:t>
      </w:r>
      <w:r>
        <w:rPr>
          <w:rFonts w:hint="eastAsia"/>
          <w:color w:val="000000" w:themeColor="text1"/>
          <w:highlight w:val="none"/>
        </w:rPr>
        <w:t>：</w:t>
      </w:r>
      <w:r>
        <w:rPr>
          <w:rFonts w:hint="eastAsia" w:hAnsi="黑体" w:cs="黑体"/>
          <w:color w:val="000000" w:themeColor="text1"/>
          <w:highlight w:val="none"/>
        </w:rPr>
        <w:t>残疾人福利性单位声明函</w:t>
      </w:r>
      <w:bookmarkEnd w:id="1915"/>
      <w:bookmarkEnd w:id="1916"/>
    </w:p>
    <w:p>
      <w:pPr>
        <w:spacing w:line="360" w:lineRule="auto"/>
        <w:jc w:val="center"/>
        <w:rPr>
          <w:rFonts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pPr>
        <w:spacing w:line="360" w:lineRule="auto"/>
        <w:jc w:val="center"/>
        <w:rPr>
          <w:rFonts w:ascii="宋体" w:hAnsi="宋体"/>
          <w:b/>
          <w:color w:val="000000" w:themeColor="text1"/>
          <w:sz w:val="24"/>
          <w:highlight w:val="none"/>
        </w:rPr>
      </w:pPr>
    </w:p>
    <w:p>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投标人法定代表人（负责人）或授权代理人（签字）：</w:t>
      </w:r>
      <w:r>
        <w:rPr>
          <w:rFonts w:hint="eastAsia" w:ascii="宋体" w:hAnsi="宋体"/>
          <w:bCs/>
          <w:color w:val="000000" w:themeColor="text1"/>
          <w:szCs w:val="21"/>
          <w:highlight w:val="none"/>
          <w:u w:val="single"/>
        </w:rPr>
        <w:t xml:space="preserve">                            </w:t>
      </w: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投标人名称（公章）：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pStyle w:val="5"/>
        <w:spacing w:line="360" w:lineRule="auto"/>
        <w:ind w:firstLine="0"/>
        <w:rPr>
          <w:rFonts w:hAnsi="宋体" w:cs="宋体"/>
          <w:color w:val="000000" w:themeColor="text1"/>
          <w:kern w:val="2"/>
          <w:sz w:val="21"/>
          <w:szCs w:val="24"/>
          <w:highlight w:val="none"/>
        </w:rPr>
      </w:pPr>
      <w:r>
        <w:rPr>
          <w:rFonts w:hAnsi="宋体"/>
          <w:color w:val="000000" w:themeColor="text1"/>
          <w:sz w:val="21"/>
          <w:szCs w:val="21"/>
          <w:highlight w:val="none"/>
        </w:rPr>
        <w:t>日期：</w:t>
      </w:r>
      <w:r>
        <w:rPr>
          <w:rFonts w:hAnsi="宋体"/>
          <w:color w:val="000000" w:themeColor="text1"/>
          <w:sz w:val="21"/>
          <w:szCs w:val="21"/>
          <w:highlight w:val="none"/>
          <w:u w:val="single"/>
        </w:rPr>
        <w:t xml:space="preserve">       </w:t>
      </w:r>
      <w:r>
        <w:rPr>
          <w:rFonts w:hAnsi="宋体"/>
          <w:color w:val="000000" w:themeColor="text1"/>
          <w:sz w:val="21"/>
          <w:szCs w:val="21"/>
          <w:highlight w:val="none"/>
        </w:rPr>
        <w:t>年</w:t>
      </w:r>
      <w:r>
        <w:rPr>
          <w:rFonts w:hAnsi="宋体"/>
          <w:color w:val="000000" w:themeColor="text1"/>
          <w:sz w:val="21"/>
          <w:szCs w:val="21"/>
          <w:highlight w:val="none"/>
          <w:u w:val="single"/>
        </w:rPr>
        <w:t xml:space="preserve">     </w:t>
      </w:r>
      <w:r>
        <w:rPr>
          <w:rFonts w:hAnsi="宋体"/>
          <w:color w:val="000000" w:themeColor="text1"/>
          <w:sz w:val="21"/>
          <w:szCs w:val="21"/>
          <w:highlight w:val="none"/>
        </w:rPr>
        <w:t>月</w:t>
      </w:r>
      <w:r>
        <w:rPr>
          <w:rFonts w:hAnsi="宋体"/>
          <w:color w:val="000000" w:themeColor="text1"/>
          <w:sz w:val="21"/>
          <w:szCs w:val="21"/>
          <w:highlight w:val="none"/>
          <w:u w:val="single"/>
        </w:rPr>
        <w:t xml:space="preserve">      </w:t>
      </w:r>
      <w:r>
        <w:rPr>
          <w:rFonts w:hAnsi="宋体"/>
          <w:color w:val="000000" w:themeColor="text1"/>
          <w:sz w:val="21"/>
          <w:szCs w:val="21"/>
          <w:highlight w:val="none"/>
        </w:rPr>
        <w:t>日</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4"/>
        <w:numPr>
          <w:ilvl w:val="1"/>
          <w:numId w:val="0"/>
        </w:numPr>
        <w:spacing w:line="400" w:lineRule="exact"/>
        <w:rPr>
          <w:color w:val="000000" w:themeColor="text1"/>
          <w:highlight w:val="none"/>
        </w:rPr>
      </w:pPr>
      <w:bookmarkStart w:id="1918" w:name="_Toc432695230"/>
      <w:bookmarkStart w:id="1919" w:name="_Toc17825"/>
      <w:bookmarkStart w:id="1920" w:name="_Toc9858"/>
      <w:r>
        <w:rPr>
          <w:rFonts w:hint="eastAsia"/>
          <w:color w:val="000000" w:themeColor="text1"/>
          <w:highlight w:val="none"/>
        </w:rPr>
        <w:t>附件</w:t>
      </w:r>
      <w:r>
        <w:rPr>
          <w:rFonts w:hint="eastAsia"/>
          <w:color w:val="000000" w:themeColor="text1"/>
          <w:highlight w:val="none"/>
          <w:lang w:val="en-US" w:eastAsia="zh-CN"/>
        </w:rPr>
        <w:t>八</w:t>
      </w:r>
      <w:r>
        <w:rPr>
          <w:rFonts w:hint="eastAsia"/>
          <w:color w:val="000000" w:themeColor="text1"/>
          <w:highlight w:val="none"/>
        </w:rPr>
        <w:t>：中标服务费承诺</w:t>
      </w:r>
      <w:bookmarkEnd w:id="1918"/>
      <w:bookmarkEnd w:id="1919"/>
      <w:bookmarkEnd w:id="1920"/>
    </w:p>
    <w:p>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rPr>
        <w:t>广东业信采购招标有限公司</w:t>
      </w:r>
      <w:r>
        <w:rPr>
          <w:rFonts w:hint="eastAsia" w:ascii="宋体" w:hAnsi="宋体"/>
          <w:color w:val="000000" w:themeColor="text1"/>
          <w:highlight w:val="none"/>
        </w:rPr>
        <w:t>：</w:t>
      </w:r>
    </w:p>
    <w:p>
      <w:pPr>
        <w:spacing w:line="360" w:lineRule="auto"/>
        <w:rPr>
          <w:rFonts w:ascii="宋体" w:hAnsi="宋体"/>
          <w:color w:val="000000" w:themeColor="text1"/>
          <w:highlight w:val="none"/>
        </w:rPr>
      </w:pP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针对贵方组织的（项目名称：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）招标（项目编号: </w:t>
      </w:r>
      <w:r>
        <w:rPr>
          <w:rFonts w:hint="eastAsia" w:ascii="宋体" w:hAnsi="宋体"/>
          <w:color w:val="000000" w:themeColor="text1"/>
          <w:highlight w:val="none"/>
          <w:u w:val="single"/>
        </w:rPr>
        <w:t xml:space="preserve">         </w:t>
      </w:r>
      <w:r>
        <w:rPr>
          <w:rFonts w:hint="eastAsia" w:ascii="宋体" w:hAnsi="宋体"/>
          <w:color w:val="000000" w:themeColor="text1"/>
          <w:highlight w:val="none"/>
          <w:u w:val="none"/>
          <w:lang w:val="en-US" w:eastAsia="zh-CN"/>
        </w:rPr>
        <w:t>包组号：</w:t>
      </w:r>
      <w:r>
        <w:rPr>
          <w:rFonts w:hint="eastAsia" w:ascii="宋体" w:hAnsi="宋体"/>
          <w:color w:val="000000" w:themeColor="text1"/>
          <w:highlight w:val="none"/>
          <w:u w:val="single"/>
          <w:lang w:val="en-US" w:eastAsia="zh-CN"/>
        </w:rPr>
        <w:t xml:space="preserve">     </w:t>
      </w:r>
      <w:r>
        <w:rPr>
          <w:rFonts w:hint="eastAsia" w:ascii="宋体" w:hAnsi="宋体"/>
          <w:color w:val="000000" w:themeColor="text1"/>
          <w:highlight w:val="none"/>
        </w:rPr>
        <w:t>），我方承诺：</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rPr>
        <w:t>方</w:t>
      </w:r>
      <w:r>
        <w:rPr>
          <w:rFonts w:hint="eastAsia" w:ascii="宋体" w:hAnsi="宋体"/>
          <w:color w:val="000000" w:themeColor="text1"/>
          <w:highlight w:val="none"/>
        </w:rPr>
        <w:t>有权不予退还我方的投标保证金并重新确定中标结果，</w:t>
      </w:r>
      <w:r>
        <w:rPr>
          <w:rFonts w:hint="eastAsia" w:ascii="宋体"/>
          <w:color w:val="000000" w:themeColor="text1"/>
          <w:highlight w:val="none"/>
        </w:rPr>
        <w:t>我方对此无任何异议。</w:t>
      </w:r>
    </w:p>
    <w:p>
      <w:pPr>
        <w:spacing w:line="440" w:lineRule="exact"/>
        <w:rPr>
          <w:rFonts w:ascii="宋体" w:hAnsi="宋体"/>
          <w:color w:val="000000" w:themeColor="text1"/>
          <w:highlight w:val="none"/>
        </w:rPr>
      </w:pPr>
      <w:r>
        <w:rPr>
          <w:rFonts w:hint="eastAsia" w:ascii="宋体" w:hAnsi="宋体"/>
          <w:color w:val="000000" w:themeColor="text1"/>
          <w:highlight w:val="none"/>
        </w:rPr>
        <w:t xml:space="preserve">     </w:t>
      </w:r>
    </w:p>
    <w:p>
      <w:pPr>
        <w:spacing w:line="440" w:lineRule="exact"/>
        <w:ind w:firstLine="420" w:firstLineChars="200"/>
        <w:rPr>
          <w:rFonts w:ascii="宋体" w:hAns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rPr>
          <w:color w:val="000000" w:themeColor="text1"/>
          <w:highlight w:val="none"/>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rPr>
      </w:pPr>
      <w:bookmarkStart w:id="1921" w:name="_Toc326065622"/>
      <w:bookmarkStart w:id="1922" w:name="_Toc342312474"/>
      <w:bookmarkStart w:id="1923" w:name="_Toc339020046"/>
      <w:bookmarkStart w:id="1924" w:name="_Toc331684073"/>
      <w:bookmarkStart w:id="1925" w:name="_Toc333237709"/>
      <w:bookmarkStart w:id="1926" w:name="_Toc339020126"/>
      <w:bookmarkStart w:id="1927" w:name="_Toc343248449"/>
      <w:bookmarkStart w:id="1928" w:name="_Toc339020264"/>
      <w:bookmarkStart w:id="1929" w:name="_Toc337632389"/>
      <w:bookmarkStart w:id="1930" w:name="_Toc345312628"/>
      <w:bookmarkStart w:id="1931" w:name="_Toc342398161"/>
      <w:bookmarkStart w:id="1932" w:name="_Toc332206740"/>
      <w:bookmarkStart w:id="1933" w:name="_Toc350756481"/>
      <w:bookmarkStart w:id="1934" w:name="_Toc341348371"/>
      <w:bookmarkStart w:id="1935" w:name="_Toc365967106"/>
      <w:bookmarkStart w:id="1936" w:name="_Toc339362331"/>
      <w:bookmarkStart w:id="1937" w:name="_Toc339019920"/>
      <w:bookmarkStart w:id="1938" w:name="_Toc333935377"/>
      <w:bookmarkStart w:id="1939" w:name="_Toc343612951"/>
      <w:bookmarkStart w:id="1940" w:name="_Toc342296792"/>
      <w:bookmarkStart w:id="1941" w:name="_Toc333238665"/>
      <w:bookmarkStart w:id="1942" w:name="_Toc340507473"/>
      <w:bookmarkStart w:id="1943" w:name="_Toc350438780"/>
      <w:bookmarkStart w:id="1944" w:name="_Toc331512932"/>
      <w:bookmarkStart w:id="1945" w:name="_Toc336681966"/>
      <w:bookmarkStart w:id="1946" w:name="_Toc365985212"/>
      <w:bookmarkStart w:id="1947" w:name="_Toc336681611"/>
      <w:bookmarkStart w:id="1948" w:name="_Toc366072563"/>
      <w:bookmarkStart w:id="1949" w:name="_Toc339441118"/>
      <w:bookmarkStart w:id="1950" w:name="_Toc332270378"/>
      <w:bookmarkStart w:id="1951" w:name="_Toc432695231"/>
      <w:bookmarkStart w:id="1952" w:name="_Toc10463"/>
      <w:bookmarkStart w:id="1953" w:name="_Toc343247131"/>
      <w:bookmarkStart w:id="1954" w:name="_Toc16029"/>
      <w:bookmarkStart w:id="1955" w:name="_Toc333935718"/>
      <w:bookmarkStart w:id="1956" w:name="_Toc333237820"/>
      <w:bookmarkStart w:id="1957" w:name="_Toc340677101"/>
      <w:bookmarkStart w:id="1958" w:name="_Toc330460017"/>
      <w:bookmarkStart w:id="1959" w:name="_Toc340672900"/>
      <w:bookmarkStart w:id="1960" w:name="_Toc342060406"/>
      <w:r>
        <w:rPr>
          <w:rFonts w:hint="eastAsia"/>
          <w:color w:val="000000" w:themeColor="text1"/>
          <w:highlight w:val="none"/>
        </w:rPr>
        <w:t>附件</w:t>
      </w:r>
      <w:r>
        <w:rPr>
          <w:rFonts w:hint="eastAsia"/>
          <w:color w:val="000000" w:themeColor="text1"/>
          <w:highlight w:val="none"/>
          <w:lang w:val="en-US" w:eastAsia="zh-CN"/>
        </w:rPr>
        <w:t>九</w:t>
      </w:r>
      <w:r>
        <w:rPr>
          <w:rFonts w:hint="eastAsia"/>
          <w:color w:val="000000" w:themeColor="text1"/>
          <w:highlight w:val="none"/>
        </w:rPr>
        <w:t>：</w:t>
      </w:r>
      <w:bookmarkEnd w:id="1921"/>
      <w:r>
        <w:rPr>
          <w:rFonts w:hint="eastAsia"/>
          <w:color w:val="000000" w:themeColor="text1"/>
          <w:highlight w:val="none"/>
        </w:rPr>
        <w:t>投标人提交的其它商务和技术资料</w:t>
      </w:r>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p>
    <w:p>
      <w:pPr>
        <w:adjustRightInd w:val="0"/>
        <w:snapToGrid w:val="0"/>
        <w:spacing w:line="360" w:lineRule="auto"/>
        <w:jc w:val="left"/>
        <w:rPr>
          <w:rFonts w:ascii="宋体" w:hAnsi="宋体"/>
          <w:bCs/>
          <w:color w:val="000000" w:themeColor="text1"/>
          <w:highlight w:val="none"/>
        </w:rPr>
      </w:pPr>
    </w:p>
    <w:p>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ind w:left="1050" w:hanging="1050" w:hangingChars="500"/>
        <w:jc w:val="left"/>
        <w:rPr>
          <w:rFonts w:hint="eastAsia" w:ascii="宋体" w:hAnsi="宋体"/>
          <w:bCs/>
          <w:color w:val="000000" w:themeColor="text1"/>
          <w:highlight w:val="none"/>
        </w:rPr>
      </w:pP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rPr>
        <w:t xml:space="preserve"> </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Ansi="宋体"/>
          <w:bCs/>
          <w:color w:val="000000" w:themeColor="text1"/>
          <w:sz w:val="21"/>
          <w:highlight w:val="none"/>
          <w:u w:val="singl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p>
    <w:p>
      <w:pPr>
        <w:pStyle w:val="5"/>
        <w:spacing w:line="360" w:lineRule="auto"/>
        <w:rPr>
          <w:rFonts w:hAnsi="宋体"/>
          <w:bCs/>
          <w:color w:val="000000" w:themeColor="text1"/>
          <w:sz w:val="21"/>
          <w:highlight w:val="none"/>
        </w:rPr>
      </w:pP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本节无格式要求，投标人可根据自身实际情况以及招标文件评分细则规定的详细评审内容和应当提供的证明材料进行编制。</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一、</w:t>
      </w:r>
      <w:r>
        <w:rPr>
          <w:rFonts w:hAnsi="宋体"/>
          <w:bCs/>
          <w:color w:val="000000" w:themeColor="text1"/>
          <w:sz w:val="21"/>
          <w:highlight w:val="none"/>
        </w:rPr>
        <w:t>...</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二、</w:t>
      </w:r>
      <w:r>
        <w:rPr>
          <w:rFonts w:hAnsi="宋体"/>
          <w:bCs/>
          <w:color w:val="000000" w:themeColor="text1"/>
          <w:sz w:val="21"/>
          <w:highlight w:val="none"/>
        </w:rPr>
        <w:t>...</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三、</w:t>
      </w:r>
      <w:r>
        <w:rPr>
          <w:rFonts w:hAnsi="宋体"/>
          <w:bCs/>
          <w:color w:val="000000" w:themeColor="text1"/>
          <w:sz w:val="21"/>
          <w:highlight w:val="none"/>
        </w:rPr>
        <w:t>...</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四、</w:t>
      </w:r>
      <w:r>
        <w:rPr>
          <w:rFonts w:hAnsi="宋体"/>
          <w:bCs/>
          <w:color w:val="000000" w:themeColor="text1"/>
          <w:sz w:val="21"/>
          <w:highlight w:val="none"/>
        </w:rPr>
        <w:t>...</w:t>
      </w: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5"/>
        <w:spacing w:line="360" w:lineRule="auto"/>
        <w:rPr>
          <w:color w:val="000000" w:themeColor="text1"/>
          <w:highlight w:val="none"/>
        </w:rPr>
      </w:pPr>
    </w:p>
    <w:p>
      <w:pPr>
        <w:adjustRightInd w:val="0"/>
        <w:snapToGrid w:val="0"/>
        <w:spacing w:line="440" w:lineRule="exact"/>
        <w:rPr>
          <w:color w:val="000000" w:themeColor="text1"/>
          <w:highlight w:val="none"/>
        </w:rPr>
      </w:pPr>
      <w:r>
        <w:rPr>
          <w:rFonts w:hint="eastAsia"/>
          <w:color w:val="000000" w:themeColor="text1"/>
          <w:highlight w:val="none"/>
        </w:rPr>
        <w:t>（投标人认为本节无须提交的，应注明“本节空白”字样）。</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ind w:firstLine="0"/>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4"/>
        <w:numPr>
          <w:ilvl w:val="0"/>
          <w:numId w:val="0"/>
        </w:numPr>
        <w:rPr>
          <w:color w:val="000000" w:themeColor="text1"/>
          <w:sz w:val="52"/>
          <w:highlight w:val="none"/>
        </w:rPr>
      </w:pPr>
      <w:bookmarkStart w:id="1961" w:name="_Toc456887842"/>
      <w:bookmarkStart w:id="1962" w:name="_Toc25426"/>
      <w:bookmarkStart w:id="1963" w:name="_Toc456888293"/>
      <w:r>
        <w:rPr>
          <w:rFonts w:hint="eastAsia"/>
          <w:color w:val="000000" w:themeColor="text1"/>
          <w:sz w:val="52"/>
          <w:highlight w:val="none"/>
        </w:rPr>
        <w:t>其 他 格 式</w:t>
      </w:r>
      <w:bookmarkEnd w:id="1917"/>
      <w:bookmarkEnd w:id="1961"/>
      <w:bookmarkEnd w:id="1962"/>
      <w:bookmarkEnd w:id="1963"/>
    </w:p>
    <w:p>
      <w:pPr>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pStyle w:val="6"/>
        <w:numPr>
          <w:ilvl w:val="0"/>
          <w:numId w:val="0"/>
        </w:numPr>
        <w:spacing w:afterLines="50"/>
        <w:jc w:val="center"/>
        <w:rPr>
          <w:rFonts w:ascii="宋体" w:hAnsi="宋体" w:eastAsia="宋体"/>
          <w:b/>
          <w:color w:val="000000" w:themeColor="text1"/>
          <w:sz w:val="28"/>
          <w:highlight w:val="none"/>
        </w:rPr>
      </w:pPr>
      <w:bookmarkStart w:id="1964" w:name="_Toc30185"/>
      <w:bookmarkStart w:id="1965" w:name="_Toc456887843"/>
      <w:bookmarkStart w:id="1966" w:name="_Toc456888294"/>
      <w:r>
        <w:rPr>
          <w:rFonts w:hint="eastAsia" w:ascii="宋体" w:hAnsi="宋体" w:eastAsia="宋体"/>
          <w:b/>
          <w:color w:val="000000" w:themeColor="text1"/>
          <w:sz w:val="28"/>
          <w:highlight w:val="none"/>
        </w:rPr>
        <w:t>投标保证金退付书</w:t>
      </w:r>
      <w:bookmarkEnd w:id="1964"/>
      <w:bookmarkEnd w:id="1965"/>
      <w:bookmarkEnd w:id="1966"/>
    </w:p>
    <w:p>
      <w:pPr>
        <w:pStyle w:val="5"/>
        <w:rPr>
          <w:color w:val="000000" w:themeColor="text1"/>
          <w:highlight w:val="none"/>
        </w:rPr>
      </w:pPr>
    </w:p>
    <w:p>
      <w:pPr>
        <w:spacing w:line="288" w:lineRule="auto"/>
        <w:rPr>
          <w:rFonts w:ascii="宋体" w:hAnsi="宋体"/>
          <w:b/>
          <w:color w:val="000000" w:themeColor="text1"/>
          <w:szCs w:val="21"/>
          <w:highlight w:val="none"/>
        </w:rPr>
      </w:pPr>
      <w:r>
        <w:rPr>
          <w:rFonts w:hint="eastAsia" w:ascii="宋体" w:hAnsi="宋体"/>
          <w:b/>
          <w:color w:val="000000" w:themeColor="text1"/>
          <w:szCs w:val="21"/>
          <w:highlight w:val="none"/>
        </w:rPr>
        <w:t>致：广东业信采购招标有限公司</w:t>
      </w:r>
    </w:p>
    <w:p>
      <w:pPr>
        <w:spacing w:line="288"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本公司为本项目的投标已提交了足额投标保证金，请贵方在符合退还条件时请代划入下列账户：</w:t>
      </w:r>
    </w:p>
    <w:tbl>
      <w:tblPr>
        <w:tblStyle w:val="46"/>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3287" w:type="dxa"/>
            <w:gridSpan w:val="2"/>
            <w:vAlign w:val="center"/>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项目名称</w:t>
            </w:r>
          </w:p>
        </w:tc>
        <w:tc>
          <w:tcPr>
            <w:tcW w:w="6095" w:type="dxa"/>
            <w:gridSpan w:val="3"/>
          </w:tcPr>
          <w:p>
            <w:pPr>
              <w:ind w:right="206" w:rightChars="98"/>
              <w:rPr>
                <w:rStyle w:val="302"/>
                <w:rFonts w:ascii="宋体" w:hAnsi="宋体"/>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3287" w:type="dxa"/>
            <w:gridSpan w:val="2"/>
            <w:vAlign w:val="center"/>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项目编号</w:t>
            </w:r>
          </w:p>
        </w:tc>
        <w:tc>
          <w:tcPr>
            <w:tcW w:w="6095" w:type="dxa"/>
            <w:gridSpan w:val="3"/>
          </w:tcPr>
          <w:p>
            <w:pPr>
              <w:ind w:right="206" w:rightChars="98"/>
              <w:rPr>
                <w:rStyle w:val="302"/>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3287" w:type="dxa"/>
            <w:gridSpan w:val="2"/>
            <w:vAlign w:val="center"/>
          </w:tcPr>
          <w:p>
            <w:pPr>
              <w:ind w:right="206" w:rightChars="98"/>
              <w:jc w:val="center"/>
              <w:rPr>
                <w:rStyle w:val="302"/>
                <w:rFonts w:hint="default" w:eastAsia="黑体"/>
                <w:b/>
                <w:color w:val="000000" w:themeColor="text1"/>
                <w:spacing w:val="10"/>
                <w:sz w:val="21"/>
                <w:szCs w:val="21"/>
                <w:highlight w:val="none"/>
                <w:lang w:val="en-US" w:eastAsia="zh-CN"/>
              </w:rPr>
            </w:pPr>
            <w:r>
              <w:rPr>
                <w:rStyle w:val="302"/>
                <w:rFonts w:hint="eastAsia" w:eastAsia="黑体"/>
                <w:b/>
                <w:color w:val="000000" w:themeColor="text1"/>
                <w:spacing w:val="10"/>
                <w:sz w:val="21"/>
                <w:szCs w:val="21"/>
                <w:highlight w:val="none"/>
                <w:lang w:val="en-US" w:eastAsia="zh-CN"/>
              </w:rPr>
              <w:t>包组号</w:t>
            </w:r>
          </w:p>
        </w:tc>
        <w:tc>
          <w:tcPr>
            <w:tcW w:w="6095" w:type="dxa"/>
            <w:gridSpan w:val="3"/>
          </w:tcPr>
          <w:p>
            <w:pPr>
              <w:ind w:right="206" w:rightChars="98"/>
              <w:rPr>
                <w:rStyle w:val="302"/>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51" w:type="dxa"/>
            <w:vMerge w:val="restart"/>
            <w:vAlign w:val="center"/>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收款单位</w:t>
            </w:r>
          </w:p>
        </w:tc>
        <w:tc>
          <w:tcPr>
            <w:tcW w:w="2836" w:type="dxa"/>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收款单位名称</w:t>
            </w:r>
          </w:p>
        </w:tc>
        <w:tc>
          <w:tcPr>
            <w:tcW w:w="6095" w:type="dxa"/>
            <w:gridSpan w:val="3"/>
          </w:tcPr>
          <w:p>
            <w:pPr>
              <w:ind w:right="206" w:rightChars="98"/>
              <w:jc w:val="center"/>
              <w:rPr>
                <w:rStyle w:val="302"/>
                <w:color w:val="000000" w:themeColor="text1"/>
                <w:spacing w:val="10"/>
                <w:sz w:val="21"/>
                <w:szCs w:val="21"/>
                <w:highlight w:val="none"/>
                <w:u w:val="single"/>
                <w:lang w:val="zh-CN"/>
              </w:rPr>
            </w:pPr>
            <w:r>
              <w:rPr>
                <w:rStyle w:val="302"/>
                <w:color w:val="000000" w:themeColor="text1"/>
                <w:spacing w:val="10"/>
                <w:sz w:val="21"/>
                <w:szCs w:val="21"/>
                <w:highlight w:val="none"/>
                <w:u w:val="single"/>
                <w:lang w:val="zh-CN"/>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51" w:type="dxa"/>
            <w:vMerge w:val="continue"/>
          </w:tcPr>
          <w:p>
            <w:pPr>
              <w:ind w:right="206" w:rightChars="98"/>
              <w:rPr>
                <w:rStyle w:val="302"/>
                <w:color w:val="000000" w:themeColor="text1"/>
                <w:spacing w:val="10"/>
                <w:sz w:val="21"/>
                <w:szCs w:val="21"/>
                <w:highlight w:val="none"/>
                <w:lang w:val="zh-CN"/>
              </w:rPr>
            </w:pPr>
          </w:p>
        </w:tc>
        <w:tc>
          <w:tcPr>
            <w:tcW w:w="2836" w:type="dxa"/>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收款单位地址</w:t>
            </w:r>
          </w:p>
        </w:tc>
        <w:tc>
          <w:tcPr>
            <w:tcW w:w="6095" w:type="dxa"/>
            <w:gridSpan w:val="3"/>
          </w:tcPr>
          <w:p>
            <w:pPr>
              <w:ind w:right="206" w:rightChars="98"/>
              <w:jc w:val="center"/>
              <w:rPr>
                <w:rStyle w:val="302"/>
                <w:color w:val="000000" w:themeColor="text1"/>
                <w:spacing w:val="10"/>
                <w:sz w:val="21"/>
                <w:szCs w:val="21"/>
                <w:highlight w:val="none"/>
                <w:lang w:val="zh-CN"/>
              </w:rPr>
            </w:pPr>
            <w:r>
              <w:rPr>
                <w:rStyle w:val="302"/>
                <w:color w:val="000000" w:themeColor="text1"/>
                <w:spacing w:val="10"/>
                <w:sz w:val="21"/>
                <w:szCs w:val="21"/>
                <w:highlight w:val="none"/>
                <w:u w:val="single"/>
                <w:lang w:val="zh-CN"/>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51" w:type="dxa"/>
            <w:vMerge w:val="continue"/>
          </w:tcPr>
          <w:p>
            <w:pPr>
              <w:ind w:right="206" w:rightChars="98"/>
              <w:rPr>
                <w:rStyle w:val="302"/>
                <w:color w:val="000000" w:themeColor="text1"/>
                <w:spacing w:val="10"/>
                <w:sz w:val="21"/>
                <w:szCs w:val="21"/>
                <w:highlight w:val="none"/>
                <w:lang w:val="zh-CN"/>
              </w:rPr>
            </w:pPr>
          </w:p>
        </w:tc>
        <w:tc>
          <w:tcPr>
            <w:tcW w:w="2836" w:type="dxa"/>
            <w:vAlign w:val="center"/>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开户银行</w:t>
            </w:r>
            <w:r>
              <w:rPr>
                <w:rStyle w:val="302"/>
                <w:color w:val="000000" w:themeColor="text1"/>
                <w:spacing w:val="10"/>
                <w:sz w:val="21"/>
                <w:szCs w:val="21"/>
                <w:highlight w:val="none"/>
                <w:lang w:val="zh-CN"/>
              </w:rPr>
              <w:t>（含汇入地点）</w:t>
            </w:r>
          </w:p>
        </w:tc>
        <w:tc>
          <w:tcPr>
            <w:tcW w:w="6095" w:type="dxa"/>
            <w:gridSpan w:val="3"/>
            <w:vAlign w:val="center"/>
          </w:tcPr>
          <w:p>
            <w:pPr>
              <w:ind w:right="206" w:rightChars="98" w:firstLine="460" w:firstLineChars="200"/>
              <w:rPr>
                <w:rStyle w:val="302"/>
                <w:color w:val="000000" w:themeColor="text1"/>
                <w:spacing w:val="10"/>
                <w:sz w:val="21"/>
                <w:szCs w:val="21"/>
                <w:highlight w:val="none"/>
                <w:lang w:val="zh-CN"/>
              </w:rPr>
            </w:pPr>
            <w:r>
              <w:rPr>
                <w:rStyle w:val="302"/>
                <w:color w:val="000000" w:themeColor="text1"/>
                <w:spacing w:val="10"/>
                <w:sz w:val="21"/>
                <w:szCs w:val="21"/>
                <w:highlight w:val="none"/>
                <w:lang w:val="zh-CN"/>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rPr>
            </w:pPr>
          </w:p>
        </w:tc>
        <w:tc>
          <w:tcPr>
            <w:tcW w:w="2836" w:type="dxa"/>
            <w:vAlign w:val="center"/>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银行账号</w:t>
            </w:r>
          </w:p>
        </w:tc>
        <w:tc>
          <w:tcPr>
            <w:tcW w:w="6095" w:type="dxa"/>
            <w:gridSpan w:val="3"/>
          </w:tcPr>
          <w:p>
            <w:pPr>
              <w:ind w:right="206" w:rightChars="98"/>
              <w:jc w:val="center"/>
              <w:rPr>
                <w:rStyle w:val="302"/>
                <w:color w:val="000000" w:themeColor="text1"/>
                <w:spacing w:val="10"/>
                <w:sz w:val="21"/>
                <w:szCs w:val="21"/>
                <w:highlight w:val="none"/>
                <w:u w:val="single"/>
                <w:lang w:val="zh-CN"/>
              </w:rPr>
            </w:pPr>
            <w:r>
              <w:rPr>
                <w:rStyle w:val="302"/>
                <w:color w:val="000000" w:themeColor="text1"/>
                <w:spacing w:val="10"/>
                <w:sz w:val="21"/>
                <w:szCs w:val="21"/>
                <w:highlight w:val="none"/>
                <w:u w:val="single"/>
                <w:lang w:val="zh-CN"/>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rPr>
            </w:pPr>
          </w:p>
        </w:tc>
        <w:tc>
          <w:tcPr>
            <w:tcW w:w="2836" w:type="dxa"/>
            <w:vAlign w:val="center"/>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总金额（投标保证金）</w:t>
            </w:r>
          </w:p>
        </w:tc>
        <w:tc>
          <w:tcPr>
            <w:tcW w:w="6095" w:type="dxa"/>
            <w:gridSpan w:val="3"/>
            <w:vAlign w:val="center"/>
          </w:tcPr>
          <w:p>
            <w:pPr>
              <w:ind w:right="206" w:rightChars="98"/>
              <w:jc w:val="center"/>
              <w:rPr>
                <w:rStyle w:val="302"/>
                <w:color w:val="000000" w:themeColor="text1"/>
                <w:spacing w:val="10"/>
                <w:sz w:val="21"/>
                <w:szCs w:val="21"/>
                <w:highlight w:val="none"/>
                <w:lang w:val="zh-CN"/>
              </w:rPr>
            </w:pPr>
            <w:r>
              <w:rPr>
                <w:color w:val="000000" w:themeColor="text1"/>
                <w:szCs w:val="21"/>
                <w:highlight w:val="none"/>
                <w:shd w:val="clear" w:color="auto" w:fill="FFFFFF"/>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rPr>
            </w:pPr>
          </w:p>
        </w:tc>
        <w:tc>
          <w:tcPr>
            <w:tcW w:w="2836" w:type="dxa"/>
            <w:vMerge w:val="restart"/>
            <w:vAlign w:val="center"/>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财务联系人</w:t>
            </w:r>
          </w:p>
        </w:tc>
        <w:tc>
          <w:tcPr>
            <w:tcW w:w="1498" w:type="dxa"/>
            <w:vMerge w:val="restart"/>
            <w:vAlign w:val="center"/>
          </w:tcPr>
          <w:p>
            <w:pPr>
              <w:ind w:right="206" w:rightChars="98"/>
              <w:rPr>
                <w:rStyle w:val="302"/>
                <w:color w:val="000000" w:themeColor="text1"/>
                <w:spacing w:val="10"/>
                <w:sz w:val="21"/>
                <w:szCs w:val="21"/>
                <w:highlight w:val="none"/>
                <w:lang w:val="zh-CN"/>
              </w:rPr>
            </w:pPr>
          </w:p>
        </w:tc>
        <w:tc>
          <w:tcPr>
            <w:tcW w:w="1481" w:type="dxa"/>
            <w:vAlign w:val="center"/>
          </w:tcPr>
          <w:p>
            <w:pPr>
              <w:ind w:right="206" w:rightChars="98"/>
              <w:jc w:val="center"/>
              <w:rPr>
                <w:rStyle w:val="302"/>
                <w:color w:val="000000" w:themeColor="text1"/>
                <w:spacing w:val="10"/>
                <w:sz w:val="21"/>
                <w:szCs w:val="21"/>
                <w:highlight w:val="none"/>
                <w:lang w:val="zh-CN"/>
              </w:rPr>
            </w:pPr>
            <w:r>
              <w:rPr>
                <w:rStyle w:val="302"/>
                <w:color w:val="000000" w:themeColor="text1"/>
                <w:spacing w:val="10"/>
                <w:sz w:val="21"/>
                <w:szCs w:val="21"/>
                <w:highlight w:val="none"/>
                <w:lang w:val="zh-CN"/>
              </w:rPr>
              <w:t>联系电话</w:t>
            </w:r>
          </w:p>
        </w:tc>
        <w:tc>
          <w:tcPr>
            <w:tcW w:w="3116" w:type="dxa"/>
            <w:vAlign w:val="center"/>
          </w:tcPr>
          <w:p>
            <w:pPr>
              <w:ind w:right="206" w:rightChars="98"/>
              <w:rPr>
                <w:rStyle w:val="302"/>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rPr>
            </w:pPr>
          </w:p>
        </w:tc>
        <w:tc>
          <w:tcPr>
            <w:tcW w:w="2836" w:type="dxa"/>
            <w:vMerge w:val="continue"/>
          </w:tcPr>
          <w:p>
            <w:pPr>
              <w:ind w:right="206" w:rightChars="98"/>
              <w:jc w:val="center"/>
              <w:rPr>
                <w:rStyle w:val="302"/>
                <w:b/>
                <w:color w:val="000000" w:themeColor="text1"/>
                <w:spacing w:val="10"/>
                <w:sz w:val="21"/>
                <w:szCs w:val="21"/>
                <w:highlight w:val="none"/>
                <w:lang w:val="zh-CN"/>
              </w:rPr>
            </w:pPr>
          </w:p>
        </w:tc>
        <w:tc>
          <w:tcPr>
            <w:tcW w:w="1498" w:type="dxa"/>
            <w:vMerge w:val="continue"/>
            <w:vAlign w:val="center"/>
          </w:tcPr>
          <w:p>
            <w:pPr>
              <w:ind w:right="206" w:rightChars="98"/>
              <w:rPr>
                <w:rStyle w:val="302"/>
                <w:color w:val="000000" w:themeColor="text1"/>
                <w:spacing w:val="10"/>
                <w:sz w:val="21"/>
                <w:szCs w:val="21"/>
                <w:highlight w:val="none"/>
                <w:lang w:val="zh-CN"/>
              </w:rPr>
            </w:pPr>
          </w:p>
        </w:tc>
        <w:tc>
          <w:tcPr>
            <w:tcW w:w="1481" w:type="dxa"/>
            <w:vAlign w:val="center"/>
          </w:tcPr>
          <w:p>
            <w:pPr>
              <w:ind w:right="206" w:rightChars="98"/>
              <w:jc w:val="center"/>
              <w:rPr>
                <w:rStyle w:val="302"/>
                <w:color w:val="000000" w:themeColor="text1"/>
                <w:spacing w:val="10"/>
                <w:sz w:val="21"/>
                <w:szCs w:val="21"/>
                <w:highlight w:val="none"/>
                <w:lang w:val="zh-CN"/>
              </w:rPr>
            </w:pPr>
            <w:r>
              <w:rPr>
                <w:rStyle w:val="302"/>
                <w:color w:val="000000" w:themeColor="text1"/>
                <w:spacing w:val="10"/>
                <w:sz w:val="21"/>
                <w:szCs w:val="21"/>
                <w:highlight w:val="none"/>
                <w:lang w:val="zh-CN"/>
              </w:rPr>
              <w:t>传真</w:t>
            </w:r>
          </w:p>
        </w:tc>
        <w:tc>
          <w:tcPr>
            <w:tcW w:w="3116" w:type="dxa"/>
            <w:vAlign w:val="center"/>
          </w:tcPr>
          <w:p>
            <w:pPr>
              <w:ind w:right="206" w:rightChars="98"/>
              <w:rPr>
                <w:rStyle w:val="302"/>
                <w:color w:val="000000" w:themeColor="text1"/>
                <w:spacing w:val="10"/>
                <w:sz w:val="21"/>
                <w:szCs w:val="21"/>
                <w:highlight w:val="none"/>
                <w:lang w:val="zh-CN"/>
              </w:rPr>
            </w:pPr>
          </w:p>
        </w:tc>
      </w:tr>
    </w:tbl>
    <w:p>
      <w:pPr>
        <w:rPr>
          <w:rFonts w:ascii="宋体" w:hAnsi="宋体"/>
          <w:color w:val="000000" w:themeColor="text1"/>
          <w:szCs w:val="21"/>
          <w:highlight w:val="none"/>
        </w:rPr>
      </w:pPr>
      <w:r>
        <w:rPr>
          <w:rFonts w:hint="eastAsia" w:ascii="宋体" w:hAnsi="宋体"/>
          <w:color w:val="000000" w:themeColor="text1"/>
          <w:szCs w:val="21"/>
          <w:highlight w:val="none"/>
        </w:rPr>
        <w:t>注：保证金退还账户必须为对公账户。</w:t>
      </w:r>
    </w:p>
    <w:tbl>
      <w:tblPr>
        <w:tblStyle w:val="46"/>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rPr>
            </w:pPr>
            <w:r>
              <w:rPr>
                <w:rFonts w:hint="eastAsia" w:ascii="宋体" w:hAnsi="宋体"/>
                <w:b/>
                <w:color w:val="000000" w:themeColor="text1"/>
                <w:szCs w:val="21"/>
                <w:highlight w:val="none"/>
              </w:rPr>
              <w:t>投标保证金银行汇款单复印件</w:t>
            </w:r>
          </w:p>
          <w:p>
            <w:pPr>
              <w:jc w:val="center"/>
              <w:rPr>
                <w:rFonts w:ascii="宋体" w:hAnsi="宋体"/>
                <w:b/>
                <w:color w:val="000000" w:themeColor="text1"/>
                <w:szCs w:val="21"/>
                <w:highlight w:val="none"/>
              </w:rPr>
            </w:pPr>
            <w:r>
              <w:rPr>
                <w:rFonts w:hint="eastAsia" w:ascii="宋体" w:hAnsi="宋体"/>
                <w:b/>
                <w:color w:val="000000" w:themeColor="text1"/>
                <w:szCs w:val="21"/>
                <w:highlight w:val="none"/>
              </w:rPr>
              <w:t>（请投标投标人在此处贴上）</w:t>
            </w:r>
          </w:p>
        </w:tc>
      </w:tr>
    </w:tbl>
    <w:p>
      <w:pPr>
        <w:rPr>
          <w:rFonts w:ascii="宋体" w:hAnsi="宋体"/>
          <w:color w:val="000000" w:themeColor="text1"/>
          <w:szCs w:val="2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rPr>
          <w:rFonts w:ascii="宋体" w:hAnsi="宋体"/>
          <w:b/>
          <w:color w:val="000000" w:themeColor="text1"/>
          <w:szCs w:val="21"/>
          <w:highlight w:val="none"/>
        </w:rPr>
      </w:pPr>
      <w:r>
        <w:rPr>
          <w:rFonts w:hint="eastAsia" w:ascii="宋体" w:hAnsi="宋体"/>
          <w:b/>
          <w:color w:val="000000" w:themeColor="text1"/>
          <w:szCs w:val="21"/>
          <w:highlight w:val="none"/>
        </w:rPr>
        <w:t>注：本退付书须放入唱标信封内，勿装订在投标文件内。</w:t>
      </w:r>
    </w:p>
    <w:p>
      <w:pPr>
        <w:rPr>
          <w:rFonts w:ascii="宋体" w:hAnsi="宋体"/>
          <w:b/>
          <w:color w:val="000000" w:themeColor="text1"/>
          <w:szCs w:val="21"/>
          <w:highlight w:val="none"/>
        </w:rPr>
      </w:pPr>
    </w:p>
    <w:p>
      <w:pPr>
        <w:jc w:val="center"/>
        <w:rPr>
          <w:rFonts w:hint="eastAsia"/>
          <w:b/>
          <w:bCs/>
          <w:color w:val="000000" w:themeColor="text1"/>
          <w:szCs w:val="21"/>
          <w:highlight w:val="none"/>
        </w:rPr>
      </w:pPr>
      <w:r>
        <w:rPr>
          <w:rFonts w:hint="eastAsia"/>
          <w:b/>
          <w:bCs/>
          <w:color w:val="000000" w:themeColor="text1"/>
          <w:sz w:val="44"/>
          <w:szCs w:val="44"/>
          <w:highlight w:val="none"/>
        </w:rPr>
        <w:t>购买标书登记表</w:t>
      </w:r>
    </w:p>
    <w:p>
      <w:pPr>
        <w:jc w:val="center"/>
        <w:rPr>
          <w:rFonts w:hint="eastAsia"/>
          <w:color w:val="000000" w:themeColor="text1"/>
          <w:szCs w:val="21"/>
          <w:highlight w:val="none"/>
        </w:rPr>
      </w:pPr>
    </w:p>
    <w:tbl>
      <w:tblPr>
        <w:tblStyle w:val="46"/>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2112"/>
        <w:gridCol w:w="635"/>
        <w:gridCol w:w="1133"/>
        <w:gridCol w:w="416"/>
        <w:gridCol w:w="2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5"/>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2747" w:type="dxa"/>
            <w:gridSpan w:val="2"/>
            <w:noWrap w:val="0"/>
            <w:vAlign w:val="top"/>
          </w:tcPr>
          <w:p>
            <w:pPr>
              <w:rPr>
                <w:rFonts w:hint="eastAsia"/>
                <w:color w:val="000000" w:themeColor="text1"/>
                <w:sz w:val="28"/>
                <w:szCs w:val="28"/>
                <w:highlight w:val="none"/>
              </w:rPr>
            </w:pPr>
          </w:p>
        </w:tc>
        <w:tc>
          <w:tcPr>
            <w:tcW w:w="1549" w:type="dxa"/>
            <w:gridSpan w:val="2"/>
            <w:noWrap w:val="0"/>
            <w:vAlign w:val="center"/>
          </w:tcPr>
          <w:p>
            <w:pPr>
              <w:jc w:val="center"/>
              <w:rPr>
                <w:rFonts w:hint="default" w:eastAsia="宋体"/>
                <w:color w:val="000000" w:themeColor="text1"/>
                <w:sz w:val="28"/>
                <w:szCs w:val="28"/>
                <w:highlight w:val="none"/>
                <w:lang w:val="en-US" w:eastAsia="zh-CN"/>
              </w:rPr>
            </w:pPr>
            <w:r>
              <w:rPr>
                <w:rFonts w:hint="eastAsia"/>
                <w:color w:val="000000" w:themeColor="text1"/>
                <w:sz w:val="28"/>
                <w:szCs w:val="28"/>
                <w:highlight w:val="none"/>
                <w:lang w:val="en-US" w:eastAsia="zh-CN"/>
              </w:rPr>
              <w:t>包组号</w:t>
            </w:r>
          </w:p>
        </w:tc>
        <w:tc>
          <w:tcPr>
            <w:tcW w:w="2479"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6775" w:type="dxa"/>
            <w:gridSpan w:val="5"/>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5"/>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5"/>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2112" w:type="dxa"/>
            <w:noWrap w:val="0"/>
            <w:vAlign w:val="top"/>
          </w:tcPr>
          <w:p>
            <w:pPr>
              <w:rPr>
                <w:rFonts w:hint="eastAsia"/>
                <w:color w:val="000000" w:themeColor="text1"/>
                <w:sz w:val="28"/>
                <w:szCs w:val="28"/>
                <w:highlight w:val="none"/>
              </w:rPr>
            </w:pPr>
          </w:p>
        </w:tc>
        <w:tc>
          <w:tcPr>
            <w:tcW w:w="1768" w:type="dxa"/>
            <w:gridSpan w:val="2"/>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gridSpan w:val="2"/>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2112" w:type="dxa"/>
            <w:noWrap w:val="0"/>
            <w:vAlign w:val="top"/>
          </w:tcPr>
          <w:p>
            <w:pPr>
              <w:rPr>
                <w:rFonts w:hint="eastAsia"/>
                <w:color w:val="000000" w:themeColor="text1"/>
                <w:sz w:val="28"/>
                <w:szCs w:val="28"/>
                <w:highlight w:val="none"/>
              </w:rPr>
            </w:pPr>
          </w:p>
        </w:tc>
        <w:tc>
          <w:tcPr>
            <w:tcW w:w="1768" w:type="dxa"/>
            <w:gridSpan w:val="2"/>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gridSpan w:val="2"/>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2112" w:type="dxa"/>
            <w:noWrap w:val="0"/>
            <w:vAlign w:val="top"/>
          </w:tcPr>
          <w:p>
            <w:pPr>
              <w:rPr>
                <w:rFonts w:hint="eastAsia"/>
                <w:color w:val="000000" w:themeColor="text1"/>
                <w:sz w:val="28"/>
                <w:szCs w:val="28"/>
                <w:highlight w:val="none"/>
              </w:rPr>
            </w:pPr>
          </w:p>
        </w:tc>
        <w:tc>
          <w:tcPr>
            <w:tcW w:w="1768" w:type="dxa"/>
            <w:gridSpan w:val="2"/>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gridSpan w:val="2"/>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5"/>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5"/>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5"/>
            <w:noWrap w:val="0"/>
            <w:vAlign w:val="top"/>
          </w:tcPr>
          <w:p>
            <w:pPr>
              <w:rPr>
                <w:rFonts w:hint="eastAsia"/>
                <w:color w:val="000000" w:themeColor="text1"/>
                <w:sz w:val="28"/>
                <w:szCs w:val="28"/>
                <w:highlight w:val="none"/>
              </w:rPr>
            </w:pPr>
          </w:p>
        </w:tc>
      </w:tr>
    </w:tbl>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pPr>
        <w:pStyle w:val="41"/>
        <w:snapToGrid w:val="0"/>
        <w:spacing w:before="0" w:beforeAutospacing="0" w:after="0" w:afterAutospacing="0" w:line="360" w:lineRule="auto"/>
        <w:jc w:val="both"/>
        <w:rPr>
          <w:color w:val="000000" w:themeColor="text1"/>
          <w:szCs w:val="21"/>
          <w:highlight w:val="none"/>
        </w:rPr>
      </w:pPr>
    </w:p>
    <w:p>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pPr>
        <w:pStyle w:val="41"/>
        <w:snapToGrid w:val="0"/>
        <w:spacing w:before="0" w:beforeAutospacing="0" w:after="0" w:afterAutospacing="0" w:line="360" w:lineRule="auto"/>
        <w:jc w:val="both"/>
        <w:rPr>
          <w:color w:val="000000" w:themeColor="text1"/>
          <w:szCs w:val="21"/>
          <w:highlight w:val="none"/>
        </w:rPr>
      </w:pPr>
    </w:p>
    <w:p>
      <w:pPr>
        <w:pStyle w:val="41"/>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pPr>
        <w:pStyle w:val="41"/>
        <w:spacing w:before="0" w:beforeAutospacing="0" w:after="0" w:afterAutospacing="0" w:line="360" w:lineRule="auto"/>
        <w:jc w:val="center"/>
        <w:rPr>
          <w:rStyle w:val="48"/>
          <w:rFonts w:cs="Times New Roman"/>
          <w:color w:val="000000" w:themeColor="text1"/>
          <w:highlight w:val="none"/>
        </w:rPr>
      </w:pPr>
      <w:r>
        <w:rPr>
          <w:rStyle w:val="48"/>
          <w:rFonts w:hint="eastAsia" w:cs="Times New Roman"/>
          <w:b w:val="0"/>
          <w:color w:val="000000" w:themeColor="text1"/>
          <w:highlight w:val="none"/>
        </w:rPr>
        <w:t>询问函</w:t>
      </w:r>
    </w:p>
    <w:p>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pPr>
        <w:snapToGrid w:val="0"/>
        <w:spacing w:line="360" w:lineRule="auto"/>
        <w:ind w:firstLine="432" w:firstLineChars="180"/>
        <w:rPr>
          <w:rFonts w:ascii="宋体" w:hAnsi="宋体"/>
          <w:color w:val="000000" w:themeColor="text1"/>
          <w:sz w:val="24"/>
          <w:highlight w:val="none"/>
        </w:rPr>
      </w:pPr>
    </w:p>
    <w:p>
      <w:pPr>
        <w:pStyle w:val="41"/>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pPr>
        <w:pStyle w:val="41"/>
        <w:spacing w:before="0" w:beforeAutospacing="0" w:after="0" w:afterAutospacing="0" w:line="360" w:lineRule="auto"/>
        <w:jc w:val="center"/>
        <w:rPr>
          <w:rStyle w:val="48"/>
          <w:rFonts w:cs="Times New Roman"/>
          <w:color w:val="000000" w:themeColor="text1"/>
          <w:highlight w:val="none"/>
        </w:rPr>
      </w:pPr>
      <w:r>
        <w:rPr>
          <w:rStyle w:val="48"/>
          <w:rFonts w:hint="eastAsia" w:cs="Times New Roman"/>
          <w:b w:val="0"/>
          <w:color w:val="000000" w:themeColor="text1"/>
          <w:highlight w:val="none"/>
        </w:rPr>
        <w:t>质疑函</w:t>
      </w:r>
    </w:p>
    <w:p>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widowControl/>
        <w:snapToGrid w:val="0"/>
        <w:spacing w:line="360" w:lineRule="auto"/>
        <w:ind w:right="960"/>
        <w:rPr>
          <w:rFonts w:ascii="宋体" w:hAnsi="宋体"/>
          <w:color w:val="000000" w:themeColor="text1"/>
          <w:sz w:val="24"/>
          <w:highlight w:val="none"/>
        </w:rPr>
      </w:pPr>
    </w:p>
    <w:p>
      <w:pPr>
        <w:spacing w:line="360" w:lineRule="auto"/>
        <w:jc w:val="left"/>
        <w:rPr>
          <w:rFonts w:ascii="仿宋_GB2312" w:hAnsi="仿宋" w:eastAsia="仿宋_GB2312"/>
          <w:color w:val="000000" w:themeColor="text1"/>
          <w:sz w:val="24"/>
          <w:highlight w:val="none"/>
        </w:rPr>
      </w:pPr>
    </w:p>
    <w:p>
      <w:pPr>
        <w:rPr>
          <w:rFonts w:ascii="宋体" w:hAnsi="宋体"/>
          <w:b/>
          <w:color w:val="000000" w:themeColor="text1"/>
          <w:szCs w:val="21"/>
          <w:highlight w:val="none"/>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9"/>
      </w:rPr>
    </w:pPr>
    <w:r>
      <w:fldChar w:fldCharType="begin"/>
    </w:r>
    <w:r>
      <w:rPr>
        <w:rStyle w:val="49"/>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C45E7338"/>
    <w:multiLevelType w:val="multilevel"/>
    <w:tmpl w:val="C45E7338"/>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abstractNum w:abstractNumId="4">
    <w:nsid w:val="CFC957C6"/>
    <w:multiLevelType w:val="multilevel"/>
    <w:tmpl w:val="CFC957C6"/>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abstractNum w:abstractNumId="5">
    <w:nsid w:val="00000003"/>
    <w:multiLevelType w:val="multilevel"/>
    <w:tmpl w:val="00000003"/>
    <w:lvl w:ilvl="0" w:tentative="0">
      <w:start w:val="1"/>
      <w:numFmt w:val="decimal"/>
      <w:pStyle w:val="297"/>
      <w:lvlText w:val="%1. "/>
      <w:lvlJc w:val="left"/>
      <w:pPr>
        <w:tabs>
          <w:tab w:val="left" w:pos="981"/>
        </w:tabs>
        <w:ind w:left="981" w:hanging="419"/>
      </w:pPr>
    </w:lvl>
    <w:lvl w:ilvl="1" w:tentative="0">
      <w:start w:val="1"/>
      <w:numFmt w:val="upperLetter"/>
      <w:pStyle w:val="286"/>
      <w:lvlText w:val="%2. "/>
      <w:lvlJc w:val="left"/>
      <w:pPr>
        <w:tabs>
          <w:tab w:val="left" w:pos="1191"/>
        </w:tabs>
        <w:ind w:left="1191" w:hanging="420"/>
      </w:pPr>
    </w:lvl>
    <w:lvl w:ilvl="2" w:tentative="0">
      <w:start w:val="1"/>
      <w:numFmt w:val="lowerLetter"/>
      <w:pStyle w:val="295"/>
      <w:lvlText w:val="%3. "/>
      <w:lvlJc w:val="left"/>
      <w:pPr>
        <w:tabs>
          <w:tab w:val="left" w:pos="1401"/>
        </w:tabs>
        <w:ind w:left="1401" w:hanging="420"/>
      </w:pPr>
    </w:lvl>
    <w:lvl w:ilvl="3" w:tentative="0">
      <w:start w:val="1"/>
      <w:numFmt w:val="lowerLetter"/>
      <w:pStyle w:val="153"/>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6">
    <w:nsid w:val="00000008"/>
    <w:multiLevelType w:val="multilevel"/>
    <w:tmpl w:val="00000008"/>
    <w:lvl w:ilvl="0" w:tentative="0">
      <w:start w:val="1"/>
      <w:numFmt w:val="decimal"/>
      <w:pStyle w:val="268"/>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8">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7"/>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9">
    <w:nsid w:val="0000000F"/>
    <w:multiLevelType w:val="multilevel"/>
    <w:tmpl w:val="0000000F"/>
    <w:lvl w:ilvl="0" w:tentative="0">
      <w:start w:val="1"/>
      <w:numFmt w:val="bullet"/>
      <w:pStyle w:val="162"/>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2"/>
    <w:multiLevelType w:val="singleLevel"/>
    <w:tmpl w:val="00000012"/>
    <w:lvl w:ilvl="0" w:tentative="0">
      <w:start w:val="1"/>
      <w:numFmt w:val="decimal"/>
      <w:pStyle w:val="275"/>
      <w:lvlText w:val="%1."/>
      <w:lvlJc w:val="left"/>
      <w:pPr>
        <w:tabs>
          <w:tab w:val="left" w:pos="1200"/>
        </w:tabs>
        <w:ind w:left="1200" w:hanging="360"/>
      </w:pPr>
    </w:lvl>
  </w:abstractNum>
  <w:abstractNum w:abstractNumId="11">
    <w:nsid w:val="00000014"/>
    <w:multiLevelType w:val="singleLevel"/>
    <w:tmpl w:val="00000014"/>
    <w:lvl w:ilvl="0" w:tentative="0">
      <w:start w:val="1"/>
      <w:numFmt w:val="decimal"/>
      <w:pStyle w:val="211"/>
      <w:lvlText w:val="%1."/>
      <w:lvlJc w:val="left"/>
      <w:pPr>
        <w:tabs>
          <w:tab w:val="left" w:pos="1620"/>
        </w:tabs>
        <w:ind w:left="1620" w:hanging="360"/>
      </w:pPr>
    </w:lvl>
  </w:abstractNum>
  <w:abstractNum w:abstractNumId="12">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7"/>
    <w:multiLevelType w:val="singleLevel"/>
    <w:tmpl w:val="00000017"/>
    <w:lvl w:ilvl="0" w:tentative="0">
      <w:start w:val="1"/>
      <w:numFmt w:val="bullet"/>
      <w:pStyle w:val="261"/>
      <w:lvlText w:val=""/>
      <w:lvlJc w:val="left"/>
      <w:pPr>
        <w:tabs>
          <w:tab w:val="left" w:pos="360"/>
        </w:tabs>
        <w:ind w:left="360" w:hanging="360"/>
      </w:pPr>
      <w:rPr>
        <w:rFonts w:hint="default" w:ascii="Wingdings" w:hAnsi="Wingdings"/>
      </w:rPr>
    </w:lvl>
  </w:abstractNum>
  <w:abstractNum w:abstractNumId="14">
    <w:nsid w:val="00000018"/>
    <w:multiLevelType w:val="multilevel"/>
    <w:tmpl w:val="00000018"/>
    <w:lvl w:ilvl="0" w:tentative="0">
      <w:start w:val="2"/>
      <w:numFmt w:val="decimal"/>
      <w:pStyle w:val="256"/>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7"/>
      <w:suff w:val="space"/>
      <w:lvlText w:val="%1.%2.%3"/>
      <w:lvlJc w:val="left"/>
      <w:pPr>
        <w:tabs>
          <w:tab w:val="left" w:pos="1418"/>
        </w:tabs>
        <w:ind w:left="0" w:firstLine="0"/>
      </w:pPr>
    </w:lvl>
    <w:lvl w:ilvl="3" w:tentative="0">
      <w:start w:val="1"/>
      <w:numFmt w:val="decimal"/>
      <w:pStyle w:val="294"/>
      <w:suff w:val="space"/>
      <w:lvlText w:val="%1.%2.%3.%4"/>
      <w:lvlJc w:val="left"/>
      <w:pPr>
        <w:tabs>
          <w:tab w:val="left" w:pos="1984"/>
        </w:tabs>
        <w:ind w:left="0" w:firstLine="0"/>
      </w:pPr>
    </w:lvl>
    <w:lvl w:ilvl="4" w:tentative="0">
      <w:start w:val="1"/>
      <w:numFmt w:val="decimal"/>
      <w:pStyle w:val="290"/>
      <w:suff w:val="space"/>
      <w:lvlText w:val="%1.%2.%3.%4.%5"/>
      <w:lvlJc w:val="left"/>
      <w:pPr>
        <w:tabs>
          <w:tab w:val="left" w:pos="2551"/>
        </w:tabs>
        <w:ind w:left="0" w:firstLine="0"/>
      </w:pPr>
    </w:lvl>
    <w:lvl w:ilvl="5" w:tentative="0">
      <w:start w:val="1"/>
      <w:numFmt w:val="decimal"/>
      <w:pStyle w:val="194"/>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6">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7">
    <w:nsid w:val="0000001D"/>
    <w:multiLevelType w:val="multilevel"/>
    <w:tmpl w:val="0000001D"/>
    <w:lvl w:ilvl="0" w:tentative="0">
      <w:start w:val="1"/>
      <w:numFmt w:val="decimal"/>
      <w:pStyle w:val="196"/>
      <w:lvlText w:val="%1)"/>
      <w:lvlJc w:val="left"/>
      <w:pPr>
        <w:tabs>
          <w:tab w:val="left" w:pos="420"/>
        </w:tabs>
        <w:ind w:left="420" w:hanging="420"/>
      </w:pPr>
    </w:lvl>
    <w:lvl w:ilvl="1" w:tentative="0">
      <w:start w:val="1"/>
      <w:numFmt w:val="lowerLetter"/>
      <w:pStyle w:val="121"/>
      <w:lvlText w:val="%2)"/>
      <w:lvlJc w:val="left"/>
      <w:pPr>
        <w:tabs>
          <w:tab w:val="left" w:pos="840"/>
        </w:tabs>
        <w:ind w:left="840" w:hanging="420"/>
      </w:pPr>
    </w:lvl>
    <w:lvl w:ilvl="2" w:tentative="0">
      <w:start w:val="1"/>
      <w:numFmt w:val="lowerRoman"/>
      <w:pStyle w:val="120"/>
      <w:lvlText w:val="%3."/>
      <w:lvlJc w:val="right"/>
      <w:pPr>
        <w:tabs>
          <w:tab w:val="left" w:pos="1260"/>
        </w:tabs>
        <w:ind w:left="1260" w:hanging="420"/>
      </w:pPr>
    </w:lvl>
    <w:lvl w:ilvl="3" w:tentative="0">
      <w:start w:val="1"/>
      <w:numFmt w:val="decimal"/>
      <w:pStyle w:val="185"/>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0000022"/>
    <w:multiLevelType w:val="singleLevel"/>
    <w:tmpl w:val="00000022"/>
    <w:lvl w:ilvl="0" w:tentative="0">
      <w:start w:val="1"/>
      <w:numFmt w:val="decimal"/>
      <w:pStyle w:val="266"/>
      <w:lvlText w:val="%1."/>
      <w:lvlJc w:val="left"/>
      <w:pPr>
        <w:tabs>
          <w:tab w:val="left" w:pos="1145"/>
        </w:tabs>
        <w:ind w:left="902" w:hanging="477"/>
      </w:pPr>
      <w:rPr>
        <w:rFonts w:hint="eastAsia"/>
      </w:rPr>
    </w:lvl>
  </w:abstractNum>
  <w:abstractNum w:abstractNumId="20">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21">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2">
    <w:nsid w:val="00000026"/>
    <w:multiLevelType w:val="singleLevel"/>
    <w:tmpl w:val="00000026"/>
    <w:lvl w:ilvl="0" w:tentative="0">
      <w:start w:val="1"/>
      <w:numFmt w:val="decimal"/>
      <w:pStyle w:val="239"/>
      <w:lvlText w:val="%1."/>
      <w:lvlJc w:val="left"/>
      <w:pPr>
        <w:tabs>
          <w:tab w:val="left" w:pos="360"/>
        </w:tabs>
        <w:ind w:left="360" w:hanging="360"/>
      </w:pPr>
    </w:lvl>
  </w:abstractNum>
  <w:abstractNum w:abstractNumId="23">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4">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5">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6">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7">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7"/>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00000030"/>
    <w:multiLevelType w:val="singleLevel"/>
    <w:tmpl w:val="00000030"/>
    <w:lvl w:ilvl="0" w:tentative="0">
      <w:start w:val="1"/>
      <w:numFmt w:val="decimal"/>
      <w:pStyle w:val="247"/>
      <w:lvlText w:val="%1."/>
      <w:lvlJc w:val="left"/>
      <w:pPr>
        <w:tabs>
          <w:tab w:val="left" w:pos="2040"/>
        </w:tabs>
        <w:ind w:left="2040" w:hanging="360"/>
      </w:pPr>
    </w:lvl>
  </w:abstractNum>
  <w:abstractNum w:abstractNumId="29">
    <w:nsid w:val="00000032"/>
    <w:multiLevelType w:val="singleLevel"/>
    <w:tmpl w:val="00000032"/>
    <w:lvl w:ilvl="0" w:tentative="0">
      <w:start w:val="1"/>
      <w:numFmt w:val="bullet"/>
      <w:pStyle w:val="230"/>
      <w:lvlText w:val=""/>
      <w:lvlJc w:val="left"/>
      <w:pPr>
        <w:tabs>
          <w:tab w:val="left" w:pos="2040"/>
        </w:tabs>
        <w:ind w:left="2040" w:hanging="360"/>
      </w:pPr>
      <w:rPr>
        <w:rFonts w:hint="default" w:ascii="Wingdings" w:hAnsi="Wingdings"/>
      </w:rPr>
    </w:lvl>
  </w:abstractNum>
  <w:abstractNum w:abstractNumId="30">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00000034"/>
    <w:multiLevelType w:val="multilevel"/>
    <w:tmpl w:val="00000034"/>
    <w:lvl w:ilvl="0" w:tentative="0">
      <w:start w:val="1"/>
      <w:numFmt w:val="decimal"/>
      <w:pStyle w:val="137"/>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2">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5">
    <w:nsid w:val="39316B08"/>
    <w:multiLevelType w:val="singleLevel"/>
    <w:tmpl w:val="39316B08"/>
    <w:lvl w:ilvl="0" w:tentative="0">
      <w:start w:val="3"/>
      <w:numFmt w:val="decimal"/>
      <w:suff w:val="nothing"/>
      <w:lvlText w:val="（%1）"/>
      <w:lvlJc w:val="left"/>
    </w:lvl>
  </w:abstractNum>
  <w:abstractNum w:abstractNumId="36">
    <w:nsid w:val="42CD84B7"/>
    <w:multiLevelType w:val="singleLevel"/>
    <w:tmpl w:val="42CD84B7"/>
    <w:lvl w:ilvl="0" w:tentative="0">
      <w:start w:val="1"/>
      <w:numFmt w:val="decimal"/>
      <w:lvlText w:val="%1."/>
      <w:lvlJc w:val="left"/>
      <w:pPr>
        <w:ind w:left="425" w:hanging="425"/>
      </w:pPr>
      <w:rPr>
        <w:rFonts w:hint="default"/>
      </w:rPr>
    </w:lvl>
  </w:abstractNum>
  <w:abstractNum w:abstractNumId="37">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6"/>
  </w:num>
  <w:num w:numId="2">
    <w:abstractNumId w:val="20"/>
  </w:num>
  <w:num w:numId="3">
    <w:abstractNumId w:val="21"/>
  </w:num>
  <w:num w:numId="4">
    <w:abstractNumId w:val="16"/>
  </w:num>
  <w:num w:numId="5">
    <w:abstractNumId w:val="17"/>
  </w:num>
  <w:num w:numId="6">
    <w:abstractNumId w:val="31"/>
  </w:num>
  <w:num w:numId="7">
    <w:abstractNumId w:val="5"/>
  </w:num>
  <w:num w:numId="8">
    <w:abstractNumId w:val="9"/>
  </w:num>
  <w:num w:numId="9">
    <w:abstractNumId w:val="27"/>
  </w:num>
  <w:num w:numId="10">
    <w:abstractNumId w:val="15"/>
  </w:num>
  <w:num w:numId="11">
    <w:abstractNumId w:val="11"/>
  </w:num>
  <w:num w:numId="12">
    <w:abstractNumId w:val="29"/>
  </w:num>
  <w:num w:numId="13">
    <w:abstractNumId w:val="22"/>
  </w:num>
  <w:num w:numId="14">
    <w:abstractNumId w:val="28"/>
  </w:num>
  <w:num w:numId="15">
    <w:abstractNumId w:val="14"/>
  </w:num>
  <w:num w:numId="16">
    <w:abstractNumId w:val="13"/>
  </w:num>
  <w:num w:numId="17">
    <w:abstractNumId w:val="19"/>
  </w:num>
  <w:num w:numId="18">
    <w:abstractNumId w:val="6"/>
  </w:num>
  <w:num w:numId="19">
    <w:abstractNumId w:val="10"/>
  </w:num>
  <w:num w:numId="20">
    <w:abstractNumId w:val="8"/>
  </w:num>
  <w:num w:numId="21">
    <w:abstractNumId w:val="33"/>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3"/>
  </w:num>
  <w:num w:numId="25">
    <w:abstractNumId w:val="32"/>
  </w:num>
  <w:num w:numId="26">
    <w:abstractNumId w:val="35"/>
  </w:num>
  <w:num w:numId="27">
    <w:abstractNumId w:val="1"/>
  </w:num>
  <w:num w:numId="28">
    <w:abstractNumId w:val="18"/>
  </w:num>
  <w:num w:numId="29">
    <w:abstractNumId w:val="23"/>
  </w:num>
  <w:num w:numId="30">
    <w:abstractNumId w:val="24"/>
  </w:num>
  <w:num w:numId="31">
    <w:abstractNumId w:val="7"/>
  </w:num>
  <w:num w:numId="32">
    <w:abstractNumId w:val="12"/>
  </w:num>
  <w:num w:numId="33">
    <w:abstractNumId w:val="25"/>
    <w:lvlOverride w:ilvl="0">
      <w:startOverride w:val="1"/>
    </w:lvlOverride>
  </w:num>
  <w:num w:numId="34">
    <w:abstractNumId w:val="34"/>
  </w:num>
  <w:num w:numId="35">
    <w:abstractNumId w:val="2"/>
  </w:num>
  <w:num w:numId="36">
    <w:abstractNumId w:val="0"/>
  </w:num>
  <w:num w:numId="37">
    <w:abstractNumId w:val="36"/>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7"/>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E2Zjc5NzZhNWNmMDhhN2NiYjQ5NjNiNzUyYWQ2ZTQ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F87"/>
    <w:rsid w:val="005D3EE6"/>
    <w:rsid w:val="005D5525"/>
    <w:rsid w:val="005D585E"/>
    <w:rsid w:val="005D5EC3"/>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14001AC"/>
    <w:rsid w:val="08680198"/>
    <w:rsid w:val="096C7482"/>
    <w:rsid w:val="0AAE43D8"/>
    <w:rsid w:val="0B5C2951"/>
    <w:rsid w:val="0BC62CE6"/>
    <w:rsid w:val="0BCA4A38"/>
    <w:rsid w:val="0BDE0F14"/>
    <w:rsid w:val="0C57284E"/>
    <w:rsid w:val="0C576DA7"/>
    <w:rsid w:val="0CBA42CC"/>
    <w:rsid w:val="0D715B96"/>
    <w:rsid w:val="0DB77A48"/>
    <w:rsid w:val="0F621C2B"/>
    <w:rsid w:val="0FCA12E5"/>
    <w:rsid w:val="10AC760C"/>
    <w:rsid w:val="11453112"/>
    <w:rsid w:val="12FC5EFD"/>
    <w:rsid w:val="14B6708E"/>
    <w:rsid w:val="15E4627C"/>
    <w:rsid w:val="170C32A1"/>
    <w:rsid w:val="1832166E"/>
    <w:rsid w:val="19AB1C63"/>
    <w:rsid w:val="1B8806C2"/>
    <w:rsid w:val="1B8A1741"/>
    <w:rsid w:val="1C3660D4"/>
    <w:rsid w:val="1C5D20B1"/>
    <w:rsid w:val="1D9D51F3"/>
    <w:rsid w:val="1EDF441B"/>
    <w:rsid w:val="21151D88"/>
    <w:rsid w:val="211B629E"/>
    <w:rsid w:val="213E63AC"/>
    <w:rsid w:val="21451B35"/>
    <w:rsid w:val="22D121EA"/>
    <w:rsid w:val="23B56C14"/>
    <w:rsid w:val="23FA051B"/>
    <w:rsid w:val="24F31469"/>
    <w:rsid w:val="251D242F"/>
    <w:rsid w:val="27740528"/>
    <w:rsid w:val="29E55A72"/>
    <w:rsid w:val="2A515672"/>
    <w:rsid w:val="2A56694F"/>
    <w:rsid w:val="2AB90BF0"/>
    <w:rsid w:val="2CA62D0A"/>
    <w:rsid w:val="2F0D6640"/>
    <w:rsid w:val="2F3C3982"/>
    <w:rsid w:val="2F917175"/>
    <w:rsid w:val="2FD14C2F"/>
    <w:rsid w:val="312850D7"/>
    <w:rsid w:val="316B4B60"/>
    <w:rsid w:val="316F4012"/>
    <w:rsid w:val="32755858"/>
    <w:rsid w:val="327D62BB"/>
    <w:rsid w:val="33FE342B"/>
    <w:rsid w:val="34E45C3F"/>
    <w:rsid w:val="35984C94"/>
    <w:rsid w:val="36897F35"/>
    <w:rsid w:val="37954CDD"/>
    <w:rsid w:val="388D4973"/>
    <w:rsid w:val="38FC368E"/>
    <w:rsid w:val="39074B30"/>
    <w:rsid w:val="39145CDA"/>
    <w:rsid w:val="39BC44F6"/>
    <w:rsid w:val="39C2426F"/>
    <w:rsid w:val="3A7061B9"/>
    <w:rsid w:val="3F55760A"/>
    <w:rsid w:val="3F67457A"/>
    <w:rsid w:val="42051A04"/>
    <w:rsid w:val="45190EF4"/>
    <w:rsid w:val="458F470E"/>
    <w:rsid w:val="468E4E6D"/>
    <w:rsid w:val="47B03BA9"/>
    <w:rsid w:val="47E96FDE"/>
    <w:rsid w:val="4A0B4034"/>
    <w:rsid w:val="4A2E02C6"/>
    <w:rsid w:val="4B9E1DB9"/>
    <w:rsid w:val="4CA74208"/>
    <w:rsid w:val="4D842037"/>
    <w:rsid w:val="4D9B2F7F"/>
    <w:rsid w:val="4DCD4142"/>
    <w:rsid w:val="4F3912D1"/>
    <w:rsid w:val="50086B0C"/>
    <w:rsid w:val="52267A1D"/>
    <w:rsid w:val="52BB6C5F"/>
    <w:rsid w:val="54022FBD"/>
    <w:rsid w:val="54810BF1"/>
    <w:rsid w:val="550024AC"/>
    <w:rsid w:val="570016CA"/>
    <w:rsid w:val="5768620E"/>
    <w:rsid w:val="58072942"/>
    <w:rsid w:val="58310C72"/>
    <w:rsid w:val="589647C1"/>
    <w:rsid w:val="59857735"/>
    <w:rsid w:val="5AAB6294"/>
    <w:rsid w:val="5C6D5D5D"/>
    <w:rsid w:val="5D886622"/>
    <w:rsid w:val="5E93433C"/>
    <w:rsid w:val="5F250023"/>
    <w:rsid w:val="60AE2B4F"/>
    <w:rsid w:val="6161462F"/>
    <w:rsid w:val="62600C89"/>
    <w:rsid w:val="645529A9"/>
    <w:rsid w:val="64862C2B"/>
    <w:rsid w:val="6552795A"/>
    <w:rsid w:val="65D0211A"/>
    <w:rsid w:val="6661072D"/>
    <w:rsid w:val="671309C0"/>
    <w:rsid w:val="68440261"/>
    <w:rsid w:val="69210081"/>
    <w:rsid w:val="6A8B3BD0"/>
    <w:rsid w:val="6CD26C28"/>
    <w:rsid w:val="6E015061"/>
    <w:rsid w:val="715E7281"/>
    <w:rsid w:val="72250B6E"/>
    <w:rsid w:val="72394572"/>
    <w:rsid w:val="73110955"/>
    <w:rsid w:val="735A1441"/>
    <w:rsid w:val="741E4320"/>
    <w:rsid w:val="75F265F9"/>
    <w:rsid w:val="793067AF"/>
    <w:rsid w:val="7A3126F0"/>
    <w:rsid w:val="7C9932BE"/>
    <w:rsid w:val="7E626B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29"/>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5"/>
    <w:link w:val="101"/>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6">
    <w:name w:val="heading 3"/>
    <w:basedOn w:val="1"/>
    <w:next w:val="5"/>
    <w:link w:val="118"/>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5"/>
    <w:link w:val="92"/>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5"/>
    <w:link w:val="105"/>
    <w:qFormat/>
    <w:uiPriority w:val="0"/>
    <w:pPr>
      <w:keepNext/>
      <w:keepLines/>
      <w:spacing w:before="280" w:after="290" w:line="376" w:lineRule="auto"/>
      <w:outlineLvl w:val="4"/>
    </w:pPr>
    <w:rPr>
      <w:b/>
      <w:sz w:val="28"/>
      <w:szCs w:val="20"/>
    </w:rPr>
  </w:style>
  <w:style w:type="paragraph" w:styleId="9">
    <w:name w:val="heading 6"/>
    <w:basedOn w:val="1"/>
    <w:next w:val="5"/>
    <w:link w:val="90"/>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5"/>
    <w:link w:val="110"/>
    <w:qFormat/>
    <w:uiPriority w:val="0"/>
    <w:pPr>
      <w:keepNext/>
      <w:keepLines/>
      <w:spacing w:before="240" w:after="64" w:line="320" w:lineRule="auto"/>
      <w:outlineLvl w:val="6"/>
    </w:pPr>
    <w:rPr>
      <w:b/>
      <w:sz w:val="24"/>
      <w:szCs w:val="20"/>
    </w:rPr>
  </w:style>
  <w:style w:type="paragraph" w:styleId="11">
    <w:name w:val="heading 8"/>
    <w:basedOn w:val="1"/>
    <w:next w:val="5"/>
    <w:link w:val="97"/>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5"/>
    <w:link w:val="89"/>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2"/>
    <w:basedOn w:val="1"/>
    <w:link w:val="100"/>
    <w:qFormat/>
    <w:uiPriority w:val="0"/>
    <w:pPr>
      <w:spacing w:line="360" w:lineRule="auto"/>
    </w:pPr>
    <w:rPr>
      <w:rFonts w:ascii="仿宋_GB2312" w:eastAsia="仿宋_GB2312"/>
      <w:sz w:val="32"/>
    </w:rPr>
  </w:style>
  <w:style w:type="paragraph" w:styleId="5">
    <w:name w:val="Normal Indent"/>
    <w:basedOn w:val="1"/>
    <w:link w:val="112"/>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qFormat/>
    <w:uiPriority w:val="0"/>
    <w:pPr>
      <w:spacing w:line="360" w:lineRule="auto"/>
    </w:pPr>
    <w:rPr>
      <w:rFonts w:ascii="Arial" w:hAnsi="Arial" w:eastAsia="黑体" w:cs="Arial"/>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0"/>
    <w:qFormat/>
    <w:uiPriority w:val="0"/>
    <w:pPr>
      <w:spacing w:line="360" w:lineRule="auto"/>
      <w:jc w:val="left"/>
    </w:pPr>
    <w:rPr>
      <w:sz w:val="24"/>
    </w:rPr>
  </w:style>
  <w:style w:type="paragraph" w:styleId="18">
    <w:name w:val="Body Text"/>
    <w:basedOn w:val="1"/>
    <w:link w:val="75"/>
    <w:qFormat/>
    <w:uiPriority w:val="0"/>
    <w:pPr>
      <w:spacing w:after="120"/>
    </w:pPr>
  </w:style>
  <w:style w:type="paragraph" w:styleId="19">
    <w:name w:val="Body Text Indent"/>
    <w:basedOn w:val="1"/>
    <w:link w:val="122"/>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28"/>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3"/>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2"/>
    <w:qFormat/>
    <w:uiPriority w:val="0"/>
    <w:pPr>
      <w:numPr>
        <w:ilvl w:val="0"/>
        <w:numId w:val="4"/>
      </w:numPr>
      <w:ind w:left="100" w:leftChars="2500"/>
    </w:pPr>
  </w:style>
  <w:style w:type="paragraph" w:styleId="27">
    <w:name w:val="Body Text Indent 2"/>
    <w:basedOn w:val="1"/>
    <w:link w:val="70"/>
    <w:qFormat/>
    <w:uiPriority w:val="0"/>
    <w:pPr>
      <w:spacing w:line="480" w:lineRule="exact"/>
      <w:ind w:left="810" w:firstLine="675"/>
    </w:pPr>
    <w:rPr>
      <w:rFonts w:eastAsia="仿宋_GB2312"/>
      <w:sz w:val="30"/>
      <w:szCs w:val="20"/>
    </w:rPr>
  </w:style>
  <w:style w:type="paragraph" w:styleId="28">
    <w:name w:val="Balloon Text"/>
    <w:basedOn w:val="1"/>
    <w:link w:val="85"/>
    <w:qFormat/>
    <w:uiPriority w:val="0"/>
    <w:rPr>
      <w:sz w:val="18"/>
      <w:szCs w:val="18"/>
    </w:rPr>
  </w:style>
  <w:style w:type="paragraph" w:styleId="29">
    <w:name w:val="footer"/>
    <w:basedOn w:val="1"/>
    <w:link w:val="131"/>
    <w:qFormat/>
    <w:uiPriority w:val="0"/>
    <w:pPr>
      <w:tabs>
        <w:tab w:val="center" w:pos="4153"/>
        <w:tab w:val="right" w:pos="8306"/>
      </w:tabs>
      <w:snapToGrid w:val="0"/>
      <w:jc w:val="left"/>
    </w:pPr>
    <w:rPr>
      <w:sz w:val="18"/>
      <w:szCs w:val="20"/>
    </w:rPr>
  </w:style>
  <w:style w:type="paragraph" w:styleId="30">
    <w:name w:val="header"/>
    <w:basedOn w:val="1"/>
    <w:link w:val="123"/>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1"/>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HTML Preformatted"/>
    <w:basedOn w:val="1"/>
    <w:link w:val="1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qFormat/>
    <w:uiPriority w:val="0"/>
    <w:pPr>
      <w:ind w:left="420" w:hanging="210"/>
      <w:jc w:val="left"/>
    </w:pPr>
    <w:rPr>
      <w:sz w:val="20"/>
      <w:szCs w:val="20"/>
    </w:rPr>
  </w:style>
  <w:style w:type="paragraph" w:styleId="43">
    <w:name w:val="Title"/>
    <w:basedOn w:val="1"/>
    <w:next w:val="1"/>
    <w:link w:val="124"/>
    <w:qFormat/>
    <w:uiPriority w:val="0"/>
    <w:pPr>
      <w:spacing w:before="240" w:after="60"/>
      <w:jc w:val="center"/>
      <w:outlineLvl w:val="0"/>
    </w:pPr>
    <w:rPr>
      <w:rFonts w:ascii="Cambria" w:hAnsi="Cambria"/>
      <w:b/>
      <w:bCs/>
      <w:sz w:val="32"/>
      <w:szCs w:val="32"/>
    </w:rPr>
  </w:style>
  <w:style w:type="paragraph" w:styleId="44">
    <w:name w:val="Body Text First Indent"/>
    <w:basedOn w:val="18"/>
    <w:link w:val="132"/>
    <w:qFormat/>
    <w:uiPriority w:val="0"/>
    <w:pPr>
      <w:ind w:firstLine="100" w:firstLineChars="100"/>
    </w:pPr>
    <w:rPr>
      <w:rFonts w:ascii="Calibri" w:hAnsi="Calibri"/>
      <w:szCs w:val="22"/>
    </w:rPr>
  </w:style>
  <w:style w:type="paragraph" w:styleId="45">
    <w:name w:val="Body Text First Indent 2"/>
    <w:basedOn w:val="19"/>
    <w:link w:val="59"/>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8">
    <w:name w:val="Strong"/>
    <w:qFormat/>
    <w:uiPriority w:val="22"/>
    <w:rPr>
      <w:b/>
      <w:bCs/>
    </w:rPr>
  </w:style>
  <w:style w:type="character" w:styleId="49">
    <w:name w:val="page number"/>
    <w:basedOn w:val="47"/>
    <w:qFormat/>
    <w:uiPriority w:val="0"/>
  </w:style>
  <w:style w:type="character" w:styleId="50">
    <w:name w:val="Emphasis"/>
    <w:qFormat/>
    <w:uiPriority w:val="20"/>
    <w:rPr>
      <w:i/>
      <w:iCs/>
    </w:rPr>
  </w:style>
  <w:style w:type="character" w:styleId="51">
    <w:name w:val="Hyperlink"/>
    <w:qFormat/>
    <w:uiPriority w:val="99"/>
    <w:rPr>
      <w:color w:val="0000FF"/>
      <w:u w:val="single"/>
    </w:rPr>
  </w:style>
  <w:style w:type="character" w:styleId="52">
    <w:name w:val="annotation reference"/>
    <w:qFormat/>
    <w:uiPriority w:val="0"/>
    <w:rPr>
      <w:sz w:val="21"/>
      <w:szCs w:val="21"/>
    </w:rPr>
  </w:style>
  <w:style w:type="paragraph" w:customStyle="1" w:styleId="53">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4">
    <w:name w:val="标题 1 Char Char"/>
    <w:qFormat/>
    <w:uiPriority w:val="0"/>
    <w:rPr>
      <w:rFonts w:eastAsia="宋体"/>
      <w:b/>
      <w:bCs/>
      <w:kern w:val="44"/>
      <w:sz w:val="44"/>
      <w:szCs w:val="44"/>
      <w:lang w:val="en-US" w:eastAsia="zh-CN" w:bidi="ar-SA"/>
    </w:rPr>
  </w:style>
  <w:style w:type="character" w:customStyle="1" w:styleId="55">
    <w:name w:val="标题 4 Char Char"/>
    <w:qFormat/>
    <w:uiPriority w:val="0"/>
    <w:rPr>
      <w:rFonts w:ascii="Arial" w:hAnsi="Arial" w:eastAsia="黑体"/>
      <w:b/>
      <w:bCs/>
      <w:kern w:val="2"/>
      <w:sz w:val="28"/>
      <w:szCs w:val="28"/>
      <w:lang w:val="en-US" w:eastAsia="zh-CN" w:bidi="ar-SA"/>
    </w:rPr>
  </w:style>
  <w:style w:type="character" w:customStyle="1" w:styleId="56">
    <w:name w:val="font11"/>
    <w:qFormat/>
    <w:uiPriority w:val="0"/>
    <w:rPr>
      <w:rFonts w:hint="eastAsia" w:ascii="宋体" w:hAnsi="宋体" w:eastAsia="宋体"/>
      <w:color w:val="000000"/>
      <w:sz w:val="24"/>
      <w:szCs w:val="24"/>
      <w:u w:val="none"/>
    </w:rPr>
  </w:style>
  <w:style w:type="character" w:customStyle="1" w:styleId="57">
    <w:name w:val="标题 5 Char Char"/>
    <w:qFormat/>
    <w:uiPriority w:val="0"/>
    <w:rPr>
      <w:rFonts w:eastAsia="宋体"/>
      <w:b/>
      <w:bCs/>
      <w:kern w:val="2"/>
      <w:sz w:val="28"/>
      <w:szCs w:val="28"/>
      <w:lang w:val="en-US" w:eastAsia="zh-CN" w:bidi="ar-SA"/>
    </w:rPr>
  </w:style>
  <w:style w:type="character" w:customStyle="1" w:styleId="58">
    <w:name w:val="ca-5"/>
    <w:basedOn w:val="47"/>
    <w:qFormat/>
    <w:uiPriority w:val="0"/>
  </w:style>
  <w:style w:type="character" w:customStyle="1" w:styleId="59">
    <w:name w:val="正文首行缩进 2 Char"/>
    <w:link w:val="45"/>
    <w:qFormat/>
    <w:uiPriority w:val="0"/>
    <w:rPr>
      <w:rFonts w:ascii="Calibri" w:hAnsi="Calibri" w:eastAsia="仿宋_GB2312"/>
      <w:kern w:val="2"/>
      <w:sz w:val="21"/>
      <w:szCs w:val="22"/>
      <w:lang w:val="en-US" w:eastAsia="zh-CN" w:bidi="ar-SA"/>
    </w:rPr>
  </w:style>
  <w:style w:type="character" w:customStyle="1" w:styleId="60">
    <w:name w:val="已访问的超链接1"/>
    <w:qFormat/>
    <w:uiPriority w:val="0"/>
    <w:rPr>
      <w:color w:val="800080"/>
      <w:u w:val="single"/>
    </w:rPr>
  </w:style>
  <w:style w:type="character" w:customStyle="1" w:styleId="61">
    <w:name w:val="正文首行缩进 Char Char"/>
    <w:qFormat/>
    <w:uiPriority w:val="0"/>
    <w:rPr>
      <w:rFonts w:eastAsia="仿宋_GB2312"/>
      <w:kern w:val="2"/>
      <w:sz w:val="28"/>
      <w:szCs w:val="24"/>
      <w:lang w:bidi="ar-SA"/>
    </w:rPr>
  </w:style>
  <w:style w:type="character" w:customStyle="1" w:styleId="62">
    <w:name w:val="日期 Char"/>
    <w:link w:val="26"/>
    <w:qFormat/>
    <w:uiPriority w:val="0"/>
    <w:rPr>
      <w:kern w:val="2"/>
      <w:sz w:val="21"/>
      <w:szCs w:val="24"/>
    </w:rPr>
  </w:style>
  <w:style w:type="character" w:customStyle="1" w:styleId="63">
    <w:name w:val="正文文本缩进 3 Char Char"/>
    <w:qFormat/>
    <w:uiPriority w:val="0"/>
    <w:rPr>
      <w:kern w:val="2"/>
      <w:sz w:val="16"/>
      <w:szCs w:val="16"/>
      <w:lang w:bidi="ar-SA"/>
    </w:rPr>
  </w:style>
  <w:style w:type="character" w:customStyle="1" w:styleId="64">
    <w:name w:val="文档正文 Char1"/>
    <w:link w:val="65"/>
    <w:qFormat/>
    <w:uiPriority w:val="0"/>
    <w:rPr>
      <w:rFonts w:ascii="Arial Narrow" w:hAnsi="Arial Narrow"/>
      <w:sz w:val="24"/>
      <w:szCs w:val="24"/>
      <w:lang w:val="en-US" w:eastAsia="zh-CN" w:bidi="ar-SA"/>
    </w:rPr>
  </w:style>
  <w:style w:type="paragraph" w:customStyle="1" w:styleId="65">
    <w:name w:val="文档正文"/>
    <w:link w:val="64"/>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6">
    <w:name w:val="正文文本 Char Char"/>
    <w:qFormat/>
    <w:uiPriority w:val="0"/>
    <w:rPr>
      <w:rFonts w:eastAsia="宋体"/>
      <w:kern w:val="2"/>
      <w:sz w:val="21"/>
      <w:szCs w:val="24"/>
      <w:lang w:val="en-US" w:eastAsia="zh-CN" w:bidi="ar-SA"/>
    </w:rPr>
  </w:style>
  <w:style w:type="character" w:customStyle="1" w:styleId="67">
    <w:name w:val="样式 样式 宋体 小四 行距: 1.5 倍行距 + ˎ̥ 黑色 Char Char"/>
    <w:link w:val="68"/>
    <w:qFormat/>
    <w:uiPriority w:val="0"/>
    <w:rPr>
      <w:rFonts w:ascii="Calibri" w:hAnsi="Calibri" w:eastAsia="仿宋_GB2312"/>
      <w:kern w:val="2"/>
      <w:sz w:val="21"/>
      <w:szCs w:val="22"/>
      <w:lang w:val="en-US" w:eastAsia="zh-CN" w:bidi="ar-SA"/>
    </w:rPr>
  </w:style>
  <w:style w:type="paragraph" w:customStyle="1" w:styleId="68">
    <w:name w:val="样式 样式 宋体 小四 行距: 1.5 倍行距 + ˎ̥ 黑色"/>
    <w:basedOn w:val="45"/>
    <w:link w:val="67"/>
    <w:qFormat/>
    <w:uiPriority w:val="0"/>
  </w:style>
  <w:style w:type="character" w:customStyle="1" w:styleId="69">
    <w:name w:val="style71"/>
    <w:qFormat/>
    <w:uiPriority w:val="0"/>
    <w:rPr>
      <w:sz w:val="21"/>
      <w:szCs w:val="21"/>
    </w:rPr>
  </w:style>
  <w:style w:type="character" w:customStyle="1" w:styleId="70">
    <w:name w:val="正文文本缩进 2 Char"/>
    <w:link w:val="27"/>
    <w:qFormat/>
    <w:uiPriority w:val="0"/>
    <w:rPr>
      <w:rFonts w:eastAsia="仿宋_GB2312"/>
      <w:kern w:val="2"/>
      <w:sz w:val="30"/>
      <w:lang w:val="en-US" w:eastAsia="zh-CN" w:bidi="ar-SA"/>
    </w:rPr>
  </w:style>
  <w:style w:type="character" w:customStyle="1" w:styleId="71">
    <w:name w:val="正文文本缩进 3 Char"/>
    <w:link w:val="37"/>
    <w:qFormat/>
    <w:uiPriority w:val="0"/>
    <w:rPr>
      <w:rFonts w:ascii="宋体" w:hAnsi="宋体" w:eastAsia="宋体"/>
      <w:kern w:val="2"/>
      <w:sz w:val="21"/>
      <w:szCs w:val="24"/>
      <w:lang w:val="en-US" w:eastAsia="zh-CN" w:bidi="ar-SA"/>
    </w:rPr>
  </w:style>
  <w:style w:type="character" w:customStyle="1" w:styleId="72">
    <w:name w:val="ca-9"/>
    <w:basedOn w:val="47"/>
    <w:qFormat/>
    <w:uiPriority w:val="0"/>
  </w:style>
  <w:style w:type="character" w:customStyle="1" w:styleId="73">
    <w:name w:val="纯文本 Char"/>
    <w:link w:val="24"/>
    <w:qFormat/>
    <w:uiPriority w:val="0"/>
    <w:rPr>
      <w:rFonts w:ascii="宋体" w:hAnsi="Courier New" w:eastAsia="宋体"/>
      <w:kern w:val="2"/>
      <w:sz w:val="21"/>
      <w:lang w:val="en-US" w:eastAsia="zh-CN" w:bidi="ar-SA"/>
    </w:rPr>
  </w:style>
  <w:style w:type="character" w:customStyle="1" w:styleId="74">
    <w:name w:val="页脚 Char Char"/>
    <w:qFormat/>
    <w:uiPriority w:val="0"/>
    <w:rPr>
      <w:rFonts w:eastAsia="宋体"/>
      <w:sz w:val="18"/>
      <w:szCs w:val="18"/>
      <w:lang w:bidi="ar-SA"/>
    </w:rPr>
  </w:style>
  <w:style w:type="character" w:customStyle="1" w:styleId="75">
    <w:name w:val="正文文本 Char"/>
    <w:link w:val="18"/>
    <w:qFormat/>
    <w:uiPriority w:val="0"/>
    <w:rPr>
      <w:rFonts w:eastAsia="宋体"/>
      <w:kern w:val="2"/>
      <w:sz w:val="21"/>
      <w:szCs w:val="24"/>
      <w:lang w:val="en-US" w:eastAsia="zh-CN" w:bidi="ar-SA"/>
    </w:rPr>
  </w:style>
  <w:style w:type="character" w:customStyle="1" w:styleId="76">
    <w:name w:val="标题 2 Char Char"/>
    <w:qFormat/>
    <w:uiPriority w:val="0"/>
    <w:rPr>
      <w:rFonts w:ascii="Cambria" w:hAnsi="Cambria" w:eastAsia="宋体"/>
      <w:b/>
      <w:bCs/>
      <w:kern w:val="2"/>
      <w:sz w:val="32"/>
      <w:szCs w:val="32"/>
      <w:lang w:val="en-US" w:eastAsia="zh-CN" w:bidi="ar-SA"/>
    </w:rPr>
  </w:style>
  <w:style w:type="character" w:customStyle="1" w:styleId="77">
    <w:name w:val="标题 1 1 Char"/>
    <w:qFormat/>
    <w:uiPriority w:val="0"/>
    <w:rPr>
      <w:rFonts w:ascii="黑体" w:eastAsia="黑体"/>
      <w:bCs/>
      <w:kern w:val="44"/>
      <w:sz w:val="24"/>
      <w:lang w:val="en-US" w:eastAsia="zh-CN" w:bidi="ar-SA"/>
    </w:rPr>
  </w:style>
  <w:style w:type="character" w:customStyle="1" w:styleId="78">
    <w:name w:val="Char Char14"/>
    <w:qFormat/>
    <w:uiPriority w:val="0"/>
    <w:rPr>
      <w:rFonts w:ascii="宋体" w:eastAsia="宋体"/>
      <w:sz w:val="34"/>
      <w:lang w:val="en-US" w:eastAsia="zh-CN" w:bidi="ar-SA"/>
    </w:rPr>
  </w:style>
  <w:style w:type="character" w:customStyle="1" w:styleId="79">
    <w:name w:val="content"/>
    <w:qFormat/>
    <w:uiPriority w:val="0"/>
  </w:style>
  <w:style w:type="character" w:customStyle="1" w:styleId="80">
    <w:name w:val="Char Char5"/>
    <w:qFormat/>
    <w:uiPriority w:val="0"/>
    <w:rPr>
      <w:rFonts w:eastAsia="宋体"/>
      <w:kern w:val="2"/>
      <w:sz w:val="18"/>
      <w:lang w:val="en-US" w:eastAsia="zh-CN" w:bidi="ar-SA"/>
    </w:rPr>
  </w:style>
  <w:style w:type="character" w:customStyle="1" w:styleId="81">
    <w:name w:val="c_666"/>
    <w:basedOn w:val="47"/>
    <w:qFormat/>
    <w:uiPriority w:val="0"/>
  </w:style>
  <w:style w:type="character" w:customStyle="1" w:styleId="82">
    <w:name w:val="ALT+Z Char"/>
    <w:qFormat/>
    <w:uiPriority w:val="0"/>
    <w:rPr>
      <w:rFonts w:ascii="宋体"/>
      <w:sz w:val="34"/>
    </w:rPr>
  </w:style>
  <w:style w:type="character" w:customStyle="1" w:styleId="83">
    <w:name w:val="正文（缩进） Char Char"/>
    <w:link w:val="84"/>
    <w:qFormat/>
    <w:uiPriority w:val="0"/>
    <w:rPr>
      <w:rFonts w:eastAsia="宋体"/>
      <w:kern w:val="2"/>
      <w:sz w:val="24"/>
      <w:szCs w:val="24"/>
      <w:lang w:val="en-US" w:eastAsia="zh-CN" w:bidi="ar-SA"/>
    </w:rPr>
  </w:style>
  <w:style w:type="paragraph" w:customStyle="1" w:styleId="84">
    <w:name w:val="正文（缩进）"/>
    <w:basedOn w:val="1"/>
    <w:link w:val="83"/>
    <w:qFormat/>
    <w:uiPriority w:val="0"/>
    <w:pPr>
      <w:spacing w:beforeLines="50" w:afterLines="50" w:line="360" w:lineRule="auto"/>
      <w:ind w:firstLine="480" w:firstLineChars="200"/>
    </w:pPr>
    <w:rPr>
      <w:sz w:val="24"/>
    </w:rPr>
  </w:style>
  <w:style w:type="character" w:customStyle="1" w:styleId="85">
    <w:name w:val="批注框文本 Char"/>
    <w:link w:val="28"/>
    <w:qFormat/>
    <w:uiPriority w:val="0"/>
    <w:rPr>
      <w:rFonts w:eastAsia="宋体"/>
      <w:kern w:val="2"/>
      <w:sz w:val="18"/>
      <w:szCs w:val="18"/>
      <w:lang w:val="en-US" w:eastAsia="zh-CN" w:bidi="ar-SA"/>
    </w:rPr>
  </w:style>
  <w:style w:type="character" w:customStyle="1" w:styleId="86">
    <w:name w:val="表格内容"/>
    <w:qFormat/>
    <w:uiPriority w:val="0"/>
    <w:rPr>
      <w:sz w:val="24"/>
    </w:rPr>
  </w:style>
  <w:style w:type="character" w:customStyle="1" w:styleId="87">
    <w:name w:val="ca-8"/>
    <w:basedOn w:val="47"/>
    <w:qFormat/>
    <w:uiPriority w:val="0"/>
  </w:style>
  <w:style w:type="character" w:customStyle="1" w:styleId="88">
    <w:name w:val="不明显参考1"/>
    <w:qFormat/>
    <w:uiPriority w:val="0"/>
    <w:rPr>
      <w:smallCaps/>
      <w:color w:val="C0504D"/>
      <w:u w:val="single"/>
    </w:rPr>
  </w:style>
  <w:style w:type="character" w:customStyle="1" w:styleId="89">
    <w:name w:val="标题 9 Char"/>
    <w:link w:val="12"/>
    <w:qFormat/>
    <w:uiPriority w:val="0"/>
    <w:rPr>
      <w:rFonts w:ascii="Arial" w:hAnsi="Arial" w:eastAsia="黑体"/>
      <w:kern w:val="2"/>
      <w:sz w:val="21"/>
      <w:lang w:val="en-US" w:eastAsia="zh-CN" w:bidi="ar-SA"/>
    </w:rPr>
  </w:style>
  <w:style w:type="character" w:customStyle="1" w:styleId="90">
    <w:name w:val="标题 6 Char"/>
    <w:link w:val="9"/>
    <w:qFormat/>
    <w:uiPriority w:val="0"/>
    <w:rPr>
      <w:rFonts w:ascii="Arial" w:hAnsi="Arial" w:eastAsia="黑体"/>
      <w:b/>
      <w:kern w:val="2"/>
      <w:sz w:val="24"/>
      <w:lang w:val="en-US" w:eastAsia="zh-CN" w:bidi="ar-SA"/>
    </w:rPr>
  </w:style>
  <w:style w:type="character" w:customStyle="1" w:styleId="91">
    <w:name w:val="ca-10"/>
    <w:basedOn w:val="47"/>
    <w:qFormat/>
    <w:uiPriority w:val="0"/>
  </w:style>
  <w:style w:type="character" w:customStyle="1" w:styleId="92">
    <w:name w:val="标题 4 Char"/>
    <w:link w:val="7"/>
    <w:qFormat/>
    <w:uiPriority w:val="0"/>
    <w:rPr>
      <w:rFonts w:ascii="Arial" w:hAnsi="Arial" w:eastAsia="黑体"/>
      <w:b/>
      <w:kern w:val="2"/>
      <w:sz w:val="28"/>
      <w:lang w:val="en-US" w:eastAsia="zh-CN" w:bidi="ar-SA"/>
    </w:rPr>
  </w:style>
  <w:style w:type="character" w:customStyle="1" w:styleId="93">
    <w:name w:val="批注文字 Char Char"/>
    <w:qFormat/>
    <w:uiPriority w:val="0"/>
    <w:rPr>
      <w:kern w:val="2"/>
      <w:sz w:val="21"/>
      <w:lang w:bidi="ar-SA"/>
    </w:rPr>
  </w:style>
  <w:style w:type="character" w:customStyle="1" w:styleId="94">
    <w:name w:val="style18"/>
    <w:qFormat/>
    <w:uiPriority w:val="0"/>
  </w:style>
  <w:style w:type="character" w:customStyle="1" w:styleId="95">
    <w:name w:val="font21"/>
    <w:qFormat/>
    <w:uiPriority w:val="0"/>
    <w:rPr>
      <w:rFonts w:hint="default" w:ascii="Arial" w:hAnsi="Arial" w:cs="Arial"/>
      <w:color w:val="000000"/>
      <w:sz w:val="24"/>
      <w:szCs w:val="24"/>
      <w:u w:val="none"/>
    </w:rPr>
  </w:style>
  <w:style w:type="character" w:customStyle="1" w:styleId="96">
    <w:name w:val="ca-11"/>
    <w:basedOn w:val="47"/>
    <w:qFormat/>
    <w:uiPriority w:val="0"/>
  </w:style>
  <w:style w:type="character" w:customStyle="1" w:styleId="97">
    <w:name w:val="标题 8 Char"/>
    <w:link w:val="11"/>
    <w:qFormat/>
    <w:uiPriority w:val="0"/>
    <w:rPr>
      <w:rFonts w:ascii="Arial" w:hAnsi="Arial" w:eastAsia="黑体"/>
      <w:kern w:val="2"/>
      <w:sz w:val="24"/>
      <w:lang w:val="en-US" w:eastAsia="zh-CN" w:bidi="ar-SA"/>
    </w:rPr>
  </w:style>
  <w:style w:type="character" w:customStyle="1" w:styleId="98">
    <w:name w:val="类目1 Char Char"/>
    <w:link w:val="99"/>
    <w:qFormat/>
    <w:uiPriority w:val="0"/>
    <w:rPr>
      <w:b/>
      <w:color w:val="17365D"/>
      <w:kern w:val="2"/>
      <w:sz w:val="28"/>
      <w:szCs w:val="28"/>
      <w:lang w:bidi="ar-SA"/>
    </w:rPr>
  </w:style>
  <w:style w:type="paragraph" w:customStyle="1" w:styleId="99">
    <w:name w:val="类目1"/>
    <w:basedOn w:val="1"/>
    <w:link w:val="98"/>
    <w:qFormat/>
    <w:uiPriority w:val="0"/>
    <w:pPr>
      <w:adjustRightInd w:val="0"/>
      <w:snapToGrid w:val="0"/>
      <w:spacing w:line="220" w:lineRule="atLeast"/>
    </w:pPr>
    <w:rPr>
      <w:b/>
      <w:color w:val="17365D"/>
      <w:sz w:val="28"/>
      <w:szCs w:val="28"/>
    </w:rPr>
  </w:style>
  <w:style w:type="character" w:customStyle="1" w:styleId="100">
    <w:name w:val="正文文本 2 Char"/>
    <w:link w:val="2"/>
    <w:qFormat/>
    <w:uiPriority w:val="0"/>
    <w:rPr>
      <w:rFonts w:ascii="仿宋_GB2312" w:eastAsia="仿宋_GB2312"/>
      <w:kern w:val="2"/>
      <w:sz w:val="32"/>
      <w:szCs w:val="24"/>
      <w:lang w:val="en-US" w:eastAsia="zh-CN" w:bidi="ar-SA"/>
    </w:rPr>
  </w:style>
  <w:style w:type="character" w:customStyle="1" w:styleId="101">
    <w:name w:val="标题 2 Char"/>
    <w:link w:val="4"/>
    <w:qFormat/>
    <w:uiPriority w:val="0"/>
    <w:rPr>
      <w:rFonts w:ascii="黑体" w:hAnsi="宋体" w:eastAsia="黑体"/>
      <w:bCs/>
      <w:kern w:val="44"/>
      <w:sz w:val="21"/>
      <w:szCs w:val="24"/>
    </w:rPr>
  </w:style>
  <w:style w:type="character" w:customStyle="1" w:styleId="102">
    <w:name w:val="lineitems1"/>
    <w:qFormat/>
    <w:uiPriority w:val="0"/>
    <w:rPr>
      <w:sz w:val="17"/>
      <w:szCs w:val="17"/>
    </w:rPr>
  </w:style>
  <w:style w:type="character" w:customStyle="1" w:styleId="103">
    <w:name w:val="题注 Char1"/>
    <w:qFormat/>
    <w:uiPriority w:val="0"/>
    <w:rPr>
      <w:rFonts w:ascii="Arial" w:hAnsi="Arial" w:eastAsia="宋体" w:cs="Arial"/>
      <w:kern w:val="2"/>
      <w:lang w:val="en-US" w:eastAsia="zh-CN" w:bidi="ar-SA"/>
    </w:rPr>
  </w:style>
  <w:style w:type="character" w:customStyle="1" w:styleId="104">
    <w:name w:val="标题 3 Char Char"/>
    <w:qFormat/>
    <w:uiPriority w:val="0"/>
    <w:rPr>
      <w:rFonts w:eastAsia="宋体"/>
      <w:b/>
      <w:bCs/>
      <w:kern w:val="2"/>
      <w:sz w:val="32"/>
      <w:szCs w:val="32"/>
      <w:lang w:val="en-US" w:eastAsia="zh-CN" w:bidi="ar-SA"/>
    </w:rPr>
  </w:style>
  <w:style w:type="character" w:customStyle="1" w:styleId="105">
    <w:name w:val="标题 5 Char"/>
    <w:link w:val="8"/>
    <w:qFormat/>
    <w:uiPriority w:val="0"/>
    <w:rPr>
      <w:rFonts w:eastAsia="宋体"/>
      <w:b/>
      <w:kern w:val="2"/>
      <w:sz w:val="28"/>
      <w:lang w:val="en-US" w:eastAsia="zh-CN" w:bidi="ar-SA"/>
    </w:rPr>
  </w:style>
  <w:style w:type="character" w:customStyle="1" w:styleId="106">
    <w:name w:val="p12"/>
    <w:basedOn w:val="47"/>
    <w:qFormat/>
    <w:uiPriority w:val="0"/>
  </w:style>
  <w:style w:type="character" w:customStyle="1" w:styleId="107">
    <w:name w:val="正文缩进 Char2"/>
    <w:link w:val="108"/>
    <w:qFormat/>
    <w:uiPriority w:val="0"/>
    <w:rPr>
      <w:rFonts w:ascii="宋体" w:eastAsia="宋体"/>
      <w:sz w:val="34"/>
      <w:lang w:bidi="ar-SA"/>
    </w:rPr>
  </w:style>
  <w:style w:type="paragraph" w:customStyle="1" w:styleId="108">
    <w:name w:val="Normal Indent1"/>
    <w:basedOn w:val="1"/>
    <w:link w:val="107"/>
    <w:qFormat/>
    <w:uiPriority w:val="0"/>
    <w:pPr>
      <w:autoSpaceDE w:val="0"/>
      <w:autoSpaceDN w:val="0"/>
      <w:adjustRightInd w:val="0"/>
      <w:ind w:firstLine="420"/>
      <w:jc w:val="left"/>
      <w:textAlignment w:val="baseline"/>
    </w:pPr>
    <w:rPr>
      <w:rFonts w:ascii="宋体"/>
      <w:kern w:val="0"/>
      <w:sz w:val="34"/>
      <w:szCs w:val="20"/>
    </w:rPr>
  </w:style>
  <w:style w:type="character" w:customStyle="1" w:styleId="109">
    <w:name w:val="标题 9 Char Char"/>
    <w:qFormat/>
    <w:uiPriority w:val="0"/>
    <w:rPr>
      <w:rFonts w:ascii="Arial" w:hAnsi="Arial" w:eastAsia="黑体"/>
      <w:kern w:val="2"/>
      <w:sz w:val="21"/>
      <w:szCs w:val="21"/>
      <w:lang w:val="en-US" w:eastAsia="zh-CN" w:bidi="ar-SA"/>
    </w:rPr>
  </w:style>
  <w:style w:type="character" w:customStyle="1" w:styleId="110">
    <w:name w:val="标题 7 Char"/>
    <w:link w:val="10"/>
    <w:qFormat/>
    <w:uiPriority w:val="0"/>
    <w:rPr>
      <w:rFonts w:eastAsia="宋体"/>
      <w:b/>
      <w:kern w:val="2"/>
      <w:sz w:val="24"/>
      <w:lang w:val="en-US" w:eastAsia="zh-CN" w:bidi="ar-SA"/>
    </w:rPr>
  </w:style>
  <w:style w:type="character" w:customStyle="1" w:styleId="111">
    <w:name w:val="flname7"/>
    <w:basedOn w:val="47"/>
    <w:qFormat/>
    <w:uiPriority w:val="0"/>
  </w:style>
  <w:style w:type="character" w:customStyle="1" w:styleId="112">
    <w:name w:val="正文缩进 Char"/>
    <w:link w:val="5"/>
    <w:qFormat/>
    <w:uiPriority w:val="0"/>
    <w:rPr>
      <w:rFonts w:ascii="宋体" w:eastAsia="宋体"/>
      <w:sz w:val="34"/>
      <w:lang w:val="en-US" w:eastAsia="zh-CN" w:bidi="ar-SA"/>
    </w:rPr>
  </w:style>
  <w:style w:type="character" w:customStyle="1" w:styleId="113">
    <w:name w:val="样式5 Char Char"/>
    <w:link w:val="114"/>
    <w:qFormat/>
    <w:uiPriority w:val="0"/>
    <w:rPr>
      <w:rFonts w:ascii="宋体" w:hAnsi="宋体" w:eastAsia="宋体" w:cs="Arial"/>
      <w:b/>
      <w:kern w:val="2"/>
      <w:sz w:val="24"/>
      <w:szCs w:val="24"/>
      <w:lang w:val="en-US" w:eastAsia="zh-CN" w:bidi="ar-SA"/>
    </w:rPr>
  </w:style>
  <w:style w:type="paragraph" w:customStyle="1" w:styleId="114">
    <w:name w:val="样式5"/>
    <w:basedOn w:val="1"/>
    <w:link w:val="113"/>
    <w:qFormat/>
    <w:uiPriority w:val="0"/>
    <w:pPr>
      <w:spacing w:line="400" w:lineRule="exact"/>
      <w:ind w:left="482"/>
    </w:pPr>
    <w:rPr>
      <w:rFonts w:ascii="宋体" w:hAnsi="宋体" w:cs="Arial"/>
      <w:b/>
      <w:sz w:val="24"/>
    </w:rPr>
  </w:style>
  <w:style w:type="character" w:customStyle="1" w:styleId="115">
    <w:name w:val="text1"/>
    <w:qFormat/>
    <w:uiPriority w:val="0"/>
    <w:rPr>
      <w:sz w:val="20"/>
      <w:szCs w:val="20"/>
    </w:rPr>
  </w:style>
  <w:style w:type="character" w:customStyle="1" w:styleId="116">
    <w:name w:val="样式2"/>
    <w:qFormat/>
    <w:uiPriority w:val="0"/>
    <w:rPr>
      <w:rFonts w:eastAsia="华文楷体"/>
      <w:b/>
      <w:sz w:val="32"/>
    </w:rPr>
  </w:style>
  <w:style w:type="character" w:customStyle="1" w:styleId="117">
    <w:name w:val="页眉 Char Char"/>
    <w:qFormat/>
    <w:uiPriority w:val="0"/>
    <w:rPr>
      <w:rFonts w:eastAsia="宋体"/>
      <w:sz w:val="18"/>
      <w:szCs w:val="18"/>
      <w:lang w:bidi="ar-SA"/>
    </w:rPr>
  </w:style>
  <w:style w:type="character" w:customStyle="1" w:styleId="118">
    <w:name w:val="标题 3 Char"/>
    <w:link w:val="6"/>
    <w:qFormat/>
    <w:uiPriority w:val="0"/>
    <w:rPr>
      <w:rFonts w:ascii="黑体" w:eastAsia="黑体"/>
      <w:bCs/>
      <w:color w:val="000000"/>
      <w:kern w:val="2"/>
      <w:sz w:val="21"/>
      <w:szCs w:val="24"/>
    </w:rPr>
  </w:style>
  <w:style w:type="character" w:customStyle="1" w:styleId="119">
    <w:name w:val="书籍标题3 Char1"/>
    <w:link w:val="120"/>
    <w:qFormat/>
    <w:uiPriority w:val="0"/>
    <w:rPr>
      <w:b/>
      <w:bCs/>
      <w:spacing w:val="20"/>
      <w:kern w:val="2"/>
      <w:sz w:val="28"/>
      <w:szCs w:val="28"/>
    </w:rPr>
  </w:style>
  <w:style w:type="paragraph" w:customStyle="1" w:styleId="120">
    <w:name w:val="书籍标题3"/>
    <w:basedOn w:val="121"/>
    <w:link w:val="119"/>
    <w:qFormat/>
    <w:uiPriority w:val="0"/>
    <w:pPr>
      <w:numPr>
        <w:ilvl w:val="2"/>
      </w:numPr>
      <w:tabs>
        <w:tab w:val="left" w:pos="840"/>
      </w:tabs>
      <w:outlineLvl w:val="2"/>
    </w:pPr>
    <w:rPr>
      <w:rFonts w:cs="Times New Roman"/>
      <w:sz w:val="28"/>
      <w:szCs w:val="28"/>
    </w:rPr>
  </w:style>
  <w:style w:type="paragraph" w:customStyle="1" w:styleId="121">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2">
    <w:name w:val="正文文本缩进 Char"/>
    <w:link w:val="19"/>
    <w:qFormat/>
    <w:uiPriority w:val="0"/>
    <w:rPr>
      <w:rFonts w:ascii="仿宋_GB2312" w:eastAsia="仿宋_GB2312"/>
      <w:sz w:val="28"/>
      <w:lang w:val="en-US" w:eastAsia="zh-CN" w:bidi="ar-SA"/>
    </w:rPr>
  </w:style>
  <w:style w:type="character" w:customStyle="1" w:styleId="123">
    <w:name w:val="页眉 Char"/>
    <w:link w:val="30"/>
    <w:qFormat/>
    <w:uiPriority w:val="99"/>
    <w:rPr>
      <w:rFonts w:eastAsia="宋体"/>
      <w:kern w:val="2"/>
      <w:sz w:val="18"/>
      <w:lang w:val="en-US" w:eastAsia="zh-CN" w:bidi="ar-SA"/>
    </w:rPr>
  </w:style>
  <w:style w:type="character" w:customStyle="1" w:styleId="124">
    <w:name w:val="标题 Char"/>
    <w:link w:val="43"/>
    <w:qFormat/>
    <w:uiPriority w:val="0"/>
    <w:rPr>
      <w:rFonts w:ascii="Cambria" w:hAnsi="Cambria"/>
      <w:b/>
      <w:bCs/>
      <w:kern w:val="2"/>
      <w:sz w:val="32"/>
      <w:szCs w:val="32"/>
    </w:rPr>
  </w:style>
  <w:style w:type="character" w:customStyle="1" w:styleId="125">
    <w:name w:val="标题 8 Char Char"/>
    <w:qFormat/>
    <w:uiPriority w:val="0"/>
    <w:rPr>
      <w:rFonts w:ascii="Arial" w:hAnsi="Arial" w:eastAsia="黑体"/>
      <w:kern w:val="2"/>
      <w:sz w:val="24"/>
      <w:szCs w:val="24"/>
      <w:lang w:val="en-US" w:eastAsia="zh-CN" w:bidi="ar-SA"/>
    </w:rPr>
  </w:style>
  <w:style w:type="character" w:customStyle="1" w:styleId="126">
    <w:name w:val="正文文本缩进 2 Char Char"/>
    <w:qFormat/>
    <w:uiPriority w:val="0"/>
    <w:rPr>
      <w:rFonts w:eastAsia="仿宋_GB2312"/>
      <w:sz w:val="30"/>
      <w:lang w:bidi="ar-SA"/>
    </w:rPr>
  </w:style>
  <w:style w:type="character" w:customStyle="1" w:styleId="127">
    <w:name w:val="标题 7 Char Char"/>
    <w:qFormat/>
    <w:uiPriority w:val="0"/>
    <w:rPr>
      <w:rFonts w:eastAsia="宋体"/>
      <w:b/>
      <w:bCs/>
      <w:kern w:val="2"/>
      <w:sz w:val="24"/>
      <w:szCs w:val="24"/>
      <w:lang w:val="en-US" w:eastAsia="zh-CN" w:bidi="ar-SA"/>
    </w:rPr>
  </w:style>
  <w:style w:type="character" w:customStyle="1" w:styleId="128">
    <w:name w:val="HTML 地址 Char"/>
    <w:link w:val="21"/>
    <w:qFormat/>
    <w:uiPriority w:val="0"/>
    <w:rPr>
      <w:i/>
      <w:kern w:val="2"/>
      <w:sz w:val="21"/>
      <w:szCs w:val="24"/>
    </w:rPr>
  </w:style>
  <w:style w:type="character" w:customStyle="1" w:styleId="129">
    <w:name w:val="标题 1 Char"/>
    <w:link w:val="3"/>
    <w:qFormat/>
    <w:uiPriority w:val="0"/>
    <w:rPr>
      <w:rFonts w:ascii="黑体" w:eastAsia="黑体"/>
      <w:bCs/>
      <w:kern w:val="44"/>
      <w:sz w:val="24"/>
      <w:szCs w:val="24"/>
    </w:rPr>
  </w:style>
  <w:style w:type="character" w:customStyle="1" w:styleId="130">
    <w:name w:val="批注文字 Char"/>
    <w:link w:val="17"/>
    <w:qFormat/>
    <w:uiPriority w:val="0"/>
    <w:rPr>
      <w:kern w:val="2"/>
      <w:sz w:val="24"/>
      <w:szCs w:val="24"/>
    </w:rPr>
  </w:style>
  <w:style w:type="character" w:customStyle="1" w:styleId="131">
    <w:name w:val="页脚 Char"/>
    <w:link w:val="29"/>
    <w:qFormat/>
    <w:uiPriority w:val="0"/>
    <w:rPr>
      <w:rFonts w:eastAsia="宋体"/>
      <w:kern w:val="2"/>
      <w:sz w:val="18"/>
      <w:lang w:val="en-US" w:eastAsia="zh-CN" w:bidi="ar-SA"/>
    </w:rPr>
  </w:style>
  <w:style w:type="character" w:customStyle="1" w:styleId="132">
    <w:name w:val="正文首行缩进 Char"/>
    <w:link w:val="44"/>
    <w:qFormat/>
    <w:uiPriority w:val="0"/>
    <w:rPr>
      <w:rFonts w:ascii="Calibri" w:hAnsi="Calibri" w:eastAsia="宋体"/>
      <w:kern w:val="2"/>
      <w:sz w:val="21"/>
      <w:szCs w:val="22"/>
      <w:lang w:val="en-US" w:eastAsia="zh-CN" w:bidi="ar-SA"/>
    </w:rPr>
  </w:style>
  <w:style w:type="character" w:customStyle="1" w:styleId="133">
    <w:name w:val="纯文本 Char Char"/>
    <w:qFormat/>
    <w:uiPriority w:val="0"/>
    <w:rPr>
      <w:rFonts w:ascii="宋体" w:hAnsi="Courier New"/>
      <w:kern w:val="2"/>
      <w:sz w:val="21"/>
      <w:lang w:bidi="ar-SA"/>
    </w:rPr>
  </w:style>
  <w:style w:type="character" w:customStyle="1" w:styleId="134">
    <w:name w:val="HTML 预设格式 Char"/>
    <w:link w:val="40"/>
    <w:qFormat/>
    <w:uiPriority w:val="0"/>
    <w:rPr>
      <w:rFonts w:ascii="黑体" w:hAnsi="Courier New" w:eastAsia="黑体" w:cs="Courier New"/>
      <w:kern w:val="2"/>
      <w:sz w:val="21"/>
      <w:szCs w:val="24"/>
      <w:lang w:val="en-US" w:eastAsia="zh-CN" w:bidi="ar-SA"/>
    </w:rPr>
  </w:style>
  <w:style w:type="character" w:customStyle="1" w:styleId="135">
    <w:name w:val="标题 6 Char Char"/>
    <w:qFormat/>
    <w:uiPriority w:val="0"/>
    <w:rPr>
      <w:rFonts w:ascii="Arial" w:hAnsi="Arial" w:eastAsia="黑体"/>
      <w:b/>
      <w:bCs/>
      <w:kern w:val="2"/>
      <w:sz w:val="24"/>
      <w:szCs w:val="24"/>
      <w:lang w:val="en-US" w:eastAsia="zh-CN" w:bidi="ar-SA"/>
    </w:rPr>
  </w:style>
  <w:style w:type="character" w:customStyle="1" w:styleId="136">
    <w:name w:val="细目1 Char Char"/>
    <w:link w:val="137"/>
    <w:qFormat/>
    <w:uiPriority w:val="0"/>
    <w:rPr>
      <w:b/>
      <w:color w:val="215868"/>
      <w:kern w:val="2"/>
      <w:sz w:val="24"/>
      <w:szCs w:val="24"/>
    </w:rPr>
  </w:style>
  <w:style w:type="paragraph" w:customStyle="1" w:styleId="137">
    <w:name w:val="细目1"/>
    <w:basedOn w:val="1"/>
    <w:link w:val="136"/>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8">
    <w:name w:val="Char Char9"/>
    <w:qFormat/>
    <w:uiPriority w:val="0"/>
    <w:rPr>
      <w:rFonts w:ascii="宋体" w:hAnsi="Courier New" w:eastAsia="宋体"/>
      <w:kern w:val="2"/>
      <w:sz w:val="21"/>
      <w:lang w:val="en-US" w:eastAsia="zh-CN" w:bidi="ar-SA"/>
    </w:rPr>
  </w:style>
  <w:style w:type="character" w:customStyle="1" w:styleId="139">
    <w:name w:val="apple-converted-space"/>
    <w:qFormat/>
    <w:uiPriority w:val="0"/>
    <w:rPr>
      <w:rFonts w:cs="Times New Roman"/>
    </w:rPr>
  </w:style>
  <w:style w:type="paragraph" w:customStyle="1" w:styleId="14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4">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5">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6">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7">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8">
    <w:name w:val="默认段落字体 Para Char Char Char Char Char Char Char Char Char Char"/>
    <w:basedOn w:val="1"/>
    <w:qFormat/>
    <w:uiPriority w:val="0"/>
    <w:rPr>
      <w:rFonts w:ascii="Tahoma" w:hAnsi="Tahoma"/>
      <w:sz w:val="24"/>
      <w:szCs w:val="20"/>
    </w:rPr>
  </w:style>
  <w:style w:type="paragraph" w:customStyle="1" w:styleId="14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0">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1">
    <w:name w:val="字元 字元"/>
    <w:basedOn w:val="1"/>
    <w:qFormat/>
    <w:uiPriority w:val="0"/>
    <w:pPr>
      <w:spacing w:line="360" w:lineRule="auto"/>
      <w:ind w:firstLine="200" w:firstLineChars="200"/>
    </w:pPr>
    <w:rPr>
      <w:rFonts w:ascii="宋体" w:hAnsi="宋体" w:cs="宋体"/>
      <w:sz w:val="24"/>
    </w:rPr>
  </w:style>
  <w:style w:type="paragraph" w:customStyle="1" w:styleId="15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3">
    <w:name w:val="正文序号 4"/>
    <w:basedOn w:val="1"/>
    <w:qFormat/>
    <w:uiPriority w:val="0"/>
    <w:pPr>
      <w:numPr>
        <w:ilvl w:val="3"/>
        <w:numId w:val="7"/>
      </w:numPr>
      <w:tabs>
        <w:tab w:val="left" w:pos="1469"/>
      </w:tabs>
      <w:spacing w:before="60"/>
    </w:pPr>
  </w:style>
  <w:style w:type="paragraph" w:customStyle="1" w:styleId="154">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5">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6">
    <w:name w:val="Char3"/>
    <w:basedOn w:val="1"/>
    <w:qFormat/>
    <w:uiPriority w:val="0"/>
  </w:style>
  <w:style w:type="paragraph" w:customStyle="1" w:styleId="157">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8">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Char28"/>
    <w:basedOn w:val="1"/>
    <w:qFormat/>
    <w:uiPriority w:val="0"/>
    <w:pPr>
      <w:adjustRightInd w:val="0"/>
      <w:spacing w:line="360" w:lineRule="auto"/>
    </w:pPr>
  </w:style>
  <w:style w:type="paragraph" w:customStyle="1" w:styleId="160">
    <w:name w:val="pa-14"/>
    <w:basedOn w:val="1"/>
    <w:qFormat/>
    <w:uiPriority w:val="0"/>
    <w:pPr>
      <w:widowControl/>
      <w:spacing w:before="150" w:after="150"/>
      <w:jc w:val="left"/>
    </w:pPr>
    <w:rPr>
      <w:rFonts w:ascii="宋体" w:hAnsi="宋体" w:cs="宋体"/>
      <w:kern w:val="0"/>
      <w:sz w:val="24"/>
    </w:rPr>
  </w:style>
  <w:style w:type="paragraph" w:customStyle="1" w:styleId="161">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2">
    <w:name w:val="Item List in Table"/>
    <w:basedOn w:val="1"/>
    <w:qFormat/>
    <w:uiPriority w:val="0"/>
    <w:pPr>
      <w:numPr>
        <w:ilvl w:val="0"/>
        <w:numId w:val="8"/>
      </w:numPr>
      <w:jc w:val="left"/>
    </w:pPr>
  </w:style>
  <w:style w:type="paragraph" w:customStyle="1" w:styleId="16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5">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6">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7">
    <w:name w:val="默认段落字体 Para Char"/>
    <w:basedOn w:val="1"/>
    <w:qFormat/>
    <w:uiPriority w:val="0"/>
    <w:rPr>
      <w:rFonts w:ascii="Tahoma" w:hAnsi="Tahoma"/>
      <w:sz w:val="24"/>
      <w:szCs w:val="20"/>
    </w:rPr>
  </w:style>
  <w:style w:type="paragraph" w:customStyle="1" w:styleId="168">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69">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0">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1">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4">
    <w:name w:val="p0"/>
    <w:basedOn w:val="1"/>
    <w:qFormat/>
    <w:uiPriority w:val="0"/>
    <w:pPr>
      <w:widowControl/>
    </w:pPr>
    <w:rPr>
      <w:kern w:val="0"/>
      <w:szCs w:val="21"/>
    </w:rPr>
  </w:style>
  <w:style w:type="paragraph" w:customStyle="1" w:styleId="175">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6">
    <w:name w:val="默认段落字体 Para Char Char Char1 Char"/>
    <w:basedOn w:val="45"/>
    <w:qFormat/>
    <w:uiPriority w:val="0"/>
  </w:style>
  <w:style w:type="paragraph" w:customStyle="1" w:styleId="177">
    <w:name w:val="Char1"/>
    <w:basedOn w:val="1"/>
    <w:qFormat/>
    <w:uiPriority w:val="0"/>
    <w:pPr>
      <w:widowControl/>
      <w:spacing w:line="400" w:lineRule="exact"/>
      <w:jc w:val="center"/>
    </w:pPr>
    <w:rPr>
      <w:rFonts w:ascii="Verdana" w:hAnsi="Verdana"/>
      <w:kern w:val="0"/>
      <w:szCs w:val="20"/>
      <w:lang w:eastAsia="en-US"/>
    </w:rPr>
  </w:style>
  <w:style w:type="paragraph" w:customStyle="1" w:styleId="178">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79">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2">
    <w:name w:val="列出段落1"/>
    <w:basedOn w:val="1"/>
    <w:qFormat/>
    <w:uiPriority w:val="0"/>
    <w:pPr>
      <w:ind w:firstLine="200" w:firstLineChars="200"/>
    </w:pPr>
    <w:rPr>
      <w:rFonts w:ascii="Calibri" w:hAnsi="Calibri"/>
      <w:szCs w:val="22"/>
    </w:rPr>
  </w:style>
  <w:style w:type="paragraph" w:customStyle="1" w:styleId="183">
    <w:name w:val="缺省文本"/>
    <w:basedOn w:val="1"/>
    <w:qFormat/>
    <w:uiPriority w:val="0"/>
    <w:pPr>
      <w:autoSpaceDE w:val="0"/>
      <w:autoSpaceDN w:val="0"/>
      <w:adjustRightInd w:val="0"/>
      <w:jc w:val="left"/>
    </w:pPr>
    <w:rPr>
      <w:kern w:val="0"/>
      <w:sz w:val="24"/>
    </w:rPr>
  </w:style>
  <w:style w:type="paragraph" w:customStyle="1" w:styleId="184">
    <w:name w:val="Char Char Char Char Char Char Char Char Char"/>
    <w:basedOn w:val="1"/>
    <w:qFormat/>
    <w:uiPriority w:val="0"/>
    <w:rPr>
      <w:sz w:val="28"/>
    </w:rPr>
  </w:style>
  <w:style w:type="paragraph" w:customStyle="1" w:styleId="185">
    <w:name w:val="书籍标题4"/>
    <w:basedOn w:val="120"/>
    <w:next w:val="1"/>
    <w:qFormat/>
    <w:uiPriority w:val="0"/>
    <w:pPr>
      <w:numPr>
        <w:ilvl w:val="3"/>
      </w:numPr>
      <w:tabs>
        <w:tab w:val="left" w:pos="2160"/>
      </w:tabs>
      <w:ind w:left="2160"/>
      <w:outlineLvl w:val="3"/>
    </w:pPr>
    <w:rPr>
      <w:sz w:val="24"/>
      <w:szCs w:val="24"/>
      <w:lang w:val="zh-CN"/>
    </w:rPr>
  </w:style>
  <w:style w:type="paragraph" w:customStyle="1" w:styleId="186">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7">
    <w:name w:val="样式 书籍标题3 + Arial 段前: 1 行 段后: 1 行"/>
    <w:basedOn w:val="120"/>
    <w:qFormat/>
    <w:uiPriority w:val="0"/>
    <w:pPr>
      <w:numPr>
        <w:ilvl w:val="1"/>
        <w:numId w:val="9"/>
      </w:numPr>
      <w:spacing w:beforeLines="0" w:afterLines="0"/>
    </w:pPr>
    <w:rPr>
      <w:rFonts w:ascii="Arial" w:hAnsi="Arial" w:cs="宋体"/>
      <w:b w:val="0"/>
      <w:bCs w:val="0"/>
    </w:rPr>
  </w:style>
  <w:style w:type="paragraph" w:customStyle="1" w:styleId="18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9">
    <w:name w:val="Char Char Char Char Char Char"/>
    <w:basedOn w:val="1"/>
    <w:qFormat/>
    <w:uiPriority w:val="0"/>
    <w:pPr>
      <w:widowControl/>
      <w:spacing w:after="160" w:line="240" w:lineRule="exact"/>
      <w:jc w:val="left"/>
    </w:pPr>
    <w:rPr>
      <w:sz w:val="32"/>
      <w:szCs w:val="20"/>
    </w:rPr>
  </w:style>
  <w:style w:type="paragraph" w:customStyle="1" w:styleId="190">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1">
    <w:name w:val="List Paragraph"/>
    <w:basedOn w:val="1"/>
    <w:qFormat/>
    <w:uiPriority w:val="0"/>
    <w:pPr>
      <w:ind w:firstLine="420" w:firstLineChars="200"/>
    </w:pPr>
  </w:style>
  <w:style w:type="paragraph" w:customStyle="1" w:styleId="192">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3">
    <w:name w:val="Char1 Char Char Char"/>
    <w:basedOn w:val="1"/>
    <w:qFormat/>
    <w:uiPriority w:val="0"/>
    <w:pPr>
      <w:ind w:left="1365" w:hanging="360"/>
    </w:pPr>
    <w:rPr>
      <w:sz w:val="24"/>
    </w:rPr>
  </w:style>
  <w:style w:type="paragraph" w:customStyle="1" w:styleId="194">
    <w:name w:val="MM Topic 6"/>
    <w:basedOn w:val="9"/>
    <w:qFormat/>
    <w:uiPriority w:val="0"/>
    <w:pPr>
      <w:numPr>
        <w:ilvl w:val="5"/>
        <w:numId w:val="10"/>
      </w:numPr>
      <w:tabs>
        <w:tab w:val="left" w:pos="425"/>
        <w:tab w:val="clear" w:pos="3260"/>
      </w:tabs>
      <w:spacing w:line="319" w:lineRule="auto"/>
    </w:pPr>
    <w:rPr>
      <w:bCs/>
      <w:szCs w:val="24"/>
    </w:rPr>
  </w:style>
  <w:style w:type="paragraph" w:customStyle="1" w:styleId="19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8">
    <w:name w:val="样式 标题 4Alt+41.1.1.1 Heading 4bulletblbbH44h4H41h41H42... Char"/>
    <w:basedOn w:val="7"/>
    <w:qFormat/>
    <w:uiPriority w:val="0"/>
    <w:pPr>
      <w:tabs>
        <w:tab w:val="left" w:pos="1914"/>
      </w:tabs>
      <w:spacing w:before="120" w:after="120"/>
      <w:ind w:left="1914" w:hanging="864"/>
    </w:pPr>
    <w:rPr>
      <w:rFonts w:ascii="宋体" w:hAnsi="宋体"/>
      <w:bCs/>
      <w:color w:val="000000"/>
      <w:szCs w:val="28"/>
    </w:rPr>
  </w:style>
  <w:style w:type="paragraph" w:customStyle="1" w:styleId="19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0">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4">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5">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7">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8">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09">
    <w:name w:val="pa-13"/>
    <w:basedOn w:val="1"/>
    <w:qFormat/>
    <w:uiPriority w:val="0"/>
    <w:pPr>
      <w:widowControl/>
      <w:spacing w:before="150" w:after="150"/>
      <w:jc w:val="left"/>
    </w:pPr>
    <w:rPr>
      <w:rFonts w:ascii="宋体" w:hAnsi="宋体" w:cs="宋体"/>
      <w:kern w:val="0"/>
      <w:sz w:val="24"/>
    </w:rPr>
  </w:style>
  <w:style w:type="paragraph" w:customStyle="1" w:styleId="21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1">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2">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3">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7">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8">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9">
    <w:name w:val="样式 标题 3"/>
    <w:basedOn w:val="6"/>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2">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4">
    <w:name w:val="Char1 Char Char Char1"/>
    <w:basedOn w:val="1"/>
    <w:qFormat/>
    <w:uiPriority w:val="0"/>
    <w:pPr>
      <w:tabs>
        <w:tab w:val="left" w:pos="425"/>
      </w:tabs>
      <w:ind w:left="425" w:hanging="425"/>
    </w:pPr>
    <w:rPr>
      <w:sz w:val="24"/>
    </w:rPr>
  </w:style>
  <w:style w:type="paragraph" w:customStyle="1" w:styleId="22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6">
    <w:name w:val="Char"/>
    <w:basedOn w:val="1"/>
    <w:qFormat/>
    <w:uiPriority w:val="0"/>
    <w:pPr>
      <w:tabs>
        <w:tab w:val="left" w:pos="1365"/>
      </w:tabs>
      <w:ind w:left="1365" w:hanging="360"/>
    </w:pPr>
    <w:rPr>
      <w:sz w:val="24"/>
    </w:rPr>
  </w:style>
  <w:style w:type="paragraph" w:customStyle="1" w:styleId="227">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8">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2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0">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2">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3">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4">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5">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7">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8">
    <w:name w:val="Char Char Char Char Char Char Char Char Char1"/>
    <w:basedOn w:val="1"/>
    <w:qFormat/>
    <w:uiPriority w:val="0"/>
    <w:pPr>
      <w:widowControl/>
      <w:spacing w:after="160" w:line="240" w:lineRule="exact"/>
      <w:jc w:val="left"/>
    </w:pPr>
  </w:style>
  <w:style w:type="paragraph" w:customStyle="1" w:styleId="239">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2">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4">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7">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49">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1">
    <w:name w:val="font6"/>
    <w:basedOn w:val="1"/>
    <w:qFormat/>
    <w:uiPriority w:val="0"/>
    <w:pPr>
      <w:widowControl/>
      <w:spacing w:before="100" w:beforeAutospacing="1" w:after="100" w:afterAutospacing="1"/>
      <w:jc w:val="left"/>
    </w:pPr>
    <w:rPr>
      <w:kern w:val="0"/>
      <w:sz w:val="24"/>
    </w:rPr>
  </w:style>
  <w:style w:type="paragraph" w:customStyle="1" w:styleId="252">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3">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4">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5">
    <w:name w:val="样式 首行缩进:  0.85 厘米"/>
    <w:basedOn w:val="1"/>
    <w:qFormat/>
    <w:uiPriority w:val="0"/>
    <w:pPr>
      <w:spacing w:line="360" w:lineRule="auto"/>
      <w:ind w:firstLine="200" w:firstLineChars="200"/>
    </w:pPr>
    <w:rPr>
      <w:rFonts w:cs="宋体"/>
      <w:sz w:val="24"/>
      <w:szCs w:val="20"/>
    </w:rPr>
  </w:style>
  <w:style w:type="paragraph" w:customStyle="1" w:styleId="256">
    <w:name w:val="列举"/>
    <w:basedOn w:val="1"/>
    <w:qFormat/>
    <w:uiPriority w:val="0"/>
    <w:pPr>
      <w:numPr>
        <w:ilvl w:val="0"/>
        <w:numId w:val="15"/>
      </w:numPr>
      <w:spacing w:line="360" w:lineRule="auto"/>
    </w:pPr>
    <w:rPr>
      <w:rFonts w:ascii="宋体"/>
    </w:rPr>
  </w:style>
  <w:style w:type="paragraph" w:customStyle="1" w:styleId="257">
    <w:name w:val="正文1"/>
    <w:basedOn w:val="1"/>
    <w:qFormat/>
    <w:uiPriority w:val="0"/>
    <w:pPr>
      <w:spacing w:line="360" w:lineRule="auto"/>
    </w:pPr>
    <w:rPr>
      <w:rFonts w:ascii="宋体" w:hAnsi="宋体"/>
      <w:sz w:val="24"/>
    </w:rPr>
  </w:style>
  <w:style w:type="paragraph" w:customStyle="1" w:styleId="258">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59">
    <w:name w:val="正文缩进2字符"/>
    <w:basedOn w:val="44"/>
    <w:qFormat/>
    <w:uiPriority w:val="0"/>
    <w:pPr>
      <w:spacing w:after="0" w:line="360" w:lineRule="auto"/>
      <w:ind w:firstLine="200" w:firstLineChars="200"/>
    </w:pPr>
    <w:rPr>
      <w:sz w:val="24"/>
      <w:szCs w:val="24"/>
    </w:rPr>
  </w:style>
  <w:style w:type="paragraph" w:customStyle="1" w:styleId="260">
    <w:name w:val="font8"/>
    <w:basedOn w:val="1"/>
    <w:qFormat/>
    <w:uiPriority w:val="0"/>
    <w:pPr>
      <w:widowControl/>
      <w:spacing w:before="100" w:beforeAutospacing="1" w:after="100" w:afterAutospacing="1"/>
      <w:jc w:val="left"/>
    </w:pPr>
    <w:rPr>
      <w:kern w:val="0"/>
      <w:sz w:val="20"/>
      <w:szCs w:val="20"/>
    </w:rPr>
  </w:style>
  <w:style w:type="paragraph" w:customStyle="1" w:styleId="261">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2">
    <w:name w:val="pa-3"/>
    <w:basedOn w:val="1"/>
    <w:qFormat/>
    <w:uiPriority w:val="0"/>
    <w:pPr>
      <w:widowControl/>
      <w:spacing w:before="150" w:after="150"/>
      <w:jc w:val="left"/>
    </w:pPr>
    <w:rPr>
      <w:rFonts w:ascii="宋体" w:hAnsi="宋体" w:cs="宋体"/>
      <w:kern w:val="0"/>
      <w:sz w:val="24"/>
    </w:rPr>
  </w:style>
  <w:style w:type="paragraph" w:customStyle="1" w:styleId="263">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4">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5">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列表数字1"/>
    <w:next w:val="44"/>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7">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8">
    <w:name w:val="加点标题"/>
    <w:basedOn w:val="1"/>
    <w:qFormat/>
    <w:uiPriority w:val="0"/>
    <w:pPr>
      <w:numPr>
        <w:ilvl w:val="0"/>
        <w:numId w:val="18"/>
      </w:numPr>
      <w:spacing w:line="360" w:lineRule="auto"/>
    </w:pPr>
    <w:rPr>
      <w:sz w:val="24"/>
    </w:rPr>
  </w:style>
  <w:style w:type="paragraph" w:customStyle="1" w:styleId="269">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1">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2">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3">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5">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7">
    <w:name w:val="MM Topic 3"/>
    <w:basedOn w:val="6"/>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8">
    <w:name w:val="列出段落2"/>
    <w:basedOn w:val="1"/>
    <w:qFormat/>
    <w:uiPriority w:val="0"/>
    <w:pPr>
      <w:ind w:firstLine="420" w:firstLineChars="200"/>
    </w:pPr>
  </w:style>
  <w:style w:type="paragraph" w:customStyle="1" w:styleId="279">
    <w:name w:val="font15"/>
    <w:basedOn w:val="1"/>
    <w:qFormat/>
    <w:uiPriority w:val="0"/>
    <w:pPr>
      <w:widowControl/>
      <w:spacing w:before="100" w:beforeAutospacing="1" w:after="100" w:afterAutospacing="1"/>
      <w:jc w:val="left"/>
    </w:pPr>
    <w:rPr>
      <w:kern w:val="0"/>
      <w:sz w:val="20"/>
      <w:szCs w:val="20"/>
    </w:rPr>
  </w:style>
  <w:style w:type="paragraph" w:customStyle="1" w:styleId="280">
    <w:name w:val="pa-15"/>
    <w:basedOn w:val="1"/>
    <w:qFormat/>
    <w:uiPriority w:val="0"/>
    <w:pPr>
      <w:widowControl/>
      <w:spacing w:before="150" w:after="150"/>
      <w:jc w:val="left"/>
    </w:pPr>
    <w:rPr>
      <w:rFonts w:ascii="宋体" w:hAnsi="宋体" w:cs="宋体"/>
      <w:kern w:val="0"/>
      <w:sz w:val="24"/>
    </w:rPr>
  </w:style>
  <w:style w:type="paragraph" w:customStyle="1" w:styleId="281">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3">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4">
    <w:name w:val="Char Char3 Char Char"/>
    <w:basedOn w:val="1"/>
    <w:qFormat/>
    <w:uiPriority w:val="0"/>
    <w:pPr>
      <w:spacing w:line="360" w:lineRule="auto"/>
      <w:ind w:firstLine="200" w:firstLineChars="200"/>
    </w:pPr>
    <w:rPr>
      <w:rFonts w:ascii="宋体" w:hAnsi="宋体" w:cs="宋体"/>
      <w:sz w:val="24"/>
    </w:rPr>
  </w:style>
  <w:style w:type="paragraph" w:customStyle="1" w:styleId="285">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6">
    <w:name w:val="正文序号 2"/>
    <w:basedOn w:val="1"/>
    <w:qFormat/>
    <w:uiPriority w:val="0"/>
    <w:pPr>
      <w:numPr>
        <w:ilvl w:val="1"/>
        <w:numId w:val="7"/>
      </w:numPr>
      <w:tabs>
        <w:tab w:val="left" w:pos="1049"/>
      </w:tabs>
      <w:spacing w:before="60"/>
    </w:pPr>
  </w:style>
  <w:style w:type="paragraph" w:customStyle="1" w:styleId="287">
    <w:name w:val="样式 样式 标题 4Alt+41.1.1.1 Heading 4bulletblbbH44h4H41h41H42... + 自动..."/>
    <w:basedOn w:val="198"/>
    <w:qFormat/>
    <w:uiPriority w:val="0"/>
    <w:pPr>
      <w:numPr>
        <w:ilvl w:val="3"/>
        <w:numId w:val="20"/>
      </w:numPr>
      <w:tabs>
        <w:tab w:val="clear" w:pos="1914"/>
      </w:tabs>
    </w:pPr>
    <w:rPr>
      <w:color w:val="auto"/>
    </w:rPr>
  </w:style>
  <w:style w:type="paragraph" w:styleId="28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9">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0">
    <w:name w:val="MM Topic 5"/>
    <w:basedOn w:val="8"/>
    <w:qFormat/>
    <w:uiPriority w:val="0"/>
    <w:pPr>
      <w:numPr>
        <w:ilvl w:val="4"/>
        <w:numId w:val="10"/>
      </w:numPr>
      <w:tabs>
        <w:tab w:val="left" w:pos="425"/>
        <w:tab w:val="clear" w:pos="2551"/>
      </w:tabs>
    </w:pPr>
    <w:rPr>
      <w:bCs/>
      <w:szCs w:val="28"/>
    </w:rPr>
  </w:style>
  <w:style w:type="paragraph" w:customStyle="1" w:styleId="291">
    <w:name w:val="正文文本样式"/>
    <w:basedOn w:val="1"/>
    <w:qFormat/>
    <w:uiPriority w:val="0"/>
    <w:pPr>
      <w:spacing w:line="360" w:lineRule="auto"/>
      <w:ind w:firstLine="482"/>
    </w:pPr>
    <w:rPr>
      <w:rFonts w:cs="宋体"/>
      <w:sz w:val="24"/>
      <w:szCs w:val="20"/>
    </w:rPr>
  </w:style>
  <w:style w:type="paragraph" w:customStyle="1" w:styleId="292">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3">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4">
    <w:name w:val="MM Topic 4"/>
    <w:basedOn w:val="7"/>
    <w:qFormat/>
    <w:uiPriority w:val="0"/>
    <w:pPr>
      <w:numPr>
        <w:ilvl w:val="3"/>
        <w:numId w:val="10"/>
      </w:numPr>
      <w:tabs>
        <w:tab w:val="left" w:pos="425"/>
        <w:tab w:val="clear" w:pos="1984"/>
      </w:tabs>
    </w:pPr>
    <w:rPr>
      <w:bCs/>
      <w:szCs w:val="28"/>
    </w:rPr>
  </w:style>
  <w:style w:type="paragraph" w:customStyle="1" w:styleId="295">
    <w:name w:val="正文序号 3"/>
    <w:basedOn w:val="1"/>
    <w:qFormat/>
    <w:uiPriority w:val="0"/>
    <w:pPr>
      <w:numPr>
        <w:ilvl w:val="2"/>
        <w:numId w:val="7"/>
      </w:numPr>
      <w:tabs>
        <w:tab w:val="left" w:pos="1259"/>
      </w:tabs>
      <w:spacing w:before="60"/>
    </w:pPr>
  </w:style>
  <w:style w:type="paragraph" w:customStyle="1" w:styleId="296">
    <w:name w:val="Char2"/>
    <w:basedOn w:val="1"/>
    <w:qFormat/>
    <w:uiPriority w:val="0"/>
    <w:pPr>
      <w:tabs>
        <w:tab w:val="left" w:pos="425"/>
      </w:tabs>
      <w:ind w:left="425" w:hanging="425"/>
    </w:pPr>
    <w:rPr>
      <w:sz w:val="24"/>
    </w:rPr>
  </w:style>
  <w:style w:type="paragraph" w:customStyle="1" w:styleId="297">
    <w:name w:val="正文序号 1"/>
    <w:basedOn w:val="1"/>
    <w:qFormat/>
    <w:uiPriority w:val="0"/>
    <w:pPr>
      <w:numPr>
        <w:ilvl w:val="0"/>
        <w:numId w:val="7"/>
      </w:numPr>
      <w:tabs>
        <w:tab w:val="left" w:pos="839"/>
      </w:tabs>
      <w:spacing w:before="60"/>
    </w:pPr>
  </w:style>
  <w:style w:type="paragraph" w:customStyle="1" w:styleId="298">
    <w:name w:val="字元 字元1"/>
    <w:basedOn w:val="1"/>
    <w:qFormat/>
    <w:uiPriority w:val="0"/>
    <w:pPr>
      <w:spacing w:line="360" w:lineRule="auto"/>
      <w:ind w:firstLine="200" w:firstLineChars="200"/>
    </w:pPr>
    <w:rPr>
      <w:rFonts w:ascii="宋体" w:hAnsi="宋体" w:cs="宋体"/>
      <w:sz w:val="24"/>
    </w:rPr>
  </w:style>
  <w:style w:type="paragraph" w:customStyle="1" w:styleId="299">
    <w:name w:val="font12"/>
    <w:basedOn w:val="1"/>
    <w:qFormat/>
    <w:uiPriority w:val="0"/>
    <w:pPr>
      <w:widowControl/>
      <w:spacing w:before="100" w:beforeAutospacing="1" w:after="100" w:afterAutospacing="1"/>
      <w:jc w:val="left"/>
    </w:pPr>
    <w:rPr>
      <w:kern w:val="0"/>
      <w:sz w:val="22"/>
      <w:szCs w:val="22"/>
    </w:rPr>
  </w:style>
  <w:style w:type="paragraph" w:customStyle="1" w:styleId="300">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1">
    <w:name w:val="标题 1 Char2"/>
    <w:qFormat/>
    <w:uiPriority w:val="0"/>
    <w:rPr>
      <w:rFonts w:ascii="黑体" w:eastAsia="黑体"/>
      <w:bCs/>
      <w:kern w:val="44"/>
      <w:sz w:val="24"/>
      <w:szCs w:val="24"/>
    </w:rPr>
  </w:style>
  <w:style w:type="character" w:customStyle="1" w:styleId="302">
    <w:name w:val="Font Style17"/>
    <w:qFormat/>
    <w:uiPriority w:val="0"/>
    <w:rPr>
      <w:rFonts w:ascii="黑体" w:eastAsia="黑体" w:cs="黑体"/>
      <w:sz w:val="28"/>
      <w:szCs w:val="28"/>
    </w:rPr>
  </w:style>
  <w:style w:type="character" w:styleId="303">
    <w:name w:val="Placeholder Text"/>
    <w:basedOn w:val="47"/>
    <w:semiHidden/>
    <w:qFormat/>
    <w:uiPriority w:val="99"/>
    <w:rPr>
      <w:color w:val="808080"/>
    </w:rPr>
  </w:style>
  <w:style w:type="character" w:customStyle="1" w:styleId="304">
    <w:name w:val="正文缩进 Char3"/>
    <w:qFormat/>
    <w:uiPriority w:val="0"/>
    <w:rPr>
      <w:rFonts w:ascii="宋体" w:eastAsia="宋体"/>
      <w:sz w:val="34"/>
      <w:lang w:val="en-US" w:eastAsia="zh-CN" w:bidi="ar-SA"/>
    </w:rPr>
  </w:style>
  <w:style w:type="paragraph" w:customStyle="1" w:styleId="30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6">
    <w:name w:val="Table Paragraph"/>
    <w:basedOn w:val="1"/>
    <w:qFormat/>
    <w:uiPriority w:val="1"/>
    <w:pPr>
      <w:spacing w:before="70"/>
    </w:pPr>
    <w:rPr>
      <w:rFonts w:ascii="宋体" w:hAnsi="宋体" w:eastAsia="宋体" w:cs="宋体"/>
      <w:lang w:val="zh-CN" w:eastAsia="zh-CN" w:bidi="zh-CN"/>
    </w:rPr>
  </w:style>
  <w:style w:type="paragraph" w:customStyle="1" w:styleId="307">
    <w:name w:val="首行缩进"/>
    <w:basedOn w:val="1"/>
    <w:qFormat/>
    <w:uiPriority w:val="0"/>
    <w:pPr>
      <w:spacing w:line="360" w:lineRule="auto"/>
      <w:ind w:firstLine="480" w:firstLineChars="200"/>
    </w:pPr>
    <w:rPr>
      <w:rFonts w:ascii="宋体" w:hAnsi="宋体" w:cs="宋体"/>
      <w:kern w:val="0"/>
      <w:sz w:val="24"/>
    </w:rPr>
  </w:style>
  <w:style w:type="paragraph" w:customStyle="1" w:styleId="308">
    <w:name w:val="_Style 22"/>
    <w:basedOn w:val="1"/>
    <w:next w:val="191"/>
    <w:qFormat/>
    <w:uiPriority w:val="34"/>
    <w:pPr>
      <w:ind w:firstLine="420" w:firstLineChars="200"/>
    </w:pPr>
    <w:rPr>
      <w:rFonts w:ascii="Times New Roman" w:hAnsi="Times New Roman" w:cs="Times New Roman"/>
      <w:kern w:val="0"/>
      <w:sz w:val="2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Words>39543</Words>
  <Characters>41995</Characters>
  <Lines>286</Lines>
  <Paragraphs>80</Paragraphs>
  <TotalTime>37</TotalTime>
  <ScaleCrop>false</ScaleCrop>
  <LinksUpToDate>false</LinksUpToDate>
  <CharactersWithSpaces>47203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A</cp:lastModifiedBy>
  <cp:lastPrinted>2015-10-16T03:36:00Z</cp:lastPrinted>
  <dcterms:modified xsi:type="dcterms:W3CDTF">2023-07-24T11:00:18Z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E0B6C10659A44F5C81DAC4B79408920D</vt:lpwstr>
  </property>
</Properties>
</file>