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hAnsi="Courier New" w:eastAsia="黑体" w:cs="Times New Roman"/>
          <w:bCs/>
          <w:color w:val="000000" w:themeColor="text1"/>
          <w:kern w:val="2"/>
          <w:sz w:val="32"/>
          <w:szCs w:val="20"/>
          <w:highlight w:val="none"/>
          <w:lang w:val="en-US" w:eastAsia="zh-CN" w:bidi="ar-SA"/>
        </w:rPr>
        <w:pict>
          <v:shape id="_x0000_i1025" o:spt="75" type="#_x0000_t75" style="height:29.2pt;width:182.7pt;" fillcolor="#FFFFFF" filled="f" o:preferrelative="t" stroked="f" coordsize="21600,21600">
            <v:path/>
            <v:fill on="f" color2="#FFFFFF" focussize="0,0"/>
            <v:stroke on="f"/>
            <v:imagedata r:id="rId17" gain="65536f" blacklevel="0f" gamma="0" o:title=""/>
            <o:lock v:ext="edit" position="f" selection="f" grouping="f" rotation="f" cropping="f" text="f" aspectratio="t"/>
            <w10:wrap type="none"/>
            <w10:anchorlock/>
          </v:shape>
        </w:pict>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rPr>
      </w:pPr>
    </w:p>
    <w:p>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1"/>
        <w:gridCol w:w="284"/>
        <w:gridCol w:w="6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vAlign w:val="top"/>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YXCG-20230514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top"/>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vAlign w:val="top"/>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国家税务总局阳西县税务局2023年－2025年劳务外包服务项目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vAlign w:val="top"/>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国家税务总局阳西县税务局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vAlign w:val="top"/>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二三年五</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color w:val="000000" w:themeColor="text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color w:val="000000" w:themeColor="text1"/>
          <w:highlight w:val="none"/>
        </w:rPr>
      </w:pPr>
      <w:r>
        <w:rPr>
          <w:rFonts w:hint="eastAsia" w:ascii="宋体" w:hAnsi="宋体"/>
          <w:color w:val="000000" w:themeColor="text1"/>
          <w:szCs w:val="21"/>
          <w:highlight w:val="none"/>
        </w:rPr>
        <w:t>投标人为小型、微型企业的，请提交《中小企业声明函》（详情见《政府采购促进中小企业发展暂行办法》）。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72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_Toc32474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_Toc32474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_Toc23280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_Toc23280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_Toc2524 </w:instrText>
      </w:r>
      <w:r>
        <w:rPr>
          <w:bCs/>
          <w:caps/>
          <w:color w:val="000000" w:themeColor="text1"/>
          <w:szCs w:val="21"/>
          <w:highlight w:val="none"/>
        </w:rPr>
        <w:fldChar w:fldCharType="separate"/>
      </w:r>
      <w:r>
        <w:rPr>
          <w:rFonts w:hint="eastAsia"/>
          <w:color w:val="000000" w:themeColor="text1"/>
          <w:kern w:val="0"/>
          <w:highlight w:val="none"/>
          <w:lang w:val="en-US" w:eastAsia="zh-CN"/>
        </w:rPr>
        <w:t>用户需求书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_Toc2524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_Toc5443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_Toc5443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_Toc17792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_Toc17792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_Toc11426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_Toc11426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_Toc541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_Toc541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_Toc18870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_Toc18870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_Toc8385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_Toc8385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_Toc16463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_Toc16463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_Toc10504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_Toc10504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_Toc14432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_Toc14432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_Toc3774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_Toc3774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_Toc7076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_Toc7076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_Toc11620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_Toc11620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_Toc21884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_Toc21884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_Toc28950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_Toc28950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_Toc7894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_Toc7894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_Toc8032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_Toc8032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_Toc7697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_Toc7697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_Toc2055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_Toc2055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_Toc9017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_Toc9017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_Toc25811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_Toc25811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_Toc19232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_Toc19232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_Toc10454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_Toc10454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_Toc26639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_Toc26639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_Toc17096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_Toc17096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_Toc17698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_Toc17698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_Toc13169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_Toc13169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_Toc16797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_Toc16797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_Toc8250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_Toc8250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_Toc27570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_Toc27570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_Toc2900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_Toc2900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_Toc16005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_Toc16005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_Toc26140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_Toc26140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_Toc1414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_Toc1414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_Toc6057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_Toc6057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_Toc14159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_Toc14159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_Toc8349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_Toc8349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_Toc27811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_Toc27811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_Toc3763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_Toc3763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_Toc31817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_Toc31817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_Toc17833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_Toc17833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_Toc19153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_Toc19153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_Toc4204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_Toc4204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_Toc5521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_Toc5521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_Toc17587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_Toc17587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_Toc31309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_Toc31309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_Toc21613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_Toc21613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_Toc18800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_Toc18800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_Toc17330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_Toc17330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_Toc24255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_Toc24255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_Toc28431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_Toc28431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_Toc23785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_Toc23785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_Toc11625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_Toc11625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_Toc19051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_Toc19051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_Toc29136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_Toc29136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_Toc17042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_Toc17042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_Toc29932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_Toc29932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_Toc17323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_Toc17323 \h </w:instrText>
      </w:r>
      <w:r>
        <w:rPr>
          <w:color w:val="000000" w:themeColor="text1"/>
          <w:highlight w:val="none"/>
        </w:rPr>
        <w:fldChar w:fldCharType="separate"/>
      </w:r>
      <w:r>
        <w:rPr>
          <w:color w:val="000000" w:themeColor="text1"/>
          <w:highlight w:val="none"/>
        </w:rPr>
        <w:t>71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_Toc27384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_Toc27384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_Toc11171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w:t>
      </w:r>
      <w:r>
        <w:rPr>
          <w:rFonts w:hint="eastAsia"/>
          <w:color w:val="000000" w:themeColor="text1"/>
          <w:highlight w:val="none"/>
          <w:lang w:val="en-US" w:eastAsia="zh-CN"/>
        </w:rPr>
        <w:t>用户需求</w:t>
      </w:r>
      <w:r>
        <w:rPr>
          <w:rFonts w:hint="eastAsia"/>
          <w:color w:val="000000" w:themeColor="text1"/>
          <w:highlight w:val="none"/>
        </w:rPr>
        <w:t>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_Toc11171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_Toc12896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w:t>
      </w:r>
      <w:r>
        <w:rPr>
          <w:rFonts w:hint="eastAsia"/>
          <w:color w:val="000000" w:themeColor="text1"/>
          <w:highlight w:val="none"/>
          <w:lang w:val="en-US" w:eastAsia="zh-CN"/>
        </w:rPr>
        <w:t>合同条款</w:t>
      </w:r>
      <w:r>
        <w:rPr>
          <w:rFonts w:hint="eastAsia"/>
          <w:color w:val="000000" w:themeColor="text1"/>
          <w:highlight w:val="none"/>
        </w:rPr>
        <w:t>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_Toc12896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_Toc16029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_Toc16029 \h </w:instrText>
      </w:r>
      <w:r>
        <w:rPr>
          <w:color w:val="000000" w:themeColor="text1"/>
          <w:highlight w:val="none"/>
        </w:rPr>
        <w:fldChar w:fldCharType="separate"/>
      </w:r>
      <w:r>
        <w:rPr>
          <w:color w:val="000000" w:themeColor="text1"/>
          <w:highlight w:val="none"/>
        </w:rPr>
        <w:t>75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_Toc2172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_Toc2172 \h </w:instrText>
      </w:r>
      <w:r>
        <w:rPr>
          <w:color w:val="000000" w:themeColor="text1"/>
          <w:highlight w:val="none"/>
        </w:rPr>
        <w:fldChar w:fldCharType="separate"/>
      </w:r>
      <w:r>
        <w:rPr>
          <w:color w:val="000000" w:themeColor="text1"/>
          <w:highlight w:val="none"/>
        </w:rPr>
        <w:t>76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_Toc12109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_Toc12109 \h </w:instrText>
      </w:r>
      <w:r>
        <w:rPr>
          <w:color w:val="000000" w:themeColor="text1"/>
          <w:highlight w:val="none"/>
        </w:rPr>
        <w:fldChar w:fldCharType="separate"/>
      </w:r>
      <w:r>
        <w:rPr>
          <w:color w:val="000000" w:themeColor="text1"/>
          <w:highlight w:val="none"/>
        </w:rPr>
        <w:t>77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_Toc32002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_Toc32002 \h </w:instrText>
      </w:r>
      <w:r>
        <w:rPr>
          <w:color w:val="000000" w:themeColor="text1"/>
          <w:highlight w:val="none"/>
        </w:rPr>
        <w:fldChar w:fldCharType="separate"/>
      </w:r>
      <w:r>
        <w:rPr>
          <w:color w:val="000000" w:themeColor="text1"/>
          <w:highlight w:val="none"/>
        </w:rPr>
        <w:t>78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_Toc7961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_Toc7961 \h </w:instrText>
      </w:r>
      <w:r>
        <w:rPr>
          <w:color w:val="000000" w:themeColor="text1"/>
          <w:highlight w:val="none"/>
        </w:rPr>
        <w:fldChar w:fldCharType="separate"/>
      </w:r>
      <w:r>
        <w:rPr>
          <w:color w:val="000000" w:themeColor="text1"/>
          <w:highlight w:val="none"/>
        </w:rPr>
        <w:t>79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_Toc25122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_Toc25122 \h </w:instrText>
      </w:r>
      <w:r>
        <w:rPr>
          <w:color w:val="000000" w:themeColor="text1"/>
          <w:highlight w:val="none"/>
        </w:rPr>
        <w:fldChar w:fldCharType="separate"/>
      </w:r>
      <w:r>
        <w:rPr>
          <w:color w:val="000000" w:themeColor="text1"/>
          <w:highlight w:val="none"/>
        </w:rPr>
        <w:t>80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_Toc31821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_Toc31821 \h </w:instrText>
      </w:r>
      <w:r>
        <w:rPr>
          <w:color w:val="000000" w:themeColor="text1"/>
          <w:highlight w:val="none"/>
        </w:rPr>
        <w:fldChar w:fldCharType="separate"/>
      </w:r>
      <w:r>
        <w:rPr>
          <w:color w:val="000000" w:themeColor="text1"/>
          <w:highlight w:val="none"/>
        </w:rPr>
        <w:t>81</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39019828"/>
      <w:bookmarkStart w:id="2" w:name="_Toc337632315"/>
      <w:bookmarkStart w:id="3" w:name="_Toc339019954"/>
      <w:bookmarkStart w:id="4" w:name="_Toc339441044"/>
      <w:bookmarkStart w:id="5" w:name="_Toc336681892"/>
      <w:bookmarkStart w:id="6" w:name="_Toc32474"/>
      <w:bookmarkStart w:id="7" w:name="_Toc350438702"/>
      <w:bookmarkStart w:id="8" w:name="_Toc339020186"/>
      <w:bookmarkStart w:id="9" w:name="_Toc341348291"/>
      <w:bookmarkStart w:id="10" w:name="_Toc331512856"/>
      <w:bookmarkStart w:id="11" w:name="_Toc333935278"/>
      <w:bookmarkStart w:id="12" w:name="_Toc345513762"/>
      <w:bookmarkStart w:id="13" w:name="_Toc333238571"/>
      <w:bookmarkStart w:id="14" w:name="_Toc349143546"/>
      <w:bookmarkStart w:id="15" w:name="_Toc366072457"/>
      <w:bookmarkStart w:id="16" w:name="_Toc336681537"/>
      <w:bookmarkStart w:id="17" w:name="_Toc333237723"/>
      <w:bookmarkStart w:id="18" w:name="_Toc330459945"/>
      <w:bookmarkStart w:id="19" w:name="_Toc349127583"/>
      <w:bookmarkStart w:id="20" w:name="_Toc332206657"/>
      <w:bookmarkStart w:id="21" w:name="_Toc331683994"/>
      <w:bookmarkStart w:id="22" w:name="_Toc339362257"/>
      <w:bookmarkStart w:id="23" w:name="_Toc340507403"/>
      <w:bookmarkStart w:id="24" w:name="_Toc340677031"/>
      <w:bookmarkStart w:id="25" w:name="_Toc342296708"/>
      <w:bookmarkStart w:id="26" w:name="_Toc332270305"/>
      <w:bookmarkStart w:id="27" w:name="_Toc350756403"/>
      <w:bookmarkStart w:id="28" w:name="_Toc365967002"/>
      <w:bookmarkStart w:id="29" w:name="_Toc333935619"/>
      <w:bookmarkStart w:id="30" w:name="_Toc365985108"/>
      <w:bookmarkStart w:id="31" w:name="_Toc342060322"/>
      <w:bookmarkStart w:id="32" w:name="_Toc333237612"/>
      <w:bookmarkStart w:id="33" w:name="_Toc339020048"/>
      <w:bookmarkStart w:id="34" w:name="_Toc340672830"/>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国家税务总局阳西县税务局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国家税务总局阳西县税务局2023年－2025年劳务外包服务项目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YXCG-20230514</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hint="eastAsia" w:ascii="Tahoma" w:hAnsi="Tahoma" w:eastAsia="宋体" w:cs="Tahoma"/>
          <w:b/>
          <w:bCs/>
          <w:color w:val="000000" w:themeColor="text1"/>
          <w:szCs w:val="21"/>
          <w:highlight w:val="none"/>
          <w:lang w:eastAsia="zh-CN"/>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r>
        <w:rPr>
          <w:rFonts w:hint="eastAsia" w:ascii="Tahoma" w:hAnsi="Tahoma" w:cs="Tahoma"/>
          <w:b/>
          <w:bCs/>
          <w:color w:val="000000" w:themeColor="text1"/>
          <w:szCs w:val="21"/>
          <w:highlight w:val="none"/>
          <w:lang w:eastAsia="zh-CN"/>
        </w:rPr>
        <w:t>等</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国家税务总局阳西县税务局2023年－2025年劳务外包服务项目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YXCG-20230514</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项目预算</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人民币720万元，其中每年360万元，不划分包组。</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 w:val="0"/>
          <w:bCs w:val="0"/>
          <w:color w:val="000000" w:themeColor="text1"/>
          <w:szCs w:val="21"/>
          <w:highlight w:val="none"/>
        </w:rPr>
        <w:t>服务期</w:t>
      </w:r>
      <w:r>
        <w:rPr>
          <w:rFonts w:hint="eastAsia" w:ascii="宋体" w:hAnsi="宋体"/>
          <w:b w:val="0"/>
          <w:bCs w:val="0"/>
          <w:color w:val="000000" w:themeColor="text1"/>
          <w:spacing w:val="-6"/>
          <w:szCs w:val="21"/>
          <w:highlight w:val="none"/>
        </w:rPr>
        <w:t>：</w:t>
      </w:r>
      <w:r>
        <w:rPr>
          <w:rFonts w:hint="eastAsia" w:ascii="宋体" w:hAnsi="宋体"/>
          <w:color w:val="000000" w:themeColor="text1"/>
          <w:szCs w:val="21"/>
          <w:highlight w:val="none"/>
          <w:lang w:eastAsia="zh-CN"/>
        </w:rPr>
        <w:t>两年，共24个月。</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cs="Tahoma"/>
          <w:b w:val="0"/>
          <w:bCs w:val="0"/>
          <w:color w:val="000000" w:themeColor="text1"/>
          <w:highlight w:val="none"/>
          <w:lang w:eastAsia="zh-CN"/>
        </w:rPr>
      </w:pPr>
      <w:r>
        <w:rPr>
          <w:rFonts w:hint="eastAsia" w:ascii="宋体" w:hAnsi="宋体" w:cs="Tahoma"/>
          <w:color w:val="000000" w:themeColor="text1"/>
          <w:kern w:val="28"/>
          <w:szCs w:val="21"/>
          <w:highlight w:val="none"/>
        </w:rPr>
        <w:t>项目采购方式：公开招标</w:t>
      </w:r>
    </w:p>
    <w:p>
      <w:pPr>
        <w:widowControl/>
        <w:numPr>
          <w:ilvl w:val="0"/>
          <w:numId w:val="20"/>
        </w:numPr>
        <w:tabs>
          <w:tab w:val="left" w:pos="315"/>
          <w:tab w:val="left" w:pos="735"/>
          <w:tab w:val="clear" w:pos="528"/>
        </w:tabs>
        <w:adjustRightInd w:val="0"/>
        <w:snapToGrid w:val="0"/>
        <w:spacing w:line="360" w:lineRule="auto"/>
        <w:ind w:left="420" w:leftChars="200" w:firstLine="0"/>
        <w:rPr>
          <w:rFonts w:hint="eastAsia" w:ascii="宋体" w:hAnsi="宋体" w:cs="Tahoma"/>
          <w:b w:val="0"/>
          <w:bCs w:val="0"/>
          <w:color w:val="000000" w:themeColor="text1"/>
          <w:highlight w:val="none"/>
          <w:lang w:eastAsia="zh-CN"/>
        </w:rPr>
      </w:pPr>
      <w:r>
        <w:rPr>
          <w:rFonts w:hint="eastAsia" w:ascii="宋体" w:hAnsi="宋体" w:cs="Tahoma"/>
          <w:b w:val="0"/>
          <w:bCs w:val="0"/>
          <w:color w:val="000000" w:themeColor="text1"/>
          <w:highlight w:val="none"/>
          <w:lang w:eastAsia="zh-CN"/>
        </w:rPr>
        <w:t>项目总费用明细：</w:t>
      </w:r>
    </w:p>
    <w:p>
      <w:pPr>
        <w:widowControl/>
        <w:tabs>
          <w:tab w:val="left" w:pos="502"/>
        </w:tabs>
        <w:adjustRightInd w:val="0"/>
        <w:snapToGrid w:val="0"/>
        <w:spacing w:line="360" w:lineRule="auto"/>
        <w:ind w:firstLine="420" w:firstLineChars="200"/>
        <w:rPr>
          <w:rFonts w:hint="eastAsia" w:ascii="宋体" w:hAnsi="宋体" w:cs="Tahoma"/>
          <w:b w:val="0"/>
          <w:bCs w:val="0"/>
          <w:color w:val="000000" w:themeColor="text1"/>
          <w:highlight w:val="none"/>
          <w:lang w:val="en-US" w:eastAsia="zh-CN"/>
        </w:rPr>
      </w:pPr>
      <w:r>
        <w:rPr>
          <w:rFonts w:hint="eastAsia" w:ascii="宋体" w:hAnsi="宋体" w:cs="Tahoma"/>
          <w:b w:val="0"/>
          <w:bCs w:val="0"/>
          <w:color w:val="000000" w:themeColor="text1"/>
          <w:highlight w:val="none"/>
          <w:lang w:val="en-US" w:eastAsia="zh-CN"/>
        </w:rPr>
        <w:t>（1）服务人员正常工作时间的工资及加班费、福利、应缴纳各项社会保险费（含养老、医疗、工伤、失业、生育险、</w:t>
      </w:r>
      <w:r>
        <w:rPr>
          <w:rFonts w:hint="eastAsia"/>
          <w:color w:val="000000" w:themeColor="text1"/>
          <w:highlight w:val="none"/>
          <w:lang w:val="en-US" w:eastAsia="zh-CN"/>
        </w:rPr>
        <w:t>高额医疗保险</w:t>
      </w:r>
      <w:r>
        <w:rPr>
          <w:rFonts w:hint="eastAsia" w:ascii="宋体" w:hAnsi="宋体" w:cs="Tahoma"/>
          <w:b w:val="0"/>
          <w:bCs w:val="0"/>
          <w:color w:val="000000" w:themeColor="text1"/>
          <w:highlight w:val="none"/>
          <w:lang w:val="en-US" w:eastAsia="zh-CN"/>
        </w:rPr>
        <w:t>）、住房公积金。</w:t>
      </w:r>
    </w:p>
    <w:p>
      <w:pPr>
        <w:widowControl/>
        <w:tabs>
          <w:tab w:val="left" w:pos="502"/>
        </w:tabs>
        <w:adjustRightInd w:val="0"/>
        <w:snapToGrid w:val="0"/>
        <w:spacing w:line="360" w:lineRule="auto"/>
        <w:ind w:firstLine="420" w:firstLineChars="200"/>
        <w:rPr>
          <w:rFonts w:hint="eastAsia" w:ascii="宋体" w:hAnsi="宋体" w:cs="Tahoma"/>
          <w:b w:val="0"/>
          <w:bCs w:val="0"/>
          <w:color w:val="000000" w:themeColor="text1"/>
          <w:highlight w:val="none"/>
          <w:lang w:val="en-US" w:eastAsia="zh-CN"/>
        </w:rPr>
      </w:pPr>
      <w:r>
        <w:rPr>
          <w:rFonts w:hint="eastAsia" w:ascii="宋体" w:hAnsi="宋体" w:cs="Tahoma"/>
          <w:b w:val="0"/>
          <w:bCs w:val="0"/>
          <w:color w:val="000000" w:themeColor="text1"/>
          <w:highlight w:val="none"/>
          <w:lang w:val="en-US" w:eastAsia="zh-CN"/>
        </w:rPr>
        <w:t>（2）对服务人员开展节日慰问，提供年度体检服务、培训教育、工作制服有关的费用。</w:t>
      </w:r>
    </w:p>
    <w:p>
      <w:pPr>
        <w:widowControl/>
        <w:tabs>
          <w:tab w:val="left" w:pos="502"/>
        </w:tabs>
        <w:adjustRightInd w:val="0"/>
        <w:snapToGrid w:val="0"/>
        <w:spacing w:line="360" w:lineRule="auto"/>
        <w:ind w:firstLine="420" w:firstLineChars="200"/>
        <w:rPr>
          <w:rFonts w:hint="eastAsia" w:ascii="宋体" w:hAnsi="宋体" w:cs="Tahoma"/>
          <w:b w:val="0"/>
          <w:bCs w:val="0"/>
          <w:color w:val="000000" w:themeColor="text1"/>
          <w:highlight w:val="none"/>
          <w:lang w:val="en-US" w:eastAsia="zh-CN"/>
        </w:rPr>
      </w:pPr>
      <w:r>
        <w:rPr>
          <w:rFonts w:hint="eastAsia" w:ascii="宋体" w:hAnsi="宋体" w:cs="Tahoma"/>
          <w:b w:val="0"/>
          <w:bCs w:val="0"/>
          <w:color w:val="000000" w:themeColor="text1"/>
          <w:highlight w:val="none"/>
          <w:lang w:val="en-US" w:eastAsia="zh-CN"/>
        </w:rPr>
        <w:t>上述第（1）（2）项费用，以下合称“薪酬”。</w:t>
      </w:r>
    </w:p>
    <w:p>
      <w:pPr>
        <w:widowControl/>
        <w:tabs>
          <w:tab w:val="left" w:pos="502"/>
        </w:tabs>
        <w:adjustRightInd w:val="0"/>
        <w:snapToGrid w:val="0"/>
        <w:spacing w:line="360" w:lineRule="auto"/>
        <w:ind w:firstLine="420" w:firstLineChars="200"/>
        <w:rPr>
          <w:rFonts w:hint="eastAsia" w:ascii="宋体" w:hAnsi="宋体" w:cs="Tahoma"/>
          <w:b w:val="0"/>
          <w:bCs w:val="0"/>
          <w:color w:val="000000" w:themeColor="text1"/>
          <w:highlight w:val="none"/>
          <w:lang w:val="en-US" w:eastAsia="zh-CN"/>
        </w:rPr>
      </w:pPr>
      <w:r>
        <w:rPr>
          <w:rFonts w:hint="eastAsia" w:ascii="宋体" w:hAnsi="宋体" w:cs="Tahoma"/>
          <w:b w:val="0"/>
          <w:bCs w:val="0"/>
          <w:color w:val="000000" w:themeColor="text1"/>
          <w:highlight w:val="none"/>
          <w:lang w:val="en-US" w:eastAsia="zh-CN"/>
        </w:rPr>
        <w:t>（3）合同履行过程中因与员工产生劳动纠纷而产生的经济补偿金或赔偿金、工伤待遇、未及时签订劳动合同的另一倍工资等可能产生的法律责任和费用均由中标人承担，中标人不得要求采购人承担。</w:t>
      </w:r>
    </w:p>
    <w:p>
      <w:pPr>
        <w:widowControl/>
        <w:tabs>
          <w:tab w:val="left" w:pos="502"/>
        </w:tabs>
        <w:adjustRightInd w:val="0"/>
        <w:snapToGrid w:val="0"/>
        <w:spacing w:line="360" w:lineRule="auto"/>
        <w:ind w:firstLine="420" w:firstLineChars="200"/>
        <w:rPr>
          <w:rFonts w:hint="eastAsia" w:ascii="宋体" w:hAnsi="宋体" w:cs="Tahoma"/>
          <w:b w:val="0"/>
          <w:bCs w:val="0"/>
          <w:color w:val="000000" w:themeColor="text1"/>
          <w:highlight w:val="none"/>
          <w:lang w:val="en-US" w:eastAsia="zh-CN"/>
        </w:rPr>
      </w:pPr>
      <w:r>
        <w:rPr>
          <w:rFonts w:hint="eastAsia" w:ascii="宋体" w:hAnsi="宋体" w:cs="Tahoma"/>
          <w:b w:val="0"/>
          <w:bCs w:val="0"/>
          <w:color w:val="000000" w:themeColor="text1"/>
          <w:highlight w:val="none"/>
          <w:lang w:val="en-US" w:eastAsia="zh-CN"/>
        </w:rPr>
        <w:t>（4）中标人的服务管理费：每月服务管理费按不得高于该月份服务人员薪酬的10%计算（取小数点后两位）。</w:t>
      </w:r>
    </w:p>
    <w:p>
      <w:pPr>
        <w:widowControl/>
        <w:tabs>
          <w:tab w:val="left" w:pos="502"/>
        </w:tabs>
        <w:adjustRightInd w:val="0"/>
        <w:snapToGrid w:val="0"/>
        <w:spacing w:line="360" w:lineRule="auto"/>
        <w:ind w:firstLine="420" w:firstLineChars="200"/>
        <w:rPr>
          <w:rFonts w:hint="eastAsia" w:ascii="宋体" w:hAnsi="宋体" w:cs="Tahoma"/>
          <w:b w:val="0"/>
          <w:bCs w:val="0"/>
          <w:color w:val="000000" w:themeColor="text1"/>
          <w:highlight w:val="none"/>
          <w:lang w:val="en-US" w:eastAsia="zh-CN"/>
        </w:rPr>
      </w:pPr>
      <w:r>
        <w:rPr>
          <w:rFonts w:hint="eastAsia" w:ascii="宋体" w:hAnsi="宋体" w:cs="Tahoma"/>
          <w:b w:val="0"/>
          <w:bCs w:val="0"/>
          <w:color w:val="000000" w:themeColor="text1"/>
          <w:highlight w:val="none"/>
          <w:lang w:val="en-US" w:eastAsia="zh-CN"/>
        </w:rPr>
        <w:t>投标人只需对服务管理费的折扣率进行报价。报价方式：折扣率（0-100%）</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1）具有独立承担民事责任的能力；</w:t>
      </w:r>
    </w:p>
    <w:p>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2）具有良好的商业信誉和健全的财务会计制度；</w:t>
      </w:r>
    </w:p>
    <w:p>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3）具有履行合同所必需的设备和专业技术能力；</w:t>
      </w:r>
    </w:p>
    <w:p>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4）有依法缴纳税收和社会保障资金的良好记录；</w:t>
      </w:r>
    </w:p>
    <w:p>
      <w:pPr>
        <w:widowControl/>
        <w:tabs>
          <w:tab w:val="left" w:pos="525"/>
        </w:tabs>
        <w:adjustRightInd w:val="0"/>
        <w:snapToGrid w:val="0"/>
        <w:spacing w:line="360" w:lineRule="auto"/>
        <w:ind w:left="630" w:leftChars="30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5）参加政府采购活动前三年内，在经营活动中没有重大违法记录；</w:t>
      </w:r>
    </w:p>
    <w:p>
      <w:pPr>
        <w:widowControl/>
        <w:tabs>
          <w:tab w:val="left" w:pos="525"/>
        </w:tabs>
        <w:adjustRightInd w:val="0"/>
        <w:snapToGrid w:val="0"/>
        <w:spacing w:line="360" w:lineRule="auto"/>
        <w:ind w:left="630" w:leftChars="300"/>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为采购项目提供整体设计、规范编制或者项目管理、监理、检测等服务的供应商，不再参加该采购项目的其他采购活动。（</w:t>
      </w:r>
      <w:r>
        <w:rPr>
          <w:rFonts w:hint="eastAsia" w:ascii="宋体" w:hAnsi="宋体" w:eastAsia="宋体" w:cs="宋体"/>
          <w:color w:val="000000" w:themeColor="text1"/>
          <w:szCs w:val="21"/>
          <w:highlight w:val="none"/>
          <w:lang w:val="en-US" w:eastAsia="zh-CN"/>
        </w:rPr>
        <w:t>提供《投标函》</w:t>
      </w:r>
      <w:r>
        <w:rPr>
          <w:rFonts w:hint="eastAsia" w:ascii="宋体" w:hAnsi="宋体" w:eastAsia="宋体" w:cs="宋体"/>
          <w:color w:val="000000" w:themeColor="text1"/>
          <w:szCs w:val="21"/>
          <w:highlight w:val="none"/>
        </w:rPr>
        <w:t>）</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单位负责人为同一人或者存在直接控股、管理关系的不同供应商，不得参加同一合同项下的政府采购活动。（</w:t>
      </w:r>
      <w:r>
        <w:rPr>
          <w:rFonts w:hint="eastAsia" w:ascii="宋体" w:hAnsi="宋体" w:eastAsia="宋体" w:cs="宋体"/>
          <w:color w:val="000000" w:themeColor="text1"/>
          <w:szCs w:val="21"/>
          <w:highlight w:val="none"/>
          <w:lang w:val="en-US" w:eastAsia="zh-CN"/>
        </w:rPr>
        <w:t>提供《投标函》</w:t>
      </w:r>
      <w:r>
        <w:rPr>
          <w:rFonts w:hint="eastAsia" w:ascii="宋体" w:hAnsi="宋体" w:eastAsia="宋体" w:cs="宋体"/>
          <w:color w:val="000000" w:themeColor="text1"/>
          <w:szCs w:val="21"/>
          <w:highlight w:val="none"/>
        </w:rPr>
        <w:t>）</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投标人未被列入“信用中国”网站(</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"http://www.creditchina.gov.cn"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www.creditchina.gov.cn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)以下任意名单之一：①失信被执行人名单；②重大税收违法案件当事人名单；③政府采购严重违法失信名单。同时，不处于中国政府采购网（www.ccgp.gov.cn ）“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本项目属于专门面向中小企业采购。为落实《政府采购促进中小企业发展管理办法》（财库〔2020〕46号）政策，投标人为中型企业的，必须承诺中标后分包一定比例给小微企业，其中分包给小微企业的合同金额比例不低于 60%。（提供《分包意向协议书》或《分包承诺书》）。（所属行业为：</w:t>
      </w:r>
      <w:r>
        <w:rPr>
          <w:rFonts w:hint="eastAsia" w:ascii="宋体" w:hAnsi="宋体" w:eastAsia="宋体" w:cs="宋体"/>
          <w:color w:val="000000" w:themeColor="text1"/>
          <w:szCs w:val="21"/>
          <w:highlight w:val="none"/>
        </w:rPr>
        <w:t>租赁和商务服务业</w:t>
      </w:r>
      <w:r>
        <w:rPr>
          <w:rFonts w:hint="eastAsia" w:ascii="宋体" w:hAnsi="宋体" w:eastAsia="宋体" w:cs="宋体"/>
          <w:color w:val="000000" w:themeColor="text1"/>
          <w:highlight w:val="none"/>
        </w:rPr>
        <w:t>）</w:t>
      </w:r>
    </w:p>
    <w:p>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szCs w:val="21"/>
          <w:highlight w:val="none"/>
        </w:rPr>
        <w:t>投标人须在招标代理机构登记并购买招标文件。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ascii="宋体" w:hAnsi="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19</w:t>
      </w:r>
      <w:r>
        <w:rPr>
          <w:rFonts w:ascii="Times New Roman" w:hAnsi="Times New Roman" w:eastAsia="宋体" w:cs="Times New Roman"/>
          <w:color w:val="000000" w:themeColor="text1"/>
          <w:kern w:val="2"/>
          <w:sz w:val="21"/>
          <w:szCs w:val="24"/>
          <w:highlight w:val="none"/>
          <w:lang w:val="en-US" w:eastAsia="zh-CN" w:bidi="ar-SA"/>
        </w:rPr>
        <w:t>日</w:t>
      </w:r>
      <w:r>
        <w:rPr>
          <w:rFonts w:hint="eastAsia"/>
          <w:color w:val="000000" w:themeColor="text1"/>
          <w:szCs w:val="21"/>
          <w:highlight w:val="none"/>
        </w:rPr>
        <w:t>至</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27</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bCs/>
          <w:color w:val="000000" w:themeColor="text1"/>
          <w:highlight w:val="none"/>
        </w:rPr>
        <w:t>。</w:t>
      </w:r>
    </w:p>
    <w:p>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投标人的法定代表人</w:t>
      </w:r>
      <w:r>
        <w:rPr>
          <w:rFonts w:ascii="宋体" w:hAnsi="宋体" w:cs="宋体"/>
          <w:color w:val="000000" w:themeColor="text1"/>
          <w:kern w:val="0"/>
          <w:szCs w:val="21"/>
          <w:highlight w:val="none"/>
        </w:rPr>
        <w:t>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cs="Tahoma"/>
          <w:color w:val="000000" w:themeColor="text1"/>
          <w:highlight w:val="none"/>
        </w:rPr>
        <w:t>1.购买招标文件</w:t>
      </w:r>
      <w:r>
        <w:rPr>
          <w:rFonts w:hint="eastAsia" w:ascii="宋体" w:hAnsi="宋体"/>
          <w:bCs/>
          <w:color w:val="000000" w:themeColor="text1"/>
          <w:highlight w:val="none"/>
        </w:rPr>
        <w:t>时间：</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19</w:t>
      </w:r>
      <w:r>
        <w:rPr>
          <w:rFonts w:ascii="Times New Roman" w:hAnsi="Times New Roman" w:eastAsia="宋体" w:cs="Times New Roman"/>
          <w:color w:val="000000" w:themeColor="text1"/>
          <w:kern w:val="2"/>
          <w:sz w:val="21"/>
          <w:szCs w:val="24"/>
          <w:highlight w:val="none"/>
          <w:lang w:val="en-US" w:eastAsia="zh-CN" w:bidi="ar-SA"/>
        </w:rPr>
        <w:t>日</w:t>
      </w:r>
      <w:r>
        <w:rPr>
          <w:rFonts w:hint="eastAsia"/>
          <w:color w:val="000000" w:themeColor="text1"/>
          <w:szCs w:val="21"/>
          <w:highlight w:val="none"/>
        </w:rPr>
        <w:t>至</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27</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bCs/>
          <w:color w:val="000000" w:themeColor="text1"/>
          <w:highlight w:val="none"/>
        </w:rPr>
        <w:t>，上午9</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w:t>
      </w:r>
      <w:r>
        <w:rPr>
          <w:rFonts w:ascii="宋体" w:hAnsi="宋体"/>
          <w:bCs/>
          <w:color w:val="000000" w:themeColor="text1"/>
          <w:highlight w:val="none"/>
        </w:rPr>
        <w:t>1</w:t>
      </w:r>
      <w:r>
        <w:rPr>
          <w:rFonts w:hint="eastAsia" w:ascii="宋体" w:hAnsi="宋体"/>
          <w:bCs/>
          <w:color w:val="000000" w:themeColor="text1"/>
          <w:highlight w:val="none"/>
        </w:rPr>
        <w:t>2</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cs="Tahoma"/>
          <w:color w:val="000000" w:themeColor="text1"/>
          <w:highlight w:val="none"/>
        </w:rPr>
        <w:t>2.购买招标文件地点：阳江市江城区猫山四街33号A座2楼</w:t>
      </w:r>
      <w:r>
        <w:rPr>
          <w:rFonts w:hint="eastAsia"/>
          <w:color w:val="000000" w:themeColor="text1"/>
          <w:szCs w:val="21"/>
          <w:highlight w:val="none"/>
          <w:lang w:val="en-US" w:eastAsia="zh-CN"/>
        </w:rPr>
        <w:t>2</w:t>
      </w:r>
      <w:r>
        <w:rPr>
          <w:rFonts w:hint="eastAsia"/>
          <w:color w:val="000000" w:themeColor="text1"/>
          <w:szCs w:val="21"/>
          <w:highlight w:val="none"/>
        </w:rPr>
        <w:t>05室。</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bCs/>
          <w:color w:val="000000" w:themeColor="text1"/>
          <w:highlight w:val="none"/>
        </w:rPr>
        <w:t>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pPr>
        <w:widowControl/>
        <w:tabs>
          <w:tab w:val="left" w:pos="735"/>
        </w:tabs>
        <w:adjustRightInd w:val="0"/>
        <w:snapToGrid w:val="0"/>
        <w:spacing w:line="360" w:lineRule="auto"/>
        <w:ind w:firstLine="210" w:firstLineChars="100"/>
        <w:rPr>
          <w:rFonts w:ascii="宋体" w:hAnsi="宋体" w:cs="Arial"/>
          <w:color w:val="000000" w:themeColor="text1"/>
          <w:highlight w:val="none"/>
        </w:rPr>
      </w:pPr>
      <w:r>
        <w:rPr>
          <w:rFonts w:hint="eastAsia" w:ascii="宋体" w:hAnsi="宋体" w:cs="Tahoma"/>
          <w:color w:val="000000" w:themeColor="text1"/>
          <w:highlight w:val="none"/>
        </w:rPr>
        <w:t>1.递交投标文件时间：</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7</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11</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color w:val="000000" w:themeColor="text1"/>
          <w:highlight w:val="none"/>
          <w:lang w:val="en-US" w:eastAsia="zh-CN"/>
        </w:rPr>
        <w:t>9</w:t>
      </w:r>
      <w:r>
        <w:rPr>
          <w:rFonts w:hint="eastAsia" w:ascii="宋体" w:hAnsi="宋体"/>
          <w:color w:val="000000" w:themeColor="text1"/>
          <w:highlight w:val="none"/>
        </w:rPr>
        <w:t>:</w:t>
      </w:r>
      <w:r>
        <w:rPr>
          <w:rFonts w:hint="eastAsia" w:ascii="宋体" w:hAnsi="宋体"/>
          <w:color w:val="000000" w:themeColor="text1"/>
          <w:highlight w:val="none"/>
          <w:lang w:val="en-US" w:eastAsia="zh-CN"/>
        </w:rPr>
        <w:t>0</w:t>
      </w:r>
      <w:r>
        <w:rPr>
          <w:rFonts w:hint="eastAsia" w:ascii="宋体" w:hAnsi="宋体"/>
          <w:color w:val="000000" w:themeColor="text1"/>
          <w:highlight w:val="none"/>
        </w:rPr>
        <w:t>0-</w:t>
      </w:r>
      <w:r>
        <w:rPr>
          <w:rFonts w:hint="eastAsia" w:ascii="宋体" w:hAnsi="宋体"/>
          <w:color w:val="000000" w:themeColor="text1"/>
          <w:highlight w:val="none"/>
          <w:lang w:val="en-US" w:eastAsia="zh-CN"/>
        </w:rPr>
        <w:t>9</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2.投标截止时间、开标时间：</w:t>
      </w:r>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7</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11</w:t>
      </w:r>
      <w:bookmarkStart w:id="2048" w:name="_GoBack"/>
      <w:bookmarkEnd w:id="2048"/>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color w:val="000000" w:themeColor="text1"/>
          <w:highlight w:val="none"/>
          <w:lang w:val="en-US" w:eastAsia="zh-CN"/>
        </w:rPr>
        <w:t>9</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3.递交投标文件地点、开标地点：阳江市江城区猫山四街33号A座2楼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国家税务总局阳西县税务局</w:t>
      </w:r>
    </w:p>
    <w:p>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址：广东省阳江市阳西县织篢镇桥平一路278号</w:t>
      </w:r>
    </w:p>
    <w:p>
      <w:pPr>
        <w:tabs>
          <w:tab w:val="left" w:pos="735"/>
          <w:tab w:val="left" w:pos="4680"/>
        </w:tabs>
        <w:adjustRightInd w:val="0"/>
        <w:snapToGrid w:val="0"/>
        <w:spacing w:line="360" w:lineRule="auto"/>
        <w:ind w:firstLine="630" w:firstLineChars="3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 系 人：梁先生</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联系电话：0662-5539357</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wordWrap/>
        <w:adjustRightInd w:val="0"/>
        <w:snapToGrid w:val="0"/>
        <w:spacing w:line="336" w:lineRule="auto"/>
        <w:ind w:firstLine="630" w:firstLineChars="300"/>
        <w:textAlignment w:val="auto"/>
        <w:rPr>
          <w:rFonts w:ascii="宋体" w:hAnsi="宋体"/>
          <w:color w:val="000000" w:themeColor="text1"/>
          <w:szCs w:val="21"/>
          <w:highlight w:val="none"/>
        </w:rPr>
      </w:pPr>
      <w:r>
        <w:rPr>
          <w:rFonts w:hint="eastAsia" w:ascii="宋体" w:hAnsi="宋体" w:cs="Tahoma"/>
          <w:color w:val="000000" w:themeColor="text1"/>
          <w:highlight w:val="none"/>
        </w:rPr>
        <w:t>网    址：</w:t>
      </w:r>
      <w:r>
        <w:rPr>
          <w:rFonts w:ascii="宋体" w:hAnsi="宋体"/>
          <w:color w:val="000000" w:themeColor="text1"/>
          <w:szCs w:val="21"/>
          <w:highlight w:val="none"/>
          <w:u w:val="none"/>
        </w:rPr>
        <w:t>http://www.gdgpo.</w:t>
      </w:r>
      <w:r>
        <w:rPr>
          <w:rFonts w:hint="eastAsia" w:ascii="宋体" w:hAnsi="宋体"/>
          <w:color w:val="000000" w:themeColor="text1"/>
          <w:szCs w:val="21"/>
          <w:highlight w:val="none"/>
          <w:u w:val="none"/>
          <w:lang w:val="en-US" w:eastAsia="zh-CN"/>
        </w:rPr>
        <w:t>com.</w:t>
      </w:r>
      <w:r>
        <w:rPr>
          <w:rFonts w:ascii="宋体" w:hAnsi="宋体"/>
          <w:color w:val="000000" w:themeColor="text1"/>
          <w:szCs w:val="21"/>
          <w:highlight w:val="none"/>
          <w:u w:val="none"/>
        </w:rPr>
        <w:t>cn</w:t>
      </w:r>
    </w:p>
    <w:p>
      <w:pPr>
        <w:tabs>
          <w:tab w:val="left" w:pos="4680"/>
        </w:tabs>
        <w:adjustRightInd w:val="0"/>
        <w:snapToGrid w:val="0"/>
        <w:spacing w:line="360" w:lineRule="auto"/>
        <w:ind w:firstLine="1680" w:firstLineChars="800"/>
        <w:rPr>
          <w:rFonts w:ascii="宋体" w:hAnsi="宋体"/>
          <w:bCs/>
          <w:color w:val="000000" w:themeColor="text1"/>
          <w:highlight w:val="none"/>
        </w:rPr>
      </w:pP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adjustRightInd w:val="0"/>
        <w:snapToGrid w:val="0"/>
        <w:spacing w:line="360" w:lineRule="auto"/>
        <w:rPr>
          <w:rFonts w:ascii="宋体" w:hAnsi="宋体"/>
          <w:b/>
          <w:color w:val="000000" w:themeColor="text1"/>
          <w:spacing w:val="20"/>
          <w:szCs w:val="21"/>
          <w:highlight w:val="none"/>
        </w:rPr>
      </w:pPr>
    </w:p>
    <w:p>
      <w:pPr>
        <w:widowControl/>
        <w:tabs>
          <w:tab w:val="left" w:pos="4769"/>
        </w:tabs>
        <w:adjustRightInd w:val="0"/>
        <w:snapToGrid w:val="0"/>
        <w:spacing w:line="360" w:lineRule="auto"/>
        <w:ind w:left="105" w:leftChars="50" w:firstLine="420" w:firstLineChars="200"/>
        <w:jc w:val="right"/>
        <w:rPr>
          <w:rFonts w:hint="eastAsia" w:ascii="宋体" w:hAnsi="宋体"/>
          <w:bCs/>
          <w:color w:val="000000" w:themeColor="text1"/>
          <w:highlight w:val="none"/>
        </w:rPr>
      </w:pP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r>
        <w:rPr>
          <w:rFonts w:hint="eastAsia" w:ascii="宋体" w:hAnsi="宋体"/>
          <w:bCs/>
          <w:color w:val="000000" w:themeColor="text1"/>
          <w:highlight w:val="none"/>
        </w:rPr>
        <w:t>广东业信采购招标有限公司</w:t>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rPr>
      </w:pPr>
      <w:bookmarkStart w:id="37" w:name="_Toc340677032"/>
      <w:bookmarkStart w:id="38" w:name="_Toc350756404"/>
      <w:bookmarkStart w:id="39" w:name="_Toc366072458"/>
      <w:bookmarkStart w:id="40" w:name="_Toc339020187"/>
      <w:bookmarkStart w:id="41" w:name="_Toc333238572"/>
      <w:bookmarkStart w:id="42" w:name="_Toc350438703"/>
      <w:bookmarkStart w:id="43" w:name="_Toc349127584"/>
      <w:bookmarkStart w:id="44" w:name="_Toc336681538"/>
      <w:bookmarkStart w:id="45" w:name="_Toc332206658"/>
      <w:bookmarkStart w:id="46" w:name="_Toc339441045"/>
      <w:bookmarkStart w:id="47" w:name="_Toc339362258"/>
      <w:bookmarkStart w:id="48" w:name="_Toc365985109"/>
      <w:bookmarkStart w:id="49" w:name="_Toc339019955"/>
      <w:bookmarkStart w:id="50" w:name="_Toc330459946"/>
      <w:bookmarkStart w:id="51" w:name="_Toc337632316"/>
      <w:bookmarkStart w:id="52" w:name="_Toc340672831"/>
      <w:bookmarkStart w:id="53" w:name="_Toc339020049"/>
      <w:bookmarkStart w:id="54" w:name="_Toc340507404"/>
      <w:bookmarkStart w:id="55" w:name="_Toc342060323"/>
      <w:bookmarkStart w:id="56" w:name="_Toc336681893"/>
      <w:bookmarkStart w:id="57" w:name="_Toc365967003"/>
      <w:bookmarkStart w:id="58" w:name="_Toc333237724"/>
      <w:bookmarkStart w:id="59" w:name="_Toc342296709"/>
      <w:bookmarkStart w:id="60" w:name="_Toc331683995"/>
      <w:bookmarkStart w:id="61" w:name="_Toc349143547"/>
      <w:bookmarkStart w:id="62" w:name="_Toc339019829"/>
      <w:bookmarkStart w:id="63" w:name="_Toc332270306"/>
      <w:bookmarkStart w:id="64" w:name="_Toc333935279"/>
      <w:bookmarkStart w:id="65" w:name="_Toc345513763"/>
      <w:bookmarkStart w:id="66" w:name="_Toc333935620"/>
      <w:bookmarkStart w:id="67" w:name="_Toc333237613"/>
      <w:bookmarkStart w:id="68" w:name="_Toc331512857"/>
      <w:bookmarkStart w:id="69" w:name="_Toc341348292"/>
      <w:r>
        <w:rPr>
          <w:rFonts w:ascii="Times New Roman" w:hAnsi="Times New Roman" w:eastAsia="宋体" w:cs="Times New Roman"/>
          <w:color w:val="000000" w:themeColor="text1"/>
          <w:kern w:val="2"/>
          <w:sz w:val="21"/>
          <w:szCs w:val="24"/>
          <w:highlight w:val="none"/>
          <w:lang w:val="en-US" w:eastAsia="zh-CN" w:bidi="ar-SA"/>
        </w:rPr>
        <w:t>202</w:t>
      </w:r>
      <w:r>
        <w:rPr>
          <w:rFonts w:hint="eastAsia" w:cs="Times New Roman"/>
          <w:color w:val="000000" w:themeColor="text1"/>
          <w:kern w:val="2"/>
          <w:sz w:val="21"/>
          <w:szCs w:val="24"/>
          <w:highlight w:val="none"/>
          <w:lang w:val="en-US" w:eastAsia="zh-CN" w:bidi="ar-SA"/>
        </w:rPr>
        <w:t>3</w:t>
      </w:r>
      <w:r>
        <w:rPr>
          <w:rFonts w:ascii="Times New Roman" w:hAnsi="Times New Roman" w:eastAsia="宋体" w:cs="Times New Roman"/>
          <w:color w:val="000000" w:themeColor="text1"/>
          <w:kern w:val="2"/>
          <w:sz w:val="21"/>
          <w:szCs w:val="24"/>
          <w:highlight w:val="none"/>
          <w:lang w:val="en-US" w:eastAsia="zh-CN" w:bidi="ar-SA"/>
        </w:rPr>
        <w:t>年</w:t>
      </w:r>
      <w:r>
        <w:rPr>
          <w:rFonts w:hint="eastAsia" w:cs="Times New Roman"/>
          <w:color w:val="000000" w:themeColor="text1"/>
          <w:kern w:val="2"/>
          <w:sz w:val="21"/>
          <w:szCs w:val="24"/>
          <w:highlight w:val="none"/>
          <w:lang w:val="en-US" w:eastAsia="zh-CN" w:bidi="ar-SA"/>
        </w:rPr>
        <w:t>6</w:t>
      </w:r>
      <w:r>
        <w:rPr>
          <w:rFonts w:ascii="Times New Roman" w:hAnsi="Times New Roman" w:eastAsia="宋体" w:cs="Times New Roman"/>
          <w:color w:val="000000" w:themeColor="text1"/>
          <w:kern w:val="2"/>
          <w:sz w:val="21"/>
          <w:szCs w:val="24"/>
          <w:highlight w:val="none"/>
          <w:lang w:val="en-US" w:eastAsia="zh-CN" w:bidi="ar-SA"/>
        </w:rPr>
        <w:t>月</w:t>
      </w:r>
      <w:r>
        <w:rPr>
          <w:rFonts w:hint="eastAsia" w:cs="Times New Roman"/>
          <w:color w:val="000000" w:themeColor="text1"/>
          <w:kern w:val="2"/>
          <w:sz w:val="21"/>
          <w:szCs w:val="24"/>
          <w:highlight w:val="none"/>
          <w:lang w:val="en-US" w:eastAsia="zh-CN" w:bidi="ar-SA"/>
        </w:rPr>
        <w:t>19</w:t>
      </w:r>
      <w:r>
        <w:rPr>
          <w:rFonts w:ascii="Times New Roman" w:hAnsi="Times New Roman" w:eastAsia="宋体" w:cs="Times New Roman"/>
          <w:color w:val="000000" w:themeColor="text1"/>
          <w:kern w:val="2"/>
          <w:sz w:val="21"/>
          <w:szCs w:val="24"/>
          <w:highlight w:val="none"/>
          <w:lang w:val="en-US" w:eastAsia="zh-CN" w:bidi="ar-SA"/>
        </w:rPr>
        <w:t>日</w:t>
      </w: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jc w:val="center"/>
        <w:rPr>
          <w:color w:val="000000" w:themeColor="text1"/>
          <w:highlight w:val="none"/>
        </w:rPr>
      </w:pPr>
      <w:bookmarkStart w:id="70" w:name="_Toc23280"/>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614"/>
      <w:bookmarkStart w:id="74" w:name="_Toc333935280"/>
      <w:bookmarkStart w:id="75" w:name="_Toc333935621"/>
      <w:bookmarkStart w:id="76" w:name="_Toc333238573"/>
      <w:bookmarkStart w:id="77" w:name="_Toc75570886"/>
      <w:bookmarkStart w:id="78" w:name="_Toc333237725"/>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1"/>
          <w:numId w:val="0"/>
        </w:numPr>
        <w:spacing w:beforeLines="150" w:after="0" w:line="360" w:lineRule="auto"/>
        <w:jc w:val="center"/>
        <w:rPr>
          <w:rFonts w:hint="eastAsia"/>
          <w:color w:val="000000" w:themeColor="text1"/>
          <w:kern w:val="0"/>
          <w:sz w:val="24"/>
          <w:highlight w:val="none"/>
          <w:lang w:val="en-US" w:eastAsia="zh-CN"/>
        </w:rPr>
      </w:pPr>
      <w:bookmarkStart w:id="79" w:name="_Toc2524"/>
      <w:bookmarkStart w:id="80" w:name="_Toc333935313"/>
      <w:bookmarkStart w:id="81" w:name="_Toc342296727"/>
      <w:bookmarkStart w:id="82" w:name="_Toc333935654"/>
      <w:bookmarkStart w:id="83" w:name="_Toc332206675"/>
      <w:bookmarkStart w:id="84" w:name="_Toc365967040"/>
      <w:bookmarkStart w:id="85" w:name="_Toc331684005"/>
      <w:bookmarkStart w:id="86" w:name="_Toc339019982"/>
      <w:bookmarkStart w:id="87" w:name="_Toc342060341"/>
      <w:bookmarkStart w:id="88" w:name="_Toc332270313"/>
      <w:bookmarkStart w:id="89" w:name="_Toc339020200"/>
      <w:bookmarkStart w:id="90" w:name="_Toc336681547"/>
      <w:bookmarkStart w:id="91" w:name="_Toc350756417"/>
      <w:bookmarkStart w:id="92" w:name="_Toc330459952"/>
      <w:bookmarkStart w:id="93" w:name="_Toc340507409"/>
      <w:bookmarkStart w:id="94" w:name="_Toc341348305"/>
      <w:bookmarkStart w:id="95" w:name="_Toc333237644"/>
      <w:bookmarkStart w:id="96" w:name="_Toc339362267"/>
      <w:bookmarkStart w:id="97" w:name="_Toc336681902"/>
      <w:bookmarkStart w:id="98" w:name="_Toc340672836"/>
      <w:bookmarkStart w:id="99" w:name="_Toc339019856"/>
      <w:bookmarkStart w:id="100" w:name="_Toc350438716"/>
      <w:bookmarkStart w:id="101" w:name="_Toc339441054"/>
      <w:bookmarkStart w:id="102" w:name="_Toc366072495"/>
      <w:bookmarkStart w:id="103" w:name="_Toc333237755"/>
      <w:bookmarkStart w:id="104" w:name="_Toc345513834"/>
      <w:bookmarkStart w:id="105" w:name="_Toc339020062"/>
      <w:bookmarkStart w:id="106" w:name="_Toc331512865"/>
      <w:bookmarkStart w:id="107" w:name="_Toc337632325"/>
      <w:bookmarkStart w:id="108" w:name="_Toc349127593"/>
      <w:bookmarkStart w:id="109" w:name="_Toc365985146"/>
      <w:bookmarkStart w:id="110" w:name="_Toc349143556"/>
      <w:bookmarkStart w:id="111" w:name="_Toc340677037"/>
      <w:bookmarkStart w:id="112" w:name="_Toc333238600"/>
      <w:r>
        <w:rPr>
          <w:rFonts w:hint="eastAsia"/>
          <w:color w:val="000000" w:themeColor="text1"/>
          <w:kern w:val="0"/>
          <w:sz w:val="24"/>
          <w:highlight w:val="none"/>
          <w:lang w:val="en-US" w:eastAsia="zh-CN"/>
        </w:rPr>
        <w:t>用户需求书</w:t>
      </w:r>
      <w:bookmarkEnd w:id="79"/>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13" w:name="_Toc32012"/>
      <w:bookmarkStart w:id="114" w:name="_Toc14149"/>
      <w:bookmarkStart w:id="115" w:name="_Toc17448"/>
      <w:bookmarkStart w:id="116" w:name="_Toc23548"/>
      <w:r>
        <w:rPr>
          <w:rFonts w:hint="eastAsia" w:ascii="宋体" w:hAnsi="宋体" w:eastAsia="宋体" w:cs="宋体"/>
          <w:b/>
          <w:bCs/>
          <w:color w:val="000000" w:themeColor="text1"/>
          <w:highlight w:val="none"/>
        </w:rPr>
        <w:t>一、项目概述</w:t>
      </w:r>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17" w:name="_Toc31574"/>
      <w:bookmarkStart w:id="118" w:name="_Toc29111"/>
      <w:bookmarkStart w:id="119" w:name="_Toc22842"/>
      <w:bookmarkStart w:id="120" w:name="_Toc13052"/>
      <w:r>
        <w:rPr>
          <w:rFonts w:hint="eastAsia" w:ascii="宋体" w:hAnsi="宋体" w:eastAsia="宋体" w:cs="宋体"/>
          <w:color w:val="000000" w:themeColor="text1"/>
          <w:highlight w:val="none"/>
          <w:lang w:eastAsia="zh-CN"/>
        </w:rPr>
        <w:t>（一）</w:t>
      </w:r>
      <w:r>
        <w:rPr>
          <w:rFonts w:hint="eastAsia" w:ascii="宋体" w:hAnsi="宋体" w:eastAsia="宋体" w:cs="宋体"/>
          <w:color w:val="000000" w:themeColor="text1"/>
          <w:highlight w:val="none"/>
        </w:rPr>
        <w:t>项目背景</w:t>
      </w:r>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在政策层面，《中华人民共和国民法典》等法律法规，对规范劳务外包行为，强化合同双方权责意识，保障劳务外包活动当事人合法权益提供了基本遵循。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需求层面，各行业整合自身资源实施劳务外包，将非核心业务进行委托，有利于促进专注核心业务发展，同时借助外部的专业化人力资源优势，强化组织应对社会发展的应变能力，使生产力得到有效提高。在此背景下，为适应税收事业现代化发展，满足日益增长的专业化劳务服务需求，</w:t>
      </w:r>
      <w:r>
        <w:rPr>
          <w:rFonts w:hint="eastAsia" w:ascii="宋体" w:hAnsi="宋体" w:eastAsia="宋体" w:cs="宋体"/>
          <w:color w:val="000000" w:themeColor="text1"/>
          <w:highlight w:val="none"/>
          <w:lang w:eastAsia="zh-CN"/>
        </w:rPr>
        <w:t>国家税务总局阳西县税务局</w:t>
      </w:r>
      <w:r>
        <w:rPr>
          <w:rFonts w:hint="eastAsia" w:ascii="宋体" w:hAnsi="宋体" w:eastAsia="宋体" w:cs="宋体"/>
          <w:color w:val="000000" w:themeColor="text1"/>
          <w:highlight w:val="none"/>
        </w:rPr>
        <w:t>的劳务外包服务首次面向社会进行公开招标。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在意义层面，本项目通过公开招标，有利于保障社会公共利益和劳务外包服务招标采购活动当事人的合法权益，维护公平竞争的市场秩序，促进</w:t>
      </w:r>
      <w:r>
        <w:rPr>
          <w:rFonts w:hint="eastAsia" w:ascii="宋体" w:hAnsi="宋体" w:eastAsia="宋体" w:cs="宋体"/>
          <w:color w:val="000000" w:themeColor="text1"/>
          <w:highlight w:val="none"/>
          <w:lang w:eastAsia="zh-CN"/>
        </w:rPr>
        <w:t>国家税务总局阳西县税务局</w:t>
      </w:r>
      <w:r>
        <w:rPr>
          <w:rFonts w:hint="eastAsia" w:ascii="宋体" w:hAnsi="宋体" w:eastAsia="宋体" w:cs="宋体"/>
          <w:color w:val="000000" w:themeColor="text1"/>
          <w:highlight w:val="none"/>
        </w:rPr>
        <w:t>后勤</w:t>
      </w:r>
      <w:r>
        <w:rPr>
          <w:rFonts w:hint="eastAsia" w:ascii="宋体" w:hAnsi="宋体" w:eastAsia="宋体" w:cs="宋体"/>
          <w:color w:val="000000" w:themeColor="text1"/>
          <w:highlight w:val="none"/>
          <w:lang w:eastAsia="zh-CN"/>
        </w:rPr>
        <w:t>保障</w:t>
      </w:r>
      <w:r>
        <w:rPr>
          <w:rFonts w:hint="eastAsia" w:ascii="宋体" w:hAnsi="宋体" w:eastAsia="宋体" w:cs="宋体"/>
          <w:color w:val="000000" w:themeColor="text1"/>
          <w:highlight w:val="none"/>
        </w:rPr>
        <w:t>服务水平的提升。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bookmarkStart w:id="121" w:name="_Toc31842"/>
      <w:bookmarkStart w:id="122" w:name="_Toc22461"/>
      <w:bookmarkStart w:id="123" w:name="_Toc18854"/>
      <w:bookmarkStart w:id="124" w:name="_Toc20752"/>
      <w:r>
        <w:rPr>
          <w:rFonts w:hint="eastAsia" w:ascii="宋体" w:hAnsi="宋体" w:eastAsia="宋体" w:cs="宋体"/>
          <w:color w:val="000000" w:themeColor="text1"/>
          <w:highlight w:val="none"/>
          <w:lang w:eastAsia="zh-CN"/>
        </w:rPr>
        <w:t>（二）</w:t>
      </w:r>
      <w:r>
        <w:rPr>
          <w:rFonts w:hint="eastAsia" w:ascii="宋体" w:hAnsi="宋体" w:eastAsia="宋体" w:cs="宋体"/>
          <w:color w:val="000000" w:themeColor="text1"/>
          <w:highlight w:val="none"/>
        </w:rPr>
        <w:t>项目内容</w:t>
      </w:r>
      <w:bookmarkEnd w:id="121"/>
      <w:bookmarkEnd w:id="122"/>
      <w:bookmarkEnd w:id="123"/>
      <w:bookmarkEnd w:id="1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标的名称：</w:t>
      </w:r>
      <w:r>
        <w:rPr>
          <w:rFonts w:hint="eastAsia" w:ascii="宋体" w:hAnsi="宋体" w:eastAsia="宋体" w:cs="宋体"/>
          <w:color w:val="000000" w:themeColor="text1"/>
          <w:highlight w:val="none"/>
          <w:lang w:eastAsia="zh-CN"/>
        </w:rPr>
        <w:t>国家税务总局阳西县税务局2023年－2025年劳务外包服务项目</w:t>
      </w:r>
      <w:r>
        <w:rPr>
          <w:rFonts w:hint="eastAsia" w:ascii="宋体" w:hAnsi="宋体" w:eastAsia="宋体" w:cs="宋体"/>
          <w:color w:val="000000" w:themeColor="text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标的金额：总预算金额</w:t>
      </w:r>
      <w:r>
        <w:rPr>
          <w:rFonts w:hint="eastAsia" w:ascii="宋体" w:hAnsi="宋体" w:eastAsia="宋体" w:cs="宋体"/>
          <w:color w:val="000000" w:themeColor="text1"/>
          <w:highlight w:val="none"/>
          <w:lang w:val="en-US" w:eastAsia="zh-CN"/>
        </w:rPr>
        <w:t>720</w:t>
      </w:r>
      <w:r>
        <w:rPr>
          <w:rFonts w:hint="eastAsia" w:ascii="宋体" w:hAnsi="宋体" w:eastAsia="宋体" w:cs="宋体"/>
          <w:color w:val="000000" w:themeColor="text1"/>
          <w:highlight w:val="none"/>
        </w:rPr>
        <w:t>万元，其中每年</w:t>
      </w:r>
      <w:r>
        <w:rPr>
          <w:rFonts w:hint="eastAsia" w:ascii="宋体" w:hAnsi="宋体" w:eastAsia="宋体" w:cs="宋体"/>
          <w:color w:val="000000" w:themeColor="text1"/>
          <w:highlight w:val="none"/>
          <w:lang w:val="en-US" w:eastAsia="zh-CN"/>
        </w:rPr>
        <w:t>360</w:t>
      </w:r>
      <w:r>
        <w:rPr>
          <w:rFonts w:hint="eastAsia" w:ascii="宋体" w:hAnsi="宋体" w:eastAsia="宋体" w:cs="宋体"/>
          <w:color w:val="000000" w:themeColor="text1"/>
          <w:highlight w:val="none"/>
        </w:rPr>
        <w:t>万元，不划分包组；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服务期限：</w:t>
      </w:r>
      <w:r>
        <w:rPr>
          <w:rFonts w:hint="eastAsia" w:ascii="宋体" w:hAnsi="宋体" w:eastAsia="宋体" w:cs="宋体"/>
          <w:color w:val="000000" w:themeColor="text1"/>
          <w:highlight w:val="none"/>
          <w:lang w:val="en-US" w:eastAsia="zh-CN"/>
        </w:rPr>
        <w:t>两</w:t>
      </w:r>
      <w:r>
        <w:rPr>
          <w:rFonts w:hint="eastAsia" w:ascii="宋体" w:hAnsi="宋体" w:eastAsia="宋体" w:cs="宋体"/>
          <w:color w:val="000000" w:themeColor="text1"/>
          <w:highlight w:val="none"/>
        </w:rPr>
        <w:t>年</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共</w:t>
      </w:r>
      <w:r>
        <w:rPr>
          <w:rFonts w:hint="eastAsia" w:ascii="宋体" w:hAnsi="宋体" w:eastAsia="宋体" w:cs="宋体"/>
          <w:color w:val="000000" w:themeColor="text1"/>
          <w:highlight w:val="none"/>
          <w:lang w:val="en-US" w:eastAsia="zh-CN"/>
        </w:rPr>
        <w:t>24</w:t>
      </w:r>
      <w:r>
        <w:rPr>
          <w:rFonts w:hint="eastAsia" w:ascii="宋体" w:hAnsi="宋体" w:eastAsia="宋体" w:cs="宋体"/>
          <w:color w:val="000000" w:themeColor="text1"/>
          <w:highlight w:val="none"/>
        </w:rPr>
        <w:t>个月。采购人对中标人的服务质量进行综合考核，若中标人累计2个月以上服务质量及综合指标考核不合格(考核标准详见附件)，采购人可向中标人送达《终止合同通知书》，并终止合同；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本项目的中小企业划分标准所属行业为：租赁和商务服务业。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lang w:eastAsia="zh-CN"/>
        </w:rPr>
        <w:t>服务地点：</w:t>
      </w:r>
      <w:r>
        <w:rPr>
          <w:rFonts w:hint="eastAsia" w:ascii="宋体" w:hAnsi="宋体" w:eastAsia="宋体" w:cs="宋体"/>
          <w:color w:val="000000" w:themeColor="text1"/>
          <w:highlight w:val="none"/>
        </w:rPr>
        <w:t>国家税务总局阳西县税务局桥平办公区、国家税务总局阳西县税务局升平办公区、</w:t>
      </w:r>
      <w:r>
        <w:rPr>
          <w:rFonts w:hint="eastAsia" w:ascii="宋体" w:hAnsi="宋体" w:eastAsia="宋体" w:cs="宋体"/>
          <w:color w:val="000000" w:themeColor="text1"/>
          <w:highlight w:val="none"/>
          <w:lang w:eastAsia="zh-CN"/>
        </w:rPr>
        <w:t>国家税务总局阳西县税务局第一税务分局（办税服务厅）、</w:t>
      </w:r>
      <w:r>
        <w:rPr>
          <w:rFonts w:hint="eastAsia" w:ascii="宋体" w:hAnsi="宋体" w:eastAsia="宋体" w:cs="宋体"/>
          <w:color w:val="000000" w:themeColor="text1"/>
          <w:highlight w:val="none"/>
        </w:rPr>
        <w:t>国家税务总局阳西县税务局沙扒税务分局、国家税务总局阳西县税务局儒洞税务分局</w:t>
      </w:r>
      <w:r>
        <w:rPr>
          <w:rFonts w:hint="eastAsia" w:ascii="宋体" w:hAnsi="宋体" w:eastAsia="宋体" w:cs="宋体"/>
          <w:color w:val="000000" w:themeColor="text1"/>
          <w:highlight w:val="none"/>
          <w:lang w:eastAsia="zh-CN"/>
        </w:rPr>
        <w:t>，以及阳西县内采购人指定的其他地点。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6.项目总费用明细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eastAsia="zh-CN"/>
        </w:rPr>
        <w:t>）服务人员正常工作时间的工资及</w:t>
      </w:r>
      <w:r>
        <w:rPr>
          <w:rFonts w:hint="eastAsia" w:ascii="宋体" w:hAnsi="宋体" w:eastAsia="宋体" w:cs="宋体"/>
          <w:color w:val="000000" w:themeColor="text1"/>
          <w:highlight w:val="none"/>
          <w:lang w:val="en-US" w:eastAsia="zh-CN"/>
        </w:rPr>
        <w:t>加班费</w:t>
      </w:r>
      <w:r>
        <w:rPr>
          <w:rFonts w:hint="eastAsia" w:ascii="宋体" w:hAnsi="宋体" w:eastAsia="宋体" w:cs="宋体"/>
          <w:color w:val="000000" w:themeColor="text1"/>
          <w:highlight w:val="none"/>
          <w:lang w:eastAsia="zh-CN"/>
        </w:rPr>
        <w:t>、福利、应缴纳各项社会保险费（含养老、医疗、工伤、失业、生育险</w:t>
      </w:r>
      <w:r>
        <w:rPr>
          <w:rFonts w:hint="eastAsia"/>
          <w:color w:val="000000" w:themeColor="text1"/>
          <w:highlight w:val="none"/>
          <w:lang w:eastAsia="zh-CN"/>
        </w:rPr>
        <w:t>、</w:t>
      </w:r>
      <w:r>
        <w:rPr>
          <w:rFonts w:hint="eastAsia"/>
          <w:color w:val="000000" w:themeColor="text1"/>
          <w:highlight w:val="none"/>
          <w:lang w:val="en-US" w:eastAsia="zh-CN"/>
        </w:rPr>
        <w:t>高额医疗保险</w:t>
      </w:r>
      <w:r>
        <w:rPr>
          <w:rFonts w:hint="eastAsia" w:ascii="宋体" w:hAnsi="宋体" w:eastAsia="宋体" w:cs="宋体"/>
          <w:color w:val="000000" w:themeColor="text1"/>
          <w:highlight w:val="none"/>
          <w:lang w:eastAsia="zh-CN"/>
        </w:rPr>
        <w:t>）、住房公积金。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（2）对服务人员开展节日慰问，提供年度体检服务、培训教育、工作制服有关的费用。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 xml:space="preserve">   上述第（1）（2）项费用，</w:t>
      </w:r>
      <w:r>
        <w:rPr>
          <w:rFonts w:hint="eastAsia" w:ascii="宋体" w:hAnsi="宋体" w:eastAsia="宋体" w:cs="宋体"/>
          <w:color w:val="000000" w:themeColor="text1"/>
          <w:highlight w:val="none"/>
          <w:lang w:eastAsia="zh-CN"/>
        </w:rPr>
        <w:t>以下</w:t>
      </w:r>
      <w:r>
        <w:rPr>
          <w:rFonts w:hint="eastAsia" w:ascii="宋体" w:hAnsi="宋体" w:eastAsia="宋体" w:cs="宋体"/>
          <w:color w:val="000000" w:themeColor="text1"/>
          <w:highlight w:val="none"/>
          <w:lang w:val="en-US" w:eastAsia="zh-CN"/>
        </w:rPr>
        <w:t>合</w:t>
      </w:r>
      <w:r>
        <w:rPr>
          <w:rFonts w:hint="eastAsia" w:ascii="宋体" w:hAnsi="宋体" w:eastAsia="宋体" w:cs="宋体"/>
          <w:color w:val="000000" w:themeColor="text1"/>
          <w:highlight w:val="none"/>
          <w:lang w:eastAsia="zh-CN"/>
        </w:rPr>
        <w:t>称“薪酬”。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合同履行过程中因与员工产生劳动纠纷而产生的经济补偿金或赔偿金、工伤待遇、未及时签订劳动合同的另一倍工资等可能产生的法律责任和费用均由中标人承担，中标人不得要求采购人承担。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（4）中标人的服务管理费：每月服务管理费按不得高于该月份服务人员薪酬的10%计算（取小数点后两位）。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投标人只需对服务管理费的折扣率进行报价。报价方式：折扣率（0-100%）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7、其他要求：投标人在中标后优先录用本次公开招标前自愿与采购人或者相关劳务公司解除劳动合同的人员，且录用后其待遇与原待遇应相当。若低于原待遇的，采购人有权要求中标人纠正。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bookmarkStart w:id="125" w:name="_Toc25094"/>
      <w:bookmarkStart w:id="126" w:name="_Toc6787"/>
      <w:bookmarkStart w:id="127" w:name="_Toc18815"/>
      <w:bookmarkStart w:id="128" w:name="_Toc15193"/>
      <w:r>
        <w:rPr>
          <w:rFonts w:hint="eastAsia" w:ascii="宋体" w:hAnsi="宋体" w:eastAsia="宋体" w:cs="宋体"/>
          <w:b/>
          <w:bCs/>
          <w:color w:val="000000" w:themeColor="text1"/>
          <w:sz w:val="21"/>
          <w:szCs w:val="21"/>
          <w:highlight w:val="none"/>
        </w:rPr>
        <w:t>二、投标要求</w:t>
      </w:r>
      <w:bookmarkEnd w:id="125"/>
      <w:bookmarkEnd w:id="126"/>
      <w:bookmarkEnd w:id="127"/>
      <w:bookmarkEnd w:id="12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29" w:name="_Toc2390"/>
      <w:bookmarkStart w:id="130" w:name="_Toc27421"/>
      <w:bookmarkStart w:id="131" w:name="_Toc26865"/>
      <w:bookmarkStart w:id="132" w:name="_Toc13517"/>
      <w:r>
        <w:rPr>
          <w:rFonts w:hint="eastAsia" w:ascii="宋体" w:hAnsi="宋体" w:eastAsia="宋体" w:cs="宋体"/>
          <w:color w:val="000000" w:themeColor="text1"/>
          <w:sz w:val="21"/>
          <w:szCs w:val="21"/>
          <w:highlight w:val="none"/>
        </w:rPr>
        <w:t>（一）满足《中华人民共和国政府采购法》第二十二条规定，提供下列材料：</w:t>
      </w:r>
      <w:bookmarkEnd w:id="129"/>
      <w:bookmarkEnd w:id="130"/>
      <w:bookmarkEnd w:id="131"/>
      <w:bookmarkEnd w:id="13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1.具有独立承担民事责任的能力</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2.具有良好的商业信誉和健全的财务会计制度</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3.具有履行合同所必需的设备和专业技术能力</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4.有依法缴纳税收和社会保障资金的良好记录</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5.参加政府采购活动前三年内，在经营活动中没有重大违法记录</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6.法律、行政法规规定的其他条件</w:t>
      </w:r>
      <w:r>
        <w:rPr>
          <w:rFonts w:ascii="宋体" w:hAnsi="宋体"/>
          <w:color w:val="000000" w:themeColor="text1"/>
          <w:szCs w:val="21"/>
          <w:highlight w:val="none"/>
        </w:rPr>
        <w:t>（</w:t>
      </w:r>
      <w:r>
        <w:rPr>
          <w:rFonts w:hint="eastAsia" w:ascii="宋体" w:hAnsi="宋体"/>
          <w:color w:val="000000" w:themeColor="text1"/>
          <w:szCs w:val="21"/>
          <w:highlight w:val="none"/>
          <w:lang w:val="en-US" w:eastAsia="zh-CN"/>
        </w:rPr>
        <w:t>提供《投标函》</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33" w:name="_Toc7015"/>
      <w:bookmarkStart w:id="134" w:name="_Toc7490"/>
      <w:bookmarkStart w:id="135" w:name="_Toc13186"/>
      <w:bookmarkStart w:id="136" w:name="_Toc13175"/>
      <w:r>
        <w:rPr>
          <w:rFonts w:hint="eastAsia" w:ascii="宋体" w:hAnsi="宋体" w:eastAsia="宋体" w:cs="宋体"/>
          <w:color w:val="000000" w:themeColor="text1"/>
          <w:sz w:val="21"/>
          <w:szCs w:val="21"/>
          <w:highlight w:val="none"/>
        </w:rPr>
        <w:t>（二）落实政府采购政策需满足的资格要求：</w:t>
      </w:r>
      <w:bookmarkEnd w:id="133"/>
      <w:bookmarkEnd w:id="134"/>
      <w:bookmarkEnd w:id="135"/>
      <w:bookmarkEnd w:id="13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本项目属于专门面向中小企业采购。为落实《政府采购促进中小企业发展管理办法》（财库〔2020〕46号）政策，投标人为中型企业的，必须承诺中标后分包一定比例给小微企业，其中分包给小微企业的合同金额比例不低于 60%。（提供《分包意向协议书》或《分包承诺书》）。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37" w:name="_Toc432"/>
      <w:bookmarkStart w:id="138" w:name="_Toc8502"/>
      <w:bookmarkStart w:id="139" w:name="_Toc11895"/>
      <w:bookmarkStart w:id="140" w:name="_Toc6804"/>
      <w:r>
        <w:rPr>
          <w:rFonts w:hint="eastAsia" w:ascii="宋体" w:hAnsi="宋体" w:eastAsia="宋体" w:cs="宋体"/>
          <w:color w:val="000000" w:themeColor="text1"/>
          <w:sz w:val="21"/>
          <w:szCs w:val="21"/>
          <w:highlight w:val="none"/>
        </w:rPr>
        <w:t>（三）本项目的特定资格要求：</w:t>
      </w:r>
      <w:bookmarkEnd w:id="137"/>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1.为采购项目提供整体设计、规范编制或者项目管理、监理、检测等服务的供应商，不再参加该采购项目的其他采购活动。（提供《关于资格的声明函》）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2.单位负责人为同一人或者存在直接控股、管理关系的不同供应商，不得参加同一合同项下的政府采购活动。（提供《关于资格的声明函》）</w:t>
      </w:r>
    </w:p>
    <w:p>
      <w:pPr>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3.投标人未被列入“信用中国”网站(</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"http://www.creditchina.gov.cn" </w:instrText>
      </w:r>
      <w:r>
        <w:rPr>
          <w:rFonts w:hint="eastAsia" w:ascii="宋体" w:hAnsi="宋体" w:eastAsia="宋体" w:cs="宋体"/>
          <w:color w:val="000000" w:themeColor="text1"/>
          <w:highlight w:val="none"/>
        </w:rPr>
        <w:fldChar w:fldCharType="separate"/>
      </w:r>
      <w:r>
        <w:rPr>
          <w:rStyle w:val="51"/>
          <w:rFonts w:hint="eastAsia" w:ascii="宋体" w:hAnsi="宋体" w:eastAsia="宋体" w:cs="宋体"/>
          <w:color w:val="000000" w:themeColor="text1"/>
          <w:szCs w:val="21"/>
          <w:highlight w:val="none"/>
          <w:shd w:val="clear" w:color="auto" w:fill="FFFFFF"/>
        </w:rPr>
        <w:t>www.creditchina.gov.cn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)以下任意名单之一：①失信被执行人名单；②重大税收违法案件当事人名单；③政府采购严重违法失信名单。同时，不处于中国政府采购网（www.ccgp.gov.cn ）“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p>
      <w:pPr>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注：需要落实的政府采购政策： </w:t>
      </w:r>
    </w:p>
    <w:p>
      <w:pPr>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（1）《政府采购促进中小企业发展管理办法》的通知(财库[2020]46号)；</w:t>
      </w:r>
    </w:p>
    <w:p>
      <w:pPr>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（2）《关于政府采购支持监狱企业发展有关问题的通知》(财库(2014)68号)；</w:t>
      </w:r>
    </w:p>
    <w:p>
      <w:pPr>
        <w:bidi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（3）《关于促进残疾人就业政府采购政策的通知》(财库(2017)141号)；</w:t>
      </w:r>
    </w:p>
    <w:p>
      <w:pPr>
        <w:bidi w:val="0"/>
        <w:spacing w:line="360" w:lineRule="auto"/>
        <w:ind w:firstLine="420" w:firstLineChars="200"/>
        <w:rPr>
          <w:rFonts w:ascii="仿宋_GB2312" w:hAnsi="仿宋_GB2312" w:eastAsia="仿宋_GB2312"/>
          <w:b/>
          <w:bCs/>
          <w:color w:val="000000" w:themeColor="text1"/>
          <w:szCs w:val="32"/>
          <w:highlight w:val="none"/>
        </w:rPr>
      </w:pPr>
      <w:r>
        <w:rPr>
          <w:rFonts w:hint="eastAsia" w:ascii="宋体" w:hAnsi="宋体" w:eastAsia="宋体" w:cs="宋体"/>
          <w:color w:val="000000" w:themeColor="text1"/>
          <w:highlight w:val="none"/>
        </w:rPr>
        <w:t>（4）《关于运用政府采购政策支持乡村产业振兴的通知》(财库(2021)19号)等。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rPr>
      </w:pPr>
      <w:bookmarkStart w:id="141" w:name="_Toc28597"/>
      <w:bookmarkStart w:id="142" w:name="_Toc972"/>
      <w:bookmarkStart w:id="143" w:name="_Toc2931"/>
      <w:bookmarkStart w:id="144" w:name="_Toc3442"/>
      <w:r>
        <w:rPr>
          <w:rFonts w:hint="eastAsia" w:ascii="宋体" w:hAnsi="宋体" w:eastAsia="宋体" w:cs="宋体"/>
          <w:b/>
          <w:bCs/>
          <w:color w:val="000000" w:themeColor="text1"/>
          <w:highlight w:val="none"/>
        </w:rPr>
        <w:t>三、项目需求</w:t>
      </w:r>
      <w:bookmarkEnd w:id="141"/>
      <w:bookmarkEnd w:id="142"/>
      <w:bookmarkEnd w:id="143"/>
      <w:bookmarkEnd w:id="14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bookmarkStart w:id="145" w:name="_Hlk99006139"/>
      <w:bookmarkStart w:id="146" w:name="_Hlk98947354"/>
      <w:r>
        <w:rPr>
          <w:rFonts w:hint="eastAsia" w:ascii="宋体" w:hAnsi="宋体" w:eastAsia="宋体" w:cs="宋体"/>
          <w:color w:val="000000" w:themeColor="text1"/>
          <w:highlight w:val="none"/>
        </w:rPr>
        <w:t>劳务外包服务的范围包括以下内容：提供综合辅助服务、</w:t>
      </w:r>
      <w:r>
        <w:rPr>
          <w:rFonts w:hint="eastAsia" w:ascii="宋体" w:hAnsi="宋体" w:eastAsia="宋体" w:cs="宋体"/>
          <w:color w:val="000000" w:themeColor="text1"/>
          <w:highlight w:val="none"/>
          <w:lang w:eastAsia="zh-CN"/>
        </w:rPr>
        <w:t>后勤保障服务、网络和信息支持服务、</w:t>
      </w:r>
      <w:r>
        <w:rPr>
          <w:rFonts w:hint="eastAsia" w:ascii="宋体" w:hAnsi="宋体" w:eastAsia="宋体" w:cs="宋体"/>
          <w:color w:val="000000" w:themeColor="text1"/>
          <w:highlight w:val="none"/>
        </w:rPr>
        <w:t>公务用车驾驶服务、食堂劳务服务等，具体服务内容按照招标文件、合同及双方约定执行。拟外包人员总数量为</w:t>
      </w:r>
      <w:r>
        <w:rPr>
          <w:rFonts w:hint="eastAsia" w:ascii="宋体" w:hAnsi="宋体" w:eastAsia="宋体" w:cs="宋体"/>
          <w:color w:val="000000" w:themeColor="text1"/>
          <w:highlight w:val="none"/>
          <w:lang w:val="en-US" w:eastAsia="zh-CN"/>
        </w:rPr>
        <w:t>64</w:t>
      </w:r>
      <w:r>
        <w:rPr>
          <w:rFonts w:hint="eastAsia" w:ascii="宋体" w:hAnsi="宋体" w:eastAsia="宋体" w:cs="宋体"/>
          <w:color w:val="000000" w:themeColor="text1"/>
          <w:highlight w:val="none"/>
        </w:rPr>
        <w:t>人（实际外包人员数量根据采购人的服务需要进行调整），调整后的劳务外包服务量有减少的，据经采购人及中标人双方确定的实际劳务外包服务量进行结算。</w:t>
      </w:r>
      <w:bookmarkEnd w:id="145"/>
      <w:r>
        <w:rPr>
          <w:rFonts w:hint="eastAsia" w:ascii="宋体" w:hAnsi="宋体" w:eastAsia="宋体" w:cs="宋体"/>
          <w:b/>
          <w:bCs/>
          <w:color w:val="000000" w:themeColor="text1"/>
          <w:highlight w:val="none"/>
        </w:rPr>
        <w:t>（须提供承诺函）</w:t>
      </w:r>
      <w:bookmarkEnd w:id="14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、劳务外包服务</w:t>
      </w:r>
      <w:r>
        <w:rPr>
          <w:rFonts w:hint="eastAsia" w:ascii="宋体" w:hAnsi="宋体" w:eastAsia="宋体" w:cs="宋体"/>
          <w:color w:val="000000" w:themeColor="text1"/>
          <w:highlight w:val="none"/>
          <w:lang w:eastAsia="zh-CN"/>
        </w:rPr>
        <w:t>事项及要求明细如下</w:t>
      </w:r>
      <w:r>
        <w:rPr>
          <w:rFonts w:hint="eastAsia" w:ascii="宋体" w:hAnsi="宋体" w:eastAsia="宋体" w:cs="宋体"/>
          <w:color w:val="000000" w:themeColor="text1"/>
          <w:highlight w:val="none"/>
        </w:rPr>
        <w:t>：</w:t>
      </w:r>
    </w:p>
    <w:tbl>
      <w:tblPr>
        <w:tblStyle w:val="46"/>
        <w:tblW w:w="92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9"/>
        <w:gridCol w:w="1870"/>
        <w:gridCol w:w="5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olor w:val="000000" w:themeColor="text1"/>
                <w:szCs w:val="21"/>
                <w:highlight w:val="none"/>
              </w:rPr>
            </w:pPr>
            <w:r>
              <w:rPr>
                <w:rFonts w:hint="eastAsia" w:ascii="宋体" w:hAnsi="宋体" w:eastAsia="宋体"/>
                <w:color w:val="000000" w:themeColor="text1"/>
                <w:szCs w:val="21"/>
                <w:highlight w:val="none"/>
              </w:rPr>
              <w:t>序号</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事项内容</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服务说明</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1</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综合</w:t>
            </w:r>
          </w:p>
          <w:p>
            <w:pPr>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辅助服务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提供综合</w:t>
            </w:r>
          </w:p>
          <w:p>
            <w:pPr>
              <w:spacing w:line="360" w:lineRule="auto"/>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辅助服务</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办税服务辅助人员</w:t>
            </w:r>
            <w:r>
              <w:rPr>
                <w:rFonts w:hint="eastAsia" w:ascii="宋体" w:hAnsi="宋体"/>
                <w:color w:val="000000" w:themeColor="text1"/>
                <w:szCs w:val="21"/>
                <w:highlight w:val="none"/>
                <w:lang w:val="en-US" w:eastAsia="zh-CN"/>
              </w:rPr>
              <w:t>16</w:t>
            </w:r>
            <w:r>
              <w:rPr>
                <w:rFonts w:hint="eastAsia" w:ascii="宋体" w:hAnsi="宋体" w:eastAsia="宋体"/>
                <w:color w:val="000000" w:themeColor="text1"/>
                <w:szCs w:val="21"/>
                <w:highlight w:val="none"/>
              </w:rPr>
              <w:t>人，</w:t>
            </w:r>
            <w:r>
              <w:rPr>
                <w:rFonts w:hint="eastAsia" w:ascii="宋体" w:hAnsi="宋体"/>
                <w:color w:val="000000" w:themeColor="text1"/>
                <w:szCs w:val="21"/>
                <w:highlight w:val="none"/>
                <w:lang w:eastAsia="zh-CN"/>
              </w:rPr>
              <w:t>行政办公辅助人</w:t>
            </w:r>
            <w:r>
              <w:rPr>
                <w:rFonts w:hint="eastAsia" w:ascii="宋体" w:hAnsi="宋体" w:eastAsia="宋体"/>
                <w:color w:val="000000" w:themeColor="text1"/>
                <w:szCs w:val="21"/>
                <w:highlight w:val="none"/>
                <w:lang w:eastAsia="zh-CN"/>
              </w:rPr>
              <w:t>员</w:t>
            </w:r>
            <w:r>
              <w:rPr>
                <w:rFonts w:hint="eastAsia" w:ascii="宋体" w:hAnsi="宋体" w:eastAsia="宋体"/>
                <w:color w:val="000000" w:themeColor="text1"/>
                <w:szCs w:val="21"/>
                <w:highlight w:val="none"/>
                <w:lang w:val="en-US" w:eastAsia="zh-CN"/>
              </w:rPr>
              <w:t>5人，</w:t>
            </w:r>
            <w:r>
              <w:rPr>
                <w:rFonts w:hint="eastAsia" w:ascii="宋体" w:hAnsi="宋体" w:eastAsia="宋体"/>
                <w:color w:val="000000" w:themeColor="text1"/>
                <w:szCs w:val="21"/>
                <w:highlight w:val="none"/>
              </w:rPr>
              <w:t>能够熟练运用办公软件，具有良好的语言表达和沟通能力。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2</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后勤</w:t>
            </w:r>
          </w:p>
          <w:p>
            <w:pPr>
              <w:jc w:val="center"/>
              <w:rPr>
                <w:rFonts w:hint="eastAsia"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保障服务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000000" w:themeColor="text1"/>
                <w:szCs w:val="21"/>
                <w:highlight w:val="none"/>
                <w:lang w:eastAsia="zh-CN"/>
              </w:rPr>
            </w:pPr>
            <w:r>
              <w:rPr>
                <w:rFonts w:hint="eastAsia" w:ascii="宋体" w:hAnsi="宋体"/>
                <w:color w:val="000000" w:themeColor="text1"/>
                <w:szCs w:val="21"/>
                <w:highlight w:val="none"/>
                <w:lang w:eastAsia="zh-CN"/>
              </w:rPr>
              <w:t>提供后勤</w:t>
            </w:r>
          </w:p>
          <w:p>
            <w:pPr>
              <w:spacing w:line="360" w:lineRule="auto"/>
              <w:jc w:val="center"/>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保障服务</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eastAsia="zh-CN"/>
              </w:rPr>
              <w:t>后勤服务人员</w:t>
            </w:r>
            <w:r>
              <w:rPr>
                <w:rFonts w:hint="eastAsia" w:ascii="宋体" w:hAnsi="宋体"/>
                <w:color w:val="000000" w:themeColor="text1"/>
                <w:szCs w:val="21"/>
                <w:highlight w:val="none"/>
                <w:lang w:val="en-US" w:eastAsia="zh-CN"/>
              </w:rPr>
              <w:t>15人，服从组织工作安排，提供优质高效后勤保障服务。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3</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网络和信息支持服务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lang w:eastAsia="zh-CN"/>
              </w:rPr>
              <w:t>提供网络和信息系统维护服务</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eastAsia="zh-CN"/>
              </w:rPr>
              <w:t>信息化系统维护人员</w:t>
            </w:r>
            <w:r>
              <w:rPr>
                <w:rFonts w:hint="eastAsia" w:ascii="宋体" w:hAnsi="宋体"/>
                <w:color w:val="000000" w:themeColor="text1"/>
                <w:szCs w:val="21"/>
                <w:highlight w:val="none"/>
                <w:lang w:val="en-US" w:eastAsia="zh-CN"/>
              </w:rPr>
              <w:t>4人，能够熟悉网络和信息系统支持和维护技术要求，具有专业的技术水平。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4</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公务用车</w:t>
            </w:r>
          </w:p>
          <w:p>
            <w:pPr>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驾驶服务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提供公务用车</w:t>
            </w:r>
          </w:p>
          <w:p>
            <w:pPr>
              <w:spacing w:line="360" w:lineRule="auto"/>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驾驶服务</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司机</w:t>
            </w:r>
            <w:r>
              <w:rPr>
                <w:rFonts w:hint="eastAsia" w:ascii="宋体" w:hAnsi="宋体"/>
                <w:color w:val="000000" w:themeColor="text1"/>
                <w:szCs w:val="21"/>
                <w:highlight w:val="none"/>
                <w:lang w:val="en-US" w:eastAsia="zh-CN"/>
              </w:rPr>
              <w:t>10</w:t>
            </w:r>
            <w:r>
              <w:rPr>
                <w:rFonts w:hint="eastAsia" w:ascii="宋体" w:hAnsi="宋体" w:eastAsia="宋体"/>
                <w:color w:val="000000" w:themeColor="text1"/>
                <w:szCs w:val="21"/>
                <w:highlight w:val="none"/>
              </w:rPr>
              <w:t>人，须持有合法有效的《中华人民共和国机动车驾驶证》，能够熟练驾驶机动车，未发生过重大交通事故。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5</w:t>
            </w:r>
          </w:p>
        </w:tc>
        <w:tc>
          <w:tcPr>
            <w:tcW w:w="1419"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食堂劳务</w:t>
            </w:r>
          </w:p>
          <w:p>
            <w:pPr>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服务</w:t>
            </w:r>
          </w:p>
        </w:tc>
        <w:tc>
          <w:tcPr>
            <w:tcW w:w="1870" w:type="dxa"/>
            <w:vMerge w:val="restart"/>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提供食堂</w:t>
            </w:r>
          </w:p>
          <w:p>
            <w:pPr>
              <w:spacing w:line="360" w:lineRule="auto"/>
              <w:jc w:val="center"/>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劳务服务</w:t>
            </w:r>
          </w:p>
        </w:tc>
        <w:tc>
          <w:tcPr>
            <w:tcW w:w="531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000000" w:themeColor="text1"/>
                <w:szCs w:val="21"/>
                <w:highlight w:val="none"/>
              </w:rPr>
            </w:pPr>
            <w:r>
              <w:rPr>
                <w:rFonts w:hint="eastAsia" w:ascii="宋体" w:hAnsi="宋体"/>
                <w:color w:val="000000" w:themeColor="text1"/>
                <w:szCs w:val="21"/>
                <w:highlight w:val="none"/>
                <w:lang w:eastAsia="zh-CN"/>
              </w:rPr>
              <w:t>机关</w:t>
            </w:r>
            <w:r>
              <w:rPr>
                <w:rFonts w:hint="eastAsia" w:ascii="宋体" w:hAnsi="宋体" w:eastAsia="宋体"/>
                <w:color w:val="000000" w:themeColor="text1"/>
                <w:szCs w:val="21"/>
                <w:highlight w:val="none"/>
              </w:rPr>
              <w:t>大厨2人</w:t>
            </w:r>
            <w:r>
              <w:rPr>
                <w:rFonts w:hint="eastAsia" w:ascii="宋体" w:hAnsi="宋体"/>
                <w:color w:val="000000" w:themeColor="text1"/>
                <w:szCs w:val="21"/>
                <w:highlight w:val="none"/>
                <w:lang w:eastAsia="zh-CN"/>
              </w:rPr>
              <w:t>、副厨</w:t>
            </w:r>
            <w:r>
              <w:rPr>
                <w:rFonts w:hint="eastAsia" w:ascii="宋体" w:hAnsi="宋体"/>
                <w:color w:val="000000" w:themeColor="text1"/>
                <w:szCs w:val="21"/>
                <w:highlight w:val="none"/>
                <w:lang w:val="en-US" w:eastAsia="zh-CN"/>
              </w:rPr>
              <w:t>1人，</w:t>
            </w:r>
            <w:r>
              <w:rPr>
                <w:rFonts w:hint="eastAsia" w:ascii="宋体" w:hAnsi="宋体" w:eastAsia="宋体"/>
                <w:color w:val="000000" w:themeColor="text1"/>
                <w:szCs w:val="21"/>
                <w:highlight w:val="none"/>
              </w:rPr>
              <w:t>须持有有效健康证、协助每周菜式编制，并根据营养科学提出合理化意见建议。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6</w:t>
            </w: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000000" w:themeColor="text1"/>
                <w:szCs w:val="21"/>
                <w:highlight w:val="none"/>
              </w:rPr>
            </w:pPr>
          </w:p>
        </w:tc>
        <w:tc>
          <w:tcPr>
            <w:tcW w:w="187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rPr>
            </w:pPr>
          </w:p>
        </w:tc>
        <w:tc>
          <w:tcPr>
            <w:tcW w:w="531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000000" w:themeColor="text1"/>
                <w:szCs w:val="21"/>
                <w:highlight w:val="none"/>
              </w:rPr>
            </w:pPr>
            <w:r>
              <w:rPr>
                <w:rFonts w:hint="eastAsia" w:ascii="宋体" w:hAnsi="宋体"/>
                <w:color w:val="000000" w:themeColor="text1"/>
                <w:szCs w:val="21"/>
                <w:highlight w:val="none"/>
                <w:lang w:eastAsia="zh-CN"/>
              </w:rPr>
              <w:t>基层</w:t>
            </w:r>
            <w:r>
              <w:rPr>
                <w:rFonts w:hint="eastAsia" w:ascii="宋体" w:hAnsi="宋体" w:eastAsia="宋体"/>
                <w:color w:val="000000" w:themeColor="text1"/>
                <w:szCs w:val="21"/>
                <w:highlight w:val="none"/>
              </w:rPr>
              <w:t>普通厨师</w:t>
            </w:r>
            <w:r>
              <w:rPr>
                <w:rFonts w:hint="eastAsia" w:ascii="宋体" w:hAnsi="宋体"/>
                <w:color w:val="000000" w:themeColor="text1"/>
                <w:szCs w:val="21"/>
                <w:highlight w:val="none"/>
                <w:lang w:val="en-US" w:eastAsia="zh-CN"/>
              </w:rPr>
              <w:t>2</w:t>
            </w:r>
            <w:r>
              <w:rPr>
                <w:rFonts w:hint="eastAsia" w:ascii="宋体" w:hAnsi="宋体" w:eastAsia="宋体"/>
                <w:color w:val="000000" w:themeColor="text1"/>
                <w:szCs w:val="21"/>
                <w:highlight w:val="none"/>
              </w:rPr>
              <w:t>人，须持有有效健康证。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7</w:t>
            </w: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000000" w:themeColor="text1"/>
                <w:szCs w:val="21"/>
                <w:highlight w:val="none"/>
              </w:rPr>
            </w:pPr>
          </w:p>
        </w:tc>
        <w:tc>
          <w:tcPr>
            <w:tcW w:w="1870"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rPr>
            </w:pPr>
          </w:p>
        </w:tc>
        <w:tc>
          <w:tcPr>
            <w:tcW w:w="531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厨工</w:t>
            </w:r>
            <w:r>
              <w:rPr>
                <w:rFonts w:hint="eastAsia" w:ascii="宋体" w:hAnsi="宋体" w:eastAsia="宋体"/>
                <w:color w:val="000000" w:themeColor="text1"/>
                <w:szCs w:val="21"/>
                <w:highlight w:val="none"/>
                <w:lang w:val="en-US" w:eastAsia="zh-CN"/>
              </w:rPr>
              <w:t>8</w:t>
            </w:r>
            <w:r>
              <w:rPr>
                <w:rFonts w:hint="eastAsia" w:ascii="宋体" w:hAnsi="宋体" w:eastAsia="宋体"/>
                <w:color w:val="000000" w:themeColor="text1"/>
                <w:szCs w:val="21"/>
                <w:highlight w:val="none"/>
              </w:rPr>
              <w:t>人，须持有有效健康证。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lang w:val="en-US" w:eastAsia="zh-CN"/>
              </w:rPr>
            </w:pPr>
            <w:r>
              <w:rPr>
                <w:rFonts w:hint="eastAsia" w:ascii="宋体" w:hAnsi="宋体" w:eastAsia="宋体"/>
                <w:color w:val="000000" w:themeColor="text1"/>
                <w:szCs w:val="21"/>
                <w:highlight w:val="none"/>
                <w:lang w:val="en-US" w:eastAsia="zh-CN"/>
              </w:rPr>
              <w:t>8</w:t>
            </w:r>
          </w:p>
        </w:tc>
        <w:tc>
          <w:tcPr>
            <w:tcW w:w="14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olor w:val="000000" w:themeColor="text1"/>
                <w:szCs w:val="21"/>
                <w:highlight w:val="none"/>
              </w:rPr>
            </w:pPr>
          </w:p>
        </w:tc>
        <w:tc>
          <w:tcPr>
            <w:tcW w:w="1870"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rPr>
            </w:pPr>
          </w:p>
        </w:tc>
        <w:tc>
          <w:tcPr>
            <w:tcW w:w="5311"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厨房管理员1人，须持有有效健康证。</w:t>
            </w:r>
          </w:p>
        </w:tc>
      </w:tr>
    </w:tbl>
    <w:p>
      <w:pPr>
        <w:pStyle w:val="53"/>
        <w:numPr>
          <w:ilvl w:val="0"/>
          <w:numId w:val="0"/>
        </w:numPr>
        <w:ind w:leftChars="0"/>
        <w:rPr>
          <w:rFonts w:hint="eastAsia" w:ascii="宋体" w:hAnsi="宋体"/>
          <w:color w:val="000000" w:themeColor="text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bookmarkStart w:id="147" w:name="_Toc23211"/>
      <w:bookmarkStart w:id="148" w:name="_Toc29224"/>
      <w:bookmarkStart w:id="149" w:name="_Toc13679"/>
      <w:bookmarkStart w:id="150" w:name="_Toc28385"/>
      <w:r>
        <w:rPr>
          <w:rFonts w:hint="eastAsia" w:ascii="宋体" w:hAnsi="宋体" w:eastAsia="宋体" w:cs="宋体"/>
          <w:b/>
          <w:bCs/>
          <w:color w:val="000000" w:themeColor="text1"/>
          <w:sz w:val="21"/>
          <w:szCs w:val="21"/>
          <w:highlight w:val="none"/>
        </w:rPr>
        <w:t>四、项目实施要求</w:t>
      </w:r>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51" w:name="_Toc20433"/>
      <w:bookmarkStart w:id="152" w:name="_Toc107"/>
      <w:bookmarkStart w:id="153" w:name="_Toc10818"/>
      <w:bookmarkStart w:id="154" w:name="_Toc29524"/>
      <w:r>
        <w:rPr>
          <w:rFonts w:hint="eastAsia" w:ascii="宋体" w:hAnsi="宋体" w:eastAsia="宋体" w:cs="宋体"/>
          <w:color w:val="000000" w:themeColor="text1"/>
          <w:sz w:val="21"/>
          <w:szCs w:val="21"/>
          <w:highlight w:val="none"/>
        </w:rPr>
        <w:t>（一）服务内容及要求</w:t>
      </w:r>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1、中标人根据采购人实际情况及要求安排开展工作。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2、采购人有权以书面形式向中标人提出劳务外包服务的具体要求，以及劳务外包服务人员的素质要求。中标人应按采购人要求提供符合实际需要和符合条件的劳务外包服务人员。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中标人负责所有劳务外包服务人员的人事、劳资、社会保险、计生、基础培训的人事劳资管理工作，并提供为劳务外包服务人员办理劳动用工手续（签订、终止或解除劳动合同，劳务外包服务人员的调动手续等）、结算发放工资、发放经济补偿金、缴纳社会保险、处理保险理赔、管理人事档案、提供员工培训等方面的管理服务。负责处理合同服务期内所有劳资纠纷和调解管理纠纷，落实采购人根据规章制度和工作需要提出的其他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4、劳务外包服务人员与中标人存在劳动法律关系（包括劳动合同关系、工资保险关系和劳动用工手续等），中标人为用人单位，外包员工与采购人只存在业务服务关系，不存在劳动法律关系。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劳务外包服务人员入职后，如采购人要求，中标人有义务及时向采购人提供劳务外包服务人员资料，包括个人信息、健康证、劳动合同或劳动关系档案编号、社会保险证明等个人资料，采购人承诺不随意对外泄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6、中标人应经常性对劳务外包服务人员进行职业道德教育，监督检查劳务外包服务人员执行采购人规章制度的情况，对违规违法劳务外包服务人员处理，维护采购人正常的经营秩序。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中标人应当妥善维护与劳务外包服务人员的劳动关系，对于劳务外包服务人员通过采购人向中标人提出的管理、服务等方面的投诉或建议，中标人均应三个工作日内进行处理，并在处理完毕后三个工作日以书面形式反馈结果至采购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▲8、中标人应至少安排1名工作人员专门负责与采购人进行工作对接，对于采购人提出的各类工作事项及服务需求均应按时按质量处理，不得敷衍了事。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★9、中标人提供的</w:t>
      </w:r>
      <w:bookmarkStart w:id="155" w:name="_Hlk98663696"/>
      <w:r>
        <w:rPr>
          <w:rFonts w:hint="eastAsia" w:ascii="宋体" w:hAnsi="宋体" w:eastAsia="宋体" w:cs="宋体"/>
          <w:color w:val="000000" w:themeColor="text1"/>
          <w:sz w:val="21"/>
          <w:szCs w:val="21"/>
          <w:highlight w:val="none"/>
        </w:rPr>
        <w:t>劳务外包服务人员</w:t>
      </w:r>
      <w:bookmarkEnd w:id="155"/>
      <w:r>
        <w:rPr>
          <w:rFonts w:hint="eastAsia" w:ascii="宋体" w:hAnsi="宋体" w:eastAsia="宋体" w:cs="宋体"/>
          <w:color w:val="000000" w:themeColor="text1"/>
          <w:sz w:val="21"/>
          <w:szCs w:val="21"/>
          <w:highlight w:val="none"/>
        </w:rPr>
        <w:t>（须按采购人要求，持证上岗）及各项服务费用需经采购人审核。（须提供承诺函）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▲10、中标人须按照规定为劳务外包服务人员办理社会保险，并负责办理社保的理赔手续和发放保险补助。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▲11、中标人须按照合同约定的时间和采购人核定的标准，及时、足额向劳务外包服务人员支付每月工资，不得无故扣发劳务外包服务人员工资，不得缩减或变更劳务外包服务人员交付全额社会保险的险种。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56" w:name="_Toc13493"/>
      <w:bookmarkStart w:id="157" w:name="_Toc11558"/>
      <w:bookmarkStart w:id="158" w:name="_Toc23908"/>
      <w:bookmarkStart w:id="159" w:name="_Toc16408"/>
      <w:r>
        <w:rPr>
          <w:rFonts w:hint="eastAsia" w:ascii="宋体" w:hAnsi="宋体" w:eastAsia="宋体" w:cs="宋体"/>
          <w:color w:val="000000" w:themeColor="text1"/>
          <w:sz w:val="21"/>
          <w:szCs w:val="21"/>
          <w:highlight w:val="none"/>
        </w:rPr>
        <w:t>（二）服务责任</w:t>
      </w:r>
      <w:bookmarkEnd w:id="156"/>
      <w:bookmarkEnd w:id="157"/>
      <w:bookmarkEnd w:id="158"/>
      <w:bookmarkEnd w:id="15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▲1、因劳务外包服务人员工作失职、故意行为、违法犯罪行为造成采购人经济损失的，中标人应承担相应的管理责任和法律责任。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2、因中标人自身原因导致纠纷扩大或未能减小采购人相关损失的，由中标人承担相关责任。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3、因中标人自身原因所引发的一切纠纷，由中标人负完全责任。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▲4、劳务外包服务人员在非工作时间内发生的人身意外或其他纠纷，由中标人负责处理和承担相关责任。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▲5、中标人不按国家或相关主管部门规定发放劳务外包人员工资</w:t>
      </w:r>
      <w:r>
        <w:rPr>
          <w:rFonts w:hint="eastAsia" w:ascii="宋体" w:hAnsi="宋体" w:eastAsia="宋体" w:cs="宋体"/>
          <w:color w:val="000000" w:themeColor="text1"/>
          <w:sz w:val="21"/>
          <w:szCs w:val="21"/>
          <w:highlight w:val="none"/>
          <w:lang w:eastAsia="zh-CN"/>
        </w:rPr>
        <w:t>及加班费</w:t>
      </w:r>
      <w:r>
        <w:rPr>
          <w:rFonts w:hint="eastAsia" w:ascii="宋体" w:hAnsi="宋体" w:eastAsia="宋体" w:cs="宋体"/>
          <w:color w:val="000000" w:themeColor="text1"/>
          <w:sz w:val="21"/>
          <w:szCs w:val="21"/>
          <w:highlight w:val="none"/>
        </w:rPr>
        <w:t>、社会保险费用、住房公积金费用和其他福利费用的，并引起法律纠纷的，除承担由此引发的一切法律责任外，采购人有权终止服务合同。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如果中标时中标人为中型企业，中标人应在与采购人签订合同后30天内与小微企业签订分包协议，约定分包给小微企业的金额比例不低于合同总金额的60%，并将分包协议、小微企业的营业执照、承诺书等有关资料提供一份给采购人备案，否则采购人有权要求中标人纠正，中标人逾期30天不纠正的，采购人有权不支付实结总金额的60%的费用给中标人，直至中标人纠正之日止。若中标人逾期6个月不纠正的，采购人有权解除或终止本合同，因此造成的损失和责任全部由中标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60" w:name="_Toc2532"/>
      <w:bookmarkStart w:id="161" w:name="_Toc554"/>
      <w:bookmarkStart w:id="162" w:name="_Toc637"/>
      <w:bookmarkStart w:id="163" w:name="_Toc3274"/>
      <w:r>
        <w:rPr>
          <w:rFonts w:hint="eastAsia" w:ascii="宋体" w:hAnsi="宋体" w:eastAsia="宋体" w:cs="宋体"/>
          <w:color w:val="000000" w:themeColor="text1"/>
          <w:sz w:val="21"/>
          <w:szCs w:val="21"/>
          <w:highlight w:val="none"/>
        </w:rPr>
        <w:t>（三）工作时间</w:t>
      </w:r>
      <w:bookmarkEnd w:id="160"/>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全体劳务外包服务人员工作时间由中标人根据国家有关规定及完成采购人服务工作的需要进行安排。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64" w:name="_Toc11034"/>
      <w:bookmarkStart w:id="165" w:name="_Toc12078"/>
      <w:bookmarkStart w:id="166" w:name="_Toc8420"/>
      <w:bookmarkStart w:id="167" w:name="_Toc9414"/>
      <w:r>
        <w:rPr>
          <w:rFonts w:hint="eastAsia" w:ascii="宋体" w:hAnsi="宋体" w:eastAsia="宋体" w:cs="宋体"/>
          <w:color w:val="000000" w:themeColor="text1"/>
          <w:sz w:val="21"/>
          <w:szCs w:val="21"/>
          <w:highlight w:val="none"/>
        </w:rPr>
        <w:t>（四）岗位设置</w:t>
      </w:r>
      <w:bookmarkEnd w:id="164"/>
      <w:bookmarkEnd w:id="165"/>
      <w:bookmarkEnd w:id="166"/>
      <w:bookmarkEnd w:id="16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本项目岗位包括但不限于以下事项：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68" w:name="_Toc12457"/>
      <w:bookmarkStart w:id="169" w:name="_Toc21835"/>
      <w:bookmarkStart w:id="170" w:name="_Toc17847"/>
      <w:bookmarkStart w:id="171" w:name="_Toc24041"/>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办税</w:t>
      </w:r>
      <w:r>
        <w:rPr>
          <w:rFonts w:hint="eastAsia" w:ascii="宋体" w:hAnsi="宋体" w:eastAsia="宋体" w:cs="宋体"/>
          <w:color w:val="000000" w:themeColor="text1"/>
          <w:sz w:val="21"/>
          <w:szCs w:val="21"/>
          <w:highlight w:val="none"/>
        </w:rPr>
        <w:t>服务</w:t>
      </w:r>
      <w:r>
        <w:rPr>
          <w:rFonts w:hint="eastAsia" w:ascii="宋体" w:hAnsi="宋体" w:eastAsia="宋体" w:cs="宋体"/>
          <w:color w:val="000000" w:themeColor="text1"/>
          <w:sz w:val="21"/>
          <w:szCs w:val="21"/>
          <w:highlight w:val="none"/>
          <w:lang w:eastAsia="zh-CN"/>
        </w:rPr>
        <w:t>辅助</w:t>
      </w:r>
      <w:r>
        <w:rPr>
          <w:rFonts w:hint="eastAsia" w:ascii="宋体" w:hAnsi="宋体" w:eastAsia="宋体" w:cs="宋体"/>
          <w:color w:val="000000" w:themeColor="text1"/>
          <w:sz w:val="21"/>
          <w:szCs w:val="21"/>
          <w:highlight w:val="none"/>
        </w:rPr>
        <w:t>岗</w:t>
      </w:r>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负责办税服务厅的各项纳税服务工作及采购人交办的其他工作任务，熟悉掌握税费征收业务知识，能熟练指导纳税人按程序办理纳税手续，熟练使用电脑、复印机等基本办公设备，具备基本的礼仪知识并能得体地运用到实际工作之中，具有良好的语言表达和沟通能力，善于倾听和详细解答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72" w:name="_Toc11580"/>
      <w:bookmarkStart w:id="173" w:name="_Toc21378"/>
      <w:bookmarkStart w:id="174" w:name="_Toc32204"/>
      <w:bookmarkStart w:id="175" w:name="_Toc31924"/>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lang w:eastAsia="zh-CN"/>
        </w:rPr>
        <w:t>行政办公辅助</w:t>
      </w:r>
      <w:r>
        <w:rPr>
          <w:rFonts w:hint="eastAsia" w:ascii="宋体" w:hAnsi="宋体" w:eastAsia="宋体" w:cs="宋体"/>
          <w:color w:val="000000" w:themeColor="text1"/>
          <w:sz w:val="21"/>
          <w:szCs w:val="21"/>
          <w:highlight w:val="none"/>
        </w:rPr>
        <w:t>岗</w:t>
      </w:r>
      <w:bookmarkEnd w:id="172"/>
      <w:bookmarkEnd w:id="173"/>
      <w:bookmarkEnd w:id="174"/>
      <w:bookmarkEnd w:id="17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负责文字材料的写作、影像资料管理、数据收集和税收政策宣传等辅助工作，协助完成各项考核工作和采购人交办的其他工作任务。</w:t>
      </w:r>
      <w:r>
        <w:rPr>
          <w:rFonts w:hint="eastAsia" w:ascii="宋体" w:hAnsi="宋体" w:eastAsia="宋体" w:cs="宋体"/>
          <w:color w:val="000000" w:themeColor="text1"/>
          <w:sz w:val="21"/>
          <w:szCs w:val="21"/>
          <w:highlight w:val="none"/>
          <w:lang w:eastAsia="zh-CN"/>
        </w:rPr>
        <w:t>能</w:t>
      </w:r>
      <w:r>
        <w:rPr>
          <w:rFonts w:hint="eastAsia" w:ascii="宋体" w:hAnsi="宋体" w:eastAsia="宋体" w:cs="宋体"/>
          <w:color w:val="000000" w:themeColor="text1"/>
          <w:sz w:val="21"/>
          <w:szCs w:val="21"/>
          <w:highlight w:val="none"/>
          <w:lang w:val="en-US" w:eastAsia="zh-CN"/>
        </w:rPr>
        <w:t>熟练使用电脑、复印机等基本办公设备，做事勤勉、认真细致，能吃苦耐劳，有一定的文字功底，具备基本的礼仪知识，具有良好的语言表达和沟通能力。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bookmarkStart w:id="176" w:name="_Toc32228"/>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val="en-US" w:eastAsia="zh-CN"/>
        </w:rPr>
        <w:t>后勤保障服务岗</w:t>
      </w:r>
      <w:bookmarkEnd w:id="17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负责会务服务工作、公务接待后勤服务、会客室等场所的后勤保障服务，以及采购人交办的其他事项。做事勤勉、认真细致，能吃苦耐劳，具备基本的礼仪知识，具有良好的语言表达和沟通能力。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bookmarkStart w:id="177" w:name="_Toc27547"/>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网络和信息支持服务岗</w:t>
      </w:r>
      <w:bookmarkEnd w:id="17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lang w:val="en-US" w:eastAsia="zh-CN"/>
        </w:rPr>
        <w:t>负责办公网络和信息系统的维护工作，以及计算机类办公设备的日常维护工作，熟悉网络和信息系统支持和维护技术要求，协助做好会议或者活动的设备系统调试工作。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78" w:name="_Toc24322"/>
      <w:bookmarkStart w:id="179" w:name="_Toc30031"/>
      <w:bookmarkStart w:id="180" w:name="_Toc2062"/>
      <w:bookmarkStart w:id="181" w:name="_Toc29096"/>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、公务用车驾驶服务岗</w:t>
      </w:r>
      <w:bookmarkEnd w:id="178"/>
      <w:bookmarkEnd w:id="179"/>
      <w:bookmarkEnd w:id="180"/>
      <w:bookmarkEnd w:id="18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（1）未安排出勤的驾驶员应按时上下班，坚守工作岗位，在司机室等候出车；当天机动应急值班小组人员必须保持24小时通讯畅通，随叫随到。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（2）安排出勤的驾驶员应准时出车，不得误点；出车后，按审核过的公差派车单出勤，不私自出车，不擅自将车辆交给非驾驶员驾驶。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（3）做好使用车辆的洗护工作，保持车辆外部干净无污渍,内部整洁无异味。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（4）做好使用车辆的日常检查维护保养工作，发现故障及时报备维修，消除事故隐患,做到不带故障出车。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（5）检查使用车辆的水、电、油及其他性能是否正常，发现不正常时，要立即加补或调整。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（6）出车执行任务应严格遵守交通规则，安全驾驶。发生交通意外要保护好现场，并及时报告当地公安交警部门、投保的保险公司，同时要及时报告,不得隐瞒不报。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（7）驾驶员出车执行任务，遇特殊情况不能按时返回的，应及时向公务用车管理岗说明原因。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（8）出车在外或出车归来应安全停放车辆，锁好保险锁，保管好车辆和证件，严防丢失。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（9）出车归来应做好车辆交接手续；完成出车任务后应及时向公务用车管理岗报告，并对车辆进行安全检查后归库。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（10）日常工作中应注重保持个人仪容仪表；出车时要讲文明、懂礼貌，保证优质服务。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（11）完成采购人交办的其他事项。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82" w:name="_Toc15161"/>
      <w:bookmarkStart w:id="183" w:name="_Toc24420"/>
      <w:bookmarkStart w:id="184" w:name="_Toc15708"/>
      <w:bookmarkStart w:id="185" w:name="_Toc23957"/>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、食堂劳务服务岗</w:t>
      </w:r>
      <w:bookmarkEnd w:id="182"/>
      <w:bookmarkEnd w:id="183"/>
      <w:bookmarkEnd w:id="184"/>
      <w:bookmarkEnd w:id="18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（1）大厨、</w:t>
      </w:r>
      <w:r>
        <w:rPr>
          <w:rFonts w:hint="eastAsia" w:ascii="宋体" w:hAnsi="宋体" w:eastAsia="宋体" w:cs="宋体"/>
          <w:color w:val="000000" w:themeColor="text1"/>
          <w:sz w:val="21"/>
          <w:szCs w:val="21"/>
          <w:highlight w:val="none"/>
          <w:lang w:eastAsia="zh-CN"/>
        </w:rPr>
        <w:t>副厨、普通厨师、</w:t>
      </w:r>
      <w:r>
        <w:rPr>
          <w:rFonts w:hint="eastAsia" w:ascii="宋体" w:hAnsi="宋体" w:eastAsia="宋体" w:cs="宋体"/>
          <w:color w:val="000000" w:themeColor="text1"/>
          <w:sz w:val="21"/>
          <w:szCs w:val="21"/>
          <w:highlight w:val="none"/>
        </w:rPr>
        <w:t>厨工</w:t>
      </w:r>
      <w:r>
        <w:rPr>
          <w:rFonts w:hint="eastAsia" w:ascii="宋体" w:hAnsi="宋体" w:eastAsia="宋体" w:cs="宋体"/>
          <w:color w:val="000000" w:themeColor="text1"/>
          <w:sz w:val="21"/>
          <w:szCs w:val="21"/>
          <w:highlight w:val="none"/>
          <w:lang w:eastAsia="zh-CN"/>
        </w:rPr>
        <w:t>、厨房管理员</w:t>
      </w:r>
      <w:r>
        <w:rPr>
          <w:rFonts w:hint="eastAsia" w:ascii="宋体" w:hAnsi="宋体" w:eastAsia="宋体" w:cs="宋体"/>
          <w:color w:val="000000" w:themeColor="text1"/>
          <w:sz w:val="21"/>
          <w:szCs w:val="21"/>
          <w:highlight w:val="none"/>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厨房管理员</w:t>
      </w:r>
      <w:r>
        <w:rPr>
          <w:rFonts w:hint="eastAsia" w:ascii="宋体" w:hAnsi="宋体" w:eastAsia="宋体" w:cs="宋体"/>
          <w:color w:val="000000" w:themeColor="text1"/>
          <w:sz w:val="21"/>
          <w:szCs w:val="21"/>
          <w:highlight w:val="none"/>
        </w:rPr>
        <w:t>对购进食品物品进行监秤、检查质量及验收，并履行签收和入库手续。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做好食品储存工作，采取有效措施确保食品材料新鲜、洁净，无污染、无变质，成品存放实行“四隔离”（即生与熟隔离，成品与半成品隔离，食物与药物隔离，食品与天然水、冰隔离）。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做好食品材料加工工作，不加工变质原料，确保食品卫生安全。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对原料做到先进先出，随时检查，不得使用任何霉变、有异味等变质食材原料。食材当天使用的食品实行验收领用制，办理签收领用手续。需提前储备的食品、物品经管理员验收入库后，办理进出仓手续。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食堂工作环境实行每日清扫、每周大扫除制度，采取有效措施预防和消灭“四害”，建立健全安全卫生管理制度。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对餐后用具务必做到“四过关”（即“一冲、二刷、三洗、四消毒”），冲洗干净后放入消毒柜进行高温消毒，清洁餐具不能有洗涤用品、食物残渣、油渍残留。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对厨房操作间设备设施与用具实行“定置管理”，按岗位包干负责，做到摆放整齐有序，无油无尘；地面无污水、无杂物。操作间和取餐区域安装视频监控设备，实行“明厨亮灶工程”，接受监督。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食品操作台应将生熟食品分开处理，刀、砧板、抹布必须保持清洁卫生；砧板在贮藏过程中如有变质、变味、腐坏应及时更换。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蔬菜清洁加工时应做到“一拣、二洗、三浸、四检测”，保证无腐败、无杂物，必须保证菜品干净卫生。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厨师配合厨房管理岗指示要求，带领厨房人员做好每日工作，确保厨房工作正常运转。制定每周营养健康食谱，并积极听取干部职工意见建议，不断提升出品质量。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注意个人卫生，勤洗手、勤剪指甲、勤理发、勤洗工作服，保持个人仪容仪表。进入后厨区域必须穿着工作服，正确佩戴厨师帽（不外露头发），正确佩戴口罩。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严格遵守用火、用气安全等相关规定，在显著位置张贴各类紧急报警电话号码。出现突发事件进行基本的应急处理，包括停水、停电、设备故障、火情、食物中毒等。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做好食品留样存储，按要求每餐对直接入口的食品进行留样。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下班后需对厨房内容易发生危险的地方认真检查，储存好各种食品，杜绝食物中毒事件的发生；关好电源、水源、天然气，锁好门窗方可离开。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餐前准备阶段(早餐提前15分钟完成、午、晚餐提前30分钟完成)：将清洁、消毒好的餐具器皿统一归类摆放整齐；检查餐具是否无水渍、无污渍、无油渍，干净明亮；检查用餐餐具及其他用品是否充足(台面的纸巾、牙签) ，及时补充；检查大厅及四周环境卫生(垃圾桶、玻璃窗、洗手池、地面等) ，检查电源、灯光、电视、空调；用餐前后做好桌面、椅子清洁消毒并摆放整齐，如有损坏及时报告；检查自助餐加热炉及台；检查自助餐炉的水温及准备公夹、公勺；准备菜式配用的调料及其他酱料；将电视声音开到适当的音量,空调温度调到26°C规定标准；菜品不足时，上菜是否及时；做好</w:t>
      </w:r>
      <w:r>
        <w:rPr>
          <w:rFonts w:hint="eastAsia" w:ascii="宋体" w:hAnsi="宋体" w:eastAsia="宋体" w:cs="宋体"/>
          <w:color w:val="000000" w:themeColor="text1"/>
          <w:sz w:val="21"/>
          <w:szCs w:val="21"/>
          <w:highlight w:val="none"/>
          <w:lang w:eastAsia="zh-CN"/>
        </w:rPr>
        <w:t>食堂</w:t>
      </w:r>
      <w:r>
        <w:rPr>
          <w:rFonts w:hint="eastAsia" w:ascii="宋体" w:hAnsi="宋体" w:eastAsia="宋体" w:cs="宋体"/>
          <w:color w:val="000000" w:themeColor="text1"/>
          <w:sz w:val="21"/>
          <w:szCs w:val="21"/>
          <w:highlight w:val="none"/>
        </w:rPr>
        <w:t>公共区域卫生清洁。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（3）餐中及餐后工作阶段：收撤餐盘送往洗碗房；完成桌面及地面的清洁、消毒工作；根据餐前准备工作,重新布置桌椅；检查所有电源及空调、电视是否关闭；每周进行大扫除。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（4）完成采购人交办的其他事项。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86" w:name="_Toc10024"/>
      <w:bookmarkStart w:id="187" w:name="_Toc12247"/>
      <w:bookmarkStart w:id="188" w:name="_Toc2860"/>
      <w:bookmarkStart w:id="189" w:name="_Toc20492"/>
      <w:r>
        <w:rPr>
          <w:rFonts w:hint="eastAsia" w:ascii="宋体" w:hAnsi="宋体" w:eastAsia="宋体" w:cs="宋体"/>
          <w:color w:val="000000" w:themeColor="text1"/>
          <w:sz w:val="21"/>
          <w:szCs w:val="21"/>
          <w:highlight w:val="none"/>
        </w:rPr>
        <w:t>（五）用工程序</w:t>
      </w:r>
      <w:bookmarkEnd w:id="186"/>
      <w:bookmarkEnd w:id="187"/>
      <w:bookmarkEnd w:id="188"/>
      <w:bookmarkEnd w:id="18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采购人如需新增新劳务外包服务人员，中标人按如下要求新增：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1、采购人根据业务需要和岗位设置情况，以书面形式向中标人发出需求通知书。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2、中标人收到采购人用工需求通知书后，按照需求提供劳务外包服务人员。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3、采购人对中标人推荐的劳务外包服务人员进行选用确认。采购人有权自行决定是否接受选用中标人推荐的劳务外包服务人员。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▲4、中标人须组织获得选用资格的人员进行体检，审验、收集获得选用资格人员的相关证件等资料，上述资料须备份给采购人。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5、采购人对获得选用资格并体检合格的人员进行岗位培训，中标人对其进行公共职业培训，上述培训均合格后，由采购人确定正式选用名单。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6、中标人通知选用人员入职，并办理相关入职手续、签订劳动合同等。签订的劳动合同须备份给采购人。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▲7、采购人有权要求调换不适合岗位要求的劳务外包服务人员，中标人调换劳务外包服务人员须经过采购人同意。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90" w:name="_Toc23089"/>
      <w:bookmarkStart w:id="191" w:name="_Toc28546"/>
      <w:bookmarkStart w:id="192" w:name="_Toc5888"/>
      <w:bookmarkStart w:id="193" w:name="_Toc21460"/>
      <w:r>
        <w:rPr>
          <w:rFonts w:hint="eastAsia" w:ascii="宋体" w:hAnsi="宋体" w:eastAsia="宋体" w:cs="宋体"/>
          <w:color w:val="000000" w:themeColor="text1"/>
          <w:sz w:val="21"/>
          <w:szCs w:val="21"/>
          <w:highlight w:val="none"/>
        </w:rPr>
        <w:t>（六）其他事项</w:t>
      </w:r>
      <w:bookmarkEnd w:id="190"/>
      <w:bookmarkEnd w:id="191"/>
      <w:bookmarkEnd w:id="192"/>
      <w:bookmarkEnd w:id="19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▲1、如有需要，中标人需配合采购人对劳务外包服务人员提供的证明文件进行核证。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▲2、劳务外包各项服务费用由采购人根据服务情况进行确定。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▲3、劳务外包服务人员的工资、社会保险缴费基数、住房公积金缴存基数按阳江市有关规定执行。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4、项目款项按照有关规定进行支付。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5、中标人不得将项目非法分包或转包给任何单位和个人，否则，采购人有权即刻终止合同，并要求中标人赔偿损失并追究法律责任。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▲6、中标人提供的劳务外包服务人员在工作中因故意或重大过失给采购人造成重大经济损失的，经采购人、中标人双方认定或相关机构认定后，由中标人承担责任。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▲7、中标人必须按时、足额支付劳务外包服务人员工资并缴纳社会保险、缴存住房公积金等。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▲8、中标人应按采购人要求负责组织劳务外包服务人员置装、入职体检和年度体检，相关费用由中标人支付。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9、劳务外包服务人员因采购人的工作安排发生的差旅费由采购人负担，据实结算。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bookmarkStart w:id="194" w:name="_Toc21601"/>
      <w:bookmarkStart w:id="195" w:name="_Toc18816"/>
      <w:bookmarkStart w:id="196" w:name="_Toc19029"/>
      <w:bookmarkStart w:id="197" w:name="_Toc9856"/>
      <w:r>
        <w:rPr>
          <w:rFonts w:hint="eastAsia" w:ascii="宋体" w:hAnsi="宋体" w:eastAsia="宋体" w:cs="宋体"/>
          <w:b/>
          <w:bCs/>
          <w:color w:val="000000" w:themeColor="text1"/>
          <w:sz w:val="21"/>
          <w:szCs w:val="21"/>
          <w:highlight w:val="none"/>
        </w:rPr>
        <w:t>五、项目验收要求</w:t>
      </w:r>
      <w:bookmarkEnd w:id="194"/>
      <w:bookmarkEnd w:id="195"/>
      <w:bookmarkEnd w:id="196"/>
      <w:bookmarkEnd w:id="197"/>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1、采购人对中标人的</w:t>
      </w:r>
      <w:r>
        <w:rPr>
          <w:rFonts w:hint="eastAsia" w:ascii="宋体" w:hAnsi="宋体" w:eastAsia="宋体" w:cs="宋体"/>
          <w:color w:val="000000" w:themeColor="text1"/>
          <w:sz w:val="21"/>
          <w:szCs w:val="21"/>
          <w:highlight w:val="none"/>
          <w:lang w:eastAsia="zh-CN"/>
        </w:rPr>
        <w:t>劳务外包</w:t>
      </w:r>
      <w:r>
        <w:rPr>
          <w:rFonts w:hint="eastAsia" w:ascii="宋体" w:hAnsi="宋体" w:eastAsia="宋体" w:cs="宋体"/>
          <w:color w:val="000000" w:themeColor="text1"/>
          <w:sz w:val="21"/>
          <w:szCs w:val="21"/>
          <w:highlight w:val="none"/>
        </w:rPr>
        <w:t>服务情况进行考核及验收，并对造成失误、过错、事故的，当月</w:t>
      </w:r>
      <w:r>
        <w:rPr>
          <w:rFonts w:hint="eastAsia" w:ascii="宋体" w:hAnsi="宋体" w:eastAsia="宋体" w:cs="宋体"/>
          <w:color w:val="000000" w:themeColor="text1"/>
          <w:sz w:val="21"/>
          <w:szCs w:val="21"/>
          <w:highlight w:val="none"/>
          <w:lang w:eastAsia="zh-CN"/>
        </w:rPr>
        <w:t>作出处理</w:t>
      </w:r>
      <w:r>
        <w:rPr>
          <w:rFonts w:hint="eastAsia" w:ascii="宋体" w:hAnsi="宋体" w:eastAsia="宋体" w:cs="宋体"/>
          <w:color w:val="000000" w:themeColor="text1"/>
          <w:sz w:val="21"/>
          <w:szCs w:val="21"/>
          <w:highlight w:val="none"/>
        </w:rPr>
        <w:t>并追究相关责任，其考核扣罚费用下月据实结算。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2、招标文件条款明确的责任及罚则所涉及的投诉类型、失误、过错大小、事故性质、有效性的确定由采购人与中标人在合同签订时协商予以明确,分歧异议部分，以采购人后勤主管部门的意见为准。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3、采购人对中标人服务期间每月综合考评一次，累计有两个月得分低于</w:t>
      </w:r>
      <w:r>
        <w:rPr>
          <w:rFonts w:hint="eastAsia" w:ascii="宋体" w:hAnsi="宋体" w:eastAsia="宋体" w:cs="宋体"/>
          <w:color w:val="000000" w:themeColor="text1"/>
          <w:sz w:val="21"/>
          <w:szCs w:val="21"/>
          <w:highlight w:val="none"/>
          <w:lang w:val="en-US" w:eastAsia="zh-CN"/>
        </w:rPr>
        <w:t>80</w:t>
      </w:r>
      <w:r>
        <w:rPr>
          <w:rFonts w:hint="eastAsia" w:ascii="宋体" w:hAnsi="宋体" w:eastAsia="宋体" w:cs="宋体"/>
          <w:color w:val="000000" w:themeColor="text1"/>
          <w:sz w:val="21"/>
          <w:szCs w:val="21"/>
          <w:highlight w:val="none"/>
        </w:rPr>
        <w:t>分，则视为不合格，采购人有权终止合同。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4、中标人如有违反或未达到招标文件内★号项要求，视为0分考评，采购人有权终止合同，重新组织招标。有分歧异议的，以采购人的意见为准。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采购人和中标人共同参与中标人服务工作人员考勤管理，中标人服务工作人员出勤率应达规定人数的100%，每日全勤奖励加8分。考勤按在岗时间以小时计算，全体员工迟到、早退等不在岗时间累计共（到）有八小时视为1人当天缺勤，</w:t>
      </w:r>
      <w:r>
        <w:rPr>
          <w:rFonts w:hint="eastAsia" w:ascii="宋体" w:hAnsi="宋体" w:eastAsia="宋体" w:cs="宋体"/>
          <w:color w:val="000000" w:themeColor="text1"/>
          <w:sz w:val="21"/>
          <w:szCs w:val="21"/>
          <w:highlight w:val="none"/>
          <w:lang w:eastAsia="zh-CN"/>
        </w:rPr>
        <w:t>按本岗位用工</w:t>
      </w:r>
      <w:r>
        <w:rPr>
          <w:rFonts w:hint="eastAsia" w:ascii="宋体" w:hAnsi="宋体" w:eastAsia="宋体" w:cs="宋体"/>
          <w:color w:val="000000" w:themeColor="text1"/>
          <w:sz w:val="21"/>
          <w:szCs w:val="21"/>
          <w:highlight w:val="none"/>
          <w:lang w:val="en-US" w:eastAsia="zh-CN"/>
        </w:rPr>
        <w:t>3倍工资的标准计算扣减</w:t>
      </w:r>
      <w:r>
        <w:rPr>
          <w:rFonts w:hint="eastAsia" w:ascii="宋体" w:hAnsi="宋体" w:eastAsia="宋体" w:cs="宋体"/>
          <w:color w:val="000000" w:themeColor="text1"/>
          <w:sz w:val="21"/>
          <w:szCs w:val="21"/>
          <w:highlight w:val="none"/>
          <w:lang w:eastAsia="zh-CN"/>
        </w:rPr>
        <w:t>劳务外包</w:t>
      </w:r>
      <w:r>
        <w:rPr>
          <w:rFonts w:hint="eastAsia" w:ascii="宋体" w:hAnsi="宋体" w:eastAsia="宋体" w:cs="宋体"/>
          <w:color w:val="000000" w:themeColor="text1"/>
          <w:sz w:val="21"/>
          <w:szCs w:val="21"/>
          <w:highlight w:val="none"/>
          <w:lang w:val="en-US" w:eastAsia="zh-CN"/>
        </w:rPr>
        <w:t>服务费</w:t>
      </w:r>
      <w:r>
        <w:rPr>
          <w:rFonts w:hint="eastAsia" w:ascii="宋体" w:hAnsi="宋体" w:eastAsia="宋体" w:cs="宋体"/>
          <w:color w:val="000000" w:themeColor="text1"/>
          <w:sz w:val="21"/>
          <w:szCs w:val="21"/>
          <w:highlight w:val="none"/>
        </w:rPr>
        <w:t>，累计时间缺勤一小时扣一分；因员工离职和考核考评不合格、违规遭到投诉等换人造成的岗位即时缺人，按本岗位用工3倍工资计算扣减服务</w:t>
      </w:r>
      <w:r>
        <w:rPr>
          <w:rFonts w:hint="eastAsia" w:ascii="宋体" w:hAnsi="宋体" w:eastAsia="宋体" w:cs="宋体"/>
          <w:color w:val="000000" w:themeColor="text1"/>
          <w:sz w:val="21"/>
          <w:szCs w:val="21"/>
          <w:highlight w:val="none"/>
          <w:lang w:eastAsia="zh-CN"/>
        </w:rPr>
        <w:t>管理</w:t>
      </w:r>
      <w:r>
        <w:rPr>
          <w:rFonts w:hint="eastAsia" w:ascii="宋体" w:hAnsi="宋体" w:eastAsia="宋体" w:cs="宋体"/>
          <w:color w:val="000000" w:themeColor="text1"/>
          <w:sz w:val="21"/>
          <w:szCs w:val="21"/>
          <w:highlight w:val="none"/>
        </w:rPr>
        <w:t>费，每人每天扣8分。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6、在经营活动中存在违反税收法规财务制度及其他违法违规记录，扣20分。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7、在经营中是否履行合同承诺。很好履行合同承诺得3分；基本履行合同承诺不得分；未履行合同承诺每次扣3分。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8、提倡节约能源，不准浪费水、电及消耗品等公共资源（违反则扣0.5分/次）。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9、不准违反工作纪律、违规操作。严格执行和遵守各项管理制度（违反扣1分）。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198" w:name="_Hlk98325757"/>
      <w:r>
        <w:rPr>
          <w:rFonts w:hint="eastAsia" w:ascii="宋体" w:hAnsi="宋体" w:eastAsia="宋体" w:cs="宋体"/>
          <w:color w:val="000000" w:themeColor="text1"/>
          <w:sz w:val="21"/>
          <w:szCs w:val="21"/>
          <w:highlight w:val="none"/>
        </w:rPr>
        <w:t>10、一般过错的有效投诉，</w:t>
      </w:r>
      <w:r>
        <w:rPr>
          <w:rFonts w:hint="eastAsia" w:ascii="宋体" w:hAnsi="宋体" w:eastAsia="宋体" w:cs="宋体"/>
          <w:color w:val="000000" w:themeColor="text1"/>
          <w:sz w:val="21"/>
          <w:szCs w:val="21"/>
          <w:highlight w:val="none"/>
          <w:lang w:val="en-US" w:eastAsia="zh-CN"/>
        </w:rPr>
        <w:t>按</w:t>
      </w:r>
      <w:r>
        <w:rPr>
          <w:rFonts w:hint="eastAsia" w:ascii="宋体" w:hAnsi="宋体" w:eastAsia="宋体" w:cs="宋体"/>
          <w:color w:val="000000" w:themeColor="text1"/>
          <w:sz w:val="21"/>
          <w:szCs w:val="21"/>
          <w:highlight w:val="none"/>
        </w:rPr>
        <w:t>60元/次</w:t>
      </w:r>
      <w:r>
        <w:rPr>
          <w:rFonts w:hint="eastAsia" w:ascii="宋体" w:hAnsi="宋体" w:eastAsia="宋体" w:cs="宋体"/>
          <w:color w:val="000000" w:themeColor="text1"/>
          <w:sz w:val="21"/>
          <w:szCs w:val="21"/>
          <w:highlight w:val="none"/>
          <w:lang w:eastAsia="zh-CN"/>
        </w:rPr>
        <w:t>扣减服务管理费</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11、一般过错的重（反）复性有效投诉，</w:t>
      </w:r>
      <w:r>
        <w:rPr>
          <w:rFonts w:hint="eastAsia" w:ascii="宋体" w:hAnsi="宋体" w:eastAsia="宋体" w:cs="宋体"/>
          <w:color w:val="000000" w:themeColor="text1"/>
          <w:sz w:val="21"/>
          <w:szCs w:val="21"/>
          <w:highlight w:val="none"/>
          <w:lang w:val="en-US" w:eastAsia="zh-CN"/>
        </w:rPr>
        <w:t>按</w:t>
      </w:r>
      <w:r>
        <w:rPr>
          <w:rFonts w:hint="eastAsia" w:ascii="宋体" w:hAnsi="宋体" w:eastAsia="宋体" w:cs="宋体"/>
          <w:color w:val="000000" w:themeColor="text1"/>
          <w:sz w:val="21"/>
          <w:szCs w:val="21"/>
          <w:highlight w:val="none"/>
        </w:rPr>
        <w:t>120元/次</w:t>
      </w:r>
      <w:r>
        <w:rPr>
          <w:rFonts w:hint="eastAsia" w:ascii="宋体" w:hAnsi="宋体" w:eastAsia="宋体" w:cs="宋体"/>
          <w:color w:val="000000" w:themeColor="text1"/>
          <w:sz w:val="21"/>
          <w:szCs w:val="21"/>
          <w:highlight w:val="none"/>
          <w:lang w:eastAsia="zh-CN"/>
        </w:rPr>
        <w:t>扣减服务管理费</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12、较大过错的有效投诉，</w:t>
      </w:r>
      <w:r>
        <w:rPr>
          <w:rFonts w:hint="eastAsia" w:ascii="宋体" w:hAnsi="宋体" w:eastAsia="宋体" w:cs="宋体"/>
          <w:color w:val="000000" w:themeColor="text1"/>
          <w:sz w:val="21"/>
          <w:szCs w:val="21"/>
          <w:highlight w:val="none"/>
          <w:lang w:val="en-US" w:eastAsia="zh-CN"/>
        </w:rPr>
        <w:t>按</w:t>
      </w:r>
      <w:r>
        <w:rPr>
          <w:rFonts w:hint="eastAsia" w:ascii="宋体" w:hAnsi="宋体" w:eastAsia="宋体" w:cs="宋体"/>
          <w:color w:val="000000" w:themeColor="text1"/>
          <w:sz w:val="21"/>
          <w:szCs w:val="21"/>
          <w:highlight w:val="none"/>
        </w:rPr>
        <w:t>180元/次</w:t>
      </w:r>
      <w:r>
        <w:rPr>
          <w:rFonts w:hint="eastAsia" w:ascii="宋体" w:hAnsi="宋体" w:eastAsia="宋体" w:cs="宋体"/>
          <w:color w:val="000000" w:themeColor="text1"/>
          <w:sz w:val="21"/>
          <w:szCs w:val="21"/>
          <w:highlight w:val="none"/>
          <w:lang w:eastAsia="zh-CN"/>
        </w:rPr>
        <w:t>扣减服务管理费</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13、较大过错的的重（反）复性有效投诉，</w:t>
      </w:r>
      <w:r>
        <w:rPr>
          <w:rFonts w:hint="eastAsia" w:ascii="宋体" w:hAnsi="宋体" w:eastAsia="宋体" w:cs="宋体"/>
          <w:color w:val="000000" w:themeColor="text1"/>
          <w:sz w:val="21"/>
          <w:szCs w:val="21"/>
          <w:highlight w:val="none"/>
          <w:lang w:val="en-US" w:eastAsia="zh-CN"/>
        </w:rPr>
        <w:t>按</w:t>
      </w:r>
      <w:r>
        <w:rPr>
          <w:rFonts w:hint="eastAsia" w:ascii="宋体" w:hAnsi="宋体" w:eastAsia="宋体" w:cs="宋体"/>
          <w:color w:val="000000" w:themeColor="text1"/>
          <w:sz w:val="21"/>
          <w:szCs w:val="21"/>
          <w:highlight w:val="none"/>
        </w:rPr>
        <w:t>480元/次</w:t>
      </w:r>
      <w:r>
        <w:rPr>
          <w:rFonts w:hint="eastAsia" w:ascii="宋体" w:hAnsi="宋体" w:eastAsia="宋体" w:cs="宋体"/>
          <w:color w:val="000000" w:themeColor="text1"/>
          <w:sz w:val="21"/>
          <w:szCs w:val="21"/>
          <w:highlight w:val="none"/>
          <w:lang w:eastAsia="zh-CN"/>
        </w:rPr>
        <w:t>扣减服务管理费</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14、重大过错的有效投诉，</w:t>
      </w:r>
      <w:r>
        <w:rPr>
          <w:rFonts w:hint="eastAsia" w:ascii="宋体" w:hAnsi="宋体" w:eastAsia="宋体" w:cs="宋体"/>
          <w:color w:val="000000" w:themeColor="text1"/>
          <w:sz w:val="21"/>
          <w:szCs w:val="21"/>
          <w:highlight w:val="none"/>
          <w:lang w:val="en-US" w:eastAsia="zh-CN"/>
        </w:rPr>
        <w:t>按</w:t>
      </w:r>
      <w:r>
        <w:rPr>
          <w:rFonts w:hint="eastAsia" w:ascii="宋体" w:hAnsi="宋体" w:eastAsia="宋体" w:cs="宋体"/>
          <w:color w:val="000000" w:themeColor="text1"/>
          <w:sz w:val="21"/>
          <w:szCs w:val="21"/>
          <w:highlight w:val="none"/>
        </w:rPr>
        <w:t>720元/次</w:t>
      </w:r>
      <w:r>
        <w:rPr>
          <w:rFonts w:hint="eastAsia" w:ascii="宋体" w:hAnsi="宋体" w:eastAsia="宋体" w:cs="宋体"/>
          <w:color w:val="000000" w:themeColor="text1"/>
          <w:sz w:val="21"/>
          <w:szCs w:val="21"/>
          <w:highlight w:val="none"/>
          <w:lang w:eastAsia="zh-CN"/>
        </w:rPr>
        <w:t>扣减服务管理费</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15、重大过错的重（反）复性有效投诉，</w:t>
      </w:r>
      <w:r>
        <w:rPr>
          <w:rFonts w:hint="eastAsia" w:ascii="宋体" w:hAnsi="宋体" w:eastAsia="宋体" w:cs="宋体"/>
          <w:color w:val="000000" w:themeColor="text1"/>
          <w:sz w:val="21"/>
          <w:szCs w:val="21"/>
          <w:highlight w:val="none"/>
          <w:lang w:val="en-US" w:eastAsia="zh-CN"/>
        </w:rPr>
        <w:t>按</w:t>
      </w:r>
      <w:r>
        <w:rPr>
          <w:rFonts w:hint="eastAsia" w:ascii="宋体" w:hAnsi="宋体" w:eastAsia="宋体" w:cs="宋体"/>
          <w:color w:val="000000" w:themeColor="text1"/>
          <w:sz w:val="21"/>
          <w:szCs w:val="21"/>
          <w:highlight w:val="none"/>
        </w:rPr>
        <w:t>1800元/次</w:t>
      </w:r>
      <w:r>
        <w:rPr>
          <w:rFonts w:hint="eastAsia" w:ascii="宋体" w:hAnsi="宋体" w:eastAsia="宋体" w:cs="宋体"/>
          <w:color w:val="000000" w:themeColor="text1"/>
          <w:sz w:val="21"/>
          <w:szCs w:val="21"/>
          <w:highlight w:val="none"/>
          <w:lang w:eastAsia="zh-CN"/>
        </w:rPr>
        <w:t>扣减服务管理费</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16、一般事故过错的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按</w:t>
      </w:r>
      <w:r>
        <w:rPr>
          <w:rFonts w:hint="eastAsia" w:ascii="宋体" w:hAnsi="宋体" w:eastAsia="宋体" w:cs="宋体"/>
          <w:color w:val="000000" w:themeColor="text1"/>
          <w:sz w:val="21"/>
          <w:szCs w:val="21"/>
          <w:highlight w:val="none"/>
        </w:rPr>
        <w:t>1.5-2.4万元/次</w:t>
      </w:r>
      <w:r>
        <w:rPr>
          <w:rFonts w:hint="eastAsia" w:ascii="宋体" w:hAnsi="宋体" w:eastAsia="宋体" w:cs="宋体"/>
          <w:color w:val="000000" w:themeColor="text1"/>
          <w:sz w:val="21"/>
          <w:szCs w:val="21"/>
          <w:highlight w:val="none"/>
          <w:lang w:eastAsia="zh-CN"/>
        </w:rPr>
        <w:t>扣减服务管理费</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17、较大事故过错的</w:t>
      </w:r>
      <w:r>
        <w:rPr>
          <w:rFonts w:hint="eastAsia" w:ascii="宋体" w:hAnsi="宋体" w:eastAsia="宋体" w:cs="宋体"/>
          <w:color w:val="000000" w:themeColor="text1"/>
          <w:sz w:val="21"/>
          <w:szCs w:val="21"/>
          <w:highlight w:val="none"/>
          <w:lang w:val="en-US" w:eastAsia="zh-CN"/>
        </w:rPr>
        <w:t>，按</w:t>
      </w:r>
      <w:r>
        <w:rPr>
          <w:rFonts w:hint="eastAsia" w:ascii="宋体" w:hAnsi="宋体" w:eastAsia="宋体" w:cs="宋体"/>
          <w:color w:val="000000" w:themeColor="text1"/>
          <w:sz w:val="21"/>
          <w:szCs w:val="21"/>
          <w:highlight w:val="none"/>
        </w:rPr>
        <w:t>3-6万元/次</w:t>
      </w:r>
      <w:r>
        <w:rPr>
          <w:rFonts w:hint="eastAsia" w:ascii="宋体" w:hAnsi="宋体" w:eastAsia="宋体" w:cs="宋体"/>
          <w:color w:val="000000" w:themeColor="text1"/>
          <w:sz w:val="21"/>
          <w:szCs w:val="21"/>
          <w:highlight w:val="none"/>
          <w:lang w:eastAsia="zh-CN"/>
        </w:rPr>
        <w:t>扣减服务管理费</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18、重大事故过错的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按</w:t>
      </w:r>
      <w:r>
        <w:rPr>
          <w:rFonts w:hint="eastAsia" w:ascii="宋体" w:hAnsi="宋体" w:eastAsia="宋体" w:cs="宋体"/>
          <w:color w:val="000000" w:themeColor="text1"/>
          <w:sz w:val="21"/>
          <w:szCs w:val="21"/>
          <w:highlight w:val="none"/>
        </w:rPr>
        <w:t>6-15万元/次</w:t>
      </w:r>
      <w:r>
        <w:rPr>
          <w:rFonts w:hint="eastAsia" w:ascii="宋体" w:hAnsi="宋体" w:eastAsia="宋体" w:cs="宋体"/>
          <w:color w:val="000000" w:themeColor="text1"/>
          <w:sz w:val="21"/>
          <w:szCs w:val="21"/>
          <w:highlight w:val="none"/>
          <w:lang w:eastAsia="zh-CN"/>
        </w:rPr>
        <w:t>扣减服务管理费</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19、违反以下条款每条每个事项扣0.1分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（1）工作或执勤时，中标人的所有服务人员必须身着制服，佩证上岗，制服不准混穿；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（2）中标人的所有服务人员的制服要保持整洁、平整，不得敞胸露怀、卷袖子、挽裤腿；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（3）上班时间须精神振作、精力集中，不得坐卧、倚靠、躺卧、打盹、吸烟、吃东西、电话聊天、看书报、下棋、玩弄手机、听看音频视频，不得聊天，大声说话，喧闹，嘻哈玩笑，随意走动、乱堆乱放；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）上班人员提前十五分钟达到各执勤工作岗位，办理接班手续、做好交班记录和物品出入登记，没人顶接不准擅自离开岗位；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）不准在岗就餐，</w:t>
      </w:r>
      <w:r>
        <w:rPr>
          <w:rFonts w:hint="eastAsia" w:ascii="宋体" w:hAnsi="宋体" w:eastAsia="宋体" w:cs="宋体"/>
          <w:color w:val="000000" w:themeColor="text1"/>
          <w:sz w:val="21"/>
          <w:szCs w:val="21"/>
          <w:highlight w:val="none"/>
          <w:lang w:eastAsia="zh-CN"/>
        </w:rPr>
        <w:t>上</w:t>
      </w:r>
      <w:r>
        <w:rPr>
          <w:rFonts w:hint="eastAsia" w:ascii="宋体" w:hAnsi="宋体" w:eastAsia="宋体" w:cs="宋体"/>
          <w:color w:val="000000" w:themeColor="text1"/>
          <w:sz w:val="21"/>
          <w:szCs w:val="21"/>
          <w:highlight w:val="none"/>
        </w:rPr>
        <w:t>班时不得会客；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）工作有礼有节，热情受理各种问题，对发现的问题要及时解决，解决不了的及时汇报并做好登记管理；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7</w:t>
      </w:r>
      <w:r>
        <w:rPr>
          <w:rFonts w:hint="eastAsia" w:ascii="宋体" w:hAnsi="宋体" w:eastAsia="宋体" w:cs="宋体"/>
          <w:color w:val="000000" w:themeColor="text1"/>
          <w:sz w:val="21"/>
          <w:szCs w:val="21"/>
          <w:highlight w:val="none"/>
        </w:rPr>
        <w:t>）工作场所保持整洁、不准随意粘贴、悬挂与堆放与工作无关的物品；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8</w:t>
      </w:r>
      <w:r>
        <w:rPr>
          <w:rFonts w:hint="eastAsia" w:ascii="宋体" w:hAnsi="宋体" w:eastAsia="宋体" w:cs="宋体"/>
          <w:color w:val="000000" w:themeColor="text1"/>
          <w:sz w:val="21"/>
          <w:szCs w:val="21"/>
          <w:highlight w:val="none"/>
        </w:rPr>
        <w:t>）有效投诉一次。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、按规定准时关闭空调、电脑、照明、抽风及非须使用的电气设备，若造成浪费，每次扣减</w:t>
      </w:r>
      <w:r>
        <w:rPr>
          <w:rFonts w:hint="eastAsia" w:ascii="宋体" w:hAnsi="宋体" w:eastAsia="宋体" w:cs="宋体"/>
          <w:color w:val="000000" w:themeColor="text1"/>
          <w:sz w:val="21"/>
          <w:szCs w:val="21"/>
          <w:highlight w:val="none"/>
          <w:lang w:eastAsia="zh-CN"/>
        </w:rPr>
        <w:t>服务管理</w:t>
      </w:r>
      <w:r>
        <w:rPr>
          <w:rFonts w:hint="eastAsia" w:ascii="宋体" w:hAnsi="宋体" w:eastAsia="宋体" w:cs="宋体"/>
          <w:color w:val="000000" w:themeColor="text1"/>
          <w:sz w:val="21"/>
          <w:szCs w:val="21"/>
          <w:highlight w:val="none"/>
        </w:rPr>
        <w:t>费¥100元。</w:t>
      </w:r>
    </w:p>
    <w:bookmarkEnd w:id="198"/>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、招标文件和合同其它约定相关事项。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其它由于中标人责任发生的过错，</w:t>
      </w:r>
      <w:r>
        <w:rPr>
          <w:rFonts w:hint="eastAsia" w:ascii="宋体" w:hAnsi="宋体" w:eastAsia="宋体" w:cs="宋体"/>
          <w:color w:val="000000" w:themeColor="text1"/>
          <w:sz w:val="21"/>
          <w:szCs w:val="21"/>
          <w:highlight w:val="none"/>
          <w:lang w:eastAsia="zh-CN"/>
        </w:rPr>
        <w:t>服务</w:t>
      </w:r>
      <w:r>
        <w:rPr>
          <w:rFonts w:hint="eastAsia" w:ascii="宋体" w:hAnsi="宋体" w:eastAsia="宋体" w:cs="宋体"/>
          <w:color w:val="000000" w:themeColor="text1"/>
          <w:sz w:val="21"/>
          <w:szCs w:val="21"/>
          <w:highlight w:val="none"/>
        </w:rPr>
        <w:t>管理费</w:t>
      </w:r>
      <w:r>
        <w:rPr>
          <w:rFonts w:hint="eastAsia" w:ascii="宋体" w:hAnsi="宋体" w:eastAsia="宋体" w:cs="宋体"/>
          <w:color w:val="000000" w:themeColor="text1"/>
          <w:sz w:val="21"/>
          <w:szCs w:val="21"/>
          <w:highlight w:val="none"/>
          <w:lang w:val="en-US" w:eastAsia="zh-CN"/>
        </w:rPr>
        <w:t>扣减</w:t>
      </w:r>
      <w:r>
        <w:rPr>
          <w:rFonts w:hint="eastAsia" w:ascii="宋体" w:hAnsi="宋体" w:eastAsia="宋体" w:cs="宋体"/>
          <w:color w:val="000000" w:themeColor="text1"/>
          <w:sz w:val="21"/>
          <w:szCs w:val="21"/>
          <w:highlight w:val="none"/>
        </w:rPr>
        <w:t>标准详见附表。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附表1：</w:t>
      </w:r>
      <w:r>
        <w:rPr>
          <w:rFonts w:hint="eastAsia" w:ascii="宋体" w:hAnsi="宋体" w:eastAsia="宋体" w:cs="宋体"/>
          <w:color w:val="000000" w:themeColor="text1"/>
          <w:sz w:val="21"/>
          <w:szCs w:val="21"/>
          <w:highlight w:val="none"/>
          <w:lang w:eastAsia="zh-CN"/>
        </w:rPr>
        <w:t>劳务外包</w:t>
      </w:r>
      <w:r>
        <w:rPr>
          <w:rFonts w:hint="eastAsia" w:ascii="宋体" w:hAnsi="宋体" w:eastAsia="宋体" w:cs="宋体"/>
          <w:color w:val="000000" w:themeColor="text1"/>
          <w:sz w:val="21"/>
          <w:szCs w:val="21"/>
          <w:highlight w:val="none"/>
        </w:rPr>
        <w:t>服务绩效考核评分表</w:t>
      </w:r>
      <w:r>
        <w:rPr>
          <w:rFonts w:hint="eastAsia" w:ascii="宋体" w:hAnsi="宋体" w:eastAsia="宋体" w:cs="宋体"/>
          <w:color w:val="000000" w:themeColor="text1"/>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附表2：</w:t>
      </w:r>
      <w:r>
        <w:rPr>
          <w:rFonts w:hint="eastAsia" w:ascii="宋体" w:hAnsi="宋体" w:eastAsia="宋体" w:cs="宋体"/>
          <w:color w:val="000000" w:themeColor="text1"/>
          <w:sz w:val="21"/>
          <w:szCs w:val="21"/>
          <w:highlight w:val="none"/>
          <w:lang w:eastAsia="zh-CN"/>
        </w:rPr>
        <w:t>劳务外包服务</w:t>
      </w:r>
      <w:r>
        <w:rPr>
          <w:rFonts w:hint="eastAsia" w:ascii="宋体" w:hAnsi="宋体" w:eastAsia="宋体" w:cs="宋体"/>
          <w:color w:val="000000" w:themeColor="text1"/>
          <w:sz w:val="21"/>
          <w:szCs w:val="21"/>
          <w:highlight w:val="none"/>
        </w:rPr>
        <w:t>综合考评统计表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附表3：</w:t>
      </w:r>
      <w:r>
        <w:rPr>
          <w:rFonts w:hint="eastAsia" w:ascii="宋体" w:hAnsi="宋体" w:eastAsia="宋体" w:cs="宋体"/>
          <w:color w:val="000000" w:themeColor="text1"/>
          <w:sz w:val="21"/>
          <w:szCs w:val="21"/>
          <w:highlight w:val="none"/>
          <w:lang w:eastAsia="zh-CN"/>
        </w:rPr>
        <w:t>劳务外包服务</w:t>
      </w:r>
      <w:r>
        <w:rPr>
          <w:rFonts w:hint="eastAsia" w:ascii="宋体" w:hAnsi="宋体" w:eastAsia="宋体" w:cs="宋体"/>
          <w:color w:val="000000" w:themeColor="text1"/>
          <w:sz w:val="21"/>
          <w:szCs w:val="21"/>
          <w:highlight w:val="none"/>
          <w:lang w:val="en-US" w:eastAsia="zh-CN"/>
        </w:rPr>
        <w:t>处理</w:t>
      </w:r>
      <w:r>
        <w:rPr>
          <w:rFonts w:hint="eastAsia" w:ascii="宋体" w:hAnsi="宋体" w:eastAsia="宋体" w:cs="宋体"/>
          <w:color w:val="000000" w:themeColor="text1"/>
          <w:sz w:val="21"/>
          <w:szCs w:val="21"/>
          <w:highlight w:val="none"/>
        </w:rPr>
        <w:t>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bookmarkStart w:id="199" w:name="_Toc21732"/>
      <w:bookmarkStart w:id="200" w:name="_Toc16017"/>
      <w:bookmarkStart w:id="201" w:name="_Toc28094"/>
      <w:bookmarkStart w:id="202" w:name="_Toc32150"/>
      <w:r>
        <w:rPr>
          <w:rFonts w:hint="eastAsia" w:ascii="宋体" w:hAnsi="宋体" w:eastAsia="宋体" w:cs="宋体"/>
          <w:b/>
          <w:bCs/>
          <w:color w:val="000000" w:themeColor="text1"/>
          <w:sz w:val="21"/>
          <w:szCs w:val="21"/>
          <w:highlight w:val="none"/>
        </w:rPr>
        <w:t>六、项目技术支持服务要求</w:t>
      </w:r>
      <w:bookmarkEnd w:id="199"/>
      <w:bookmarkEnd w:id="200"/>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（一）劳务外包服务人员基本要求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（1）身体健康，无重大疾病，无不良嗜好。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（2）遵纪守法，无违纪违法不良行为。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（3）爱岗敬业，吃苦耐劳、勤学好问，能胜任所在职位工作。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（4）严格遵守职业道德，严格遵守</w:t>
      </w:r>
      <w:r>
        <w:rPr>
          <w:rFonts w:hint="eastAsia" w:ascii="宋体" w:hAnsi="宋体" w:eastAsia="宋体" w:cs="宋体"/>
          <w:color w:val="000000" w:themeColor="text1"/>
          <w:sz w:val="21"/>
          <w:szCs w:val="21"/>
          <w:highlight w:val="none"/>
          <w:lang w:eastAsia="zh-CN"/>
        </w:rPr>
        <w:t>国家税务总局阳西县税务局</w:t>
      </w:r>
      <w:r>
        <w:rPr>
          <w:rFonts w:hint="eastAsia" w:ascii="宋体" w:hAnsi="宋体" w:eastAsia="宋体" w:cs="宋体"/>
          <w:color w:val="000000" w:themeColor="text1"/>
          <w:sz w:val="21"/>
          <w:szCs w:val="21"/>
          <w:highlight w:val="none"/>
        </w:rPr>
        <w:t>各项规章制度。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（5）礼貌待人，举止文明，衣着得体。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(二)待遇及福利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★中标人须按国家规定给予所有劳务外包服务人员缴纳</w:t>
      </w:r>
      <w:r>
        <w:rPr>
          <w:rFonts w:hint="eastAsia"/>
          <w:color w:val="000000" w:themeColor="text1"/>
          <w:highlight w:val="none"/>
          <w:lang w:eastAsia="zh-CN"/>
        </w:rPr>
        <w:t>各项社会保险费</w:t>
      </w:r>
      <w:r>
        <w:rPr>
          <w:rFonts w:hint="eastAsia" w:ascii="宋体" w:hAnsi="宋体" w:eastAsia="宋体" w:cs="宋体"/>
          <w:color w:val="000000" w:themeColor="text1"/>
          <w:sz w:val="21"/>
          <w:szCs w:val="21"/>
          <w:highlight w:val="none"/>
        </w:rPr>
        <w:t>（养老保险、医疗保险、失业保险、工伤保险、生育保险</w:t>
      </w:r>
      <w:r>
        <w:rPr>
          <w:rFonts w:hint="eastAsia"/>
          <w:color w:val="000000" w:themeColor="text1"/>
          <w:highlight w:val="none"/>
          <w:lang w:eastAsia="zh-CN"/>
        </w:rPr>
        <w:t>、</w:t>
      </w:r>
      <w:r>
        <w:rPr>
          <w:rFonts w:hint="eastAsia"/>
          <w:color w:val="000000" w:themeColor="text1"/>
          <w:highlight w:val="none"/>
          <w:lang w:val="en-US" w:eastAsia="zh-CN"/>
        </w:rPr>
        <w:t>高额医疗保险</w:t>
      </w:r>
      <w:r>
        <w:rPr>
          <w:rFonts w:hint="eastAsia" w:ascii="宋体" w:hAnsi="宋体" w:eastAsia="宋体" w:cs="宋体"/>
          <w:color w:val="000000" w:themeColor="text1"/>
          <w:sz w:val="21"/>
          <w:szCs w:val="21"/>
          <w:highlight w:val="none"/>
        </w:rPr>
        <w:t>），同时缴纳大额医疗保险；按照阳江市社会保险缴费基数的下限缴纳社会保险；按阳江市有关规定给予缴纳住房公积金。员工的劳动合同关系、薪酬待遇等经济责任、法律责任及相关费用均由中标人负责，采购人不承担相关责任。（须提供承诺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（三）通过本次公开招标，确定一家供应商为</w:t>
      </w:r>
      <w:r>
        <w:rPr>
          <w:rFonts w:hint="eastAsia" w:ascii="宋体" w:hAnsi="宋体" w:eastAsia="宋体" w:cs="宋体"/>
          <w:color w:val="000000" w:themeColor="text1"/>
          <w:sz w:val="21"/>
          <w:szCs w:val="21"/>
          <w:highlight w:val="none"/>
          <w:lang w:eastAsia="zh-CN"/>
        </w:rPr>
        <w:t>国家税务总局阳西县税务局</w:t>
      </w:r>
      <w:r>
        <w:rPr>
          <w:rFonts w:hint="eastAsia" w:ascii="宋体" w:hAnsi="宋体" w:eastAsia="宋体" w:cs="宋体"/>
          <w:color w:val="000000" w:themeColor="text1"/>
          <w:sz w:val="21"/>
          <w:szCs w:val="21"/>
          <w:highlight w:val="none"/>
        </w:rPr>
        <w:t>提供劳务外包服务。劳务外包所需人员数量，采购人有权按实际要求调整。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（四）中标人应协助采购人完成现有综合辅助服务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后勤保障服务人员、网络和信息支持服务人员、</w:t>
      </w:r>
      <w:r>
        <w:rPr>
          <w:rFonts w:hint="eastAsia" w:ascii="宋体" w:hAnsi="宋体" w:eastAsia="宋体" w:cs="宋体"/>
          <w:color w:val="000000" w:themeColor="text1"/>
          <w:sz w:val="21"/>
          <w:szCs w:val="21"/>
          <w:highlight w:val="none"/>
        </w:rPr>
        <w:t>公务用车驾驶服务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、食堂劳务服务</w:t>
      </w:r>
      <w:r>
        <w:rPr>
          <w:rFonts w:hint="eastAsia" w:ascii="宋体" w:hAnsi="宋体" w:eastAsia="宋体" w:cs="宋体"/>
          <w:color w:val="000000" w:themeColor="text1"/>
          <w:sz w:val="21"/>
          <w:szCs w:val="21"/>
          <w:highlight w:val="none"/>
          <w:lang w:eastAsia="zh-CN"/>
        </w:rPr>
        <w:t>人员</w:t>
      </w:r>
      <w:r>
        <w:rPr>
          <w:rFonts w:hint="eastAsia" w:ascii="宋体" w:hAnsi="宋体" w:eastAsia="宋体" w:cs="宋体"/>
          <w:color w:val="000000" w:themeColor="text1"/>
          <w:sz w:val="21"/>
          <w:szCs w:val="21"/>
          <w:highlight w:val="none"/>
        </w:rPr>
        <w:t>的安置。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（五）中标人按照采购人实际情况及要求安排开展工作。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六</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国家税务总局阳西县税务局</w:t>
      </w:r>
      <w:r>
        <w:rPr>
          <w:rFonts w:hint="eastAsia" w:ascii="宋体" w:hAnsi="宋体" w:eastAsia="宋体" w:cs="宋体"/>
          <w:color w:val="000000" w:themeColor="text1"/>
          <w:sz w:val="21"/>
          <w:szCs w:val="21"/>
          <w:highlight w:val="none"/>
        </w:rPr>
        <w:t>是政府重要的办公及会议场所，对安全性、保密性、规范性要求严格，必须按采购人规定的要求执行。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（七）</w:t>
      </w:r>
      <w:r>
        <w:rPr>
          <w:rFonts w:hint="eastAsia" w:ascii="宋体" w:hAnsi="宋体" w:eastAsia="宋体" w:cs="宋体"/>
          <w:color w:val="000000" w:themeColor="text1"/>
          <w:sz w:val="21"/>
          <w:szCs w:val="21"/>
          <w:highlight w:val="none"/>
        </w:rPr>
        <w:t>合同签订后1个月内，中标人须向采购人提供本项目所有人员的人事档案资料，包括身份证复印件、体检证明、专业人员证书等。中标人不得伪造人事档案欺骗采购人，如有此种情况发生，采购人有权要求中标人在规定的时间内更换人员，且采购人有权立即解除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八</w:t>
      </w:r>
      <w:r>
        <w:rPr>
          <w:rFonts w:hint="eastAsia" w:ascii="宋体" w:hAnsi="宋体" w:eastAsia="宋体" w:cs="宋体"/>
          <w:color w:val="000000" w:themeColor="text1"/>
          <w:sz w:val="21"/>
          <w:szCs w:val="21"/>
          <w:highlight w:val="none"/>
        </w:rPr>
        <w:t>）中标人必须按</w:t>
      </w:r>
      <w:r>
        <w:rPr>
          <w:rFonts w:hint="eastAsia" w:ascii="宋体" w:hAnsi="宋体" w:eastAsia="宋体" w:cs="宋体"/>
          <w:color w:val="000000" w:themeColor="text1"/>
          <w:sz w:val="21"/>
          <w:szCs w:val="21"/>
          <w:highlight w:val="none"/>
          <w:lang w:eastAsia="zh-CN"/>
        </w:rPr>
        <w:t>采购人</w:t>
      </w:r>
      <w:r>
        <w:rPr>
          <w:rFonts w:hint="eastAsia" w:ascii="宋体" w:hAnsi="宋体" w:eastAsia="宋体" w:cs="宋体"/>
          <w:color w:val="000000" w:themeColor="text1"/>
          <w:sz w:val="21"/>
          <w:szCs w:val="21"/>
          <w:highlight w:val="none"/>
        </w:rPr>
        <w:t>要求100%配备人员。在合同执行期内如在岗人员少于采购人要求总人数时，中标人须限期补齐，如特殊情况下，短期内出现招工困难（5天内），不得不延长在职人员工时，必须严格按国家劳动法规支付加班费，否则采购人有权按缺员数量和天数进行扣减</w:t>
      </w:r>
      <w:r>
        <w:rPr>
          <w:rFonts w:hint="eastAsia" w:ascii="宋体" w:hAnsi="宋体" w:eastAsia="宋体" w:cs="宋体"/>
          <w:color w:val="000000" w:themeColor="text1"/>
          <w:sz w:val="21"/>
          <w:szCs w:val="21"/>
          <w:highlight w:val="none"/>
          <w:lang w:val="en-US" w:eastAsia="zh-CN"/>
        </w:rPr>
        <w:t>中标人的管理费和相应人员的工资、加班费等相关款项</w:t>
      </w:r>
      <w:r>
        <w:rPr>
          <w:rFonts w:hint="eastAsia" w:ascii="宋体" w:hAnsi="宋体" w:eastAsia="宋体" w:cs="宋体"/>
          <w:color w:val="000000" w:themeColor="text1"/>
          <w:sz w:val="21"/>
          <w:szCs w:val="21"/>
          <w:highlight w:val="none"/>
        </w:rPr>
        <w:t>。（须提供承诺书）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（九）</w:t>
      </w:r>
      <w:r>
        <w:rPr>
          <w:rFonts w:hint="eastAsia" w:ascii="宋体" w:hAnsi="宋体" w:eastAsia="宋体" w:cs="宋体"/>
          <w:color w:val="000000" w:themeColor="text1"/>
          <w:sz w:val="21"/>
          <w:szCs w:val="21"/>
          <w:highlight w:val="none"/>
        </w:rPr>
        <w:t>中标人服务期间应落实安全生产措施，如中标人人员在服务过程中造成自身、采购人或第三人的人身和财产损害的，由中标人承担约定和法定责任。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（十）</w:t>
      </w:r>
      <w:r>
        <w:rPr>
          <w:rFonts w:hint="eastAsia" w:ascii="宋体" w:hAnsi="宋体" w:eastAsia="宋体" w:cs="宋体"/>
          <w:color w:val="000000" w:themeColor="text1"/>
          <w:sz w:val="21"/>
          <w:szCs w:val="21"/>
          <w:highlight w:val="none"/>
        </w:rPr>
        <w:t>中标人违反招标文件、中标文件、合同等约定的，采购人有权立即聘请第三方提供合同项下的服务，由此产生的一切费用由中标人承担，同时采购人可从中标人应取得的合同款中予以扣减。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eastAsia="zh-CN"/>
        </w:rPr>
        <w:t>十一</w:t>
      </w:r>
      <w:r>
        <w:rPr>
          <w:rFonts w:hint="eastAsia" w:ascii="宋体" w:hAnsi="宋体" w:eastAsia="宋体" w:cs="宋体"/>
          <w:color w:val="000000" w:themeColor="text1"/>
          <w:sz w:val="21"/>
          <w:szCs w:val="21"/>
          <w:highlight w:val="none"/>
        </w:rPr>
        <w:t>）服务期限：本项目的服务期限为</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年。如中标人达不到采购人服务要求或未能如约履行合同，采购人有权终止合同，重新进行政府采购。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bookmarkStart w:id="203" w:name="_Toc20535"/>
      <w:bookmarkStart w:id="204" w:name="_Toc12975"/>
      <w:bookmarkStart w:id="205" w:name="_Toc16259"/>
      <w:bookmarkStart w:id="206" w:name="_Toc2633"/>
      <w:r>
        <w:rPr>
          <w:rFonts w:hint="eastAsia" w:ascii="宋体" w:hAnsi="宋体" w:eastAsia="宋体" w:cs="宋体"/>
          <w:b/>
          <w:bCs/>
          <w:color w:val="000000" w:themeColor="text1"/>
          <w:sz w:val="21"/>
          <w:szCs w:val="21"/>
          <w:highlight w:val="none"/>
        </w:rPr>
        <w:t>七、项目其他要求</w:t>
      </w:r>
      <w:bookmarkEnd w:id="203"/>
      <w:bookmarkEnd w:id="204"/>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207" w:name="_Toc19084"/>
      <w:bookmarkStart w:id="208" w:name="_Toc19003"/>
      <w:bookmarkStart w:id="209" w:name="_Toc18793"/>
      <w:bookmarkStart w:id="210" w:name="_Toc23644"/>
      <w:bookmarkStart w:id="211" w:name="_Hlk99012569"/>
      <w:r>
        <w:rPr>
          <w:rFonts w:hint="eastAsia" w:ascii="宋体" w:hAnsi="宋体" w:eastAsia="宋体" w:cs="宋体"/>
          <w:color w:val="000000" w:themeColor="text1"/>
          <w:sz w:val="21"/>
          <w:szCs w:val="21"/>
          <w:highlight w:val="none"/>
        </w:rPr>
        <w:t>（一）合同签订</w:t>
      </w:r>
      <w:bookmarkEnd w:id="207"/>
      <w:bookmarkEnd w:id="208"/>
      <w:bookmarkEnd w:id="209"/>
      <w:bookmarkEnd w:id="21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中标人根据招标文件及投标文件内容，依据相关法律法规在规定时间内与采购人签订劳务外包服务合同。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212" w:name="_Toc7130"/>
      <w:bookmarkStart w:id="213" w:name="_Toc30050"/>
      <w:bookmarkStart w:id="214" w:name="_Toc6985"/>
      <w:bookmarkStart w:id="215" w:name="_Toc10174"/>
      <w:r>
        <w:rPr>
          <w:rFonts w:hint="eastAsia" w:ascii="宋体" w:hAnsi="宋体" w:eastAsia="宋体" w:cs="宋体"/>
          <w:color w:val="000000" w:themeColor="text1"/>
          <w:sz w:val="21"/>
          <w:szCs w:val="21"/>
          <w:highlight w:val="none"/>
        </w:rPr>
        <w:t>（二）结算方式及付款方式</w:t>
      </w:r>
      <w:bookmarkEnd w:id="212"/>
      <w:bookmarkEnd w:id="213"/>
      <w:bookmarkEnd w:id="214"/>
      <w:bookmarkEnd w:id="215"/>
    </w:p>
    <w:bookmarkEnd w:id="211"/>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216" w:name="_Toc18141"/>
      <w:bookmarkStart w:id="217" w:name="_Toc21832"/>
      <w:bookmarkStart w:id="218" w:name="_Toc13939"/>
      <w:bookmarkStart w:id="219" w:name="_Toc19629"/>
      <w:bookmarkStart w:id="220" w:name="_Toc286599339"/>
      <w:bookmarkStart w:id="221" w:name="_Toc425161115"/>
      <w:r>
        <w:rPr>
          <w:rFonts w:hint="eastAsia" w:ascii="宋体" w:hAnsi="宋体" w:eastAsia="宋体" w:cs="宋体"/>
          <w:color w:val="000000" w:themeColor="text1"/>
          <w:sz w:val="21"/>
          <w:szCs w:val="21"/>
          <w:highlight w:val="none"/>
        </w:rPr>
        <w:t>1、结算方式</w:t>
      </w:r>
      <w:bookmarkEnd w:id="216"/>
      <w:bookmarkEnd w:id="217"/>
      <w:bookmarkEnd w:id="218"/>
      <w:bookmarkEnd w:id="21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本项目据实结算，</w:t>
      </w:r>
      <w:r>
        <w:rPr>
          <w:rFonts w:hint="eastAsia" w:ascii="宋体" w:hAnsi="宋体" w:eastAsia="宋体" w:cs="宋体"/>
          <w:color w:val="000000" w:themeColor="text1"/>
          <w:sz w:val="21"/>
          <w:szCs w:val="21"/>
          <w:highlight w:val="none"/>
        </w:rPr>
        <w:t>劳务外包服务费按照“当月支付上月”的方式进行结算，当月实际支付劳务外包服务费</w:t>
      </w:r>
      <w:r>
        <w:rPr>
          <w:rFonts w:hint="eastAsia" w:ascii="宋体" w:hAnsi="宋体" w:eastAsia="宋体" w:cs="宋体"/>
          <w:color w:val="000000" w:themeColor="text1"/>
          <w:sz w:val="21"/>
          <w:szCs w:val="21"/>
          <w:highlight w:val="none"/>
          <w:lang w:val="en-US" w:eastAsia="zh-CN"/>
        </w:rPr>
        <w:t>=服务人员的薪酬+（服务人员的薪酬*10%）*中标折扣率</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222" w:name="_Toc1290"/>
      <w:bookmarkStart w:id="223" w:name="_Toc28560"/>
      <w:bookmarkStart w:id="224" w:name="_Toc13204"/>
      <w:bookmarkStart w:id="225" w:name="_Toc1951"/>
      <w:r>
        <w:rPr>
          <w:rFonts w:hint="eastAsia" w:ascii="宋体" w:hAnsi="宋体" w:eastAsia="宋体" w:cs="宋体"/>
          <w:color w:val="000000" w:themeColor="text1"/>
          <w:sz w:val="21"/>
          <w:szCs w:val="21"/>
          <w:highlight w:val="none"/>
        </w:rPr>
        <w:t>2、付款方式</w:t>
      </w:r>
      <w:bookmarkEnd w:id="222"/>
      <w:bookmarkEnd w:id="223"/>
      <w:bookmarkEnd w:id="224"/>
      <w:bookmarkEnd w:id="22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每次按合同支付款项前，中标人先应向采购人开具提供与支付金额相符的有效发票作为采购人付款的前提，且收款方、出具发票方、合同乙方均必须与中标人名称一致。采购人收到发票等相关资料并审核无误后在</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0个工作日内办理支付手续。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（2）如遇财政拨款未到位情况，上述付款期限顺延，中标人不得追究采购人的相关法律责任。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bookmarkStart w:id="226" w:name="_Toc31752"/>
      <w:bookmarkStart w:id="227" w:name="_Toc16820"/>
      <w:bookmarkStart w:id="228" w:name="_Toc19503"/>
      <w:bookmarkStart w:id="229" w:name="_Toc2334"/>
      <w:r>
        <w:rPr>
          <w:rFonts w:hint="eastAsia" w:ascii="宋体" w:hAnsi="宋体" w:eastAsia="宋体" w:cs="宋体"/>
          <w:color w:val="000000" w:themeColor="text1"/>
          <w:sz w:val="21"/>
          <w:szCs w:val="21"/>
          <w:highlight w:val="none"/>
        </w:rPr>
        <w:t>（三）履约保证金</w:t>
      </w:r>
      <w:bookmarkEnd w:id="226"/>
      <w:bookmarkEnd w:id="227"/>
      <w:bookmarkEnd w:id="228"/>
      <w:bookmarkEnd w:id="22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1、中标人须在中标结果公告期满后20个自然日内按合同签订年度中标金额的5%向采购人提交</w:t>
      </w:r>
      <w:r>
        <w:rPr>
          <w:rFonts w:hint="eastAsia" w:ascii="宋体" w:hAnsi="宋体" w:eastAsia="宋体" w:cs="宋体"/>
          <w:color w:val="000000" w:themeColor="text1"/>
          <w:sz w:val="21"/>
          <w:szCs w:val="21"/>
          <w:highlight w:val="none"/>
          <w:lang w:val="en-US" w:eastAsia="zh-CN"/>
        </w:rPr>
        <w:t>由合法金融机构出具的</w:t>
      </w:r>
      <w:r>
        <w:rPr>
          <w:rFonts w:hint="eastAsia" w:ascii="宋体" w:hAnsi="宋体" w:eastAsia="宋体" w:cs="宋体"/>
          <w:color w:val="000000" w:themeColor="text1"/>
          <w:sz w:val="21"/>
          <w:szCs w:val="21"/>
          <w:highlight w:val="none"/>
        </w:rPr>
        <w:t>连带保证责任的履约保函</w:t>
      </w:r>
      <w:r>
        <w:rPr>
          <w:rFonts w:hint="eastAsia" w:ascii="宋体" w:hAnsi="宋体" w:eastAsia="宋体" w:cs="宋体"/>
          <w:color w:val="000000" w:themeColor="text1"/>
          <w:sz w:val="21"/>
          <w:szCs w:val="21"/>
          <w:highlight w:val="none"/>
          <w:lang w:val="en-US" w:eastAsia="zh-CN"/>
        </w:rPr>
        <w:t>(保证期限应不少于本合同履行期限加上6个月的总和）</w:t>
      </w:r>
      <w:r>
        <w:rPr>
          <w:rFonts w:hint="eastAsia" w:ascii="宋体" w:hAnsi="宋体" w:eastAsia="宋体" w:cs="宋体"/>
          <w:color w:val="000000" w:themeColor="text1"/>
          <w:sz w:val="21"/>
          <w:szCs w:val="21"/>
          <w:highlight w:val="none"/>
        </w:rPr>
        <w:t>，担保范围为采购人向中标人索偿的一切违约金和赔偿金。如中标人无法按前述规定提供履约保函的，可向采购人提供年度合同总金额的5%的履约保证金作为替代。合同期限届满前，保函金额或保证金被采购人扣减的，中标人应在收到通知后10天内补足，否则，采购人有权视为中标人未按规定提供履约保函或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按承诺完全履行合同的约定，</w:t>
      </w:r>
      <w:r>
        <w:rPr>
          <w:rFonts w:hint="eastAsia" w:ascii="宋体" w:hAnsi="宋体" w:eastAsia="宋体" w:cs="宋体"/>
          <w:color w:val="000000" w:themeColor="text1"/>
          <w:sz w:val="21"/>
          <w:szCs w:val="21"/>
          <w:highlight w:val="none"/>
          <w:lang w:eastAsia="zh-CN"/>
        </w:rPr>
        <w:t>劳务服务</w:t>
      </w:r>
      <w:r>
        <w:rPr>
          <w:rFonts w:hint="eastAsia" w:ascii="宋体" w:hAnsi="宋体" w:eastAsia="宋体" w:cs="宋体"/>
          <w:color w:val="000000" w:themeColor="text1"/>
          <w:sz w:val="21"/>
          <w:szCs w:val="21"/>
          <w:highlight w:val="none"/>
        </w:rPr>
        <w:t>合同期满3个月，且顺利完成工作交接后的30个工作日内返还履约保证金或终止履约保函有效期。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、中标人未按规定提供履约保函或履约保证金的，采购人有权单方解除合同，并有权要求中标人支付合同总金额10%的违约金。</w:t>
      </w:r>
      <w:bookmarkEnd w:id="220"/>
      <w:bookmarkEnd w:id="22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中标人派驻人员应严格按照规定认真履行职责，对中标人派驻的工作人员违反服务规定，造成的损失由中标人负责，损失金额超过人民币5万元或者造成不良社会影响的，采购人有权没收履约保证金或按履约保函担保额度索赔保证金并视情况终止合同。</w:t>
      </w:r>
    </w:p>
    <w:p>
      <w:pPr>
        <w:pStyle w:val="2"/>
        <w:rPr>
          <w:rFonts w:hint="eastAsia" w:ascii="宋体" w:hAnsi="宋体" w:eastAsia="宋体" w:cs="Times New Roman"/>
          <w:color w:val="000000" w:themeColor="text1"/>
          <w:sz w:val="21"/>
          <w:szCs w:val="21"/>
          <w:highlight w:val="none"/>
        </w:rPr>
      </w:pPr>
    </w:p>
    <w:p>
      <w:pPr>
        <w:pStyle w:val="2"/>
        <w:rPr>
          <w:rFonts w:hint="eastAsia" w:ascii="宋体" w:hAnsi="宋体" w:eastAsia="宋体" w:cs="仿宋_GB2312"/>
          <w:color w:val="000000" w:themeColor="text1"/>
          <w:sz w:val="21"/>
          <w:szCs w:val="21"/>
          <w:highlight w:val="none"/>
        </w:rPr>
      </w:pPr>
      <w:r>
        <w:rPr>
          <w:rFonts w:hint="eastAsia" w:ascii="宋体" w:hAnsi="宋体" w:eastAsia="宋体" w:cs="仿宋_GB2312"/>
          <w:color w:val="000000" w:themeColor="text1"/>
          <w:sz w:val="21"/>
          <w:szCs w:val="21"/>
          <w:highlight w:val="none"/>
        </w:rPr>
        <w:t>附</w:t>
      </w:r>
      <w:r>
        <w:rPr>
          <w:rFonts w:hint="eastAsia" w:ascii="宋体" w:hAnsi="宋体" w:eastAsia="宋体" w:cs="仿宋_GB2312"/>
          <w:color w:val="000000" w:themeColor="text1"/>
          <w:sz w:val="21"/>
          <w:szCs w:val="21"/>
          <w:highlight w:val="none"/>
          <w:lang w:eastAsia="zh-CN"/>
        </w:rPr>
        <w:t>表</w:t>
      </w:r>
      <w:r>
        <w:rPr>
          <w:rFonts w:hint="eastAsia" w:ascii="宋体" w:hAnsi="宋体" w:eastAsia="宋体" w:cs="仿宋_GB2312"/>
          <w:color w:val="000000" w:themeColor="text1"/>
          <w:sz w:val="21"/>
          <w:szCs w:val="21"/>
          <w:highlight w:val="none"/>
          <w:lang w:val="en-US" w:eastAsia="zh-CN"/>
        </w:rPr>
        <w:t>1</w:t>
      </w:r>
      <w:r>
        <w:rPr>
          <w:rFonts w:hint="eastAsia" w:ascii="宋体" w:hAnsi="宋体" w:eastAsia="宋体" w:cs="仿宋_GB2312"/>
          <w:color w:val="000000" w:themeColor="text1"/>
          <w:sz w:val="21"/>
          <w:szCs w:val="21"/>
          <w:highlight w:val="none"/>
        </w:rPr>
        <w:t>：</w:t>
      </w:r>
    </w:p>
    <w:p>
      <w:pPr>
        <w:pStyle w:val="2"/>
        <w:jc w:val="center"/>
        <w:rPr>
          <w:rFonts w:hint="default" w:ascii="宋体" w:hAnsi="宋体" w:eastAsia="宋体" w:cs="Times New Roman"/>
          <w:color w:val="000000" w:themeColor="text1"/>
          <w:sz w:val="21"/>
          <w:szCs w:val="21"/>
          <w:highlight w:val="none"/>
          <w:lang w:val="en-US" w:eastAsia="zh-CN"/>
        </w:rPr>
      </w:pPr>
      <w:r>
        <w:rPr>
          <w:rFonts w:hint="eastAsia" w:ascii="宋体" w:hAnsi="宋体" w:eastAsia="宋体" w:cs="Times New Roman"/>
          <w:color w:val="000000" w:themeColor="text1"/>
          <w:sz w:val="21"/>
          <w:szCs w:val="21"/>
          <w:highlight w:val="none"/>
          <w:lang w:eastAsia="zh-CN"/>
        </w:rPr>
        <w:t>劳务外包</w:t>
      </w:r>
      <w:r>
        <w:rPr>
          <w:rFonts w:hint="eastAsia" w:ascii="宋体" w:hAnsi="宋体" w:eastAsia="宋体" w:cs="Times New Roman"/>
          <w:color w:val="000000" w:themeColor="text1"/>
          <w:sz w:val="21"/>
          <w:szCs w:val="21"/>
          <w:highlight w:val="none"/>
        </w:rPr>
        <w:t>服务绩效考核评分表</w:t>
      </w:r>
      <w:r>
        <w:rPr>
          <w:rFonts w:hint="eastAsia" w:ascii="宋体" w:hAnsi="宋体" w:eastAsia="宋体" w:cs="Times New Roman"/>
          <w:color w:val="000000" w:themeColor="text1"/>
          <w:sz w:val="21"/>
          <w:szCs w:val="21"/>
          <w:highlight w:val="none"/>
          <w:lang w:val="en-US" w:eastAsia="zh-CN"/>
        </w:rPr>
        <w:t xml:space="preserve">     </w:t>
      </w:r>
    </w:p>
    <w:tbl>
      <w:tblPr>
        <w:tblStyle w:val="46"/>
        <w:tblW w:w="83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1676"/>
        <w:gridCol w:w="1606"/>
        <w:gridCol w:w="1765"/>
        <w:gridCol w:w="1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725" w:type="dxa"/>
            <w:noWrap w:val="0"/>
            <w:vAlign w:val="top"/>
          </w:tcPr>
          <w:p>
            <w:pPr>
              <w:spacing w:before="36" w:line="276" w:lineRule="auto"/>
              <w:ind w:firstLine="664"/>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1676" w:type="dxa"/>
            <w:noWrap w:val="0"/>
            <w:vAlign w:val="top"/>
          </w:tcPr>
          <w:p>
            <w:pPr>
              <w:spacing w:before="36" w:line="276" w:lineRule="auto"/>
              <w:ind w:firstLine="318"/>
              <w:rPr>
                <w:rFonts w:ascii="宋体" w:hAnsi="宋体" w:cs="宋体"/>
                <w:color w:val="000000" w:themeColor="text1"/>
                <w:szCs w:val="21"/>
                <w:highlight w:val="none"/>
              </w:rPr>
            </w:pPr>
            <w:r>
              <w:rPr>
                <w:rFonts w:ascii="宋体" w:hAnsi="宋体" w:cs="宋体"/>
                <w:color w:val="000000" w:themeColor="text1"/>
                <w:spacing w:val="-5"/>
                <w:szCs w:val="21"/>
                <w:highlight w:val="none"/>
              </w:rPr>
              <w:t>很满意5分</w:t>
            </w:r>
          </w:p>
        </w:tc>
        <w:tc>
          <w:tcPr>
            <w:tcW w:w="1606" w:type="dxa"/>
            <w:noWrap w:val="0"/>
            <w:vAlign w:val="top"/>
          </w:tcPr>
          <w:p>
            <w:pPr>
              <w:spacing w:before="36" w:line="276" w:lineRule="auto"/>
              <w:ind w:firstLine="389"/>
              <w:rPr>
                <w:rFonts w:ascii="宋体" w:hAnsi="宋体" w:cs="宋体"/>
                <w:color w:val="000000" w:themeColor="text1"/>
                <w:szCs w:val="21"/>
                <w:highlight w:val="none"/>
              </w:rPr>
            </w:pPr>
            <w:r>
              <w:rPr>
                <w:rFonts w:ascii="宋体" w:hAnsi="宋体" w:cs="宋体"/>
                <w:color w:val="000000" w:themeColor="text1"/>
                <w:spacing w:val="-4"/>
                <w:szCs w:val="21"/>
                <w:highlight w:val="none"/>
              </w:rPr>
              <w:t>满意4分</w:t>
            </w:r>
          </w:p>
        </w:tc>
        <w:tc>
          <w:tcPr>
            <w:tcW w:w="1765" w:type="dxa"/>
            <w:noWrap w:val="0"/>
            <w:vAlign w:val="top"/>
          </w:tcPr>
          <w:p>
            <w:pPr>
              <w:spacing w:before="36" w:line="276" w:lineRule="auto"/>
              <w:ind w:firstLine="258"/>
              <w:rPr>
                <w:rFonts w:ascii="宋体" w:hAnsi="宋体" w:cs="宋体"/>
                <w:color w:val="000000" w:themeColor="text1"/>
                <w:szCs w:val="21"/>
                <w:highlight w:val="none"/>
              </w:rPr>
            </w:pPr>
            <w:r>
              <w:rPr>
                <w:rFonts w:ascii="宋体" w:hAnsi="宋体" w:cs="宋体"/>
                <w:color w:val="000000" w:themeColor="text1"/>
                <w:spacing w:val="-3"/>
                <w:szCs w:val="21"/>
                <w:highlight w:val="none"/>
              </w:rPr>
              <w:t>基本满意3分</w:t>
            </w:r>
          </w:p>
        </w:tc>
        <w:tc>
          <w:tcPr>
            <w:tcW w:w="1592" w:type="dxa"/>
            <w:noWrap w:val="0"/>
            <w:vAlign w:val="top"/>
          </w:tcPr>
          <w:p>
            <w:pPr>
              <w:spacing w:before="36" w:line="276" w:lineRule="auto"/>
              <w:ind w:firstLine="279"/>
              <w:rPr>
                <w:rFonts w:ascii="宋体" w:hAnsi="宋体" w:cs="宋体"/>
                <w:color w:val="000000" w:themeColor="text1"/>
                <w:szCs w:val="21"/>
                <w:highlight w:val="none"/>
              </w:rPr>
            </w:pPr>
            <w:r>
              <w:rPr>
                <w:rFonts w:ascii="宋体" w:hAnsi="宋体" w:cs="宋体"/>
                <w:color w:val="000000" w:themeColor="text1"/>
                <w:spacing w:val="-4"/>
                <w:szCs w:val="21"/>
                <w:highlight w:val="none"/>
              </w:rPr>
              <w:t>不满意0分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725" w:type="dxa"/>
            <w:noWrap w:val="0"/>
            <w:vAlign w:val="top"/>
          </w:tcPr>
          <w:p>
            <w:pPr>
              <w:spacing w:before="32" w:line="276" w:lineRule="auto"/>
              <w:jc w:val="center"/>
              <w:rPr>
                <w:rFonts w:ascii="宋体" w:hAnsi="宋体" w:cs="宋体"/>
                <w:color w:val="000000" w:themeColor="text1"/>
                <w:szCs w:val="21"/>
                <w:highlight w:val="none"/>
              </w:rPr>
            </w:pPr>
            <w:r>
              <w:rPr>
                <w:rFonts w:ascii="宋体" w:hAnsi="宋体" w:cs="宋体"/>
                <w:color w:val="000000" w:themeColor="text1"/>
                <w:spacing w:val="-2"/>
                <w:szCs w:val="21"/>
                <w:highlight w:val="none"/>
              </w:rPr>
              <w:t>制度流程</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服务标准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29" w:line="276" w:lineRule="auto"/>
              <w:ind w:firstLine="434"/>
              <w:rPr>
                <w:rFonts w:ascii="宋体" w:hAnsi="宋体" w:cs="宋体"/>
                <w:color w:val="000000" w:themeColor="text1"/>
                <w:szCs w:val="21"/>
                <w:highlight w:val="none"/>
              </w:rPr>
            </w:pPr>
            <w:r>
              <w:rPr>
                <w:rFonts w:ascii="宋体" w:hAnsi="宋体" w:cs="宋体"/>
                <w:color w:val="000000" w:themeColor="text1"/>
                <w:spacing w:val="-1"/>
                <w:szCs w:val="21"/>
                <w:highlight w:val="none"/>
              </w:rPr>
              <w:t>机构设置</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装备配备</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0"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人员配置</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培训演练</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专业水平</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2"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仪容仪表</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服务态度</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执行力度</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ind w:firstLine="439"/>
              <w:rPr>
                <w:rFonts w:ascii="宋体" w:hAnsi="宋体" w:cs="宋体"/>
                <w:color w:val="000000" w:themeColor="text1"/>
                <w:szCs w:val="21"/>
                <w:highlight w:val="none"/>
              </w:rPr>
            </w:pPr>
            <w:r>
              <w:rPr>
                <w:rFonts w:ascii="宋体" w:hAnsi="宋体" w:cs="宋体"/>
                <w:color w:val="000000" w:themeColor="text1"/>
                <w:spacing w:val="-3"/>
                <w:szCs w:val="21"/>
                <w:highlight w:val="none"/>
              </w:rPr>
              <w:t>安全意识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卫生意识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服务意识</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5"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工作责任</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5" w:line="276" w:lineRule="auto"/>
              <w:ind w:firstLine="445"/>
              <w:rPr>
                <w:rFonts w:ascii="宋体" w:hAnsi="宋体" w:cs="宋体"/>
                <w:color w:val="000000" w:themeColor="text1"/>
                <w:szCs w:val="21"/>
                <w:highlight w:val="none"/>
              </w:rPr>
            </w:pPr>
            <w:r>
              <w:rPr>
                <w:rFonts w:ascii="宋体" w:hAnsi="宋体" w:cs="宋体"/>
                <w:color w:val="000000" w:themeColor="text1"/>
                <w:spacing w:val="-4"/>
                <w:szCs w:val="21"/>
                <w:highlight w:val="none"/>
              </w:rPr>
              <w:t>时间观念</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725" w:type="dxa"/>
            <w:noWrap w:val="0"/>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协调能力</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服务效率</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服务质量</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节能减排</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jc w:val="center"/>
              <w:rPr>
                <w:rFonts w:ascii="宋体" w:hAnsi="宋体" w:cs="宋体"/>
                <w:color w:val="000000" w:themeColor="text1"/>
                <w:spacing w:val="-2"/>
                <w:szCs w:val="21"/>
                <w:highlight w:val="none"/>
              </w:rPr>
            </w:pPr>
            <w:r>
              <w:rPr>
                <w:rFonts w:ascii="宋体" w:hAnsi="宋体" w:cs="宋体"/>
                <w:color w:val="000000" w:themeColor="text1"/>
                <w:spacing w:val="-2"/>
                <w:szCs w:val="21"/>
                <w:highlight w:val="none"/>
              </w:rPr>
              <w:t>一般性重复失误</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jc w:val="center"/>
              <w:rPr>
                <w:rFonts w:ascii="宋体" w:hAnsi="宋体" w:cs="宋体"/>
                <w:color w:val="000000" w:themeColor="text1"/>
                <w:spacing w:val="-2"/>
                <w:szCs w:val="21"/>
                <w:highlight w:val="none"/>
              </w:rPr>
            </w:pPr>
            <w:r>
              <w:rPr>
                <w:rFonts w:ascii="宋体" w:hAnsi="宋体" w:cs="宋体"/>
                <w:color w:val="000000" w:themeColor="text1"/>
                <w:spacing w:val="-2"/>
                <w:szCs w:val="21"/>
                <w:highlight w:val="none"/>
              </w:rPr>
              <w:t>一般性重复过错</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3" w:line="276" w:lineRule="auto"/>
              <w:jc w:val="center"/>
              <w:rPr>
                <w:rFonts w:ascii="宋体" w:hAnsi="宋体" w:cs="宋体"/>
                <w:color w:val="000000" w:themeColor="text1"/>
                <w:spacing w:val="-2"/>
                <w:szCs w:val="21"/>
                <w:highlight w:val="none"/>
              </w:rPr>
            </w:pPr>
            <w:r>
              <w:rPr>
                <w:rFonts w:ascii="宋体" w:hAnsi="宋体" w:cs="宋体"/>
                <w:color w:val="000000" w:themeColor="text1"/>
                <w:spacing w:val="-1"/>
                <w:szCs w:val="21"/>
                <w:highlight w:val="none"/>
              </w:rPr>
              <w:t>较大性重复过错</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1" w:line="276" w:lineRule="auto"/>
              <w:ind w:firstLine="21" w:firstLineChars="0"/>
              <w:jc w:val="center"/>
              <w:rPr>
                <w:rFonts w:ascii="宋体" w:hAnsi="宋体" w:cs="宋体"/>
                <w:color w:val="000000" w:themeColor="text1"/>
                <w:spacing w:val="-1"/>
                <w:szCs w:val="21"/>
                <w:highlight w:val="none"/>
              </w:rPr>
            </w:pPr>
            <w:r>
              <w:rPr>
                <w:rFonts w:ascii="宋体" w:hAnsi="宋体" w:cs="宋体"/>
                <w:color w:val="000000" w:themeColor="text1"/>
                <w:spacing w:val="-2"/>
                <w:szCs w:val="21"/>
                <w:highlight w:val="none"/>
              </w:rPr>
              <w:t>一般性事故</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5" w:line="276" w:lineRule="auto"/>
              <w:ind w:firstLine="17" w:firstLineChars="0"/>
              <w:jc w:val="center"/>
              <w:rPr>
                <w:rFonts w:ascii="宋体" w:hAnsi="宋体" w:cs="宋体"/>
                <w:color w:val="000000" w:themeColor="text1"/>
                <w:spacing w:val="-1"/>
                <w:szCs w:val="21"/>
                <w:highlight w:val="none"/>
              </w:rPr>
            </w:pPr>
            <w:r>
              <w:rPr>
                <w:rFonts w:ascii="宋体" w:hAnsi="宋体" w:cs="宋体"/>
                <w:color w:val="000000" w:themeColor="text1"/>
                <w:spacing w:val="-1"/>
                <w:szCs w:val="21"/>
                <w:highlight w:val="none"/>
              </w:rPr>
              <w:t>较大性事故</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noWrap w:val="0"/>
            <w:vAlign w:val="top"/>
          </w:tcPr>
          <w:p>
            <w:pPr>
              <w:spacing w:before="32" w:line="276" w:lineRule="auto"/>
              <w:ind w:firstLine="18" w:firstLineChars="0"/>
              <w:jc w:val="center"/>
              <w:rPr>
                <w:rFonts w:ascii="宋体" w:hAnsi="宋体" w:cs="宋体"/>
                <w:color w:val="000000" w:themeColor="text1"/>
                <w:spacing w:val="-1"/>
                <w:szCs w:val="21"/>
                <w:highlight w:val="none"/>
              </w:rPr>
            </w:pPr>
            <w:r>
              <w:rPr>
                <w:rFonts w:ascii="宋体" w:hAnsi="宋体" w:cs="宋体"/>
                <w:color w:val="000000" w:themeColor="text1"/>
                <w:spacing w:val="-2"/>
                <w:szCs w:val="21"/>
                <w:highlight w:val="none"/>
              </w:rPr>
              <w:t>重大性事故</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jc w:val="center"/>
        </w:trPr>
        <w:tc>
          <w:tcPr>
            <w:tcW w:w="1725" w:type="dxa"/>
            <w:noWrap w:val="0"/>
            <w:vAlign w:val="top"/>
          </w:tcPr>
          <w:p>
            <w:pPr>
              <w:spacing w:before="34" w:line="276" w:lineRule="auto"/>
              <w:ind w:left="14" w:right="3" w:firstLine="1"/>
              <w:jc w:val="center"/>
              <w:rPr>
                <w:rFonts w:ascii="宋体" w:hAnsi="宋体" w:cs="宋体"/>
                <w:color w:val="000000" w:themeColor="text1"/>
                <w:szCs w:val="21"/>
                <w:highlight w:val="none"/>
              </w:rPr>
            </w:pPr>
            <w:r>
              <w:rPr>
                <w:rFonts w:ascii="宋体" w:hAnsi="宋体" w:cs="宋体"/>
                <w:color w:val="000000" w:themeColor="text1"/>
                <w:spacing w:val="2"/>
                <w:szCs w:val="21"/>
                <w:highlight w:val="none"/>
              </w:rPr>
              <w:t>整体服务综合考核</w:t>
            </w:r>
            <w:r>
              <w:rPr>
                <w:rFonts w:ascii="宋体" w:hAnsi="宋体" w:cs="宋体"/>
                <w:color w:val="000000" w:themeColor="text1"/>
                <w:spacing w:val="-1"/>
                <w:szCs w:val="21"/>
                <w:highlight w:val="none"/>
              </w:rPr>
              <w:t>评分（合计）</w:t>
            </w:r>
          </w:p>
        </w:tc>
        <w:tc>
          <w:tcPr>
            <w:tcW w:w="1676" w:type="dxa"/>
            <w:noWrap w:val="0"/>
            <w:vAlign w:val="top"/>
          </w:tcPr>
          <w:p>
            <w:pPr>
              <w:spacing w:line="276" w:lineRule="auto"/>
              <w:rPr>
                <w:rFonts w:ascii="宋体" w:hAnsi="宋体"/>
                <w:color w:val="000000" w:themeColor="text1"/>
                <w:szCs w:val="21"/>
                <w:highlight w:val="none"/>
              </w:rPr>
            </w:pPr>
          </w:p>
        </w:tc>
        <w:tc>
          <w:tcPr>
            <w:tcW w:w="1606" w:type="dxa"/>
            <w:noWrap w:val="0"/>
            <w:vAlign w:val="top"/>
          </w:tcPr>
          <w:p>
            <w:pPr>
              <w:spacing w:line="276" w:lineRule="auto"/>
              <w:rPr>
                <w:rFonts w:ascii="宋体" w:hAnsi="宋体"/>
                <w:color w:val="000000" w:themeColor="text1"/>
                <w:szCs w:val="21"/>
                <w:highlight w:val="none"/>
              </w:rPr>
            </w:pPr>
          </w:p>
        </w:tc>
        <w:tc>
          <w:tcPr>
            <w:tcW w:w="1765" w:type="dxa"/>
            <w:noWrap w:val="0"/>
            <w:vAlign w:val="top"/>
          </w:tcPr>
          <w:p>
            <w:pPr>
              <w:spacing w:line="276" w:lineRule="auto"/>
              <w:rPr>
                <w:rFonts w:ascii="宋体" w:hAnsi="宋体"/>
                <w:color w:val="000000" w:themeColor="text1"/>
                <w:szCs w:val="21"/>
                <w:highlight w:val="none"/>
              </w:rPr>
            </w:pPr>
          </w:p>
        </w:tc>
        <w:tc>
          <w:tcPr>
            <w:tcW w:w="1592" w:type="dxa"/>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jc w:val="center"/>
        </w:trPr>
        <w:tc>
          <w:tcPr>
            <w:tcW w:w="1725" w:type="dxa"/>
            <w:noWrap w:val="0"/>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3"/>
                <w:szCs w:val="21"/>
                <w:highlight w:val="none"/>
              </w:rPr>
              <w:t>说明</w:t>
            </w:r>
          </w:p>
        </w:tc>
        <w:tc>
          <w:tcPr>
            <w:tcW w:w="6639" w:type="dxa"/>
            <w:gridSpan w:val="4"/>
            <w:noWrap w:val="0"/>
            <w:vAlign w:val="top"/>
          </w:tcPr>
          <w:p>
            <w:pPr>
              <w:spacing w:before="35" w:line="276" w:lineRule="auto"/>
              <w:ind w:left="8"/>
              <w:rPr>
                <w:rFonts w:ascii="宋体" w:hAnsi="宋体" w:cs="宋体"/>
                <w:color w:val="000000" w:themeColor="text1"/>
                <w:szCs w:val="21"/>
                <w:highlight w:val="none"/>
              </w:rPr>
            </w:pPr>
            <w:r>
              <w:rPr>
                <w:rFonts w:ascii="宋体" w:hAnsi="宋体" w:cs="宋体"/>
                <w:color w:val="000000" w:themeColor="text1"/>
                <w:spacing w:val="-5"/>
                <w:szCs w:val="21"/>
                <w:highlight w:val="none"/>
              </w:rPr>
              <w:t>考核满分为100分，每获得1个分项：很满意得5分；满意得4分；基本满意得3分；不满意得0分。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jc w:val="center"/>
        </w:trPr>
        <w:tc>
          <w:tcPr>
            <w:tcW w:w="1725" w:type="dxa"/>
            <w:noWrap w:val="0"/>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建议意见</w:t>
            </w:r>
          </w:p>
        </w:tc>
        <w:tc>
          <w:tcPr>
            <w:tcW w:w="6639" w:type="dxa"/>
            <w:gridSpan w:val="4"/>
            <w:noWrap w:val="0"/>
            <w:vAlign w:val="top"/>
          </w:tcPr>
          <w:p>
            <w:pPr>
              <w:spacing w:line="276" w:lineRule="auto"/>
              <w:rPr>
                <w:rFonts w:ascii="宋体" w:hAnsi="宋体"/>
                <w:color w:val="000000" w:themeColor="text1"/>
                <w:szCs w:val="21"/>
                <w:highlight w:val="none"/>
              </w:rPr>
            </w:pPr>
          </w:p>
        </w:tc>
      </w:tr>
    </w:tbl>
    <w:p>
      <w:pPr>
        <w:ind w:firstLine="420" w:firstLineChars="200"/>
        <w:jc w:val="left"/>
        <w:rPr>
          <w:rFonts w:ascii="宋体" w:hAnsi="宋体" w:cs="宋体"/>
          <w:color w:val="000000" w:themeColor="text1"/>
          <w:spacing w:val="-10"/>
          <w:szCs w:val="21"/>
          <w:highlight w:val="none"/>
        </w:rPr>
      </w:pPr>
      <w:r>
        <w:rPr>
          <w:rFonts w:hint="eastAsia" w:ascii="宋体" w:hAnsi="宋体" w:eastAsia="宋体" w:cs="Times New Roman"/>
          <w:color w:val="000000" w:themeColor="text1"/>
          <w:sz w:val="21"/>
          <w:szCs w:val="21"/>
          <w:highlight w:val="none"/>
          <w:lang w:eastAsia="zh-CN"/>
        </w:rPr>
        <w:t>说明：</w:t>
      </w:r>
      <w:r>
        <w:rPr>
          <w:rFonts w:hint="eastAsia" w:ascii="宋体" w:hAnsi="宋体" w:eastAsia="宋体" w:cs="Times New Roman"/>
          <w:color w:val="000000" w:themeColor="text1"/>
          <w:sz w:val="21"/>
          <w:szCs w:val="21"/>
          <w:highlight w:val="none"/>
          <w:lang w:val="en-US" w:eastAsia="zh-CN"/>
        </w:rPr>
        <w:t>考评单位考核评分（请打“√”）</w:t>
      </w:r>
      <w:r>
        <w:rPr>
          <w:rFonts w:hint="eastAsia" w:ascii="宋体" w:hAnsi="宋体" w:eastAsia="宋体" w:cs="Times New Roman"/>
          <w:color w:val="000000" w:themeColor="text1"/>
          <w:sz w:val="21"/>
          <w:szCs w:val="21"/>
          <w:highlight w:val="none"/>
        </w:rPr>
        <w:br w:type="page"/>
      </w:r>
      <w:r>
        <w:rPr>
          <w:rFonts w:ascii="宋体" w:hAnsi="宋体" w:cs="宋体"/>
          <w:color w:val="000000" w:themeColor="text1"/>
          <w:spacing w:val="-10"/>
          <w:szCs w:val="21"/>
          <w:highlight w:val="none"/>
        </w:rPr>
        <w:t>附</w:t>
      </w:r>
      <w:r>
        <w:rPr>
          <w:rFonts w:hint="eastAsia" w:ascii="宋体" w:hAnsi="宋体" w:cs="宋体"/>
          <w:color w:val="000000" w:themeColor="text1"/>
          <w:spacing w:val="-10"/>
          <w:szCs w:val="21"/>
          <w:highlight w:val="none"/>
          <w:lang w:eastAsia="zh-CN"/>
        </w:rPr>
        <w:t>表</w:t>
      </w:r>
      <w:r>
        <w:rPr>
          <w:rFonts w:ascii="宋体" w:hAnsi="宋体" w:cs="宋体"/>
          <w:color w:val="000000" w:themeColor="text1"/>
          <w:spacing w:val="-10"/>
          <w:szCs w:val="21"/>
          <w:highlight w:val="none"/>
        </w:rPr>
        <w:t>2：</w:t>
      </w:r>
    </w:p>
    <w:p>
      <w:pPr>
        <w:pStyle w:val="2"/>
        <w:rPr>
          <w:color w:val="000000" w:themeColor="text1"/>
          <w:highlight w:val="none"/>
        </w:rPr>
      </w:pPr>
    </w:p>
    <w:p>
      <w:pPr>
        <w:spacing w:line="276" w:lineRule="auto"/>
        <w:ind w:firstLine="0" w:firstLineChars="0"/>
        <w:jc w:val="center"/>
        <w:rPr>
          <w:color w:val="000000" w:themeColor="text1"/>
          <w:highlight w:val="none"/>
        </w:rPr>
      </w:pPr>
      <w:r>
        <w:rPr>
          <w:rFonts w:hint="eastAsia" w:ascii="宋体" w:hAnsi="宋体" w:cs="宋体"/>
          <w:color w:val="000000" w:themeColor="text1"/>
          <w:spacing w:val="-3"/>
          <w:szCs w:val="21"/>
          <w:highlight w:val="none"/>
          <w:lang w:eastAsia="zh-CN"/>
        </w:rPr>
        <w:t>劳务外包服务</w:t>
      </w:r>
      <w:r>
        <w:rPr>
          <w:rFonts w:hint="eastAsia" w:ascii="宋体" w:hAnsi="宋体" w:cs="宋体"/>
          <w:color w:val="000000" w:themeColor="text1"/>
          <w:spacing w:val="-3"/>
          <w:szCs w:val="21"/>
          <w:highlight w:val="none"/>
        </w:rPr>
        <w:t>综合考评统计表</w:t>
      </w:r>
    </w:p>
    <w:tbl>
      <w:tblPr>
        <w:tblStyle w:val="46"/>
        <w:tblpPr w:leftFromText="180" w:rightFromText="180" w:vertAnchor="text" w:horzAnchor="page" w:tblpX="1725" w:tblpY="25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4"/>
        <w:gridCol w:w="709"/>
        <w:gridCol w:w="707"/>
        <w:gridCol w:w="850"/>
        <w:gridCol w:w="1133"/>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noWrap w:val="0"/>
            <w:vAlign w:val="top"/>
          </w:tcPr>
          <w:p>
            <w:pPr>
              <w:spacing w:before="34" w:line="276" w:lineRule="auto"/>
              <w:ind w:firstLine="1643"/>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709" w:type="dxa"/>
            <w:shd w:val="clear" w:color="auto" w:fill="FFFFFF"/>
            <w:noWrap w:val="0"/>
            <w:vAlign w:val="top"/>
          </w:tcPr>
          <w:p>
            <w:pPr>
              <w:spacing w:before="34" w:line="276" w:lineRule="auto"/>
              <w:ind w:firstLine="115"/>
              <w:rPr>
                <w:rFonts w:ascii="宋体" w:hAnsi="宋体" w:cs="宋体"/>
                <w:color w:val="000000" w:themeColor="text1"/>
                <w:szCs w:val="21"/>
                <w:highlight w:val="none"/>
              </w:rPr>
            </w:pPr>
            <w:r>
              <w:rPr>
                <w:rFonts w:ascii="宋体" w:hAnsi="宋体" w:cs="宋体"/>
                <w:color w:val="000000" w:themeColor="text1"/>
                <w:spacing w:val="-2"/>
                <w:szCs w:val="21"/>
                <w:highlight w:val="none"/>
              </w:rPr>
              <w:t>加分</w:t>
            </w:r>
          </w:p>
        </w:tc>
        <w:tc>
          <w:tcPr>
            <w:tcW w:w="707" w:type="dxa"/>
            <w:shd w:val="clear" w:color="auto" w:fill="FFFFFF"/>
            <w:noWrap w:val="0"/>
            <w:vAlign w:val="top"/>
          </w:tcPr>
          <w:p>
            <w:pPr>
              <w:spacing w:before="34" w:line="276" w:lineRule="auto"/>
              <w:ind w:firstLine="140"/>
              <w:rPr>
                <w:rFonts w:ascii="宋体" w:hAnsi="宋体" w:cs="宋体"/>
                <w:color w:val="000000" w:themeColor="text1"/>
                <w:szCs w:val="21"/>
                <w:highlight w:val="none"/>
              </w:rPr>
            </w:pPr>
            <w:r>
              <w:rPr>
                <w:rFonts w:ascii="宋体" w:hAnsi="宋体" w:cs="宋体"/>
                <w:color w:val="000000" w:themeColor="text1"/>
                <w:spacing w:val="-3"/>
                <w:szCs w:val="21"/>
                <w:highlight w:val="none"/>
              </w:rPr>
              <w:t>扣分</w:t>
            </w:r>
          </w:p>
        </w:tc>
        <w:tc>
          <w:tcPr>
            <w:tcW w:w="850" w:type="dxa"/>
            <w:shd w:val="clear" w:color="auto" w:fill="FFFFFF"/>
            <w:noWrap w:val="0"/>
            <w:vAlign w:val="top"/>
          </w:tcPr>
          <w:p>
            <w:pPr>
              <w:spacing w:before="34" w:line="276" w:lineRule="auto"/>
              <w:ind w:firstLine="252"/>
              <w:rPr>
                <w:rFonts w:ascii="宋体" w:hAnsi="宋体" w:cs="宋体"/>
                <w:color w:val="000000" w:themeColor="text1"/>
                <w:szCs w:val="21"/>
                <w:highlight w:val="none"/>
              </w:rPr>
            </w:pPr>
            <w:r>
              <w:rPr>
                <w:rFonts w:ascii="宋体" w:hAnsi="宋体" w:cs="宋体"/>
                <w:color w:val="000000" w:themeColor="text1"/>
                <w:spacing w:val="-2"/>
                <w:szCs w:val="21"/>
                <w:highlight w:val="none"/>
              </w:rPr>
              <w:t>合计</w:t>
            </w:r>
          </w:p>
        </w:tc>
        <w:tc>
          <w:tcPr>
            <w:tcW w:w="1133" w:type="dxa"/>
            <w:shd w:val="clear" w:color="auto" w:fill="FFFFFF"/>
            <w:noWrap w:val="0"/>
            <w:vAlign w:val="top"/>
          </w:tcPr>
          <w:p>
            <w:pPr>
              <w:spacing w:before="34" w:line="276" w:lineRule="auto"/>
              <w:ind w:firstLine="135"/>
              <w:rPr>
                <w:rFonts w:ascii="宋体" w:hAnsi="宋体" w:cs="宋体"/>
                <w:color w:val="000000" w:themeColor="text1"/>
                <w:szCs w:val="21"/>
                <w:highlight w:val="none"/>
              </w:rPr>
            </w:pPr>
            <w:r>
              <w:rPr>
                <w:rFonts w:hint="eastAsia" w:ascii="宋体" w:hAnsi="宋体" w:cs="宋体"/>
                <w:color w:val="000000" w:themeColor="text1"/>
                <w:spacing w:val="-3"/>
                <w:szCs w:val="21"/>
                <w:highlight w:val="none"/>
                <w:lang w:val="en-US" w:eastAsia="zh-CN"/>
              </w:rPr>
              <w:t>扣减</w:t>
            </w:r>
            <w:r>
              <w:rPr>
                <w:rFonts w:ascii="宋体" w:hAnsi="宋体" w:cs="宋体"/>
                <w:color w:val="000000" w:themeColor="text1"/>
                <w:spacing w:val="-3"/>
                <w:szCs w:val="21"/>
                <w:highlight w:val="none"/>
              </w:rPr>
              <w:t>金额</w:t>
            </w:r>
          </w:p>
        </w:tc>
        <w:tc>
          <w:tcPr>
            <w:tcW w:w="1149" w:type="dxa"/>
            <w:shd w:val="clear" w:color="auto" w:fill="FFFFFF"/>
            <w:noWrap w:val="0"/>
            <w:vAlign w:val="top"/>
          </w:tcPr>
          <w:p>
            <w:pPr>
              <w:spacing w:before="34" w:line="276" w:lineRule="auto"/>
              <w:ind w:firstLine="391"/>
              <w:rPr>
                <w:rFonts w:ascii="宋体" w:hAnsi="宋体" w:cs="宋体"/>
                <w:color w:val="000000" w:themeColor="text1"/>
                <w:szCs w:val="21"/>
                <w:highlight w:val="none"/>
              </w:rPr>
            </w:pPr>
            <w:r>
              <w:rPr>
                <w:rFonts w:ascii="宋体" w:hAnsi="宋体" w:cs="宋体"/>
                <w:color w:val="000000" w:themeColor="text1"/>
                <w:spacing w:val="-3"/>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管理服务综合考评</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服务管理奖罚</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noWrap w:val="0"/>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2"/>
                <w:szCs w:val="21"/>
                <w:highlight w:val="none"/>
              </w:rPr>
              <w:t>全勤奖励</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28" w:line="276" w:lineRule="auto"/>
              <w:ind w:firstLine="17"/>
              <w:rPr>
                <w:rFonts w:hint="eastAsia" w:ascii="宋体" w:hAnsi="宋体" w:eastAsia="宋体" w:cs="宋体"/>
                <w:color w:val="000000" w:themeColor="text1"/>
                <w:szCs w:val="21"/>
                <w:highlight w:val="none"/>
                <w:lang w:eastAsia="zh-CN"/>
              </w:rPr>
            </w:pPr>
            <w:r>
              <w:rPr>
                <w:rFonts w:ascii="宋体" w:hAnsi="宋体" w:cs="宋体"/>
                <w:color w:val="000000" w:themeColor="text1"/>
                <w:spacing w:val="-2"/>
                <w:szCs w:val="21"/>
                <w:highlight w:val="none"/>
              </w:rPr>
              <w:t>缺勤</w:t>
            </w:r>
            <w:r>
              <w:rPr>
                <w:rFonts w:hint="eastAsia" w:ascii="宋体" w:hAnsi="宋体" w:cs="宋体"/>
                <w:color w:val="000000" w:themeColor="text1"/>
                <w:spacing w:val="-2"/>
                <w:szCs w:val="21"/>
                <w:highlight w:val="none"/>
                <w:lang w:val="en-US" w:eastAsia="zh-CN"/>
              </w:rPr>
              <w:t>处理</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3684" w:type="dxa"/>
            <w:shd w:val="clear" w:color="auto" w:fill="FFFFFF"/>
            <w:noWrap w:val="0"/>
            <w:vAlign w:val="top"/>
          </w:tcPr>
          <w:p>
            <w:pPr>
              <w:spacing w:before="30" w:line="276" w:lineRule="auto"/>
              <w:ind w:left="17" w:right="25" w:hanging="1"/>
              <w:rPr>
                <w:rFonts w:ascii="宋体" w:hAnsi="宋体" w:cs="宋体"/>
                <w:color w:val="000000" w:themeColor="text1"/>
                <w:szCs w:val="21"/>
                <w:highlight w:val="none"/>
              </w:rPr>
            </w:pPr>
            <w:r>
              <w:rPr>
                <w:rFonts w:ascii="宋体" w:hAnsi="宋体" w:cs="宋体"/>
                <w:color w:val="000000" w:themeColor="text1"/>
                <w:spacing w:val="5"/>
                <w:szCs w:val="21"/>
                <w:highlight w:val="none"/>
              </w:rPr>
              <w:t>在经营活动中违反税收法规财务制度及</w:t>
            </w:r>
            <w:r>
              <w:rPr>
                <w:rFonts w:ascii="宋体" w:hAnsi="宋体" w:cs="宋体"/>
                <w:color w:val="000000" w:themeColor="text1"/>
                <w:spacing w:val="-1"/>
                <w:szCs w:val="21"/>
                <w:highlight w:val="none"/>
              </w:rPr>
              <w:t>其他违法违规记录</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1"/>
                <w:szCs w:val="21"/>
                <w:highlight w:val="none"/>
              </w:rPr>
              <w:t>在经营中未能履行合同承诺</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684" w:type="dxa"/>
            <w:tcBorders>
              <w:bottom w:val="nil"/>
            </w:tcBorders>
            <w:shd w:val="clear" w:color="auto" w:fill="FFFFFF"/>
            <w:noWrap w:val="0"/>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
                <w:szCs w:val="21"/>
                <w:highlight w:val="none"/>
              </w:rPr>
              <w:t>浪费水、电、消耗品等公共资源</w:t>
            </w:r>
          </w:p>
        </w:tc>
        <w:tc>
          <w:tcPr>
            <w:tcW w:w="709"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707"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850"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1133"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c>
          <w:tcPr>
            <w:tcW w:w="1149" w:type="dxa"/>
            <w:tcBorders>
              <w:bottom w:val="nil"/>
            </w:tcBorders>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684" w:type="dxa"/>
            <w:tcBorders>
              <w:top w:val="single" w:color="auto" w:sz="4" w:space="0"/>
            </w:tcBorders>
            <w:shd w:val="clear" w:color="auto" w:fill="FFFFFF"/>
            <w:noWrap w:val="0"/>
            <w:vAlign w:val="top"/>
          </w:tcPr>
          <w:p>
            <w:pPr>
              <w:spacing w:before="34"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一般性失误</w:t>
            </w:r>
          </w:p>
        </w:tc>
        <w:tc>
          <w:tcPr>
            <w:tcW w:w="709"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707"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850"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1133"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c>
          <w:tcPr>
            <w:tcW w:w="1149" w:type="dxa"/>
            <w:tcBorders>
              <w:top w:val="single" w:color="auto" w:sz="4" w:space="0"/>
            </w:tcBorders>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一般性重复失误</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0"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较大性重复过错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重大性重复大过错</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一般性事故</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5"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较大性事故</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2"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重大性事故</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684" w:type="dxa"/>
            <w:shd w:val="clear" w:color="auto" w:fill="FFFFFF"/>
            <w:noWrap w:val="0"/>
            <w:vAlign w:val="top"/>
          </w:tcPr>
          <w:p>
            <w:pPr>
              <w:spacing w:before="34" w:line="276" w:lineRule="auto"/>
              <w:ind w:left="20" w:right="25" w:hanging="3"/>
              <w:rPr>
                <w:rFonts w:ascii="宋体" w:hAnsi="宋体" w:cs="宋体"/>
                <w:color w:val="000000" w:themeColor="text1"/>
                <w:szCs w:val="21"/>
                <w:highlight w:val="none"/>
              </w:rPr>
            </w:pPr>
            <w:r>
              <w:rPr>
                <w:rFonts w:ascii="宋体" w:hAnsi="宋体" w:cs="宋体"/>
                <w:color w:val="000000" w:themeColor="text1"/>
                <w:spacing w:val="5"/>
                <w:szCs w:val="21"/>
                <w:highlight w:val="none"/>
              </w:rPr>
              <w:t>违反工作纪律、违返操作规程、违反各</w:t>
            </w:r>
            <w:r>
              <w:rPr>
                <w:rFonts w:ascii="宋体" w:hAnsi="宋体" w:cs="宋体"/>
                <w:color w:val="000000" w:themeColor="text1"/>
                <w:spacing w:val="-2"/>
                <w:szCs w:val="21"/>
                <w:highlight w:val="none"/>
              </w:rPr>
              <w:t>项管理制度</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3" w:line="276" w:lineRule="auto"/>
              <w:ind w:firstLine="27"/>
              <w:rPr>
                <w:rFonts w:ascii="宋体" w:hAnsi="宋体" w:cs="宋体"/>
                <w:color w:val="000000" w:themeColor="text1"/>
                <w:szCs w:val="21"/>
                <w:highlight w:val="none"/>
              </w:rPr>
            </w:pPr>
            <w:r>
              <w:rPr>
                <w:rFonts w:ascii="宋体" w:hAnsi="宋体" w:cs="宋体"/>
                <w:color w:val="000000" w:themeColor="text1"/>
                <w:spacing w:val="-2"/>
                <w:szCs w:val="21"/>
                <w:highlight w:val="none"/>
              </w:rPr>
              <w:t>噪音、气味等干扰工作秩序</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noWrap w:val="0"/>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招标文件和合同约定的其它相关事项</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noWrap w:val="0"/>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招标文件带星号条款</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noWrap w:val="0"/>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总计</w:t>
            </w:r>
          </w:p>
        </w:tc>
        <w:tc>
          <w:tcPr>
            <w:tcW w:w="709" w:type="dxa"/>
            <w:shd w:val="clear" w:color="auto" w:fill="FFFFFF"/>
            <w:noWrap w:val="0"/>
            <w:vAlign w:val="top"/>
          </w:tcPr>
          <w:p>
            <w:pPr>
              <w:spacing w:line="276" w:lineRule="auto"/>
              <w:rPr>
                <w:rFonts w:ascii="宋体" w:hAnsi="宋体"/>
                <w:color w:val="000000" w:themeColor="text1"/>
                <w:szCs w:val="21"/>
                <w:highlight w:val="none"/>
              </w:rPr>
            </w:pPr>
          </w:p>
        </w:tc>
        <w:tc>
          <w:tcPr>
            <w:tcW w:w="707" w:type="dxa"/>
            <w:shd w:val="clear" w:color="auto" w:fill="FFFFFF"/>
            <w:noWrap w:val="0"/>
            <w:vAlign w:val="top"/>
          </w:tcPr>
          <w:p>
            <w:pPr>
              <w:spacing w:line="276" w:lineRule="auto"/>
              <w:rPr>
                <w:rFonts w:ascii="宋体" w:hAnsi="宋体"/>
                <w:color w:val="000000" w:themeColor="text1"/>
                <w:szCs w:val="21"/>
                <w:highlight w:val="none"/>
              </w:rPr>
            </w:pPr>
          </w:p>
        </w:tc>
        <w:tc>
          <w:tcPr>
            <w:tcW w:w="850" w:type="dxa"/>
            <w:shd w:val="clear" w:color="auto" w:fill="FFFFFF"/>
            <w:noWrap w:val="0"/>
            <w:vAlign w:val="top"/>
          </w:tcPr>
          <w:p>
            <w:pPr>
              <w:spacing w:line="276" w:lineRule="auto"/>
              <w:rPr>
                <w:rFonts w:ascii="宋体" w:hAnsi="宋体"/>
                <w:color w:val="000000" w:themeColor="text1"/>
                <w:szCs w:val="21"/>
                <w:highlight w:val="none"/>
              </w:rPr>
            </w:pPr>
          </w:p>
        </w:tc>
        <w:tc>
          <w:tcPr>
            <w:tcW w:w="1133" w:type="dxa"/>
            <w:shd w:val="clear" w:color="auto" w:fill="FFFFFF"/>
            <w:noWrap w:val="0"/>
            <w:vAlign w:val="top"/>
          </w:tcPr>
          <w:p>
            <w:pPr>
              <w:spacing w:line="276" w:lineRule="auto"/>
              <w:rPr>
                <w:rFonts w:ascii="宋体" w:hAnsi="宋体"/>
                <w:color w:val="000000" w:themeColor="text1"/>
                <w:szCs w:val="21"/>
                <w:highlight w:val="none"/>
              </w:rPr>
            </w:pPr>
          </w:p>
        </w:tc>
        <w:tc>
          <w:tcPr>
            <w:tcW w:w="1149" w:type="dxa"/>
            <w:shd w:val="clear" w:color="auto" w:fill="FFFFFF"/>
            <w:noWrap w:val="0"/>
            <w:vAlign w:val="top"/>
          </w:tcPr>
          <w:p>
            <w:pPr>
              <w:spacing w:line="276" w:lineRule="auto"/>
              <w:rPr>
                <w:rFonts w:ascii="宋体" w:hAnsi="宋体"/>
                <w:color w:val="000000" w:themeColor="text1"/>
                <w:szCs w:val="21"/>
                <w:highlight w:val="none"/>
              </w:rPr>
            </w:pPr>
          </w:p>
        </w:tc>
      </w:tr>
    </w:tbl>
    <w:p>
      <w:pPr>
        <w:spacing w:before="68" w:line="276" w:lineRule="auto"/>
        <w:ind w:firstLine="474"/>
        <w:rPr>
          <w:rFonts w:ascii="宋体" w:hAnsi="宋体" w:cs="宋体"/>
          <w:color w:val="000000" w:themeColor="text1"/>
          <w:spacing w:val="-9"/>
          <w:szCs w:val="21"/>
          <w:highlight w:val="none"/>
        </w:rPr>
      </w:pPr>
    </w:p>
    <w:p>
      <w:pPr>
        <w:spacing w:before="68" w:line="276" w:lineRule="auto"/>
        <w:ind w:firstLine="474"/>
        <w:rPr>
          <w:rFonts w:ascii="宋体" w:hAnsi="宋体" w:cs="宋体"/>
          <w:color w:val="000000" w:themeColor="text1"/>
          <w:szCs w:val="21"/>
          <w:highlight w:val="none"/>
        </w:rPr>
      </w:pPr>
      <w:r>
        <w:rPr>
          <w:rFonts w:ascii="宋体" w:hAnsi="宋体"/>
          <w:color w:val="000000" w:themeColor="text1"/>
          <w:szCs w:val="21"/>
          <w:highlight w:val="none"/>
        </w:rPr>
        <w:br w:type="page"/>
      </w:r>
      <w:r>
        <w:rPr>
          <w:rFonts w:hint="eastAsia" w:ascii="宋体" w:hAnsi="宋体" w:cs="宋体"/>
          <w:color w:val="000000" w:themeColor="text1"/>
          <w:spacing w:val="-9"/>
          <w:szCs w:val="21"/>
          <w:highlight w:val="none"/>
        </w:rPr>
        <w:t>附表</w:t>
      </w:r>
      <w:r>
        <w:rPr>
          <w:rFonts w:ascii="宋体" w:hAnsi="宋体" w:cs="宋体"/>
          <w:color w:val="000000" w:themeColor="text1"/>
          <w:spacing w:val="-9"/>
          <w:szCs w:val="21"/>
          <w:highlight w:val="none"/>
        </w:rPr>
        <w:t>3：</w:t>
      </w:r>
    </w:p>
    <w:p>
      <w:pPr>
        <w:spacing w:before="196" w:line="276" w:lineRule="auto"/>
        <w:ind w:firstLine="3058"/>
        <w:rPr>
          <w:rFonts w:ascii="宋体" w:hAnsi="宋体" w:cs="宋体"/>
          <w:color w:val="000000" w:themeColor="text1"/>
          <w:szCs w:val="21"/>
          <w:highlight w:val="none"/>
        </w:rPr>
      </w:pPr>
      <w:r>
        <w:rPr>
          <w:rFonts w:hint="eastAsia" w:ascii="宋体" w:hAnsi="宋体" w:cs="宋体"/>
          <w:color w:val="000000" w:themeColor="text1"/>
          <w:spacing w:val="-4"/>
          <w:szCs w:val="21"/>
          <w:highlight w:val="none"/>
          <w:lang w:eastAsia="zh-CN"/>
        </w:rPr>
        <w:t>劳务外包服务</w:t>
      </w:r>
      <w:r>
        <w:rPr>
          <w:rFonts w:hint="eastAsia" w:ascii="宋体" w:hAnsi="宋体" w:cs="宋体"/>
          <w:color w:val="000000" w:themeColor="text1"/>
          <w:spacing w:val="-4"/>
          <w:szCs w:val="21"/>
          <w:highlight w:val="none"/>
          <w:lang w:val="en-US" w:eastAsia="zh-CN"/>
        </w:rPr>
        <w:t>处理</w:t>
      </w:r>
      <w:r>
        <w:rPr>
          <w:rFonts w:ascii="宋体" w:hAnsi="宋体" w:cs="宋体"/>
          <w:color w:val="000000" w:themeColor="text1"/>
          <w:spacing w:val="-4"/>
          <w:szCs w:val="21"/>
          <w:highlight w:val="none"/>
        </w:rPr>
        <w:t>单（参考表格）</w:t>
      </w:r>
    </w:p>
    <w:p>
      <w:pPr>
        <w:spacing w:line="276" w:lineRule="auto"/>
        <w:rPr>
          <w:rFonts w:ascii="宋体" w:hAnsi="宋体"/>
          <w:color w:val="000000" w:themeColor="text1"/>
          <w:szCs w:val="21"/>
          <w:highlight w:val="none"/>
        </w:rPr>
      </w:pPr>
    </w:p>
    <w:tbl>
      <w:tblPr>
        <w:tblStyle w:val="46"/>
        <w:tblW w:w="0" w:type="auto"/>
        <w:tblInd w:w="4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1"/>
        <w:gridCol w:w="1160"/>
        <w:gridCol w:w="360"/>
        <w:gridCol w:w="452"/>
        <w:gridCol w:w="1061"/>
        <w:gridCol w:w="1057"/>
        <w:gridCol w:w="466"/>
        <w:gridCol w:w="15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81" w:type="dxa"/>
            <w:shd w:val="clear" w:color="auto" w:fill="FFFFFF"/>
            <w:noWrap w:val="0"/>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投诉单位（部门</w:t>
            </w:r>
            <w:r>
              <w:rPr>
                <w:rFonts w:ascii="宋体" w:hAnsi="宋体" w:cs="宋体"/>
                <w:color w:val="000000" w:themeColor="text1"/>
                <w:spacing w:val="-60"/>
                <w:szCs w:val="21"/>
                <w:highlight w:val="none"/>
              </w:rPr>
              <w:t>）：</w:t>
            </w:r>
          </w:p>
        </w:tc>
        <w:tc>
          <w:tcPr>
            <w:tcW w:w="1520" w:type="dxa"/>
            <w:gridSpan w:val="2"/>
            <w:shd w:val="clear" w:color="auto" w:fill="FFFFFF"/>
            <w:noWrap w:val="0"/>
            <w:vAlign w:val="top"/>
          </w:tcPr>
          <w:p>
            <w:pPr>
              <w:spacing w:before="34" w:line="276" w:lineRule="auto"/>
              <w:ind w:firstLine="46"/>
              <w:rPr>
                <w:rFonts w:ascii="宋体" w:hAnsi="宋体" w:cs="宋体"/>
                <w:color w:val="000000" w:themeColor="text1"/>
                <w:szCs w:val="21"/>
                <w:highlight w:val="none"/>
              </w:rPr>
            </w:pPr>
            <w:r>
              <w:rPr>
                <w:rFonts w:ascii="宋体" w:hAnsi="宋体" w:cs="宋体"/>
                <w:color w:val="000000" w:themeColor="text1"/>
                <w:spacing w:val="-2"/>
                <w:szCs w:val="21"/>
                <w:highlight w:val="none"/>
              </w:rPr>
              <w:t>投诉人：</w:t>
            </w:r>
          </w:p>
        </w:tc>
        <w:tc>
          <w:tcPr>
            <w:tcW w:w="1513" w:type="dxa"/>
            <w:gridSpan w:val="2"/>
            <w:shd w:val="clear" w:color="auto" w:fill="FFFFFF"/>
            <w:noWrap w:val="0"/>
            <w:vAlign w:val="top"/>
          </w:tcPr>
          <w:p>
            <w:pPr>
              <w:spacing w:before="34" w:line="276" w:lineRule="auto"/>
              <w:ind w:firstLine="52"/>
              <w:rPr>
                <w:rFonts w:ascii="宋体" w:hAnsi="宋体" w:cs="宋体"/>
                <w:color w:val="000000" w:themeColor="text1"/>
                <w:szCs w:val="21"/>
                <w:highlight w:val="none"/>
              </w:rPr>
            </w:pPr>
            <w:r>
              <w:rPr>
                <w:rFonts w:ascii="宋体" w:hAnsi="宋体" w:cs="宋体"/>
                <w:color w:val="000000" w:themeColor="text1"/>
                <w:spacing w:val="-2"/>
                <w:szCs w:val="21"/>
                <w:highlight w:val="none"/>
              </w:rPr>
              <w:t>证明人：</w:t>
            </w:r>
          </w:p>
        </w:tc>
        <w:tc>
          <w:tcPr>
            <w:tcW w:w="1523" w:type="dxa"/>
            <w:gridSpan w:val="2"/>
            <w:shd w:val="clear" w:color="auto" w:fill="FFFFFF"/>
            <w:noWrap w:val="0"/>
            <w:vAlign w:val="top"/>
          </w:tcPr>
          <w:p>
            <w:pPr>
              <w:spacing w:before="34" w:line="276" w:lineRule="auto"/>
              <w:ind w:firstLine="61"/>
              <w:rPr>
                <w:rFonts w:ascii="宋体" w:hAnsi="宋体" w:cs="宋体"/>
                <w:color w:val="000000" w:themeColor="text1"/>
                <w:szCs w:val="21"/>
                <w:highlight w:val="none"/>
              </w:rPr>
            </w:pPr>
            <w:r>
              <w:rPr>
                <w:rFonts w:ascii="宋体" w:hAnsi="宋体" w:cs="宋体"/>
                <w:color w:val="000000" w:themeColor="text1"/>
                <w:spacing w:val="-7"/>
                <w:szCs w:val="21"/>
                <w:highlight w:val="none"/>
              </w:rPr>
              <w:t>投诉现场：</w:t>
            </w:r>
          </w:p>
        </w:tc>
        <w:tc>
          <w:tcPr>
            <w:tcW w:w="1597" w:type="dxa"/>
            <w:shd w:val="clear" w:color="auto" w:fill="FFFFFF"/>
            <w:noWrap w:val="0"/>
            <w:vAlign w:val="top"/>
          </w:tcPr>
          <w:p>
            <w:pPr>
              <w:spacing w:before="34" w:line="276" w:lineRule="auto"/>
              <w:ind w:firstLine="69"/>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434" w:type="dxa"/>
            <w:gridSpan w:val="8"/>
            <w:shd w:val="clear" w:color="auto" w:fill="FFFFFF"/>
            <w:noWrap w:val="0"/>
            <w:vAlign w:val="top"/>
          </w:tcPr>
          <w:p>
            <w:pPr>
              <w:spacing w:before="29" w:line="276" w:lineRule="auto"/>
              <w:ind w:firstLine="21"/>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事由：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434" w:type="dxa"/>
            <w:gridSpan w:val="8"/>
            <w:shd w:val="clear" w:color="auto" w:fill="FFFFFF"/>
            <w:noWrap w:val="0"/>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6"/>
                <w:szCs w:val="21"/>
                <w:highlight w:val="none"/>
              </w:rPr>
              <w:t>对应条款：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81" w:type="dxa"/>
            <w:shd w:val="clear" w:color="auto" w:fill="FFFFFF"/>
            <w:noWrap w:val="0"/>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3"/>
                <w:szCs w:val="21"/>
                <w:highlight w:val="none"/>
              </w:rPr>
              <w:t>扣分：</w:t>
            </w:r>
          </w:p>
        </w:tc>
        <w:tc>
          <w:tcPr>
            <w:tcW w:w="1972" w:type="dxa"/>
            <w:gridSpan w:val="3"/>
            <w:shd w:val="clear" w:color="auto" w:fill="FFFFFF"/>
            <w:noWrap w:val="0"/>
            <w:vAlign w:val="top"/>
          </w:tcPr>
          <w:p>
            <w:pPr>
              <w:spacing w:before="31" w:line="276" w:lineRule="auto"/>
              <w:ind w:firstLine="43"/>
              <w:rPr>
                <w:rFonts w:ascii="宋体" w:hAnsi="宋体" w:cs="宋体"/>
                <w:color w:val="000000" w:themeColor="text1"/>
                <w:szCs w:val="21"/>
                <w:highlight w:val="none"/>
              </w:rPr>
            </w:pPr>
            <w:r>
              <w:rPr>
                <w:rFonts w:ascii="宋体" w:hAnsi="宋体" w:cs="宋体"/>
                <w:color w:val="000000" w:themeColor="text1"/>
                <w:spacing w:val="-2"/>
                <w:position w:val="17"/>
                <w:szCs w:val="21"/>
                <w:highlight w:val="none"/>
              </w:rPr>
              <w:t>损失值：</w:t>
            </w:r>
          </w:p>
          <w:p>
            <w:pPr>
              <w:spacing w:line="276" w:lineRule="auto"/>
              <w:ind w:firstLine="41"/>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118" w:type="dxa"/>
            <w:gridSpan w:val="2"/>
            <w:shd w:val="clear" w:color="auto" w:fill="FFFFFF"/>
            <w:noWrap w:val="0"/>
            <w:vAlign w:val="top"/>
          </w:tcPr>
          <w:p>
            <w:pPr>
              <w:spacing w:before="31" w:line="276" w:lineRule="auto"/>
              <w:ind w:firstLine="53"/>
              <w:rPr>
                <w:rFonts w:ascii="宋体" w:hAnsi="宋体" w:cs="宋体"/>
                <w:color w:val="000000" w:themeColor="text1"/>
                <w:szCs w:val="21"/>
                <w:highlight w:val="none"/>
              </w:rPr>
            </w:pPr>
            <w:r>
              <w:rPr>
                <w:rFonts w:hint="eastAsia" w:ascii="宋体" w:hAnsi="宋体" w:cs="宋体"/>
                <w:color w:val="000000" w:themeColor="text1"/>
                <w:spacing w:val="-7"/>
                <w:position w:val="17"/>
                <w:szCs w:val="21"/>
                <w:highlight w:val="none"/>
                <w:lang w:val="en-US" w:eastAsia="zh-CN"/>
              </w:rPr>
              <w:t>扣减服务费</w:t>
            </w:r>
            <w:r>
              <w:rPr>
                <w:rFonts w:ascii="宋体" w:hAnsi="宋体" w:cs="宋体"/>
                <w:color w:val="000000" w:themeColor="text1"/>
                <w:spacing w:val="-7"/>
                <w:position w:val="17"/>
                <w:szCs w:val="21"/>
                <w:highlight w:val="none"/>
              </w:rPr>
              <w:t>金额：</w:t>
            </w:r>
          </w:p>
          <w:p>
            <w:pPr>
              <w:spacing w:line="276" w:lineRule="auto"/>
              <w:ind w:firstLine="47"/>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063" w:type="dxa"/>
            <w:gridSpan w:val="2"/>
            <w:shd w:val="clear" w:color="auto" w:fill="FFFFFF"/>
            <w:noWrap w:val="0"/>
            <w:vAlign w:val="top"/>
          </w:tcPr>
          <w:p>
            <w:pPr>
              <w:spacing w:before="31" w:line="276" w:lineRule="auto"/>
              <w:ind w:firstLine="58"/>
              <w:rPr>
                <w:rFonts w:ascii="宋体" w:hAnsi="宋体" w:cs="宋体"/>
                <w:color w:val="000000" w:themeColor="text1"/>
                <w:szCs w:val="21"/>
                <w:highlight w:val="none"/>
              </w:rPr>
            </w:pPr>
            <w:r>
              <w:rPr>
                <w:rFonts w:ascii="宋体" w:hAnsi="宋体" w:cs="宋体"/>
                <w:color w:val="000000" w:themeColor="text1"/>
                <w:spacing w:val="-7"/>
                <w:position w:val="17"/>
                <w:szCs w:val="21"/>
                <w:highlight w:val="none"/>
              </w:rPr>
              <w:t>合计金额：</w:t>
            </w:r>
          </w:p>
          <w:p>
            <w:pPr>
              <w:spacing w:line="276" w:lineRule="auto"/>
              <w:ind w:firstLine="55"/>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41" w:type="dxa"/>
            <w:gridSpan w:val="2"/>
            <w:shd w:val="clear" w:color="auto" w:fill="FFFFFF"/>
            <w:noWrap w:val="0"/>
            <w:vAlign w:val="top"/>
          </w:tcPr>
          <w:p>
            <w:pPr>
              <w:spacing w:before="31" w:line="276" w:lineRule="auto"/>
              <w:ind w:firstLine="17"/>
              <w:rPr>
                <w:rFonts w:ascii="宋体" w:hAnsi="宋体" w:cs="宋体"/>
                <w:color w:val="000000" w:themeColor="text1"/>
                <w:szCs w:val="21"/>
                <w:highlight w:val="none"/>
              </w:rPr>
            </w:pPr>
            <w:r>
              <w:rPr>
                <w:rFonts w:hint="eastAsia" w:ascii="宋体" w:hAnsi="宋体" w:cs="宋体"/>
                <w:color w:val="000000" w:themeColor="text1"/>
                <w:spacing w:val="-1"/>
                <w:szCs w:val="21"/>
                <w:highlight w:val="none"/>
                <w:lang w:eastAsia="zh-CN"/>
              </w:rPr>
              <w:t>劳务</w:t>
            </w:r>
            <w:r>
              <w:rPr>
                <w:rFonts w:ascii="宋体" w:hAnsi="宋体" w:cs="宋体"/>
                <w:color w:val="000000" w:themeColor="text1"/>
                <w:spacing w:val="-1"/>
                <w:szCs w:val="21"/>
                <w:highlight w:val="none"/>
              </w:rPr>
              <w:t>公司被投诉人确认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noWrap w:val="0"/>
            <w:vAlign w:val="top"/>
          </w:tcPr>
          <w:p>
            <w:pPr>
              <w:spacing w:before="31" w:line="276" w:lineRule="auto"/>
              <w:ind w:firstLine="17"/>
              <w:rPr>
                <w:rFonts w:ascii="宋体" w:hAnsi="宋体" w:cs="宋体"/>
                <w:color w:val="000000" w:themeColor="text1"/>
                <w:szCs w:val="21"/>
                <w:highlight w:val="none"/>
              </w:rPr>
            </w:pPr>
            <w:r>
              <w:rPr>
                <w:rFonts w:hint="eastAsia" w:ascii="宋体" w:hAnsi="宋体" w:cs="宋体"/>
                <w:color w:val="000000" w:themeColor="text1"/>
                <w:spacing w:val="-1"/>
                <w:szCs w:val="21"/>
                <w:highlight w:val="none"/>
                <w:lang w:eastAsia="zh-CN"/>
              </w:rPr>
              <w:t>劳务</w:t>
            </w:r>
            <w:r>
              <w:rPr>
                <w:rFonts w:ascii="宋体" w:hAnsi="宋体" w:cs="宋体"/>
                <w:color w:val="000000" w:themeColor="text1"/>
                <w:spacing w:val="-1"/>
                <w:szCs w:val="21"/>
                <w:highlight w:val="none"/>
              </w:rPr>
              <w:t>公司项目负责人确认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noWrap w:val="0"/>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管理员确认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41" w:type="dxa"/>
            <w:gridSpan w:val="2"/>
            <w:shd w:val="clear" w:color="auto" w:fill="FFFFFF"/>
            <w:noWrap w:val="0"/>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负责人确认</w:t>
            </w:r>
          </w:p>
        </w:tc>
        <w:tc>
          <w:tcPr>
            <w:tcW w:w="4993" w:type="dxa"/>
            <w:gridSpan w:val="6"/>
            <w:shd w:val="clear" w:color="auto" w:fill="FFFFFF"/>
            <w:noWrap w:val="0"/>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2281" w:type="dxa"/>
            <w:tcBorders>
              <w:right w:val="single" w:color="auto" w:sz="4" w:space="0"/>
            </w:tcBorders>
            <w:noWrap w:val="0"/>
            <w:vAlign w:val="top"/>
          </w:tcPr>
          <w:p>
            <w:pPr>
              <w:spacing w:before="33" w:line="276" w:lineRule="auto"/>
              <w:ind w:firstLine="20"/>
              <w:rPr>
                <w:rFonts w:ascii="宋体" w:hAnsi="宋体" w:cs="宋体"/>
                <w:color w:val="000000" w:themeColor="text1"/>
                <w:szCs w:val="21"/>
                <w:highlight w:val="none"/>
              </w:rPr>
            </w:pPr>
            <w:r>
              <w:rPr>
                <w:rFonts w:ascii="宋体" w:hAnsi="宋体" w:cs="宋体"/>
                <w:color w:val="000000" w:themeColor="text1"/>
                <w:spacing w:val="-13"/>
                <w:szCs w:val="21"/>
                <w:highlight w:val="none"/>
              </w:rPr>
              <w:t>备注：</w:t>
            </w:r>
          </w:p>
        </w:tc>
        <w:tc>
          <w:tcPr>
            <w:tcW w:w="6153" w:type="dxa"/>
            <w:gridSpan w:val="7"/>
            <w:tcBorders>
              <w:left w:val="single" w:color="auto" w:sz="4" w:space="0"/>
            </w:tcBorders>
            <w:noWrap w:val="0"/>
            <w:vAlign w:val="top"/>
          </w:tcPr>
          <w:p>
            <w:pPr>
              <w:spacing w:line="276" w:lineRule="auto"/>
              <w:rPr>
                <w:rFonts w:ascii="宋体" w:hAnsi="宋体"/>
                <w:color w:val="000000" w:themeColor="text1"/>
                <w:szCs w:val="21"/>
                <w:highlight w:val="none"/>
              </w:rPr>
            </w:pPr>
          </w:p>
          <w:p>
            <w:pPr>
              <w:spacing w:before="69" w:line="276" w:lineRule="auto"/>
              <w:ind w:left="3697" w:right="1023" w:hanging="457"/>
              <w:rPr>
                <w:rFonts w:hint="eastAsia" w:ascii="宋体" w:hAnsi="宋体" w:cs="宋体"/>
                <w:color w:val="000000" w:themeColor="text1"/>
                <w:spacing w:val="-1"/>
                <w:szCs w:val="21"/>
                <w:highlight w:val="none"/>
                <w:lang w:eastAsia="zh-CN"/>
              </w:rPr>
            </w:pPr>
            <w:r>
              <w:rPr>
                <w:rFonts w:hint="eastAsia" w:ascii="宋体" w:hAnsi="宋体" w:cs="宋体"/>
                <w:color w:val="000000" w:themeColor="text1"/>
                <w:spacing w:val="-1"/>
                <w:szCs w:val="21"/>
                <w:highlight w:val="none"/>
                <w:lang w:eastAsia="zh-CN"/>
              </w:rPr>
              <w:t>办公室</w:t>
            </w:r>
          </w:p>
          <w:p>
            <w:pPr>
              <w:spacing w:before="69" w:line="276" w:lineRule="auto"/>
              <w:ind w:left="3697" w:right="1023" w:hanging="457"/>
              <w:rPr>
                <w:rFonts w:ascii="宋体" w:hAnsi="宋体" w:cs="宋体"/>
                <w:color w:val="000000" w:themeColor="text1"/>
                <w:szCs w:val="21"/>
                <w:highlight w:val="none"/>
              </w:rPr>
            </w:pPr>
            <w:r>
              <w:rPr>
                <w:rFonts w:ascii="宋体" w:hAnsi="宋体" w:cs="宋体"/>
                <w:color w:val="000000" w:themeColor="text1"/>
                <w:spacing w:val="-7"/>
                <w:szCs w:val="21"/>
                <w:highlight w:val="none"/>
              </w:rPr>
              <w:t>年</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月</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日</w:t>
            </w:r>
          </w:p>
        </w:tc>
      </w:tr>
    </w:tbl>
    <w:p>
      <w:pPr>
        <w:pStyle w:val="2"/>
        <w:rPr>
          <w:rFonts w:hint="eastAsia" w:ascii="宋体" w:hAnsi="宋体"/>
          <w:color w:val="000000" w:themeColor="text1"/>
          <w:sz w:val="21"/>
          <w:szCs w:val="21"/>
          <w:highlight w:val="none"/>
        </w:rPr>
      </w:pPr>
    </w:p>
    <w:p>
      <w:pPr>
        <w:pStyle w:val="2"/>
        <w:rPr>
          <w:rFonts w:hint="eastAsia" w:ascii="宋体" w:hAnsi="宋体"/>
          <w:color w:val="000000" w:themeColor="text1"/>
          <w:sz w:val="21"/>
          <w:szCs w:val="21"/>
          <w:highlight w:val="none"/>
        </w:rPr>
      </w:pPr>
    </w:p>
    <w:p>
      <w:pPr>
        <w:rPr>
          <w:rFonts w:hint="eastAsia"/>
          <w:color w:val="000000" w:themeColor="text1"/>
          <w:highlight w:val="none"/>
        </w:rPr>
      </w:pPr>
      <w:r>
        <w:rPr>
          <w:rFonts w:hint="eastAsia" w:ascii="宋体" w:hAnsi="宋体" w:eastAsia="宋体" w:cs="仿宋_GB2312"/>
          <w:color w:val="000000" w:themeColor="text1"/>
          <w:sz w:val="21"/>
          <w:szCs w:val="21"/>
          <w:highlight w:val="none"/>
        </w:rPr>
        <w:br w:type="page"/>
      </w:r>
    </w:p>
    <w:p>
      <w:pPr>
        <w:pStyle w:val="3"/>
        <w:numPr>
          <w:ilvl w:val="0"/>
          <w:numId w:val="0"/>
        </w:numPr>
        <w:spacing w:beforeLines="0" w:line="240" w:lineRule="auto"/>
        <w:rPr>
          <w:color w:val="000000" w:themeColor="text1"/>
          <w:highlight w:val="none"/>
        </w:rPr>
      </w:pPr>
      <w:bookmarkStart w:id="230" w:name="_Toc5443"/>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230"/>
    </w:p>
    <w:p>
      <w:pPr>
        <w:pStyle w:val="4"/>
        <w:numPr>
          <w:ilvl w:val="1"/>
          <w:numId w:val="0"/>
        </w:numPr>
        <w:rPr>
          <w:rFonts w:hint="eastAsia"/>
          <w:color w:val="000000" w:themeColor="text1"/>
          <w:szCs w:val="21"/>
          <w:highlight w:val="none"/>
        </w:rPr>
      </w:pPr>
      <w:bookmarkStart w:id="231" w:name="_Toc456272919"/>
      <w:bookmarkStart w:id="232" w:name="_Toc17792"/>
      <w:bookmarkStart w:id="233" w:name="_Toc434832495"/>
      <w:bookmarkStart w:id="234" w:name="_Toc456648358"/>
      <w:r>
        <w:rPr>
          <w:rFonts w:hint="eastAsia"/>
          <w:color w:val="000000" w:themeColor="text1"/>
          <w:szCs w:val="21"/>
          <w:highlight w:val="none"/>
        </w:rPr>
        <w:t>投标人须知前附表</w:t>
      </w:r>
      <w:bookmarkEnd w:id="231"/>
      <w:bookmarkEnd w:id="232"/>
      <w:bookmarkEnd w:id="233"/>
      <w:bookmarkEnd w:id="234"/>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710"/>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wordWrap/>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wordWrap/>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wordWrap/>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wordWrap/>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wordWrap/>
              <w:snapToGrid/>
              <w:spacing w:line="400" w:lineRule="exact"/>
              <w:jc w:val="center"/>
              <w:rPr>
                <w:rFonts w:ascii="宋体" w:hAnsi="宋体"/>
                <w:color w:val="000000" w:themeColor="text1"/>
                <w:szCs w:val="21"/>
                <w:highlight w:val="none"/>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hint="default" w:ascii="宋体" w:hAnsi="宋体" w:eastAsia="宋体"/>
                <w:color w:val="000000" w:themeColor="text1"/>
                <w:szCs w:val="21"/>
                <w:highlight w:val="none"/>
                <w:lang w:val="en-US" w:eastAsia="zh-CN"/>
              </w:rPr>
            </w:pPr>
            <w:r>
              <w:rPr>
                <w:rFonts w:hint="eastAsia" w:ascii="宋体"/>
                <w:bCs/>
                <w:color w:val="000000" w:themeColor="text1"/>
                <w:highlight w:val="none"/>
                <w:lang w:val="en-US" w:eastAsia="zh-CN"/>
              </w:rPr>
              <w:t>本项目的评标由依法组建的评标委员会负责，其成员由采购人代表和有关技术、经济等方面的专家共</w:t>
            </w:r>
            <w:r>
              <w:rPr>
                <w:rFonts w:hint="eastAsia" w:ascii="宋体"/>
                <w:bCs/>
                <w:color w:val="000000" w:themeColor="text1"/>
                <w:highlight w:val="none"/>
                <w:u w:val="single"/>
                <w:lang w:val="en-US" w:eastAsia="zh-CN"/>
              </w:rPr>
              <w:t>5</w:t>
            </w:r>
            <w:r>
              <w:rPr>
                <w:rFonts w:hint="eastAsia" w:ascii="宋体"/>
                <w:bCs/>
                <w:color w:val="000000" w:themeColor="text1"/>
                <w:highlight w:val="none"/>
                <w:lang w:val="en-US" w:eastAsia="zh-CN"/>
              </w:rPr>
              <w:t>人组成，其中采购人代表</w:t>
            </w:r>
            <w:r>
              <w:rPr>
                <w:rFonts w:hint="eastAsia" w:ascii="宋体"/>
                <w:bCs/>
                <w:color w:val="000000" w:themeColor="text1"/>
                <w:highlight w:val="none"/>
                <w:u w:val="single"/>
                <w:lang w:val="en-US" w:eastAsia="zh-CN"/>
              </w:rPr>
              <w:t>1</w:t>
            </w:r>
            <w:r>
              <w:rPr>
                <w:rFonts w:hint="eastAsia" w:ascii="宋体"/>
                <w:bCs/>
                <w:color w:val="000000" w:themeColor="text1"/>
                <w:highlight w:val="none"/>
                <w:lang w:val="en-US" w:eastAsia="zh-CN"/>
              </w:rPr>
              <w:t>人，技术、经济方面的专家</w:t>
            </w:r>
            <w:r>
              <w:rPr>
                <w:rFonts w:hint="eastAsia" w:ascii="宋体"/>
                <w:bCs/>
                <w:color w:val="000000" w:themeColor="text1"/>
                <w:highlight w:val="none"/>
                <w:u w:val="single"/>
                <w:lang w:val="en-US" w:eastAsia="zh-CN"/>
              </w:rPr>
              <w:t>4</w:t>
            </w:r>
            <w:r>
              <w:rPr>
                <w:rFonts w:hint="eastAsia" w:ascii="宋体"/>
                <w:bCs/>
                <w:color w:val="000000" w:themeColor="text1"/>
                <w:highlight w:val="none"/>
                <w:lang w:val="en-US" w:eastAsia="zh-CN"/>
              </w:rPr>
              <w:t>人组成，依法随机抽取，采购代理机构工作人员不作为评标委员会成员。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r>
              <w:rPr>
                <w:rFonts w:ascii="宋体" w:hAnsi="宋体"/>
                <w:b/>
                <w:bCs w:val="0"/>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wordWrap/>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wordWrap/>
              <w:snapToGrid/>
              <w:spacing w:line="400" w:lineRule="exact"/>
              <w:jc w:val="both"/>
              <w:rPr>
                <w:rFonts w:hint="eastAsia" w:ascii="宋体" w:hAnsi="宋体" w:eastAsia="宋体" w:cs="宋体"/>
                <w:b/>
                <w:color w:val="000000" w:themeColor="text1"/>
                <w:szCs w:val="21"/>
                <w:highlight w:val="none"/>
                <w:shd w:val="pct10" w:color="auto" w:fill="FFFFFF"/>
              </w:rPr>
            </w:pPr>
            <w:r>
              <w:rPr>
                <w:rFonts w:hint="eastAsia" w:ascii="宋体" w:hAnsi="宋体" w:eastAsia="宋体" w:cs="宋体"/>
                <w:b/>
                <w:bCs/>
                <w:color w:val="000000" w:themeColor="text1"/>
                <w:szCs w:val="21"/>
                <w:highlight w:val="none"/>
                <w:lang w:val="en-US" w:eastAsia="zh-CN"/>
              </w:rPr>
              <w:t>共提供4份</w:t>
            </w:r>
            <w:r>
              <w:rPr>
                <w:rFonts w:hint="eastAsia" w:ascii="宋体" w:hAnsi="宋体" w:eastAsia="宋体" w:cs="宋体"/>
                <w:b/>
                <w:bCs/>
                <w:color w:val="000000" w:themeColor="text1"/>
                <w:szCs w:val="21"/>
                <w:highlight w:val="none"/>
              </w:rPr>
              <w:t>投标</w:t>
            </w:r>
            <w:r>
              <w:rPr>
                <w:rFonts w:hint="eastAsia" w:ascii="宋体" w:hAnsi="宋体" w:eastAsia="宋体" w:cs="宋体"/>
                <w:b/>
                <w:bCs/>
                <w:color w:val="000000" w:themeColor="text1"/>
                <w:szCs w:val="21"/>
                <w:highlight w:val="none"/>
                <w:lang w:val="en-US" w:eastAsia="zh-CN"/>
              </w:rPr>
              <w:t>资料，分别封装：</w:t>
            </w: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1、</w:t>
            </w:r>
            <w:r>
              <w:rPr>
                <w:rFonts w:hint="eastAsia" w:ascii="宋体" w:hAnsi="宋体" w:eastAsia="宋体" w:cs="宋体"/>
                <w:b/>
                <w:bCs/>
                <w:color w:val="000000" w:themeColor="text1"/>
                <w:szCs w:val="21"/>
                <w:highlight w:val="none"/>
              </w:rPr>
              <w:t>资格审查文件</w:t>
            </w:r>
            <w:r>
              <w:rPr>
                <w:rFonts w:hint="eastAsia" w:ascii="宋体" w:hAnsi="宋体" w:eastAsia="宋体" w:cs="宋体"/>
                <w:b/>
                <w:bCs/>
                <w:color w:val="000000" w:themeColor="text1"/>
                <w:szCs w:val="21"/>
                <w:highlight w:val="none"/>
                <w:lang w:eastAsia="zh-CN"/>
              </w:rPr>
              <w:t>。</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内含</w:t>
            </w:r>
            <w:r>
              <w:rPr>
                <w:rFonts w:hint="eastAsia" w:ascii="宋体" w:hAnsi="宋体" w:eastAsia="宋体" w:cs="宋体"/>
                <w:color w:val="000000" w:themeColor="text1"/>
                <w:highlight w:val="none"/>
                <w:u w:val="single"/>
                <w:lang w:val="en-US" w:eastAsia="zh-CN"/>
              </w:rPr>
              <w:t xml:space="preserve"> 1 </w:t>
            </w:r>
            <w:r>
              <w:rPr>
                <w:rFonts w:hint="eastAsia" w:ascii="宋体" w:hAnsi="宋体" w:eastAsia="宋体" w:cs="宋体"/>
                <w:color w:val="000000" w:themeColor="text1"/>
                <w:highlight w:val="none"/>
                <w:lang w:val="en-US" w:eastAsia="zh-CN"/>
              </w:rPr>
              <w:t>正</w:t>
            </w:r>
            <w:r>
              <w:rPr>
                <w:rFonts w:hint="eastAsia" w:ascii="宋体" w:hAnsi="宋体" w:eastAsia="宋体" w:cs="宋体"/>
                <w:color w:val="000000" w:themeColor="text1"/>
                <w:highlight w:val="none"/>
                <w:u w:val="single"/>
                <w:lang w:val="en-US" w:eastAsia="zh-CN"/>
              </w:rPr>
              <w:t xml:space="preserve"> 4 </w:t>
            </w:r>
            <w:r>
              <w:rPr>
                <w:rFonts w:hint="eastAsia" w:ascii="宋体" w:hAnsi="宋体" w:eastAsia="宋体" w:cs="宋体"/>
                <w:color w:val="000000" w:themeColor="text1"/>
                <w:highlight w:val="none"/>
                <w:lang w:val="en-US" w:eastAsia="zh-CN"/>
              </w:rPr>
              <w:t>副，</w:t>
            </w:r>
            <w:r>
              <w:rPr>
                <w:rFonts w:hint="eastAsia" w:ascii="宋体" w:hAnsi="宋体" w:eastAsia="宋体" w:cs="宋体"/>
                <w:bCs/>
                <w:color w:val="000000" w:themeColor="text1"/>
                <w:szCs w:val="21"/>
                <w:highlight w:val="none"/>
              </w:rPr>
              <w:t>独立装订成册</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2、</w:t>
            </w:r>
            <w:r>
              <w:rPr>
                <w:rFonts w:hint="eastAsia" w:ascii="宋体" w:hAnsi="宋体" w:eastAsia="宋体" w:cs="宋体"/>
                <w:b/>
                <w:bCs/>
                <w:color w:val="000000" w:themeColor="text1"/>
                <w:szCs w:val="21"/>
                <w:highlight w:val="none"/>
              </w:rPr>
              <w:t>商务及技术文件</w:t>
            </w:r>
            <w:r>
              <w:rPr>
                <w:rFonts w:hint="eastAsia" w:ascii="宋体" w:hAnsi="宋体" w:eastAsia="宋体" w:cs="宋体"/>
                <w:b/>
                <w:bCs/>
                <w:color w:val="000000" w:themeColor="text1"/>
                <w:szCs w:val="21"/>
                <w:highlight w:val="none"/>
                <w:lang w:eastAsia="zh-CN"/>
              </w:rPr>
              <w:t>。</w:t>
            </w:r>
            <w:r>
              <w:rPr>
                <w:rFonts w:hint="eastAsia" w:ascii="宋体" w:hAnsi="宋体" w:eastAsia="宋体" w:cs="宋体"/>
                <w:color w:val="000000" w:themeColor="text1"/>
                <w:highlight w:val="none"/>
                <w:lang w:val="en-US" w:eastAsia="zh-CN"/>
              </w:rPr>
              <w:t>（内含</w:t>
            </w:r>
            <w:r>
              <w:rPr>
                <w:rFonts w:hint="eastAsia" w:ascii="宋体" w:hAnsi="宋体" w:eastAsia="宋体" w:cs="宋体"/>
                <w:color w:val="000000" w:themeColor="text1"/>
                <w:highlight w:val="none"/>
                <w:u w:val="single"/>
                <w:lang w:val="en-US" w:eastAsia="zh-CN"/>
              </w:rPr>
              <w:t xml:space="preserve"> 1 </w:t>
            </w:r>
            <w:r>
              <w:rPr>
                <w:rFonts w:hint="eastAsia" w:ascii="宋体" w:hAnsi="宋体" w:eastAsia="宋体" w:cs="宋体"/>
                <w:color w:val="000000" w:themeColor="text1"/>
                <w:highlight w:val="none"/>
                <w:lang w:val="en-US" w:eastAsia="zh-CN"/>
              </w:rPr>
              <w:t>正</w:t>
            </w:r>
            <w:r>
              <w:rPr>
                <w:rFonts w:hint="eastAsia" w:ascii="宋体" w:hAnsi="宋体" w:eastAsia="宋体" w:cs="宋体"/>
                <w:color w:val="000000" w:themeColor="text1"/>
                <w:highlight w:val="none"/>
                <w:u w:val="single"/>
                <w:lang w:val="en-US" w:eastAsia="zh-CN"/>
              </w:rPr>
              <w:t xml:space="preserve"> 4 </w:t>
            </w:r>
            <w:r>
              <w:rPr>
                <w:rFonts w:hint="eastAsia" w:ascii="宋体" w:hAnsi="宋体" w:eastAsia="宋体" w:cs="宋体"/>
                <w:color w:val="000000" w:themeColor="text1"/>
                <w:highlight w:val="none"/>
                <w:lang w:val="en-US" w:eastAsia="zh-CN"/>
              </w:rPr>
              <w:t>副，</w:t>
            </w:r>
            <w:r>
              <w:rPr>
                <w:rFonts w:hint="eastAsia" w:ascii="宋体" w:hAnsi="宋体" w:eastAsia="宋体" w:cs="宋体"/>
                <w:bCs/>
                <w:color w:val="000000" w:themeColor="text1"/>
                <w:szCs w:val="21"/>
                <w:highlight w:val="none"/>
              </w:rPr>
              <w:t>独立装订成册</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4"/>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rPr>
              <w:t>开标信封</w:t>
            </w:r>
            <w:r>
              <w:rPr>
                <w:rFonts w:hint="eastAsia" w:ascii="宋体" w:hAnsi="宋体" w:eastAsia="宋体" w:cs="宋体"/>
                <w:b/>
                <w:bCs/>
                <w:color w:val="000000" w:themeColor="text1"/>
                <w:szCs w:val="21"/>
                <w:highlight w:val="none"/>
                <w:lang w:eastAsia="zh-CN"/>
              </w:rPr>
              <w:t>。</w:t>
            </w:r>
            <w:r>
              <w:rPr>
                <w:rFonts w:hint="eastAsia" w:ascii="宋体" w:hAnsi="宋体" w:eastAsia="宋体" w:cs="宋体"/>
                <w:color w:val="000000" w:themeColor="text1"/>
                <w:highlight w:val="none"/>
                <w:lang w:val="en-US" w:eastAsia="zh-CN"/>
              </w:rPr>
              <w:t>（内含“开标一览表”、“投标保证金”、“保证金退付书”、“法定代表人（负责人）证明书”和“法定代表人（负责人）授权书”</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tabs>
                <w:tab w:val="left" w:pos="528"/>
                <w:tab w:val="left" w:pos="783"/>
              </w:tabs>
              <w:wordWrap/>
              <w:snapToGrid/>
              <w:spacing w:line="400" w:lineRule="exact"/>
              <w:jc w:val="left"/>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4、</w:t>
            </w:r>
            <w:r>
              <w:rPr>
                <w:rFonts w:hint="eastAsia" w:ascii="宋体" w:hAnsi="宋体" w:eastAsia="宋体" w:cs="宋体"/>
                <w:b/>
                <w:bCs/>
                <w:color w:val="000000" w:themeColor="text1"/>
                <w:highlight w:val="none"/>
                <w:lang w:val="en-US" w:eastAsia="zh-CN"/>
              </w:rPr>
              <w:t>投标文件电子版。</w:t>
            </w:r>
            <w:r>
              <w:rPr>
                <w:rFonts w:hint="eastAsia" w:ascii="宋体" w:hAnsi="宋体" w:eastAsia="宋体" w:cs="宋体"/>
                <w:color w:val="000000" w:themeColor="text1"/>
                <w:highlight w:val="none"/>
                <w:lang w:val="en-US" w:eastAsia="zh-CN"/>
              </w:rPr>
              <w:t>（以光盘或U盘提供，内含PDF及可编辑的投标文件电子版1份，</w:t>
            </w:r>
            <w:r>
              <w:rPr>
                <w:rFonts w:hint="eastAsia" w:ascii="宋体" w:hAnsi="宋体" w:eastAsia="宋体" w:cs="宋体"/>
                <w:color w:val="000000" w:themeColor="text1"/>
                <w:szCs w:val="21"/>
                <w:highlight w:val="none"/>
              </w:rPr>
              <w:t>在封面上注明“</w:t>
            </w:r>
            <w:r>
              <w:rPr>
                <w:rFonts w:hint="eastAsia" w:ascii="宋体" w:hAnsi="宋体" w:eastAsia="宋体" w:cs="宋体"/>
                <w:color w:val="000000" w:themeColor="text1"/>
                <w:szCs w:val="21"/>
                <w:highlight w:val="none"/>
                <w:lang w:val="en-US" w:eastAsia="zh-CN"/>
              </w:rPr>
              <w:t>公司名称-</w:t>
            </w:r>
            <w:r>
              <w:rPr>
                <w:rFonts w:hint="eastAsia" w:ascii="宋体" w:hAnsi="宋体" w:eastAsia="宋体" w:cs="宋体"/>
                <w:color w:val="000000" w:themeColor="text1"/>
                <w:highlight w:val="none"/>
                <w:lang w:val="en-US" w:eastAsia="zh-CN"/>
              </w:rPr>
              <w:t>投标文件电子版</w:t>
            </w:r>
            <w:r>
              <w:rPr>
                <w:rFonts w:hint="eastAsia" w:ascii="宋体" w:hAnsi="宋体" w:eastAsia="宋体" w:cs="宋体"/>
                <w:color w:val="000000" w:themeColor="text1"/>
                <w:szCs w:val="21"/>
                <w:highlight w:val="none"/>
              </w:rPr>
              <w:t>”</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wordWrap/>
              <w:snapToGrid/>
              <w:spacing w:line="400" w:lineRule="exact"/>
              <w:jc w:val="center"/>
              <w:rPr>
                <w:rFonts w:ascii="宋体" w:hAnsi="宋体"/>
                <w:b/>
                <w:bCs w:val="0"/>
                <w:color w:val="000000" w:themeColor="text1"/>
                <w:szCs w:val="21"/>
                <w:highlight w:val="none"/>
              </w:rPr>
            </w:pPr>
          </w:p>
        </w:tc>
        <w:tc>
          <w:tcPr>
            <w:tcW w:w="1856" w:type="dxa"/>
            <w:vMerge w:val="continue"/>
            <w:tcBorders>
              <w:left w:val="single" w:color="auto" w:sz="4" w:space="0"/>
              <w:right w:val="single" w:color="auto" w:sz="4" w:space="0"/>
            </w:tcBorders>
            <w:vAlign w:val="center"/>
          </w:tcPr>
          <w:p>
            <w:pPr>
              <w:wordWrap/>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ascii="宋体" w:hAnsi="宋体"/>
                <w:b/>
                <w:bCs w:val="0"/>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ascii="宋体" w:hAnsi="宋体"/>
                <w:b/>
                <w:bCs w:val="0"/>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hint="eastAsia" w:ascii="宋体" w:hAnsi="宋体" w:eastAsia="宋体" w:cs="宋体"/>
                <w:b/>
                <w:bCs w:val="0"/>
                <w:color w:val="000000" w:themeColor="text1"/>
                <w:szCs w:val="21"/>
                <w:highlight w:val="none"/>
              </w:rPr>
            </w:pPr>
            <w:r>
              <w:rPr>
                <w:rFonts w:hint="eastAsia" w:ascii="宋体" w:hAnsi="宋体" w:eastAsia="宋体" w:cs="宋体"/>
                <w:b/>
                <w:bCs w:val="0"/>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wordWrap/>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numPr>
                <w:ilvl w:val="1"/>
                <w:numId w:val="20"/>
              </w:numPr>
              <w:tabs>
                <w:tab w:val="left" w:pos="26"/>
                <w:tab w:val="clear" w:pos="783"/>
              </w:tabs>
              <w:wordWrap/>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numPr>
                <w:ilvl w:val="0"/>
                <w:numId w:val="0"/>
              </w:numPr>
              <w:tabs>
                <w:tab w:val="left" w:pos="26"/>
              </w:tabs>
              <w:wordWrap/>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lang w:eastAsia="zh-CN"/>
              </w:rPr>
            </w:pPr>
            <w:r>
              <w:rPr>
                <w:rFonts w:hint="eastAsia" w:ascii="宋体" w:hAnsi="宋体" w:eastAsia="宋体" w:cs="宋体"/>
                <w:b/>
                <w:bCs w:val="0"/>
                <w:color w:val="000000" w:themeColor="text1"/>
                <w:highlight w:val="none"/>
                <w:lang w:val="en-US" w:eastAsia="zh-CN"/>
              </w:rPr>
              <w:t>4</w:t>
            </w:r>
          </w:p>
        </w:tc>
        <w:tc>
          <w:tcPr>
            <w:tcW w:w="185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73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val="en-US" w:eastAsia="zh-CN"/>
              </w:rPr>
              <w:t>柒万伍仟</w:t>
            </w:r>
            <w:r>
              <w:rPr>
                <w:rFonts w:hint="eastAsia" w:ascii="宋体" w:hAnsi="宋体"/>
                <w:b/>
                <w:color w:val="000000" w:themeColor="text1"/>
                <w:szCs w:val="21"/>
                <w:highlight w:val="none"/>
              </w:rPr>
              <w:t>元整（￥</w:t>
            </w:r>
            <w:r>
              <w:rPr>
                <w:rFonts w:hint="eastAsia" w:ascii="宋体" w:hAnsi="宋体"/>
                <w:b/>
                <w:color w:val="000000" w:themeColor="text1"/>
                <w:szCs w:val="21"/>
                <w:highlight w:val="none"/>
                <w:lang w:val="en-US" w:eastAsia="zh-CN"/>
              </w:rPr>
              <w:t>75</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7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73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rPr>
            </w:pPr>
          </w:p>
        </w:tc>
        <w:tc>
          <w:tcPr>
            <w:tcW w:w="18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73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bCs w:val="0"/>
                <w:color w:val="000000" w:themeColor="text1"/>
                <w:highlight w:val="none"/>
                <w:lang w:eastAsia="zh-CN"/>
              </w:rPr>
            </w:pPr>
            <w:r>
              <w:rPr>
                <w:rFonts w:hint="eastAsia" w:ascii="宋体" w:hAnsi="宋体" w:eastAsia="宋体" w:cs="宋体"/>
                <w:b/>
                <w:bCs w:val="0"/>
                <w:color w:val="000000" w:themeColor="text1"/>
                <w:highlight w:val="none"/>
                <w:lang w:val="en-US" w:eastAsia="zh-CN"/>
              </w:rPr>
              <w:t>5</w:t>
            </w:r>
          </w:p>
        </w:tc>
        <w:tc>
          <w:tcPr>
            <w:tcW w:w="185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发改价格[2011]534号文的规定</w:t>
            </w:r>
            <w:r>
              <w:rPr>
                <w:rFonts w:hint="eastAsia" w:ascii="宋体" w:hAnsi="宋体"/>
                <w:color w:val="000000" w:themeColor="text1"/>
                <w:szCs w:val="21"/>
                <w:highlight w:val="none"/>
              </w:rPr>
              <w:t>，招标代理服务费</w:t>
            </w:r>
            <w:r>
              <w:rPr>
                <w:rFonts w:hint="eastAsia" w:ascii="宋体" w:hAnsi="宋体"/>
                <w:color w:val="000000" w:themeColor="text1"/>
                <w:szCs w:val="21"/>
                <w:highlight w:val="none"/>
                <w:lang w:val="en-US" w:eastAsia="zh-CN"/>
              </w:rPr>
              <w:t>根据项目预算金额</w:t>
            </w:r>
            <w:r>
              <w:rPr>
                <w:rFonts w:hint="eastAsia" w:ascii="宋体" w:hAnsi="宋体"/>
                <w:color w:val="000000" w:themeColor="text1"/>
                <w:szCs w:val="21"/>
                <w:highlight w:val="none"/>
              </w:rPr>
              <w:t>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185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185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73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widowControl/>
              <w:wordWrap/>
              <w:snapToGrid/>
              <w:spacing w:line="400" w:lineRule="exact"/>
              <w:jc w:val="center"/>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lang w:val="en-US" w:eastAsia="zh-CN"/>
              </w:rPr>
              <w:t>6</w:t>
            </w:r>
          </w:p>
        </w:tc>
        <w:tc>
          <w:tcPr>
            <w:tcW w:w="1856" w:type="dxa"/>
            <w:vMerge w:val="restart"/>
            <w:tcBorders>
              <w:top w:val="single" w:color="auto" w:sz="4" w:space="0"/>
              <w:left w:val="single" w:color="auto" w:sz="4" w:space="0"/>
              <w:right w:val="single" w:color="auto" w:sz="4" w:space="0"/>
            </w:tcBorders>
            <w:vAlign w:val="center"/>
          </w:tcPr>
          <w:p>
            <w:pPr>
              <w:widowControl/>
              <w:wordWrap/>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297" w:type="dxa"/>
            <w:gridSpan w:val="2"/>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473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2297" w:type="dxa"/>
            <w:gridSpan w:val="2"/>
            <w:vMerge w:val="restart"/>
            <w:tcBorders>
              <w:top w:val="single" w:color="auto" w:sz="4" w:space="0"/>
              <w:left w:val="single" w:color="auto" w:sz="4" w:space="0"/>
              <w:right w:val="single" w:color="auto" w:sz="4" w:space="0"/>
            </w:tcBorders>
            <w:vAlign w:val="center"/>
          </w:tcPr>
          <w:p>
            <w:pPr>
              <w:wordWrap/>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4739" w:type="dxa"/>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widowControl/>
              <w:wordWrap/>
              <w:snapToGrid/>
              <w:spacing w:line="400" w:lineRule="exact"/>
              <w:jc w:val="left"/>
              <w:rPr>
                <w:rFonts w:ascii="宋体" w:hAnsi="宋体"/>
                <w:color w:val="000000" w:themeColor="text1"/>
                <w:szCs w:val="21"/>
                <w:highlight w:val="none"/>
              </w:rPr>
            </w:pPr>
          </w:p>
        </w:tc>
        <w:tc>
          <w:tcPr>
            <w:tcW w:w="2297" w:type="dxa"/>
            <w:gridSpan w:val="2"/>
            <w:vMerge w:val="continue"/>
            <w:tcBorders>
              <w:left w:val="single" w:color="auto" w:sz="4" w:space="0"/>
              <w:bottom w:val="single" w:color="auto" w:sz="4" w:space="0"/>
              <w:right w:val="single" w:color="auto" w:sz="4" w:space="0"/>
            </w:tcBorders>
            <w:vAlign w:val="center"/>
          </w:tcPr>
          <w:p>
            <w:pPr>
              <w:wordWrap/>
              <w:snapToGrid/>
              <w:spacing w:line="400" w:lineRule="exact"/>
              <w:rPr>
                <w:rFonts w:hint="eastAsia" w:ascii="宋体" w:hAnsi="宋体"/>
                <w:color w:val="000000" w:themeColor="text1"/>
                <w:szCs w:val="21"/>
                <w:highlight w:val="none"/>
              </w:rPr>
            </w:pPr>
          </w:p>
        </w:tc>
        <w:tc>
          <w:tcPr>
            <w:tcW w:w="4739" w:type="dxa"/>
            <w:tcBorders>
              <w:top w:val="single" w:color="auto" w:sz="4" w:space="0"/>
              <w:left w:val="single" w:color="auto" w:sz="4" w:space="0"/>
              <w:bottom w:val="single" w:color="auto" w:sz="4" w:space="0"/>
              <w:right w:val="single" w:color="auto" w:sz="4" w:space="0"/>
            </w:tcBorders>
            <w:vAlign w:val="center"/>
          </w:tcPr>
          <w:p>
            <w:pPr>
              <w:wordWrap/>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p>
    <w:p>
      <w:pPr>
        <w:rPr>
          <w:rFonts w:hint="eastAsia"/>
          <w:color w:val="000000" w:themeColor="text1"/>
          <w:sz w:val="24"/>
          <w:highlight w:val="none"/>
        </w:rPr>
      </w:pPr>
      <w:bookmarkStart w:id="235" w:name="_Hlt21938665"/>
      <w:bookmarkEnd w:id="235"/>
      <w:bookmarkStart w:id="236" w:name="_Hlt21938668"/>
      <w:bookmarkEnd w:id="236"/>
      <w:bookmarkStart w:id="237" w:name="_Toc336681903"/>
      <w:bookmarkStart w:id="238" w:name="_Toc503785396"/>
      <w:bookmarkStart w:id="239" w:name="_Toc337632326"/>
      <w:bookmarkStart w:id="240" w:name="_Toc349127594"/>
      <w:bookmarkStart w:id="241" w:name="_Toc336681548"/>
      <w:bookmarkStart w:id="242" w:name="_Toc340507410"/>
      <w:bookmarkStart w:id="243" w:name="_Toc350438717"/>
      <w:bookmarkStart w:id="244" w:name="_Toc333935314"/>
      <w:bookmarkStart w:id="245" w:name="_Toc365967041"/>
      <w:bookmarkStart w:id="246" w:name="_Toc339441055"/>
      <w:bookmarkStart w:id="247" w:name="_Toc331684006"/>
      <w:bookmarkStart w:id="248" w:name="_Toc340677038"/>
      <w:bookmarkStart w:id="249" w:name="_Toc332206676"/>
      <w:bookmarkStart w:id="250" w:name="_Toc341348306"/>
      <w:bookmarkStart w:id="251" w:name="_Toc332270314"/>
      <w:bookmarkStart w:id="252" w:name="_Toc333237645"/>
      <w:bookmarkStart w:id="253" w:name="_Toc339020201"/>
      <w:bookmarkStart w:id="254" w:name="_Toc333238601"/>
      <w:bookmarkStart w:id="255" w:name="_Toc349143557"/>
      <w:bookmarkStart w:id="256" w:name="_Toc345513835"/>
      <w:bookmarkStart w:id="257" w:name="_Toc330459953"/>
      <w:bookmarkStart w:id="258" w:name="_Toc350756418"/>
      <w:bookmarkStart w:id="259" w:name="_Toc497224194"/>
      <w:bookmarkStart w:id="260" w:name="_Toc339019857"/>
      <w:bookmarkStart w:id="261" w:name="_Toc333237756"/>
      <w:bookmarkStart w:id="262" w:name="_Toc339020063"/>
      <w:bookmarkStart w:id="263" w:name="_Toc331512866"/>
      <w:bookmarkStart w:id="264" w:name="_Toc339362268"/>
      <w:bookmarkStart w:id="265" w:name="_Toc340672837"/>
      <w:bookmarkStart w:id="266" w:name="_Toc342296728"/>
      <w:bookmarkStart w:id="267" w:name="_Toc366072496"/>
      <w:bookmarkStart w:id="268" w:name="_Toc342060342"/>
      <w:bookmarkStart w:id="269" w:name="_Toc339019983"/>
      <w:bookmarkStart w:id="270" w:name="_Toc333935655"/>
      <w:bookmarkStart w:id="271" w:name="_Toc365985147"/>
      <w:r>
        <w:rPr>
          <w:rFonts w:hint="eastAsia"/>
          <w:color w:val="000000" w:themeColor="text1"/>
          <w:sz w:val="24"/>
          <w:highlight w:val="none"/>
        </w:rPr>
        <w:br w:type="page"/>
      </w:r>
    </w:p>
    <w:p>
      <w:pPr>
        <w:pStyle w:val="4"/>
        <w:numPr>
          <w:ilvl w:val="1"/>
          <w:numId w:val="0"/>
        </w:numPr>
        <w:rPr>
          <w:color w:val="000000" w:themeColor="text1"/>
          <w:sz w:val="24"/>
          <w:highlight w:val="none"/>
        </w:rPr>
      </w:pPr>
      <w:bookmarkStart w:id="272" w:name="_Toc11426"/>
      <w:r>
        <w:rPr>
          <w:rFonts w:hint="eastAsia"/>
          <w:color w:val="000000" w:themeColor="text1"/>
          <w:sz w:val="24"/>
          <w:highlight w:val="none"/>
        </w:rPr>
        <w:t>Ａ说明</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6"/>
        <w:numPr>
          <w:ilvl w:val="4"/>
          <w:numId w:val="25"/>
        </w:numPr>
        <w:tabs>
          <w:tab w:val="left" w:pos="720"/>
        </w:tabs>
        <w:spacing w:before="240" w:after="120"/>
        <w:ind w:left="2432" w:hanging="2432"/>
        <w:rPr>
          <w:color w:val="000000" w:themeColor="text1"/>
          <w:highlight w:val="none"/>
        </w:rPr>
      </w:pPr>
      <w:bookmarkStart w:id="273" w:name="_Toc503785397"/>
      <w:bookmarkStart w:id="274" w:name="_Toc497224195"/>
      <w:bookmarkStart w:id="275" w:name="_Toc345513836"/>
      <w:bookmarkStart w:id="276" w:name="_Toc333237757"/>
      <w:bookmarkStart w:id="277" w:name="_Toc366072497"/>
      <w:bookmarkStart w:id="278" w:name="_Toc332206677"/>
      <w:bookmarkStart w:id="279" w:name="_Toc349127595"/>
      <w:bookmarkStart w:id="280" w:name="_Toc339362269"/>
      <w:bookmarkStart w:id="281" w:name="_Toc339019984"/>
      <w:bookmarkStart w:id="282" w:name="_Toc339019858"/>
      <w:bookmarkStart w:id="283" w:name="_Toc350438718"/>
      <w:bookmarkStart w:id="284" w:name="_Toc337632327"/>
      <w:bookmarkStart w:id="285" w:name="_Toc339020064"/>
      <w:bookmarkStart w:id="286" w:name="_Toc333935315"/>
      <w:bookmarkStart w:id="287" w:name="_Toc339020202"/>
      <w:bookmarkStart w:id="288" w:name="_Toc340672838"/>
      <w:bookmarkStart w:id="289" w:name="_Toc350756419"/>
      <w:bookmarkStart w:id="290" w:name="_Toc349143558"/>
      <w:bookmarkStart w:id="291" w:name="_Toc342060343"/>
      <w:bookmarkStart w:id="292" w:name="_Toc336681904"/>
      <w:bookmarkStart w:id="293" w:name="_Toc340507411"/>
      <w:bookmarkStart w:id="294" w:name="_Toc342296729"/>
      <w:bookmarkStart w:id="295" w:name="_Toc336681549"/>
      <w:bookmarkStart w:id="296" w:name="_Toc333237646"/>
      <w:bookmarkStart w:id="297" w:name="_Toc365985148"/>
      <w:bookmarkStart w:id="298" w:name="_Toc333935656"/>
      <w:bookmarkStart w:id="299" w:name="_Toc341348307"/>
      <w:bookmarkStart w:id="300" w:name="_Toc333238602"/>
      <w:bookmarkStart w:id="301" w:name="_Toc331684007"/>
      <w:bookmarkStart w:id="302" w:name="_Toc331512867"/>
      <w:bookmarkStart w:id="303" w:name="_Toc330459954"/>
      <w:bookmarkStart w:id="304" w:name="_Toc339441056"/>
      <w:bookmarkStart w:id="305" w:name="_Toc365967042"/>
      <w:bookmarkStart w:id="306" w:name="_Toc332270315"/>
      <w:bookmarkStart w:id="307" w:name="_Toc340677039"/>
      <w:bookmarkStart w:id="308" w:name="_Toc541"/>
      <w:r>
        <w:rPr>
          <w:rFonts w:hint="eastAsia"/>
          <w:color w:val="000000" w:themeColor="text1"/>
          <w:highlight w:val="none"/>
        </w:rPr>
        <w:t>适用范围</w:t>
      </w:r>
      <w:bookmarkEnd w:id="273"/>
      <w:bookmarkEnd w:id="274"/>
      <w:r>
        <w:rPr>
          <w:rFonts w:hint="eastAsia"/>
          <w:color w:val="000000" w:themeColor="text1"/>
          <w:highlight w:val="none"/>
        </w:rPr>
        <w:t>和资金来源</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309" w:name="_Toc350756420"/>
      <w:bookmarkStart w:id="310" w:name="_Toc349143559"/>
      <w:bookmarkStart w:id="311" w:name="_Toc339019985"/>
      <w:bookmarkStart w:id="312" w:name="_Toc339441057"/>
      <w:bookmarkStart w:id="313" w:name="_Toc337632328"/>
      <w:bookmarkStart w:id="314" w:name="_Toc336681550"/>
      <w:bookmarkStart w:id="315" w:name="_Toc340507412"/>
      <w:bookmarkStart w:id="316" w:name="_Toc332270316"/>
      <w:bookmarkStart w:id="317" w:name="_Toc342060344"/>
      <w:bookmarkStart w:id="318" w:name="_Toc331512868"/>
      <w:bookmarkStart w:id="319" w:name="_Toc330459955"/>
      <w:bookmarkStart w:id="320" w:name="_Toc339362270"/>
      <w:bookmarkStart w:id="321" w:name="_Toc333238603"/>
      <w:bookmarkStart w:id="322" w:name="_Toc339019859"/>
      <w:bookmarkStart w:id="323" w:name="_Toc333237758"/>
      <w:bookmarkStart w:id="324" w:name="_Toc366072498"/>
      <w:bookmarkStart w:id="325" w:name="_Toc336681905"/>
      <w:bookmarkStart w:id="326" w:name="_Toc374454571"/>
      <w:bookmarkStart w:id="327" w:name="_Toc503785398"/>
      <w:bookmarkStart w:id="328" w:name="_Toc333935316"/>
      <w:bookmarkStart w:id="329" w:name="_Toc349127596"/>
      <w:bookmarkStart w:id="330" w:name="_Toc341348308"/>
      <w:bookmarkStart w:id="331" w:name="_Toc350438719"/>
      <w:bookmarkStart w:id="332" w:name="_Toc332206678"/>
      <w:bookmarkStart w:id="333" w:name="_Toc365967043"/>
      <w:bookmarkStart w:id="334" w:name="_Toc497224196"/>
      <w:bookmarkStart w:id="335" w:name="_Toc365985149"/>
      <w:bookmarkStart w:id="336" w:name="_Toc339020065"/>
      <w:bookmarkStart w:id="337" w:name="_Toc342296730"/>
      <w:bookmarkStart w:id="338" w:name="_Toc331684008"/>
      <w:bookmarkStart w:id="339" w:name="_Toc340672839"/>
      <w:bookmarkStart w:id="340" w:name="_Toc345513837"/>
      <w:bookmarkStart w:id="341" w:name="_Toc333237647"/>
      <w:bookmarkStart w:id="342" w:name="_Toc339020203"/>
      <w:bookmarkStart w:id="343" w:name="_Toc333935657"/>
      <w:bookmarkStart w:id="344" w:name="_Toc340677040"/>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rPr>
      </w:pPr>
      <w:bookmarkStart w:id="345" w:name="_Toc18870"/>
      <w:r>
        <w:rPr>
          <w:rFonts w:hint="eastAsia"/>
          <w:color w:val="000000" w:themeColor="text1"/>
          <w:highlight w:val="none"/>
        </w:rPr>
        <w:t>定义</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国家税务总局阳西县税务局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346" w:name="_Toc503785399"/>
      <w:bookmarkStart w:id="347" w:name="_Toc497224197"/>
      <w:bookmarkStart w:id="348" w:name="_Toc332270317"/>
      <w:bookmarkStart w:id="349" w:name="_Toc365985150"/>
      <w:bookmarkStart w:id="350" w:name="_Toc342296731"/>
      <w:bookmarkStart w:id="351" w:name="_Toc339019860"/>
      <w:bookmarkStart w:id="352" w:name="_Toc341348309"/>
      <w:bookmarkStart w:id="353" w:name="_Toc339441058"/>
      <w:bookmarkStart w:id="354" w:name="_Toc337632329"/>
      <w:bookmarkStart w:id="355" w:name="_Toc339362271"/>
      <w:bookmarkStart w:id="356" w:name="_Toc339020204"/>
      <w:bookmarkStart w:id="357" w:name="_Toc340507413"/>
      <w:bookmarkStart w:id="358" w:name="_Toc339019986"/>
      <w:bookmarkStart w:id="359" w:name="_Toc330459956"/>
      <w:bookmarkStart w:id="360" w:name="_Toc336681551"/>
      <w:bookmarkStart w:id="361" w:name="_Toc349143560"/>
      <w:bookmarkStart w:id="362" w:name="_Toc333935317"/>
      <w:bookmarkStart w:id="363" w:name="_Toc333237648"/>
      <w:bookmarkStart w:id="364" w:name="_Toc333935658"/>
      <w:bookmarkStart w:id="365" w:name="_Toc339020066"/>
      <w:bookmarkStart w:id="366" w:name="_Toc333238604"/>
      <w:bookmarkStart w:id="367" w:name="_Toc340672840"/>
      <w:bookmarkStart w:id="368" w:name="_Toc333237759"/>
      <w:bookmarkStart w:id="369" w:name="_Toc366072499"/>
      <w:bookmarkStart w:id="370" w:name="_Toc331512869"/>
      <w:bookmarkStart w:id="371" w:name="_Toc336681906"/>
      <w:bookmarkStart w:id="372" w:name="_Toc340677041"/>
      <w:bookmarkStart w:id="373" w:name="_Toc342060345"/>
      <w:bookmarkStart w:id="374" w:name="_Toc350438720"/>
      <w:bookmarkStart w:id="375" w:name="_Toc374454572"/>
      <w:bookmarkStart w:id="376" w:name="_Toc8385"/>
      <w:bookmarkStart w:id="377" w:name="_Toc345513838"/>
      <w:bookmarkStart w:id="378" w:name="_Toc349127597"/>
      <w:bookmarkStart w:id="379" w:name="_Toc350756421"/>
      <w:bookmarkStart w:id="380" w:name="_Toc332206679"/>
      <w:bookmarkStart w:id="381" w:name="_Toc331684009"/>
      <w:bookmarkStart w:id="382" w:name="_Toc365967044"/>
      <w:r>
        <w:rPr>
          <w:rFonts w:hint="eastAsia"/>
          <w:color w:val="000000" w:themeColor="text1"/>
          <w:highlight w:val="none"/>
        </w:rPr>
        <w:t>合格的</w:t>
      </w:r>
      <w:bookmarkEnd w:id="346"/>
      <w:bookmarkEnd w:id="347"/>
      <w:r>
        <w:rPr>
          <w:rFonts w:hint="eastAsia"/>
          <w:color w:val="000000" w:themeColor="text1"/>
          <w:highlight w:val="none"/>
        </w:rPr>
        <w:t>投标人</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bCs/>
          <w:color w:val="000000" w:themeColor="text1"/>
          <w:szCs w:val="2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w:t>
      </w:r>
      <w:r>
        <w:rPr>
          <w:rFonts w:hint="eastAsia"/>
          <w:bCs/>
          <w:color w:val="000000" w:themeColor="text1"/>
          <w:szCs w:val="21"/>
          <w:highlight w:val="none"/>
          <w:lang w:eastAsia="zh-CN"/>
        </w:rPr>
        <w:t>中小</w:t>
      </w:r>
      <w:r>
        <w:rPr>
          <w:bCs/>
          <w:color w:val="000000" w:themeColor="text1"/>
          <w:szCs w:val="21"/>
          <w:highlight w:val="none"/>
        </w:rPr>
        <w:t>企业采购的项目，只能由</w:t>
      </w:r>
      <w:r>
        <w:rPr>
          <w:rFonts w:hint="eastAsia"/>
          <w:bCs/>
          <w:color w:val="000000" w:themeColor="text1"/>
          <w:szCs w:val="21"/>
          <w:highlight w:val="none"/>
          <w:lang w:eastAsia="zh-CN"/>
        </w:rPr>
        <w:t>中型、</w:t>
      </w:r>
      <w:r>
        <w:rPr>
          <w:bCs/>
          <w:color w:val="000000" w:themeColor="text1"/>
          <w:szCs w:val="21"/>
          <w:highlight w:val="none"/>
        </w:rPr>
        <w:t>小</w:t>
      </w:r>
      <w:r>
        <w:rPr>
          <w:rFonts w:hint="eastAsia"/>
          <w:bCs/>
          <w:color w:val="000000" w:themeColor="text1"/>
          <w:szCs w:val="21"/>
          <w:highlight w:val="none"/>
          <w:lang w:eastAsia="zh-CN"/>
        </w:rPr>
        <w:t>型</w:t>
      </w:r>
      <w:r>
        <w:rPr>
          <w:bCs/>
          <w:color w:val="000000" w:themeColor="text1"/>
          <w:szCs w:val="21"/>
          <w:highlight w:val="none"/>
        </w:rPr>
        <w:t>或微型企业参加。</w:t>
      </w:r>
    </w:p>
    <w:p>
      <w:pPr>
        <w:pStyle w:val="2"/>
        <w:rPr>
          <w:color w:val="000000" w:themeColor="text1"/>
          <w:highlight w:val="none"/>
        </w:rPr>
      </w:pPr>
    </w:p>
    <w:p>
      <w:pPr>
        <w:pStyle w:val="6"/>
        <w:numPr>
          <w:ilvl w:val="4"/>
          <w:numId w:val="25"/>
        </w:numPr>
        <w:tabs>
          <w:tab w:val="left" w:pos="720"/>
        </w:tabs>
        <w:spacing w:before="240" w:after="120"/>
        <w:ind w:left="2432" w:hanging="2432"/>
        <w:rPr>
          <w:color w:val="000000" w:themeColor="text1"/>
          <w:highlight w:val="none"/>
        </w:rPr>
      </w:pPr>
      <w:bookmarkStart w:id="383" w:name="_Toc341348310"/>
      <w:bookmarkStart w:id="384" w:name="_Toc333237649"/>
      <w:bookmarkStart w:id="385" w:name="_Toc349127598"/>
      <w:bookmarkStart w:id="386" w:name="_Toc350756422"/>
      <w:bookmarkStart w:id="387" w:name="_Toc345513839"/>
      <w:bookmarkStart w:id="388" w:name="_Toc497224198"/>
      <w:bookmarkStart w:id="389" w:name="_Toc342296732"/>
      <w:bookmarkStart w:id="390" w:name="_Toc365967045"/>
      <w:bookmarkStart w:id="391" w:name="_Toc349143561"/>
      <w:bookmarkStart w:id="392" w:name="_Toc342060346"/>
      <w:bookmarkStart w:id="393" w:name="_Toc340672841"/>
      <w:bookmarkStart w:id="394" w:name="_Toc339020205"/>
      <w:bookmarkStart w:id="395" w:name="_Toc331512870"/>
      <w:bookmarkStart w:id="396" w:name="_Toc340507414"/>
      <w:bookmarkStart w:id="397" w:name="_Toc336681907"/>
      <w:bookmarkStart w:id="398" w:name="_Toc339441059"/>
      <w:bookmarkStart w:id="399" w:name="_Toc333935318"/>
      <w:bookmarkStart w:id="400" w:name="_Toc350438721"/>
      <w:bookmarkStart w:id="401" w:name="_Toc337632330"/>
      <w:bookmarkStart w:id="402" w:name="_Toc366072500"/>
      <w:bookmarkStart w:id="403" w:name="_Toc331684010"/>
      <w:bookmarkStart w:id="404" w:name="_Toc339019861"/>
      <w:bookmarkStart w:id="405" w:name="_Toc336681552"/>
      <w:bookmarkStart w:id="406" w:name="_Toc16463"/>
      <w:bookmarkStart w:id="407" w:name="_Toc339362272"/>
      <w:bookmarkStart w:id="408" w:name="_Toc332270318"/>
      <w:bookmarkStart w:id="409" w:name="_Toc333935659"/>
      <w:bookmarkStart w:id="410" w:name="_Toc339020067"/>
      <w:bookmarkStart w:id="411" w:name="_Toc340677042"/>
      <w:bookmarkStart w:id="412" w:name="_Toc503785400"/>
      <w:bookmarkStart w:id="413" w:name="_Toc365985151"/>
      <w:bookmarkStart w:id="414" w:name="_Toc333238605"/>
      <w:bookmarkStart w:id="415" w:name="_Toc333237760"/>
      <w:bookmarkStart w:id="416" w:name="_Toc339019987"/>
      <w:bookmarkStart w:id="417" w:name="_Toc330459957"/>
      <w:bookmarkStart w:id="418" w:name="_Toc332206680"/>
      <w:bookmarkStart w:id="419" w:name="_Toc374454573"/>
      <w:r>
        <w:rPr>
          <w:rFonts w:hint="eastAsia"/>
          <w:color w:val="000000" w:themeColor="text1"/>
          <w:highlight w:val="none"/>
        </w:rPr>
        <w:t>投标费用</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420" w:name="_Toc340677043"/>
      <w:bookmarkStart w:id="421" w:name="_Toc342060347"/>
      <w:bookmarkStart w:id="422" w:name="_Toc350756423"/>
      <w:bookmarkStart w:id="423" w:name="_Toc339441060"/>
      <w:bookmarkStart w:id="424" w:name="_Toc503785401"/>
      <w:bookmarkStart w:id="425" w:name="_Toc341348311"/>
      <w:bookmarkStart w:id="426" w:name="_Toc497224199"/>
      <w:bookmarkStart w:id="427" w:name="_Toc350438722"/>
      <w:bookmarkStart w:id="428" w:name="_Toc333935660"/>
      <w:bookmarkStart w:id="429" w:name="_Toc333237761"/>
      <w:bookmarkStart w:id="430" w:name="_Toc366072501"/>
      <w:bookmarkStart w:id="431" w:name="_Toc349143562"/>
      <w:bookmarkStart w:id="432" w:name="_Toc339020206"/>
      <w:bookmarkStart w:id="433" w:name="_Toc342296733"/>
      <w:bookmarkStart w:id="434" w:name="_Toc339019862"/>
      <w:bookmarkStart w:id="435" w:name="_Toc374454574"/>
      <w:bookmarkStart w:id="436" w:name="_Toc333935319"/>
      <w:bookmarkStart w:id="437" w:name="_Toc339362273"/>
      <w:bookmarkStart w:id="438" w:name="_Toc337632331"/>
      <w:bookmarkStart w:id="439" w:name="_Toc365985152"/>
      <w:bookmarkStart w:id="440" w:name="_Toc330459958"/>
      <w:bookmarkStart w:id="441" w:name="_Toc345513840"/>
      <w:bookmarkStart w:id="442" w:name="_Toc336681908"/>
      <w:bookmarkStart w:id="443" w:name="_Toc333238606"/>
      <w:bookmarkStart w:id="444" w:name="_Toc339019988"/>
      <w:bookmarkStart w:id="445" w:name="_Toc340672842"/>
      <w:bookmarkStart w:id="446" w:name="_Toc331512871"/>
      <w:bookmarkStart w:id="447" w:name="_Toc331684011"/>
      <w:bookmarkStart w:id="448" w:name="_Toc340507415"/>
      <w:bookmarkStart w:id="449" w:name="_Toc365967046"/>
      <w:bookmarkStart w:id="450" w:name="_Toc339020068"/>
      <w:bookmarkStart w:id="451" w:name="_Toc336681553"/>
      <w:bookmarkStart w:id="452" w:name="_Toc332270319"/>
      <w:bookmarkStart w:id="453" w:name="_Toc349127599"/>
      <w:bookmarkStart w:id="454" w:name="_Toc333237650"/>
      <w:bookmarkStart w:id="455" w:name="_Toc332206681"/>
    </w:p>
    <w:p>
      <w:pPr>
        <w:pStyle w:val="4"/>
        <w:numPr>
          <w:ilvl w:val="1"/>
          <w:numId w:val="0"/>
        </w:numPr>
        <w:rPr>
          <w:color w:val="000000" w:themeColor="text1"/>
          <w:sz w:val="24"/>
          <w:highlight w:val="none"/>
        </w:rPr>
      </w:pPr>
      <w:bookmarkStart w:id="456" w:name="_Toc10504"/>
      <w:r>
        <w:rPr>
          <w:rFonts w:hint="eastAsia"/>
          <w:color w:val="000000" w:themeColor="text1"/>
          <w:sz w:val="24"/>
          <w:highlight w:val="none"/>
        </w:rPr>
        <w:t>Ｂ招标文件说明</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pStyle w:val="6"/>
        <w:numPr>
          <w:ilvl w:val="4"/>
          <w:numId w:val="25"/>
        </w:numPr>
        <w:tabs>
          <w:tab w:val="left" w:pos="720"/>
        </w:tabs>
        <w:spacing w:before="240" w:after="120"/>
        <w:ind w:left="2432" w:hanging="2432"/>
        <w:rPr>
          <w:color w:val="000000" w:themeColor="text1"/>
          <w:highlight w:val="none"/>
        </w:rPr>
      </w:pPr>
      <w:bookmarkStart w:id="457" w:name="_Toc365967047"/>
      <w:bookmarkStart w:id="458" w:name="_Toc350756424"/>
      <w:bookmarkStart w:id="459" w:name="_Toc333238607"/>
      <w:bookmarkStart w:id="460" w:name="_Toc331512872"/>
      <w:bookmarkStart w:id="461" w:name="_Toc336681909"/>
      <w:bookmarkStart w:id="462" w:name="_Toc339441061"/>
      <w:bookmarkStart w:id="463" w:name="_Toc337632332"/>
      <w:bookmarkStart w:id="464" w:name="_Toc332270320"/>
      <w:bookmarkStart w:id="465" w:name="_Toc333935661"/>
      <w:bookmarkStart w:id="466" w:name="_Toc340507416"/>
      <w:bookmarkStart w:id="467" w:name="_Toc339019863"/>
      <w:bookmarkStart w:id="468" w:name="_Toc339020207"/>
      <w:bookmarkStart w:id="469" w:name="_Toc333237762"/>
      <w:bookmarkStart w:id="470" w:name="_Toc339362274"/>
      <w:bookmarkStart w:id="471" w:name="_Toc340672843"/>
      <w:bookmarkStart w:id="472" w:name="_Toc497224200"/>
      <w:bookmarkStart w:id="473" w:name="_Toc366072502"/>
      <w:bookmarkStart w:id="474" w:name="_Toc333237651"/>
      <w:bookmarkStart w:id="475" w:name="_Toc503785402"/>
      <w:bookmarkStart w:id="476" w:name="_Toc330459959"/>
      <w:bookmarkStart w:id="477" w:name="_Toc14432"/>
      <w:bookmarkStart w:id="478" w:name="_Toc339019989"/>
      <w:bookmarkStart w:id="479" w:name="_Toc336681554"/>
      <w:bookmarkStart w:id="480" w:name="_Toc349143563"/>
      <w:bookmarkStart w:id="481" w:name="_Toc374454575"/>
      <w:bookmarkStart w:id="482" w:name="_Toc365985153"/>
      <w:bookmarkStart w:id="483" w:name="_Toc345513841"/>
      <w:bookmarkStart w:id="484" w:name="_Toc342296734"/>
      <w:bookmarkStart w:id="485" w:name="_Toc341348312"/>
      <w:bookmarkStart w:id="486" w:name="_Toc339020069"/>
      <w:bookmarkStart w:id="487" w:name="_Toc340677044"/>
      <w:bookmarkStart w:id="488" w:name="_Toc350438723"/>
      <w:bookmarkStart w:id="489" w:name="_Toc349127600"/>
      <w:bookmarkStart w:id="490" w:name="_Toc333935320"/>
      <w:bookmarkStart w:id="491" w:name="_Toc332206682"/>
      <w:bookmarkStart w:id="492" w:name="_Toc331684012"/>
      <w:bookmarkStart w:id="493" w:name="_Toc342060348"/>
      <w:r>
        <w:rPr>
          <w:rFonts w:hint="eastAsia"/>
          <w:color w:val="000000" w:themeColor="text1"/>
          <w:highlight w:val="none"/>
        </w:rPr>
        <w:t>招标文件的构成</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5"/>
        </w:numPr>
        <w:tabs>
          <w:tab w:val="left" w:pos="720"/>
        </w:tabs>
        <w:spacing w:before="240" w:after="120"/>
        <w:ind w:left="2432" w:hanging="2432"/>
        <w:rPr>
          <w:color w:val="000000" w:themeColor="text1"/>
          <w:highlight w:val="none"/>
        </w:rPr>
      </w:pPr>
      <w:bookmarkStart w:id="494" w:name="_Toc333935321"/>
      <w:bookmarkStart w:id="495" w:name="_Toc330459960"/>
      <w:bookmarkStart w:id="496" w:name="_Toc337632333"/>
      <w:bookmarkStart w:id="497" w:name="_Toc350438724"/>
      <w:bookmarkStart w:id="498" w:name="_Toc365985154"/>
      <w:bookmarkStart w:id="499" w:name="_Toc370388389"/>
      <w:bookmarkStart w:id="500" w:name="_Toc333238608"/>
      <w:bookmarkStart w:id="501" w:name="_Toc331684013"/>
      <w:bookmarkStart w:id="502" w:name="_Toc339020070"/>
      <w:bookmarkStart w:id="503" w:name="_Toc333237763"/>
      <w:bookmarkStart w:id="504" w:name="_Toc349127601"/>
      <w:bookmarkStart w:id="505" w:name="_Toc339019990"/>
      <w:bookmarkStart w:id="506" w:name="_Toc340677045"/>
      <w:bookmarkStart w:id="507" w:name="_Toc345513842"/>
      <w:bookmarkStart w:id="508" w:name="_Toc365967048"/>
      <w:bookmarkStart w:id="509" w:name="_Toc341348313"/>
      <w:bookmarkStart w:id="510" w:name="_Toc333935662"/>
      <w:bookmarkStart w:id="511" w:name="_Toc332206683"/>
      <w:bookmarkStart w:id="512" w:name="_Toc340507417"/>
      <w:bookmarkStart w:id="513" w:name="_Toc339441062"/>
      <w:bookmarkStart w:id="514" w:name="_Toc339020208"/>
      <w:bookmarkStart w:id="515" w:name="_Toc332270321"/>
      <w:bookmarkStart w:id="516" w:name="_Toc340672844"/>
      <w:bookmarkStart w:id="517" w:name="_Toc342296735"/>
      <w:bookmarkStart w:id="518" w:name="_Toc349143564"/>
      <w:bookmarkStart w:id="519" w:name="_Toc503785403"/>
      <w:bookmarkStart w:id="520" w:name="_Toc342060349"/>
      <w:bookmarkStart w:id="521" w:name="_Toc331512873"/>
      <w:bookmarkStart w:id="522" w:name="_Toc333237652"/>
      <w:bookmarkStart w:id="523" w:name="_Toc339019864"/>
      <w:bookmarkStart w:id="524" w:name="_Toc350756425"/>
      <w:bookmarkStart w:id="525" w:name="_Toc339362275"/>
      <w:bookmarkStart w:id="526" w:name="_Toc336681910"/>
      <w:bookmarkStart w:id="527" w:name="_Toc336681555"/>
      <w:bookmarkStart w:id="528" w:name="_Toc497224201"/>
      <w:bookmarkStart w:id="529" w:name="_Toc374454576"/>
      <w:bookmarkStart w:id="530" w:name="_Toc3774"/>
      <w:bookmarkStart w:id="531" w:name="_Toc503785405"/>
      <w:bookmarkStart w:id="532" w:name="_Toc497224203"/>
      <w:bookmarkStart w:id="533" w:name="_Toc366072505"/>
      <w:bookmarkStart w:id="534" w:name="_Toc339020210"/>
      <w:bookmarkStart w:id="535" w:name="_Toc340672846"/>
      <w:bookmarkStart w:id="536" w:name="_Toc349143566"/>
      <w:bookmarkStart w:id="537" w:name="_Toc333238610"/>
      <w:bookmarkStart w:id="538" w:name="_Toc332270323"/>
      <w:bookmarkStart w:id="539" w:name="_Toc339019992"/>
      <w:bookmarkStart w:id="540" w:name="_Toc336681912"/>
      <w:bookmarkStart w:id="541" w:name="_Toc340677047"/>
      <w:bookmarkStart w:id="542" w:name="_Toc330459962"/>
      <w:bookmarkStart w:id="543" w:name="_Toc349127603"/>
      <w:bookmarkStart w:id="544" w:name="_Toc339362277"/>
      <w:bookmarkStart w:id="545" w:name="_Toc339020072"/>
      <w:bookmarkStart w:id="546" w:name="_Toc332206685"/>
      <w:bookmarkStart w:id="547" w:name="_Toc337632335"/>
      <w:bookmarkStart w:id="548" w:name="_Toc365967050"/>
      <w:bookmarkStart w:id="549" w:name="_Toc350438726"/>
      <w:bookmarkStart w:id="550" w:name="_Toc333935323"/>
      <w:bookmarkStart w:id="551" w:name="_Toc333935664"/>
      <w:bookmarkStart w:id="552" w:name="_Toc345513844"/>
      <w:bookmarkStart w:id="553" w:name="_Toc340507419"/>
      <w:bookmarkStart w:id="554" w:name="_Toc350756427"/>
      <w:bookmarkStart w:id="555" w:name="_Toc342060351"/>
      <w:bookmarkStart w:id="556" w:name="_Toc333237765"/>
      <w:bookmarkStart w:id="557" w:name="_Toc331684015"/>
      <w:bookmarkStart w:id="558" w:name="_Toc339019866"/>
      <w:bookmarkStart w:id="559" w:name="_Toc331512875"/>
      <w:bookmarkStart w:id="560" w:name="_Toc341348315"/>
      <w:bookmarkStart w:id="561" w:name="_Toc342296737"/>
      <w:bookmarkStart w:id="562" w:name="_Toc365985156"/>
      <w:bookmarkStart w:id="563" w:name="_Toc339441064"/>
      <w:bookmarkStart w:id="564" w:name="_Toc333237654"/>
      <w:bookmarkStart w:id="565" w:name="_Toc336681557"/>
      <w:r>
        <w:rPr>
          <w:rFonts w:hint="eastAsia"/>
          <w:color w:val="000000" w:themeColor="text1"/>
          <w:highlight w:val="none"/>
        </w:rPr>
        <w:t>招标文件的澄清</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Pr>
          <w:rFonts w:hint="eastAsia"/>
          <w:color w:val="000000" w:themeColor="text1"/>
          <w:highlight w:val="none"/>
        </w:rPr>
        <w:t>、修改</w:t>
      </w:r>
      <w:bookmarkEnd w:id="529"/>
      <w:bookmarkEnd w:id="530"/>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1"/>
          <w:numId w:val="0"/>
        </w:numPr>
        <w:rPr>
          <w:color w:val="000000" w:themeColor="text1"/>
          <w:sz w:val="24"/>
          <w:highlight w:val="none"/>
        </w:rPr>
      </w:pPr>
      <w:bookmarkStart w:id="566" w:name="_Toc374454577"/>
      <w:r>
        <w:rPr>
          <w:color w:val="000000" w:themeColor="text1"/>
          <w:sz w:val="24"/>
          <w:highlight w:val="none"/>
        </w:rPr>
        <w:br w:type="page"/>
      </w:r>
      <w:bookmarkStart w:id="567" w:name="_Toc7076"/>
      <w:r>
        <w:rPr>
          <w:rFonts w:hint="eastAsia"/>
          <w:color w:val="000000" w:themeColor="text1"/>
          <w:sz w:val="24"/>
          <w:highlight w:val="none"/>
        </w:rPr>
        <w:t>Ｃ投标文件的编</w:t>
      </w:r>
      <w:bookmarkEnd w:id="531"/>
      <w:bookmarkEnd w:id="532"/>
      <w:r>
        <w:rPr>
          <w:rFonts w:hint="eastAsia"/>
          <w:color w:val="000000" w:themeColor="text1"/>
          <w:sz w:val="24"/>
          <w:highlight w:val="none"/>
        </w:rPr>
        <w:t>制</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pStyle w:val="6"/>
        <w:numPr>
          <w:ilvl w:val="4"/>
          <w:numId w:val="25"/>
        </w:numPr>
        <w:tabs>
          <w:tab w:val="left" w:pos="720"/>
        </w:tabs>
        <w:spacing w:before="240" w:after="120"/>
        <w:ind w:left="2432" w:hanging="2432"/>
        <w:rPr>
          <w:color w:val="000000" w:themeColor="text1"/>
          <w:highlight w:val="none"/>
        </w:rPr>
      </w:pPr>
      <w:bookmarkStart w:id="568" w:name="_Toc349127604"/>
      <w:bookmarkStart w:id="569" w:name="_Toc333935665"/>
      <w:bookmarkStart w:id="570" w:name="_Toc339020073"/>
      <w:bookmarkStart w:id="571" w:name="_Toc339019993"/>
      <w:bookmarkStart w:id="572" w:name="_Toc339020211"/>
      <w:bookmarkStart w:id="573" w:name="_Toc333935324"/>
      <w:bookmarkStart w:id="574" w:name="_Toc339362278"/>
      <w:bookmarkStart w:id="575" w:name="_Toc331684016"/>
      <w:bookmarkStart w:id="576" w:name="_Toc337632336"/>
      <w:bookmarkStart w:id="577" w:name="_Toc340677048"/>
      <w:bookmarkStart w:id="578" w:name="_Toc365967051"/>
      <w:bookmarkStart w:id="579" w:name="_Toc11620"/>
      <w:bookmarkStart w:id="580" w:name="_Toc332206686"/>
      <w:bookmarkStart w:id="581" w:name="_Toc341348316"/>
      <w:bookmarkStart w:id="582" w:name="_Toc336681558"/>
      <w:bookmarkStart w:id="583" w:name="_Toc331512876"/>
      <w:bookmarkStart w:id="584" w:name="_Toc497224204"/>
      <w:bookmarkStart w:id="585" w:name="_Toc339019867"/>
      <w:bookmarkStart w:id="586" w:name="_Toc503785406"/>
      <w:bookmarkStart w:id="587" w:name="_Toc340672847"/>
      <w:bookmarkStart w:id="588" w:name="_Toc350756428"/>
      <w:bookmarkStart w:id="589" w:name="_Toc340507420"/>
      <w:bookmarkStart w:id="590" w:name="_Toc350438727"/>
      <w:bookmarkStart w:id="591" w:name="_Toc333238611"/>
      <w:bookmarkStart w:id="592" w:name="_Toc332270324"/>
      <w:bookmarkStart w:id="593" w:name="_Toc374454578"/>
      <w:bookmarkStart w:id="594" w:name="_Toc345513845"/>
      <w:bookmarkStart w:id="595" w:name="_Toc342296738"/>
      <w:bookmarkStart w:id="596" w:name="_Toc339441065"/>
      <w:bookmarkStart w:id="597" w:name="_Toc366072506"/>
      <w:bookmarkStart w:id="598" w:name="_Toc349143567"/>
      <w:bookmarkStart w:id="599" w:name="_Toc333237655"/>
      <w:bookmarkStart w:id="600" w:name="_Toc333237766"/>
      <w:bookmarkStart w:id="601" w:name="_Toc365985157"/>
      <w:bookmarkStart w:id="602" w:name="_Toc342060352"/>
      <w:bookmarkStart w:id="603" w:name="_Toc330459963"/>
      <w:bookmarkStart w:id="604" w:name="_Toc336681913"/>
      <w:r>
        <w:rPr>
          <w:rFonts w:hint="eastAsia"/>
          <w:color w:val="000000" w:themeColor="text1"/>
          <w:highlight w:val="none"/>
        </w:rPr>
        <w:t>要求</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605" w:name="_Toc350438728"/>
      <w:bookmarkStart w:id="606" w:name="_Toc336681914"/>
      <w:bookmarkStart w:id="607" w:name="_Toc330459964"/>
      <w:bookmarkStart w:id="608" w:name="_Toc366072507"/>
      <w:bookmarkStart w:id="609" w:name="_Toc333935666"/>
      <w:bookmarkStart w:id="610" w:name="_Toc350756429"/>
      <w:bookmarkStart w:id="611" w:name="_Toc331684017"/>
      <w:bookmarkStart w:id="612" w:name="_Toc349143568"/>
      <w:bookmarkStart w:id="613" w:name="_Toc503785407"/>
      <w:bookmarkStart w:id="614" w:name="_Toc345513846"/>
      <w:bookmarkStart w:id="615" w:name="_Toc365967052"/>
      <w:bookmarkStart w:id="616" w:name="_Toc340672848"/>
      <w:bookmarkStart w:id="617" w:name="_Toc339019994"/>
      <w:bookmarkStart w:id="618" w:name="_Toc365985158"/>
      <w:bookmarkStart w:id="619" w:name="_Toc332206687"/>
      <w:bookmarkStart w:id="620" w:name="_Toc340677049"/>
      <w:bookmarkStart w:id="621" w:name="_Toc340507421"/>
      <w:bookmarkStart w:id="622" w:name="_Toc337632337"/>
      <w:bookmarkStart w:id="623" w:name="_Toc342296739"/>
      <w:bookmarkStart w:id="624" w:name="_Toc374454579"/>
      <w:bookmarkStart w:id="625" w:name="_Toc339362279"/>
      <w:bookmarkStart w:id="626" w:name="_Toc21884"/>
      <w:bookmarkStart w:id="627" w:name="_Toc339020212"/>
      <w:bookmarkStart w:id="628" w:name="_Toc339441066"/>
      <w:bookmarkStart w:id="629" w:name="_Toc342060353"/>
      <w:bookmarkStart w:id="630" w:name="_Toc349127605"/>
      <w:bookmarkStart w:id="631" w:name="_Toc339019868"/>
      <w:bookmarkStart w:id="632" w:name="_Toc332270325"/>
      <w:bookmarkStart w:id="633" w:name="_Toc333237656"/>
      <w:bookmarkStart w:id="634" w:name="_Toc333237767"/>
      <w:bookmarkStart w:id="635" w:name="_Toc333935325"/>
      <w:bookmarkStart w:id="636" w:name="_Toc341348317"/>
      <w:bookmarkStart w:id="637" w:name="_Toc331512877"/>
      <w:bookmarkStart w:id="638" w:name="_Toc497224205"/>
      <w:bookmarkStart w:id="639" w:name="_Toc336681559"/>
      <w:bookmarkStart w:id="640" w:name="_Toc333238612"/>
      <w:bookmarkStart w:id="641" w:name="_Toc339020074"/>
      <w:r>
        <w:rPr>
          <w:rFonts w:hint="eastAsia"/>
          <w:color w:val="000000" w:themeColor="text1"/>
          <w:highlight w:val="none"/>
        </w:rPr>
        <w:t>投标语言及计量单位</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642" w:name="_Toc333237768"/>
      <w:bookmarkStart w:id="643" w:name="_Toc365967053"/>
      <w:bookmarkStart w:id="644" w:name="_Toc28950"/>
      <w:bookmarkStart w:id="645" w:name="_Toc339020075"/>
      <w:bookmarkStart w:id="646" w:name="_Toc331684018"/>
      <w:bookmarkStart w:id="647" w:name="_Toc333238613"/>
      <w:bookmarkStart w:id="648" w:name="_Toc340507422"/>
      <w:bookmarkStart w:id="649" w:name="_Toc339019995"/>
      <w:bookmarkStart w:id="650" w:name="_Toc332270326"/>
      <w:bookmarkStart w:id="651" w:name="_Toc342296740"/>
      <w:bookmarkStart w:id="652" w:name="_Toc333237657"/>
      <w:bookmarkStart w:id="653" w:name="_Toc339020213"/>
      <w:bookmarkStart w:id="654" w:name="_Toc374454580"/>
      <w:bookmarkStart w:id="655" w:name="_Toc336681560"/>
      <w:bookmarkStart w:id="656" w:name="_Toc331512878"/>
      <w:bookmarkStart w:id="657" w:name="_Toc349127606"/>
      <w:bookmarkStart w:id="658" w:name="_Toc342060354"/>
      <w:bookmarkStart w:id="659" w:name="_Toc365985159"/>
      <w:bookmarkStart w:id="660" w:name="_Toc349143569"/>
      <w:bookmarkStart w:id="661" w:name="_Toc339362280"/>
      <w:bookmarkStart w:id="662" w:name="_Toc340672849"/>
      <w:bookmarkStart w:id="663" w:name="_Toc366072508"/>
      <w:bookmarkStart w:id="664" w:name="_Toc337632338"/>
      <w:bookmarkStart w:id="665" w:name="_Toc341348318"/>
      <w:bookmarkStart w:id="666" w:name="_Toc345513847"/>
      <w:bookmarkStart w:id="667" w:name="_Toc497224206"/>
      <w:bookmarkStart w:id="668" w:name="_Toc503785408"/>
      <w:bookmarkStart w:id="669" w:name="_Toc340677050"/>
      <w:bookmarkStart w:id="670" w:name="_Toc332206688"/>
      <w:bookmarkStart w:id="671" w:name="_Toc350756430"/>
      <w:bookmarkStart w:id="672" w:name="_Toc350438729"/>
      <w:bookmarkStart w:id="673" w:name="_Toc336681915"/>
      <w:bookmarkStart w:id="674" w:name="_Toc330459965"/>
      <w:bookmarkStart w:id="675" w:name="_Toc333935326"/>
      <w:bookmarkStart w:id="676" w:name="_Toc339441067"/>
      <w:bookmarkStart w:id="677" w:name="_Toc339019869"/>
      <w:bookmarkStart w:id="678" w:name="_Toc333935667"/>
      <w:r>
        <w:rPr>
          <w:rFonts w:hint="eastAsia"/>
          <w:color w:val="000000" w:themeColor="text1"/>
          <w:highlight w:val="none"/>
        </w:rPr>
        <w:t>投标文件的构成</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679" w:name="_Toc497224207"/>
      <w:bookmarkStart w:id="680"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25"/>
        </w:numPr>
        <w:tabs>
          <w:tab w:val="left" w:pos="720"/>
        </w:tabs>
        <w:spacing w:before="240" w:after="120"/>
        <w:ind w:left="2432" w:hanging="2432"/>
        <w:rPr>
          <w:color w:val="000000" w:themeColor="text1"/>
          <w:highlight w:val="none"/>
        </w:rPr>
      </w:pPr>
      <w:bookmarkStart w:id="681" w:name="_Toc349143570"/>
      <w:bookmarkStart w:id="682" w:name="_Toc337632339"/>
      <w:bookmarkStart w:id="683" w:name="_Toc333935327"/>
      <w:bookmarkStart w:id="684" w:name="_Toc349127607"/>
      <w:bookmarkStart w:id="685" w:name="_Toc331512879"/>
      <w:bookmarkStart w:id="686" w:name="_Toc340507423"/>
      <w:bookmarkStart w:id="687" w:name="_Toc332270327"/>
      <w:bookmarkStart w:id="688" w:name="_Toc365985160"/>
      <w:bookmarkStart w:id="689" w:name="_Toc350756431"/>
      <w:bookmarkStart w:id="690" w:name="_Toc336681916"/>
      <w:bookmarkStart w:id="691" w:name="_Toc336681561"/>
      <w:bookmarkStart w:id="692" w:name="_Toc339362281"/>
      <w:bookmarkStart w:id="693" w:name="_Toc345513848"/>
      <w:bookmarkStart w:id="694" w:name="_Toc331684019"/>
      <w:bookmarkStart w:id="695" w:name="_Toc333238614"/>
      <w:bookmarkStart w:id="696" w:name="_Toc339020076"/>
      <w:bookmarkStart w:id="697" w:name="_Toc333935668"/>
      <w:bookmarkStart w:id="698" w:name="_Toc365967054"/>
      <w:bookmarkStart w:id="699" w:name="_Toc366072509"/>
      <w:bookmarkStart w:id="700" w:name="_Toc374454581"/>
      <w:bookmarkStart w:id="701" w:name="_Toc342296741"/>
      <w:bookmarkStart w:id="702" w:name="_Toc333237769"/>
      <w:bookmarkStart w:id="703" w:name="_Toc339019996"/>
      <w:bookmarkStart w:id="704" w:name="_Toc342060355"/>
      <w:bookmarkStart w:id="705" w:name="_Toc330459966"/>
      <w:bookmarkStart w:id="706" w:name="_Toc339019870"/>
      <w:bookmarkStart w:id="707" w:name="_Toc7894"/>
      <w:bookmarkStart w:id="708" w:name="_Toc339441068"/>
      <w:bookmarkStart w:id="709" w:name="_Toc339020214"/>
      <w:bookmarkStart w:id="710" w:name="_Toc332206689"/>
      <w:bookmarkStart w:id="711" w:name="_Toc333237658"/>
      <w:bookmarkStart w:id="712" w:name="_Toc340672850"/>
      <w:bookmarkStart w:id="713" w:name="_Toc340677051"/>
      <w:bookmarkStart w:id="714" w:name="_Toc350438730"/>
      <w:bookmarkStart w:id="715" w:name="_Toc341348319"/>
      <w:r>
        <w:rPr>
          <w:rFonts w:hint="eastAsia"/>
          <w:color w:val="000000" w:themeColor="text1"/>
          <w:highlight w:val="none"/>
        </w:rPr>
        <w:t>投标文件格式</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highlight w:val="none"/>
        </w:rPr>
      </w:pPr>
      <w:bookmarkStart w:id="716" w:name="_Toc365967055"/>
      <w:bookmarkStart w:id="717" w:name="_Toc332270328"/>
      <w:bookmarkStart w:id="718" w:name="_Toc340677052"/>
      <w:bookmarkStart w:id="719" w:name="_Toc349127608"/>
      <w:bookmarkStart w:id="720" w:name="_Toc336681917"/>
      <w:bookmarkStart w:id="721" w:name="_Toc349143571"/>
      <w:bookmarkStart w:id="722" w:name="_Toc8032"/>
      <w:bookmarkStart w:id="723" w:name="_Toc333237659"/>
      <w:bookmarkStart w:id="724" w:name="_Toc331512880"/>
      <w:bookmarkStart w:id="725" w:name="_Toc340507424"/>
      <w:bookmarkStart w:id="726" w:name="_Toc342296742"/>
      <w:bookmarkStart w:id="727" w:name="_Toc333935328"/>
      <w:bookmarkStart w:id="728" w:name="_Toc350756432"/>
      <w:bookmarkStart w:id="729" w:name="_Toc339362282"/>
      <w:bookmarkStart w:id="730" w:name="_Toc333237770"/>
      <w:bookmarkStart w:id="731" w:name="_Toc332206690"/>
      <w:bookmarkStart w:id="732" w:name="_Toc339019871"/>
      <w:bookmarkStart w:id="733" w:name="_Toc339020077"/>
      <w:bookmarkStart w:id="734" w:name="_Toc333935669"/>
      <w:bookmarkStart w:id="735" w:name="_Toc331684020"/>
      <w:bookmarkStart w:id="736" w:name="_Toc333238615"/>
      <w:bookmarkStart w:id="737" w:name="_Toc345513849"/>
      <w:bookmarkStart w:id="738" w:name="_Toc341348320"/>
      <w:bookmarkStart w:id="739" w:name="_Toc336681562"/>
      <w:bookmarkStart w:id="740" w:name="_Toc365985161"/>
      <w:bookmarkStart w:id="741" w:name="_Toc366072510"/>
      <w:bookmarkStart w:id="742" w:name="_Toc330459967"/>
      <w:bookmarkStart w:id="743" w:name="_Toc350438731"/>
      <w:bookmarkStart w:id="744" w:name="_Toc374454582"/>
      <w:bookmarkStart w:id="745" w:name="_Toc339441069"/>
      <w:bookmarkStart w:id="746" w:name="_Toc337632340"/>
      <w:bookmarkStart w:id="747" w:name="_Toc339019997"/>
      <w:bookmarkStart w:id="748" w:name="_Toc340672851"/>
      <w:bookmarkStart w:id="749" w:name="_Toc339020215"/>
      <w:bookmarkStart w:id="750" w:name="_Toc5003680"/>
      <w:bookmarkStart w:id="751" w:name="_Toc342060356"/>
      <w:r>
        <w:rPr>
          <w:rFonts w:hint="eastAsia"/>
          <w:color w:val="000000" w:themeColor="text1"/>
          <w:highlight w:val="none"/>
        </w:rPr>
        <w:t>资格证明文件</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highlight w:val="none"/>
        </w:rPr>
      </w:pPr>
      <w:bookmarkStart w:id="752" w:name="_Toc333237660"/>
      <w:bookmarkStart w:id="753" w:name="_Toc333237771"/>
      <w:bookmarkStart w:id="754" w:name="_Toc365967056"/>
      <w:bookmarkStart w:id="755" w:name="_Toc350756433"/>
      <w:bookmarkStart w:id="756" w:name="_Toc374454583"/>
      <w:bookmarkStart w:id="757" w:name="_Toc350438732"/>
      <w:bookmarkStart w:id="758" w:name="_Toc341348321"/>
      <w:bookmarkStart w:id="759" w:name="_Toc342296743"/>
      <w:bookmarkStart w:id="760" w:name="_Toc331684021"/>
      <w:bookmarkStart w:id="761" w:name="_Toc333238616"/>
      <w:bookmarkStart w:id="762" w:name="_Toc349127609"/>
      <w:bookmarkStart w:id="763" w:name="_Toc340677053"/>
      <w:bookmarkStart w:id="764" w:name="_Toc5003681"/>
      <w:bookmarkStart w:id="765" w:name="_Toc339019872"/>
      <w:bookmarkStart w:id="766" w:name="_Toc345513850"/>
      <w:bookmarkStart w:id="767" w:name="_Toc339362283"/>
      <w:bookmarkStart w:id="768" w:name="_Toc349143572"/>
      <w:bookmarkStart w:id="769" w:name="_Toc365985162"/>
      <w:bookmarkStart w:id="770" w:name="_Toc330459968"/>
      <w:bookmarkStart w:id="771" w:name="_Toc336681918"/>
      <w:bookmarkStart w:id="772" w:name="_Toc332270329"/>
      <w:bookmarkStart w:id="773" w:name="_Toc342060357"/>
      <w:bookmarkStart w:id="774" w:name="_Toc340507425"/>
      <w:bookmarkStart w:id="775" w:name="_Toc332206691"/>
      <w:bookmarkStart w:id="776" w:name="_Toc339020078"/>
      <w:bookmarkStart w:id="777" w:name="_Toc339441070"/>
      <w:bookmarkStart w:id="778" w:name="_Toc331512881"/>
      <w:bookmarkStart w:id="779" w:name="_Toc333935329"/>
      <w:bookmarkStart w:id="780" w:name="_Toc337632341"/>
      <w:bookmarkStart w:id="781" w:name="_Toc339019998"/>
      <w:bookmarkStart w:id="782" w:name="_Toc336681563"/>
      <w:bookmarkStart w:id="783" w:name="_Toc366072511"/>
      <w:bookmarkStart w:id="784" w:name="_Toc333935670"/>
      <w:bookmarkStart w:id="785" w:name="_Toc7697"/>
      <w:bookmarkStart w:id="786" w:name="_Toc340672852"/>
      <w:bookmarkStart w:id="787" w:name="_Toc339020216"/>
      <w:r>
        <w:rPr>
          <w:rFonts w:hint="eastAsia"/>
          <w:color w:val="000000" w:themeColor="text1"/>
          <w:highlight w:val="none"/>
        </w:rPr>
        <w:t>货物和服务的证明文件</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highlight w:val="none"/>
        </w:rPr>
      </w:pPr>
      <w:bookmarkStart w:id="788" w:name="_Toc337632342"/>
      <w:bookmarkStart w:id="789" w:name="_Toc342296744"/>
      <w:bookmarkStart w:id="790" w:name="_Toc342060358"/>
      <w:bookmarkStart w:id="791" w:name="_Toc340672853"/>
      <w:bookmarkStart w:id="792" w:name="_Toc350438733"/>
      <w:bookmarkStart w:id="793" w:name="_Toc333237772"/>
      <w:bookmarkStart w:id="794" w:name="_Toc339019873"/>
      <w:bookmarkStart w:id="795" w:name="_Toc365985163"/>
      <w:bookmarkStart w:id="796" w:name="_Toc340677054"/>
      <w:bookmarkStart w:id="797" w:name="_Toc497224209"/>
      <w:bookmarkStart w:id="798" w:name="_Toc339020217"/>
      <w:bookmarkStart w:id="799" w:name="_Toc330459969"/>
      <w:bookmarkStart w:id="800" w:name="_Toc339441071"/>
      <w:bookmarkStart w:id="801" w:name="_Toc332270330"/>
      <w:bookmarkStart w:id="802" w:name="_Toc349127610"/>
      <w:bookmarkStart w:id="803" w:name="_Toc340507426"/>
      <w:bookmarkStart w:id="804" w:name="_Toc374454584"/>
      <w:bookmarkStart w:id="805" w:name="_Toc365967057"/>
      <w:bookmarkStart w:id="806" w:name="_Toc332206692"/>
      <w:bookmarkStart w:id="807" w:name="_Toc503785411"/>
      <w:bookmarkStart w:id="808" w:name="_Toc333238617"/>
      <w:bookmarkStart w:id="809" w:name="_Toc339019999"/>
      <w:bookmarkStart w:id="810" w:name="_Toc339362284"/>
      <w:bookmarkStart w:id="811" w:name="_Toc345513851"/>
      <w:bookmarkStart w:id="812" w:name="_Toc2055"/>
      <w:bookmarkStart w:id="813" w:name="_Toc333237661"/>
      <w:bookmarkStart w:id="814" w:name="_Toc350756434"/>
      <w:bookmarkStart w:id="815" w:name="_Toc331684022"/>
      <w:bookmarkStart w:id="816" w:name="_Toc333935671"/>
      <w:bookmarkStart w:id="817" w:name="_Toc341348322"/>
      <w:bookmarkStart w:id="818" w:name="_Toc339020079"/>
      <w:bookmarkStart w:id="819" w:name="_Toc336681919"/>
      <w:bookmarkStart w:id="820" w:name="_Toc333935330"/>
      <w:bookmarkStart w:id="821" w:name="_Toc336681564"/>
      <w:bookmarkStart w:id="822" w:name="_Toc349143573"/>
      <w:bookmarkStart w:id="823" w:name="_Toc366072512"/>
      <w:bookmarkStart w:id="824" w:name="_Toc331512882"/>
      <w:r>
        <w:rPr>
          <w:rFonts w:hint="eastAsia"/>
          <w:color w:val="000000" w:themeColor="text1"/>
          <w:highlight w:val="none"/>
        </w:rPr>
        <w:t>投标报价与投标货币</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highlight w:val="none"/>
        </w:rPr>
      </w:pPr>
      <w:bookmarkStart w:id="825" w:name="_Toc336681565"/>
      <w:bookmarkStart w:id="826" w:name="_Toc366072513"/>
      <w:bookmarkStart w:id="827" w:name="_Toc342296745"/>
      <w:bookmarkStart w:id="828" w:name="_Toc345513852"/>
      <w:bookmarkStart w:id="829" w:name="_Toc349127611"/>
      <w:bookmarkStart w:id="830" w:name="_Toc330459970"/>
      <w:bookmarkStart w:id="831" w:name="_Toc333935331"/>
      <w:bookmarkStart w:id="832" w:name="_Toc332206693"/>
      <w:bookmarkStart w:id="833" w:name="_Toc337632343"/>
      <w:bookmarkStart w:id="834" w:name="_Toc350438734"/>
      <w:bookmarkStart w:id="835" w:name="_Toc333237773"/>
      <w:bookmarkStart w:id="836" w:name="_Toc336681920"/>
      <w:bookmarkStart w:id="837" w:name="_Toc332270331"/>
      <w:bookmarkStart w:id="838" w:name="_Toc333238618"/>
      <w:bookmarkStart w:id="839" w:name="_Toc365967058"/>
      <w:bookmarkStart w:id="840" w:name="_Toc349143574"/>
      <w:bookmarkStart w:id="841" w:name="_Toc339020218"/>
      <w:bookmarkStart w:id="842" w:name="_Toc339362285"/>
      <w:bookmarkStart w:id="843" w:name="_Toc331684023"/>
      <w:bookmarkStart w:id="844" w:name="_Toc497224212"/>
      <w:bookmarkStart w:id="845" w:name="_Toc350756435"/>
      <w:bookmarkStart w:id="846" w:name="_Toc340507427"/>
      <w:bookmarkStart w:id="847" w:name="_Toc342060359"/>
      <w:bookmarkStart w:id="848" w:name="_Toc340677055"/>
      <w:bookmarkStart w:id="849" w:name="_Toc9017"/>
      <w:bookmarkStart w:id="850" w:name="_Toc374454585"/>
      <w:bookmarkStart w:id="851" w:name="_Toc503785414"/>
      <w:bookmarkStart w:id="852" w:name="_Toc340672854"/>
      <w:bookmarkStart w:id="853" w:name="_Toc339020080"/>
      <w:bookmarkStart w:id="854" w:name="_Toc365985164"/>
      <w:bookmarkStart w:id="855" w:name="_Toc339441072"/>
      <w:bookmarkStart w:id="856" w:name="_Toc339020000"/>
      <w:bookmarkStart w:id="857" w:name="_Toc333237662"/>
      <w:bookmarkStart w:id="858" w:name="_Toc331512883"/>
      <w:bookmarkStart w:id="859" w:name="_Toc341348323"/>
      <w:bookmarkStart w:id="860" w:name="_Toc333935672"/>
      <w:bookmarkStart w:id="861" w:name="_Toc339019874"/>
      <w:r>
        <w:rPr>
          <w:rFonts w:hint="eastAsia"/>
          <w:color w:val="000000" w:themeColor="text1"/>
          <w:highlight w:val="none"/>
        </w:rPr>
        <w:t>投标保证金</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25"/>
        </w:numPr>
        <w:tabs>
          <w:tab w:val="left" w:pos="720"/>
        </w:tabs>
        <w:spacing w:before="240" w:after="120"/>
        <w:ind w:left="2432" w:hanging="2432"/>
        <w:rPr>
          <w:color w:val="000000" w:themeColor="text1"/>
          <w:highlight w:val="none"/>
        </w:rPr>
      </w:pPr>
      <w:bookmarkStart w:id="862" w:name="_Toc331684024"/>
      <w:bookmarkStart w:id="863" w:name="_Toc331512884"/>
      <w:bookmarkStart w:id="864" w:name="_Toc333238619"/>
      <w:bookmarkStart w:id="865" w:name="_Toc345513853"/>
      <w:bookmarkStart w:id="866" w:name="_Toc339020219"/>
      <w:bookmarkStart w:id="867" w:name="_Toc340507428"/>
      <w:bookmarkStart w:id="868" w:name="_Toc365985165"/>
      <w:bookmarkStart w:id="869" w:name="_Toc330459971"/>
      <w:bookmarkStart w:id="870" w:name="_Toc366072514"/>
      <w:bookmarkStart w:id="871" w:name="_Toc339362286"/>
      <w:bookmarkStart w:id="872" w:name="_Toc503785415"/>
      <w:bookmarkStart w:id="873" w:name="_Toc342296746"/>
      <w:bookmarkStart w:id="874" w:name="_Toc341348324"/>
      <w:bookmarkStart w:id="875" w:name="_Toc349143575"/>
      <w:bookmarkStart w:id="876" w:name="_Toc333237774"/>
      <w:bookmarkStart w:id="877" w:name="_Toc339441073"/>
      <w:bookmarkStart w:id="878" w:name="_Toc333935673"/>
      <w:bookmarkStart w:id="879" w:name="_Toc365967059"/>
      <w:bookmarkStart w:id="880" w:name="_Toc333935332"/>
      <w:bookmarkStart w:id="881" w:name="_Toc333237663"/>
      <w:bookmarkStart w:id="882" w:name="_Toc349127612"/>
      <w:bookmarkStart w:id="883" w:name="_Toc336681566"/>
      <w:bookmarkStart w:id="884" w:name="_Toc340672855"/>
      <w:bookmarkStart w:id="885" w:name="_Toc350756436"/>
      <w:bookmarkStart w:id="886" w:name="_Toc332270332"/>
      <w:bookmarkStart w:id="887" w:name="_Toc340677056"/>
      <w:bookmarkStart w:id="888" w:name="_Toc350438735"/>
      <w:bookmarkStart w:id="889" w:name="_Toc336681921"/>
      <w:bookmarkStart w:id="890" w:name="_Toc339020081"/>
      <w:bookmarkStart w:id="891" w:name="_Toc497224213"/>
      <w:bookmarkStart w:id="892" w:name="_Toc332206694"/>
      <w:bookmarkStart w:id="893" w:name="_Toc342060360"/>
      <w:bookmarkStart w:id="894" w:name="_Toc339019875"/>
      <w:bookmarkStart w:id="895" w:name="_Toc337632344"/>
      <w:bookmarkStart w:id="896" w:name="_Toc339020001"/>
      <w:bookmarkStart w:id="897" w:name="_Toc374454586"/>
      <w:bookmarkStart w:id="898" w:name="_Toc25811"/>
      <w:r>
        <w:rPr>
          <w:rFonts w:hint="eastAsia"/>
          <w:color w:val="000000" w:themeColor="text1"/>
          <w:highlight w:val="none"/>
        </w:rPr>
        <w:t>投标有效期</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rPr>
      </w:pPr>
      <w:bookmarkStart w:id="899" w:name="_Toc374454587"/>
      <w:bookmarkStart w:id="900" w:name="_Toc333238620"/>
      <w:bookmarkStart w:id="901" w:name="_Toc333237775"/>
      <w:bookmarkStart w:id="902" w:name="_Toc111534389"/>
      <w:bookmarkStart w:id="903" w:name="_Toc365967060"/>
      <w:bookmarkStart w:id="904" w:name="_Toc497224214"/>
      <w:bookmarkStart w:id="905" w:name="_Toc345513854"/>
      <w:bookmarkStart w:id="906" w:name="_Toc333935333"/>
      <w:bookmarkStart w:id="907" w:name="_Toc350438736"/>
      <w:bookmarkStart w:id="908" w:name="_Toc339019876"/>
      <w:bookmarkStart w:id="909" w:name="_Toc339441074"/>
      <w:bookmarkStart w:id="910" w:name="_Toc337632345"/>
      <w:bookmarkStart w:id="911" w:name="_Toc342060361"/>
      <w:bookmarkStart w:id="912" w:name="_Toc331512885"/>
      <w:bookmarkStart w:id="913" w:name="_Toc349143576"/>
      <w:bookmarkStart w:id="914" w:name="_Toc340507429"/>
      <w:bookmarkStart w:id="915" w:name="_Toc339362287"/>
      <w:bookmarkStart w:id="916" w:name="_Toc331684025"/>
      <w:bookmarkStart w:id="917" w:name="_Toc340677057"/>
      <w:bookmarkStart w:id="918" w:name="_Toc341348325"/>
      <w:bookmarkStart w:id="919" w:name="_Toc336681567"/>
      <w:bookmarkStart w:id="920" w:name="_Toc342296747"/>
      <w:bookmarkStart w:id="921" w:name="_Toc330459972"/>
      <w:bookmarkStart w:id="922" w:name="_Toc340672856"/>
      <w:bookmarkStart w:id="923" w:name="_Toc333237664"/>
      <w:bookmarkStart w:id="924" w:name="_Toc365985166"/>
      <w:bookmarkStart w:id="925" w:name="_Toc366072515"/>
      <w:bookmarkStart w:id="926" w:name="_Toc332270333"/>
      <w:bookmarkStart w:id="927" w:name="_Toc350756437"/>
      <w:bookmarkStart w:id="928" w:name="_Toc333935674"/>
      <w:bookmarkStart w:id="929" w:name="_Toc339020220"/>
      <w:bookmarkStart w:id="930" w:name="_Toc339020002"/>
      <w:bookmarkStart w:id="931" w:name="_Toc349127613"/>
      <w:bookmarkStart w:id="932" w:name="_Toc336681922"/>
      <w:bookmarkStart w:id="933" w:name="_Toc503785416"/>
      <w:bookmarkStart w:id="934" w:name="_Toc332206695"/>
      <w:bookmarkStart w:id="935" w:name="_Toc19232"/>
      <w:bookmarkStart w:id="936" w:name="_Toc339020082"/>
      <w:r>
        <w:rPr>
          <w:rFonts w:hint="eastAsia"/>
          <w:color w:val="000000" w:themeColor="text1"/>
          <w:highlight w:val="none"/>
        </w:rPr>
        <w:t>投标文件的签署及规定</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1"/>
          <w:numId w:val="0"/>
        </w:numPr>
        <w:rPr>
          <w:color w:val="000000" w:themeColor="text1"/>
          <w:sz w:val="24"/>
          <w:highlight w:val="none"/>
        </w:rPr>
      </w:pPr>
      <w:bookmarkStart w:id="937" w:name="_Toc340507430"/>
      <w:bookmarkStart w:id="938" w:name="_Toc331512886"/>
      <w:bookmarkStart w:id="939" w:name="_Toc336681568"/>
      <w:bookmarkStart w:id="940" w:name="_Toc333237776"/>
      <w:bookmarkStart w:id="941" w:name="_Toc345513855"/>
      <w:bookmarkStart w:id="942" w:name="_Toc374454588"/>
      <w:bookmarkStart w:id="943" w:name="_Toc350756438"/>
      <w:bookmarkStart w:id="944" w:name="_Toc342296748"/>
      <w:bookmarkStart w:id="945" w:name="_Toc366072516"/>
      <w:bookmarkStart w:id="946" w:name="_Toc339020003"/>
      <w:bookmarkStart w:id="947" w:name="_Toc336681923"/>
      <w:bookmarkStart w:id="948" w:name="_Toc339362288"/>
      <w:bookmarkStart w:id="949" w:name="_Toc340677058"/>
      <w:bookmarkStart w:id="950" w:name="_Toc333935334"/>
      <w:bookmarkStart w:id="951" w:name="_Toc330459973"/>
      <w:bookmarkStart w:id="952" w:name="_Toc332206696"/>
      <w:bookmarkStart w:id="953" w:name="_Toc497224215"/>
      <w:bookmarkStart w:id="954" w:name="_Toc333935675"/>
      <w:bookmarkStart w:id="955" w:name="_Toc342060362"/>
      <w:bookmarkStart w:id="956" w:name="_Toc337632346"/>
      <w:bookmarkStart w:id="957" w:name="_Toc333238621"/>
      <w:bookmarkStart w:id="958" w:name="_Toc365985167"/>
      <w:bookmarkStart w:id="959" w:name="_Toc339441075"/>
      <w:bookmarkStart w:id="960" w:name="_Toc111534390"/>
      <w:bookmarkStart w:id="961" w:name="_Toc340672857"/>
      <w:bookmarkStart w:id="962" w:name="_Toc349127614"/>
      <w:bookmarkStart w:id="963" w:name="_Toc331684026"/>
      <w:bookmarkStart w:id="964" w:name="_Toc503785417"/>
      <w:bookmarkStart w:id="965" w:name="_Toc339019877"/>
      <w:bookmarkStart w:id="966" w:name="_Toc332270334"/>
      <w:bookmarkStart w:id="967" w:name="_Toc341348326"/>
      <w:bookmarkStart w:id="968" w:name="_Toc333237665"/>
      <w:bookmarkStart w:id="969" w:name="_Toc365967061"/>
      <w:bookmarkStart w:id="970" w:name="_Toc349143577"/>
      <w:bookmarkStart w:id="971" w:name="_Toc350438737"/>
      <w:bookmarkStart w:id="972" w:name="_Toc339020221"/>
      <w:bookmarkStart w:id="973" w:name="_Toc339020083"/>
      <w:r>
        <w:rPr>
          <w:color w:val="000000" w:themeColor="text1"/>
          <w:sz w:val="24"/>
          <w:highlight w:val="none"/>
        </w:rPr>
        <w:br w:type="page"/>
      </w:r>
      <w:bookmarkStart w:id="974" w:name="_Toc10454"/>
      <w:r>
        <w:rPr>
          <w:rFonts w:hint="eastAsia"/>
          <w:color w:val="000000" w:themeColor="text1"/>
          <w:sz w:val="24"/>
          <w:highlight w:val="none"/>
        </w:rPr>
        <w:t>Ｄ投标文件的递交</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975" w:name="_Toc339020004"/>
      <w:bookmarkStart w:id="976" w:name="_Toc339362289"/>
      <w:bookmarkStart w:id="977" w:name="_Toc330459974"/>
      <w:bookmarkStart w:id="978" w:name="_Toc333935676"/>
      <w:bookmarkStart w:id="979" w:name="_Toc349127615"/>
      <w:bookmarkStart w:id="980" w:name="_Toc503785418"/>
      <w:bookmarkStart w:id="981" w:name="_Toc340677059"/>
      <w:bookmarkStart w:id="982" w:name="_Toc365967062"/>
      <w:bookmarkStart w:id="983" w:name="_Toc331684027"/>
      <w:bookmarkStart w:id="984" w:name="_Toc342296749"/>
      <w:bookmarkStart w:id="985" w:name="_Toc333935335"/>
      <w:bookmarkStart w:id="986" w:name="_Toc374454589"/>
      <w:bookmarkStart w:id="987" w:name="_Toc350756439"/>
      <w:bookmarkStart w:id="988" w:name="_Toc341348327"/>
      <w:bookmarkStart w:id="989" w:name="_Toc339020222"/>
      <w:bookmarkStart w:id="990" w:name="_Toc497224216"/>
      <w:bookmarkStart w:id="991" w:name="_Toc332206697"/>
      <w:bookmarkStart w:id="992" w:name="_Toc331512887"/>
      <w:bookmarkStart w:id="993" w:name="_Toc366072517"/>
      <w:bookmarkStart w:id="994" w:name="_Toc333237777"/>
      <w:bookmarkStart w:id="995" w:name="_Toc111534391"/>
      <w:bookmarkStart w:id="996" w:name="_Toc340672858"/>
      <w:bookmarkStart w:id="997" w:name="_Toc339019878"/>
      <w:bookmarkStart w:id="998" w:name="_Toc365985168"/>
      <w:bookmarkStart w:id="999" w:name="_Toc339441076"/>
      <w:bookmarkStart w:id="1000" w:name="_Toc345513856"/>
      <w:bookmarkStart w:id="1001" w:name="_Toc350438738"/>
      <w:bookmarkStart w:id="1002" w:name="_Toc336681569"/>
      <w:bookmarkStart w:id="1003" w:name="_Toc333237666"/>
      <w:bookmarkStart w:id="1004" w:name="_Toc337632347"/>
      <w:bookmarkStart w:id="1005" w:name="_Toc342060363"/>
      <w:bookmarkStart w:id="1006" w:name="_Toc340507431"/>
      <w:bookmarkStart w:id="1007" w:name="_Toc339020084"/>
      <w:bookmarkStart w:id="1008" w:name="_Toc333238622"/>
      <w:bookmarkStart w:id="1009" w:name="_Toc336681924"/>
      <w:bookmarkStart w:id="1010" w:name="_Toc349143578"/>
      <w:bookmarkStart w:id="1011" w:name="_Toc332270335"/>
      <w:r>
        <w:rPr>
          <w:rFonts w:hint="eastAsia"/>
          <w:color w:val="000000" w:themeColor="text1"/>
          <w:highlight w:val="none"/>
        </w:rPr>
        <w:t xml:space="preserve">     </w:t>
      </w:r>
      <w:bookmarkStart w:id="1012" w:name="_Toc26639"/>
      <w:r>
        <w:rPr>
          <w:rFonts w:hint="eastAsia"/>
          <w:color w:val="000000" w:themeColor="text1"/>
          <w:highlight w:val="none"/>
        </w:rPr>
        <w:t>投标文件的密封和标记</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1013" w:name="_Toc332206698"/>
      <w:bookmarkStart w:id="1014" w:name="_Toc333237667"/>
      <w:bookmarkStart w:id="1015" w:name="_Toc331512888"/>
      <w:bookmarkStart w:id="1016" w:name="_Toc339019879"/>
      <w:bookmarkStart w:id="1017" w:name="_Toc336681570"/>
      <w:bookmarkStart w:id="1018" w:name="_Toc333238623"/>
      <w:bookmarkStart w:id="1019" w:name="_Toc366072518"/>
      <w:bookmarkStart w:id="1020" w:name="_Toc350438739"/>
      <w:bookmarkStart w:id="1021" w:name="_Toc340677060"/>
      <w:bookmarkStart w:id="1022" w:name="_Toc111534392"/>
      <w:bookmarkStart w:id="1023" w:name="_Toc503785419"/>
      <w:bookmarkStart w:id="1024" w:name="_Toc336681925"/>
      <w:bookmarkStart w:id="1025" w:name="_Toc333935677"/>
      <w:bookmarkStart w:id="1026" w:name="_Toc339441077"/>
      <w:bookmarkStart w:id="1027" w:name="_Toc339362290"/>
      <w:bookmarkStart w:id="1028" w:name="_Toc339020005"/>
      <w:bookmarkStart w:id="1029" w:name="_Toc337632348"/>
      <w:bookmarkStart w:id="1030" w:name="_Toc340672859"/>
      <w:bookmarkStart w:id="1031" w:name="_Toc333935336"/>
      <w:bookmarkStart w:id="1032" w:name="_Toc349127616"/>
      <w:bookmarkStart w:id="1033" w:name="_Toc342296750"/>
      <w:bookmarkStart w:id="1034" w:name="_Toc333237778"/>
      <w:bookmarkStart w:id="1035" w:name="_Toc365967063"/>
      <w:bookmarkStart w:id="1036" w:name="_Toc374454590"/>
      <w:bookmarkStart w:id="1037" w:name="_Toc340507432"/>
      <w:bookmarkStart w:id="1038" w:name="_Toc332270336"/>
      <w:bookmarkStart w:id="1039" w:name="_Toc365985169"/>
      <w:bookmarkStart w:id="1040" w:name="_Toc331684028"/>
      <w:bookmarkStart w:id="1041" w:name="_Toc345513857"/>
      <w:bookmarkStart w:id="1042" w:name="_Toc330459975"/>
      <w:bookmarkStart w:id="1043" w:name="_Toc497224217"/>
      <w:bookmarkStart w:id="1044" w:name="_Toc339020223"/>
      <w:bookmarkStart w:id="1045" w:name="_Toc349143579"/>
      <w:bookmarkStart w:id="1046" w:name="_Toc339020085"/>
      <w:bookmarkStart w:id="1047" w:name="_Toc341348328"/>
      <w:bookmarkStart w:id="1048" w:name="_Toc350756440"/>
      <w:bookmarkStart w:id="1049" w:name="_Toc17096"/>
      <w:bookmarkStart w:id="1050" w:name="_Toc342060364"/>
      <w:r>
        <w:rPr>
          <w:rFonts w:hint="eastAsia"/>
          <w:color w:val="000000" w:themeColor="text1"/>
          <w:highlight w:val="none"/>
        </w:rPr>
        <w:t>递交投标文件的时间、地点及截止时间</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1051" w:name="_Toc339020224"/>
      <w:bookmarkStart w:id="1052" w:name="_Toc366072519"/>
      <w:bookmarkStart w:id="1053" w:name="_Toc350756441"/>
      <w:bookmarkStart w:id="1054" w:name="_Toc331512889"/>
      <w:bookmarkStart w:id="1055" w:name="_Toc336681926"/>
      <w:bookmarkStart w:id="1056" w:name="_Toc342060365"/>
      <w:bookmarkStart w:id="1057" w:name="_Toc365967064"/>
      <w:bookmarkStart w:id="1058" w:name="_Toc349143580"/>
      <w:bookmarkStart w:id="1059" w:name="_Toc339020006"/>
      <w:bookmarkStart w:id="1060" w:name="_Toc365985170"/>
      <w:bookmarkStart w:id="1061" w:name="_Toc333238624"/>
      <w:bookmarkStart w:id="1062" w:name="_Toc341348329"/>
      <w:bookmarkStart w:id="1063" w:name="_Toc333935678"/>
      <w:bookmarkStart w:id="1064" w:name="_Toc342296751"/>
      <w:bookmarkStart w:id="1065" w:name="_Toc340677061"/>
      <w:bookmarkStart w:id="1066" w:name="_Toc336681571"/>
      <w:bookmarkStart w:id="1067" w:name="_Toc337632349"/>
      <w:bookmarkStart w:id="1068" w:name="_Toc340672860"/>
      <w:bookmarkStart w:id="1069" w:name="_Toc374454591"/>
      <w:bookmarkStart w:id="1070" w:name="_Toc349127617"/>
      <w:bookmarkStart w:id="1071" w:name="_Toc333237668"/>
      <w:bookmarkStart w:id="1072" w:name="_Toc503785420"/>
      <w:bookmarkStart w:id="1073" w:name="_Toc333935337"/>
      <w:bookmarkStart w:id="1074" w:name="_Toc339020086"/>
      <w:bookmarkStart w:id="1075" w:name="_Toc340507433"/>
      <w:bookmarkStart w:id="1076" w:name="_Toc497224218"/>
      <w:bookmarkStart w:id="1077" w:name="_Toc339441078"/>
      <w:bookmarkStart w:id="1078" w:name="_Toc330459976"/>
      <w:bookmarkStart w:id="1079" w:name="_Toc332206699"/>
      <w:bookmarkStart w:id="1080" w:name="_Toc333237779"/>
      <w:bookmarkStart w:id="1081" w:name="_Toc339019880"/>
      <w:bookmarkStart w:id="1082" w:name="_Toc350438740"/>
      <w:bookmarkStart w:id="1083" w:name="_Toc331684029"/>
      <w:bookmarkStart w:id="1084" w:name="_Toc332270337"/>
      <w:bookmarkStart w:id="1085" w:name="_Toc339362291"/>
      <w:bookmarkStart w:id="1086" w:name="_Toc345513858"/>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highlight w:val="none"/>
        </w:rPr>
      </w:pPr>
      <w:bookmarkStart w:id="1087" w:name="_Toc17698"/>
      <w:r>
        <w:rPr>
          <w:rFonts w:hint="eastAsia"/>
          <w:color w:val="000000" w:themeColor="text1"/>
          <w:highlight w:val="none"/>
        </w:rPr>
        <w:t>迟交的投标文件</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highlight w:val="none"/>
        </w:rPr>
      </w:pPr>
      <w:bookmarkStart w:id="1088" w:name="_Toc497224219"/>
      <w:bookmarkStart w:id="1089" w:name="_Toc503785421"/>
      <w:bookmarkStart w:id="1090" w:name="_Toc336681572"/>
      <w:bookmarkStart w:id="1091" w:name="_Toc339441079"/>
      <w:bookmarkStart w:id="1092" w:name="_Toc332270338"/>
      <w:bookmarkStart w:id="1093" w:name="_Toc365985171"/>
      <w:bookmarkStart w:id="1094" w:name="_Toc339362292"/>
      <w:bookmarkStart w:id="1095" w:name="_Toc340507434"/>
      <w:bookmarkStart w:id="1096" w:name="_Toc333237780"/>
      <w:bookmarkStart w:id="1097" w:name="_Toc336681927"/>
      <w:bookmarkStart w:id="1098" w:name="_Toc339020007"/>
      <w:bookmarkStart w:id="1099" w:name="_Toc340672861"/>
      <w:bookmarkStart w:id="1100" w:name="_Toc339019881"/>
      <w:bookmarkStart w:id="1101" w:name="_Toc342296752"/>
      <w:bookmarkStart w:id="1102" w:name="_Toc341348330"/>
      <w:bookmarkStart w:id="1103" w:name="_Toc349127618"/>
      <w:bookmarkStart w:id="1104" w:name="_Toc333237669"/>
      <w:bookmarkStart w:id="1105" w:name="_Toc342060366"/>
      <w:bookmarkStart w:id="1106" w:name="_Toc339020087"/>
      <w:bookmarkStart w:id="1107" w:name="_Toc333935679"/>
      <w:bookmarkStart w:id="1108" w:name="_Toc374454592"/>
      <w:bookmarkStart w:id="1109" w:name="_Toc339020225"/>
      <w:bookmarkStart w:id="1110" w:name="_Toc333238625"/>
      <w:bookmarkStart w:id="1111" w:name="_Toc350438741"/>
      <w:bookmarkStart w:id="1112" w:name="_Toc13169"/>
      <w:bookmarkStart w:id="1113" w:name="_Toc366072520"/>
      <w:bookmarkStart w:id="1114" w:name="_Toc331684030"/>
      <w:bookmarkStart w:id="1115" w:name="_Toc332206700"/>
      <w:bookmarkStart w:id="1116" w:name="_Toc365967065"/>
      <w:bookmarkStart w:id="1117" w:name="_Toc331512890"/>
      <w:bookmarkStart w:id="1118" w:name="_Toc337632350"/>
      <w:bookmarkStart w:id="1119" w:name="_Toc340677062"/>
      <w:bookmarkStart w:id="1120" w:name="_Toc349143581"/>
      <w:bookmarkStart w:id="1121" w:name="_Toc345513859"/>
      <w:bookmarkStart w:id="1122" w:name="_Toc333935338"/>
      <w:bookmarkStart w:id="1123" w:name="_Toc330459977"/>
      <w:bookmarkStart w:id="1124" w:name="_Toc350756442"/>
      <w:r>
        <w:rPr>
          <w:rFonts w:hint="eastAsia"/>
          <w:color w:val="000000" w:themeColor="text1"/>
          <w:highlight w:val="none"/>
        </w:rPr>
        <w:t>投标文件的修改和撤</w:t>
      </w:r>
      <w:bookmarkEnd w:id="1088"/>
      <w:bookmarkEnd w:id="1089"/>
      <w:r>
        <w:rPr>
          <w:rFonts w:hint="eastAsia"/>
          <w:color w:val="000000" w:themeColor="text1"/>
          <w:highlight w:val="none"/>
        </w:rPr>
        <w:t>回</w:t>
      </w:r>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1"/>
          <w:numId w:val="0"/>
        </w:numPr>
        <w:rPr>
          <w:color w:val="000000" w:themeColor="text1"/>
          <w:sz w:val="24"/>
          <w:highlight w:val="none"/>
        </w:rPr>
      </w:pPr>
      <w:bookmarkStart w:id="1125" w:name="_Toc340672862"/>
      <w:bookmarkStart w:id="1126" w:name="_Toc374454593"/>
      <w:bookmarkStart w:id="1127" w:name="_Toc336681928"/>
      <w:bookmarkStart w:id="1128" w:name="_Toc330459978"/>
      <w:bookmarkStart w:id="1129" w:name="_Toc350438742"/>
      <w:bookmarkStart w:id="1130" w:name="_Toc339362293"/>
      <w:bookmarkStart w:id="1131" w:name="_Toc339441080"/>
      <w:bookmarkStart w:id="1132" w:name="_Toc340507435"/>
      <w:bookmarkStart w:id="1133" w:name="_Toc339019882"/>
      <w:bookmarkStart w:id="1134" w:name="_Toc333935680"/>
      <w:bookmarkStart w:id="1135" w:name="_Toc503785422"/>
      <w:bookmarkStart w:id="1136" w:name="_Toc366072521"/>
      <w:bookmarkStart w:id="1137" w:name="_Toc333237670"/>
      <w:bookmarkStart w:id="1138" w:name="_Toc339020008"/>
      <w:bookmarkStart w:id="1139" w:name="_Toc332270339"/>
      <w:bookmarkStart w:id="1140" w:name="_Toc336681573"/>
      <w:bookmarkStart w:id="1141" w:name="_Toc349127619"/>
      <w:bookmarkStart w:id="1142" w:name="_Toc340677063"/>
      <w:bookmarkStart w:id="1143" w:name="_Toc341348331"/>
      <w:bookmarkStart w:id="1144" w:name="_Toc497224220"/>
      <w:bookmarkStart w:id="1145" w:name="_Toc339020088"/>
      <w:bookmarkStart w:id="1146" w:name="_Toc349143582"/>
      <w:bookmarkStart w:id="1147" w:name="_Toc331684031"/>
      <w:bookmarkStart w:id="1148" w:name="_Toc365985172"/>
      <w:bookmarkStart w:id="1149" w:name="_Toc333237781"/>
      <w:bookmarkStart w:id="1150" w:name="_Toc337632351"/>
      <w:bookmarkStart w:id="1151" w:name="_Toc345513860"/>
      <w:bookmarkStart w:id="1152" w:name="_Toc333935339"/>
      <w:bookmarkStart w:id="1153" w:name="_Toc342060367"/>
      <w:bookmarkStart w:id="1154" w:name="_Toc332206701"/>
      <w:bookmarkStart w:id="1155" w:name="_Toc339020226"/>
      <w:bookmarkStart w:id="1156" w:name="_Toc333238626"/>
      <w:bookmarkStart w:id="1157" w:name="_Toc342296753"/>
      <w:bookmarkStart w:id="1158" w:name="_Toc365967066"/>
      <w:bookmarkStart w:id="1159" w:name="_Toc350756443"/>
      <w:bookmarkStart w:id="1160" w:name="_Toc331512891"/>
      <w:r>
        <w:rPr>
          <w:color w:val="000000" w:themeColor="text1"/>
          <w:sz w:val="24"/>
          <w:highlight w:val="none"/>
        </w:rPr>
        <w:br w:type="page"/>
      </w:r>
      <w:bookmarkStart w:id="1161" w:name="_Toc16797"/>
      <w:r>
        <w:rPr>
          <w:rFonts w:hint="eastAsia"/>
          <w:color w:val="000000" w:themeColor="text1"/>
          <w:sz w:val="24"/>
          <w:highlight w:val="none"/>
        </w:rPr>
        <w:t>Ｅ开标和评标</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pPr>
        <w:pStyle w:val="6"/>
        <w:numPr>
          <w:ilvl w:val="4"/>
          <w:numId w:val="25"/>
        </w:numPr>
        <w:tabs>
          <w:tab w:val="left" w:pos="720"/>
        </w:tabs>
        <w:spacing w:before="240" w:after="120"/>
        <w:ind w:left="2432" w:hanging="2432"/>
        <w:rPr>
          <w:color w:val="000000" w:themeColor="text1"/>
          <w:highlight w:val="none"/>
        </w:rPr>
      </w:pPr>
      <w:bookmarkStart w:id="1162" w:name="_Toc350756444"/>
      <w:bookmarkStart w:id="1163" w:name="_Toc341348332"/>
      <w:bookmarkStart w:id="1164" w:name="_Toc365985173"/>
      <w:bookmarkStart w:id="1165" w:name="_Toc350438743"/>
      <w:bookmarkStart w:id="1166" w:name="_Toc330459979"/>
      <w:bookmarkStart w:id="1167" w:name="_Toc349127620"/>
      <w:bookmarkStart w:id="1168" w:name="_Toc333237782"/>
      <w:bookmarkStart w:id="1169" w:name="_Toc339020227"/>
      <w:bookmarkStart w:id="1170" w:name="_Toc339441081"/>
      <w:bookmarkStart w:id="1171" w:name="_Toc333935681"/>
      <w:bookmarkStart w:id="1172" w:name="_Toc366072522"/>
      <w:bookmarkStart w:id="1173" w:name="_Toc345513861"/>
      <w:bookmarkStart w:id="1174" w:name="_Toc339019883"/>
      <w:bookmarkStart w:id="1175" w:name="_Toc333237671"/>
      <w:bookmarkStart w:id="1176" w:name="_Toc8250"/>
      <w:bookmarkStart w:id="1177" w:name="_Toc365967067"/>
      <w:bookmarkStart w:id="1178" w:name="_Toc336681574"/>
      <w:bookmarkStart w:id="1179" w:name="_Toc497224221"/>
      <w:bookmarkStart w:id="1180" w:name="_Toc340507436"/>
      <w:bookmarkStart w:id="1181" w:name="_Toc331684032"/>
      <w:bookmarkStart w:id="1182" w:name="_Toc332270340"/>
      <w:bookmarkStart w:id="1183" w:name="_Toc333238627"/>
      <w:bookmarkStart w:id="1184" w:name="_Toc503785423"/>
      <w:bookmarkStart w:id="1185" w:name="_Toc340672863"/>
      <w:bookmarkStart w:id="1186" w:name="_Toc340677064"/>
      <w:bookmarkStart w:id="1187" w:name="_Toc349143583"/>
      <w:bookmarkStart w:id="1188" w:name="_Toc342296754"/>
      <w:bookmarkStart w:id="1189" w:name="_Toc339362294"/>
      <w:bookmarkStart w:id="1190" w:name="_Toc374454594"/>
      <w:bookmarkStart w:id="1191" w:name="_Toc333935340"/>
      <w:bookmarkStart w:id="1192" w:name="_Toc331512892"/>
      <w:bookmarkStart w:id="1193" w:name="_Toc332206702"/>
      <w:bookmarkStart w:id="1194" w:name="_Toc336681929"/>
      <w:bookmarkStart w:id="1195" w:name="_Toc339020089"/>
      <w:bookmarkStart w:id="1196" w:name="_Toc342060368"/>
      <w:bookmarkStart w:id="1197" w:name="_Toc337632352"/>
      <w:bookmarkStart w:id="1198" w:name="_Toc339020009"/>
      <w:r>
        <w:rPr>
          <w:rFonts w:hint="eastAsia"/>
          <w:color w:val="000000" w:themeColor="text1"/>
          <w:highlight w:val="none"/>
        </w:rPr>
        <w:t>开标</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highlight w:val="none"/>
        </w:rPr>
      </w:pPr>
      <w:bookmarkStart w:id="1199" w:name="_Toc340677065"/>
      <w:bookmarkStart w:id="1200" w:name="_Toc497224222"/>
      <w:bookmarkStart w:id="1201" w:name="_Toc333237672"/>
      <w:bookmarkStart w:id="1202" w:name="_Toc333935341"/>
      <w:bookmarkStart w:id="1203" w:name="_Toc341348333"/>
      <w:bookmarkStart w:id="1204" w:name="_Toc342296755"/>
      <w:bookmarkStart w:id="1205" w:name="_Toc339020228"/>
      <w:bookmarkStart w:id="1206" w:name="_Toc503785424"/>
      <w:bookmarkStart w:id="1207" w:name="_Toc340672864"/>
      <w:bookmarkStart w:id="1208" w:name="_Toc350438744"/>
      <w:bookmarkStart w:id="1209" w:name="_Toc345513862"/>
      <w:bookmarkStart w:id="1210" w:name="_Toc342060369"/>
      <w:bookmarkStart w:id="1211" w:name="_Toc333238628"/>
      <w:bookmarkStart w:id="1212" w:name="_Toc333237783"/>
      <w:bookmarkStart w:id="1213" w:name="_Toc374454595"/>
      <w:bookmarkStart w:id="1214" w:name="_Toc339362295"/>
      <w:bookmarkStart w:id="1215" w:name="_Toc350756445"/>
      <w:bookmarkStart w:id="1216" w:name="_Toc339020090"/>
      <w:bookmarkStart w:id="1217" w:name="_Toc349143584"/>
      <w:bookmarkStart w:id="1218" w:name="_Toc330459980"/>
      <w:bookmarkStart w:id="1219" w:name="_Toc331512893"/>
      <w:bookmarkStart w:id="1220" w:name="_Toc339019884"/>
      <w:bookmarkStart w:id="1221" w:name="_Toc366072523"/>
      <w:bookmarkStart w:id="1222" w:name="_Toc339020010"/>
      <w:bookmarkStart w:id="1223" w:name="_Toc27570"/>
      <w:bookmarkStart w:id="1224" w:name="_Toc340507437"/>
      <w:bookmarkStart w:id="1225" w:name="_Toc333935682"/>
      <w:bookmarkStart w:id="1226" w:name="_Toc365985174"/>
      <w:bookmarkStart w:id="1227" w:name="_Toc365967068"/>
      <w:bookmarkStart w:id="1228" w:name="_Toc332206703"/>
      <w:bookmarkStart w:id="1229" w:name="_Toc332270341"/>
      <w:bookmarkStart w:id="1230" w:name="_Toc339441082"/>
      <w:bookmarkStart w:id="1231" w:name="_Toc337632353"/>
      <w:bookmarkStart w:id="1232" w:name="_Toc331684033"/>
      <w:bookmarkStart w:id="1233" w:name="_Toc349127621"/>
      <w:bookmarkStart w:id="1234" w:name="_Toc336681575"/>
      <w:bookmarkStart w:id="1235" w:name="_Toc336681930"/>
      <w:r>
        <w:rPr>
          <w:rFonts w:hint="eastAsia"/>
          <w:color w:val="000000" w:themeColor="text1"/>
          <w:highlight w:val="none"/>
        </w:rPr>
        <w:t>评标委员会</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5"/>
        </w:numPr>
        <w:tabs>
          <w:tab w:val="left" w:pos="720"/>
        </w:tabs>
        <w:spacing w:before="240" w:after="120"/>
        <w:ind w:left="2432" w:hanging="2432"/>
        <w:rPr>
          <w:color w:val="000000" w:themeColor="text1"/>
          <w:highlight w:val="none"/>
        </w:rPr>
      </w:pPr>
      <w:bookmarkStart w:id="1236" w:name="_Toc336681576"/>
      <w:bookmarkStart w:id="1237" w:name="_Toc339362296"/>
      <w:bookmarkStart w:id="1238" w:name="_Toc340507438"/>
      <w:bookmarkStart w:id="1239" w:name="_Toc333237673"/>
      <w:bookmarkStart w:id="1240" w:name="_Toc342060370"/>
      <w:bookmarkStart w:id="1241" w:name="_Toc337632354"/>
      <w:bookmarkStart w:id="1242" w:name="_Toc374454596"/>
      <w:bookmarkStart w:id="1243" w:name="_Toc331512894"/>
      <w:bookmarkStart w:id="1244" w:name="_Toc332206704"/>
      <w:bookmarkStart w:id="1245" w:name="_Toc339020091"/>
      <w:bookmarkStart w:id="1246" w:name="_Toc365985175"/>
      <w:bookmarkStart w:id="1247" w:name="_Toc336681931"/>
      <w:bookmarkStart w:id="1248" w:name="_Toc365967069"/>
      <w:bookmarkStart w:id="1249" w:name="_Toc333237784"/>
      <w:bookmarkStart w:id="1250" w:name="_Toc503785425"/>
      <w:bookmarkStart w:id="1251" w:name="_Toc349127622"/>
      <w:bookmarkStart w:id="1252" w:name="_Toc333935683"/>
      <w:bookmarkStart w:id="1253" w:name="_Toc333935342"/>
      <w:bookmarkStart w:id="1254" w:name="_Toc349143585"/>
      <w:bookmarkStart w:id="1255" w:name="_Toc345513863"/>
      <w:bookmarkStart w:id="1256" w:name="_Toc340677066"/>
      <w:bookmarkStart w:id="1257" w:name="_Toc2900"/>
      <w:bookmarkStart w:id="1258" w:name="_Toc339020229"/>
      <w:bookmarkStart w:id="1259" w:name="_Toc339019885"/>
      <w:bookmarkStart w:id="1260" w:name="_Toc340672865"/>
      <w:bookmarkStart w:id="1261" w:name="_Toc350756446"/>
      <w:bookmarkStart w:id="1262" w:name="_Toc497224223"/>
      <w:bookmarkStart w:id="1263" w:name="_Toc339441083"/>
      <w:bookmarkStart w:id="1264" w:name="_Toc366072524"/>
      <w:bookmarkStart w:id="1265" w:name="_Toc332270342"/>
      <w:bookmarkStart w:id="1266" w:name="_Toc331684034"/>
      <w:bookmarkStart w:id="1267" w:name="_Toc350438745"/>
      <w:bookmarkStart w:id="1268" w:name="_Toc341348334"/>
      <w:bookmarkStart w:id="1269" w:name="_Toc339020011"/>
      <w:bookmarkStart w:id="1270" w:name="_Toc342296756"/>
      <w:bookmarkStart w:id="1271" w:name="_Toc330459981"/>
      <w:bookmarkStart w:id="1272" w:name="_Toc333238629"/>
      <w:r>
        <w:rPr>
          <w:rFonts w:hint="eastAsia"/>
          <w:color w:val="000000" w:themeColor="text1"/>
          <w:highlight w:val="none"/>
        </w:rPr>
        <w:t>对投标文件的初审和响应性的确定</w:t>
      </w:r>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25"/>
        </w:numPr>
        <w:tabs>
          <w:tab w:val="left" w:pos="720"/>
        </w:tabs>
        <w:spacing w:before="240" w:after="120"/>
        <w:ind w:left="2432" w:hanging="2432"/>
        <w:rPr>
          <w:color w:val="000000" w:themeColor="text1"/>
          <w:highlight w:val="none"/>
        </w:rPr>
      </w:pPr>
      <w:bookmarkStart w:id="1273" w:name="_Toc345513864"/>
      <w:bookmarkStart w:id="1274" w:name="_Toc349143586"/>
      <w:bookmarkStart w:id="1275" w:name="_Toc333935343"/>
      <w:bookmarkStart w:id="1276" w:name="_Toc339020092"/>
      <w:bookmarkStart w:id="1277" w:name="_Toc340507439"/>
      <w:bookmarkStart w:id="1278" w:name="_Toc337632355"/>
      <w:bookmarkStart w:id="1279" w:name="_Toc350756447"/>
      <w:bookmarkStart w:id="1280" w:name="_Toc336681932"/>
      <w:bookmarkStart w:id="1281" w:name="_Toc332270343"/>
      <w:bookmarkStart w:id="1282" w:name="_Toc350438746"/>
      <w:bookmarkStart w:id="1283" w:name="_Toc332206705"/>
      <w:bookmarkStart w:id="1284" w:name="_Toc366072525"/>
      <w:bookmarkStart w:id="1285" w:name="_Toc339441084"/>
      <w:bookmarkStart w:id="1286" w:name="_Toc333935684"/>
      <w:bookmarkStart w:id="1287" w:name="_Toc340672866"/>
      <w:bookmarkStart w:id="1288" w:name="_Toc340677067"/>
      <w:bookmarkStart w:id="1289" w:name="_Toc339020012"/>
      <w:bookmarkStart w:id="1290" w:name="_Toc336681577"/>
      <w:bookmarkStart w:id="1291" w:name="_Toc339362297"/>
      <w:bookmarkStart w:id="1292" w:name="_Toc341348335"/>
      <w:bookmarkStart w:id="1293" w:name="_Toc365967070"/>
      <w:bookmarkStart w:id="1294" w:name="_Toc16005"/>
      <w:bookmarkStart w:id="1295" w:name="_Toc342060371"/>
      <w:bookmarkStart w:id="1296" w:name="_Toc339019886"/>
      <w:bookmarkStart w:id="1297" w:name="_Toc365985176"/>
      <w:bookmarkStart w:id="1298" w:name="_Toc333237674"/>
      <w:bookmarkStart w:id="1299" w:name="_Toc349127623"/>
      <w:bookmarkStart w:id="1300" w:name="_Toc339020230"/>
      <w:bookmarkStart w:id="1301" w:name="_Toc331684035"/>
      <w:bookmarkStart w:id="1302" w:name="_Toc331512895"/>
      <w:bookmarkStart w:id="1303" w:name="_Toc333237785"/>
      <w:bookmarkStart w:id="1304" w:name="_Toc342296757"/>
      <w:bookmarkStart w:id="1305" w:name="_Toc333238630"/>
      <w:bookmarkStart w:id="1306" w:name="_Toc374454597"/>
      <w:bookmarkStart w:id="1307" w:name="_Toc330459982"/>
      <w:r>
        <w:rPr>
          <w:rFonts w:hint="eastAsia"/>
          <w:color w:val="000000" w:themeColor="text1"/>
          <w:highlight w:val="none"/>
        </w:rPr>
        <w:t>投标报价的审核</w:t>
      </w:r>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highlight w:val="none"/>
        </w:rPr>
      </w:pPr>
      <w:bookmarkStart w:id="1308" w:name="_Toc366072526"/>
      <w:bookmarkStart w:id="1309" w:name="_Toc341348336"/>
      <w:bookmarkStart w:id="1310" w:name="_Toc333935344"/>
      <w:bookmarkStart w:id="1311" w:name="_Toc342296758"/>
      <w:bookmarkStart w:id="1312" w:name="_Toc331684036"/>
      <w:bookmarkStart w:id="1313" w:name="_Toc497224224"/>
      <w:bookmarkStart w:id="1314" w:name="_Toc339020013"/>
      <w:bookmarkStart w:id="1315" w:name="_Toc339020093"/>
      <w:bookmarkStart w:id="1316" w:name="_Toc333237675"/>
      <w:bookmarkStart w:id="1317" w:name="_Toc339019887"/>
      <w:bookmarkStart w:id="1318" w:name="_Toc337632356"/>
      <w:bookmarkStart w:id="1319" w:name="_Toc333935685"/>
      <w:bookmarkStart w:id="1320" w:name="_Toc365967071"/>
      <w:bookmarkStart w:id="1321" w:name="_Toc374454598"/>
      <w:bookmarkStart w:id="1322" w:name="_Toc340677068"/>
      <w:bookmarkStart w:id="1323" w:name="_Toc350438747"/>
      <w:bookmarkStart w:id="1324" w:name="_Toc345513865"/>
      <w:bookmarkStart w:id="1325" w:name="_Toc26140"/>
      <w:bookmarkStart w:id="1326" w:name="_Toc350756448"/>
      <w:bookmarkStart w:id="1327" w:name="_Toc340507440"/>
      <w:bookmarkStart w:id="1328" w:name="_Toc332206706"/>
      <w:bookmarkStart w:id="1329" w:name="_Toc349143587"/>
      <w:bookmarkStart w:id="1330" w:name="_Toc349127624"/>
      <w:bookmarkStart w:id="1331" w:name="_Toc342060372"/>
      <w:bookmarkStart w:id="1332" w:name="_Toc339020231"/>
      <w:bookmarkStart w:id="1333" w:name="_Toc503785426"/>
      <w:bookmarkStart w:id="1334" w:name="_Toc330459983"/>
      <w:bookmarkStart w:id="1335" w:name="_Toc332270344"/>
      <w:bookmarkStart w:id="1336" w:name="_Toc339441085"/>
      <w:bookmarkStart w:id="1337" w:name="_Toc331512896"/>
      <w:bookmarkStart w:id="1338" w:name="_Toc336681578"/>
      <w:bookmarkStart w:id="1339" w:name="_Toc365985177"/>
      <w:bookmarkStart w:id="1340" w:name="_Toc339362298"/>
      <w:bookmarkStart w:id="1341" w:name="_Toc333238631"/>
      <w:bookmarkStart w:id="1342" w:name="_Toc336681933"/>
      <w:bookmarkStart w:id="1343" w:name="_Toc333237786"/>
      <w:bookmarkStart w:id="1344" w:name="_Toc340672867"/>
      <w:r>
        <w:rPr>
          <w:rFonts w:hint="eastAsia"/>
          <w:color w:val="000000" w:themeColor="text1"/>
          <w:highlight w:val="none"/>
        </w:rPr>
        <w:t>询标及投标文件的澄清</w:t>
      </w:r>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highlight w:val="none"/>
        </w:rPr>
      </w:pPr>
      <w:bookmarkStart w:id="1345" w:name="_Toc345513866"/>
      <w:bookmarkStart w:id="1346" w:name="_Toc340507441"/>
      <w:bookmarkStart w:id="1347" w:name="_Toc342296759"/>
      <w:bookmarkStart w:id="1348" w:name="_Toc366072527"/>
      <w:bookmarkStart w:id="1349" w:name="_Toc339020232"/>
      <w:bookmarkStart w:id="1350" w:name="_Toc349127625"/>
      <w:bookmarkStart w:id="1351" w:name="_Toc341348337"/>
      <w:bookmarkStart w:id="1352" w:name="_Toc331684037"/>
      <w:bookmarkStart w:id="1353" w:name="_Toc340677069"/>
      <w:bookmarkStart w:id="1354" w:name="_Toc333935345"/>
      <w:bookmarkStart w:id="1355" w:name="_Toc336681934"/>
      <w:bookmarkStart w:id="1356" w:name="_Toc332206707"/>
      <w:bookmarkStart w:id="1357" w:name="_Toc374454599"/>
      <w:bookmarkStart w:id="1358" w:name="_Toc333238632"/>
      <w:bookmarkStart w:id="1359" w:name="_Toc333935686"/>
      <w:bookmarkStart w:id="1360" w:name="_Toc337632357"/>
      <w:bookmarkStart w:id="1361" w:name="_Toc365985178"/>
      <w:bookmarkStart w:id="1362" w:name="_Toc333237676"/>
      <w:bookmarkStart w:id="1363" w:name="_Toc331512897"/>
      <w:bookmarkStart w:id="1364" w:name="_Toc339019888"/>
      <w:bookmarkStart w:id="1365" w:name="_Toc333237787"/>
      <w:bookmarkStart w:id="1366" w:name="_Toc339020094"/>
      <w:bookmarkStart w:id="1367" w:name="_Toc330459984"/>
      <w:bookmarkStart w:id="1368" w:name="_Toc350756449"/>
      <w:bookmarkStart w:id="1369" w:name="_Toc342060373"/>
      <w:bookmarkStart w:id="1370" w:name="_Toc339362299"/>
      <w:bookmarkStart w:id="1371" w:name="_Toc336681579"/>
      <w:bookmarkStart w:id="1372" w:name="_Toc332270345"/>
      <w:bookmarkStart w:id="1373" w:name="_Toc1414"/>
      <w:bookmarkStart w:id="1374" w:name="_Toc339020014"/>
      <w:bookmarkStart w:id="1375" w:name="_Toc365967072"/>
      <w:bookmarkStart w:id="1376" w:name="_Toc339441086"/>
      <w:bookmarkStart w:id="1377" w:name="_Toc349143588"/>
      <w:bookmarkStart w:id="1378" w:name="_Toc350438748"/>
      <w:bookmarkStart w:id="1379" w:name="_Toc340672868"/>
      <w:r>
        <w:rPr>
          <w:rFonts w:hint="eastAsia"/>
          <w:color w:val="000000" w:themeColor="text1"/>
          <w:highlight w:val="none"/>
        </w:rPr>
        <w:t>评标原则</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25"/>
        </w:numPr>
        <w:tabs>
          <w:tab w:val="left" w:pos="720"/>
        </w:tabs>
        <w:spacing w:before="240" w:after="120"/>
        <w:ind w:left="2432" w:hanging="2432"/>
        <w:rPr>
          <w:color w:val="000000" w:themeColor="text1"/>
          <w:highlight w:val="none"/>
        </w:rPr>
      </w:pPr>
      <w:bookmarkStart w:id="1380" w:name="_Toc6057"/>
      <w:bookmarkStart w:id="1381" w:name="_Toc339441087"/>
      <w:bookmarkStart w:id="1382" w:name="_Toc336681935"/>
      <w:bookmarkStart w:id="1383" w:name="_Toc339020015"/>
      <w:bookmarkStart w:id="1384" w:name="_Toc333238633"/>
      <w:bookmarkStart w:id="1385" w:name="_Toc332206708"/>
      <w:bookmarkStart w:id="1386" w:name="_Toc366072528"/>
      <w:bookmarkStart w:id="1387" w:name="_Toc333237677"/>
      <w:bookmarkStart w:id="1388" w:name="_Toc333935687"/>
      <w:bookmarkStart w:id="1389" w:name="_Toc331512898"/>
      <w:bookmarkStart w:id="1390" w:name="_Toc331684038"/>
      <w:bookmarkStart w:id="1391" w:name="_Toc341348338"/>
      <w:bookmarkStart w:id="1392" w:name="_Toc350438749"/>
      <w:bookmarkStart w:id="1393" w:name="_Toc350756450"/>
      <w:bookmarkStart w:id="1394" w:name="_Toc365967073"/>
      <w:bookmarkStart w:id="1395" w:name="_Toc340672869"/>
      <w:bookmarkStart w:id="1396" w:name="_Toc342296760"/>
      <w:bookmarkStart w:id="1397" w:name="_Toc333935346"/>
      <w:bookmarkStart w:id="1398" w:name="_Toc339362300"/>
      <w:bookmarkStart w:id="1399" w:name="_Toc332270346"/>
      <w:bookmarkStart w:id="1400" w:name="_Toc345513867"/>
      <w:bookmarkStart w:id="1401" w:name="_Toc336681580"/>
      <w:bookmarkStart w:id="1402" w:name="_Toc374454600"/>
      <w:bookmarkStart w:id="1403" w:name="_Toc330459985"/>
      <w:bookmarkStart w:id="1404" w:name="_Toc349143589"/>
      <w:bookmarkStart w:id="1405" w:name="_Toc342060374"/>
      <w:bookmarkStart w:id="1406" w:name="_Toc365985179"/>
      <w:bookmarkStart w:id="1407" w:name="_Toc333237788"/>
      <w:bookmarkStart w:id="1408" w:name="_Toc340507442"/>
      <w:bookmarkStart w:id="1409" w:name="_Toc339020095"/>
      <w:bookmarkStart w:id="1410" w:name="_Toc337632358"/>
      <w:bookmarkStart w:id="1411" w:name="_Toc339019889"/>
      <w:bookmarkStart w:id="1412" w:name="_Toc339020233"/>
      <w:bookmarkStart w:id="1413" w:name="_Toc340677070"/>
      <w:bookmarkStart w:id="1414" w:name="_Toc349127626"/>
      <w:r>
        <w:rPr>
          <w:rFonts w:hint="eastAsia"/>
          <w:color w:val="000000" w:themeColor="text1"/>
          <w:highlight w:val="none"/>
        </w:rPr>
        <w:t>评标标准和办法</w:t>
      </w:r>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415" w:name="_Toc497707712"/>
      <w:bookmarkStart w:id="1416" w:name="_Toc500861023"/>
      <w:bookmarkStart w:id="1417"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25"/>
        </w:numPr>
        <w:tabs>
          <w:tab w:val="left" w:pos="720"/>
        </w:tabs>
        <w:spacing w:before="240" w:after="120"/>
        <w:ind w:left="2432" w:hanging="2432"/>
        <w:rPr>
          <w:color w:val="000000" w:themeColor="text1"/>
          <w:highlight w:val="none"/>
        </w:rPr>
      </w:pPr>
      <w:bookmarkStart w:id="1418" w:name="_Toc327368025"/>
      <w:bookmarkStart w:id="1419" w:name="_Toc366072529"/>
      <w:bookmarkStart w:id="1420" w:name="_Toc14159"/>
      <w:bookmarkStart w:id="1421" w:name="_Toc327367761"/>
      <w:bookmarkStart w:id="1422" w:name="_Toc339362301"/>
      <w:bookmarkStart w:id="1423" w:name="_Toc339020096"/>
      <w:bookmarkStart w:id="1424" w:name="_Toc340507443"/>
      <w:bookmarkStart w:id="1425" w:name="_Toc331684039"/>
      <w:bookmarkStart w:id="1426" w:name="_Toc333237678"/>
      <w:bookmarkStart w:id="1427" w:name="_Toc333237789"/>
      <w:bookmarkStart w:id="1428" w:name="_Toc333935347"/>
      <w:bookmarkStart w:id="1429" w:name="_Toc342060375"/>
      <w:bookmarkStart w:id="1430" w:name="_Toc337632359"/>
      <w:bookmarkStart w:id="1431" w:name="_Toc336681936"/>
      <w:bookmarkStart w:id="1432" w:name="_Toc330459986"/>
      <w:bookmarkStart w:id="1433" w:name="_Toc340677071"/>
      <w:bookmarkStart w:id="1434" w:name="_Toc332206709"/>
      <w:bookmarkStart w:id="1435" w:name="_Toc336681581"/>
      <w:bookmarkStart w:id="1436" w:name="_Toc332270347"/>
      <w:bookmarkStart w:id="1437" w:name="_Toc340672870"/>
      <w:bookmarkStart w:id="1438" w:name="_Toc339020016"/>
      <w:bookmarkStart w:id="1439" w:name="_Toc339441088"/>
      <w:bookmarkStart w:id="1440" w:name="_Toc339020234"/>
      <w:bookmarkStart w:id="1441" w:name="_Toc339019890"/>
      <w:bookmarkStart w:id="1442" w:name="_Toc341348339"/>
      <w:bookmarkStart w:id="1443" w:name="_Toc345513902"/>
      <w:bookmarkStart w:id="1444" w:name="_Toc342296761"/>
      <w:bookmarkStart w:id="1445" w:name="_Toc333238634"/>
      <w:bookmarkStart w:id="1446" w:name="_Toc331512899"/>
      <w:bookmarkStart w:id="1447" w:name="_Toc333935688"/>
      <w:r>
        <w:rPr>
          <w:rFonts w:hint="eastAsia"/>
          <w:color w:val="000000" w:themeColor="text1"/>
          <w:highlight w:val="none"/>
        </w:rPr>
        <w:t>评标注意事项</w:t>
      </w:r>
      <w:bookmarkEnd w:id="1418"/>
      <w:bookmarkEnd w:id="1419"/>
      <w:bookmarkEnd w:id="1420"/>
      <w:bookmarkEnd w:id="1421"/>
    </w:p>
    <w:bookmarkEnd w:id="35"/>
    <w:bookmarkEnd w:id="1415"/>
    <w:bookmarkEnd w:id="1416"/>
    <w:bookmarkEnd w:id="1417"/>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448" w:name="_Toc491658680"/>
      <w:bookmarkStart w:id="1449" w:name="_Toc6397151"/>
      <w:bookmarkStart w:id="1450" w:name="_Toc500861027"/>
      <w:bookmarkStart w:id="1451" w:name="_Toc6727972"/>
      <w:bookmarkStart w:id="1452"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highlight w:val="none"/>
        </w:rPr>
      </w:pPr>
      <w:bookmarkStart w:id="1453" w:name="_Toc374454602"/>
      <w:bookmarkStart w:id="1454" w:name="_Toc345513903"/>
      <w:bookmarkStart w:id="1455" w:name="_Toc336681937"/>
      <w:bookmarkStart w:id="1456" w:name="_Toc350756452"/>
      <w:bookmarkStart w:id="1457" w:name="_Toc333237790"/>
      <w:bookmarkStart w:id="1458" w:name="_Toc331512900"/>
      <w:bookmarkStart w:id="1459" w:name="_Toc365967074"/>
      <w:bookmarkStart w:id="1460" w:name="_Toc333238635"/>
      <w:bookmarkStart w:id="1461" w:name="_Toc339019891"/>
      <w:bookmarkStart w:id="1462" w:name="_Toc340507444"/>
      <w:bookmarkStart w:id="1463" w:name="_Toc340677072"/>
      <w:bookmarkStart w:id="1464" w:name="_Toc331684040"/>
      <w:bookmarkStart w:id="1465" w:name="_Toc341348340"/>
      <w:bookmarkStart w:id="1466" w:name="_Toc339020235"/>
      <w:bookmarkStart w:id="1467" w:name="_Toc333935348"/>
      <w:bookmarkStart w:id="1468" w:name="_Toc342296762"/>
      <w:bookmarkStart w:id="1469" w:name="_Toc339020097"/>
      <w:bookmarkStart w:id="1470" w:name="_Toc349143591"/>
      <w:bookmarkStart w:id="1471" w:name="_Toc336681582"/>
      <w:bookmarkStart w:id="1472" w:name="_Toc342060376"/>
      <w:bookmarkStart w:id="1473" w:name="_Toc339362302"/>
      <w:bookmarkStart w:id="1474" w:name="_Toc333237679"/>
      <w:bookmarkStart w:id="1475" w:name="_Toc330459987"/>
      <w:bookmarkStart w:id="1476" w:name="_Toc332206710"/>
      <w:bookmarkStart w:id="1477" w:name="_Toc340672871"/>
      <w:bookmarkStart w:id="1478" w:name="_Toc339441089"/>
      <w:bookmarkStart w:id="1479" w:name="_Toc337632360"/>
      <w:bookmarkStart w:id="1480" w:name="_Toc333935689"/>
      <w:bookmarkStart w:id="1481" w:name="_Toc365985180"/>
      <w:bookmarkStart w:id="1482" w:name="_Toc8349"/>
      <w:bookmarkStart w:id="1483" w:name="_Toc366072530"/>
      <w:bookmarkStart w:id="1484" w:name="_Toc349127628"/>
      <w:bookmarkStart w:id="1485" w:name="_Toc350438751"/>
      <w:bookmarkStart w:id="1486" w:name="_Toc332270348"/>
      <w:bookmarkStart w:id="1487" w:name="_Toc339020017"/>
      <w:r>
        <w:rPr>
          <w:rFonts w:hint="eastAsia"/>
          <w:color w:val="000000" w:themeColor="text1"/>
          <w:highlight w:val="none"/>
        </w:rPr>
        <w:t>接受和拒绝投标的权利</w:t>
      </w:r>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highlight w:val="none"/>
        </w:rPr>
      </w:pPr>
      <w:bookmarkStart w:id="1488" w:name="_Toc374454603"/>
      <w:bookmarkStart w:id="1489" w:name="_Toc366072531"/>
      <w:bookmarkStart w:id="1490" w:name="_Toc27811"/>
      <w:r>
        <w:rPr>
          <w:rFonts w:hint="eastAsia"/>
          <w:color w:val="000000" w:themeColor="text1"/>
          <w:highlight w:val="none"/>
        </w:rPr>
        <w:t>发布中标结果公告和发放中标通知书</w:t>
      </w:r>
      <w:bookmarkEnd w:id="1488"/>
      <w:bookmarkEnd w:id="1489"/>
      <w:bookmarkEnd w:id="149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491"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highlight w:val="none"/>
        </w:rPr>
      </w:pPr>
      <w:bookmarkStart w:id="1492" w:name="_Toc374454604"/>
      <w:bookmarkStart w:id="1493" w:name="_Toc3763"/>
      <w:r>
        <w:rPr>
          <w:rFonts w:hint="eastAsia"/>
          <w:color w:val="000000" w:themeColor="text1"/>
          <w:highlight w:val="none"/>
        </w:rPr>
        <w:t>投标人对中标结果的质疑、投诉</w:t>
      </w:r>
      <w:bookmarkEnd w:id="1491"/>
      <w:bookmarkEnd w:id="1492"/>
      <w:bookmarkEnd w:id="149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494" w:name="_Toc365967077"/>
      <w:bookmarkStart w:id="1495" w:name="_Toc349127631"/>
      <w:bookmarkStart w:id="1496" w:name="_Toc333237793"/>
      <w:bookmarkStart w:id="1497" w:name="_Toc339019894"/>
      <w:bookmarkStart w:id="1498" w:name="_Toc350438754"/>
      <w:bookmarkStart w:id="1499" w:name="_Toc337632363"/>
      <w:bookmarkStart w:id="1500" w:name="_Toc342060379"/>
      <w:bookmarkStart w:id="1501" w:name="_Toc341348343"/>
      <w:bookmarkStart w:id="1502" w:name="_Toc332206713"/>
      <w:bookmarkStart w:id="1503" w:name="_Toc339020100"/>
      <w:bookmarkStart w:id="1504" w:name="_Toc333935351"/>
      <w:bookmarkStart w:id="1505" w:name="_Toc333237682"/>
      <w:bookmarkStart w:id="1506" w:name="_Toc332270351"/>
      <w:bookmarkStart w:id="1507" w:name="_Toc340677075"/>
      <w:bookmarkStart w:id="1508" w:name="_Toc345513906"/>
      <w:bookmarkStart w:id="1509" w:name="_Toc340507447"/>
      <w:bookmarkStart w:id="1510" w:name="_Toc365985183"/>
      <w:bookmarkStart w:id="1511" w:name="_Toc333238638"/>
      <w:bookmarkStart w:id="1512" w:name="_Toc339020238"/>
      <w:bookmarkStart w:id="1513" w:name="_Toc342296765"/>
      <w:bookmarkStart w:id="1514" w:name="_Toc339362305"/>
      <w:bookmarkStart w:id="1515" w:name="_Toc340672874"/>
      <w:bookmarkStart w:id="1516" w:name="_Toc336681585"/>
      <w:bookmarkStart w:id="1517" w:name="_Toc333935692"/>
      <w:bookmarkStart w:id="1518" w:name="_Toc349143594"/>
      <w:bookmarkStart w:id="1519" w:name="_Toc339020020"/>
      <w:bookmarkStart w:id="1520" w:name="_Toc336681940"/>
      <w:bookmarkStart w:id="1521" w:name="_Toc331684043"/>
      <w:bookmarkStart w:id="1522" w:name="_Toc339441092"/>
      <w:bookmarkStart w:id="1523" w:name="_Toc350756455"/>
      <w:bookmarkStart w:id="1524" w:name="_Toc331512903"/>
      <w:bookmarkStart w:id="1525" w:name="_Toc330459990"/>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1"/>
          <w:numId w:val="0"/>
        </w:numPr>
        <w:rPr>
          <w:color w:val="000000" w:themeColor="text1"/>
          <w:sz w:val="24"/>
          <w:highlight w:val="none"/>
        </w:rPr>
      </w:pPr>
      <w:bookmarkStart w:id="1526" w:name="_Toc374454605"/>
      <w:bookmarkStart w:id="1527" w:name="_Toc366072533"/>
      <w:r>
        <w:rPr>
          <w:color w:val="000000" w:themeColor="text1"/>
          <w:sz w:val="24"/>
          <w:highlight w:val="none"/>
        </w:rPr>
        <w:br w:type="page"/>
      </w:r>
      <w:bookmarkStart w:id="1528" w:name="_Toc31817"/>
      <w:r>
        <w:rPr>
          <w:rFonts w:hint="eastAsia"/>
          <w:color w:val="000000" w:themeColor="text1"/>
          <w:sz w:val="24"/>
          <w:highlight w:val="none"/>
        </w:rPr>
        <w:t>Ｆ  授予合同</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pPr>
        <w:pStyle w:val="6"/>
        <w:numPr>
          <w:ilvl w:val="4"/>
          <w:numId w:val="25"/>
        </w:numPr>
        <w:tabs>
          <w:tab w:val="left" w:pos="720"/>
        </w:tabs>
        <w:spacing w:before="240" w:after="120"/>
        <w:ind w:left="2432" w:hanging="2432"/>
        <w:rPr>
          <w:color w:val="000000" w:themeColor="text1"/>
          <w:highlight w:val="none"/>
        </w:rPr>
      </w:pPr>
      <w:bookmarkStart w:id="1529" w:name="_Toc467236759"/>
      <w:bookmarkStart w:id="1530" w:name="_Toc350756456"/>
      <w:bookmarkStart w:id="1531" w:name="_Toc468606048"/>
      <w:bookmarkStart w:id="1532" w:name="_Toc345513907"/>
      <w:bookmarkStart w:id="1533" w:name="_Toc332270352"/>
      <w:bookmarkStart w:id="1534" w:name="_Toc339019895"/>
      <w:bookmarkStart w:id="1535" w:name="_Toc366072534"/>
      <w:bookmarkStart w:id="1536" w:name="_Toc491658670"/>
      <w:bookmarkStart w:id="1537" w:name="_Toc331512904"/>
      <w:bookmarkStart w:id="1538" w:name="_Toc468157555"/>
      <w:bookmarkStart w:id="1539" w:name="_Toc330459991"/>
      <w:bookmarkStart w:id="1540" w:name="_Toc341348344"/>
      <w:bookmarkStart w:id="1541" w:name="_Toc336681586"/>
      <w:bookmarkStart w:id="1542" w:name="_Toc500861016"/>
      <w:bookmarkStart w:id="1543" w:name="_Toc337632364"/>
      <w:bookmarkStart w:id="1544" w:name="_Toc480020276"/>
      <w:bookmarkStart w:id="1545" w:name="_Toc342296766"/>
      <w:bookmarkStart w:id="1546" w:name="_Toc339441093"/>
      <w:bookmarkStart w:id="1547" w:name="_Toc339362306"/>
      <w:bookmarkStart w:id="1548" w:name="_Toc331684044"/>
      <w:bookmarkStart w:id="1549" w:name="_Toc340672875"/>
      <w:bookmarkStart w:id="1550" w:name="_Toc480010727"/>
      <w:bookmarkStart w:id="1551" w:name="_Toc332206714"/>
      <w:bookmarkStart w:id="1552" w:name="_Toc340507448"/>
      <w:bookmarkStart w:id="1553" w:name="_Toc333238639"/>
      <w:bookmarkStart w:id="1554" w:name="_Toc339020239"/>
      <w:bookmarkStart w:id="1555" w:name="_Toc336681941"/>
      <w:bookmarkStart w:id="1556" w:name="_Toc349143595"/>
      <w:bookmarkStart w:id="1557" w:name="_Toc339020101"/>
      <w:bookmarkStart w:id="1558" w:name="_Toc350438755"/>
      <w:bookmarkStart w:id="1559" w:name="_Toc365985184"/>
      <w:bookmarkStart w:id="1560" w:name="_Toc339020021"/>
      <w:bookmarkStart w:id="1561" w:name="_Toc480021072"/>
      <w:bookmarkStart w:id="1562" w:name="_Toc467987842"/>
      <w:bookmarkStart w:id="1563" w:name="_Toc342060380"/>
      <w:bookmarkStart w:id="1564" w:name="_Toc374454606"/>
      <w:bookmarkStart w:id="1565" w:name="_Toc340677076"/>
      <w:bookmarkStart w:id="1566" w:name="_Toc479991601"/>
      <w:bookmarkStart w:id="1567" w:name="_Toc333935352"/>
      <w:bookmarkStart w:id="1568" w:name="_Toc17833"/>
      <w:bookmarkStart w:id="1569" w:name="_Toc333237683"/>
      <w:bookmarkStart w:id="1570" w:name="_Toc333935693"/>
      <w:bookmarkStart w:id="1571" w:name="_Toc365967078"/>
      <w:bookmarkStart w:id="1572" w:name="_Toc349127632"/>
      <w:bookmarkStart w:id="1573" w:name="_Toc333237794"/>
      <w:bookmarkStart w:id="1574" w:name="_Toc454701400"/>
      <w:bookmarkStart w:id="1575" w:name="_Toc458262633"/>
      <w:r>
        <w:rPr>
          <w:rFonts w:hint="eastAsia"/>
          <w:color w:val="000000" w:themeColor="text1"/>
          <w:highlight w:val="none"/>
        </w:rPr>
        <w:t>合同授予标准</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574"/>
    <w:bookmarkEnd w:id="1575"/>
    <w:p>
      <w:pPr>
        <w:pStyle w:val="6"/>
        <w:numPr>
          <w:ilvl w:val="4"/>
          <w:numId w:val="25"/>
        </w:numPr>
        <w:tabs>
          <w:tab w:val="left" w:pos="720"/>
        </w:tabs>
        <w:spacing w:before="240" w:after="120"/>
        <w:ind w:left="2432" w:hanging="2432"/>
        <w:rPr>
          <w:color w:val="000000" w:themeColor="text1"/>
          <w:highlight w:val="none"/>
        </w:rPr>
      </w:pPr>
      <w:bookmarkStart w:id="1576" w:name="_Toc330459992"/>
      <w:bookmarkStart w:id="1577" w:name="_Toc480010731"/>
      <w:bookmarkStart w:id="1578" w:name="_Toc333238640"/>
      <w:bookmarkStart w:id="1579" w:name="_Toc339020022"/>
      <w:bookmarkStart w:id="1580" w:name="_Toc19153"/>
      <w:bookmarkStart w:id="1581" w:name="_Toc332206715"/>
      <w:bookmarkStart w:id="1582" w:name="_Toc333237684"/>
      <w:bookmarkStart w:id="1583" w:name="_Toc374454607"/>
      <w:bookmarkStart w:id="1584" w:name="_Toc341348345"/>
      <w:bookmarkStart w:id="1585" w:name="_Toc336681942"/>
      <w:bookmarkStart w:id="1586" w:name="_Toc480020280"/>
      <w:bookmarkStart w:id="1587" w:name="_Toc339019896"/>
      <w:bookmarkStart w:id="1588" w:name="_Toc333935694"/>
      <w:bookmarkStart w:id="1589" w:name="_Toc345513908"/>
      <w:bookmarkStart w:id="1590" w:name="_Toc365967079"/>
      <w:bookmarkStart w:id="1591" w:name="_Toc349127633"/>
      <w:bookmarkStart w:id="1592" w:name="_Toc468606052"/>
      <w:bookmarkStart w:id="1593" w:name="_Toc340677077"/>
      <w:bookmarkStart w:id="1594" w:name="_Toc337632365"/>
      <w:bookmarkStart w:id="1595" w:name="_Toc331684045"/>
      <w:bookmarkStart w:id="1596" w:name="_Toc491658674"/>
      <w:bookmarkStart w:id="1597" w:name="_Toc467987846"/>
      <w:bookmarkStart w:id="1598" w:name="_Toc333237795"/>
      <w:bookmarkStart w:id="1599" w:name="_Toc365985185"/>
      <w:bookmarkStart w:id="1600" w:name="_Toc339362307"/>
      <w:bookmarkStart w:id="1601" w:name="_Toc350756457"/>
      <w:bookmarkStart w:id="1602" w:name="_Toc366072535"/>
      <w:bookmarkStart w:id="1603" w:name="_Toc500861020"/>
      <w:bookmarkStart w:id="1604" w:name="_Toc480021076"/>
      <w:bookmarkStart w:id="1605" w:name="_Toc332270353"/>
      <w:bookmarkStart w:id="1606" w:name="_Toc454701402"/>
      <w:bookmarkStart w:id="1607" w:name="_Toc339441094"/>
      <w:bookmarkStart w:id="1608" w:name="_Toc333935353"/>
      <w:bookmarkStart w:id="1609" w:name="_Toc339020102"/>
      <w:bookmarkStart w:id="1610" w:name="_Toc339020240"/>
      <w:bookmarkStart w:id="1611" w:name="_Toc479991605"/>
      <w:bookmarkStart w:id="1612" w:name="_Toc467236763"/>
      <w:bookmarkStart w:id="1613" w:name="_Toc342296767"/>
      <w:bookmarkStart w:id="1614" w:name="_Toc340672876"/>
      <w:bookmarkStart w:id="1615" w:name="_Toc331512905"/>
      <w:bookmarkStart w:id="1616" w:name="_Toc350438756"/>
      <w:bookmarkStart w:id="1617" w:name="_Toc340507449"/>
      <w:bookmarkStart w:id="1618" w:name="_Toc349143596"/>
      <w:bookmarkStart w:id="1619" w:name="_Toc458262635"/>
      <w:bookmarkStart w:id="1620" w:name="_Toc342060381"/>
      <w:bookmarkStart w:id="1621" w:name="_Toc336681587"/>
      <w:bookmarkStart w:id="1622" w:name="_Toc468157559"/>
      <w:r>
        <w:rPr>
          <w:rFonts w:hint="eastAsia"/>
          <w:color w:val="000000" w:themeColor="text1"/>
          <w:highlight w:val="none"/>
        </w:rPr>
        <w:t>签订合同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623" w:name="_Toc372209289"/>
      <w:bookmarkStart w:id="1624" w:name="_Toc379896705"/>
      <w:bookmarkStart w:id="1625" w:name="_Toc373401413"/>
      <w:bookmarkStart w:id="1626" w:name="_Toc366072536"/>
      <w:bookmarkStart w:id="1627" w:name="_Toc378261823"/>
      <w:bookmarkStart w:id="1628" w:name="_Toc366681897"/>
      <w:bookmarkStart w:id="1629" w:name="_Toc369700990"/>
      <w:bookmarkStart w:id="1630" w:name="_Toc383069738"/>
      <w:bookmarkStart w:id="1631" w:name="_Toc377129068"/>
      <w:bookmarkStart w:id="1632" w:name="_Toc374093632"/>
      <w:bookmarkStart w:id="1633" w:name="_Toc370983962"/>
      <w:bookmarkStart w:id="1634" w:name="_Toc374454608"/>
      <w:bookmarkStart w:id="1635" w:name="_Toc367095382"/>
      <w:bookmarkStart w:id="1636" w:name="_Toc370309169"/>
      <w:bookmarkStart w:id="1637" w:name="_Toc345513909"/>
      <w:bookmarkStart w:id="1638" w:name="_Toc340677078"/>
      <w:bookmarkStart w:id="1639" w:name="_Toc339019897"/>
      <w:bookmarkStart w:id="1640" w:name="_Toc339362308"/>
      <w:bookmarkStart w:id="1641" w:name="_Toc342060382"/>
      <w:bookmarkStart w:id="1642" w:name="_Toc332270354"/>
      <w:bookmarkStart w:id="1643" w:name="_Toc340507450"/>
      <w:bookmarkStart w:id="1644" w:name="_Toc339020023"/>
      <w:bookmarkStart w:id="1645" w:name="_Toc331684046"/>
      <w:bookmarkStart w:id="1646" w:name="_Toc349143597"/>
      <w:bookmarkStart w:id="1647" w:name="_Toc340672877"/>
      <w:bookmarkStart w:id="1648" w:name="_Toc336681588"/>
      <w:bookmarkStart w:id="1649" w:name="_Toc333237796"/>
      <w:bookmarkStart w:id="1650" w:name="_Toc331512906"/>
      <w:bookmarkStart w:id="1651" w:name="_Toc350756458"/>
      <w:bookmarkStart w:id="1652" w:name="_Toc341348346"/>
      <w:bookmarkStart w:id="1653" w:name="_Toc333237685"/>
      <w:bookmarkStart w:id="1654" w:name="_Toc342296768"/>
      <w:bookmarkStart w:id="1655" w:name="_Toc333935354"/>
      <w:bookmarkStart w:id="1656" w:name="_Toc365967080"/>
      <w:bookmarkStart w:id="1657" w:name="_Toc339441095"/>
      <w:bookmarkStart w:id="1658" w:name="_Toc337632366"/>
      <w:bookmarkStart w:id="1659" w:name="_Toc350438757"/>
      <w:bookmarkStart w:id="1660" w:name="_Toc339020103"/>
      <w:bookmarkStart w:id="1661" w:name="_Toc330459993"/>
      <w:bookmarkStart w:id="1662" w:name="_Toc336681943"/>
      <w:bookmarkStart w:id="1663" w:name="_Toc333238641"/>
      <w:bookmarkStart w:id="1664" w:name="_Toc365985186"/>
      <w:bookmarkStart w:id="1665" w:name="_Toc333935695"/>
      <w:bookmarkStart w:id="1666" w:name="_Toc332206716"/>
      <w:bookmarkStart w:id="1667" w:name="_Toc339020241"/>
      <w:bookmarkStart w:id="1668" w:name="_Toc349127634"/>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w:t>
      </w:r>
      <w:r>
        <w:rPr>
          <w:rFonts w:hint="eastAsia" w:ascii="宋体" w:hAnsi="宋体"/>
          <w:bCs/>
          <w:color w:val="000000" w:themeColor="text1"/>
          <w:highlight w:val="none"/>
          <w:lang w:val="en-US" w:eastAsia="zh-CN"/>
        </w:rPr>
        <w:t>送</w:t>
      </w:r>
      <w:r>
        <w:rPr>
          <w:rFonts w:hint="eastAsia" w:ascii="宋体" w:hAnsi="宋体"/>
          <w:bCs/>
          <w:color w:val="000000" w:themeColor="text1"/>
          <w:highlight w:val="none"/>
        </w:rPr>
        <w:t>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p>
      <w:pPr>
        <w:pStyle w:val="4"/>
        <w:numPr>
          <w:ilvl w:val="1"/>
          <w:numId w:val="0"/>
        </w:numPr>
        <w:rPr>
          <w:color w:val="000000" w:themeColor="text1"/>
          <w:sz w:val="24"/>
          <w:highlight w:val="none"/>
        </w:rPr>
      </w:pPr>
      <w:bookmarkStart w:id="1669" w:name="_Toc432682726"/>
      <w:bookmarkStart w:id="1670" w:name="_Toc430771059"/>
      <w:bookmarkStart w:id="1671" w:name="_Toc4204"/>
      <w:bookmarkStart w:id="1672" w:name="_Toc468606055"/>
      <w:bookmarkStart w:id="1673" w:name="_Toc467987849"/>
      <w:bookmarkStart w:id="1674" w:name="_Toc480021079"/>
      <w:bookmarkStart w:id="1675" w:name="_Toc500861024"/>
      <w:bookmarkStart w:id="1676" w:name="_Toc480010734"/>
      <w:bookmarkStart w:id="1677" w:name="_Toc468157562"/>
      <w:bookmarkStart w:id="1678" w:name="_Toc479991608"/>
      <w:bookmarkStart w:id="1679" w:name="_Toc467236766"/>
      <w:bookmarkStart w:id="1680" w:name="_Toc480020283"/>
      <w:bookmarkStart w:id="1681" w:name="_Toc491658677"/>
      <w:r>
        <w:rPr>
          <w:color w:val="000000" w:themeColor="text1"/>
          <w:sz w:val="24"/>
          <w:highlight w:val="none"/>
        </w:rPr>
        <w:t>G</w:t>
      </w:r>
      <w:r>
        <w:rPr>
          <w:rFonts w:hint="eastAsia"/>
          <w:color w:val="000000" w:themeColor="text1"/>
          <w:sz w:val="24"/>
          <w:highlight w:val="none"/>
        </w:rPr>
        <w:t>、政府采购政策</w:t>
      </w:r>
      <w:bookmarkEnd w:id="1669"/>
      <w:bookmarkEnd w:id="1670"/>
      <w:bookmarkEnd w:id="1671"/>
    </w:p>
    <w:p>
      <w:pPr>
        <w:spacing w:line="360" w:lineRule="auto"/>
        <w:ind w:left="735" w:hanging="735" w:hangingChars="350"/>
        <w:rPr>
          <w:rFonts w:hint="eastAsia" w:ascii="宋体" w:hAnsi="宋体" w:eastAsia="宋体" w:cs="宋体"/>
          <w:color w:val="000000" w:themeColor="text1"/>
          <w:highlight w:val="none"/>
        </w:rPr>
      </w:pPr>
      <w:bookmarkStart w:id="1682" w:name="_Toc430771060"/>
      <w:bookmarkStart w:id="1683"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68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82"/>
      <w:bookmarkEnd w:id="1683"/>
      <w:bookmarkEnd w:id="1684"/>
    </w:p>
    <w:p>
      <w:pPr>
        <w:spacing w:line="360" w:lineRule="auto"/>
        <w:ind w:left="735" w:hanging="735" w:hangingChars="350"/>
        <w:rPr>
          <w:rFonts w:hint="eastAsia" w:ascii="宋体" w:hAnsi="宋体" w:eastAsia="宋体" w:cs="宋体"/>
          <w:color w:val="000000" w:themeColor="text1"/>
          <w:highlight w:val="none"/>
        </w:rPr>
      </w:pPr>
      <w:bookmarkStart w:id="1685" w:name="_Toc430771061"/>
      <w:bookmarkStart w:id="1686"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85"/>
      <w:bookmarkEnd w:id="1686"/>
    </w:p>
    <w:p>
      <w:pPr>
        <w:spacing w:line="360" w:lineRule="auto"/>
        <w:ind w:left="735" w:hanging="735" w:hangingChars="350"/>
        <w:rPr>
          <w:rFonts w:hint="eastAsia" w:ascii="宋体" w:hAnsi="宋体" w:eastAsia="宋体" w:cs="宋体"/>
          <w:color w:val="000000" w:themeColor="text1"/>
          <w:highlight w:val="none"/>
        </w:rPr>
      </w:pPr>
      <w:bookmarkStart w:id="1687" w:name="_Toc430185805"/>
      <w:bookmarkStart w:id="1688"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87"/>
      <w:bookmarkEnd w:id="1688"/>
    </w:p>
    <w:p>
      <w:pPr>
        <w:spacing w:line="360" w:lineRule="auto"/>
        <w:ind w:left="735" w:hanging="735" w:hangingChars="350"/>
        <w:rPr>
          <w:rFonts w:hint="eastAsia" w:ascii="宋体" w:hAnsi="宋体" w:eastAsia="宋体" w:cs="宋体"/>
          <w:color w:val="000000" w:themeColor="text1"/>
          <w:highlight w:val="none"/>
        </w:rPr>
      </w:pPr>
      <w:bookmarkStart w:id="1689" w:name="_Toc430185806"/>
      <w:bookmarkStart w:id="1690"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689"/>
      <w:bookmarkEnd w:id="1690"/>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 xml:space="preserve">.1   </w:t>
      </w:r>
      <w:r>
        <w:rPr>
          <w:rFonts w:hint="eastAsia" w:ascii="宋体" w:hAnsi="宋体" w:cs="宋体"/>
          <w:bCs/>
          <w:color w:val="000000" w:themeColor="text1"/>
          <w:highlight w:val="none"/>
          <w:lang w:eastAsia="zh-CN"/>
        </w:rPr>
        <w:t>中小</w:t>
      </w:r>
      <w:r>
        <w:rPr>
          <w:rFonts w:hint="eastAsia" w:ascii="宋体" w:hAnsi="宋体" w:eastAsia="宋体" w:cs="宋体"/>
          <w:bCs/>
          <w:color w:val="000000" w:themeColor="text1"/>
          <w:highlight w:val="none"/>
        </w:rPr>
        <w:t>企业（含</w:t>
      </w:r>
      <w:r>
        <w:rPr>
          <w:rFonts w:hint="eastAsia" w:ascii="宋体" w:hAnsi="宋体" w:cs="宋体"/>
          <w:bCs/>
          <w:color w:val="000000" w:themeColor="text1"/>
          <w:highlight w:val="none"/>
          <w:lang w:eastAsia="zh-CN"/>
        </w:rPr>
        <w:t>中型、</w:t>
      </w:r>
      <w:r>
        <w:rPr>
          <w:rFonts w:hint="eastAsia" w:ascii="宋体" w:hAnsi="宋体" w:eastAsia="宋体" w:cs="宋体"/>
          <w:bCs/>
          <w:color w:val="000000" w:themeColor="text1"/>
          <w:highlight w:val="none"/>
        </w:rPr>
        <w:t>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w:t>
      </w:r>
      <w:r>
        <w:rPr>
          <w:rFonts w:hint="eastAsia" w:ascii="宋体" w:hAnsi="宋体" w:cs="宋体"/>
          <w:bCs/>
          <w:color w:val="000000" w:themeColor="text1"/>
          <w:highlight w:val="none"/>
          <w:lang w:eastAsia="zh-CN"/>
        </w:rPr>
        <w:t>中小</w:t>
      </w:r>
      <w:r>
        <w:rPr>
          <w:rFonts w:hint="eastAsia" w:ascii="宋体" w:hAnsi="宋体" w:eastAsia="宋体" w:cs="宋体"/>
          <w:bCs/>
          <w:color w:val="000000" w:themeColor="text1"/>
          <w:highlight w:val="none"/>
        </w:rPr>
        <w:t>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spacing w:line="360" w:lineRule="auto"/>
        <w:ind w:left="735" w:hanging="735" w:hangingChars="350"/>
        <w:rPr>
          <w:rFonts w:hint="eastAsia" w:ascii="宋体" w:hAnsi="宋体" w:eastAsia="宋体" w:cs="宋体"/>
          <w:bCs/>
          <w:color w:val="000000" w:themeColor="text1"/>
          <w:highlight w:val="none"/>
          <w:lang w:val="en-US" w:eastAsia="zh-CN"/>
        </w:rPr>
      </w:pPr>
      <w:r>
        <w:rPr>
          <w:rFonts w:hint="eastAsia" w:ascii="宋体"/>
          <w:color w:val="000000" w:themeColor="text1"/>
          <w:szCs w:val="21"/>
          <w:highlight w:val="none"/>
          <w:lang w:val="en-US" w:eastAsia="zh-CN"/>
        </w:rPr>
        <w:t xml:space="preserve">38    </w:t>
      </w:r>
      <w:r>
        <w:rPr>
          <w:rFonts w:hint="eastAsia" w:ascii="宋体" w:hAnsi="宋体" w:eastAsia="宋体" w:cs="宋体"/>
          <w:bCs/>
          <w:color w:val="000000" w:themeColor="text1"/>
          <w:highlight w:val="none"/>
          <w:lang w:val="en-US" w:eastAsia="zh-CN"/>
        </w:rPr>
        <w:t>根据财库〔2021〕19号 《关于运用政府采购政策支持乡村产业振兴的通知》各级预算单位应当</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按照不低于10%的比例预留年度食堂食材采购份额，通过脱贫地区农副产品网络销售平台（原贫</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困地区农副产品网络销售平台）采购脱贫地区农副产品。脱贫地区农副产品是指在832个脱贫县</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域内注册的企业、农民专业合作社、家庭农场等出产的农副产品。确因地域、相关政策限制等特</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殊原因难以完成10%预留份额任务的预算单位，可由中央主管预算单位或省级财政部门报经财政</w:t>
      </w:r>
    </w:p>
    <w:p>
      <w:pPr>
        <w:spacing w:line="360" w:lineRule="auto"/>
        <w:ind w:left="735" w:leftChars="300" w:hanging="105" w:hangingChars="50"/>
        <w:rPr>
          <w:rFonts w:hint="eastAsia"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部(国库司)审核同意后，适当放宽预留比例要求。</w:t>
      </w:r>
    </w:p>
    <w:p>
      <w:pPr>
        <w:spacing w:line="360" w:lineRule="auto"/>
        <w:ind w:left="735" w:hanging="735" w:hangingChars="350"/>
        <w:rPr>
          <w:rFonts w:hint="default" w:ascii="宋体" w:hAnsi="宋体" w:eastAsia="宋体" w:cs="宋体"/>
          <w:bCs/>
          <w:color w:val="000000" w:themeColor="text1"/>
          <w:highlight w:val="none"/>
          <w:lang w:val="en-US" w:eastAsia="zh-CN"/>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1"/>
          <w:numId w:val="0"/>
        </w:numPr>
        <w:rPr>
          <w:color w:val="000000" w:themeColor="text1"/>
          <w:sz w:val="24"/>
          <w:highlight w:val="none"/>
        </w:rPr>
      </w:pPr>
      <w:bookmarkStart w:id="1691" w:name="_Toc5521"/>
      <w:r>
        <w:rPr>
          <w:rFonts w:hint="eastAsia"/>
          <w:color w:val="000000" w:themeColor="text1"/>
          <w:sz w:val="24"/>
          <w:highlight w:val="none"/>
        </w:rPr>
        <w:t>H、评标细则</w:t>
      </w:r>
      <w:bookmarkEnd w:id="1691"/>
    </w:p>
    <w:p>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70"/>
        <w:gridCol w:w="2173"/>
        <w:gridCol w:w="2226"/>
        <w:gridCol w:w="19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技术评分</w:t>
            </w:r>
          </w:p>
        </w:tc>
        <w:tc>
          <w:tcPr>
            <w:tcW w:w="22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价格评分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1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50</w:t>
            </w:r>
            <w:r>
              <w:rPr>
                <w:rFonts w:hint="eastAsia" w:ascii="宋体" w:hAnsi="宋体" w:cs="宋体"/>
                <w:color w:val="000000" w:themeColor="text1"/>
                <w:sz w:val="21"/>
                <w:szCs w:val="21"/>
                <w:highlight w:val="none"/>
              </w:rPr>
              <w:t>分</w:t>
            </w:r>
          </w:p>
        </w:tc>
        <w:tc>
          <w:tcPr>
            <w:tcW w:w="22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40</w:t>
            </w:r>
            <w:r>
              <w:rPr>
                <w:rFonts w:hint="eastAsia" w:ascii="宋体" w:hAnsi="宋体" w:cs="宋体"/>
                <w:color w:val="000000" w:themeColor="text1"/>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cs="宋体"/>
                <w:color w:val="000000" w:themeColor="text1"/>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419" w:type="dxa"/>
        <w:jc w:val="center"/>
        <w:shd w:val="clear" w:color="auto" w:fill="FFFFFF"/>
        <w:tblLayout w:type="fixed"/>
        <w:tblCellMar>
          <w:top w:w="0" w:type="dxa"/>
          <w:left w:w="0" w:type="dxa"/>
          <w:bottom w:w="0" w:type="dxa"/>
          <w:right w:w="0" w:type="dxa"/>
        </w:tblCellMar>
      </w:tblPr>
      <w:tblGrid>
        <w:gridCol w:w="913"/>
        <w:gridCol w:w="1390"/>
        <w:gridCol w:w="1100"/>
        <w:gridCol w:w="6016"/>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1298"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themeColor="text1"/>
                <w:sz w:val="21"/>
                <w:szCs w:val="21"/>
                <w:highlight w:val="none"/>
              </w:rPr>
            </w:pPr>
            <w:r>
              <w:rPr>
                <w:rFonts w:hint="eastAsia" w:ascii="宋体" w:hAnsi="宋体" w:eastAsia="宋体"/>
                <w:color w:val="000000" w:themeColor="text1"/>
                <w:szCs w:val="21"/>
                <w:highlight w:val="none"/>
              </w:rPr>
              <w:t>整体服务方案</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highlight w:val="none"/>
                <w:lang w:val="en-US" w:eastAsia="zh-CN"/>
              </w:rPr>
              <w:t>15</w:t>
            </w:r>
            <w:r>
              <w:rPr>
                <w:rFonts w:hint="eastAsia" w:ascii="宋体" w:hAnsi="宋体" w:eastAsia="宋体" w:cs="宋体"/>
                <w:color w:val="000000" w:themeColor="text1"/>
                <w:highlight w:val="none"/>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276" w:lineRule="auto"/>
              <w:rPr>
                <w:rFonts w:ascii="宋体" w:hAnsi="宋体" w:eastAsia="宋体"/>
                <w:color w:val="000000" w:themeColor="text1"/>
                <w:szCs w:val="21"/>
                <w:highlight w:val="none"/>
              </w:rPr>
            </w:pPr>
            <w:r>
              <w:rPr>
                <w:rFonts w:hint="eastAsia" w:ascii="宋体" w:hAnsi="宋体" w:eastAsia="宋体" w:cs="宋体"/>
                <w:color w:val="000000" w:themeColor="text1"/>
                <w:kern w:val="0"/>
                <w:szCs w:val="21"/>
                <w:highlight w:val="none"/>
              </w:rPr>
              <w:t>根据投标人提供的整体服务方案（包括对项目需求的理解、项目的准备、组织实施等）进行综合评审：</w:t>
            </w:r>
          </w:p>
          <w:p>
            <w:pPr>
              <w:spacing w:line="276" w:lineRule="auto"/>
              <w:rPr>
                <w:rFonts w:ascii="宋体" w:hAnsi="宋体" w:eastAsia="宋体"/>
                <w:color w:val="000000" w:themeColor="text1"/>
                <w:szCs w:val="21"/>
                <w:highlight w:val="none"/>
              </w:rPr>
            </w:pPr>
            <w:r>
              <w:rPr>
                <w:rFonts w:hint="eastAsia" w:ascii="宋体" w:hAnsi="宋体" w:eastAsia="宋体"/>
                <w:color w:val="000000" w:themeColor="text1"/>
                <w:szCs w:val="21"/>
                <w:highlight w:val="none"/>
              </w:rPr>
              <w:t>1、服务方案完整、计划安排科学、操作具体可行，得</w:t>
            </w:r>
            <w:r>
              <w:rPr>
                <w:rFonts w:ascii="宋体" w:hAnsi="宋体" w:eastAsia="宋体"/>
                <w:color w:val="000000" w:themeColor="text1"/>
                <w:szCs w:val="21"/>
                <w:highlight w:val="none"/>
              </w:rPr>
              <w:t>15</w:t>
            </w:r>
            <w:r>
              <w:rPr>
                <w:rFonts w:hint="eastAsia" w:ascii="宋体" w:hAnsi="宋体" w:eastAsia="宋体"/>
                <w:color w:val="000000" w:themeColor="text1"/>
                <w:szCs w:val="21"/>
                <w:highlight w:val="none"/>
              </w:rPr>
              <w:t>分；</w:t>
            </w:r>
          </w:p>
          <w:p>
            <w:pPr>
              <w:spacing w:line="276" w:lineRule="auto"/>
              <w:rPr>
                <w:rFonts w:hint="eastAsia" w:ascii="宋体" w:hAnsi="宋体" w:eastAsia="宋体"/>
                <w:color w:val="000000" w:themeColor="text1"/>
                <w:szCs w:val="21"/>
                <w:highlight w:val="none"/>
              </w:rPr>
            </w:pPr>
            <w:r>
              <w:rPr>
                <w:rFonts w:ascii="宋体" w:hAnsi="宋体" w:eastAsia="宋体"/>
                <w:color w:val="000000" w:themeColor="text1"/>
                <w:szCs w:val="21"/>
                <w:highlight w:val="none"/>
              </w:rPr>
              <w:t>2</w:t>
            </w:r>
            <w:r>
              <w:rPr>
                <w:rFonts w:hint="eastAsia" w:ascii="宋体" w:hAnsi="宋体" w:eastAsia="宋体"/>
                <w:color w:val="000000" w:themeColor="text1"/>
                <w:szCs w:val="21"/>
                <w:highlight w:val="none"/>
              </w:rPr>
              <w:t>、服务方案较完整、计划安排较科学、操作具体较可行，得</w:t>
            </w:r>
            <w:r>
              <w:rPr>
                <w:rFonts w:ascii="宋体" w:hAnsi="宋体" w:eastAsia="宋体"/>
                <w:color w:val="000000" w:themeColor="text1"/>
                <w:szCs w:val="21"/>
                <w:highlight w:val="none"/>
              </w:rPr>
              <w:t>11</w:t>
            </w:r>
            <w:r>
              <w:rPr>
                <w:rFonts w:hint="eastAsia" w:ascii="宋体" w:hAnsi="宋体" w:eastAsia="宋体"/>
                <w:color w:val="000000" w:themeColor="text1"/>
                <w:szCs w:val="21"/>
                <w:highlight w:val="none"/>
              </w:rPr>
              <w:t>分；</w:t>
            </w:r>
          </w:p>
          <w:p>
            <w:pPr>
              <w:spacing w:line="276" w:lineRule="auto"/>
              <w:rPr>
                <w:rFonts w:hint="eastAsia" w:ascii="宋体" w:hAnsi="宋体" w:eastAsia="宋体"/>
                <w:color w:val="000000" w:themeColor="text1"/>
                <w:szCs w:val="21"/>
                <w:highlight w:val="none"/>
              </w:rPr>
            </w:pPr>
            <w:r>
              <w:rPr>
                <w:rFonts w:hint="eastAsia" w:ascii="宋体" w:hAnsi="宋体" w:eastAsia="宋体"/>
                <w:color w:val="000000" w:themeColor="text1"/>
                <w:szCs w:val="21"/>
                <w:highlight w:val="none"/>
              </w:rPr>
              <w:t>3、服务方案一般、计划安排一般、操作性一般，得</w:t>
            </w:r>
            <w:r>
              <w:rPr>
                <w:rFonts w:ascii="宋体" w:hAnsi="宋体" w:eastAsia="宋体"/>
                <w:color w:val="000000" w:themeColor="text1"/>
                <w:szCs w:val="21"/>
                <w:highlight w:val="none"/>
              </w:rPr>
              <w:t>7</w:t>
            </w:r>
            <w:r>
              <w:rPr>
                <w:rFonts w:hint="eastAsia" w:ascii="宋体" w:hAnsi="宋体" w:eastAsia="宋体"/>
                <w:color w:val="000000" w:themeColor="text1"/>
                <w:szCs w:val="21"/>
                <w:highlight w:val="none"/>
              </w:rPr>
              <w:t>分；</w:t>
            </w:r>
          </w:p>
          <w:p>
            <w:pPr>
              <w:widowControl/>
              <w:spacing w:line="276" w:lineRule="auto"/>
              <w:jc w:val="left"/>
              <w:rPr>
                <w:rFonts w:ascii="宋体" w:hAnsi="宋体" w:eastAsia="宋体"/>
                <w:color w:val="000000" w:themeColor="text1"/>
                <w:szCs w:val="21"/>
                <w:highlight w:val="none"/>
              </w:rPr>
            </w:pPr>
            <w:r>
              <w:rPr>
                <w:rFonts w:hint="eastAsia" w:ascii="宋体" w:hAnsi="宋体" w:eastAsia="宋体"/>
                <w:color w:val="000000" w:themeColor="text1"/>
                <w:szCs w:val="21"/>
                <w:highlight w:val="none"/>
              </w:rPr>
              <w:t>4、服务方案差、计划安排差、操作性差，得</w:t>
            </w:r>
            <w:r>
              <w:rPr>
                <w:rFonts w:ascii="宋体" w:hAnsi="宋体" w:eastAsia="宋体"/>
                <w:color w:val="000000" w:themeColor="text1"/>
                <w:szCs w:val="21"/>
                <w:highlight w:val="none"/>
              </w:rPr>
              <w:t>3</w:t>
            </w:r>
            <w:r>
              <w:rPr>
                <w:rFonts w:hint="eastAsia" w:ascii="宋体" w:hAnsi="宋体" w:eastAsia="宋体"/>
                <w:color w:val="000000" w:themeColor="text1"/>
                <w:szCs w:val="21"/>
                <w:highlight w:val="none"/>
              </w:rPr>
              <w:t>分；</w:t>
            </w:r>
          </w:p>
          <w:p>
            <w:pPr>
              <w:widowControl/>
              <w:spacing w:line="276" w:lineRule="auto"/>
              <w:jc w:val="left"/>
              <w:rPr>
                <w:rFonts w:hint="eastAsia" w:ascii="宋体" w:hAnsi="宋体" w:eastAsia="宋体" w:cs="宋体"/>
                <w:color w:val="000000" w:themeColor="text1"/>
                <w:sz w:val="21"/>
                <w:szCs w:val="21"/>
                <w:highlight w:val="none"/>
                <w:lang w:eastAsia="zh-CN"/>
              </w:rPr>
            </w:pPr>
            <w:r>
              <w:rPr>
                <w:rFonts w:ascii="宋体" w:hAnsi="宋体" w:eastAsia="宋体"/>
                <w:color w:val="000000" w:themeColor="text1"/>
                <w:szCs w:val="21"/>
                <w:highlight w:val="none"/>
              </w:rPr>
              <w:t>5</w:t>
            </w:r>
            <w:r>
              <w:rPr>
                <w:rFonts w:hint="eastAsia" w:ascii="宋体" w:hAnsi="宋体" w:eastAsia="宋体"/>
                <w:color w:val="000000" w:themeColor="text1"/>
                <w:szCs w:val="21"/>
                <w:highlight w:val="none"/>
              </w:rPr>
              <w:t>、未提供的不得分。</w:t>
            </w:r>
          </w:p>
        </w:tc>
      </w:tr>
      <w:tr>
        <w:tblPrEx>
          <w:shd w:val="clear" w:color="auto" w:fill="FFFFFF"/>
          <w:tblCellMar>
            <w:top w:w="0" w:type="dxa"/>
            <w:left w:w="0" w:type="dxa"/>
            <w:bottom w:w="0" w:type="dxa"/>
            <w:right w:w="0" w:type="dxa"/>
          </w:tblCellMar>
        </w:tblPrEx>
        <w:trPr>
          <w:cantSplit/>
          <w:trHeight w:val="1298"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劳务外包服务人员管理制度</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15</w:t>
            </w:r>
            <w:r>
              <w:rPr>
                <w:rFonts w:hint="eastAsia" w:ascii="宋体" w:hAnsi="宋体" w:eastAsia="宋体" w:cs="宋体"/>
                <w:color w:val="000000" w:themeColor="text1"/>
                <w:sz w:val="21"/>
                <w:szCs w:val="21"/>
                <w:highlight w:val="none"/>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根据投标人提供的对劳务外包服务人员的管理制度是否完善进行综合评审：</w:t>
            </w:r>
          </w:p>
          <w:p>
            <w:pPr>
              <w:widowControl/>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1、劳务外包服务人员的管理制度制定详细、操作性强、完善严密的，得1</w:t>
            </w:r>
            <w:r>
              <w:rPr>
                <w:rFonts w:ascii="宋体" w:hAnsi="宋体" w:eastAsia="宋体" w:cs="宋体"/>
                <w:color w:val="000000" w:themeColor="text1"/>
                <w:kern w:val="0"/>
                <w:szCs w:val="21"/>
                <w:highlight w:val="none"/>
              </w:rPr>
              <w:t>5</w:t>
            </w:r>
            <w:r>
              <w:rPr>
                <w:rFonts w:hint="eastAsia" w:ascii="宋体" w:hAnsi="宋体" w:eastAsia="宋体" w:cs="宋体"/>
                <w:color w:val="000000" w:themeColor="text1"/>
                <w:kern w:val="0"/>
                <w:szCs w:val="21"/>
                <w:highlight w:val="none"/>
              </w:rPr>
              <w:t>分；</w:t>
            </w:r>
          </w:p>
          <w:p>
            <w:pPr>
              <w:widowControl/>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2、劳务外包服务人员的管理制度制定较详细、操作性较强、较完善严密的，得</w:t>
            </w:r>
            <w:r>
              <w:rPr>
                <w:rFonts w:ascii="宋体" w:hAnsi="宋体" w:eastAsia="宋体" w:cs="宋体"/>
                <w:color w:val="000000" w:themeColor="text1"/>
                <w:kern w:val="0"/>
                <w:szCs w:val="21"/>
                <w:highlight w:val="none"/>
              </w:rPr>
              <w:t>11</w:t>
            </w:r>
            <w:r>
              <w:rPr>
                <w:rFonts w:hint="eastAsia" w:ascii="宋体" w:hAnsi="宋体" w:eastAsia="宋体" w:cs="宋体"/>
                <w:color w:val="000000" w:themeColor="text1"/>
                <w:kern w:val="0"/>
                <w:szCs w:val="21"/>
                <w:highlight w:val="none"/>
              </w:rPr>
              <w:t>分；</w:t>
            </w:r>
          </w:p>
          <w:p>
            <w:pPr>
              <w:widowControl/>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3、劳务外包服务人员的管理制度制定一般、操作性一般、完善严密性一般的，得</w:t>
            </w:r>
            <w:r>
              <w:rPr>
                <w:rFonts w:ascii="宋体" w:hAnsi="宋体" w:eastAsia="宋体" w:cs="宋体"/>
                <w:color w:val="000000" w:themeColor="text1"/>
                <w:kern w:val="0"/>
                <w:szCs w:val="21"/>
                <w:highlight w:val="none"/>
              </w:rPr>
              <w:t>7</w:t>
            </w:r>
            <w:r>
              <w:rPr>
                <w:rFonts w:hint="eastAsia" w:ascii="宋体" w:hAnsi="宋体" w:eastAsia="宋体" w:cs="宋体"/>
                <w:color w:val="000000" w:themeColor="text1"/>
                <w:kern w:val="0"/>
                <w:szCs w:val="21"/>
                <w:highlight w:val="none"/>
              </w:rPr>
              <w:t>分；</w:t>
            </w:r>
          </w:p>
          <w:p>
            <w:pPr>
              <w:widowControl/>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4、劳务外包服务人员的管理制度制定差、操作性差、完善严密性差的，得</w:t>
            </w:r>
            <w:r>
              <w:rPr>
                <w:rFonts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rPr>
              <w:t>分。</w:t>
            </w:r>
          </w:p>
          <w:p>
            <w:pPr>
              <w:widowControl/>
              <w:spacing w:line="276" w:lineRule="auto"/>
              <w:jc w:val="left"/>
              <w:rPr>
                <w:rFonts w:hint="eastAsia" w:ascii="宋体" w:hAnsi="宋体" w:eastAsia="宋体" w:cs="宋体"/>
                <w:color w:val="000000" w:themeColor="text1"/>
                <w:kern w:val="2"/>
                <w:sz w:val="21"/>
                <w:szCs w:val="21"/>
                <w:highlight w:val="none"/>
                <w:lang w:val="en-US" w:eastAsia="zh-CN" w:bidi="ar-SA"/>
              </w:rPr>
            </w:pPr>
            <w:r>
              <w:rPr>
                <w:rFonts w:ascii="宋体" w:hAnsi="宋体" w:eastAsia="宋体"/>
                <w:color w:val="000000" w:themeColor="text1"/>
                <w:szCs w:val="21"/>
                <w:highlight w:val="none"/>
              </w:rPr>
              <w:t>5</w:t>
            </w:r>
            <w:r>
              <w:rPr>
                <w:rFonts w:hint="eastAsia" w:ascii="宋体" w:hAnsi="宋体" w:eastAsia="宋体"/>
                <w:color w:val="000000" w:themeColor="text1"/>
                <w:szCs w:val="21"/>
                <w:highlight w:val="none"/>
              </w:rPr>
              <w:t>、未提供的不得分。</w:t>
            </w:r>
          </w:p>
        </w:tc>
      </w:tr>
      <w:tr>
        <w:tblPrEx>
          <w:shd w:val="clear" w:color="auto" w:fill="FFFFFF"/>
          <w:tblCellMar>
            <w:top w:w="0" w:type="dxa"/>
            <w:left w:w="0" w:type="dxa"/>
            <w:bottom w:w="0" w:type="dxa"/>
            <w:right w:w="0" w:type="dxa"/>
          </w:tblCellMar>
        </w:tblPrEx>
        <w:trPr>
          <w:cantSplit/>
          <w:trHeight w:val="1497"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应急预案和安全管理制度</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9"/>
              <w:keepNext w:val="0"/>
              <w:keepLines w:val="0"/>
              <w:pageBreakBefore w:val="0"/>
              <w:widowControl w:val="0"/>
              <w:pBdr>
                <w:bottom w:val="none" w:color="auto" w:sz="0" w:space="0"/>
              </w:pBdr>
              <w:kinsoku/>
              <w:wordWrap/>
              <w:overflowPunct/>
              <w:topLinePunct w:val="0"/>
              <w:autoSpaceDE/>
              <w:autoSpaceDN/>
              <w:bidi w:val="0"/>
              <w:adjustRightInd/>
              <w:spacing w:line="32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lang w:eastAsia="zh-CN"/>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76" w:lineRule="auto"/>
              <w:jc w:val="left"/>
              <w:rPr>
                <w:rFonts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根据投标人提供的应急预案和安全管理制度进行评审：</w:t>
            </w:r>
          </w:p>
          <w:p>
            <w:pPr>
              <w:widowControl/>
              <w:spacing w:line="276" w:lineRule="auto"/>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1、应急预案和安全管理制度制定非常详细、针对性强，非常科学合理且操作性非常强、完善严密，得10分；</w:t>
            </w:r>
          </w:p>
          <w:p>
            <w:pPr>
              <w:widowControl/>
              <w:spacing w:line="276" w:lineRule="auto"/>
              <w:jc w:val="left"/>
              <w:rPr>
                <w:rFonts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2、应急预案和安全管理制度制定较详细、针对性较强，科学合理、操作性较强、较完善严密，得7分；</w:t>
            </w:r>
          </w:p>
          <w:p>
            <w:pPr>
              <w:widowControl/>
              <w:spacing w:line="276" w:lineRule="auto"/>
              <w:jc w:val="left"/>
              <w:rPr>
                <w:rFonts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3、应急预案和安全管理制度制定一般，针对性、操作性一般，完善严密性一般的，得3分；</w:t>
            </w:r>
          </w:p>
          <w:p>
            <w:pPr>
              <w:pStyle w:val="2"/>
              <w:spacing w:line="276" w:lineRule="auto"/>
              <w:rPr>
                <w:rFonts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4、</w:t>
            </w:r>
            <w:r>
              <w:rPr>
                <w:rFonts w:hint="eastAsia" w:ascii="宋体" w:hAnsi="宋体" w:eastAsia="宋体" w:cs="宋体"/>
                <w:color w:val="000000" w:themeColor="text1"/>
                <w:kern w:val="0"/>
                <w:szCs w:val="21"/>
                <w:highlight w:val="none"/>
              </w:rPr>
              <w:t>应急预案和安全管理</w:t>
            </w:r>
            <w:r>
              <w:rPr>
                <w:rFonts w:hint="eastAsia" w:ascii="宋体" w:hAnsi="宋体" w:eastAsia="宋体" w:cs="宋体"/>
                <w:color w:val="000000" w:themeColor="text1"/>
                <w:kern w:val="0"/>
                <w:sz w:val="21"/>
                <w:szCs w:val="21"/>
                <w:highlight w:val="none"/>
              </w:rPr>
              <w:t>制度制定差，针对性、操作性差的，得1分；</w:t>
            </w:r>
          </w:p>
          <w:p>
            <w:pPr>
              <w:pStyle w:val="2"/>
              <w:spacing w:line="276" w:lineRule="auto"/>
              <w:rPr>
                <w:rFonts w:hint="eastAsia" w:ascii="宋体" w:hAnsi="宋体" w:eastAsia="宋体" w:cs="宋体"/>
                <w:color w:val="000000" w:themeColor="text1"/>
                <w:sz w:val="21"/>
                <w:szCs w:val="21"/>
                <w:highlight w:val="none"/>
                <w:lang w:val="en-US" w:eastAsia="zh-CN" w:bidi="ar-SA"/>
              </w:rPr>
            </w:pPr>
            <w:r>
              <w:rPr>
                <w:rFonts w:hint="eastAsia" w:ascii="宋体" w:hAnsi="宋体" w:eastAsia="宋体" w:cs="宋体"/>
                <w:color w:val="000000" w:themeColor="text1"/>
                <w:kern w:val="0"/>
                <w:sz w:val="21"/>
                <w:szCs w:val="21"/>
                <w:highlight w:val="none"/>
              </w:rPr>
              <w:t>5、未提供的不得分。</w:t>
            </w:r>
          </w:p>
        </w:tc>
      </w:tr>
      <w:tr>
        <w:tblPrEx>
          <w:shd w:val="clear" w:color="auto" w:fill="FFFFFF"/>
          <w:tblCellMar>
            <w:top w:w="0" w:type="dxa"/>
            <w:left w:w="0" w:type="dxa"/>
            <w:bottom w:w="0" w:type="dxa"/>
            <w:right w:w="0" w:type="dxa"/>
          </w:tblCellMar>
        </w:tblPrEx>
        <w:trPr>
          <w:cantSplit/>
          <w:trHeight w:val="1355"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3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center"/>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color w:val="000000" w:themeColor="text1"/>
                <w:kern w:val="0"/>
                <w:szCs w:val="21"/>
                <w:highlight w:val="none"/>
              </w:rPr>
              <w:t>培训方案</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lang w:eastAsia="zh-CN"/>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jc w:val="left"/>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根据投标人提供的服务知识和技能培训方案等进行综合评审；</w:t>
            </w:r>
          </w:p>
          <w:p>
            <w:pPr>
              <w:widowControl/>
              <w:jc w:val="left"/>
              <w:rPr>
                <w:rFonts w:ascii="宋体" w:hAnsi="宋体" w:eastAsia="宋体" w:cs="宋体"/>
                <w:color w:val="000000" w:themeColor="text1"/>
                <w:kern w:val="0"/>
                <w:szCs w:val="21"/>
                <w:highlight w:val="none"/>
              </w:rPr>
            </w:pPr>
            <w:r>
              <w:rPr>
                <w:rFonts w:hint="eastAsia" w:ascii="宋体" w:hAnsi="宋体" w:eastAsia="宋体" w:cs="宋体"/>
                <w:color w:val="000000" w:themeColor="text1"/>
                <w:kern w:val="0"/>
                <w:szCs w:val="21"/>
                <w:highlight w:val="none"/>
              </w:rPr>
              <w:t>1、培训方案明确，逻辑清晰，可行性强，措施完善，得</w:t>
            </w:r>
            <w:r>
              <w:rPr>
                <w:rFonts w:ascii="宋体" w:hAnsi="宋体" w:eastAsia="宋体" w:cs="宋体"/>
                <w:color w:val="000000" w:themeColor="text1"/>
                <w:kern w:val="0"/>
                <w:szCs w:val="21"/>
                <w:highlight w:val="none"/>
              </w:rPr>
              <w:t>10</w:t>
            </w:r>
            <w:r>
              <w:rPr>
                <w:rFonts w:hint="eastAsia" w:ascii="宋体" w:hAnsi="宋体" w:eastAsia="宋体" w:cs="宋体"/>
                <w:color w:val="000000" w:themeColor="text1"/>
                <w:kern w:val="0"/>
                <w:szCs w:val="21"/>
                <w:highlight w:val="none"/>
              </w:rPr>
              <w:t>分；</w:t>
            </w:r>
          </w:p>
          <w:p>
            <w:pPr>
              <w:widowControl/>
              <w:jc w:val="left"/>
              <w:rPr>
                <w:rFonts w:hint="eastAsia" w:ascii="宋体" w:hAnsi="宋体" w:eastAsia="宋体" w:cs="宋体"/>
                <w:color w:val="000000" w:themeColor="text1"/>
                <w:kern w:val="0"/>
                <w:szCs w:val="21"/>
                <w:highlight w:val="none"/>
              </w:rPr>
            </w:pPr>
            <w:r>
              <w:rPr>
                <w:rFonts w:ascii="宋体" w:hAnsi="宋体" w:eastAsia="宋体" w:cs="宋体"/>
                <w:color w:val="000000" w:themeColor="text1"/>
                <w:kern w:val="0"/>
                <w:szCs w:val="21"/>
                <w:highlight w:val="none"/>
              </w:rPr>
              <w:t>2</w:t>
            </w:r>
            <w:r>
              <w:rPr>
                <w:rFonts w:hint="eastAsia" w:ascii="宋体" w:hAnsi="宋体" w:eastAsia="宋体" w:cs="宋体"/>
                <w:color w:val="000000" w:themeColor="text1"/>
                <w:kern w:val="0"/>
                <w:szCs w:val="21"/>
                <w:highlight w:val="none"/>
              </w:rPr>
              <w:t>、培训方案较明确，逻辑较清晰，可行性较强，措施较完善，得</w:t>
            </w:r>
            <w:r>
              <w:rPr>
                <w:rFonts w:ascii="宋体" w:hAnsi="宋体" w:eastAsia="宋体" w:cs="宋体"/>
                <w:color w:val="000000" w:themeColor="text1"/>
                <w:kern w:val="0"/>
                <w:szCs w:val="21"/>
                <w:highlight w:val="none"/>
              </w:rPr>
              <w:t>7</w:t>
            </w:r>
            <w:r>
              <w:rPr>
                <w:rFonts w:hint="eastAsia" w:ascii="宋体" w:hAnsi="宋体" w:eastAsia="宋体" w:cs="宋体"/>
                <w:color w:val="000000" w:themeColor="text1"/>
                <w:kern w:val="0"/>
                <w:szCs w:val="21"/>
                <w:highlight w:val="none"/>
              </w:rPr>
              <w:t>分；</w:t>
            </w:r>
          </w:p>
          <w:p>
            <w:pPr>
              <w:widowControl/>
              <w:jc w:val="left"/>
              <w:rPr>
                <w:rFonts w:hint="eastAsia" w:ascii="宋体" w:hAnsi="宋体" w:eastAsia="宋体" w:cs="宋体"/>
                <w:color w:val="000000" w:themeColor="text1"/>
                <w:kern w:val="0"/>
                <w:szCs w:val="21"/>
                <w:highlight w:val="none"/>
              </w:rPr>
            </w:pPr>
            <w:r>
              <w:rPr>
                <w:rFonts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rPr>
              <w:t>、培训方案一般，逻辑一般，可行性一般，措施一般，得</w:t>
            </w:r>
            <w:r>
              <w:rPr>
                <w:rFonts w:ascii="宋体" w:hAnsi="宋体" w:eastAsia="宋体" w:cs="宋体"/>
                <w:color w:val="000000" w:themeColor="text1"/>
                <w:kern w:val="0"/>
                <w:szCs w:val="21"/>
                <w:highlight w:val="none"/>
              </w:rPr>
              <w:t>3</w:t>
            </w:r>
            <w:r>
              <w:rPr>
                <w:rFonts w:hint="eastAsia" w:ascii="宋体" w:hAnsi="宋体" w:eastAsia="宋体" w:cs="宋体"/>
                <w:color w:val="000000" w:themeColor="text1"/>
                <w:kern w:val="0"/>
                <w:szCs w:val="21"/>
                <w:highlight w:val="none"/>
              </w:rPr>
              <w:t>分；</w:t>
            </w:r>
          </w:p>
          <w:p>
            <w:pPr>
              <w:widowControl/>
              <w:jc w:val="left"/>
              <w:rPr>
                <w:rFonts w:ascii="宋体" w:hAnsi="宋体" w:eastAsia="宋体" w:cs="宋体"/>
                <w:color w:val="000000" w:themeColor="text1"/>
                <w:kern w:val="0"/>
                <w:szCs w:val="21"/>
                <w:highlight w:val="none"/>
              </w:rPr>
            </w:pPr>
            <w:r>
              <w:rPr>
                <w:rFonts w:ascii="宋体" w:hAnsi="宋体" w:eastAsia="宋体" w:cs="宋体"/>
                <w:color w:val="000000" w:themeColor="text1"/>
                <w:kern w:val="0"/>
                <w:szCs w:val="21"/>
                <w:highlight w:val="none"/>
              </w:rPr>
              <w:t>4</w:t>
            </w:r>
            <w:r>
              <w:rPr>
                <w:rFonts w:hint="eastAsia" w:ascii="宋体" w:hAnsi="宋体" w:eastAsia="宋体" w:cs="宋体"/>
                <w:color w:val="000000" w:themeColor="text1"/>
                <w:kern w:val="0"/>
                <w:szCs w:val="21"/>
                <w:highlight w:val="none"/>
              </w:rPr>
              <w:t>、培训方案差，逻辑差，可行性差，措施差，得1分；</w:t>
            </w:r>
          </w:p>
          <w:p>
            <w:pPr>
              <w:widowControl/>
              <w:jc w:val="left"/>
              <w:rPr>
                <w:rFonts w:hint="eastAsia" w:ascii="宋体" w:hAnsi="宋体" w:eastAsia="宋体" w:cs="宋体"/>
                <w:bCs/>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5、未提供的不得分。</w:t>
            </w:r>
          </w:p>
        </w:tc>
      </w:tr>
      <w:tr>
        <w:tblPrEx>
          <w:shd w:val="clear" w:color="auto" w:fill="FFFFFF"/>
          <w:tblCellMar>
            <w:top w:w="0" w:type="dxa"/>
            <w:left w:w="0" w:type="dxa"/>
            <w:bottom w:w="0" w:type="dxa"/>
            <w:right w:w="0" w:type="dxa"/>
          </w:tblCellMar>
        </w:tblPrEx>
        <w:trPr>
          <w:cantSplit/>
          <w:trHeight w:val="492" w:hRule="atLeast"/>
          <w:jc w:val="center"/>
        </w:trPr>
        <w:tc>
          <w:tcPr>
            <w:tcW w:w="230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11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01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417"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7"/>
        <w:gridCol w:w="1359"/>
        <w:gridCol w:w="1124"/>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9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135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评审内容</w:t>
            </w:r>
          </w:p>
        </w:tc>
        <w:tc>
          <w:tcPr>
            <w:tcW w:w="112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分值</w:t>
            </w:r>
          </w:p>
        </w:tc>
        <w:tc>
          <w:tcPr>
            <w:tcW w:w="60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53" w:hRule="atLeast"/>
        </w:trPr>
        <w:tc>
          <w:tcPr>
            <w:tcW w:w="9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highlight w:val="none"/>
              </w:rPr>
              <w:t>1</w:t>
            </w:r>
          </w:p>
        </w:tc>
        <w:tc>
          <w:tcPr>
            <w:tcW w:w="1359" w:type="dxa"/>
            <w:tcMar>
              <w:top w:w="0" w:type="dxa"/>
              <w:left w:w="108" w:type="dxa"/>
              <w:bottom w:w="0" w:type="dxa"/>
              <w:right w:w="108" w:type="dxa"/>
            </w:tcMar>
            <w:vAlign w:val="center"/>
          </w:tcPr>
          <w:p>
            <w:pPr>
              <w:widowControl/>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用户需求书响应程度</w:t>
            </w:r>
          </w:p>
        </w:tc>
        <w:tc>
          <w:tcPr>
            <w:tcW w:w="112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lang w:eastAsia="zh-CN"/>
              </w:rPr>
              <w:t>分</w:t>
            </w:r>
          </w:p>
        </w:tc>
        <w:tc>
          <w:tcPr>
            <w:tcW w:w="60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根据投标人对用户需求书的响应情况进行评分，标有“▲”号的重要条款，每负偏离一项扣2分；本小项扣至0分为止。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注：如要求提供相关证明材料的，要按要求提供，否则视为负偏离。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9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1359" w:type="dxa"/>
            <w:tcMar>
              <w:top w:w="0" w:type="dxa"/>
              <w:left w:w="108" w:type="dxa"/>
              <w:bottom w:w="0" w:type="dxa"/>
              <w:right w:w="108" w:type="dxa"/>
            </w:tcMar>
            <w:vAlign w:val="center"/>
          </w:tcPr>
          <w:p>
            <w:pPr>
              <w:widowControl/>
              <w:jc w:val="cente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Cs w:val="21"/>
                <w:highlight w:val="none"/>
              </w:rPr>
              <w:t>同类业绩</w:t>
            </w:r>
          </w:p>
        </w:tc>
        <w:tc>
          <w:tcPr>
            <w:tcW w:w="112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lang w:eastAsia="zh-CN"/>
              </w:rPr>
              <w:t>分</w:t>
            </w:r>
          </w:p>
        </w:tc>
        <w:tc>
          <w:tcPr>
            <w:tcW w:w="6017" w:type="dxa"/>
            <w:tcMar>
              <w:top w:w="0" w:type="dxa"/>
              <w:left w:w="108" w:type="dxa"/>
              <w:bottom w:w="0" w:type="dxa"/>
              <w:right w:w="108" w:type="dxa"/>
            </w:tcMar>
            <w:vAlign w:val="center"/>
          </w:tcPr>
          <w:p>
            <w:pPr>
              <w:keepNext w:val="0"/>
              <w:keepLines w:val="0"/>
              <w:pageBreakBefore w:val="0"/>
              <w:widowControl w:val="0"/>
              <w:tabs>
                <w:tab w:val="left" w:pos="257"/>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根据投标人完成的同类</w:t>
            </w:r>
            <w:r>
              <w:rPr>
                <w:rFonts w:hint="eastAsia" w:ascii="宋体" w:hAnsi="宋体" w:cs="宋体"/>
                <w:color w:val="000000" w:themeColor="text1"/>
                <w:kern w:val="2"/>
                <w:sz w:val="21"/>
                <w:szCs w:val="21"/>
                <w:highlight w:val="none"/>
                <w:lang w:val="en-US" w:eastAsia="zh-CN" w:bidi="ar-SA"/>
              </w:rPr>
              <w:t>项目业绩（同类业绩包含：</w:t>
            </w:r>
            <w:r>
              <w:rPr>
                <w:rFonts w:hint="eastAsia" w:ascii="宋体" w:hAnsi="宋体" w:eastAsia="宋体" w:cs="宋体"/>
                <w:color w:val="000000" w:themeColor="text1"/>
                <w:kern w:val="2"/>
                <w:sz w:val="21"/>
                <w:szCs w:val="21"/>
                <w:highlight w:val="none"/>
                <w:lang w:val="en-US" w:eastAsia="zh-CN" w:bidi="ar-SA"/>
              </w:rPr>
              <w:t>综合辅助服务</w:t>
            </w:r>
            <w:r>
              <w:rPr>
                <w:rFonts w:hint="eastAsia" w:ascii="宋体" w:hAnsi="宋体" w:cs="宋体"/>
                <w:color w:val="000000" w:themeColor="text1"/>
                <w:kern w:val="2"/>
                <w:sz w:val="21"/>
                <w:szCs w:val="21"/>
                <w:highlight w:val="none"/>
                <w:lang w:val="en-US" w:eastAsia="zh-CN" w:bidi="ar-SA"/>
              </w:rPr>
              <w:t>、后勤保障服务、</w:t>
            </w:r>
            <w:r>
              <w:rPr>
                <w:rFonts w:hint="eastAsia" w:ascii="宋体" w:hAnsi="宋体"/>
                <w:color w:val="000000" w:themeColor="text1"/>
                <w:szCs w:val="21"/>
                <w:highlight w:val="none"/>
                <w:lang w:eastAsia="zh-CN"/>
              </w:rPr>
              <w:t>网络和信息支持服务、</w:t>
            </w:r>
            <w:r>
              <w:rPr>
                <w:rFonts w:hint="eastAsia" w:ascii="宋体" w:hAnsi="宋体" w:eastAsia="宋体" w:cs="宋体"/>
                <w:color w:val="000000" w:themeColor="text1"/>
                <w:kern w:val="2"/>
                <w:sz w:val="21"/>
                <w:szCs w:val="21"/>
                <w:highlight w:val="none"/>
                <w:lang w:val="en-US" w:eastAsia="zh-CN" w:bidi="ar-SA"/>
              </w:rPr>
              <w:t>驾驶服务</w:t>
            </w:r>
            <w:r>
              <w:rPr>
                <w:rFonts w:hint="eastAsia" w:ascii="宋体" w:hAnsi="宋体" w:cs="宋体"/>
                <w:color w:val="000000" w:themeColor="text1"/>
                <w:kern w:val="2"/>
                <w:sz w:val="21"/>
                <w:szCs w:val="21"/>
                <w:highlight w:val="none"/>
                <w:lang w:val="en-US" w:eastAsia="zh-CN" w:bidi="ar-SA"/>
              </w:rPr>
              <w:t>、</w:t>
            </w:r>
            <w:r>
              <w:rPr>
                <w:rFonts w:hint="eastAsia" w:ascii="宋体" w:hAnsi="宋体" w:eastAsia="宋体" w:cs="宋体"/>
                <w:color w:val="000000" w:themeColor="text1"/>
                <w:kern w:val="2"/>
                <w:sz w:val="21"/>
                <w:szCs w:val="21"/>
                <w:highlight w:val="none"/>
                <w:lang w:val="en-US" w:eastAsia="zh-CN" w:bidi="ar-SA"/>
              </w:rPr>
              <w:t>食堂劳务服务（不含食品配送服务）</w:t>
            </w:r>
            <w:r>
              <w:rPr>
                <w:rFonts w:hint="eastAsia" w:ascii="宋体" w:hAnsi="宋体" w:cs="宋体"/>
                <w:color w:val="000000" w:themeColor="text1"/>
                <w:kern w:val="2"/>
                <w:sz w:val="21"/>
                <w:szCs w:val="21"/>
                <w:highlight w:val="none"/>
                <w:lang w:val="en-US" w:eastAsia="zh-CN" w:bidi="ar-SA"/>
              </w:rPr>
              <w:t>，满足其中一项即可）</w:t>
            </w:r>
            <w:r>
              <w:rPr>
                <w:rFonts w:hint="eastAsia" w:ascii="宋体" w:hAnsi="宋体" w:eastAsia="宋体" w:cs="宋体"/>
                <w:color w:val="000000" w:themeColor="text1"/>
                <w:kern w:val="2"/>
                <w:sz w:val="21"/>
                <w:szCs w:val="21"/>
                <w:highlight w:val="none"/>
                <w:lang w:val="en-US" w:eastAsia="zh-CN" w:bidi="ar-SA"/>
              </w:rPr>
              <w:t>，每提供一个同类业绩得5分，最高得10分。</w:t>
            </w:r>
          </w:p>
          <w:p>
            <w:pPr>
              <w:keepNext w:val="0"/>
              <w:keepLines w:val="0"/>
              <w:pageBreakBefore w:val="0"/>
              <w:widowControl w:val="0"/>
              <w:tabs>
                <w:tab w:val="left" w:pos="257"/>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注：须提供合同关键页复印件（包括但不限于合同服务内容页、合同签章页）作为评审依据，证明材料资料不全无法确定为同类项目业绩的，不予认可。没有提供的不得分。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atLeast"/>
        </w:trPr>
        <w:tc>
          <w:tcPr>
            <w:tcW w:w="227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1124"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分</w:t>
            </w:r>
          </w:p>
        </w:tc>
        <w:tc>
          <w:tcPr>
            <w:tcW w:w="6017"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672"/>
    <w:bookmarkEnd w:id="1673"/>
    <w:bookmarkEnd w:id="1674"/>
    <w:bookmarkEnd w:id="1675"/>
    <w:bookmarkEnd w:id="1676"/>
    <w:bookmarkEnd w:id="1677"/>
    <w:bookmarkEnd w:id="1678"/>
    <w:bookmarkEnd w:id="1679"/>
    <w:bookmarkEnd w:id="1680"/>
    <w:bookmarkEnd w:id="1681"/>
    <w:p>
      <w:pPr>
        <w:pStyle w:val="3"/>
        <w:numPr>
          <w:ilvl w:val="0"/>
          <w:numId w:val="0"/>
        </w:numPr>
        <w:spacing w:beforeLines="0"/>
        <w:rPr>
          <w:color w:val="000000" w:themeColor="text1"/>
          <w:highlight w:val="none"/>
        </w:rPr>
      </w:pPr>
      <w:bookmarkStart w:id="1692" w:name="_Hlt21939000"/>
      <w:bookmarkEnd w:id="1692"/>
      <w:bookmarkStart w:id="1693" w:name="_Toc374454610"/>
      <w:bookmarkStart w:id="1694" w:name="_Toc331512907"/>
      <w:bookmarkStart w:id="1695" w:name="_Toc339020242"/>
      <w:bookmarkStart w:id="1696" w:name="_Toc365967081"/>
      <w:bookmarkStart w:id="1697" w:name="_Toc336681589"/>
      <w:bookmarkStart w:id="1698" w:name="_Toc337632367"/>
      <w:bookmarkStart w:id="1699" w:name="_Toc349127635"/>
      <w:bookmarkStart w:id="1700" w:name="_Toc332206717"/>
      <w:bookmarkStart w:id="1701" w:name="_Toc340677079"/>
      <w:bookmarkStart w:id="1702" w:name="_Toc340672878"/>
      <w:bookmarkStart w:id="1703" w:name="_Toc350438758"/>
      <w:bookmarkStart w:id="1704" w:name="_Toc366072538"/>
      <w:bookmarkStart w:id="1705" w:name="_Toc333935696"/>
      <w:bookmarkStart w:id="1706" w:name="_Toc330459994"/>
      <w:bookmarkStart w:id="1707" w:name="_Toc339441096"/>
      <w:bookmarkStart w:id="1708" w:name="_Toc333237797"/>
      <w:bookmarkStart w:id="1709" w:name="_Toc336681944"/>
      <w:bookmarkStart w:id="1710" w:name="_Toc332270355"/>
      <w:bookmarkStart w:id="1711" w:name="_Toc349143598"/>
      <w:bookmarkStart w:id="1712" w:name="_Toc339362309"/>
      <w:bookmarkStart w:id="1713" w:name="_Toc339020024"/>
      <w:bookmarkStart w:id="1714" w:name="_Toc333935355"/>
      <w:bookmarkStart w:id="1715" w:name="_Toc339019898"/>
      <w:bookmarkStart w:id="1716" w:name="_Toc342060383"/>
      <w:bookmarkStart w:id="1717" w:name="_Toc342296769"/>
      <w:bookmarkStart w:id="1718" w:name="_Toc333238642"/>
      <w:bookmarkStart w:id="1719" w:name="_Toc345513910"/>
      <w:bookmarkStart w:id="1720" w:name="_Toc340507451"/>
      <w:bookmarkStart w:id="1721" w:name="_Toc331684047"/>
      <w:bookmarkStart w:id="1722" w:name="_Toc365985187"/>
      <w:bookmarkStart w:id="1723" w:name="_Toc350756459"/>
      <w:bookmarkStart w:id="1724" w:name="_Toc333237686"/>
      <w:bookmarkStart w:id="1725" w:name="_Toc341348347"/>
      <w:bookmarkStart w:id="1726" w:name="_Toc339020104"/>
      <w:bookmarkStart w:id="1727" w:name="_Toc17587"/>
      <w:r>
        <w:rPr>
          <w:rFonts w:hint="eastAsia"/>
          <w:color w:val="000000" w:themeColor="text1"/>
          <w:highlight w:val="none"/>
        </w:rPr>
        <w:t>第四部分  采购项目合同</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Start w:id="1728" w:name="_Hlt97188170"/>
      <w:bookmarkEnd w:id="1728"/>
      <w:r>
        <w:rPr>
          <w:rFonts w:hint="eastAsia"/>
          <w:color w:val="000000" w:themeColor="text1"/>
          <w:highlight w:val="none"/>
        </w:rPr>
        <w:t>（参考范本）</w:t>
      </w:r>
      <w:bookmarkEnd w:id="1727"/>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rPr>
          <w:bCs/>
          <w:color w:val="000000" w:themeColor="text1"/>
          <w:highlight w:val="none"/>
        </w:rPr>
      </w:pPr>
    </w:p>
    <w:p>
      <w:pPr>
        <w:rPr>
          <w:color w:val="000000" w:themeColor="text1"/>
          <w:highlight w:val="none"/>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rPr>
      </w:pPr>
      <w:r>
        <w:rPr>
          <w:rFonts w:hint="eastAsia" w:ascii="宋体" w:hAnsi="宋体" w:eastAsia="宋体" w:cs="宋体"/>
          <w:b/>
          <w:color w:val="000000" w:themeColor="text1"/>
          <w:sz w:val="44"/>
          <w:szCs w:val="44"/>
          <w:highlight w:val="none"/>
          <w:lang w:eastAsia="zh-CN"/>
        </w:rPr>
        <w:t>国家税务总局阳西县税务局2023年－2025年劳务外包服务项目</w:t>
      </w: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both"/>
        <w:rPr>
          <w:rFonts w:hint="eastAsia" w:ascii="宋体" w:hAnsi="宋体"/>
          <w:b/>
          <w:color w:val="000000" w:themeColor="text1"/>
          <w:sz w:val="28"/>
          <w:szCs w:val="28"/>
          <w:highlight w:val="none"/>
          <w:lang w:val="en-US" w:eastAsia="zh-CN"/>
        </w:rPr>
      </w:pPr>
      <w:r>
        <w:rPr>
          <w:rFonts w:hint="eastAsia" w:ascii="宋体" w:hAnsi="宋体"/>
          <w:b/>
          <w:color w:val="000000" w:themeColor="text1"/>
          <w:sz w:val="28"/>
          <w:szCs w:val="28"/>
          <w:highlight w:val="none"/>
          <w:lang w:val="en-US" w:eastAsia="zh-CN"/>
        </w:rPr>
        <w:t xml:space="preserve">               </w:t>
      </w:r>
    </w:p>
    <w:p>
      <w:pPr>
        <w:jc w:val="both"/>
        <w:rPr>
          <w:rFonts w:hint="eastAsia" w:ascii="宋体" w:hAnsi="宋体"/>
          <w:b/>
          <w:color w:val="000000" w:themeColor="text1"/>
          <w:sz w:val="28"/>
          <w:szCs w:val="28"/>
          <w:highlight w:val="none"/>
          <w:lang w:val="en-US" w:eastAsia="zh-CN"/>
        </w:rPr>
      </w:pPr>
    </w:p>
    <w:p>
      <w:pPr>
        <w:jc w:val="both"/>
        <w:rPr>
          <w:rFonts w:hint="eastAsia" w:ascii="宋体" w:hAnsi="宋体"/>
          <w:b/>
          <w:color w:val="000000" w:themeColor="text1"/>
          <w:sz w:val="28"/>
          <w:szCs w:val="28"/>
          <w:highlight w:val="none"/>
          <w:lang w:val="en-US" w:eastAsia="zh-CN"/>
        </w:rPr>
      </w:pPr>
    </w:p>
    <w:p>
      <w:pPr>
        <w:jc w:val="both"/>
        <w:rPr>
          <w:rFonts w:hint="eastAsia" w:ascii="宋体" w:hAnsi="宋体"/>
          <w:b/>
          <w:color w:val="000000" w:themeColor="text1"/>
          <w:sz w:val="28"/>
          <w:szCs w:val="28"/>
          <w:highlight w:val="none"/>
          <w:lang w:val="en-US" w:eastAsia="zh-CN"/>
        </w:rPr>
      </w:pPr>
    </w:p>
    <w:p>
      <w:pPr>
        <w:ind w:right="-168" w:rightChars="-80"/>
        <w:jc w:val="both"/>
        <w:rPr>
          <w:rFonts w:hint="eastAsia" w:ascii="宋体" w:hAnsi="宋体"/>
          <w:b/>
          <w:color w:val="000000" w:themeColor="text1"/>
          <w:sz w:val="28"/>
          <w:szCs w:val="28"/>
          <w:highlight w:val="none"/>
          <w:u w:val="single"/>
          <w:lang w:val="en-US" w:eastAsia="zh-CN"/>
        </w:rPr>
      </w:pPr>
      <w:r>
        <w:rPr>
          <w:rFonts w:hint="eastAsia" w:ascii="宋体" w:hAnsi="宋体"/>
          <w:b/>
          <w:color w:val="000000" w:themeColor="text1"/>
          <w:sz w:val="28"/>
          <w:szCs w:val="28"/>
          <w:highlight w:val="none"/>
          <w:lang w:val="en-US" w:eastAsia="zh-CN"/>
        </w:rPr>
        <w:t>合同编号：</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p>
    <w:p>
      <w:pPr>
        <w:ind w:right="-168" w:rightChars="-80"/>
        <w:jc w:val="both"/>
        <w:rPr>
          <w:rFonts w:hint="eastAsia" w:ascii="宋体" w:hAnsi="宋体"/>
          <w:b/>
          <w:color w:val="000000" w:themeColor="text1"/>
          <w:sz w:val="28"/>
          <w:szCs w:val="28"/>
          <w:highlight w:val="none"/>
        </w:rPr>
      </w:pPr>
    </w:p>
    <w:p>
      <w:pPr>
        <w:ind w:right="-168" w:rightChars="-8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val="en-US" w:eastAsia="zh-CN"/>
        </w:rPr>
        <w:t xml:space="preserve">                     </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right="-168" w:rightChars="-8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r>
        <w:rPr>
          <w:rFonts w:hint="eastAsia" w:ascii="宋体" w:hAnsi="宋体"/>
          <w:b/>
          <w:color w:val="000000" w:themeColor="text1"/>
          <w:sz w:val="28"/>
          <w:szCs w:val="28"/>
          <w:highlight w:val="none"/>
          <w:u w:val="single"/>
          <w:lang w:eastAsia="zh-CN"/>
        </w:rPr>
        <w:t>国家税务总局阳西县税务局2023年－2025年劳务外包服务项目</w:t>
      </w:r>
    </w:p>
    <w:p>
      <w:pPr>
        <w:rPr>
          <w:rFonts w:hint="eastAsia" w:ascii="宋体" w:hAnsi="宋体"/>
          <w:b/>
          <w:color w:val="000000" w:themeColor="text1"/>
          <w:sz w:val="28"/>
          <w:szCs w:val="28"/>
          <w:highlight w:val="none"/>
        </w:rPr>
      </w:pPr>
    </w:p>
    <w:p>
      <w:pPr>
        <w:jc w:val="center"/>
        <w:rPr>
          <w:rFonts w:hint="eastAsia" w:ascii="宋体" w:hAnsi="宋体" w:cs="宋体"/>
          <w:color w:val="000000" w:themeColor="text1"/>
          <w:sz w:val="44"/>
          <w:szCs w:val="44"/>
          <w:highlight w:val="none"/>
          <w:lang w:eastAsia="zh-CN"/>
        </w:rPr>
      </w:pPr>
    </w:p>
    <w:p>
      <w:pPr>
        <w:jc w:val="center"/>
        <w:rPr>
          <w:rFonts w:hint="eastAsia" w:ascii="宋体" w:hAnsi="宋体" w:cs="宋体"/>
          <w:color w:val="000000" w:themeColor="text1"/>
          <w:sz w:val="44"/>
          <w:szCs w:val="44"/>
          <w:highlight w:val="none"/>
          <w:lang w:eastAsia="zh-CN"/>
        </w:rPr>
      </w:pPr>
    </w:p>
    <w:p>
      <w:pPr>
        <w:wordWrap w:val="0"/>
        <w:jc w:val="right"/>
        <w:rPr>
          <w:rFonts w:hint="default" w:ascii="宋体" w:hAnsi="宋体" w:cs="宋体"/>
          <w:color w:val="000000" w:themeColor="text1"/>
          <w:sz w:val="28"/>
          <w:szCs w:val="28"/>
          <w:highlight w:val="none"/>
          <w:lang w:val="en-US" w:eastAsia="zh-CN"/>
        </w:rPr>
      </w:pPr>
      <w:r>
        <w:rPr>
          <w:rStyle w:val="310"/>
          <w:rFonts w:hint="eastAsia"/>
          <w:b/>
          <w:i w:val="0"/>
          <w:caps w:val="0"/>
          <w:color w:val="000000" w:themeColor="text1"/>
          <w:spacing w:val="0"/>
          <w:w w:val="100"/>
          <w:kern w:val="2"/>
          <w:sz w:val="28"/>
          <w:szCs w:val="28"/>
          <w:highlight w:val="none"/>
          <w:lang w:val="en-US" w:eastAsia="zh-CN" w:bidi="ar-SA"/>
        </w:rPr>
        <w:t xml:space="preserve">  </w:t>
      </w:r>
    </w:p>
    <w:p>
      <w:pPr>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br w:type="page"/>
      </w:r>
    </w:p>
    <w:p>
      <w:pPr>
        <w:spacing w:line="360" w:lineRule="auto"/>
        <w:rPr>
          <w:rFonts w:hint="default"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甲方：</w:t>
      </w:r>
      <w:r>
        <w:rPr>
          <w:rFonts w:hint="eastAsia" w:ascii="宋体" w:hAnsi="宋体" w:cs="宋体"/>
          <w:color w:val="000000" w:themeColor="text1"/>
          <w:sz w:val="28"/>
          <w:szCs w:val="28"/>
          <w:highlight w:val="none"/>
          <w:u w:val="single"/>
          <w:lang w:eastAsia="zh-CN"/>
        </w:rPr>
        <w:t>国家税务总局阳西县税务局</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地址：</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电话：</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乙方：</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地址：</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p>
    <w:p>
      <w:pPr>
        <w:spacing w:line="360" w:lineRule="auto"/>
        <w:rPr>
          <w:rFonts w:hint="eastAsia" w:ascii="宋体" w:hAnsi="宋体" w:eastAsia="宋体" w:cs="宋体"/>
          <w:color w:val="000000" w:themeColor="text1"/>
          <w:sz w:val="28"/>
          <w:szCs w:val="28"/>
          <w:highlight w:val="none"/>
          <w:u w:val="single"/>
        </w:rPr>
      </w:pPr>
      <w:r>
        <w:rPr>
          <w:rFonts w:hint="eastAsia" w:ascii="宋体" w:hAnsi="宋体" w:eastAsia="宋体" w:cs="宋体"/>
          <w:color w:val="000000" w:themeColor="text1"/>
          <w:sz w:val="28"/>
          <w:szCs w:val="28"/>
          <w:highlight w:val="none"/>
        </w:rPr>
        <w:t>电话：</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p>
    <w:p>
      <w:pPr>
        <w:widowControl w:val="0"/>
        <w:wordWrap/>
        <w:adjustRightInd/>
        <w:snapToGrid/>
        <w:spacing w:line="360" w:lineRule="auto"/>
        <w:ind w:firstLine="555"/>
        <w:jc w:val="left"/>
        <w:textAlignment w:val="auto"/>
        <w:rPr>
          <w:rFonts w:hint="eastAsia" w:ascii="宋体" w:hAnsi="宋体" w:eastAsia="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 xml:space="preserve">根据 </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eastAsia="zh-CN"/>
        </w:rPr>
        <w:t>国家税务总局阳西县税务局2023年－2025年劳务外包服务项目</w:t>
      </w:r>
      <w:r>
        <w:rPr>
          <w:rFonts w:hint="eastAsia" w:ascii="宋体" w:hAnsi="宋体" w:eastAsia="宋体" w:cs="宋体"/>
          <w:color w:val="000000" w:themeColor="text1"/>
          <w:sz w:val="28"/>
          <w:szCs w:val="28"/>
          <w:highlight w:val="none"/>
        </w:rPr>
        <w:t>（采购编号：</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）的采购结果</w:t>
      </w:r>
      <w:r>
        <w:rPr>
          <w:rFonts w:hint="eastAsia" w:ascii="宋体" w:hAnsi="宋体" w:eastAsia="宋体" w:cs="宋体"/>
          <w:color w:val="000000" w:themeColor="text1"/>
          <w:sz w:val="28"/>
          <w:szCs w:val="28"/>
          <w:highlight w:val="none"/>
          <w:lang w:val="en-US" w:eastAsia="zh-CN"/>
        </w:rPr>
        <w:t>及</w:t>
      </w:r>
      <w:r>
        <w:rPr>
          <w:rFonts w:hint="eastAsia" w:ascii="宋体" w:hAnsi="宋体" w:eastAsia="宋体" w:cs="宋体"/>
          <w:color w:val="000000" w:themeColor="text1"/>
          <w:sz w:val="28"/>
          <w:szCs w:val="28"/>
          <w:highlight w:val="none"/>
        </w:rPr>
        <w:t>招标投标文件中的相关约定，按照《中华人民共和国政府采购法》、</w:t>
      </w:r>
      <w:r>
        <w:rPr>
          <w:rFonts w:hint="eastAsia" w:ascii="宋体" w:hAnsi="宋体" w:eastAsia="宋体" w:cs="宋体"/>
          <w:color w:val="000000" w:themeColor="text1"/>
          <w:sz w:val="28"/>
          <w:szCs w:val="28"/>
          <w:highlight w:val="none"/>
          <w:lang w:eastAsia="zh-CN"/>
        </w:rPr>
        <w:t>《中华人民共和国民法典》</w:t>
      </w:r>
      <w:r>
        <w:rPr>
          <w:rFonts w:hint="eastAsia" w:ascii="宋体" w:hAnsi="宋体" w:eastAsia="宋体" w:cs="宋体"/>
          <w:color w:val="000000" w:themeColor="text1"/>
          <w:sz w:val="28"/>
          <w:szCs w:val="28"/>
          <w:highlight w:val="none"/>
        </w:rPr>
        <w:t>的规定，</w:t>
      </w:r>
      <w:r>
        <w:rPr>
          <w:rFonts w:hint="eastAsia" w:ascii="宋体" w:hAnsi="宋体" w:eastAsia="宋体" w:cs="宋体"/>
          <w:color w:val="000000" w:themeColor="text1"/>
          <w:kern w:val="28"/>
          <w:sz w:val="28"/>
          <w:szCs w:val="28"/>
          <w:highlight w:val="none"/>
        </w:rPr>
        <w:t>经双方协商，</w:t>
      </w:r>
      <w:r>
        <w:rPr>
          <w:rFonts w:hint="eastAsia" w:ascii="宋体" w:hAnsi="宋体" w:eastAsia="宋体" w:cs="宋体"/>
          <w:color w:val="000000" w:themeColor="text1"/>
          <w:sz w:val="28"/>
          <w:szCs w:val="28"/>
          <w:highlight w:val="none"/>
        </w:rPr>
        <w:t>本着平等互利和诚实信用的原则，</w:t>
      </w:r>
      <w:r>
        <w:rPr>
          <w:rFonts w:hint="eastAsia" w:ascii="宋体" w:hAnsi="宋体" w:eastAsia="宋体" w:cs="宋体"/>
          <w:color w:val="000000" w:themeColor="text1"/>
          <w:kern w:val="28"/>
          <w:sz w:val="28"/>
          <w:szCs w:val="28"/>
          <w:highlight w:val="none"/>
        </w:rPr>
        <w:t>一致同意签订本合同如下</w:t>
      </w:r>
      <w:r>
        <w:rPr>
          <w:rFonts w:hint="eastAsia" w:ascii="宋体" w:hAnsi="宋体" w:cs="宋体"/>
          <w:color w:val="000000" w:themeColor="text1"/>
          <w:kern w:val="28"/>
          <w:sz w:val="28"/>
          <w:szCs w:val="28"/>
          <w:highlight w:val="none"/>
          <w:lang w:eastAsia="zh-CN"/>
        </w:rPr>
        <w:t>：</w:t>
      </w:r>
    </w:p>
    <w:p>
      <w:pPr>
        <w:widowControl w:val="0"/>
        <w:wordWrap/>
        <w:adjustRightInd/>
        <w:snapToGrid/>
        <w:spacing w:line="360" w:lineRule="auto"/>
        <w:ind w:firstLine="560" w:firstLineChars="200"/>
        <w:textAlignment w:val="auto"/>
        <w:rPr>
          <w:rFonts w:hint="eastAsia" w:ascii="宋体" w:hAnsi="宋体" w:eastAsia="宋体" w:cs="宋体"/>
          <w:b w:val="0"/>
          <w:bCs w:val="0"/>
          <w:color w:val="000000" w:themeColor="text1"/>
          <w:sz w:val="28"/>
          <w:szCs w:val="28"/>
          <w:highlight w:val="none"/>
        </w:rPr>
      </w:pPr>
      <w:r>
        <w:rPr>
          <w:rFonts w:hint="eastAsia" w:ascii="宋体" w:hAnsi="宋体" w:eastAsia="宋体" w:cs="宋体"/>
          <w:b w:val="0"/>
          <w:bCs w:val="0"/>
          <w:color w:val="000000" w:themeColor="text1"/>
          <w:sz w:val="28"/>
          <w:szCs w:val="28"/>
          <w:highlight w:val="none"/>
          <w:lang w:eastAsia="zh-CN"/>
        </w:rPr>
        <w:t>第一条</w:t>
      </w:r>
      <w:r>
        <w:rPr>
          <w:rFonts w:hint="eastAsia" w:ascii="宋体" w:hAnsi="宋体" w:eastAsia="宋体" w:cs="宋体"/>
          <w:b w:val="0"/>
          <w:bCs w:val="0"/>
          <w:color w:val="000000" w:themeColor="text1"/>
          <w:sz w:val="28"/>
          <w:szCs w:val="28"/>
          <w:highlight w:val="none"/>
        </w:rPr>
        <w:tab/>
      </w:r>
      <w:r>
        <w:rPr>
          <w:rFonts w:hint="eastAsia" w:ascii="宋体" w:hAnsi="宋体" w:eastAsia="宋体" w:cs="宋体"/>
          <w:b w:val="0"/>
          <w:bCs w:val="0"/>
          <w:color w:val="000000" w:themeColor="text1"/>
          <w:sz w:val="28"/>
          <w:szCs w:val="28"/>
          <w:highlight w:val="none"/>
        </w:rPr>
        <w:t>合同金额</w:t>
      </w:r>
    </w:p>
    <w:p>
      <w:pPr>
        <w:widowControl w:val="0"/>
        <w:wordWrap/>
        <w:adjustRightInd/>
        <w:snapToGrid/>
        <w:spacing w:line="360" w:lineRule="auto"/>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合同金额为人民币（大写</w:t>
      </w:r>
      <w:r>
        <w:rPr>
          <w:rFonts w:hint="eastAsia" w:ascii="宋体" w:hAnsi="宋体" w:eastAsia="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 xml:space="preserve"> </w:t>
      </w:r>
      <w:r>
        <w:rPr>
          <w:rFonts w:hint="eastAsia" w:ascii="宋体" w:hAnsi="宋体" w:eastAsia="宋体" w:cs="宋体"/>
          <w:color w:val="000000" w:themeColor="text1"/>
          <w:sz w:val="28"/>
          <w:szCs w:val="28"/>
          <w:highlight w:val="none"/>
        </w:rPr>
        <w:tab/>
      </w:r>
      <w:r>
        <w:rPr>
          <w:rFonts w:hint="eastAsia" w:ascii="宋体" w:hAnsi="宋体" w:eastAsia="宋体" w:cs="宋体"/>
          <w:color w:val="000000" w:themeColor="text1"/>
          <w:sz w:val="28"/>
          <w:szCs w:val="28"/>
          <w:highlight w:val="none"/>
        </w:rPr>
        <w:t>元）。</w:t>
      </w:r>
    </w:p>
    <w:p>
      <w:pPr>
        <w:pStyle w:val="54"/>
        <w:widowControl w:val="0"/>
        <w:wordWrap/>
        <w:autoSpaceDE w:val="0"/>
        <w:autoSpaceDN w:val="0"/>
        <w:adjustRightInd w:val="0"/>
        <w:snapToGrid/>
        <w:spacing w:line="360" w:lineRule="auto"/>
        <w:ind w:firstLine="560" w:firstLineChars="200"/>
        <w:textAlignment w:val="auto"/>
        <w:rPr>
          <w:rFonts w:hint="default" w:ascii="Times New Roman" w:hAnsi="Times New Roman" w:eastAsia="宋体" w:cs="Times New Roman"/>
          <w:bCs w:val="0"/>
          <w:color w:val="000000" w:themeColor="text1"/>
          <w:kern w:val="2"/>
          <w:sz w:val="28"/>
          <w:szCs w:val="28"/>
          <w:highlight w:val="none"/>
          <w:lang w:val="en-US" w:eastAsia="zh-CN" w:bidi="ar-SA"/>
        </w:rPr>
      </w:pPr>
      <w:r>
        <w:rPr>
          <w:rFonts w:hint="eastAsia" w:ascii="Times New Roman" w:hAnsi="Times New Roman" w:eastAsia="宋体" w:cs="Times New Roman"/>
          <w:bCs w:val="0"/>
          <w:color w:val="000000" w:themeColor="text1"/>
          <w:kern w:val="2"/>
          <w:sz w:val="28"/>
          <w:szCs w:val="28"/>
          <w:highlight w:val="none"/>
          <w:lang w:val="en-US" w:eastAsia="zh-CN" w:bidi="ar-SA"/>
        </w:rPr>
        <w:t>本合同履行期间实际支付的</w:t>
      </w:r>
      <w:r>
        <w:rPr>
          <w:rFonts w:hint="eastAsia" w:ascii="Times New Roman" w:eastAsia="宋体" w:cs="Times New Roman"/>
          <w:bCs w:val="0"/>
          <w:color w:val="000000" w:themeColor="text1"/>
          <w:kern w:val="2"/>
          <w:sz w:val="28"/>
          <w:szCs w:val="28"/>
          <w:highlight w:val="none"/>
          <w:lang w:val="en-US" w:eastAsia="zh-CN" w:bidi="ar-SA"/>
        </w:rPr>
        <w:t>服务费总额不能超出上述合同金额，否则超出部分由乙方承担。</w:t>
      </w:r>
    </w:p>
    <w:p>
      <w:pPr>
        <w:widowControl w:val="0"/>
        <w:wordWrap/>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二</w:t>
      </w:r>
      <w:r>
        <w:rPr>
          <w:rFonts w:hint="eastAsia" w:ascii="宋体" w:hAnsi="宋体" w:eastAsia="宋体" w:cs="宋体"/>
          <w:color w:val="000000" w:themeColor="text1"/>
          <w:sz w:val="28"/>
          <w:szCs w:val="28"/>
          <w:highlight w:val="none"/>
        </w:rPr>
        <w:t>条  一般规定</w:t>
      </w:r>
    </w:p>
    <w:p>
      <w:pPr>
        <w:widowControl w:val="0"/>
        <w:wordWrap/>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1、本合同为</w:t>
      </w:r>
      <w:r>
        <w:rPr>
          <w:rFonts w:hint="eastAsia" w:ascii="宋体" w:hAnsi="宋体" w:cs="宋体"/>
          <w:color w:val="000000" w:themeColor="text1"/>
          <w:sz w:val="28"/>
          <w:szCs w:val="28"/>
          <w:highlight w:val="none"/>
          <w:lang w:val="en-US" w:eastAsia="zh-CN"/>
        </w:rPr>
        <w:t>劳务外包</w:t>
      </w:r>
      <w:r>
        <w:rPr>
          <w:rFonts w:hint="eastAsia" w:ascii="宋体" w:hAnsi="宋体" w:cs="宋体"/>
          <w:color w:val="000000" w:themeColor="text1"/>
          <w:sz w:val="28"/>
          <w:szCs w:val="28"/>
          <w:highlight w:val="none"/>
          <w:lang w:eastAsia="zh-CN"/>
        </w:rPr>
        <w:t>服务</w:t>
      </w:r>
      <w:r>
        <w:rPr>
          <w:rFonts w:hint="eastAsia" w:ascii="宋体" w:hAnsi="宋体" w:eastAsia="宋体" w:cs="宋体"/>
          <w:color w:val="000000" w:themeColor="text1"/>
          <w:sz w:val="28"/>
          <w:szCs w:val="28"/>
          <w:highlight w:val="none"/>
        </w:rPr>
        <w:t>合同，乙方向甲方</w:t>
      </w:r>
      <w:r>
        <w:rPr>
          <w:rFonts w:hint="eastAsia" w:ascii="宋体" w:hAnsi="宋体" w:cs="宋体"/>
          <w:color w:val="000000" w:themeColor="text1"/>
          <w:sz w:val="28"/>
          <w:szCs w:val="28"/>
          <w:highlight w:val="none"/>
          <w:lang w:eastAsia="zh-CN"/>
        </w:rPr>
        <w:t>提供综合辅助服务、后勤保障服务、网络和信息支持服务、公务用车驾驶服务、食堂劳务服务等服务</w:t>
      </w:r>
      <w:r>
        <w:rPr>
          <w:rFonts w:hint="eastAsia" w:ascii="宋体" w:hAnsi="宋体" w:eastAsia="宋体" w:cs="宋体"/>
          <w:color w:val="000000" w:themeColor="text1"/>
          <w:sz w:val="28"/>
          <w:szCs w:val="28"/>
          <w:highlight w:val="none"/>
        </w:rPr>
        <w:t>。</w:t>
      </w:r>
    </w:p>
    <w:p>
      <w:pPr>
        <w:widowControl w:val="0"/>
        <w:wordWrap/>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2、</w:t>
      </w:r>
      <w:r>
        <w:rPr>
          <w:rFonts w:hint="eastAsia" w:ascii="宋体" w:hAnsi="宋体" w:cs="宋体"/>
          <w:color w:val="000000" w:themeColor="text1"/>
          <w:sz w:val="28"/>
          <w:szCs w:val="28"/>
          <w:highlight w:val="none"/>
          <w:lang w:eastAsia="zh-CN"/>
        </w:rPr>
        <w:t>服</w:t>
      </w:r>
      <w:r>
        <w:rPr>
          <w:rFonts w:hint="eastAsia" w:ascii="宋体" w:hAnsi="宋体" w:eastAsia="宋体" w:cs="宋体"/>
          <w:color w:val="000000" w:themeColor="text1"/>
          <w:sz w:val="28"/>
          <w:szCs w:val="28"/>
          <w:highlight w:val="none"/>
        </w:rPr>
        <w:t>务期限从</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日起至</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日止（共计</w:t>
      </w:r>
      <w:r>
        <w:rPr>
          <w:rFonts w:hint="eastAsia" w:ascii="宋体" w:hAnsi="宋体" w:cs="宋体"/>
          <w:color w:val="000000" w:themeColor="text1"/>
          <w:sz w:val="28"/>
          <w:szCs w:val="28"/>
          <w:highlight w:val="none"/>
          <w:lang w:val="en-US" w:eastAsia="zh-CN"/>
        </w:rPr>
        <w:t>两</w:t>
      </w:r>
      <w:r>
        <w:rPr>
          <w:rFonts w:hint="eastAsia" w:ascii="宋体" w:hAnsi="宋体" w:eastAsia="宋体" w:cs="宋体"/>
          <w:color w:val="000000" w:themeColor="text1"/>
          <w:sz w:val="28"/>
          <w:szCs w:val="28"/>
          <w:highlight w:val="none"/>
        </w:rPr>
        <w:t>年），但本合同规定的提前终止协议的情形除外</w:t>
      </w:r>
      <w:r>
        <w:rPr>
          <w:rFonts w:hint="eastAsia" w:ascii="宋体" w:hAnsi="宋体" w:cs="宋体"/>
          <w:color w:val="000000" w:themeColor="text1"/>
          <w:sz w:val="28"/>
          <w:szCs w:val="28"/>
          <w:highlight w:val="none"/>
          <w:lang w:eastAsia="zh-CN"/>
        </w:rPr>
        <w:t>。</w:t>
      </w:r>
    </w:p>
    <w:p>
      <w:pPr>
        <w:widowControl w:val="0"/>
        <w:wordWrap/>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3、除双方另有约定外，甲、乙双方之间任何与本合同相关的信函以及结算，均使用并且只能使用本合同中甲、乙双方指定的地址和银行开户帐号。</w:t>
      </w:r>
    </w:p>
    <w:p>
      <w:pPr>
        <w:widowControl w:val="0"/>
        <w:wordWrap/>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本合同中甲、乙任何一方的名称、法定地址、汇款人、收款人、开户银行、帐号若有变更，变更一方应于变更前至少提前十五天书面通知对方。该书面通知经加盖公章并经本合同授权代表签字确认方有效，如乙方名称更改，还需提供新的营业执照复印件和企业名称变更核准通知书。</w:t>
      </w:r>
    </w:p>
    <w:p>
      <w:pPr>
        <w:pStyle w:val="2"/>
        <w:ind w:firstLine="560"/>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5</w:t>
      </w:r>
      <w:r>
        <w:rPr>
          <w:rFonts w:hint="eastAsia" w:ascii="宋体" w:hAnsi="宋体" w:cs="宋体"/>
          <w:color w:val="000000" w:themeColor="text1"/>
          <w:sz w:val="28"/>
          <w:szCs w:val="28"/>
          <w:highlight w:val="none"/>
          <w:lang w:val="en-US" w:eastAsia="zh-CN"/>
        </w:rPr>
        <w:t>、</w:t>
      </w:r>
      <w:r>
        <w:rPr>
          <w:rFonts w:hint="eastAsia" w:ascii="宋体" w:hAnsi="宋体" w:eastAsia="宋体" w:cs="宋体"/>
          <w:color w:val="000000" w:themeColor="text1"/>
          <w:sz w:val="28"/>
          <w:szCs w:val="28"/>
          <w:highlight w:val="none"/>
          <w:lang w:val="en-US" w:eastAsia="zh-CN"/>
        </w:rPr>
        <w:t>服务地点为国家税务总局阳西县税务局桥平办公区、国家税务总局阳西县税务局升平办公区、国家税务总局阳西县税务局第一税务分局（办税服务厅）、国家税务总局阳西县税务局沙扒税务分局、国家税务总局阳西县税务局儒洞税务分局，以及阳西县内</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lang w:val="en-US" w:eastAsia="zh-CN"/>
        </w:rPr>
        <w:t>指定的其他地点。</w:t>
      </w:r>
    </w:p>
    <w:p>
      <w:pPr>
        <w:widowControl w:val="0"/>
        <w:wordWrap/>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三</w:t>
      </w:r>
      <w:r>
        <w:rPr>
          <w:rFonts w:hint="eastAsia" w:ascii="宋体" w:hAnsi="宋体" w:eastAsia="宋体" w:cs="宋体"/>
          <w:color w:val="000000" w:themeColor="text1"/>
          <w:sz w:val="28"/>
          <w:szCs w:val="28"/>
          <w:highlight w:val="none"/>
        </w:rPr>
        <w:t>条  实施要求</w:t>
      </w:r>
    </w:p>
    <w:p>
      <w:pPr>
        <w:widowControl w:val="0"/>
        <w:wordWrap/>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一</w:t>
      </w:r>
      <w:r>
        <w:rPr>
          <w:rFonts w:hint="eastAsia" w:ascii="宋体" w:hAnsi="宋体" w:eastAsia="宋体" w:cs="宋体"/>
          <w:color w:val="000000" w:themeColor="text1"/>
          <w:sz w:val="28"/>
          <w:szCs w:val="28"/>
          <w:highlight w:val="none"/>
        </w:rPr>
        <w:t>】服务内容及要求</w:t>
      </w:r>
    </w:p>
    <w:p>
      <w:pPr>
        <w:widowControl w:val="0"/>
        <w:wordWrap/>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根据</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实际情况及要求安排开展工作。</w:t>
      </w:r>
    </w:p>
    <w:p>
      <w:pPr>
        <w:widowControl w:val="0"/>
        <w:wordWrap/>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有权以书面形式向</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提出劳务外包服务的具体要求，以及劳务外包服务人员的素质要求。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应按</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要求提供符合实际需要和符合条件的劳务外包服务人员。</w:t>
      </w:r>
    </w:p>
    <w:p>
      <w:pPr>
        <w:widowControl w:val="0"/>
        <w:wordWrap/>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负责所有劳务外包服务人员的人事、劳资、社会保险、计生、基础培训的人事劳资管理工作，并提供为劳务外包服务人员办理劳动用工手续（签订、终止或解除劳动合同，劳务外包服务人员的调动手续等）、结算发放工资、</w:t>
      </w:r>
      <w:r>
        <w:rPr>
          <w:rFonts w:hint="eastAsia" w:ascii="宋体" w:hAnsi="宋体" w:cs="宋体"/>
          <w:color w:val="000000" w:themeColor="text1"/>
          <w:sz w:val="28"/>
          <w:szCs w:val="28"/>
          <w:highlight w:val="none"/>
          <w:lang w:val="en-US" w:eastAsia="zh-CN"/>
        </w:rPr>
        <w:t>支付经济补偿金或赔偿金、加班费、</w:t>
      </w:r>
      <w:r>
        <w:rPr>
          <w:rFonts w:hint="eastAsia" w:ascii="宋体" w:hAnsi="宋体" w:eastAsia="宋体" w:cs="宋体"/>
          <w:color w:val="000000" w:themeColor="text1"/>
          <w:sz w:val="28"/>
          <w:szCs w:val="28"/>
          <w:highlight w:val="none"/>
        </w:rPr>
        <w:t>缴纳社会保险、处理保险理赔、管理人事档案、提供员工培训等方面的管理服务</w:t>
      </w:r>
      <w:r>
        <w:rPr>
          <w:rFonts w:hint="eastAsia" w:ascii="宋体" w:hAnsi="宋体" w:cs="宋体"/>
          <w:color w:val="000000" w:themeColor="text1"/>
          <w:sz w:val="28"/>
          <w:szCs w:val="28"/>
          <w:highlight w:val="none"/>
          <w:lang w:val="en-US" w:eastAsia="zh-CN"/>
        </w:rPr>
        <w:t>和用人单位应承担的全部费用</w:t>
      </w:r>
      <w:r>
        <w:rPr>
          <w:rFonts w:hint="eastAsia" w:ascii="宋体" w:hAnsi="宋体" w:eastAsia="宋体" w:cs="宋体"/>
          <w:color w:val="000000" w:themeColor="text1"/>
          <w:sz w:val="28"/>
          <w:szCs w:val="28"/>
          <w:highlight w:val="none"/>
        </w:rPr>
        <w:t>。负责处理合同服务期内所有劳资纠纷和调解管理纠纷，落实</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根据规章制度和工作需要提出的其他要求。</w:t>
      </w:r>
    </w:p>
    <w:p>
      <w:pPr>
        <w:widowControl w:val="0"/>
        <w:wordWrap/>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4、劳务外包服务人员与</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存在劳动法律关系（包括劳动合同关系、工资保险关系和劳动用工手续等），</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为用人单位，外包员工与</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只存在业务服务关系，不存在劳动法律关系。</w:t>
      </w:r>
    </w:p>
    <w:p>
      <w:pPr>
        <w:widowControl w:val="0"/>
        <w:wordWrap/>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5、劳务外包服务人员入职后，如</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有义务及时向</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提供劳务外包服务人员资料，包括个人信息、健康证、劳动合同或劳动关系档案编号、社会保险证明等个人资料，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承诺不随意对外泄露。</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应经常性对劳务外包服务人员进行职业道德教育，监督检查劳务外包服务人员执行</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规章制度的情况，对违规违法劳务外包服务人员处理，维护</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正常的经营秩序。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应当妥善维护与劳务外包服务人员的劳动关系，对于劳务外包服务人员通过</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向</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提出的管理、服务等方面的投诉或建议，</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均应三个工作日内进行处理，并在处理完毕后三个工作日以书面形式反馈结果至</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8、</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应至少安排1名工作人员专门负责与</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进行工作对接，对于</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提出的各类工作事项及服务需求均应按时按质量处理，不得敷衍了事。</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9、</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提供的劳务外包服务人员（须按</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要求，持证上岗）及各项服务费用需经</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审核。（须提供承诺函）</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10、</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须按照规定为劳务外包服务人员办理社会保险，并负责办理社保的理赔手续和发放保险补助。</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11、</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须按照合同约定的时间和</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核定的标准，及时、足额向劳务外包服务人员支付每月工资，不得无故扣发劳务外包服务人员工资，不得缩减或变更劳务外包服务人员交付全额社会保险的险种。</w:t>
      </w:r>
    </w:p>
    <w:p>
      <w:pPr>
        <w:keepNext w:val="0"/>
        <w:keepLines w:val="0"/>
        <w:pageBreakBefore w:val="0"/>
        <w:widowControl w:val="0"/>
        <w:numPr>
          <w:ilvl w:val="0"/>
          <w:numId w:val="0"/>
        </w:numPr>
        <w:kinsoku/>
        <w:wordWrap/>
        <w:overflowPunct/>
        <w:topLinePunct w:val="0"/>
        <w:bidi w:val="0"/>
        <w:spacing w:before="156" w:beforeLines="50" w:line="560" w:lineRule="atLeast"/>
        <w:ind w:firstLine="560" w:firstLineChars="200"/>
        <w:textAlignment w:val="auto"/>
        <w:outlineLvl w:val="9"/>
        <w:rPr>
          <w:rFonts w:hint="default" w:ascii="Times New Roman" w:hAnsi="Times New Roman" w:eastAsia="宋体" w:cs="Times New Roman"/>
          <w:bCs w:val="0"/>
          <w:color w:val="000000" w:themeColor="text1"/>
          <w:sz w:val="28"/>
          <w:szCs w:val="28"/>
          <w:highlight w:val="none"/>
          <w:lang w:val="en-US" w:eastAsia="zh-CN"/>
        </w:rPr>
      </w:pPr>
      <w:r>
        <w:rPr>
          <w:rFonts w:hint="eastAsia" w:cs="Times New Roman"/>
          <w:bCs w:val="0"/>
          <w:color w:val="000000" w:themeColor="text1"/>
          <w:sz w:val="28"/>
          <w:szCs w:val="28"/>
          <w:highlight w:val="none"/>
          <w:lang w:val="en-US" w:eastAsia="zh-CN"/>
        </w:rPr>
        <w:t>12、乙方应</w:t>
      </w:r>
      <w:r>
        <w:rPr>
          <w:rFonts w:hint="eastAsia" w:ascii="Times New Roman" w:hAnsi="Times New Roman" w:eastAsia="宋体" w:cs="Times New Roman"/>
          <w:bCs w:val="0"/>
          <w:color w:val="000000" w:themeColor="text1"/>
          <w:sz w:val="28"/>
          <w:szCs w:val="28"/>
          <w:highlight w:val="none"/>
          <w:lang w:val="en-US" w:eastAsia="zh-CN"/>
        </w:rPr>
        <w:t>优先录用本次公开招标前自愿与</w:t>
      </w:r>
      <w:r>
        <w:rPr>
          <w:rFonts w:hint="eastAsia" w:cs="Times New Roman"/>
          <w:bCs w:val="0"/>
          <w:color w:val="000000" w:themeColor="text1"/>
          <w:sz w:val="28"/>
          <w:szCs w:val="28"/>
          <w:highlight w:val="none"/>
          <w:lang w:val="en-US" w:eastAsia="zh-CN"/>
        </w:rPr>
        <w:t>甲方</w:t>
      </w:r>
      <w:r>
        <w:rPr>
          <w:rFonts w:hint="eastAsia" w:ascii="Times New Roman" w:hAnsi="Times New Roman" w:eastAsia="宋体" w:cs="Times New Roman"/>
          <w:bCs w:val="0"/>
          <w:color w:val="000000" w:themeColor="text1"/>
          <w:sz w:val="28"/>
          <w:szCs w:val="28"/>
          <w:highlight w:val="none"/>
          <w:lang w:val="en-US" w:eastAsia="zh-CN"/>
        </w:rPr>
        <w:t>或者相关劳务公司解除劳动合同的人员，且录用后其待遇与原待遇应相当</w:t>
      </w:r>
      <w:r>
        <w:rPr>
          <w:rFonts w:hint="eastAsia" w:cs="Times New Roman"/>
          <w:bCs w:val="0"/>
          <w:color w:val="000000" w:themeColor="text1"/>
          <w:sz w:val="28"/>
          <w:szCs w:val="28"/>
          <w:highlight w:val="none"/>
          <w:lang w:val="en-US" w:eastAsia="zh-CN"/>
        </w:rPr>
        <w:t>。若低于原待遇的，甲方有权要求乙方纠正。</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二</w:t>
      </w:r>
      <w:r>
        <w:rPr>
          <w:rFonts w:hint="eastAsia" w:ascii="宋体" w:hAnsi="宋体" w:eastAsia="宋体" w:cs="宋体"/>
          <w:color w:val="000000" w:themeColor="text1"/>
          <w:sz w:val="28"/>
          <w:szCs w:val="28"/>
          <w:highlight w:val="none"/>
        </w:rPr>
        <w:t>】服务责任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1、因劳务外包服务人员工作失职、故意行为、违法犯罪行为造成</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经济损失的，</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应承担相应的管理责任和法律责任。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2、因</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自身原因导致纠纷扩大或未能减小</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相关损失的，由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承担相关责任。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3、因</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自身原因所引发的一切纠纷，由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负完全责任。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4、劳务外包服务人员在非工作时间内发生的人身意外或其他纠纷，由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负责处理和承担相关责任。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不按国家或相关主管部门规定发放劳务外包人员工资、社会保险费用、住房公积金费用和其他福利费用的，并引起法律纠纷的，除承担由此引发的一切法律责任外，</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有权终止服务合同。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6、如果中标时</w:t>
      </w:r>
      <w:r>
        <w:rPr>
          <w:rFonts w:hint="eastAsia" w:ascii="宋体" w:hAnsi="宋体" w:cs="宋体"/>
          <w:color w:val="000000" w:themeColor="text1"/>
          <w:sz w:val="28"/>
          <w:szCs w:val="28"/>
          <w:highlight w:val="none"/>
          <w:lang w:val="en-US" w:eastAsia="zh-CN"/>
        </w:rPr>
        <w:t>乙方</w:t>
      </w:r>
      <w:r>
        <w:rPr>
          <w:rFonts w:hint="eastAsia" w:ascii="宋体" w:hAnsi="宋体" w:eastAsia="宋体" w:cs="宋体"/>
          <w:color w:val="000000" w:themeColor="text1"/>
          <w:sz w:val="28"/>
          <w:szCs w:val="28"/>
          <w:highlight w:val="none"/>
          <w:lang w:val="en-US" w:eastAsia="zh-CN"/>
        </w:rPr>
        <w:t>为中型企业，</w:t>
      </w:r>
      <w:r>
        <w:rPr>
          <w:rFonts w:hint="eastAsia" w:ascii="宋体" w:hAnsi="宋体" w:cs="宋体"/>
          <w:color w:val="000000" w:themeColor="text1"/>
          <w:sz w:val="28"/>
          <w:szCs w:val="28"/>
          <w:highlight w:val="none"/>
          <w:lang w:val="en-US" w:eastAsia="zh-CN"/>
        </w:rPr>
        <w:t>乙方</w:t>
      </w:r>
      <w:r>
        <w:rPr>
          <w:rFonts w:hint="eastAsia" w:ascii="宋体" w:hAnsi="宋体" w:eastAsia="宋体" w:cs="宋体"/>
          <w:color w:val="000000" w:themeColor="text1"/>
          <w:sz w:val="28"/>
          <w:szCs w:val="28"/>
          <w:highlight w:val="none"/>
          <w:lang w:val="en-US" w:eastAsia="zh-CN"/>
        </w:rPr>
        <w:t>应在与</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lang w:val="en-US" w:eastAsia="zh-CN"/>
        </w:rPr>
        <w:t>签订合同后30天内与小微企业签订分包协议，约定分包给小微企业的金额比例不低于</w:t>
      </w:r>
      <w:r>
        <w:rPr>
          <w:rFonts w:hint="eastAsia" w:ascii="宋体" w:hAnsi="宋体" w:cs="宋体"/>
          <w:color w:val="000000" w:themeColor="text1"/>
          <w:sz w:val="28"/>
          <w:szCs w:val="28"/>
          <w:highlight w:val="none"/>
          <w:lang w:val="en-US" w:eastAsia="zh-CN"/>
        </w:rPr>
        <w:t>合同总</w:t>
      </w:r>
      <w:r>
        <w:rPr>
          <w:rFonts w:hint="eastAsia" w:ascii="宋体" w:hAnsi="宋体" w:eastAsia="宋体" w:cs="宋体"/>
          <w:color w:val="000000" w:themeColor="text1"/>
          <w:sz w:val="28"/>
          <w:szCs w:val="28"/>
          <w:highlight w:val="none"/>
          <w:lang w:val="en-US" w:eastAsia="zh-CN"/>
        </w:rPr>
        <w:t>金额的60%，并将分包协议、小微企业的营业执照、承诺书等有关资料提供一份给</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lang w:val="en-US" w:eastAsia="zh-CN"/>
        </w:rPr>
        <w:t>备案，否则</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lang w:val="en-US" w:eastAsia="zh-CN"/>
        </w:rPr>
        <w:t>有权要求</w:t>
      </w:r>
      <w:r>
        <w:rPr>
          <w:rFonts w:hint="eastAsia" w:ascii="宋体" w:hAnsi="宋体" w:cs="宋体"/>
          <w:color w:val="000000" w:themeColor="text1"/>
          <w:sz w:val="28"/>
          <w:szCs w:val="28"/>
          <w:highlight w:val="none"/>
          <w:lang w:val="en-US" w:eastAsia="zh-CN"/>
        </w:rPr>
        <w:t>乙方</w:t>
      </w:r>
      <w:r>
        <w:rPr>
          <w:rFonts w:hint="eastAsia" w:ascii="宋体" w:hAnsi="宋体" w:eastAsia="宋体" w:cs="宋体"/>
          <w:color w:val="000000" w:themeColor="text1"/>
          <w:sz w:val="28"/>
          <w:szCs w:val="28"/>
          <w:highlight w:val="none"/>
          <w:lang w:val="en-US" w:eastAsia="zh-CN"/>
        </w:rPr>
        <w:t>纠正，</w:t>
      </w:r>
      <w:r>
        <w:rPr>
          <w:rFonts w:hint="eastAsia" w:ascii="宋体" w:hAnsi="宋体" w:cs="宋体"/>
          <w:color w:val="000000" w:themeColor="text1"/>
          <w:sz w:val="28"/>
          <w:szCs w:val="28"/>
          <w:highlight w:val="none"/>
          <w:lang w:val="en-US" w:eastAsia="zh-CN"/>
        </w:rPr>
        <w:t>乙方</w:t>
      </w:r>
      <w:r>
        <w:rPr>
          <w:rFonts w:hint="eastAsia" w:ascii="宋体" w:hAnsi="宋体" w:eastAsia="宋体" w:cs="宋体"/>
          <w:color w:val="000000" w:themeColor="text1"/>
          <w:sz w:val="28"/>
          <w:szCs w:val="28"/>
          <w:highlight w:val="none"/>
          <w:lang w:val="en-US" w:eastAsia="zh-CN"/>
        </w:rPr>
        <w:t>逾期30天不纠正的，</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lang w:val="en-US" w:eastAsia="zh-CN"/>
        </w:rPr>
        <w:t>有权不支付</w:t>
      </w:r>
      <w:r>
        <w:rPr>
          <w:rFonts w:hint="eastAsia" w:ascii="宋体" w:hAnsi="宋体" w:cs="宋体"/>
          <w:color w:val="000000" w:themeColor="text1"/>
          <w:sz w:val="28"/>
          <w:szCs w:val="28"/>
          <w:highlight w:val="none"/>
          <w:lang w:val="en-US" w:eastAsia="zh-CN"/>
        </w:rPr>
        <w:t>实结总</w:t>
      </w:r>
      <w:r>
        <w:rPr>
          <w:rFonts w:hint="eastAsia" w:ascii="宋体" w:hAnsi="宋体" w:eastAsia="宋体" w:cs="宋体"/>
          <w:color w:val="000000" w:themeColor="text1"/>
          <w:sz w:val="28"/>
          <w:szCs w:val="28"/>
          <w:highlight w:val="none"/>
          <w:lang w:val="en-US" w:eastAsia="zh-CN"/>
        </w:rPr>
        <w:t>金额的60%的费用给</w:t>
      </w:r>
      <w:r>
        <w:rPr>
          <w:rFonts w:hint="eastAsia" w:ascii="宋体" w:hAnsi="宋体" w:cs="宋体"/>
          <w:color w:val="000000" w:themeColor="text1"/>
          <w:sz w:val="28"/>
          <w:szCs w:val="28"/>
          <w:highlight w:val="none"/>
          <w:lang w:val="en-US" w:eastAsia="zh-CN"/>
        </w:rPr>
        <w:t>乙方</w:t>
      </w:r>
      <w:r>
        <w:rPr>
          <w:rFonts w:hint="eastAsia" w:ascii="宋体" w:hAnsi="宋体" w:eastAsia="宋体" w:cs="宋体"/>
          <w:color w:val="000000" w:themeColor="text1"/>
          <w:sz w:val="28"/>
          <w:szCs w:val="28"/>
          <w:highlight w:val="none"/>
          <w:lang w:val="en-US" w:eastAsia="zh-CN"/>
        </w:rPr>
        <w:t>，直至</w:t>
      </w:r>
      <w:r>
        <w:rPr>
          <w:rFonts w:hint="eastAsia" w:ascii="宋体" w:hAnsi="宋体" w:cs="宋体"/>
          <w:color w:val="000000" w:themeColor="text1"/>
          <w:sz w:val="28"/>
          <w:szCs w:val="28"/>
          <w:highlight w:val="none"/>
          <w:lang w:val="en-US" w:eastAsia="zh-CN"/>
        </w:rPr>
        <w:t>乙方</w:t>
      </w:r>
      <w:r>
        <w:rPr>
          <w:rFonts w:hint="eastAsia" w:ascii="宋体" w:hAnsi="宋体" w:eastAsia="宋体" w:cs="宋体"/>
          <w:color w:val="000000" w:themeColor="text1"/>
          <w:sz w:val="28"/>
          <w:szCs w:val="28"/>
          <w:highlight w:val="none"/>
          <w:lang w:val="en-US" w:eastAsia="zh-CN"/>
        </w:rPr>
        <w:t>纠正之日止。若</w:t>
      </w:r>
      <w:r>
        <w:rPr>
          <w:rFonts w:hint="eastAsia" w:ascii="宋体" w:hAnsi="宋体" w:cs="宋体"/>
          <w:color w:val="000000" w:themeColor="text1"/>
          <w:sz w:val="28"/>
          <w:szCs w:val="28"/>
          <w:highlight w:val="none"/>
          <w:lang w:val="en-US" w:eastAsia="zh-CN"/>
        </w:rPr>
        <w:t>乙方</w:t>
      </w:r>
      <w:r>
        <w:rPr>
          <w:rFonts w:hint="eastAsia" w:ascii="宋体" w:hAnsi="宋体" w:eastAsia="宋体" w:cs="宋体"/>
          <w:color w:val="000000" w:themeColor="text1"/>
          <w:sz w:val="28"/>
          <w:szCs w:val="28"/>
          <w:highlight w:val="none"/>
          <w:lang w:val="en-US" w:eastAsia="zh-CN"/>
        </w:rPr>
        <w:t>逾期6个月不纠正的，</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lang w:val="en-US" w:eastAsia="zh-CN"/>
        </w:rPr>
        <w:t>有权解除或终止本合同，因此造成的损失和责任全部由</w:t>
      </w:r>
      <w:r>
        <w:rPr>
          <w:rFonts w:hint="eastAsia" w:ascii="宋体" w:hAnsi="宋体" w:cs="宋体"/>
          <w:color w:val="000000" w:themeColor="text1"/>
          <w:sz w:val="28"/>
          <w:szCs w:val="28"/>
          <w:highlight w:val="none"/>
          <w:lang w:val="en-US" w:eastAsia="zh-CN"/>
        </w:rPr>
        <w:t>乙方</w:t>
      </w:r>
      <w:r>
        <w:rPr>
          <w:rFonts w:hint="eastAsia" w:ascii="宋体" w:hAnsi="宋体" w:eastAsia="宋体" w:cs="宋体"/>
          <w:color w:val="000000" w:themeColor="text1"/>
          <w:sz w:val="28"/>
          <w:szCs w:val="28"/>
          <w:highlight w:val="none"/>
          <w:lang w:val="en-US" w:eastAsia="zh-CN"/>
        </w:rPr>
        <w:t>承担。</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三</w:t>
      </w:r>
      <w:r>
        <w:rPr>
          <w:rFonts w:hint="eastAsia" w:ascii="宋体" w:hAnsi="宋体" w:eastAsia="宋体" w:cs="宋体"/>
          <w:color w:val="000000" w:themeColor="text1"/>
          <w:sz w:val="28"/>
          <w:szCs w:val="28"/>
          <w:highlight w:val="none"/>
        </w:rPr>
        <w:t>】工作时间</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全体劳务外包服务人员工作时间由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根据国家有关规定及完成</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服务工作的需要进行安排。</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四</w:t>
      </w:r>
      <w:r>
        <w:rPr>
          <w:rFonts w:hint="eastAsia" w:ascii="宋体" w:hAnsi="宋体" w:eastAsia="宋体" w:cs="宋体"/>
          <w:color w:val="000000" w:themeColor="text1"/>
          <w:sz w:val="28"/>
          <w:szCs w:val="28"/>
          <w:highlight w:val="none"/>
        </w:rPr>
        <w:t>】岗位设置</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本项目岗位包括但不限于以下事项：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eastAsia="宋体" w:cs="宋体"/>
          <w:color w:val="000000" w:themeColor="text1"/>
          <w:sz w:val="28"/>
          <w:szCs w:val="28"/>
          <w:highlight w:val="none"/>
          <w:lang w:eastAsia="zh-CN"/>
        </w:rPr>
        <w:t>办税</w:t>
      </w:r>
      <w:r>
        <w:rPr>
          <w:rFonts w:hint="eastAsia" w:ascii="宋体" w:hAnsi="宋体" w:eastAsia="宋体" w:cs="宋体"/>
          <w:color w:val="000000" w:themeColor="text1"/>
          <w:sz w:val="28"/>
          <w:szCs w:val="28"/>
          <w:highlight w:val="none"/>
        </w:rPr>
        <w:t>服务</w:t>
      </w:r>
      <w:r>
        <w:rPr>
          <w:rFonts w:hint="eastAsia" w:ascii="宋体" w:hAnsi="宋体" w:eastAsia="宋体" w:cs="宋体"/>
          <w:color w:val="000000" w:themeColor="text1"/>
          <w:sz w:val="28"/>
          <w:szCs w:val="28"/>
          <w:highlight w:val="none"/>
          <w:lang w:eastAsia="zh-CN"/>
        </w:rPr>
        <w:t>辅助</w:t>
      </w:r>
      <w:r>
        <w:rPr>
          <w:rFonts w:hint="eastAsia" w:ascii="宋体" w:hAnsi="宋体" w:eastAsia="宋体" w:cs="宋体"/>
          <w:color w:val="000000" w:themeColor="text1"/>
          <w:sz w:val="28"/>
          <w:szCs w:val="28"/>
          <w:highlight w:val="none"/>
        </w:rPr>
        <w:t>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负责办税服务厅的各项纳税服务工作及</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lang w:val="en-US" w:eastAsia="zh-CN"/>
        </w:rPr>
        <w:t>交办的其他工作任务，熟悉掌握税费征收业务知识，能熟练指导纳税人按程序办理纳税手续，熟练使用电脑、复印机等基本办公设备，具备基本的礼仪知识并能得体地运用到实际工作之中，具有良好的语言表达和沟通能力，善于倾听和详细解答问题。</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lang w:eastAsia="zh-CN"/>
        </w:rPr>
        <w:t>行政办公辅助</w:t>
      </w:r>
      <w:r>
        <w:rPr>
          <w:rFonts w:hint="eastAsia" w:ascii="宋体" w:hAnsi="宋体" w:eastAsia="宋体" w:cs="宋体"/>
          <w:color w:val="000000" w:themeColor="text1"/>
          <w:sz w:val="28"/>
          <w:szCs w:val="28"/>
          <w:highlight w:val="none"/>
        </w:rPr>
        <w:t>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负责文字材料的写作、影像资料管理、数据收集和税收政策宣传等辅助工作，协助完成各项考核工作和</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交办的其他工作任务。</w:t>
      </w:r>
      <w:r>
        <w:rPr>
          <w:rFonts w:hint="eastAsia" w:ascii="宋体" w:hAnsi="宋体" w:eastAsia="宋体" w:cs="宋体"/>
          <w:color w:val="000000" w:themeColor="text1"/>
          <w:sz w:val="28"/>
          <w:szCs w:val="28"/>
          <w:highlight w:val="none"/>
          <w:lang w:eastAsia="zh-CN"/>
        </w:rPr>
        <w:t>能</w:t>
      </w:r>
      <w:r>
        <w:rPr>
          <w:rFonts w:hint="eastAsia" w:ascii="宋体" w:hAnsi="宋体" w:eastAsia="宋体" w:cs="宋体"/>
          <w:color w:val="000000" w:themeColor="text1"/>
          <w:sz w:val="28"/>
          <w:szCs w:val="28"/>
          <w:highlight w:val="none"/>
          <w:lang w:val="en-US" w:eastAsia="zh-CN"/>
        </w:rPr>
        <w:t>熟练使用电脑、复印机等基本办公设备，做事勤勉、认真细致，能吃苦耐劳，有一定的文字功底，具备基本的礼仪知识，具有良好的语言表达和沟通能力。</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lang w:val="en-US" w:eastAsia="zh-CN"/>
        </w:rPr>
        <w:t>后勤保障服务岗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负责会务服务工作、公务接待后勤服务、会客室等场所的后勤保障服务，以及</w:t>
      </w:r>
      <w:r>
        <w:rPr>
          <w:rFonts w:hint="eastAsia" w:ascii="宋体" w:hAnsi="宋体" w:cs="宋体"/>
          <w:color w:val="000000" w:themeColor="text1"/>
          <w:sz w:val="28"/>
          <w:szCs w:val="28"/>
          <w:highlight w:val="none"/>
          <w:lang w:val="en-US" w:eastAsia="zh-CN"/>
        </w:rPr>
        <w:t>甲方</w:t>
      </w:r>
      <w:r>
        <w:rPr>
          <w:rFonts w:hint="eastAsia" w:ascii="宋体" w:hAnsi="宋体" w:eastAsia="宋体" w:cs="宋体"/>
          <w:color w:val="000000" w:themeColor="text1"/>
          <w:sz w:val="28"/>
          <w:szCs w:val="28"/>
          <w:highlight w:val="none"/>
          <w:lang w:val="en-US" w:eastAsia="zh-CN"/>
        </w:rPr>
        <w:t>交办的其他事项。做事勤勉、认真细致，能吃苦耐劳，具备基本的礼仪知识，具有良好的语言表达和沟通能力。</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highlight w:val="none"/>
          <w:lang w:val="en-US" w:eastAsia="zh-CN"/>
        </w:rPr>
        <w:t>网络和信息支持服务岗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负责办公网络和信息系统的维护工作，以及计算机类办公设备的日常维护工作，熟悉网络和信息系统支持和维护技术要求，协助做好会议或者活动的设备系统调试工作。</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5</w:t>
      </w:r>
      <w:r>
        <w:rPr>
          <w:rFonts w:hint="eastAsia" w:ascii="宋体" w:hAnsi="宋体" w:eastAsia="宋体" w:cs="宋体"/>
          <w:color w:val="000000" w:themeColor="text1"/>
          <w:sz w:val="28"/>
          <w:szCs w:val="28"/>
          <w:highlight w:val="none"/>
        </w:rPr>
        <w:t>、公务用车驾驶服务岗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（1）未安排出勤的驾驶员应按时上下班，坚守工作岗位，在司机室等候出车；当天机动应急值班小组人员必须保持24小时通讯畅通，随叫随到。</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（2）安排出勤的驾驶员应准时出车，不得误点；出车后，按审核过的公差派车单出勤，不私自出车，不擅自将车辆交给非驾驶员驾驶。</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（3）做好使用车辆的洗护工作，保持车辆外部干净无污渍,内部整洁无异味。</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（4）做好使用车辆的日常检查维护保养工作，发现故障及时报备维修，消除事故隐患,做到不带故障出车。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（5）检查使用车辆的水、电、油及其他性能是否正常，发现不正常时，要立即加补或调整。</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（6）出车执行任务应严格遵守交通规则，安全驾驶。发生交通意外要保护好现场，并及时报告当地公安交警部门、投保的保险公司，同时要及时报告,不得隐瞒不报。</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（7）驾驶员出车执行任务，遇特殊情况不能按时返回的，应及时向公务用车管理岗说明原因。</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（8）出车在外或出车归来应安全停放车辆，锁好保险锁，保管好车辆和证件，严防丢失。</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（9）出车归来应做好车辆交接手续；完成出车任务后应及时向公务用车管理岗报告，并对车辆进行安全检查后归库。</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（10）日常工作中应注重保持个人仪容仪表；出车时要讲文明、懂礼貌，保证优质服务。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（11）完成</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交办的其他事项。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6</w:t>
      </w:r>
      <w:r>
        <w:rPr>
          <w:rFonts w:hint="eastAsia" w:ascii="宋体" w:hAnsi="宋体" w:eastAsia="宋体" w:cs="宋体"/>
          <w:color w:val="000000" w:themeColor="text1"/>
          <w:sz w:val="28"/>
          <w:szCs w:val="28"/>
          <w:highlight w:val="none"/>
        </w:rPr>
        <w:t>、食堂劳务服务岗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（1）大厨、</w:t>
      </w:r>
      <w:r>
        <w:rPr>
          <w:rFonts w:hint="eastAsia" w:ascii="宋体" w:hAnsi="宋体" w:eastAsia="宋体" w:cs="宋体"/>
          <w:color w:val="000000" w:themeColor="text1"/>
          <w:sz w:val="28"/>
          <w:szCs w:val="28"/>
          <w:highlight w:val="none"/>
          <w:lang w:eastAsia="zh-CN"/>
        </w:rPr>
        <w:t>副厨、普通厨师、</w:t>
      </w:r>
      <w:r>
        <w:rPr>
          <w:rFonts w:hint="eastAsia" w:ascii="宋体" w:hAnsi="宋体" w:eastAsia="宋体" w:cs="宋体"/>
          <w:color w:val="000000" w:themeColor="text1"/>
          <w:sz w:val="28"/>
          <w:szCs w:val="28"/>
          <w:highlight w:val="none"/>
        </w:rPr>
        <w:t>厨工</w:t>
      </w:r>
      <w:r>
        <w:rPr>
          <w:rFonts w:hint="eastAsia" w:ascii="宋体" w:hAnsi="宋体" w:eastAsia="宋体" w:cs="宋体"/>
          <w:color w:val="000000" w:themeColor="text1"/>
          <w:sz w:val="28"/>
          <w:szCs w:val="28"/>
          <w:highlight w:val="none"/>
          <w:lang w:eastAsia="zh-CN"/>
        </w:rPr>
        <w:t>、厨房管理员</w:t>
      </w:r>
      <w:r>
        <w:rPr>
          <w:rFonts w:hint="eastAsia" w:ascii="宋体" w:hAnsi="宋体" w:eastAsia="宋体" w:cs="宋体"/>
          <w:color w:val="000000" w:themeColor="text1"/>
          <w:sz w:val="28"/>
          <w:szCs w:val="28"/>
          <w:highlight w:val="none"/>
        </w:rPr>
        <w:t>服务内容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eastAsia="zh-CN"/>
        </w:rPr>
        <w:t>厨房管理员</w:t>
      </w:r>
      <w:r>
        <w:rPr>
          <w:rFonts w:hint="eastAsia" w:ascii="宋体" w:hAnsi="宋体" w:eastAsia="宋体" w:cs="宋体"/>
          <w:color w:val="000000" w:themeColor="text1"/>
          <w:sz w:val="28"/>
          <w:szCs w:val="28"/>
          <w:highlight w:val="none"/>
        </w:rPr>
        <w:t>对购进食品物品进行监秤、检查质量及验收，并履行签收和入库手续。</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做好食品储存工作，采取有效措施确保食品材料新鲜、洁净，无污染、无变质，成品存放实行“四隔离”（即生与熟隔离，成品与半成品隔离，食物与药物隔离，食品与天然水、冰隔离）。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做好食品材料加工工作，不加工变质原料，确保食品卫生安全。</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对原料做到先进先出，随时检查，不得使用任何霉变、有异味等变质食材原料。食材当天使用的食品实行验收领用制，办理签收领用手续。需提前储备的食品、物品经管理员验收入库后，办理进出仓手续。</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食堂工作环境实行每日清扫、每周大扫除制度，采取有效措施预防和消灭“四害”，建立健全安全卫生管理制度。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对餐后用具务必做到“四过关”（即“一冲、二刷、三洗、四消毒”），冲洗干净后放入消毒柜进行高温消毒，清洁餐具不能有洗涤用品、食物残渣、油渍残留。</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对厨房操作间设备设施与用具实行“定置管理”，按岗位包干负责，做到摆放整齐有序，无油无尘；地面无污水、无杂物。操作间和取餐区域安装视频监控设备，实行“明厨亮灶工程”，接受监督。</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食品操作台应将生熟食品分开处理，刀、砧板、抹布必须保持清洁卫生；砧板在贮藏过程中如有变质、变味、腐坏应及时更换。</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蔬菜清洁加工时应做到“一拣、二洗、三浸、四检测”，保证无腐败、无杂物，必须保证菜品干净卫生。</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厨师配合厨房管理岗指示要求，带领厨房人员做好每日工作，确保厨房工作正常运转。制定每周营养健康食谱，并积极听取干部职工意见建议，不断提升出品质量。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注意个人卫生，勤洗手、勤剪指甲、勤理发、勤洗工作服，保持个人仪容仪表。进入后厨区域必须穿着工作服，正确佩戴厨师帽（不外露头发），正确佩戴口罩。</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严格遵守用火、用气安全等相关规定，在显著位置张贴各类紧急报警电话号码。出现突发事件进行基本的应急处理，包括停水、停电、设备故障、火情、食物中毒等。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做好食品留样存储，按要求每餐对直接入口的食品进行留样。</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下班后需对厨房内容易发生危险的地方认真检查，储存好各种食品，杜绝食物中毒事件的发生；关好电源、水源、天然气，锁好门窗方可离开。</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餐前准备阶段(早餐提前15分钟完成、午、晚餐提前30分钟完成)：将清洁、消毒好的餐具器皿统一归类摆放整齐；检查餐具是否无水渍、无污渍、无油渍，干净明亮；检查用餐餐具及其他用品是否充足(台面的纸巾、牙签) ，及时补充；检查大厅及四周环境卫生(垃圾桶、玻璃窗、洗手池、地面等) ，检查电源、灯光、电视、空调；用餐前后做好桌面、椅子清洁消毒并摆放整齐，如有损坏及时报告；检查自助餐加热炉及台；检查自助餐炉的水温及准备公夹、公勺；准备菜式配用的调料及其他酱料；将电视声音开到适当的音量,空调温度调到26°C规定标准；菜品不足时，上菜是否及时；做好</w:t>
      </w:r>
      <w:r>
        <w:rPr>
          <w:rFonts w:hint="eastAsia" w:ascii="宋体" w:hAnsi="宋体" w:eastAsia="宋体" w:cs="宋体"/>
          <w:color w:val="000000" w:themeColor="text1"/>
          <w:sz w:val="28"/>
          <w:szCs w:val="28"/>
          <w:highlight w:val="none"/>
          <w:lang w:eastAsia="zh-CN"/>
        </w:rPr>
        <w:t>食堂</w:t>
      </w:r>
      <w:r>
        <w:rPr>
          <w:rFonts w:hint="eastAsia" w:ascii="宋体" w:hAnsi="宋体" w:eastAsia="宋体" w:cs="宋体"/>
          <w:color w:val="000000" w:themeColor="text1"/>
          <w:sz w:val="28"/>
          <w:szCs w:val="28"/>
          <w:highlight w:val="none"/>
        </w:rPr>
        <w:t>公共区域卫生清洁。</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（3）餐中及餐后工作阶段：收撤餐盘送往洗碗房；完成桌面及地面的清洁、消毒工作；根据餐前准备工作,重新布置桌椅；检查所有电源及空调、电视是否关闭；每周进行大扫除。</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（4）完成</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交办的其他事项。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五</w:t>
      </w:r>
      <w:r>
        <w:rPr>
          <w:rFonts w:hint="eastAsia" w:ascii="宋体" w:hAnsi="宋体" w:eastAsia="宋体" w:cs="宋体"/>
          <w:color w:val="000000" w:themeColor="text1"/>
          <w:sz w:val="28"/>
          <w:szCs w:val="28"/>
          <w:highlight w:val="none"/>
        </w:rPr>
        <w:t>】用工程序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如需新增新劳务外包服务人员，</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按如下要求新增：</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根据业务需要和岗位设置情况，以书面形式向</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发出需求通知书。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收到</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用工需求通知书后，按照需求提供劳务外包服务人员。</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对</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推荐的劳务外包服务人员进行选用确认。</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有权自行决定是否接受选用</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推荐的劳务外包服务人员。</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须组织获得选用资格的人员进行体检，审验、收集获得选用资格人员的相关证件等资料，上述资料须备份给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对获得选用资格并体检合格的人员进行岗位培训，</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对其进行公共职业培训，上述培训均合格后，由</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确定正式选用名单。</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通知选用人员入职，并办理相关入职手续、签订劳动合同等。签订的劳动合同须备份给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有权要求调换不适合岗位要求的劳务外包服务人员，</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调换劳务外包服务人员须经过</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同意。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六</w:t>
      </w:r>
      <w:r>
        <w:rPr>
          <w:rFonts w:hint="eastAsia" w:ascii="宋体" w:hAnsi="宋体" w:eastAsia="宋体" w:cs="宋体"/>
          <w:color w:val="000000" w:themeColor="text1"/>
          <w:sz w:val="28"/>
          <w:szCs w:val="28"/>
          <w:highlight w:val="none"/>
        </w:rPr>
        <w:t>】其他事项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1、如有需要，</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需配合</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对劳务外包服务人员提供的证明文件进行核证。</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2、劳务外包各项服务费用由</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根据服务情况进行确定。</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3、劳务外包服务人员的工资、社会保险缴费基数、住房公积金缴存基数按阳江市有关规定执行。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4、项目款项按照有关规定进行支付。</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不得将项目非法分包或转包给任何单位和个人，否则，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有权即刻终止合同，并要求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赔偿损失并追究法律责任。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提供的劳务外包服务人员在工作中因故意或重大过失给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造成重大经济损失的，经</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双方认定或相关机构认定后，由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承担责任。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7、</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必须按时、足额支付劳务外包服务人员工资并缴纳社会保险、缴存住房公积金等。</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8、</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应按</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要求负责组织劳务外包服务人员置装、入职体检和年度体检，相关费用由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支付</w:t>
      </w:r>
      <w:r>
        <w:rPr>
          <w:rFonts w:hint="eastAsia" w:ascii="宋体" w:hAnsi="宋体" w:cs="宋体"/>
          <w:color w:val="000000" w:themeColor="text1"/>
          <w:sz w:val="28"/>
          <w:szCs w:val="28"/>
          <w:highlight w:val="none"/>
          <w:lang w:val="en-US" w:eastAsia="zh-CN"/>
        </w:rPr>
        <w:t>并按本合同的约定由双方进行结算</w:t>
      </w:r>
      <w:r>
        <w:rPr>
          <w:rFonts w:hint="eastAsia" w:ascii="宋体" w:hAnsi="宋体" w:eastAsia="宋体" w:cs="宋体"/>
          <w:color w:val="000000" w:themeColor="text1"/>
          <w:sz w:val="28"/>
          <w:szCs w:val="28"/>
          <w:highlight w:val="none"/>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9、劳务外包服务人员因</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的工作安排发生的差旅费由</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负担，据实结算。</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第</w:t>
      </w:r>
      <w:r>
        <w:rPr>
          <w:rFonts w:hint="eastAsia" w:ascii="宋体" w:hAnsi="宋体" w:cs="宋体"/>
          <w:color w:val="000000" w:themeColor="text1"/>
          <w:sz w:val="28"/>
          <w:szCs w:val="28"/>
          <w:highlight w:val="none"/>
          <w:lang w:val="en-US" w:eastAsia="zh-CN"/>
        </w:rPr>
        <w:t>四</w:t>
      </w:r>
      <w:r>
        <w:rPr>
          <w:rFonts w:hint="eastAsia" w:ascii="宋体" w:hAnsi="宋体" w:cs="宋体"/>
          <w:color w:val="000000" w:themeColor="text1"/>
          <w:sz w:val="28"/>
          <w:szCs w:val="28"/>
          <w:highlight w:val="none"/>
          <w:lang w:eastAsia="zh-CN"/>
        </w:rPr>
        <w:t>条</w:t>
      </w:r>
      <w:r>
        <w:rPr>
          <w:rFonts w:hint="eastAsia" w:ascii="宋体" w:hAnsi="宋体" w:cs="宋体"/>
          <w:color w:val="000000" w:themeColor="text1"/>
          <w:sz w:val="28"/>
          <w:szCs w:val="28"/>
          <w:highlight w:val="none"/>
          <w:lang w:val="en-US" w:eastAsia="zh-CN"/>
        </w:rPr>
        <w:t xml:space="preserve">  技术支持服务要求</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一</w:t>
      </w:r>
      <w:r>
        <w:rPr>
          <w:rFonts w:hint="eastAsia" w:ascii="宋体" w:hAnsi="宋体" w:eastAsia="宋体" w:cs="宋体"/>
          <w:color w:val="000000" w:themeColor="text1"/>
          <w:sz w:val="28"/>
          <w:szCs w:val="28"/>
          <w:highlight w:val="none"/>
        </w:rPr>
        <w:t>】劳务外包服务人员基本要求</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w:t>
      </w:r>
      <w:r>
        <w:rPr>
          <w:rFonts w:hint="eastAsia" w:ascii="宋体" w:hAnsi="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身体健康，无重大疾病，无不良嗜好。</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w:t>
      </w:r>
      <w:r>
        <w:rPr>
          <w:rFonts w:hint="eastAsia" w:ascii="宋体" w:hAnsi="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遵纪守法，无违纪违法不良行为。</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w:t>
      </w:r>
      <w:r>
        <w:rPr>
          <w:rFonts w:hint="eastAsia" w:ascii="宋体" w:hAnsi="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爱岗敬业，吃苦耐劳、勤学好问，能胜任所在职位工作。</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w:t>
      </w:r>
      <w:r>
        <w:rPr>
          <w:rFonts w:hint="eastAsia" w:ascii="宋体" w:hAnsi="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严格遵守职业道德，严格遵守</w:t>
      </w:r>
      <w:r>
        <w:rPr>
          <w:rFonts w:hint="eastAsia" w:ascii="宋体" w:hAnsi="宋体" w:eastAsia="宋体" w:cs="宋体"/>
          <w:color w:val="000000" w:themeColor="text1"/>
          <w:sz w:val="28"/>
          <w:szCs w:val="28"/>
          <w:highlight w:val="none"/>
          <w:lang w:eastAsia="zh-CN"/>
        </w:rPr>
        <w:t>国家税务总局阳西县税务局</w:t>
      </w:r>
      <w:r>
        <w:rPr>
          <w:rFonts w:hint="eastAsia" w:ascii="宋体" w:hAnsi="宋体" w:eastAsia="宋体" w:cs="宋体"/>
          <w:color w:val="000000" w:themeColor="text1"/>
          <w:sz w:val="28"/>
          <w:szCs w:val="28"/>
          <w:highlight w:val="none"/>
        </w:rPr>
        <w:t>各项规章制度。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5</w:t>
      </w:r>
      <w:r>
        <w:rPr>
          <w:rFonts w:hint="eastAsia" w:ascii="宋体" w:hAnsi="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rPr>
        <w:t>礼貌待人，举止文明，衣着得体。</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二</w:t>
      </w:r>
      <w:r>
        <w:rPr>
          <w:rFonts w:hint="eastAsia" w:ascii="宋体" w:hAnsi="宋体" w:eastAsia="宋体" w:cs="宋体"/>
          <w:color w:val="000000" w:themeColor="text1"/>
          <w:sz w:val="28"/>
          <w:szCs w:val="28"/>
          <w:highlight w:val="none"/>
        </w:rPr>
        <w:t>】待遇及福利</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须按国家规定给予所有劳务外包服务人员缴纳</w:t>
      </w:r>
      <w:r>
        <w:rPr>
          <w:rFonts w:hint="eastAsia" w:ascii="宋体" w:hAnsi="宋体" w:eastAsia="宋体" w:cs="宋体"/>
          <w:color w:val="000000" w:themeColor="text1"/>
          <w:sz w:val="28"/>
          <w:szCs w:val="28"/>
          <w:highlight w:val="none"/>
          <w:lang w:eastAsia="zh-CN"/>
        </w:rPr>
        <w:t>各项社会保险费</w:t>
      </w:r>
      <w:r>
        <w:rPr>
          <w:rFonts w:hint="eastAsia" w:ascii="宋体" w:hAnsi="宋体" w:eastAsia="宋体" w:cs="宋体"/>
          <w:color w:val="000000" w:themeColor="text1"/>
          <w:sz w:val="28"/>
          <w:szCs w:val="28"/>
          <w:highlight w:val="none"/>
        </w:rPr>
        <w:t>（养老保险、医疗保险、失业保险、工伤保险、生育保险</w:t>
      </w:r>
      <w:r>
        <w:rPr>
          <w:rFonts w:hint="eastAsia" w:ascii="宋体" w:hAnsi="宋体" w:eastAsia="宋体" w:cs="宋体"/>
          <w:color w:val="000000" w:themeColor="text1"/>
          <w:sz w:val="28"/>
          <w:szCs w:val="28"/>
          <w:highlight w:val="none"/>
          <w:lang w:eastAsia="zh-CN"/>
        </w:rPr>
        <w:t>、</w:t>
      </w:r>
      <w:r>
        <w:rPr>
          <w:rFonts w:hint="eastAsia" w:ascii="宋体" w:hAnsi="宋体" w:eastAsia="宋体" w:cs="宋体"/>
          <w:color w:val="000000" w:themeColor="text1"/>
          <w:sz w:val="28"/>
          <w:szCs w:val="28"/>
          <w:highlight w:val="none"/>
          <w:lang w:val="en-US" w:eastAsia="zh-CN"/>
        </w:rPr>
        <w:t>高额医疗保险</w:t>
      </w:r>
      <w:r>
        <w:rPr>
          <w:rFonts w:hint="eastAsia" w:ascii="宋体" w:hAnsi="宋体" w:eastAsia="宋体" w:cs="宋体"/>
          <w:color w:val="000000" w:themeColor="text1"/>
          <w:sz w:val="28"/>
          <w:szCs w:val="28"/>
          <w:highlight w:val="none"/>
        </w:rPr>
        <w:t>）；按阳江市有关规定给予缴纳住房公积金。员工的劳动合同关系、薪酬待遇、保险、工伤、因工作失误导致意外等经济责任、法律责任及相关费用均由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负责，</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不承担相关责任。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三</w:t>
      </w:r>
      <w:r>
        <w:rPr>
          <w:rFonts w:hint="eastAsia" w:ascii="宋体" w:hAnsi="宋体" w:eastAsia="宋体" w:cs="宋体"/>
          <w:color w:val="000000" w:themeColor="text1"/>
          <w:sz w:val="28"/>
          <w:szCs w:val="28"/>
          <w:highlight w:val="none"/>
        </w:rPr>
        <w:t>】劳务外包所需人员数量，</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有权按实际要求调整。</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四</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应协助</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完成现有综合辅助服务人员、</w:t>
      </w:r>
      <w:r>
        <w:rPr>
          <w:rFonts w:hint="eastAsia" w:ascii="宋体" w:hAnsi="宋体" w:eastAsia="宋体" w:cs="宋体"/>
          <w:color w:val="000000" w:themeColor="text1"/>
          <w:sz w:val="28"/>
          <w:szCs w:val="28"/>
          <w:highlight w:val="none"/>
          <w:lang w:eastAsia="zh-CN"/>
        </w:rPr>
        <w:t>网络和网络支持服务人员、食堂劳务服务人员、后勤保障服务</w:t>
      </w:r>
      <w:r>
        <w:rPr>
          <w:rFonts w:hint="eastAsia" w:ascii="宋体" w:hAnsi="宋体" w:eastAsia="宋体" w:cs="宋体"/>
          <w:color w:val="000000" w:themeColor="text1"/>
          <w:sz w:val="28"/>
          <w:szCs w:val="28"/>
          <w:highlight w:val="none"/>
        </w:rPr>
        <w:t>人员的安置。</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五</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按照</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实际情况及要求安排开展工作。</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六</w:t>
      </w:r>
      <w:r>
        <w:rPr>
          <w:rFonts w:hint="eastAsia" w:ascii="宋体" w:hAnsi="宋体" w:eastAsia="宋体" w:cs="宋体"/>
          <w:color w:val="000000" w:themeColor="text1"/>
          <w:sz w:val="28"/>
          <w:szCs w:val="28"/>
          <w:highlight w:val="none"/>
        </w:rPr>
        <w:t>】</w:t>
      </w:r>
      <w:r>
        <w:rPr>
          <w:rFonts w:hint="eastAsia" w:ascii="宋体" w:hAnsi="宋体" w:eastAsia="宋体" w:cs="宋体"/>
          <w:color w:val="000000" w:themeColor="text1"/>
          <w:sz w:val="28"/>
          <w:szCs w:val="28"/>
          <w:highlight w:val="none"/>
          <w:lang w:eastAsia="zh-CN"/>
        </w:rPr>
        <w:t>国家税务总局阳西县税务局</w:t>
      </w:r>
      <w:r>
        <w:rPr>
          <w:rFonts w:hint="eastAsia" w:ascii="宋体" w:hAnsi="宋体" w:eastAsia="宋体" w:cs="宋体"/>
          <w:color w:val="000000" w:themeColor="text1"/>
          <w:sz w:val="28"/>
          <w:szCs w:val="28"/>
          <w:highlight w:val="none"/>
        </w:rPr>
        <w:t>是政府重要的办公及会议场所，对安全性、保密性、规范性要求严格，必须按</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规定的要求执行。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七</w:t>
      </w:r>
      <w:r>
        <w:rPr>
          <w:rFonts w:hint="eastAsia" w:ascii="宋体" w:hAnsi="宋体" w:eastAsia="宋体" w:cs="宋体"/>
          <w:color w:val="000000" w:themeColor="text1"/>
          <w:sz w:val="28"/>
          <w:szCs w:val="28"/>
          <w:highlight w:val="none"/>
        </w:rPr>
        <w:t>】合同签订后1个月内，</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须向</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提供本项目所有人员的人事档案资料，包括身份证复印件、体检证明、专业人员证书等。</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不得伪造人事档案欺骗</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，如有此种情况发生，</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有权要求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在规定的时间内更换人员，且</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有权立即解除合同。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八</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必须按</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要求100%配备人员。在合同执行期内如在岗人员少于</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要求总人数时，</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须限期补齐，如特殊情况下，短期内出现招工困难（5天内），不得不延长在职人员工时，必须严格按国家劳动法规支付加班费，否则</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有权按缺员数量和天数进行扣减。（须提供承诺书）</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九</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服务期间应落实安全生产措施，如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人员在服务过程中造成自身、</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或第三人的人身和财产损害的，由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承担约定和法定责任。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w:t>
      </w: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违反招标文件、中标文件、合同等约定的，</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有权立即聘请第三方提供合同项下的服务，由此产生的一切费用由</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承担，同时</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可从</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应取得的合同款中予以扣减。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w:t>
      </w:r>
      <w:r>
        <w:rPr>
          <w:rFonts w:hint="eastAsia" w:ascii="宋体" w:hAnsi="宋体" w:cs="宋体"/>
          <w:color w:val="000000" w:themeColor="text1"/>
          <w:sz w:val="28"/>
          <w:szCs w:val="28"/>
          <w:highlight w:val="none"/>
          <w:lang w:val="en-US" w:eastAsia="zh-CN"/>
        </w:rPr>
        <w:t>十一</w:t>
      </w:r>
      <w:r>
        <w:rPr>
          <w:rFonts w:hint="eastAsia" w:ascii="宋体" w:hAnsi="宋体" w:eastAsia="宋体" w:cs="宋体"/>
          <w:color w:val="000000" w:themeColor="text1"/>
          <w:sz w:val="28"/>
          <w:szCs w:val="28"/>
          <w:highlight w:val="none"/>
        </w:rPr>
        <w:t>】服务期限：本项目的服务期限为</w:t>
      </w: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rPr>
        <w:t>年。如</w:t>
      </w:r>
      <w:r>
        <w:rPr>
          <w:rFonts w:hint="eastAsia" w:ascii="宋体" w:hAnsi="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达不到</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服务要求或未能如约履行合同，</w:t>
      </w:r>
      <w:r>
        <w:rPr>
          <w:rFonts w:hint="eastAsia" w:ascii="宋体" w:hAnsi="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有权终止合同，重新进行政府采购。</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第</w:t>
      </w:r>
      <w:r>
        <w:rPr>
          <w:rFonts w:hint="eastAsia" w:ascii="宋体" w:hAnsi="宋体" w:cs="宋体"/>
          <w:color w:val="000000" w:themeColor="text1"/>
          <w:sz w:val="28"/>
          <w:szCs w:val="28"/>
          <w:highlight w:val="none"/>
          <w:lang w:val="en-US" w:eastAsia="zh-CN"/>
        </w:rPr>
        <w:t>五</w:t>
      </w:r>
      <w:r>
        <w:rPr>
          <w:rFonts w:hint="eastAsia" w:ascii="宋体" w:hAnsi="宋体" w:cs="宋体"/>
          <w:color w:val="000000" w:themeColor="text1"/>
          <w:sz w:val="28"/>
          <w:szCs w:val="28"/>
          <w:highlight w:val="none"/>
          <w:lang w:eastAsia="zh-CN"/>
        </w:rPr>
        <w:t>条</w:t>
      </w:r>
      <w:r>
        <w:rPr>
          <w:rFonts w:hint="eastAsia" w:ascii="宋体" w:hAnsi="宋体" w:cs="宋体"/>
          <w:color w:val="000000" w:themeColor="text1"/>
          <w:sz w:val="28"/>
          <w:szCs w:val="28"/>
          <w:highlight w:val="none"/>
          <w:lang w:val="en-US" w:eastAsia="zh-CN"/>
        </w:rPr>
        <w:t xml:space="preserve">  考核及验收</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bookmarkStart w:id="1729" w:name="_Hlk98325914"/>
      <w:r>
        <w:rPr>
          <w:rFonts w:hint="eastAsia" w:ascii="宋体" w:hAnsi="宋体" w:cs="宋体"/>
          <w:color w:val="000000" w:themeColor="text1"/>
          <w:sz w:val="28"/>
          <w:szCs w:val="28"/>
          <w:highlight w:val="none"/>
          <w:lang w:eastAsia="zh-CN"/>
        </w:rPr>
        <w:t>1、</w:t>
      </w:r>
      <w:bookmarkEnd w:id="1729"/>
      <w:r>
        <w:rPr>
          <w:rFonts w:hint="eastAsia" w:ascii="宋体" w:hAnsi="宋体" w:cs="宋体"/>
          <w:color w:val="000000" w:themeColor="text1"/>
          <w:sz w:val="28"/>
          <w:szCs w:val="28"/>
          <w:highlight w:val="none"/>
          <w:lang w:eastAsia="zh-CN"/>
        </w:rPr>
        <w:t>甲方对乙方的劳务外包服务情况进行考核及验收，并对造成失误、过错、事故的，当月进行</w:t>
      </w:r>
      <w:r>
        <w:rPr>
          <w:rFonts w:hint="eastAsia" w:ascii="宋体" w:hAnsi="宋体" w:cs="宋体"/>
          <w:color w:val="000000" w:themeColor="text1"/>
          <w:sz w:val="28"/>
          <w:szCs w:val="28"/>
          <w:highlight w:val="none"/>
          <w:lang w:val="en-US" w:eastAsia="zh-CN"/>
        </w:rPr>
        <w:t>处理</w:t>
      </w:r>
      <w:r>
        <w:rPr>
          <w:rFonts w:hint="eastAsia" w:ascii="宋体" w:hAnsi="宋体" w:cs="宋体"/>
          <w:color w:val="000000" w:themeColor="text1"/>
          <w:sz w:val="28"/>
          <w:szCs w:val="28"/>
          <w:highlight w:val="none"/>
          <w:lang w:eastAsia="zh-CN"/>
        </w:rPr>
        <w:t>并追究相关责任。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2、甲方对乙方劳务外包服务期间每月综合考评一次，累计有两个月得分低于80分，则视为不合格，甲方有权终止合同。</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3、甲方和乙方共同参与乙方服务工作人员考勤管理，乙方服务工作人员出勤率应达规定人数的100%，每日全勤奖励加8分。考勤按在岗时间以小时计算，全体员工迟到、早退等不在岗时间累计共（到）有八小时视为1人当天缺勤，按本岗位用工</w:t>
      </w:r>
      <w:r>
        <w:rPr>
          <w:rFonts w:hint="eastAsia" w:ascii="宋体" w:hAnsi="宋体" w:cs="宋体"/>
          <w:color w:val="000000" w:themeColor="text1"/>
          <w:sz w:val="28"/>
          <w:szCs w:val="28"/>
          <w:highlight w:val="none"/>
          <w:lang w:val="en-US" w:eastAsia="zh-CN"/>
        </w:rPr>
        <w:t>3倍工资的标准计算扣减服务费</w:t>
      </w:r>
      <w:r>
        <w:rPr>
          <w:rFonts w:hint="eastAsia" w:ascii="宋体" w:hAnsi="宋体" w:cs="宋体"/>
          <w:color w:val="000000" w:themeColor="text1"/>
          <w:sz w:val="28"/>
          <w:szCs w:val="28"/>
          <w:highlight w:val="none"/>
          <w:lang w:eastAsia="zh-CN"/>
        </w:rPr>
        <w:t>，累计时间缺勤一小时扣一分；因员工离职和考核考评不合格、违规遭到投诉等换人造成的岗位即时缺人，按本岗位用工3倍工资计算扣减服务费，每人每天扣8分。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4</w:t>
      </w:r>
      <w:r>
        <w:rPr>
          <w:rFonts w:hint="eastAsia" w:ascii="宋体" w:hAnsi="宋体" w:cs="宋体"/>
          <w:color w:val="000000" w:themeColor="text1"/>
          <w:sz w:val="28"/>
          <w:szCs w:val="28"/>
          <w:highlight w:val="none"/>
          <w:lang w:eastAsia="zh-CN"/>
        </w:rPr>
        <w:t>、在经营活动中存在违反税收法规财务制度及其他违法违规记录，扣20分。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5</w:t>
      </w:r>
      <w:r>
        <w:rPr>
          <w:rFonts w:hint="eastAsia" w:ascii="宋体" w:hAnsi="宋体" w:cs="宋体"/>
          <w:color w:val="000000" w:themeColor="text1"/>
          <w:sz w:val="28"/>
          <w:szCs w:val="28"/>
          <w:highlight w:val="none"/>
          <w:lang w:eastAsia="zh-CN"/>
        </w:rPr>
        <w:t>、在经营中是否履行合同承诺。很好履行合同承诺得3分；基本履行合同承诺不得分；未履行合同承诺每次扣3分。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6</w:t>
      </w:r>
      <w:r>
        <w:rPr>
          <w:rFonts w:hint="eastAsia" w:ascii="宋体" w:hAnsi="宋体" w:cs="宋体"/>
          <w:color w:val="000000" w:themeColor="text1"/>
          <w:sz w:val="28"/>
          <w:szCs w:val="28"/>
          <w:highlight w:val="none"/>
          <w:lang w:eastAsia="zh-CN"/>
        </w:rPr>
        <w:t>、提倡节约能源，不准浪费水、电及消耗品等公共资源（违反则扣0.5分/次）。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7</w:t>
      </w:r>
      <w:r>
        <w:rPr>
          <w:rFonts w:hint="eastAsia" w:ascii="宋体" w:hAnsi="宋体" w:cs="宋体"/>
          <w:color w:val="000000" w:themeColor="text1"/>
          <w:sz w:val="28"/>
          <w:szCs w:val="28"/>
          <w:highlight w:val="none"/>
          <w:lang w:eastAsia="zh-CN"/>
        </w:rPr>
        <w:t>、不准违反工作纪律、违规操作。严格执行和遵守各项管理制度（违反扣1分）。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8</w:t>
      </w:r>
      <w:r>
        <w:rPr>
          <w:rFonts w:hint="eastAsia" w:ascii="宋体" w:hAnsi="宋体" w:cs="宋体"/>
          <w:color w:val="000000" w:themeColor="text1"/>
          <w:sz w:val="28"/>
          <w:szCs w:val="28"/>
          <w:highlight w:val="none"/>
          <w:lang w:eastAsia="zh-CN"/>
        </w:rPr>
        <w:t>、一般过错的有效投诉，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60元/次扣减服务费。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9</w:t>
      </w:r>
      <w:r>
        <w:rPr>
          <w:rFonts w:hint="eastAsia" w:ascii="宋体" w:hAnsi="宋体" w:cs="宋体"/>
          <w:color w:val="000000" w:themeColor="text1"/>
          <w:sz w:val="28"/>
          <w:szCs w:val="28"/>
          <w:highlight w:val="none"/>
          <w:lang w:eastAsia="zh-CN"/>
        </w:rPr>
        <w:t>、一般过错的重（反）复性有效投诉，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120元/次扣减服务费。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w:t>
      </w:r>
      <w:r>
        <w:rPr>
          <w:rFonts w:hint="eastAsia" w:ascii="宋体" w:hAnsi="宋体" w:cs="宋体"/>
          <w:color w:val="000000" w:themeColor="text1"/>
          <w:sz w:val="28"/>
          <w:szCs w:val="28"/>
          <w:highlight w:val="none"/>
          <w:lang w:val="en-US" w:eastAsia="zh-CN"/>
        </w:rPr>
        <w:t>0</w:t>
      </w:r>
      <w:r>
        <w:rPr>
          <w:rFonts w:hint="eastAsia" w:ascii="宋体" w:hAnsi="宋体" w:cs="宋体"/>
          <w:color w:val="000000" w:themeColor="text1"/>
          <w:sz w:val="28"/>
          <w:szCs w:val="28"/>
          <w:highlight w:val="none"/>
          <w:lang w:eastAsia="zh-CN"/>
        </w:rPr>
        <w:t>、较大过错的有效投诉，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180元/次扣减服务费。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w:t>
      </w:r>
      <w:r>
        <w:rPr>
          <w:rFonts w:hint="eastAsia" w:ascii="宋体" w:hAnsi="宋体" w:cs="宋体"/>
          <w:color w:val="000000" w:themeColor="text1"/>
          <w:sz w:val="28"/>
          <w:szCs w:val="28"/>
          <w:highlight w:val="none"/>
          <w:lang w:val="en-US" w:eastAsia="zh-CN"/>
        </w:rPr>
        <w:t>1</w:t>
      </w:r>
      <w:r>
        <w:rPr>
          <w:rFonts w:hint="eastAsia" w:ascii="宋体" w:hAnsi="宋体" w:cs="宋体"/>
          <w:color w:val="000000" w:themeColor="text1"/>
          <w:sz w:val="28"/>
          <w:szCs w:val="28"/>
          <w:highlight w:val="none"/>
          <w:lang w:eastAsia="zh-CN"/>
        </w:rPr>
        <w:t>、较大过错的的重（反）复性有效投诉，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480元/次扣减服务费。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w:t>
      </w:r>
      <w:r>
        <w:rPr>
          <w:rFonts w:hint="eastAsia" w:ascii="宋体" w:hAnsi="宋体" w:cs="宋体"/>
          <w:color w:val="000000" w:themeColor="text1"/>
          <w:sz w:val="28"/>
          <w:szCs w:val="28"/>
          <w:highlight w:val="none"/>
          <w:lang w:val="en-US" w:eastAsia="zh-CN"/>
        </w:rPr>
        <w:t>2</w:t>
      </w:r>
      <w:r>
        <w:rPr>
          <w:rFonts w:hint="eastAsia" w:ascii="宋体" w:hAnsi="宋体" w:cs="宋体"/>
          <w:color w:val="000000" w:themeColor="text1"/>
          <w:sz w:val="28"/>
          <w:szCs w:val="28"/>
          <w:highlight w:val="none"/>
          <w:lang w:eastAsia="zh-CN"/>
        </w:rPr>
        <w:t>、重大过错的有效投诉，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720元/次扣减服务费。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w:t>
      </w:r>
      <w:r>
        <w:rPr>
          <w:rFonts w:hint="eastAsia" w:ascii="宋体" w:hAnsi="宋体" w:cs="宋体"/>
          <w:color w:val="000000" w:themeColor="text1"/>
          <w:sz w:val="28"/>
          <w:szCs w:val="28"/>
          <w:highlight w:val="none"/>
          <w:lang w:val="en-US" w:eastAsia="zh-CN"/>
        </w:rPr>
        <w:t>3</w:t>
      </w:r>
      <w:r>
        <w:rPr>
          <w:rFonts w:hint="eastAsia" w:ascii="宋体" w:hAnsi="宋体" w:cs="宋体"/>
          <w:color w:val="000000" w:themeColor="text1"/>
          <w:sz w:val="28"/>
          <w:szCs w:val="28"/>
          <w:highlight w:val="none"/>
          <w:lang w:eastAsia="zh-CN"/>
        </w:rPr>
        <w:t>、重大过错的重（反）复性有效投诉，</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1800元/次扣减服务费。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w:t>
      </w:r>
      <w:r>
        <w:rPr>
          <w:rFonts w:hint="eastAsia" w:ascii="宋体" w:hAnsi="宋体" w:cs="宋体"/>
          <w:color w:val="000000" w:themeColor="text1"/>
          <w:sz w:val="28"/>
          <w:szCs w:val="28"/>
          <w:highlight w:val="none"/>
          <w:lang w:val="en-US" w:eastAsia="zh-CN"/>
        </w:rPr>
        <w:t>4</w:t>
      </w:r>
      <w:r>
        <w:rPr>
          <w:rFonts w:hint="eastAsia" w:ascii="宋体" w:hAnsi="宋体" w:cs="宋体"/>
          <w:color w:val="000000" w:themeColor="text1"/>
          <w:sz w:val="28"/>
          <w:szCs w:val="28"/>
          <w:highlight w:val="none"/>
          <w:lang w:eastAsia="zh-CN"/>
        </w:rPr>
        <w:t>、一般事故过错的，</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1.5-2.4万元/次扣减服务费。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w:t>
      </w:r>
      <w:r>
        <w:rPr>
          <w:rFonts w:hint="eastAsia" w:ascii="宋体" w:hAnsi="宋体" w:cs="宋体"/>
          <w:color w:val="000000" w:themeColor="text1"/>
          <w:sz w:val="28"/>
          <w:szCs w:val="28"/>
          <w:highlight w:val="none"/>
          <w:lang w:val="en-US" w:eastAsia="zh-CN"/>
        </w:rPr>
        <w:t>5</w:t>
      </w:r>
      <w:r>
        <w:rPr>
          <w:rFonts w:hint="eastAsia" w:ascii="宋体" w:hAnsi="宋体" w:cs="宋体"/>
          <w:color w:val="000000" w:themeColor="text1"/>
          <w:sz w:val="28"/>
          <w:szCs w:val="28"/>
          <w:highlight w:val="none"/>
          <w:lang w:eastAsia="zh-CN"/>
        </w:rPr>
        <w:t>、较大事故过错的</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3-6万元/次扣减服务费。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w:t>
      </w:r>
      <w:r>
        <w:rPr>
          <w:rFonts w:hint="eastAsia" w:ascii="宋体" w:hAnsi="宋体" w:cs="宋体"/>
          <w:color w:val="000000" w:themeColor="text1"/>
          <w:sz w:val="28"/>
          <w:szCs w:val="28"/>
          <w:highlight w:val="none"/>
          <w:lang w:val="en-US" w:eastAsia="zh-CN"/>
        </w:rPr>
        <w:t>6</w:t>
      </w:r>
      <w:r>
        <w:rPr>
          <w:rFonts w:hint="eastAsia" w:ascii="宋体" w:hAnsi="宋体" w:cs="宋体"/>
          <w:color w:val="000000" w:themeColor="text1"/>
          <w:sz w:val="28"/>
          <w:szCs w:val="28"/>
          <w:highlight w:val="none"/>
          <w:lang w:eastAsia="zh-CN"/>
        </w:rPr>
        <w:t>、重大事故过错的，</w:t>
      </w:r>
      <w:r>
        <w:rPr>
          <w:rFonts w:hint="eastAsia" w:ascii="宋体" w:hAnsi="宋体" w:cs="宋体"/>
          <w:color w:val="000000" w:themeColor="text1"/>
          <w:sz w:val="28"/>
          <w:szCs w:val="28"/>
          <w:highlight w:val="none"/>
          <w:lang w:val="en-US" w:eastAsia="zh-CN"/>
        </w:rPr>
        <w:t>按</w:t>
      </w:r>
      <w:r>
        <w:rPr>
          <w:rFonts w:hint="eastAsia" w:ascii="宋体" w:hAnsi="宋体" w:cs="宋体"/>
          <w:color w:val="000000" w:themeColor="text1"/>
          <w:sz w:val="28"/>
          <w:szCs w:val="28"/>
          <w:highlight w:val="none"/>
          <w:lang w:eastAsia="zh-CN"/>
        </w:rPr>
        <w:t>6-15万元/次扣减服务费。</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w:t>
      </w:r>
      <w:r>
        <w:rPr>
          <w:rFonts w:hint="eastAsia" w:ascii="宋体" w:hAnsi="宋体" w:cs="宋体"/>
          <w:color w:val="000000" w:themeColor="text1"/>
          <w:sz w:val="28"/>
          <w:szCs w:val="28"/>
          <w:highlight w:val="none"/>
          <w:lang w:val="en-US" w:eastAsia="zh-CN"/>
        </w:rPr>
        <w:t>7</w:t>
      </w:r>
      <w:r>
        <w:rPr>
          <w:rFonts w:hint="eastAsia" w:ascii="宋体" w:hAnsi="宋体" w:cs="宋体"/>
          <w:color w:val="000000" w:themeColor="text1"/>
          <w:sz w:val="28"/>
          <w:szCs w:val="28"/>
          <w:highlight w:val="none"/>
          <w:lang w:eastAsia="zh-CN"/>
        </w:rPr>
        <w:t>、违反以下条款每条每个事项扣0.1分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（1）工作或执勤时，乙方的所有服务人员必须身着制服，佩证上岗，制服不准混穿；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（2）乙方的所有服务人员的制服要保持整洁、平整，不得敞胸露怀、卷袖子、挽裤腿；</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（3）上班时间须精神振作、精力集中，不得袖手、插手、背手；</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4）值班在岗时站姿、坐姿姿态端正，保持立正姿势，不得东摇西晃、坐卧、倚靠、躺卧、打盹、吸烟、吃东西、电话聊天、看书报、下棋、玩弄手机、听看音频视频，不得聊天，大声说话，喧闹，嘻哈玩笑，随意走动、乱堆乱放；</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（5）上班人员提前十五分钟达到各执勤工作岗位，办理接班手续、做好交班记录和物品出入登记，没人顶接不准擅自离开岗位；</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（6）值班人员不准在岗就餐，值班时不得会客；</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（7）工作有礼有节，热情受理各种问题，对发现的问题要及时解决，解决不了的及时汇报并做好登记管理；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（8）工作场所保持整洁、不准随意粘贴、悬挂与堆放与工作无关的物品；</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（9）有效投诉一次。</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18</w:t>
      </w:r>
      <w:r>
        <w:rPr>
          <w:rFonts w:hint="eastAsia" w:ascii="宋体" w:hAnsi="宋体" w:cs="宋体"/>
          <w:color w:val="000000" w:themeColor="text1"/>
          <w:sz w:val="28"/>
          <w:szCs w:val="28"/>
          <w:highlight w:val="none"/>
          <w:lang w:eastAsia="zh-CN"/>
        </w:rPr>
        <w:t>、如有气味、噪音、饮水等影响了甲方正常工作秩序，乙方没能及时处理和制止，每次扣减服务费¥</w:t>
      </w:r>
      <w:r>
        <w:rPr>
          <w:rFonts w:hint="eastAsia" w:ascii="宋体" w:hAnsi="宋体" w:cs="宋体"/>
          <w:color w:val="000000" w:themeColor="text1"/>
          <w:sz w:val="28"/>
          <w:szCs w:val="28"/>
          <w:highlight w:val="none"/>
          <w:lang w:val="en-US" w:eastAsia="zh-CN"/>
        </w:rPr>
        <w:t>500</w:t>
      </w:r>
      <w:r>
        <w:rPr>
          <w:rFonts w:hint="eastAsia" w:ascii="宋体" w:hAnsi="宋体" w:cs="宋体"/>
          <w:color w:val="000000" w:themeColor="text1"/>
          <w:sz w:val="28"/>
          <w:szCs w:val="28"/>
          <w:highlight w:val="none"/>
          <w:lang w:eastAsia="zh-CN"/>
        </w:rPr>
        <w:t>元。</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19</w:t>
      </w:r>
      <w:r>
        <w:rPr>
          <w:rFonts w:hint="eastAsia" w:ascii="宋体" w:hAnsi="宋体" w:cs="宋体"/>
          <w:color w:val="000000" w:themeColor="text1"/>
          <w:sz w:val="28"/>
          <w:szCs w:val="28"/>
          <w:highlight w:val="none"/>
          <w:lang w:eastAsia="zh-CN"/>
        </w:rPr>
        <w:t>、按规定准时关闭空调、电脑、照明、抽风及非须使用的电气设备，若造成浪费，每次扣减服务费¥100元。</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val="en-US" w:eastAsia="zh-CN"/>
        </w:rPr>
        <w:t>20、</w:t>
      </w:r>
      <w:r>
        <w:rPr>
          <w:rFonts w:hint="eastAsia" w:ascii="宋体" w:hAnsi="宋体" w:cs="宋体"/>
          <w:color w:val="000000" w:themeColor="text1"/>
          <w:sz w:val="28"/>
          <w:szCs w:val="28"/>
          <w:highlight w:val="none"/>
          <w:lang w:eastAsia="zh-CN"/>
        </w:rPr>
        <w:t>附件：《服务绩效考核评分表》</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cs="宋体"/>
          <w:color w:val="000000" w:themeColor="text1"/>
          <w:sz w:val="28"/>
          <w:szCs w:val="28"/>
          <w:highlight w:val="none"/>
          <w:lang w:eastAsia="zh-CN"/>
        </w:rPr>
        <w:t>第</w:t>
      </w:r>
      <w:r>
        <w:rPr>
          <w:rFonts w:hint="eastAsia" w:ascii="宋体" w:hAnsi="宋体" w:cs="宋体"/>
          <w:color w:val="000000" w:themeColor="text1"/>
          <w:sz w:val="28"/>
          <w:szCs w:val="28"/>
          <w:highlight w:val="none"/>
          <w:lang w:val="en-US" w:eastAsia="zh-CN"/>
        </w:rPr>
        <w:t>六</w:t>
      </w:r>
      <w:r>
        <w:rPr>
          <w:rFonts w:hint="eastAsia" w:ascii="宋体" w:hAnsi="宋体" w:cs="宋体"/>
          <w:color w:val="000000" w:themeColor="text1"/>
          <w:sz w:val="28"/>
          <w:szCs w:val="28"/>
          <w:highlight w:val="none"/>
          <w:lang w:eastAsia="zh-CN"/>
        </w:rPr>
        <w:t>条</w:t>
      </w:r>
      <w:r>
        <w:rPr>
          <w:rFonts w:hint="eastAsia" w:ascii="宋体" w:hAnsi="宋体" w:cs="宋体"/>
          <w:color w:val="000000" w:themeColor="text1"/>
          <w:sz w:val="28"/>
          <w:szCs w:val="28"/>
          <w:highlight w:val="none"/>
          <w:lang w:val="en-US" w:eastAsia="zh-CN"/>
        </w:rPr>
        <w:t xml:space="preserve">  履约保证金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1、</w:t>
      </w:r>
      <w:bookmarkStart w:id="1730" w:name="_Hlk98326753"/>
      <w:r>
        <w:rPr>
          <w:rFonts w:hint="eastAsia" w:ascii="宋体" w:hAnsi="宋体" w:cs="宋体"/>
          <w:color w:val="000000" w:themeColor="text1"/>
          <w:sz w:val="28"/>
          <w:szCs w:val="28"/>
          <w:highlight w:val="none"/>
          <w:lang w:val="en-US" w:eastAsia="zh-CN"/>
        </w:rPr>
        <w:t>乙方须在中标结果公告期满后20个自然日内按合同签订年度中标金额的5%向甲方提供由合法金融机构出具的连带保证责任的履约保函(保证期限应不少于本合同履行期限加上6个月的总和），担保范围为甲方向乙方索偿的一切违约金和赔偿金。如乙方无法按前述规定提供履约保函的，可向甲方提供年度合同总金额的5%的履约保证金作为替代。合同期限届满前，保函金额或保证金被甲方扣减的，乙方应在收到通知后10天内补足，否则，甲方有权视为乙方未按规定提供履约保函或履约保证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2、按承诺完全履行合同的约定，劳务服务合同期满3个月，且顺利完成工作交接后的30个工作日内返还履约保证金或终止履约保函有效期。</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3、乙方未按规定提供履约保函或履约保证金的，甲方有权单方解除合同，并有权要求乙方支付合同总金额10%的违约金。</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val="en-US" w:eastAsia="zh-CN"/>
        </w:rPr>
      </w:pPr>
      <w:r>
        <w:rPr>
          <w:rFonts w:hint="eastAsia" w:ascii="宋体" w:hAnsi="宋体" w:cs="宋体"/>
          <w:color w:val="000000" w:themeColor="text1"/>
          <w:sz w:val="28"/>
          <w:szCs w:val="28"/>
          <w:highlight w:val="none"/>
          <w:lang w:val="en-US" w:eastAsia="zh-CN"/>
        </w:rPr>
        <w:t>4、乙方派驻人员应严格按照规定认真履行职责，对乙方派驻的工作人员违反服务规定，造成的损失由乙方负责，损失金额超过人民币5万元或者造成不良社会影响的，甲方有权没收履约保证金或按履约保函担保额度索赔保证金并视情况终止合同。</w:t>
      </w:r>
    </w:p>
    <w:bookmarkEnd w:id="1730"/>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eastAsia="zh-CN"/>
        </w:rPr>
        <w:t>第</w:t>
      </w:r>
      <w:r>
        <w:rPr>
          <w:rFonts w:hint="eastAsia" w:ascii="宋体" w:hAnsi="宋体" w:cs="宋体"/>
          <w:color w:val="000000" w:themeColor="text1"/>
          <w:sz w:val="28"/>
          <w:szCs w:val="28"/>
          <w:highlight w:val="none"/>
          <w:lang w:val="en-US" w:eastAsia="zh-CN"/>
        </w:rPr>
        <w:t>七</w:t>
      </w:r>
      <w:r>
        <w:rPr>
          <w:rFonts w:hint="eastAsia" w:ascii="宋体" w:hAnsi="宋体" w:cs="宋体"/>
          <w:color w:val="000000" w:themeColor="text1"/>
          <w:sz w:val="28"/>
          <w:szCs w:val="28"/>
          <w:highlight w:val="none"/>
          <w:lang w:eastAsia="zh-CN"/>
        </w:rPr>
        <w:t>条</w:t>
      </w:r>
      <w:r>
        <w:rPr>
          <w:rFonts w:hint="eastAsia" w:ascii="宋体" w:hAnsi="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 xml:space="preserve">服务费及结算方式           </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1、劳务外包服务的范围包括以下内容：提供综合辅助服务21人、后勤保障服务15人、网络和信息支持服务4人、公务用车驾驶服务10人、食堂劳务服务14人等，具体服务内容按照招标文件、合同及双方约定执行。拟外包人员总数量为64人（实际外包人员数量根据甲方的服务需要进行调整），调整后的劳务外包服务量有减少的，据经甲乙双方确定的实际劳务外包服务量进行结算。</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2、乙方应承担的服务费</w:t>
      </w:r>
      <w:r>
        <w:rPr>
          <w:rFonts w:hint="eastAsia" w:ascii="宋体" w:hAnsi="宋体" w:eastAsia="宋体" w:cs="宋体"/>
          <w:color w:val="000000" w:themeColor="text1"/>
          <w:sz w:val="28"/>
          <w:szCs w:val="28"/>
          <w:highlight w:val="none"/>
        </w:rPr>
        <w:t>包含：</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default" w:ascii="宋体" w:hAnsi="宋体" w:eastAsia="宋体" w:cs="宋体"/>
          <w:color w:val="000000" w:themeColor="text1"/>
          <w:sz w:val="28"/>
          <w:szCs w:val="28"/>
          <w:highlight w:val="none"/>
          <w:lang w:val="en-US" w:eastAsia="zh-CN"/>
        </w:rPr>
      </w:pPr>
      <w:r>
        <w:rPr>
          <w:rFonts w:hint="default" w:ascii="宋体" w:hAnsi="宋体" w:eastAsia="宋体" w:cs="宋体"/>
          <w:color w:val="000000" w:themeColor="text1"/>
          <w:sz w:val="28"/>
          <w:szCs w:val="28"/>
          <w:highlight w:val="none"/>
          <w:lang w:val="en-US" w:eastAsia="zh-CN"/>
        </w:rPr>
        <w:t>（1）服务人员正常工作时间的工资及加班费、福利、应缴纳各项社会保险费（含养老、医疗、工伤、失业、生育险</w:t>
      </w:r>
      <w:r>
        <w:rPr>
          <w:rFonts w:hint="eastAsia" w:ascii="宋体" w:hAnsi="宋体" w:eastAsia="宋体" w:cs="宋体"/>
          <w:color w:val="000000" w:themeColor="text1"/>
          <w:sz w:val="28"/>
          <w:szCs w:val="28"/>
          <w:highlight w:val="none"/>
          <w:lang w:val="en-US" w:eastAsia="zh-CN"/>
        </w:rPr>
        <w:t>、高额医疗保险</w:t>
      </w:r>
      <w:r>
        <w:rPr>
          <w:rFonts w:hint="default" w:ascii="宋体" w:hAnsi="宋体" w:eastAsia="宋体" w:cs="宋体"/>
          <w:color w:val="000000" w:themeColor="text1"/>
          <w:sz w:val="28"/>
          <w:szCs w:val="28"/>
          <w:highlight w:val="none"/>
          <w:lang w:val="en-US" w:eastAsia="zh-CN"/>
        </w:rPr>
        <w:t>）、住房公积金。</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default" w:ascii="宋体" w:hAnsi="宋体" w:eastAsia="宋体" w:cs="宋体"/>
          <w:color w:val="000000" w:themeColor="text1"/>
          <w:sz w:val="28"/>
          <w:szCs w:val="28"/>
          <w:highlight w:val="none"/>
          <w:lang w:val="en-US" w:eastAsia="zh-CN"/>
        </w:rPr>
      </w:pPr>
      <w:r>
        <w:rPr>
          <w:rFonts w:hint="default" w:ascii="宋体" w:hAnsi="宋体" w:eastAsia="宋体" w:cs="宋体"/>
          <w:color w:val="000000" w:themeColor="text1"/>
          <w:sz w:val="28"/>
          <w:szCs w:val="28"/>
          <w:highlight w:val="none"/>
          <w:lang w:val="en-US" w:eastAsia="zh-CN"/>
        </w:rPr>
        <w:t>（2）对服务人员开展节日慰问，提供年度体检服务、培训教育、工作制服</w:t>
      </w:r>
      <w:r>
        <w:rPr>
          <w:rFonts w:hint="eastAsia" w:ascii="宋体" w:hAnsi="宋体" w:eastAsia="宋体" w:cs="宋体"/>
          <w:color w:val="000000" w:themeColor="text1"/>
          <w:sz w:val="28"/>
          <w:szCs w:val="28"/>
          <w:highlight w:val="none"/>
          <w:lang w:val="en-US" w:eastAsia="zh-CN"/>
        </w:rPr>
        <w:t>有关的</w:t>
      </w:r>
      <w:r>
        <w:rPr>
          <w:rFonts w:hint="default" w:ascii="宋体" w:hAnsi="宋体" w:eastAsia="宋体" w:cs="宋体"/>
          <w:color w:val="000000" w:themeColor="text1"/>
          <w:sz w:val="28"/>
          <w:szCs w:val="28"/>
          <w:highlight w:val="none"/>
          <w:lang w:val="en-US" w:eastAsia="zh-CN"/>
        </w:rPr>
        <w:t>费用。</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本条上述第（1）（2）项费用，</w:t>
      </w:r>
      <w:r>
        <w:rPr>
          <w:rFonts w:hint="eastAsia" w:ascii="宋体" w:hAnsi="宋体" w:eastAsia="宋体" w:cs="宋体"/>
          <w:color w:val="000000" w:themeColor="text1"/>
          <w:sz w:val="28"/>
          <w:szCs w:val="28"/>
          <w:highlight w:val="none"/>
          <w:lang w:eastAsia="zh-CN"/>
        </w:rPr>
        <w:t>以下</w:t>
      </w:r>
      <w:r>
        <w:rPr>
          <w:rFonts w:hint="eastAsia" w:ascii="宋体" w:hAnsi="宋体" w:eastAsia="宋体" w:cs="宋体"/>
          <w:color w:val="000000" w:themeColor="text1"/>
          <w:sz w:val="28"/>
          <w:szCs w:val="28"/>
          <w:highlight w:val="none"/>
          <w:lang w:val="en-US" w:eastAsia="zh-CN"/>
        </w:rPr>
        <w:t>合</w:t>
      </w:r>
      <w:r>
        <w:rPr>
          <w:rFonts w:hint="eastAsia" w:ascii="宋体" w:hAnsi="宋体" w:eastAsia="宋体" w:cs="宋体"/>
          <w:color w:val="000000" w:themeColor="text1"/>
          <w:sz w:val="28"/>
          <w:szCs w:val="28"/>
          <w:highlight w:val="none"/>
          <w:lang w:eastAsia="zh-CN"/>
        </w:rPr>
        <w:t>称“薪酬”</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（3）合同履行过程中因与员工产生劳动纠纷而产生的经济补偿金或赔偿金、工伤待遇、未及时签订劳动合同的另一倍工资等可能产生的法律责任和费用均由乙方承担，乙方不得要求甲方承担。</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default"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lang w:val="en-US" w:eastAsia="zh-CN"/>
        </w:rPr>
        <w:t>（4）乙方的服务管理费：每月服务管理费按不得高于该月份服务人员薪酬的10%计算（取小数点后两位）。乙方只对服务管理费的折扣率进行报价。</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rPr>
        <w:t>、结算方式</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本项目据实结算，</w:t>
      </w:r>
      <w:r>
        <w:rPr>
          <w:rFonts w:hint="eastAsia" w:ascii="宋体" w:hAnsi="宋体" w:eastAsia="宋体" w:cs="宋体"/>
          <w:color w:val="000000" w:themeColor="text1"/>
          <w:sz w:val="28"/>
          <w:szCs w:val="28"/>
          <w:highlight w:val="none"/>
        </w:rPr>
        <w:t>劳务外包服务费按照“当月支付上月”的方式进行结算，当月实际支付劳务外包服务费</w:t>
      </w:r>
      <w:r>
        <w:rPr>
          <w:rFonts w:hint="eastAsia" w:ascii="宋体" w:hAnsi="宋体" w:eastAsia="宋体" w:cs="宋体"/>
          <w:color w:val="000000" w:themeColor="text1"/>
          <w:sz w:val="28"/>
          <w:szCs w:val="28"/>
          <w:highlight w:val="none"/>
          <w:lang w:val="en-US" w:eastAsia="zh-CN"/>
        </w:rPr>
        <w:t>=服务人员的薪酬+（服务人员的薪酬*10%）*中标折扣率</w:t>
      </w:r>
      <w:r>
        <w:rPr>
          <w:rFonts w:hint="eastAsia" w:ascii="宋体" w:hAnsi="宋体" w:eastAsia="宋体" w:cs="宋体"/>
          <w:color w:val="000000" w:themeColor="text1"/>
          <w:sz w:val="28"/>
          <w:szCs w:val="28"/>
          <w:highlight w:val="none"/>
        </w:rPr>
        <w:t>。</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4</w:t>
      </w:r>
      <w:r>
        <w:rPr>
          <w:rFonts w:hint="eastAsia" w:ascii="宋体" w:hAnsi="宋体" w:eastAsia="宋体" w:cs="宋体"/>
          <w:color w:val="000000" w:themeColor="text1"/>
          <w:sz w:val="28"/>
          <w:szCs w:val="28"/>
          <w:highlight w:val="none"/>
        </w:rPr>
        <w:t>、付款方式</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（1）每次按合同支付款项前，</w:t>
      </w:r>
      <w:r>
        <w:rPr>
          <w:rFonts w:hint="eastAsia" w:ascii="宋体" w:hAnsi="宋体" w:eastAsia="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先应向</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开具提供与支付金额相符的有效发票作为</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付款的前提，且收款方、出具发票方、合同乙方均必须与</w:t>
      </w:r>
      <w:r>
        <w:rPr>
          <w:rFonts w:hint="eastAsia" w:ascii="宋体" w:hAnsi="宋体" w:eastAsia="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名称一致。</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收到发票等相关资料并审核无误后在</w:t>
      </w:r>
      <w:r>
        <w:rPr>
          <w:rFonts w:hint="eastAsia" w:ascii="宋体" w:hAnsi="宋体" w:eastAsia="宋体" w:cs="宋体"/>
          <w:color w:val="000000" w:themeColor="text1"/>
          <w:sz w:val="28"/>
          <w:szCs w:val="28"/>
          <w:highlight w:val="none"/>
          <w:lang w:val="en-US" w:eastAsia="zh-CN"/>
        </w:rPr>
        <w:t>2</w:t>
      </w:r>
      <w:r>
        <w:rPr>
          <w:rFonts w:hint="eastAsia" w:ascii="宋体" w:hAnsi="宋体" w:eastAsia="宋体" w:cs="宋体"/>
          <w:color w:val="000000" w:themeColor="text1"/>
          <w:sz w:val="28"/>
          <w:szCs w:val="28"/>
          <w:highlight w:val="none"/>
        </w:rPr>
        <w:t>0个工作日内办理支付手续。</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（2）如遇财政拨款未到位情况，上述付款期限顺延，</w:t>
      </w:r>
      <w:r>
        <w:rPr>
          <w:rFonts w:hint="eastAsia" w:ascii="宋体" w:hAnsi="宋体" w:eastAsia="宋体" w:cs="宋体"/>
          <w:color w:val="000000" w:themeColor="text1"/>
          <w:sz w:val="28"/>
          <w:szCs w:val="28"/>
          <w:highlight w:val="none"/>
          <w:lang w:eastAsia="zh-CN"/>
        </w:rPr>
        <w:t>乙方</w:t>
      </w:r>
      <w:r>
        <w:rPr>
          <w:rFonts w:hint="eastAsia" w:ascii="宋体" w:hAnsi="宋体" w:eastAsia="宋体" w:cs="宋体"/>
          <w:color w:val="000000" w:themeColor="text1"/>
          <w:sz w:val="28"/>
          <w:szCs w:val="28"/>
          <w:highlight w:val="none"/>
        </w:rPr>
        <w:t>不得追究</w:t>
      </w:r>
      <w:r>
        <w:rPr>
          <w:rFonts w:hint="eastAsia" w:ascii="宋体" w:hAnsi="宋体" w:eastAsia="宋体" w:cs="宋体"/>
          <w:color w:val="000000" w:themeColor="text1"/>
          <w:sz w:val="28"/>
          <w:szCs w:val="28"/>
          <w:highlight w:val="none"/>
          <w:lang w:eastAsia="zh-CN"/>
        </w:rPr>
        <w:t>甲方</w:t>
      </w:r>
      <w:r>
        <w:rPr>
          <w:rFonts w:hint="eastAsia" w:ascii="宋体" w:hAnsi="宋体" w:eastAsia="宋体" w:cs="宋体"/>
          <w:color w:val="000000" w:themeColor="text1"/>
          <w:sz w:val="28"/>
          <w:szCs w:val="28"/>
          <w:highlight w:val="none"/>
        </w:rPr>
        <w:t>的相关法律责任。</w:t>
      </w:r>
    </w:p>
    <w:p>
      <w:pPr>
        <w:pStyle w:val="54"/>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b w:val="0"/>
          <w:bCs w:val="0"/>
          <w:color w:val="000000" w:themeColor="text1"/>
          <w:sz w:val="28"/>
          <w:szCs w:val="28"/>
          <w:highlight w:val="none"/>
          <w:lang w:val="en-US" w:eastAsia="zh-CN"/>
        </w:rPr>
        <w:t>3、支付方式采取银行转账付款。</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乙方开户行：</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 xml:space="preserve">                                             </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default" w:ascii="宋体" w:hAnsi="宋体" w:eastAsia="宋体" w:cs="宋体"/>
          <w:color w:val="000000" w:themeColor="text1"/>
          <w:sz w:val="28"/>
          <w:szCs w:val="28"/>
          <w:highlight w:val="none"/>
          <w:lang w:val="en-US" w:eastAsia="zh-CN"/>
        </w:rPr>
      </w:pPr>
      <w:r>
        <w:rPr>
          <w:rFonts w:hint="eastAsia" w:ascii="宋体" w:hAnsi="宋体" w:eastAsia="宋体" w:cs="宋体"/>
          <w:color w:val="000000" w:themeColor="text1"/>
          <w:sz w:val="28"/>
          <w:szCs w:val="28"/>
          <w:highlight w:val="none"/>
        </w:rPr>
        <w:t>乙方全称 ：</w:t>
      </w:r>
      <w:r>
        <w:rPr>
          <w:rFonts w:hint="eastAsia" w:ascii="宋体" w:hAnsi="宋体" w:cs="宋体"/>
          <w:color w:val="000000" w:themeColor="text1"/>
          <w:sz w:val="28"/>
          <w:szCs w:val="28"/>
          <w:highlight w:val="none"/>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cs="宋体"/>
          <w:color w:val="000000" w:themeColor="text1"/>
          <w:sz w:val="28"/>
          <w:szCs w:val="28"/>
          <w:highlight w:val="none"/>
          <w:lang w:eastAsia="zh-CN"/>
        </w:rPr>
        <w:t>账</w:t>
      </w:r>
      <w:r>
        <w:rPr>
          <w:rFonts w:hint="eastAsia" w:ascii="宋体" w:hAnsi="宋体" w:eastAsia="宋体" w:cs="宋体"/>
          <w:color w:val="000000" w:themeColor="text1"/>
          <w:sz w:val="28"/>
          <w:szCs w:val="28"/>
          <w:highlight w:val="none"/>
        </w:rPr>
        <w:t xml:space="preserve">    号 ：</w:t>
      </w:r>
      <w:r>
        <w:rPr>
          <w:rFonts w:hint="eastAsia" w:ascii="宋体" w:hAnsi="宋体" w:cs="宋体"/>
          <w:color w:val="000000" w:themeColor="text1"/>
          <w:sz w:val="28"/>
          <w:szCs w:val="28"/>
          <w:highlight w:val="none"/>
          <w:u w:val="single"/>
          <w:lang w:val="en-US" w:eastAsia="zh-CN"/>
        </w:rPr>
        <w:t xml:space="preserve">                            </w:t>
      </w:r>
      <w:r>
        <w:rPr>
          <w:rFonts w:hint="eastAsia" w:ascii="宋体" w:hAnsi="宋体" w:eastAsia="宋体" w:cs="宋体"/>
          <w:color w:val="000000" w:themeColor="text1"/>
          <w:sz w:val="28"/>
          <w:szCs w:val="28"/>
          <w:highlight w:val="none"/>
        </w:rPr>
        <w:t xml:space="preserve">                                                                      </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val="en-US" w:eastAsia="zh-CN"/>
        </w:rPr>
        <w:t>八</w:t>
      </w:r>
      <w:r>
        <w:rPr>
          <w:rFonts w:hint="eastAsia" w:ascii="宋体" w:hAnsi="宋体" w:eastAsia="宋体" w:cs="宋体"/>
          <w:color w:val="000000" w:themeColor="text1"/>
          <w:sz w:val="28"/>
          <w:szCs w:val="28"/>
          <w:highlight w:val="none"/>
        </w:rPr>
        <w:t>条  违约责任</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cs="宋体"/>
          <w:color w:val="000000" w:themeColor="text1"/>
          <w:sz w:val="28"/>
          <w:szCs w:val="28"/>
          <w:highlight w:val="none"/>
          <w:lang w:eastAsia="zh-CN"/>
        </w:rPr>
      </w:pPr>
      <w:r>
        <w:rPr>
          <w:rFonts w:hint="eastAsia" w:ascii="宋体" w:hAnsi="宋体" w:eastAsia="宋体" w:cs="宋体"/>
          <w:color w:val="000000" w:themeColor="text1"/>
          <w:sz w:val="28"/>
          <w:szCs w:val="28"/>
          <w:highlight w:val="none"/>
        </w:rPr>
        <w:t>1、甲方未能按时支付服务费，乙方有权要求甲方及时结清</w:t>
      </w:r>
      <w:r>
        <w:rPr>
          <w:rFonts w:hint="eastAsia" w:ascii="宋体" w:hAnsi="宋体" w:cs="宋体"/>
          <w:color w:val="000000" w:themeColor="text1"/>
          <w:sz w:val="28"/>
          <w:szCs w:val="28"/>
          <w:highlight w:val="none"/>
          <w:lang w:eastAsia="zh-CN"/>
        </w:rPr>
        <w:t>。</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2、在甲方办公区域，乙方</w:t>
      </w:r>
      <w:r>
        <w:rPr>
          <w:rFonts w:hint="eastAsia" w:ascii="宋体" w:hAnsi="宋体" w:cs="宋体"/>
          <w:color w:val="000000" w:themeColor="text1"/>
          <w:sz w:val="28"/>
          <w:szCs w:val="28"/>
          <w:highlight w:val="none"/>
          <w:lang w:eastAsia="zh-CN"/>
        </w:rPr>
        <w:t>服务人员</w:t>
      </w:r>
      <w:r>
        <w:rPr>
          <w:rFonts w:hint="eastAsia" w:ascii="宋体" w:hAnsi="宋体" w:eastAsia="宋体" w:cs="宋体"/>
          <w:color w:val="000000" w:themeColor="text1"/>
          <w:sz w:val="28"/>
          <w:szCs w:val="28"/>
          <w:highlight w:val="none"/>
        </w:rPr>
        <w:t>应尊重甲方有关规定，不得影响甲方的正常工作秩序。</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color w:val="000000" w:themeColor="text1"/>
          <w:sz w:val="28"/>
          <w:szCs w:val="28"/>
          <w:highlight w:val="none"/>
        </w:rPr>
      </w:pPr>
      <w:r>
        <w:rPr>
          <w:rFonts w:hint="eastAsia" w:ascii="宋体" w:hAnsi="宋体" w:eastAsia="宋体" w:cs="宋体"/>
          <w:color w:val="000000" w:themeColor="text1"/>
          <w:sz w:val="28"/>
          <w:szCs w:val="28"/>
          <w:highlight w:val="none"/>
          <w:lang w:val="en-US" w:eastAsia="zh-CN"/>
        </w:rPr>
        <w:t>3、</w:t>
      </w:r>
      <w:r>
        <w:rPr>
          <w:rFonts w:hint="eastAsia" w:ascii="宋体" w:hAnsi="宋体" w:eastAsia="宋体" w:cs="宋体"/>
          <w:color w:val="000000" w:themeColor="text1"/>
          <w:sz w:val="28"/>
          <w:szCs w:val="28"/>
          <w:highlight w:val="none"/>
        </w:rPr>
        <w:t>甲方指派</w:t>
      </w:r>
      <w:r>
        <w:rPr>
          <w:rFonts w:hint="eastAsia" w:ascii="宋体" w:hAnsi="宋体" w:eastAsia="宋体" w:cs="宋体"/>
          <w:color w:val="000000" w:themeColor="text1"/>
          <w:sz w:val="28"/>
          <w:szCs w:val="28"/>
          <w:highlight w:val="none"/>
          <w:lang w:eastAsia="zh-CN"/>
        </w:rPr>
        <w:t>服务人员</w:t>
      </w:r>
      <w:r>
        <w:rPr>
          <w:rFonts w:hint="eastAsia"/>
          <w:color w:val="000000" w:themeColor="text1"/>
          <w:sz w:val="28"/>
          <w:szCs w:val="28"/>
          <w:highlight w:val="none"/>
        </w:rPr>
        <w:t>从事本合同约定的服务职责范围外的工作，由此造成</w:t>
      </w:r>
      <w:r>
        <w:rPr>
          <w:rFonts w:hint="eastAsia"/>
          <w:color w:val="000000" w:themeColor="text1"/>
          <w:sz w:val="28"/>
          <w:szCs w:val="28"/>
          <w:highlight w:val="none"/>
          <w:lang w:eastAsia="zh-CN"/>
        </w:rPr>
        <w:t>服务人员</w:t>
      </w:r>
      <w:r>
        <w:rPr>
          <w:rFonts w:hint="eastAsia"/>
          <w:color w:val="000000" w:themeColor="text1"/>
          <w:sz w:val="28"/>
          <w:szCs w:val="28"/>
          <w:highlight w:val="none"/>
        </w:rPr>
        <w:t>或对第三方的经济赔偿责任，由甲方负责。</w:t>
      </w:r>
    </w:p>
    <w:p>
      <w:pPr>
        <w:pStyle w:val="2"/>
        <w:keepNext w:val="0"/>
        <w:keepLines w:val="0"/>
        <w:pageBreakBefore w:val="0"/>
        <w:widowControl w:val="0"/>
        <w:kinsoku/>
        <w:wordWrap/>
        <w:overflowPunct/>
        <w:topLinePunct w:val="0"/>
        <w:bidi w:val="0"/>
        <w:spacing w:line="560" w:lineRule="atLeast"/>
        <w:ind w:firstLine="560"/>
        <w:textAlignment w:val="auto"/>
        <w:rPr>
          <w:rFonts w:hint="eastAsia"/>
          <w:color w:val="000000" w:themeColor="text1"/>
          <w:sz w:val="28"/>
          <w:szCs w:val="28"/>
          <w:highlight w:val="none"/>
          <w:lang w:val="en-US" w:eastAsia="zh-CN"/>
        </w:rPr>
      </w:pPr>
      <w:r>
        <w:rPr>
          <w:rFonts w:hint="eastAsia"/>
          <w:color w:val="000000" w:themeColor="text1"/>
          <w:sz w:val="28"/>
          <w:szCs w:val="28"/>
          <w:highlight w:val="none"/>
          <w:lang w:val="en-US" w:eastAsia="zh-CN"/>
        </w:rPr>
        <w:t>4、乙方提供的服务人员或者服务不符合本合同的约定，甲方有权要求乙方纠正并按本合同的约定扣减相应的服务费，因此造成甲方其他损失的，甲方有权直接在乙方缴交的保证金中扣减有关损失费用或者要求保证人承担连带保证责任，扣减保证金或者保证人承担保证责任后，不足以弥补甲方损失的，甲方有权继续向乙方追偿。</w:t>
      </w:r>
    </w:p>
    <w:p>
      <w:pPr>
        <w:keepNext w:val="0"/>
        <w:keepLines w:val="0"/>
        <w:pageBreakBefore w:val="0"/>
        <w:widowControl w:val="0"/>
        <w:kinsoku/>
        <w:wordWrap/>
        <w:overflowPunct/>
        <w:topLinePunct w:val="0"/>
        <w:bidi w:val="0"/>
        <w:spacing w:line="560" w:lineRule="atLeast"/>
        <w:textAlignment w:val="auto"/>
        <w:rPr>
          <w:rFonts w:hint="eastAsia"/>
          <w:color w:val="000000" w:themeColor="text1"/>
          <w:highlight w:val="none"/>
          <w:lang w:val="en-US" w:eastAsia="zh-CN"/>
        </w:rPr>
      </w:pP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第</w:t>
      </w:r>
      <w:r>
        <w:rPr>
          <w:rFonts w:hint="eastAsia" w:ascii="宋体" w:hAnsi="宋体" w:cs="宋体"/>
          <w:color w:val="000000" w:themeColor="text1"/>
          <w:sz w:val="28"/>
          <w:szCs w:val="28"/>
          <w:highlight w:val="none"/>
          <w:lang w:eastAsia="zh-CN"/>
        </w:rPr>
        <w:t>九</w:t>
      </w:r>
      <w:r>
        <w:rPr>
          <w:rFonts w:hint="eastAsia" w:ascii="宋体" w:hAnsi="宋体" w:eastAsia="宋体" w:cs="宋体"/>
          <w:color w:val="000000" w:themeColor="text1"/>
          <w:sz w:val="28"/>
          <w:szCs w:val="28"/>
          <w:highlight w:val="none"/>
        </w:rPr>
        <w:t>条</w:t>
      </w:r>
      <w:r>
        <w:rPr>
          <w:rFonts w:hint="eastAsia" w:ascii="宋体" w:hAnsi="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其他</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1、有关本合同的未尽事宜及因本合同发生的一切争议，应由双方友好协商解决，如协商不能解决时，交由甲方所在地人民法院诉讼解决。</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2、凡对本合同进行修改、补充或变更，须以书面形式经双方授权代表签字盖章后，作为本合同的组成部分。</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3、合同附件是本合同不可分割的部分，与本合同具有同等效力。</w:t>
      </w:r>
    </w:p>
    <w:p>
      <w:pPr>
        <w:keepNext w:val="0"/>
        <w:keepLines w:val="0"/>
        <w:pageBreakBefore w:val="0"/>
        <w:widowControl w:val="0"/>
        <w:kinsoku/>
        <w:wordWrap/>
        <w:overflowPunct/>
        <w:topLinePunct w:val="0"/>
        <w:bidi w:val="0"/>
        <w:adjustRightInd w:val="0"/>
        <w:snapToGrid w:val="0"/>
        <w:spacing w:line="560" w:lineRule="atLeast"/>
        <w:ind w:firstLine="560" w:firstLineChars="200"/>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4、本合同由甲、乙双方授权代表签字并盖章后生效。本合同一式两份，甲、乙双方各执一份，每份具有相同法律效力。</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 甲方（盖章）：                      乙方（盖章）：</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法定代表人（签名）：                法定代表人（签名）：</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委托代理人（签名）：                委托代理人（签名）：</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 xml:space="preserve">地址：      </w:t>
      </w:r>
      <w:r>
        <w:rPr>
          <w:rFonts w:hint="eastAsia" w:ascii="宋体" w:hAnsi="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地址：</w:t>
      </w:r>
    </w:p>
    <w:p>
      <w:pPr>
        <w:keepNext w:val="0"/>
        <w:keepLines w:val="0"/>
        <w:pageBreakBefore w:val="0"/>
        <w:widowControl w:val="0"/>
        <w:kinsoku/>
        <w:wordWrap/>
        <w:overflowPunct/>
        <w:topLinePunct w:val="0"/>
        <w:bidi w:val="0"/>
        <w:spacing w:line="560" w:lineRule="atLeast"/>
        <w:textAlignment w:val="auto"/>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签订日期：</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 xml:space="preserve">日        </w:t>
      </w:r>
      <w:r>
        <w:rPr>
          <w:rFonts w:hint="eastAsia" w:ascii="宋体" w:hAnsi="宋体" w:cs="宋体"/>
          <w:color w:val="000000" w:themeColor="text1"/>
          <w:sz w:val="28"/>
          <w:szCs w:val="28"/>
          <w:highlight w:val="none"/>
          <w:lang w:val="en-US" w:eastAsia="zh-CN"/>
        </w:rPr>
        <w:t xml:space="preserve">  </w:t>
      </w:r>
      <w:r>
        <w:rPr>
          <w:rFonts w:hint="eastAsia" w:ascii="宋体" w:hAnsi="宋体" w:eastAsia="宋体" w:cs="宋体"/>
          <w:color w:val="000000" w:themeColor="text1"/>
          <w:sz w:val="28"/>
          <w:szCs w:val="28"/>
          <w:highlight w:val="none"/>
        </w:rPr>
        <w:t>签订日期</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年</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月</w:t>
      </w:r>
      <w:r>
        <w:rPr>
          <w:rFonts w:hint="eastAsia" w:ascii="宋体" w:hAnsi="宋体" w:eastAsia="宋体" w:cs="宋体"/>
          <w:color w:val="000000" w:themeColor="text1"/>
          <w:sz w:val="28"/>
          <w:szCs w:val="28"/>
          <w:highlight w:val="none"/>
          <w:u w:val="single"/>
        </w:rPr>
        <w:t xml:space="preserve">   </w:t>
      </w:r>
      <w:r>
        <w:rPr>
          <w:rFonts w:hint="eastAsia" w:ascii="宋体" w:hAnsi="宋体" w:eastAsia="宋体" w:cs="宋体"/>
          <w:color w:val="000000" w:themeColor="text1"/>
          <w:sz w:val="28"/>
          <w:szCs w:val="28"/>
          <w:highlight w:val="none"/>
        </w:rPr>
        <w:t>日</w:t>
      </w:r>
    </w:p>
    <w:p>
      <w:pPr>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br w:type="page"/>
      </w:r>
    </w:p>
    <w:p>
      <w:pPr>
        <w:pStyle w:val="2"/>
        <w:rPr>
          <w:rFonts w:hint="eastAsia" w:ascii="宋体" w:hAnsi="宋体" w:eastAsia="宋体" w:cs="仿宋_GB2312"/>
          <w:color w:val="000000" w:themeColor="text1"/>
          <w:sz w:val="21"/>
          <w:szCs w:val="21"/>
          <w:highlight w:val="none"/>
        </w:rPr>
      </w:pPr>
      <w:r>
        <w:rPr>
          <w:rFonts w:hint="eastAsia" w:ascii="宋体" w:hAnsi="宋体" w:eastAsia="宋体" w:cs="仿宋_GB2312"/>
          <w:color w:val="000000" w:themeColor="text1"/>
          <w:sz w:val="21"/>
          <w:szCs w:val="21"/>
          <w:highlight w:val="none"/>
        </w:rPr>
        <w:t>附</w:t>
      </w:r>
      <w:r>
        <w:rPr>
          <w:rFonts w:hint="eastAsia" w:ascii="宋体" w:hAnsi="宋体" w:eastAsia="宋体" w:cs="仿宋_GB2312"/>
          <w:color w:val="000000" w:themeColor="text1"/>
          <w:sz w:val="21"/>
          <w:szCs w:val="21"/>
          <w:highlight w:val="none"/>
          <w:lang w:eastAsia="zh-CN"/>
        </w:rPr>
        <w:t>表</w:t>
      </w:r>
      <w:r>
        <w:rPr>
          <w:rFonts w:hint="eastAsia" w:ascii="宋体" w:hAnsi="宋体" w:eastAsia="宋体" w:cs="仿宋_GB2312"/>
          <w:color w:val="000000" w:themeColor="text1"/>
          <w:sz w:val="21"/>
          <w:szCs w:val="21"/>
          <w:highlight w:val="none"/>
          <w:lang w:val="en-US" w:eastAsia="zh-CN"/>
        </w:rPr>
        <w:t>1</w:t>
      </w:r>
      <w:r>
        <w:rPr>
          <w:rFonts w:hint="eastAsia" w:ascii="宋体" w:hAnsi="宋体" w:eastAsia="宋体" w:cs="仿宋_GB2312"/>
          <w:color w:val="000000" w:themeColor="text1"/>
          <w:sz w:val="21"/>
          <w:szCs w:val="21"/>
          <w:highlight w:val="none"/>
        </w:rPr>
        <w:t>：</w:t>
      </w:r>
    </w:p>
    <w:p>
      <w:pPr>
        <w:pStyle w:val="2"/>
        <w:jc w:val="center"/>
        <w:rPr>
          <w:rFonts w:hint="default" w:ascii="宋体" w:hAnsi="宋体" w:eastAsia="宋体" w:cs="Times New Roman"/>
          <w:color w:val="000000" w:themeColor="text1"/>
          <w:sz w:val="21"/>
          <w:szCs w:val="21"/>
          <w:highlight w:val="none"/>
          <w:lang w:val="en-US" w:eastAsia="zh-CN"/>
        </w:rPr>
      </w:pPr>
      <w:r>
        <w:rPr>
          <w:rFonts w:hint="eastAsia" w:ascii="宋体" w:hAnsi="宋体" w:eastAsia="宋体" w:cs="Times New Roman"/>
          <w:color w:val="000000" w:themeColor="text1"/>
          <w:sz w:val="21"/>
          <w:szCs w:val="21"/>
          <w:highlight w:val="none"/>
          <w:lang w:eastAsia="zh-CN"/>
        </w:rPr>
        <w:t>劳务外包</w:t>
      </w:r>
      <w:r>
        <w:rPr>
          <w:rFonts w:hint="eastAsia" w:ascii="宋体" w:hAnsi="宋体" w:eastAsia="宋体" w:cs="Times New Roman"/>
          <w:color w:val="000000" w:themeColor="text1"/>
          <w:sz w:val="21"/>
          <w:szCs w:val="21"/>
          <w:highlight w:val="none"/>
        </w:rPr>
        <w:t>服务绩效考核评分表</w:t>
      </w:r>
      <w:r>
        <w:rPr>
          <w:rFonts w:hint="eastAsia" w:ascii="宋体" w:hAnsi="宋体" w:eastAsia="宋体" w:cs="Times New Roman"/>
          <w:color w:val="000000" w:themeColor="text1"/>
          <w:sz w:val="21"/>
          <w:szCs w:val="21"/>
          <w:highlight w:val="none"/>
          <w:lang w:val="en-US" w:eastAsia="zh-CN"/>
        </w:rPr>
        <w:t xml:space="preserve">     </w:t>
      </w:r>
    </w:p>
    <w:tbl>
      <w:tblPr>
        <w:tblStyle w:val="46"/>
        <w:tblW w:w="83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5"/>
        <w:gridCol w:w="1676"/>
        <w:gridCol w:w="1606"/>
        <w:gridCol w:w="1765"/>
        <w:gridCol w:w="1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725" w:type="dxa"/>
            <w:vAlign w:val="top"/>
          </w:tcPr>
          <w:p>
            <w:pPr>
              <w:spacing w:before="36" w:line="276" w:lineRule="auto"/>
              <w:ind w:firstLine="664"/>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1676" w:type="dxa"/>
            <w:vAlign w:val="top"/>
          </w:tcPr>
          <w:p>
            <w:pPr>
              <w:spacing w:before="36" w:line="276" w:lineRule="auto"/>
              <w:ind w:firstLine="318"/>
              <w:rPr>
                <w:rFonts w:ascii="宋体" w:hAnsi="宋体" w:cs="宋体"/>
                <w:color w:val="000000" w:themeColor="text1"/>
                <w:szCs w:val="21"/>
                <w:highlight w:val="none"/>
              </w:rPr>
            </w:pPr>
            <w:r>
              <w:rPr>
                <w:rFonts w:ascii="宋体" w:hAnsi="宋体" w:cs="宋体"/>
                <w:color w:val="000000" w:themeColor="text1"/>
                <w:spacing w:val="-5"/>
                <w:szCs w:val="21"/>
                <w:highlight w:val="none"/>
              </w:rPr>
              <w:t>很满意5分</w:t>
            </w:r>
          </w:p>
        </w:tc>
        <w:tc>
          <w:tcPr>
            <w:tcW w:w="1606" w:type="dxa"/>
            <w:vAlign w:val="top"/>
          </w:tcPr>
          <w:p>
            <w:pPr>
              <w:spacing w:before="36" w:line="276" w:lineRule="auto"/>
              <w:ind w:firstLine="389"/>
              <w:rPr>
                <w:rFonts w:ascii="宋体" w:hAnsi="宋体" w:cs="宋体"/>
                <w:color w:val="000000" w:themeColor="text1"/>
                <w:szCs w:val="21"/>
                <w:highlight w:val="none"/>
              </w:rPr>
            </w:pPr>
            <w:r>
              <w:rPr>
                <w:rFonts w:ascii="宋体" w:hAnsi="宋体" w:cs="宋体"/>
                <w:color w:val="000000" w:themeColor="text1"/>
                <w:spacing w:val="-4"/>
                <w:szCs w:val="21"/>
                <w:highlight w:val="none"/>
              </w:rPr>
              <w:t>满意4分</w:t>
            </w:r>
          </w:p>
        </w:tc>
        <w:tc>
          <w:tcPr>
            <w:tcW w:w="1765" w:type="dxa"/>
            <w:vAlign w:val="top"/>
          </w:tcPr>
          <w:p>
            <w:pPr>
              <w:spacing w:before="36" w:line="276" w:lineRule="auto"/>
              <w:ind w:firstLine="258"/>
              <w:rPr>
                <w:rFonts w:ascii="宋体" w:hAnsi="宋体" w:cs="宋体"/>
                <w:color w:val="000000" w:themeColor="text1"/>
                <w:szCs w:val="21"/>
                <w:highlight w:val="none"/>
              </w:rPr>
            </w:pPr>
            <w:r>
              <w:rPr>
                <w:rFonts w:ascii="宋体" w:hAnsi="宋体" w:cs="宋体"/>
                <w:color w:val="000000" w:themeColor="text1"/>
                <w:spacing w:val="-3"/>
                <w:szCs w:val="21"/>
                <w:highlight w:val="none"/>
              </w:rPr>
              <w:t>基本满意3分</w:t>
            </w:r>
          </w:p>
        </w:tc>
        <w:tc>
          <w:tcPr>
            <w:tcW w:w="1592" w:type="dxa"/>
            <w:vAlign w:val="top"/>
          </w:tcPr>
          <w:p>
            <w:pPr>
              <w:spacing w:before="36" w:line="276" w:lineRule="auto"/>
              <w:ind w:firstLine="279"/>
              <w:rPr>
                <w:rFonts w:ascii="宋体" w:hAnsi="宋体" w:cs="宋体"/>
                <w:color w:val="000000" w:themeColor="text1"/>
                <w:szCs w:val="21"/>
                <w:highlight w:val="none"/>
              </w:rPr>
            </w:pPr>
            <w:r>
              <w:rPr>
                <w:rFonts w:ascii="宋体" w:hAnsi="宋体" w:cs="宋体"/>
                <w:color w:val="000000" w:themeColor="text1"/>
                <w:spacing w:val="-4"/>
                <w:szCs w:val="21"/>
                <w:highlight w:val="none"/>
              </w:rPr>
              <w:t>不满意0分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725" w:type="dxa"/>
            <w:vAlign w:val="top"/>
          </w:tcPr>
          <w:p>
            <w:pPr>
              <w:spacing w:before="32" w:line="276" w:lineRule="auto"/>
              <w:jc w:val="center"/>
              <w:rPr>
                <w:rFonts w:ascii="宋体" w:hAnsi="宋体" w:cs="宋体"/>
                <w:color w:val="000000" w:themeColor="text1"/>
                <w:szCs w:val="21"/>
                <w:highlight w:val="none"/>
              </w:rPr>
            </w:pPr>
            <w:r>
              <w:rPr>
                <w:rFonts w:ascii="宋体" w:hAnsi="宋体" w:cs="宋体"/>
                <w:color w:val="000000" w:themeColor="text1"/>
                <w:spacing w:val="-2"/>
                <w:szCs w:val="21"/>
                <w:highlight w:val="none"/>
              </w:rPr>
              <w:t>制度流程</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服务标准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jc w:val="center"/>
        </w:trPr>
        <w:tc>
          <w:tcPr>
            <w:tcW w:w="1725" w:type="dxa"/>
            <w:vAlign w:val="top"/>
          </w:tcPr>
          <w:p>
            <w:pPr>
              <w:spacing w:before="29" w:line="276" w:lineRule="auto"/>
              <w:ind w:firstLine="434"/>
              <w:rPr>
                <w:rFonts w:ascii="宋体" w:hAnsi="宋体" w:cs="宋体"/>
                <w:color w:val="000000" w:themeColor="text1"/>
                <w:szCs w:val="21"/>
                <w:highlight w:val="none"/>
              </w:rPr>
            </w:pPr>
            <w:r>
              <w:rPr>
                <w:rFonts w:ascii="宋体" w:hAnsi="宋体" w:cs="宋体"/>
                <w:color w:val="000000" w:themeColor="text1"/>
                <w:spacing w:val="-1"/>
                <w:szCs w:val="21"/>
                <w:highlight w:val="none"/>
              </w:rPr>
              <w:t>机构设置</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装备配备</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jc w:val="center"/>
        </w:trPr>
        <w:tc>
          <w:tcPr>
            <w:tcW w:w="1725" w:type="dxa"/>
            <w:vAlign w:val="top"/>
          </w:tcPr>
          <w:p>
            <w:pPr>
              <w:spacing w:before="30"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人员配置</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jc w:val="center"/>
        </w:trPr>
        <w:tc>
          <w:tcPr>
            <w:tcW w:w="1725" w:type="dxa"/>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培训演练</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2" w:hRule="atLeast"/>
          <w:jc w:val="center"/>
        </w:trPr>
        <w:tc>
          <w:tcPr>
            <w:tcW w:w="1725" w:type="dxa"/>
            <w:vAlign w:val="top"/>
          </w:tcPr>
          <w:p>
            <w:pPr>
              <w:spacing w:before="31"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专业水平</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vAlign w:val="top"/>
          </w:tcPr>
          <w:p>
            <w:pPr>
              <w:spacing w:before="32"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仪容仪表</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服务态度</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vAlign w:val="top"/>
          </w:tcPr>
          <w:p>
            <w:pPr>
              <w:spacing w:before="32"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执行力度</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jc w:val="center"/>
        </w:trPr>
        <w:tc>
          <w:tcPr>
            <w:tcW w:w="1725" w:type="dxa"/>
            <w:vAlign w:val="top"/>
          </w:tcPr>
          <w:p>
            <w:pPr>
              <w:spacing w:before="33" w:line="276" w:lineRule="auto"/>
              <w:ind w:firstLine="439"/>
              <w:rPr>
                <w:rFonts w:ascii="宋体" w:hAnsi="宋体" w:cs="宋体"/>
                <w:color w:val="000000" w:themeColor="text1"/>
                <w:szCs w:val="21"/>
                <w:highlight w:val="none"/>
              </w:rPr>
            </w:pPr>
            <w:r>
              <w:rPr>
                <w:rFonts w:ascii="宋体" w:hAnsi="宋体" w:cs="宋体"/>
                <w:color w:val="000000" w:themeColor="text1"/>
                <w:spacing w:val="-3"/>
                <w:szCs w:val="21"/>
                <w:highlight w:val="none"/>
              </w:rPr>
              <w:t>安全意识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卫生意识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服务意识</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jc w:val="center"/>
        </w:trPr>
        <w:tc>
          <w:tcPr>
            <w:tcW w:w="1725" w:type="dxa"/>
            <w:vAlign w:val="top"/>
          </w:tcPr>
          <w:p>
            <w:pPr>
              <w:spacing w:before="35"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工作责任</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vAlign w:val="top"/>
          </w:tcPr>
          <w:p>
            <w:pPr>
              <w:spacing w:before="35" w:line="276" w:lineRule="auto"/>
              <w:ind w:firstLine="445"/>
              <w:rPr>
                <w:rFonts w:ascii="宋体" w:hAnsi="宋体" w:cs="宋体"/>
                <w:color w:val="000000" w:themeColor="text1"/>
                <w:szCs w:val="21"/>
                <w:highlight w:val="none"/>
              </w:rPr>
            </w:pPr>
            <w:r>
              <w:rPr>
                <w:rFonts w:ascii="宋体" w:hAnsi="宋体" w:cs="宋体"/>
                <w:color w:val="000000" w:themeColor="text1"/>
                <w:spacing w:val="-4"/>
                <w:szCs w:val="21"/>
                <w:highlight w:val="none"/>
              </w:rPr>
              <w:t>时间观念</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725" w:type="dxa"/>
            <w:vAlign w:val="top"/>
          </w:tcPr>
          <w:p>
            <w:pPr>
              <w:spacing w:before="33" w:line="276" w:lineRule="auto"/>
              <w:ind w:firstLine="436"/>
              <w:rPr>
                <w:rFonts w:ascii="宋体" w:hAnsi="宋体" w:cs="宋体"/>
                <w:color w:val="000000" w:themeColor="text1"/>
                <w:szCs w:val="21"/>
                <w:highlight w:val="none"/>
              </w:rPr>
            </w:pPr>
            <w:r>
              <w:rPr>
                <w:rFonts w:ascii="宋体" w:hAnsi="宋体" w:cs="宋体"/>
                <w:color w:val="000000" w:themeColor="text1"/>
                <w:spacing w:val="-2"/>
                <w:szCs w:val="21"/>
                <w:highlight w:val="none"/>
              </w:rPr>
              <w:t>协调能力</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服务效率</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服务质量</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vAlign w:val="top"/>
          </w:tcPr>
          <w:p>
            <w:pPr>
              <w:spacing w:before="33" w:line="276" w:lineRule="auto"/>
              <w:ind w:firstLine="435"/>
              <w:rPr>
                <w:rFonts w:ascii="宋体" w:hAnsi="宋体" w:cs="宋体"/>
                <w:color w:val="000000" w:themeColor="text1"/>
                <w:szCs w:val="21"/>
                <w:highlight w:val="none"/>
              </w:rPr>
            </w:pPr>
            <w:r>
              <w:rPr>
                <w:rFonts w:ascii="宋体" w:hAnsi="宋体" w:cs="宋体"/>
                <w:color w:val="000000" w:themeColor="text1"/>
                <w:spacing w:val="-2"/>
                <w:szCs w:val="21"/>
                <w:highlight w:val="none"/>
              </w:rPr>
              <w:t>节能减排</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vAlign w:val="top"/>
          </w:tcPr>
          <w:p>
            <w:pPr>
              <w:spacing w:before="33" w:line="276" w:lineRule="auto"/>
              <w:jc w:val="center"/>
              <w:rPr>
                <w:rFonts w:ascii="宋体" w:hAnsi="宋体" w:cs="宋体"/>
                <w:color w:val="000000" w:themeColor="text1"/>
                <w:spacing w:val="-2"/>
                <w:szCs w:val="21"/>
                <w:highlight w:val="none"/>
              </w:rPr>
            </w:pPr>
            <w:r>
              <w:rPr>
                <w:rFonts w:ascii="宋体" w:hAnsi="宋体" w:cs="宋体"/>
                <w:color w:val="000000" w:themeColor="text1"/>
                <w:spacing w:val="-2"/>
                <w:szCs w:val="21"/>
                <w:highlight w:val="none"/>
              </w:rPr>
              <w:t>一般性重复失误</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jc w:val="center"/>
        </w:trPr>
        <w:tc>
          <w:tcPr>
            <w:tcW w:w="1725" w:type="dxa"/>
            <w:vAlign w:val="top"/>
          </w:tcPr>
          <w:p>
            <w:pPr>
              <w:spacing w:before="33" w:line="276" w:lineRule="auto"/>
              <w:jc w:val="center"/>
              <w:rPr>
                <w:rFonts w:ascii="宋体" w:hAnsi="宋体" w:cs="宋体"/>
                <w:color w:val="000000" w:themeColor="text1"/>
                <w:spacing w:val="-2"/>
                <w:szCs w:val="21"/>
                <w:highlight w:val="none"/>
              </w:rPr>
            </w:pPr>
            <w:r>
              <w:rPr>
                <w:rFonts w:ascii="宋体" w:hAnsi="宋体" w:cs="宋体"/>
                <w:color w:val="000000" w:themeColor="text1"/>
                <w:spacing w:val="-2"/>
                <w:szCs w:val="21"/>
                <w:highlight w:val="none"/>
              </w:rPr>
              <w:t>一般性重复过错</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jc w:val="center"/>
        </w:trPr>
        <w:tc>
          <w:tcPr>
            <w:tcW w:w="1725" w:type="dxa"/>
            <w:vAlign w:val="top"/>
          </w:tcPr>
          <w:p>
            <w:pPr>
              <w:spacing w:before="33" w:line="276" w:lineRule="auto"/>
              <w:jc w:val="center"/>
              <w:rPr>
                <w:rFonts w:ascii="宋体" w:hAnsi="宋体" w:cs="宋体"/>
                <w:color w:val="000000" w:themeColor="text1"/>
                <w:spacing w:val="-2"/>
                <w:szCs w:val="21"/>
                <w:highlight w:val="none"/>
              </w:rPr>
            </w:pPr>
            <w:r>
              <w:rPr>
                <w:rFonts w:ascii="宋体" w:hAnsi="宋体" w:cs="宋体"/>
                <w:color w:val="000000" w:themeColor="text1"/>
                <w:spacing w:val="-1"/>
                <w:szCs w:val="21"/>
                <w:highlight w:val="none"/>
              </w:rPr>
              <w:t>较大性重复过错</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jc w:val="center"/>
        </w:trPr>
        <w:tc>
          <w:tcPr>
            <w:tcW w:w="1725" w:type="dxa"/>
            <w:vAlign w:val="top"/>
          </w:tcPr>
          <w:p>
            <w:pPr>
              <w:spacing w:before="31" w:line="276" w:lineRule="auto"/>
              <w:ind w:firstLine="21" w:firstLineChars="0"/>
              <w:jc w:val="center"/>
              <w:rPr>
                <w:rFonts w:ascii="宋体" w:hAnsi="宋体" w:cs="宋体"/>
                <w:color w:val="000000" w:themeColor="text1"/>
                <w:spacing w:val="-1"/>
                <w:szCs w:val="21"/>
                <w:highlight w:val="none"/>
              </w:rPr>
            </w:pPr>
            <w:r>
              <w:rPr>
                <w:rFonts w:ascii="宋体" w:hAnsi="宋体" w:cs="宋体"/>
                <w:color w:val="000000" w:themeColor="text1"/>
                <w:spacing w:val="-2"/>
                <w:szCs w:val="21"/>
                <w:highlight w:val="none"/>
              </w:rPr>
              <w:t>一般性事故</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vAlign w:val="top"/>
          </w:tcPr>
          <w:p>
            <w:pPr>
              <w:spacing w:before="35" w:line="276" w:lineRule="auto"/>
              <w:ind w:firstLine="17" w:firstLineChars="0"/>
              <w:jc w:val="center"/>
              <w:rPr>
                <w:rFonts w:ascii="宋体" w:hAnsi="宋体" w:cs="宋体"/>
                <w:color w:val="000000" w:themeColor="text1"/>
                <w:spacing w:val="-1"/>
                <w:szCs w:val="21"/>
                <w:highlight w:val="none"/>
              </w:rPr>
            </w:pPr>
            <w:r>
              <w:rPr>
                <w:rFonts w:ascii="宋体" w:hAnsi="宋体" w:cs="宋体"/>
                <w:color w:val="000000" w:themeColor="text1"/>
                <w:spacing w:val="-1"/>
                <w:szCs w:val="21"/>
                <w:highlight w:val="none"/>
              </w:rPr>
              <w:t>较大性事故</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1725" w:type="dxa"/>
            <w:vAlign w:val="top"/>
          </w:tcPr>
          <w:p>
            <w:pPr>
              <w:spacing w:before="32" w:line="276" w:lineRule="auto"/>
              <w:ind w:firstLine="18" w:firstLineChars="0"/>
              <w:jc w:val="center"/>
              <w:rPr>
                <w:rFonts w:ascii="宋体" w:hAnsi="宋体" w:cs="宋体"/>
                <w:color w:val="000000" w:themeColor="text1"/>
                <w:spacing w:val="-1"/>
                <w:szCs w:val="21"/>
                <w:highlight w:val="none"/>
              </w:rPr>
            </w:pPr>
            <w:r>
              <w:rPr>
                <w:rFonts w:ascii="宋体" w:hAnsi="宋体" w:cs="宋体"/>
                <w:color w:val="000000" w:themeColor="text1"/>
                <w:spacing w:val="-2"/>
                <w:szCs w:val="21"/>
                <w:highlight w:val="none"/>
              </w:rPr>
              <w:t>重大性事故</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4" w:hRule="atLeast"/>
          <w:jc w:val="center"/>
        </w:trPr>
        <w:tc>
          <w:tcPr>
            <w:tcW w:w="1725" w:type="dxa"/>
            <w:vAlign w:val="top"/>
          </w:tcPr>
          <w:p>
            <w:pPr>
              <w:spacing w:before="34" w:line="276" w:lineRule="auto"/>
              <w:ind w:left="14" w:right="3" w:firstLine="1"/>
              <w:jc w:val="center"/>
              <w:rPr>
                <w:rFonts w:ascii="宋体" w:hAnsi="宋体" w:cs="宋体"/>
                <w:color w:val="000000" w:themeColor="text1"/>
                <w:szCs w:val="21"/>
                <w:highlight w:val="none"/>
              </w:rPr>
            </w:pPr>
            <w:r>
              <w:rPr>
                <w:rFonts w:ascii="宋体" w:hAnsi="宋体" w:cs="宋体"/>
                <w:color w:val="000000" w:themeColor="text1"/>
                <w:spacing w:val="2"/>
                <w:szCs w:val="21"/>
                <w:highlight w:val="none"/>
              </w:rPr>
              <w:t>整体服务综合考核</w:t>
            </w:r>
            <w:r>
              <w:rPr>
                <w:rFonts w:ascii="宋体" w:hAnsi="宋体" w:cs="宋体"/>
                <w:color w:val="000000" w:themeColor="text1"/>
                <w:spacing w:val="-1"/>
                <w:szCs w:val="21"/>
                <w:highlight w:val="none"/>
              </w:rPr>
              <w:t>评分（合计）</w:t>
            </w:r>
          </w:p>
        </w:tc>
        <w:tc>
          <w:tcPr>
            <w:tcW w:w="1676" w:type="dxa"/>
            <w:vAlign w:val="top"/>
          </w:tcPr>
          <w:p>
            <w:pPr>
              <w:spacing w:line="276" w:lineRule="auto"/>
              <w:rPr>
                <w:rFonts w:ascii="宋体" w:hAnsi="宋体"/>
                <w:color w:val="000000" w:themeColor="text1"/>
                <w:szCs w:val="21"/>
                <w:highlight w:val="none"/>
              </w:rPr>
            </w:pPr>
          </w:p>
        </w:tc>
        <w:tc>
          <w:tcPr>
            <w:tcW w:w="1606" w:type="dxa"/>
            <w:vAlign w:val="top"/>
          </w:tcPr>
          <w:p>
            <w:pPr>
              <w:spacing w:line="276" w:lineRule="auto"/>
              <w:rPr>
                <w:rFonts w:ascii="宋体" w:hAnsi="宋体"/>
                <w:color w:val="000000" w:themeColor="text1"/>
                <w:szCs w:val="21"/>
                <w:highlight w:val="none"/>
              </w:rPr>
            </w:pPr>
          </w:p>
        </w:tc>
        <w:tc>
          <w:tcPr>
            <w:tcW w:w="1765" w:type="dxa"/>
            <w:vAlign w:val="top"/>
          </w:tcPr>
          <w:p>
            <w:pPr>
              <w:spacing w:line="276" w:lineRule="auto"/>
              <w:rPr>
                <w:rFonts w:ascii="宋体" w:hAnsi="宋体"/>
                <w:color w:val="000000" w:themeColor="text1"/>
                <w:szCs w:val="21"/>
                <w:highlight w:val="none"/>
              </w:rPr>
            </w:pPr>
          </w:p>
        </w:tc>
        <w:tc>
          <w:tcPr>
            <w:tcW w:w="1592" w:type="dxa"/>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jc w:val="center"/>
        </w:trPr>
        <w:tc>
          <w:tcPr>
            <w:tcW w:w="1725" w:type="dxa"/>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3"/>
                <w:szCs w:val="21"/>
                <w:highlight w:val="none"/>
              </w:rPr>
              <w:t>说明</w:t>
            </w:r>
          </w:p>
        </w:tc>
        <w:tc>
          <w:tcPr>
            <w:tcW w:w="6639" w:type="dxa"/>
            <w:gridSpan w:val="4"/>
            <w:vAlign w:val="top"/>
          </w:tcPr>
          <w:p>
            <w:pPr>
              <w:spacing w:before="35" w:line="276" w:lineRule="auto"/>
              <w:ind w:left="8"/>
              <w:rPr>
                <w:rFonts w:ascii="宋体" w:hAnsi="宋体" w:cs="宋体"/>
                <w:color w:val="000000" w:themeColor="text1"/>
                <w:szCs w:val="21"/>
                <w:highlight w:val="none"/>
              </w:rPr>
            </w:pPr>
            <w:r>
              <w:rPr>
                <w:rFonts w:ascii="宋体" w:hAnsi="宋体" w:cs="宋体"/>
                <w:color w:val="000000" w:themeColor="text1"/>
                <w:spacing w:val="-5"/>
                <w:szCs w:val="21"/>
                <w:highlight w:val="none"/>
              </w:rPr>
              <w:t>考核满分为100分，每获得1个分项：很满意得5分；满意得4分；基本满意得3分；不满意得0分。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4" w:hRule="atLeast"/>
          <w:jc w:val="center"/>
        </w:trPr>
        <w:tc>
          <w:tcPr>
            <w:tcW w:w="1725" w:type="dxa"/>
            <w:vAlign w:val="top"/>
          </w:tcPr>
          <w:p>
            <w:pPr>
              <w:spacing w:before="34" w:line="276" w:lineRule="auto"/>
              <w:ind w:firstLine="437"/>
              <w:rPr>
                <w:rFonts w:ascii="宋体" w:hAnsi="宋体" w:cs="宋体"/>
                <w:color w:val="000000" w:themeColor="text1"/>
                <w:szCs w:val="21"/>
                <w:highlight w:val="none"/>
              </w:rPr>
            </w:pPr>
            <w:r>
              <w:rPr>
                <w:rFonts w:ascii="宋体" w:hAnsi="宋体" w:cs="宋体"/>
                <w:color w:val="000000" w:themeColor="text1"/>
                <w:spacing w:val="-2"/>
                <w:szCs w:val="21"/>
                <w:highlight w:val="none"/>
              </w:rPr>
              <w:t>建议意见</w:t>
            </w:r>
          </w:p>
        </w:tc>
        <w:tc>
          <w:tcPr>
            <w:tcW w:w="6639" w:type="dxa"/>
            <w:gridSpan w:val="4"/>
            <w:vAlign w:val="top"/>
          </w:tcPr>
          <w:p>
            <w:pPr>
              <w:spacing w:line="276" w:lineRule="auto"/>
              <w:rPr>
                <w:rFonts w:ascii="宋体" w:hAnsi="宋体"/>
                <w:color w:val="000000" w:themeColor="text1"/>
                <w:szCs w:val="21"/>
                <w:highlight w:val="none"/>
              </w:rPr>
            </w:pPr>
          </w:p>
        </w:tc>
      </w:tr>
    </w:tbl>
    <w:p>
      <w:pPr>
        <w:jc w:val="left"/>
        <w:rPr>
          <w:rFonts w:ascii="宋体" w:hAnsi="宋体" w:cs="宋体"/>
          <w:color w:val="000000" w:themeColor="text1"/>
          <w:spacing w:val="-10"/>
          <w:szCs w:val="21"/>
          <w:highlight w:val="none"/>
        </w:rPr>
      </w:pPr>
      <w:r>
        <w:rPr>
          <w:rFonts w:hint="eastAsia" w:ascii="宋体" w:hAnsi="宋体" w:eastAsia="宋体" w:cs="Times New Roman"/>
          <w:color w:val="000000" w:themeColor="text1"/>
          <w:sz w:val="21"/>
          <w:szCs w:val="21"/>
          <w:highlight w:val="none"/>
          <w:lang w:eastAsia="zh-CN"/>
        </w:rPr>
        <w:t>说明：</w:t>
      </w:r>
      <w:r>
        <w:rPr>
          <w:rFonts w:hint="eastAsia" w:ascii="宋体" w:hAnsi="宋体" w:eastAsia="宋体" w:cs="Times New Roman"/>
          <w:color w:val="000000" w:themeColor="text1"/>
          <w:sz w:val="21"/>
          <w:szCs w:val="21"/>
          <w:highlight w:val="none"/>
          <w:lang w:val="en-US" w:eastAsia="zh-CN"/>
        </w:rPr>
        <w:t>考评单位考核评分（请打“√”）</w:t>
      </w:r>
      <w:r>
        <w:rPr>
          <w:rFonts w:hint="eastAsia" w:ascii="宋体" w:hAnsi="宋体" w:eastAsia="宋体" w:cs="Times New Roman"/>
          <w:color w:val="000000" w:themeColor="text1"/>
          <w:sz w:val="21"/>
          <w:szCs w:val="21"/>
          <w:highlight w:val="none"/>
        </w:rPr>
        <w:br w:type="page"/>
      </w:r>
      <w:r>
        <w:rPr>
          <w:rFonts w:ascii="宋体" w:hAnsi="宋体" w:cs="宋体"/>
          <w:color w:val="000000" w:themeColor="text1"/>
          <w:spacing w:val="-10"/>
          <w:szCs w:val="21"/>
          <w:highlight w:val="none"/>
        </w:rPr>
        <w:t>附</w:t>
      </w:r>
      <w:r>
        <w:rPr>
          <w:rFonts w:hint="eastAsia" w:ascii="宋体" w:hAnsi="宋体" w:cs="宋体"/>
          <w:color w:val="000000" w:themeColor="text1"/>
          <w:spacing w:val="-10"/>
          <w:szCs w:val="21"/>
          <w:highlight w:val="none"/>
          <w:lang w:eastAsia="zh-CN"/>
        </w:rPr>
        <w:t>表</w:t>
      </w:r>
      <w:r>
        <w:rPr>
          <w:rFonts w:ascii="宋体" w:hAnsi="宋体" w:cs="宋体"/>
          <w:color w:val="000000" w:themeColor="text1"/>
          <w:spacing w:val="-10"/>
          <w:szCs w:val="21"/>
          <w:highlight w:val="none"/>
        </w:rPr>
        <w:t>2：</w:t>
      </w:r>
    </w:p>
    <w:p>
      <w:pPr>
        <w:pStyle w:val="2"/>
        <w:rPr>
          <w:color w:val="000000" w:themeColor="text1"/>
          <w:highlight w:val="none"/>
        </w:rPr>
      </w:pPr>
    </w:p>
    <w:p>
      <w:pPr>
        <w:spacing w:line="276" w:lineRule="auto"/>
        <w:ind w:firstLine="0" w:firstLineChars="0"/>
        <w:jc w:val="center"/>
        <w:rPr>
          <w:color w:val="000000" w:themeColor="text1"/>
          <w:highlight w:val="none"/>
        </w:rPr>
      </w:pPr>
      <w:r>
        <w:rPr>
          <w:rFonts w:hint="eastAsia" w:ascii="宋体" w:hAnsi="宋体" w:cs="宋体"/>
          <w:color w:val="000000" w:themeColor="text1"/>
          <w:spacing w:val="-3"/>
          <w:szCs w:val="21"/>
          <w:highlight w:val="none"/>
          <w:lang w:eastAsia="zh-CN"/>
        </w:rPr>
        <w:t>劳务外包服务</w:t>
      </w:r>
      <w:r>
        <w:rPr>
          <w:rFonts w:hint="eastAsia" w:ascii="宋体" w:hAnsi="宋体" w:cs="宋体"/>
          <w:color w:val="000000" w:themeColor="text1"/>
          <w:spacing w:val="-3"/>
          <w:szCs w:val="21"/>
          <w:highlight w:val="none"/>
        </w:rPr>
        <w:t>综合考评统计表</w:t>
      </w:r>
    </w:p>
    <w:tbl>
      <w:tblPr>
        <w:tblStyle w:val="46"/>
        <w:tblpPr w:leftFromText="180" w:rightFromText="180" w:vertAnchor="text" w:horzAnchor="page" w:tblpX="1725" w:tblpY="257"/>
        <w:tblOverlap w:val="never"/>
        <w:tblW w:w="0" w:type="auto"/>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84"/>
        <w:gridCol w:w="709"/>
        <w:gridCol w:w="707"/>
        <w:gridCol w:w="850"/>
        <w:gridCol w:w="1133"/>
        <w:gridCol w:w="11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vAlign w:val="top"/>
          </w:tcPr>
          <w:p>
            <w:pPr>
              <w:spacing w:before="34" w:line="276" w:lineRule="auto"/>
              <w:ind w:firstLine="1643"/>
              <w:rPr>
                <w:rFonts w:ascii="宋体" w:hAnsi="宋体" w:cs="宋体"/>
                <w:color w:val="000000" w:themeColor="text1"/>
                <w:szCs w:val="21"/>
                <w:highlight w:val="none"/>
              </w:rPr>
            </w:pPr>
            <w:r>
              <w:rPr>
                <w:rFonts w:ascii="宋体" w:hAnsi="宋体" w:cs="宋体"/>
                <w:color w:val="000000" w:themeColor="text1"/>
                <w:spacing w:val="-3"/>
                <w:szCs w:val="21"/>
                <w:highlight w:val="none"/>
              </w:rPr>
              <w:t>项目</w:t>
            </w:r>
          </w:p>
        </w:tc>
        <w:tc>
          <w:tcPr>
            <w:tcW w:w="709" w:type="dxa"/>
            <w:shd w:val="clear" w:color="auto" w:fill="FFFFFF"/>
            <w:vAlign w:val="top"/>
          </w:tcPr>
          <w:p>
            <w:pPr>
              <w:spacing w:before="34" w:line="276" w:lineRule="auto"/>
              <w:ind w:firstLine="115"/>
              <w:rPr>
                <w:rFonts w:ascii="宋体" w:hAnsi="宋体" w:cs="宋体"/>
                <w:color w:val="000000" w:themeColor="text1"/>
                <w:szCs w:val="21"/>
                <w:highlight w:val="none"/>
              </w:rPr>
            </w:pPr>
            <w:r>
              <w:rPr>
                <w:rFonts w:ascii="宋体" w:hAnsi="宋体" w:cs="宋体"/>
                <w:color w:val="000000" w:themeColor="text1"/>
                <w:spacing w:val="-2"/>
                <w:szCs w:val="21"/>
                <w:highlight w:val="none"/>
              </w:rPr>
              <w:t>加分</w:t>
            </w:r>
          </w:p>
        </w:tc>
        <w:tc>
          <w:tcPr>
            <w:tcW w:w="707" w:type="dxa"/>
            <w:shd w:val="clear" w:color="auto" w:fill="FFFFFF"/>
            <w:vAlign w:val="top"/>
          </w:tcPr>
          <w:p>
            <w:pPr>
              <w:spacing w:before="34" w:line="276" w:lineRule="auto"/>
              <w:ind w:firstLine="140"/>
              <w:rPr>
                <w:rFonts w:ascii="宋体" w:hAnsi="宋体" w:cs="宋体"/>
                <w:color w:val="000000" w:themeColor="text1"/>
                <w:szCs w:val="21"/>
                <w:highlight w:val="none"/>
              </w:rPr>
            </w:pPr>
            <w:r>
              <w:rPr>
                <w:rFonts w:ascii="宋体" w:hAnsi="宋体" w:cs="宋体"/>
                <w:color w:val="000000" w:themeColor="text1"/>
                <w:spacing w:val="-3"/>
                <w:szCs w:val="21"/>
                <w:highlight w:val="none"/>
              </w:rPr>
              <w:t>扣分</w:t>
            </w:r>
          </w:p>
        </w:tc>
        <w:tc>
          <w:tcPr>
            <w:tcW w:w="850" w:type="dxa"/>
            <w:shd w:val="clear" w:color="auto" w:fill="FFFFFF"/>
            <w:vAlign w:val="top"/>
          </w:tcPr>
          <w:p>
            <w:pPr>
              <w:spacing w:before="34" w:line="276" w:lineRule="auto"/>
              <w:ind w:firstLine="252"/>
              <w:rPr>
                <w:rFonts w:ascii="宋体" w:hAnsi="宋体" w:cs="宋体"/>
                <w:color w:val="000000" w:themeColor="text1"/>
                <w:szCs w:val="21"/>
                <w:highlight w:val="none"/>
              </w:rPr>
            </w:pPr>
            <w:r>
              <w:rPr>
                <w:rFonts w:ascii="宋体" w:hAnsi="宋体" w:cs="宋体"/>
                <w:color w:val="000000" w:themeColor="text1"/>
                <w:spacing w:val="-2"/>
                <w:szCs w:val="21"/>
                <w:highlight w:val="none"/>
              </w:rPr>
              <w:t>合计</w:t>
            </w:r>
          </w:p>
        </w:tc>
        <w:tc>
          <w:tcPr>
            <w:tcW w:w="1133" w:type="dxa"/>
            <w:shd w:val="clear" w:color="auto" w:fill="FFFFFF"/>
            <w:vAlign w:val="top"/>
          </w:tcPr>
          <w:p>
            <w:pPr>
              <w:spacing w:before="34" w:line="276" w:lineRule="auto"/>
              <w:ind w:firstLine="135"/>
              <w:rPr>
                <w:rFonts w:ascii="宋体" w:hAnsi="宋体" w:cs="宋体"/>
                <w:color w:val="000000" w:themeColor="text1"/>
                <w:szCs w:val="21"/>
                <w:highlight w:val="none"/>
              </w:rPr>
            </w:pPr>
            <w:r>
              <w:rPr>
                <w:rFonts w:hint="eastAsia" w:ascii="宋体" w:hAnsi="宋体" w:cs="宋体"/>
                <w:color w:val="000000" w:themeColor="text1"/>
                <w:spacing w:val="-3"/>
                <w:szCs w:val="21"/>
                <w:highlight w:val="none"/>
                <w:lang w:val="en-US" w:eastAsia="zh-CN"/>
              </w:rPr>
              <w:t>扣减</w:t>
            </w:r>
            <w:r>
              <w:rPr>
                <w:rFonts w:ascii="宋体" w:hAnsi="宋体" w:cs="宋体"/>
                <w:color w:val="000000" w:themeColor="text1"/>
                <w:spacing w:val="-3"/>
                <w:szCs w:val="21"/>
                <w:highlight w:val="none"/>
              </w:rPr>
              <w:t>金额</w:t>
            </w:r>
          </w:p>
        </w:tc>
        <w:tc>
          <w:tcPr>
            <w:tcW w:w="1149" w:type="dxa"/>
            <w:shd w:val="clear" w:color="auto" w:fill="FFFFFF"/>
            <w:vAlign w:val="top"/>
          </w:tcPr>
          <w:p>
            <w:pPr>
              <w:spacing w:before="34" w:line="276" w:lineRule="auto"/>
              <w:ind w:firstLine="391"/>
              <w:rPr>
                <w:rFonts w:ascii="宋体" w:hAnsi="宋体" w:cs="宋体"/>
                <w:color w:val="000000" w:themeColor="text1"/>
                <w:szCs w:val="21"/>
                <w:highlight w:val="none"/>
              </w:rPr>
            </w:pPr>
            <w:r>
              <w:rPr>
                <w:rFonts w:ascii="宋体" w:hAnsi="宋体" w:cs="宋体"/>
                <w:color w:val="000000" w:themeColor="text1"/>
                <w:spacing w:val="-3"/>
                <w:szCs w:val="21"/>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管理服务综合考评</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服务管理奖罚</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684" w:type="dxa"/>
            <w:shd w:val="clear" w:color="auto" w:fill="FFFFFF"/>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2"/>
                <w:szCs w:val="21"/>
                <w:highlight w:val="none"/>
              </w:rPr>
              <w:t>全勤奖励</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28" w:line="276" w:lineRule="auto"/>
              <w:ind w:firstLine="17"/>
              <w:rPr>
                <w:rFonts w:hint="eastAsia" w:ascii="宋体" w:hAnsi="宋体" w:eastAsia="宋体" w:cs="宋体"/>
                <w:color w:val="000000" w:themeColor="text1"/>
                <w:szCs w:val="21"/>
                <w:highlight w:val="none"/>
                <w:lang w:eastAsia="zh-CN"/>
              </w:rPr>
            </w:pPr>
            <w:r>
              <w:rPr>
                <w:rFonts w:ascii="宋体" w:hAnsi="宋体" w:cs="宋体"/>
                <w:color w:val="000000" w:themeColor="text1"/>
                <w:spacing w:val="-2"/>
                <w:szCs w:val="21"/>
                <w:highlight w:val="none"/>
              </w:rPr>
              <w:t>缺勤</w:t>
            </w:r>
            <w:r>
              <w:rPr>
                <w:rFonts w:hint="eastAsia" w:ascii="宋体" w:hAnsi="宋体" w:cs="宋体"/>
                <w:color w:val="000000" w:themeColor="text1"/>
                <w:spacing w:val="-2"/>
                <w:szCs w:val="21"/>
                <w:highlight w:val="none"/>
                <w:lang w:val="en-US" w:eastAsia="zh-CN"/>
              </w:rPr>
              <w:t>处理</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3684" w:type="dxa"/>
            <w:shd w:val="clear" w:color="auto" w:fill="FFFFFF"/>
            <w:vAlign w:val="top"/>
          </w:tcPr>
          <w:p>
            <w:pPr>
              <w:spacing w:before="30" w:line="276" w:lineRule="auto"/>
              <w:ind w:left="17" w:right="25" w:hanging="1"/>
              <w:rPr>
                <w:rFonts w:ascii="宋体" w:hAnsi="宋体" w:cs="宋体"/>
                <w:color w:val="000000" w:themeColor="text1"/>
                <w:szCs w:val="21"/>
                <w:highlight w:val="none"/>
              </w:rPr>
            </w:pPr>
            <w:r>
              <w:rPr>
                <w:rFonts w:ascii="宋体" w:hAnsi="宋体" w:cs="宋体"/>
                <w:color w:val="000000" w:themeColor="text1"/>
                <w:spacing w:val="5"/>
                <w:szCs w:val="21"/>
                <w:highlight w:val="none"/>
              </w:rPr>
              <w:t>在经营活动中违反税收法规财务制度及</w:t>
            </w:r>
            <w:r>
              <w:rPr>
                <w:rFonts w:ascii="宋体" w:hAnsi="宋体" w:cs="宋体"/>
                <w:color w:val="000000" w:themeColor="text1"/>
                <w:spacing w:val="-1"/>
                <w:szCs w:val="21"/>
                <w:highlight w:val="none"/>
              </w:rPr>
              <w:t>其他违法违规记录</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1"/>
                <w:szCs w:val="21"/>
                <w:highlight w:val="none"/>
              </w:rPr>
              <w:t>在经营中未能履行合同承诺</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684" w:type="dxa"/>
            <w:tcBorders>
              <w:bottom w:val="nil"/>
            </w:tcBorders>
            <w:shd w:val="clear" w:color="auto" w:fill="FFFFFF"/>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
                <w:szCs w:val="21"/>
                <w:highlight w:val="none"/>
              </w:rPr>
              <w:t>浪费水、电、消耗品等公共资源</w:t>
            </w:r>
          </w:p>
        </w:tc>
        <w:tc>
          <w:tcPr>
            <w:tcW w:w="709"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707"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850"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1133" w:type="dxa"/>
            <w:tcBorders>
              <w:bottom w:val="nil"/>
            </w:tcBorders>
            <w:shd w:val="clear" w:color="auto" w:fill="FFFFFF"/>
            <w:vAlign w:val="top"/>
          </w:tcPr>
          <w:p>
            <w:pPr>
              <w:spacing w:line="276" w:lineRule="auto"/>
              <w:rPr>
                <w:rFonts w:ascii="宋体" w:hAnsi="宋体"/>
                <w:color w:val="000000" w:themeColor="text1"/>
                <w:szCs w:val="21"/>
                <w:highlight w:val="none"/>
              </w:rPr>
            </w:pPr>
          </w:p>
        </w:tc>
        <w:tc>
          <w:tcPr>
            <w:tcW w:w="1149" w:type="dxa"/>
            <w:tcBorders>
              <w:bottom w:val="nil"/>
            </w:tcBorders>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684" w:type="dxa"/>
            <w:tcBorders>
              <w:top w:val="single" w:color="auto" w:sz="4" w:space="0"/>
            </w:tcBorders>
            <w:shd w:val="clear" w:color="auto" w:fill="FFFFFF"/>
            <w:vAlign w:val="top"/>
          </w:tcPr>
          <w:p>
            <w:pPr>
              <w:spacing w:before="34"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一般性失误</w:t>
            </w:r>
          </w:p>
        </w:tc>
        <w:tc>
          <w:tcPr>
            <w:tcW w:w="709"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707"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850"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1133"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c>
          <w:tcPr>
            <w:tcW w:w="1149" w:type="dxa"/>
            <w:tcBorders>
              <w:top w:val="single" w:color="auto" w:sz="4" w:space="0"/>
            </w:tcBorders>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一般性重复失误</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29"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一般性重复过错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29"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0"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较大性重复过错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0"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重大性重复大过错</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1" w:line="276" w:lineRule="auto"/>
              <w:ind w:firstLine="21"/>
              <w:rPr>
                <w:rFonts w:ascii="宋体" w:hAnsi="宋体" w:cs="宋体"/>
                <w:color w:val="000000" w:themeColor="text1"/>
                <w:szCs w:val="21"/>
                <w:highlight w:val="none"/>
              </w:rPr>
            </w:pPr>
            <w:r>
              <w:rPr>
                <w:rFonts w:ascii="宋体" w:hAnsi="宋体" w:cs="宋体"/>
                <w:color w:val="000000" w:themeColor="text1"/>
                <w:spacing w:val="-2"/>
                <w:szCs w:val="21"/>
                <w:highlight w:val="none"/>
              </w:rPr>
              <w:t>一般性事故</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5"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较大性事故</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2" w:line="276" w:lineRule="auto"/>
              <w:ind w:firstLine="18"/>
              <w:rPr>
                <w:rFonts w:ascii="宋体" w:hAnsi="宋体" w:cs="宋体"/>
                <w:color w:val="000000" w:themeColor="text1"/>
                <w:szCs w:val="21"/>
                <w:highlight w:val="none"/>
              </w:rPr>
            </w:pPr>
            <w:r>
              <w:rPr>
                <w:rFonts w:ascii="宋体" w:hAnsi="宋体" w:cs="宋体"/>
                <w:color w:val="000000" w:themeColor="text1"/>
                <w:spacing w:val="-2"/>
                <w:szCs w:val="21"/>
                <w:highlight w:val="none"/>
              </w:rPr>
              <w:t>重大性事故</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3684" w:type="dxa"/>
            <w:shd w:val="clear" w:color="auto" w:fill="FFFFFF"/>
            <w:vAlign w:val="top"/>
          </w:tcPr>
          <w:p>
            <w:pPr>
              <w:spacing w:before="34" w:line="276" w:lineRule="auto"/>
              <w:ind w:left="20" w:right="25" w:hanging="3"/>
              <w:rPr>
                <w:rFonts w:ascii="宋体" w:hAnsi="宋体" w:cs="宋体"/>
                <w:color w:val="000000" w:themeColor="text1"/>
                <w:szCs w:val="21"/>
                <w:highlight w:val="none"/>
              </w:rPr>
            </w:pPr>
            <w:r>
              <w:rPr>
                <w:rFonts w:ascii="宋体" w:hAnsi="宋体" w:cs="宋体"/>
                <w:color w:val="000000" w:themeColor="text1"/>
                <w:spacing w:val="5"/>
                <w:szCs w:val="21"/>
                <w:highlight w:val="none"/>
              </w:rPr>
              <w:t>违反工作纪律、违返操作规程、违反各</w:t>
            </w:r>
            <w:r>
              <w:rPr>
                <w:rFonts w:ascii="宋体" w:hAnsi="宋体" w:cs="宋体"/>
                <w:color w:val="000000" w:themeColor="text1"/>
                <w:spacing w:val="-2"/>
                <w:szCs w:val="21"/>
                <w:highlight w:val="none"/>
              </w:rPr>
              <w:t>项管理制度</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3" w:line="276" w:lineRule="auto"/>
              <w:ind w:firstLine="27"/>
              <w:rPr>
                <w:rFonts w:ascii="宋体" w:hAnsi="宋体" w:cs="宋体"/>
                <w:color w:val="000000" w:themeColor="text1"/>
                <w:szCs w:val="21"/>
                <w:highlight w:val="none"/>
              </w:rPr>
            </w:pPr>
            <w:r>
              <w:rPr>
                <w:rFonts w:ascii="宋体" w:hAnsi="宋体" w:cs="宋体"/>
                <w:color w:val="000000" w:themeColor="text1"/>
                <w:spacing w:val="-2"/>
                <w:szCs w:val="21"/>
                <w:highlight w:val="none"/>
              </w:rPr>
              <w:t>噪音、气味等干扰工作秩序</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684" w:type="dxa"/>
            <w:shd w:val="clear" w:color="auto" w:fill="FFFFFF"/>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招标文件和合同约定的其它相关事项</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684" w:type="dxa"/>
            <w:shd w:val="clear" w:color="auto" w:fill="FFFFFF"/>
            <w:vAlign w:val="top"/>
          </w:tcPr>
          <w:p>
            <w:pPr>
              <w:spacing w:before="33" w:line="276" w:lineRule="auto"/>
              <w:ind w:firstLine="18"/>
              <w:rPr>
                <w:rFonts w:ascii="宋体" w:hAnsi="宋体" w:cs="宋体"/>
                <w:color w:val="000000" w:themeColor="text1"/>
                <w:szCs w:val="21"/>
                <w:highlight w:val="none"/>
              </w:rPr>
            </w:pPr>
            <w:r>
              <w:rPr>
                <w:rFonts w:ascii="宋体" w:hAnsi="宋体" w:cs="宋体"/>
                <w:color w:val="000000" w:themeColor="text1"/>
                <w:spacing w:val="-1"/>
                <w:szCs w:val="21"/>
                <w:highlight w:val="none"/>
              </w:rPr>
              <w:t>招标文件带星号条款</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684" w:type="dxa"/>
            <w:shd w:val="clear" w:color="auto" w:fill="FFFFFF"/>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总计</w:t>
            </w:r>
          </w:p>
        </w:tc>
        <w:tc>
          <w:tcPr>
            <w:tcW w:w="709" w:type="dxa"/>
            <w:shd w:val="clear" w:color="auto" w:fill="FFFFFF"/>
            <w:vAlign w:val="top"/>
          </w:tcPr>
          <w:p>
            <w:pPr>
              <w:spacing w:line="276" w:lineRule="auto"/>
              <w:rPr>
                <w:rFonts w:ascii="宋体" w:hAnsi="宋体"/>
                <w:color w:val="000000" w:themeColor="text1"/>
                <w:szCs w:val="21"/>
                <w:highlight w:val="none"/>
              </w:rPr>
            </w:pPr>
          </w:p>
        </w:tc>
        <w:tc>
          <w:tcPr>
            <w:tcW w:w="707" w:type="dxa"/>
            <w:shd w:val="clear" w:color="auto" w:fill="FFFFFF"/>
            <w:vAlign w:val="top"/>
          </w:tcPr>
          <w:p>
            <w:pPr>
              <w:spacing w:line="276" w:lineRule="auto"/>
              <w:rPr>
                <w:rFonts w:ascii="宋体" w:hAnsi="宋体"/>
                <w:color w:val="000000" w:themeColor="text1"/>
                <w:szCs w:val="21"/>
                <w:highlight w:val="none"/>
              </w:rPr>
            </w:pPr>
          </w:p>
        </w:tc>
        <w:tc>
          <w:tcPr>
            <w:tcW w:w="850" w:type="dxa"/>
            <w:shd w:val="clear" w:color="auto" w:fill="FFFFFF"/>
            <w:vAlign w:val="top"/>
          </w:tcPr>
          <w:p>
            <w:pPr>
              <w:spacing w:line="276" w:lineRule="auto"/>
              <w:rPr>
                <w:rFonts w:ascii="宋体" w:hAnsi="宋体"/>
                <w:color w:val="000000" w:themeColor="text1"/>
                <w:szCs w:val="21"/>
                <w:highlight w:val="none"/>
              </w:rPr>
            </w:pPr>
          </w:p>
        </w:tc>
        <w:tc>
          <w:tcPr>
            <w:tcW w:w="1133" w:type="dxa"/>
            <w:shd w:val="clear" w:color="auto" w:fill="FFFFFF"/>
            <w:vAlign w:val="top"/>
          </w:tcPr>
          <w:p>
            <w:pPr>
              <w:spacing w:line="276" w:lineRule="auto"/>
              <w:rPr>
                <w:rFonts w:ascii="宋体" w:hAnsi="宋体"/>
                <w:color w:val="000000" w:themeColor="text1"/>
                <w:szCs w:val="21"/>
                <w:highlight w:val="none"/>
              </w:rPr>
            </w:pPr>
          </w:p>
        </w:tc>
        <w:tc>
          <w:tcPr>
            <w:tcW w:w="1149" w:type="dxa"/>
            <w:shd w:val="clear" w:color="auto" w:fill="FFFFFF"/>
            <w:vAlign w:val="top"/>
          </w:tcPr>
          <w:p>
            <w:pPr>
              <w:spacing w:line="276" w:lineRule="auto"/>
              <w:rPr>
                <w:rFonts w:ascii="宋体" w:hAnsi="宋体"/>
                <w:color w:val="000000" w:themeColor="text1"/>
                <w:szCs w:val="21"/>
                <w:highlight w:val="none"/>
              </w:rPr>
            </w:pPr>
          </w:p>
        </w:tc>
      </w:tr>
    </w:tbl>
    <w:p>
      <w:pPr>
        <w:spacing w:before="68" w:line="276" w:lineRule="auto"/>
        <w:ind w:firstLine="474"/>
        <w:rPr>
          <w:rFonts w:ascii="宋体" w:hAnsi="宋体" w:cs="宋体"/>
          <w:color w:val="000000" w:themeColor="text1"/>
          <w:spacing w:val="-9"/>
          <w:szCs w:val="21"/>
          <w:highlight w:val="none"/>
        </w:rPr>
      </w:pPr>
    </w:p>
    <w:p>
      <w:pPr>
        <w:spacing w:before="68" w:line="276" w:lineRule="auto"/>
        <w:ind w:firstLine="474"/>
        <w:rPr>
          <w:rFonts w:ascii="宋体" w:hAnsi="宋体" w:cs="宋体"/>
          <w:color w:val="000000" w:themeColor="text1"/>
          <w:szCs w:val="21"/>
          <w:highlight w:val="none"/>
        </w:rPr>
      </w:pPr>
      <w:r>
        <w:rPr>
          <w:rFonts w:ascii="宋体" w:hAnsi="宋体"/>
          <w:color w:val="000000" w:themeColor="text1"/>
          <w:szCs w:val="21"/>
          <w:highlight w:val="none"/>
        </w:rPr>
        <w:br w:type="page"/>
      </w:r>
      <w:r>
        <w:rPr>
          <w:rFonts w:hint="eastAsia" w:ascii="宋体" w:hAnsi="宋体" w:cs="宋体"/>
          <w:color w:val="000000" w:themeColor="text1"/>
          <w:spacing w:val="-9"/>
          <w:szCs w:val="21"/>
          <w:highlight w:val="none"/>
        </w:rPr>
        <w:t>附表</w:t>
      </w:r>
      <w:r>
        <w:rPr>
          <w:rFonts w:ascii="宋体" w:hAnsi="宋体" w:cs="宋体"/>
          <w:color w:val="000000" w:themeColor="text1"/>
          <w:spacing w:val="-9"/>
          <w:szCs w:val="21"/>
          <w:highlight w:val="none"/>
        </w:rPr>
        <w:t>3：</w:t>
      </w:r>
    </w:p>
    <w:p>
      <w:pPr>
        <w:spacing w:before="196" w:line="276" w:lineRule="auto"/>
        <w:ind w:firstLine="3058"/>
        <w:rPr>
          <w:rFonts w:ascii="宋体" w:hAnsi="宋体" w:cs="宋体"/>
          <w:color w:val="000000" w:themeColor="text1"/>
          <w:szCs w:val="21"/>
          <w:highlight w:val="none"/>
        </w:rPr>
      </w:pPr>
      <w:r>
        <w:rPr>
          <w:rFonts w:hint="eastAsia" w:ascii="宋体" w:hAnsi="宋体" w:cs="宋体"/>
          <w:color w:val="000000" w:themeColor="text1"/>
          <w:spacing w:val="-4"/>
          <w:szCs w:val="21"/>
          <w:highlight w:val="none"/>
          <w:lang w:eastAsia="zh-CN"/>
        </w:rPr>
        <w:t>劳务外包服务</w:t>
      </w:r>
      <w:r>
        <w:rPr>
          <w:rFonts w:hint="eastAsia" w:ascii="宋体" w:hAnsi="宋体" w:cs="宋体"/>
          <w:color w:val="000000" w:themeColor="text1"/>
          <w:spacing w:val="-4"/>
          <w:szCs w:val="21"/>
          <w:highlight w:val="none"/>
          <w:lang w:val="en-US" w:eastAsia="zh-CN"/>
        </w:rPr>
        <w:t>处理</w:t>
      </w:r>
      <w:r>
        <w:rPr>
          <w:rFonts w:ascii="宋体" w:hAnsi="宋体" w:cs="宋体"/>
          <w:color w:val="000000" w:themeColor="text1"/>
          <w:spacing w:val="-4"/>
          <w:szCs w:val="21"/>
          <w:highlight w:val="none"/>
        </w:rPr>
        <w:t>单（参考表格）</w:t>
      </w:r>
    </w:p>
    <w:p>
      <w:pPr>
        <w:spacing w:line="276" w:lineRule="auto"/>
        <w:rPr>
          <w:rFonts w:ascii="宋体" w:hAnsi="宋体"/>
          <w:color w:val="000000" w:themeColor="text1"/>
          <w:szCs w:val="21"/>
          <w:highlight w:val="none"/>
        </w:rPr>
      </w:pPr>
    </w:p>
    <w:tbl>
      <w:tblPr>
        <w:tblStyle w:val="46"/>
        <w:tblW w:w="0" w:type="auto"/>
        <w:tblInd w:w="4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81"/>
        <w:gridCol w:w="1160"/>
        <w:gridCol w:w="360"/>
        <w:gridCol w:w="452"/>
        <w:gridCol w:w="1061"/>
        <w:gridCol w:w="1057"/>
        <w:gridCol w:w="466"/>
        <w:gridCol w:w="15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2281" w:type="dxa"/>
            <w:shd w:val="clear" w:color="auto" w:fill="FFFFFF"/>
            <w:vAlign w:val="top"/>
          </w:tcPr>
          <w:p>
            <w:pPr>
              <w:spacing w:before="34" w:line="276" w:lineRule="auto"/>
              <w:ind w:firstLine="20"/>
              <w:rPr>
                <w:rFonts w:ascii="宋体" w:hAnsi="宋体" w:cs="宋体"/>
                <w:color w:val="000000" w:themeColor="text1"/>
                <w:szCs w:val="21"/>
                <w:highlight w:val="none"/>
              </w:rPr>
            </w:pPr>
            <w:r>
              <w:rPr>
                <w:rFonts w:ascii="宋体" w:hAnsi="宋体" w:cs="宋体"/>
                <w:color w:val="000000" w:themeColor="text1"/>
                <w:spacing w:val="3"/>
                <w:szCs w:val="21"/>
                <w:highlight w:val="none"/>
              </w:rPr>
              <w:t>投诉单位（部门</w:t>
            </w:r>
            <w:r>
              <w:rPr>
                <w:rFonts w:ascii="宋体" w:hAnsi="宋体" w:cs="宋体"/>
                <w:color w:val="000000" w:themeColor="text1"/>
                <w:spacing w:val="-60"/>
                <w:szCs w:val="21"/>
                <w:highlight w:val="none"/>
              </w:rPr>
              <w:t>）：</w:t>
            </w:r>
          </w:p>
        </w:tc>
        <w:tc>
          <w:tcPr>
            <w:tcW w:w="1520" w:type="dxa"/>
            <w:gridSpan w:val="2"/>
            <w:shd w:val="clear" w:color="auto" w:fill="FFFFFF"/>
            <w:vAlign w:val="top"/>
          </w:tcPr>
          <w:p>
            <w:pPr>
              <w:spacing w:before="34" w:line="276" w:lineRule="auto"/>
              <w:ind w:firstLine="46"/>
              <w:rPr>
                <w:rFonts w:ascii="宋体" w:hAnsi="宋体" w:cs="宋体"/>
                <w:color w:val="000000" w:themeColor="text1"/>
                <w:szCs w:val="21"/>
                <w:highlight w:val="none"/>
              </w:rPr>
            </w:pPr>
            <w:r>
              <w:rPr>
                <w:rFonts w:ascii="宋体" w:hAnsi="宋体" w:cs="宋体"/>
                <w:color w:val="000000" w:themeColor="text1"/>
                <w:spacing w:val="-2"/>
                <w:szCs w:val="21"/>
                <w:highlight w:val="none"/>
              </w:rPr>
              <w:t>投诉人：</w:t>
            </w:r>
          </w:p>
        </w:tc>
        <w:tc>
          <w:tcPr>
            <w:tcW w:w="1513" w:type="dxa"/>
            <w:gridSpan w:val="2"/>
            <w:shd w:val="clear" w:color="auto" w:fill="FFFFFF"/>
            <w:vAlign w:val="top"/>
          </w:tcPr>
          <w:p>
            <w:pPr>
              <w:spacing w:before="34" w:line="276" w:lineRule="auto"/>
              <w:ind w:firstLine="52"/>
              <w:rPr>
                <w:rFonts w:ascii="宋体" w:hAnsi="宋体" w:cs="宋体"/>
                <w:color w:val="000000" w:themeColor="text1"/>
                <w:szCs w:val="21"/>
                <w:highlight w:val="none"/>
              </w:rPr>
            </w:pPr>
            <w:r>
              <w:rPr>
                <w:rFonts w:ascii="宋体" w:hAnsi="宋体" w:cs="宋体"/>
                <w:color w:val="000000" w:themeColor="text1"/>
                <w:spacing w:val="-2"/>
                <w:szCs w:val="21"/>
                <w:highlight w:val="none"/>
              </w:rPr>
              <w:t>证明人：</w:t>
            </w:r>
          </w:p>
        </w:tc>
        <w:tc>
          <w:tcPr>
            <w:tcW w:w="1523" w:type="dxa"/>
            <w:gridSpan w:val="2"/>
            <w:shd w:val="clear" w:color="auto" w:fill="FFFFFF"/>
            <w:vAlign w:val="top"/>
          </w:tcPr>
          <w:p>
            <w:pPr>
              <w:spacing w:before="34" w:line="276" w:lineRule="auto"/>
              <w:ind w:firstLine="61"/>
              <w:rPr>
                <w:rFonts w:ascii="宋体" w:hAnsi="宋体" w:cs="宋体"/>
                <w:color w:val="000000" w:themeColor="text1"/>
                <w:szCs w:val="21"/>
                <w:highlight w:val="none"/>
              </w:rPr>
            </w:pPr>
            <w:r>
              <w:rPr>
                <w:rFonts w:ascii="宋体" w:hAnsi="宋体" w:cs="宋体"/>
                <w:color w:val="000000" w:themeColor="text1"/>
                <w:spacing w:val="-7"/>
                <w:szCs w:val="21"/>
                <w:highlight w:val="none"/>
              </w:rPr>
              <w:t>投诉现场：</w:t>
            </w:r>
          </w:p>
        </w:tc>
        <w:tc>
          <w:tcPr>
            <w:tcW w:w="1597" w:type="dxa"/>
            <w:shd w:val="clear" w:color="auto" w:fill="FFFFFF"/>
            <w:vAlign w:val="top"/>
          </w:tcPr>
          <w:p>
            <w:pPr>
              <w:spacing w:before="34" w:line="276" w:lineRule="auto"/>
              <w:ind w:firstLine="69"/>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434" w:type="dxa"/>
            <w:gridSpan w:val="8"/>
            <w:shd w:val="clear" w:color="auto" w:fill="FFFFFF"/>
            <w:vAlign w:val="top"/>
          </w:tcPr>
          <w:p>
            <w:pPr>
              <w:spacing w:before="29" w:line="276" w:lineRule="auto"/>
              <w:ind w:firstLine="21"/>
              <w:rPr>
                <w:rFonts w:ascii="宋体" w:hAnsi="宋体" w:cs="宋体"/>
                <w:color w:val="000000" w:themeColor="text1"/>
                <w:szCs w:val="21"/>
                <w:highlight w:val="none"/>
              </w:rPr>
            </w:pPr>
            <w:r>
              <w:rPr>
                <w:rFonts w:hint="eastAsia" w:ascii="宋体" w:hAnsi="宋体" w:cs="宋体"/>
                <w:color w:val="000000" w:themeColor="text1"/>
                <w:spacing w:val="-7"/>
                <w:szCs w:val="21"/>
                <w:highlight w:val="none"/>
                <w:lang w:val="en-US" w:eastAsia="zh-CN"/>
              </w:rPr>
              <w:t>处理</w:t>
            </w:r>
            <w:r>
              <w:rPr>
                <w:rFonts w:ascii="宋体" w:hAnsi="宋体" w:cs="宋体"/>
                <w:color w:val="000000" w:themeColor="text1"/>
                <w:spacing w:val="-7"/>
                <w:szCs w:val="21"/>
                <w:highlight w:val="none"/>
              </w:rPr>
              <w:t>事由：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434" w:type="dxa"/>
            <w:gridSpan w:val="8"/>
            <w:shd w:val="clear" w:color="auto" w:fill="FFFFFF"/>
            <w:vAlign w:val="top"/>
          </w:tcPr>
          <w:p>
            <w:pPr>
              <w:spacing w:before="30" w:line="276" w:lineRule="auto"/>
              <w:ind w:firstLine="16"/>
              <w:rPr>
                <w:rFonts w:ascii="宋体" w:hAnsi="宋体" w:cs="宋体"/>
                <w:color w:val="000000" w:themeColor="text1"/>
                <w:szCs w:val="21"/>
                <w:highlight w:val="none"/>
              </w:rPr>
            </w:pPr>
            <w:r>
              <w:rPr>
                <w:rFonts w:ascii="宋体" w:hAnsi="宋体" w:cs="宋体"/>
                <w:color w:val="000000" w:themeColor="text1"/>
                <w:spacing w:val="-6"/>
                <w:szCs w:val="21"/>
                <w:highlight w:val="none"/>
              </w:rPr>
              <w:t>对应条款：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281" w:type="dxa"/>
            <w:shd w:val="clear" w:color="auto" w:fill="FFFFFF"/>
            <w:vAlign w:val="top"/>
          </w:tcPr>
          <w:p>
            <w:pPr>
              <w:spacing w:before="30" w:line="276" w:lineRule="auto"/>
              <w:ind w:firstLine="21"/>
              <w:rPr>
                <w:rFonts w:ascii="宋体" w:hAnsi="宋体" w:cs="宋体"/>
                <w:color w:val="000000" w:themeColor="text1"/>
                <w:szCs w:val="21"/>
                <w:highlight w:val="none"/>
              </w:rPr>
            </w:pPr>
            <w:r>
              <w:rPr>
                <w:rFonts w:ascii="宋体" w:hAnsi="宋体" w:cs="宋体"/>
                <w:color w:val="000000" w:themeColor="text1"/>
                <w:spacing w:val="-13"/>
                <w:szCs w:val="21"/>
                <w:highlight w:val="none"/>
              </w:rPr>
              <w:t>扣分：</w:t>
            </w:r>
          </w:p>
        </w:tc>
        <w:tc>
          <w:tcPr>
            <w:tcW w:w="1972" w:type="dxa"/>
            <w:gridSpan w:val="3"/>
            <w:shd w:val="clear" w:color="auto" w:fill="FFFFFF"/>
            <w:vAlign w:val="top"/>
          </w:tcPr>
          <w:p>
            <w:pPr>
              <w:spacing w:before="31" w:line="276" w:lineRule="auto"/>
              <w:ind w:firstLine="43"/>
              <w:rPr>
                <w:rFonts w:ascii="宋体" w:hAnsi="宋体" w:cs="宋体"/>
                <w:color w:val="000000" w:themeColor="text1"/>
                <w:szCs w:val="21"/>
                <w:highlight w:val="none"/>
              </w:rPr>
            </w:pPr>
            <w:r>
              <w:rPr>
                <w:rFonts w:ascii="宋体" w:hAnsi="宋体" w:cs="宋体"/>
                <w:color w:val="000000" w:themeColor="text1"/>
                <w:spacing w:val="-2"/>
                <w:position w:val="17"/>
                <w:szCs w:val="21"/>
                <w:highlight w:val="none"/>
              </w:rPr>
              <w:t>损失值：</w:t>
            </w:r>
          </w:p>
          <w:p>
            <w:pPr>
              <w:spacing w:line="276" w:lineRule="auto"/>
              <w:ind w:firstLine="41"/>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118" w:type="dxa"/>
            <w:gridSpan w:val="2"/>
            <w:shd w:val="clear" w:color="auto" w:fill="FFFFFF"/>
            <w:vAlign w:val="top"/>
          </w:tcPr>
          <w:p>
            <w:pPr>
              <w:spacing w:before="31" w:line="276" w:lineRule="auto"/>
              <w:ind w:firstLine="53"/>
              <w:rPr>
                <w:rFonts w:ascii="宋体" w:hAnsi="宋体" w:cs="宋体"/>
                <w:color w:val="000000" w:themeColor="text1"/>
                <w:szCs w:val="21"/>
                <w:highlight w:val="none"/>
              </w:rPr>
            </w:pPr>
            <w:r>
              <w:rPr>
                <w:rFonts w:hint="eastAsia" w:ascii="宋体" w:hAnsi="宋体" w:cs="宋体"/>
                <w:color w:val="000000" w:themeColor="text1"/>
                <w:spacing w:val="-7"/>
                <w:position w:val="17"/>
                <w:szCs w:val="21"/>
                <w:highlight w:val="none"/>
                <w:lang w:val="en-US" w:eastAsia="zh-CN"/>
              </w:rPr>
              <w:t>扣减服务费</w:t>
            </w:r>
            <w:r>
              <w:rPr>
                <w:rFonts w:ascii="宋体" w:hAnsi="宋体" w:cs="宋体"/>
                <w:color w:val="000000" w:themeColor="text1"/>
                <w:spacing w:val="-7"/>
                <w:position w:val="17"/>
                <w:szCs w:val="21"/>
                <w:highlight w:val="none"/>
              </w:rPr>
              <w:t>金额：</w:t>
            </w:r>
          </w:p>
          <w:p>
            <w:pPr>
              <w:spacing w:line="276" w:lineRule="auto"/>
              <w:ind w:firstLine="47"/>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c>
          <w:tcPr>
            <w:tcW w:w="2063" w:type="dxa"/>
            <w:gridSpan w:val="2"/>
            <w:shd w:val="clear" w:color="auto" w:fill="FFFFFF"/>
            <w:vAlign w:val="top"/>
          </w:tcPr>
          <w:p>
            <w:pPr>
              <w:spacing w:before="31" w:line="276" w:lineRule="auto"/>
              <w:ind w:firstLine="58"/>
              <w:rPr>
                <w:rFonts w:ascii="宋体" w:hAnsi="宋体" w:cs="宋体"/>
                <w:color w:val="000000" w:themeColor="text1"/>
                <w:szCs w:val="21"/>
                <w:highlight w:val="none"/>
              </w:rPr>
            </w:pPr>
            <w:r>
              <w:rPr>
                <w:rFonts w:ascii="宋体" w:hAnsi="宋体" w:cs="宋体"/>
                <w:color w:val="000000" w:themeColor="text1"/>
                <w:spacing w:val="-7"/>
                <w:position w:val="17"/>
                <w:szCs w:val="21"/>
                <w:highlight w:val="none"/>
              </w:rPr>
              <w:t>合计金额：</w:t>
            </w:r>
          </w:p>
          <w:p>
            <w:pPr>
              <w:spacing w:line="276" w:lineRule="auto"/>
              <w:ind w:firstLine="55"/>
              <w:rPr>
                <w:rFonts w:ascii="宋体" w:hAnsi="宋体" w:cs="宋体"/>
                <w:color w:val="000000" w:themeColor="text1"/>
                <w:szCs w:val="21"/>
                <w:highlight w:val="none"/>
              </w:rPr>
            </w:pPr>
            <w:r>
              <w:rPr>
                <w:rFonts w:ascii="宋体" w:hAnsi="宋体" w:cs="宋体"/>
                <w:color w:val="000000" w:themeColor="text1"/>
                <w:position w:val="-2"/>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441" w:type="dxa"/>
            <w:gridSpan w:val="2"/>
            <w:shd w:val="clear" w:color="auto" w:fill="FFFFFF"/>
            <w:vAlign w:val="top"/>
          </w:tcPr>
          <w:p>
            <w:pPr>
              <w:spacing w:before="31" w:line="276" w:lineRule="auto"/>
              <w:ind w:firstLine="17"/>
              <w:rPr>
                <w:rFonts w:ascii="宋体" w:hAnsi="宋体" w:cs="宋体"/>
                <w:color w:val="000000" w:themeColor="text1"/>
                <w:szCs w:val="21"/>
                <w:highlight w:val="none"/>
              </w:rPr>
            </w:pPr>
            <w:r>
              <w:rPr>
                <w:rFonts w:hint="eastAsia" w:ascii="宋体" w:hAnsi="宋体" w:cs="宋体"/>
                <w:color w:val="000000" w:themeColor="text1"/>
                <w:spacing w:val="-1"/>
                <w:szCs w:val="21"/>
                <w:highlight w:val="none"/>
                <w:lang w:eastAsia="zh-CN"/>
              </w:rPr>
              <w:t>劳务</w:t>
            </w:r>
            <w:r>
              <w:rPr>
                <w:rFonts w:ascii="宋体" w:hAnsi="宋体" w:cs="宋体"/>
                <w:color w:val="000000" w:themeColor="text1"/>
                <w:spacing w:val="-1"/>
                <w:szCs w:val="21"/>
                <w:highlight w:val="none"/>
              </w:rPr>
              <w:t>公司被投诉人确认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vAlign w:val="top"/>
          </w:tcPr>
          <w:p>
            <w:pPr>
              <w:spacing w:before="31" w:line="276" w:lineRule="auto"/>
              <w:ind w:firstLine="17"/>
              <w:rPr>
                <w:rFonts w:ascii="宋体" w:hAnsi="宋体" w:cs="宋体"/>
                <w:color w:val="000000" w:themeColor="text1"/>
                <w:szCs w:val="21"/>
                <w:highlight w:val="none"/>
              </w:rPr>
            </w:pPr>
            <w:r>
              <w:rPr>
                <w:rFonts w:hint="eastAsia" w:ascii="宋体" w:hAnsi="宋体" w:cs="宋体"/>
                <w:color w:val="000000" w:themeColor="text1"/>
                <w:spacing w:val="-1"/>
                <w:szCs w:val="21"/>
                <w:highlight w:val="none"/>
                <w:lang w:eastAsia="zh-CN"/>
              </w:rPr>
              <w:t>劳务</w:t>
            </w:r>
            <w:r>
              <w:rPr>
                <w:rFonts w:ascii="宋体" w:hAnsi="宋体" w:cs="宋体"/>
                <w:color w:val="000000" w:themeColor="text1"/>
                <w:spacing w:val="-1"/>
                <w:szCs w:val="21"/>
                <w:highlight w:val="none"/>
              </w:rPr>
              <w:t>公司项目负责人确认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41" w:type="dxa"/>
            <w:gridSpan w:val="2"/>
            <w:shd w:val="clear" w:color="auto" w:fill="FFFFFF"/>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管理员确认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41" w:type="dxa"/>
            <w:gridSpan w:val="2"/>
            <w:shd w:val="clear" w:color="auto" w:fill="FFFFFF"/>
            <w:vAlign w:val="top"/>
          </w:tcPr>
          <w:p>
            <w:pPr>
              <w:spacing w:before="32" w:line="276" w:lineRule="auto"/>
              <w:ind w:firstLine="17"/>
              <w:rPr>
                <w:rFonts w:ascii="宋体" w:hAnsi="宋体" w:cs="宋体"/>
                <w:color w:val="000000" w:themeColor="text1"/>
                <w:szCs w:val="21"/>
                <w:highlight w:val="none"/>
              </w:rPr>
            </w:pPr>
            <w:r>
              <w:rPr>
                <w:rFonts w:ascii="宋体" w:hAnsi="宋体" w:cs="宋体"/>
                <w:color w:val="000000" w:themeColor="text1"/>
                <w:spacing w:val="-1"/>
                <w:szCs w:val="21"/>
                <w:highlight w:val="none"/>
              </w:rPr>
              <w:t>负责人确认</w:t>
            </w:r>
          </w:p>
        </w:tc>
        <w:tc>
          <w:tcPr>
            <w:tcW w:w="4993" w:type="dxa"/>
            <w:gridSpan w:val="6"/>
            <w:shd w:val="clear" w:color="auto" w:fill="FFFFFF"/>
            <w:vAlign w:val="top"/>
          </w:tcPr>
          <w:p>
            <w:pPr>
              <w:spacing w:line="276" w:lineRule="auto"/>
              <w:rPr>
                <w:rFonts w:ascii="宋体" w:hAnsi="宋体"/>
                <w:color w:val="000000" w:themeColor="text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1" w:hRule="atLeast"/>
        </w:trPr>
        <w:tc>
          <w:tcPr>
            <w:tcW w:w="2281" w:type="dxa"/>
            <w:tcBorders>
              <w:right w:val="single" w:color="auto" w:sz="4" w:space="0"/>
            </w:tcBorders>
            <w:vAlign w:val="top"/>
          </w:tcPr>
          <w:p>
            <w:pPr>
              <w:spacing w:before="33" w:line="276" w:lineRule="auto"/>
              <w:ind w:firstLine="20"/>
              <w:rPr>
                <w:rFonts w:ascii="宋体" w:hAnsi="宋体" w:cs="宋体"/>
                <w:color w:val="000000" w:themeColor="text1"/>
                <w:szCs w:val="21"/>
                <w:highlight w:val="none"/>
              </w:rPr>
            </w:pPr>
            <w:r>
              <w:rPr>
                <w:rFonts w:ascii="宋体" w:hAnsi="宋体" w:cs="宋体"/>
                <w:color w:val="000000" w:themeColor="text1"/>
                <w:spacing w:val="-13"/>
                <w:szCs w:val="21"/>
                <w:highlight w:val="none"/>
              </w:rPr>
              <w:t>备注：</w:t>
            </w:r>
          </w:p>
        </w:tc>
        <w:tc>
          <w:tcPr>
            <w:tcW w:w="6153" w:type="dxa"/>
            <w:gridSpan w:val="7"/>
            <w:tcBorders>
              <w:left w:val="single" w:color="auto" w:sz="4" w:space="0"/>
            </w:tcBorders>
            <w:vAlign w:val="top"/>
          </w:tcPr>
          <w:p>
            <w:pPr>
              <w:spacing w:line="276" w:lineRule="auto"/>
              <w:rPr>
                <w:rFonts w:ascii="宋体" w:hAnsi="宋体"/>
                <w:color w:val="000000" w:themeColor="text1"/>
                <w:szCs w:val="21"/>
                <w:highlight w:val="none"/>
              </w:rPr>
            </w:pPr>
          </w:p>
          <w:p>
            <w:pPr>
              <w:spacing w:before="69" w:line="276" w:lineRule="auto"/>
              <w:ind w:left="3697" w:right="1023" w:hanging="457"/>
              <w:rPr>
                <w:rFonts w:hint="eastAsia" w:ascii="宋体" w:hAnsi="宋体" w:cs="宋体"/>
                <w:color w:val="000000" w:themeColor="text1"/>
                <w:spacing w:val="-1"/>
                <w:szCs w:val="21"/>
                <w:highlight w:val="none"/>
                <w:lang w:eastAsia="zh-CN"/>
              </w:rPr>
            </w:pPr>
            <w:r>
              <w:rPr>
                <w:rFonts w:hint="eastAsia" w:ascii="宋体" w:hAnsi="宋体" w:cs="宋体"/>
                <w:color w:val="000000" w:themeColor="text1"/>
                <w:spacing w:val="-1"/>
                <w:szCs w:val="21"/>
                <w:highlight w:val="none"/>
                <w:lang w:eastAsia="zh-CN"/>
              </w:rPr>
              <w:t>办公室</w:t>
            </w:r>
          </w:p>
          <w:p>
            <w:pPr>
              <w:spacing w:before="69" w:line="276" w:lineRule="auto"/>
              <w:ind w:left="3697" w:right="1023" w:hanging="457"/>
              <w:rPr>
                <w:rFonts w:ascii="宋体" w:hAnsi="宋体" w:cs="宋体"/>
                <w:color w:val="000000" w:themeColor="text1"/>
                <w:szCs w:val="21"/>
                <w:highlight w:val="none"/>
              </w:rPr>
            </w:pPr>
            <w:r>
              <w:rPr>
                <w:rFonts w:ascii="宋体" w:hAnsi="宋体" w:cs="宋体"/>
                <w:color w:val="000000" w:themeColor="text1"/>
                <w:spacing w:val="-7"/>
                <w:szCs w:val="21"/>
                <w:highlight w:val="none"/>
              </w:rPr>
              <w:t>年</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月</w:t>
            </w:r>
            <w:r>
              <w:rPr>
                <w:rFonts w:hint="eastAsia" w:ascii="宋体" w:hAnsi="宋体" w:cs="宋体"/>
                <w:color w:val="000000" w:themeColor="text1"/>
                <w:spacing w:val="-7"/>
                <w:szCs w:val="21"/>
                <w:highlight w:val="none"/>
              </w:rPr>
              <w:t xml:space="preserve"> </w:t>
            </w:r>
            <w:r>
              <w:rPr>
                <w:rFonts w:ascii="宋体" w:hAnsi="宋体" w:cs="宋体"/>
                <w:color w:val="000000" w:themeColor="text1"/>
                <w:spacing w:val="-7"/>
                <w:szCs w:val="21"/>
                <w:highlight w:val="none"/>
              </w:rPr>
              <w:t xml:space="preserve">   日</w:t>
            </w:r>
          </w:p>
        </w:tc>
      </w:tr>
    </w:tbl>
    <w:p>
      <w:pPr>
        <w:snapToGrid w:val="0"/>
        <w:spacing w:line="396" w:lineRule="auto"/>
        <w:ind w:firstLine="640" w:firstLineChars="200"/>
        <w:rPr>
          <w:rFonts w:ascii="仿宋_GB2312" w:hAnsi="仿宋_GB2312" w:eastAsia="仿宋_GB2312" w:cs="仿宋_GB2312"/>
          <w:color w:val="000000" w:themeColor="text1"/>
          <w:sz w:val="32"/>
          <w:szCs w:val="32"/>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pStyle w:val="54"/>
        <w:jc w:val="center"/>
        <w:rPr>
          <w:rFonts w:hint="eastAsia" w:ascii="宋体" w:hAnsi="宋体" w:eastAsia="宋体" w:cs="宋体"/>
          <w:b/>
          <w:color w:val="000000" w:themeColor="text1"/>
          <w:sz w:val="44"/>
          <w:szCs w:val="44"/>
          <w:highlight w:val="none"/>
          <w:lang w:eastAsia="zh-CN"/>
        </w:rPr>
      </w:pPr>
    </w:p>
    <w:p>
      <w:pPr>
        <w:rPr>
          <w:rFonts w:hint="eastAsia"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br w:type="page"/>
      </w:r>
    </w:p>
    <w:p>
      <w:pPr>
        <w:pStyle w:val="3"/>
        <w:numPr>
          <w:ilvl w:val="0"/>
          <w:numId w:val="0"/>
        </w:numPr>
        <w:spacing w:beforeLines="0"/>
        <w:rPr>
          <w:color w:val="000000" w:themeColor="text1"/>
          <w:highlight w:val="none"/>
        </w:rPr>
      </w:pPr>
      <w:bookmarkStart w:id="1731" w:name="_Toc350756460"/>
      <w:bookmarkStart w:id="1732" w:name="_Toc339020105"/>
      <w:bookmarkStart w:id="1733" w:name="_Toc350438759"/>
      <w:bookmarkStart w:id="1734" w:name="_Toc340677080"/>
      <w:bookmarkStart w:id="1735" w:name="_Toc339441097"/>
      <w:bookmarkStart w:id="1736" w:name="_Toc339019899"/>
      <w:bookmarkStart w:id="1737" w:name="_Toc365985188"/>
      <w:bookmarkStart w:id="1738" w:name="_Toc339020025"/>
      <w:bookmarkStart w:id="1739" w:name="_Toc349127636"/>
      <w:bookmarkStart w:id="1740" w:name="_Toc333237798"/>
      <w:bookmarkStart w:id="1741" w:name="_Toc340507452"/>
      <w:bookmarkStart w:id="1742" w:name="_Toc342060384"/>
      <w:bookmarkStart w:id="1743" w:name="_Toc341348348"/>
      <w:bookmarkStart w:id="1744" w:name="_Toc333935356"/>
      <w:bookmarkStart w:id="1745" w:name="_Toc365967082"/>
      <w:bookmarkStart w:id="1746" w:name="_Toc339362310"/>
      <w:bookmarkStart w:id="1747" w:name="_Toc333238643"/>
      <w:bookmarkStart w:id="1748" w:name="_Toc491658678"/>
      <w:bookmarkStart w:id="1749" w:name="_Toc337632368"/>
      <w:bookmarkStart w:id="1750" w:name="_Toc332270356"/>
      <w:bookmarkStart w:id="1751" w:name="_Toc342296770"/>
      <w:bookmarkStart w:id="1752" w:name="_Toc340672879"/>
      <w:bookmarkStart w:id="1753" w:name="_Toc336681945"/>
      <w:bookmarkStart w:id="1754" w:name="_Toc330459995"/>
      <w:bookmarkStart w:id="1755" w:name="_Toc331684048"/>
      <w:bookmarkStart w:id="1756" w:name="_Toc333237687"/>
      <w:bookmarkStart w:id="1757" w:name="_Toc339020243"/>
      <w:bookmarkStart w:id="1758" w:name="_Toc332206718"/>
      <w:bookmarkStart w:id="1759" w:name="_Toc366072539"/>
      <w:bookmarkStart w:id="1760" w:name="_Toc500861025"/>
      <w:bookmarkStart w:id="1761" w:name="_Toc331512908"/>
      <w:bookmarkStart w:id="1762" w:name="_Toc336681590"/>
      <w:bookmarkStart w:id="1763" w:name="_Toc345513911"/>
      <w:bookmarkStart w:id="1764" w:name="_Toc333935697"/>
      <w:bookmarkStart w:id="1765" w:name="_Toc31309"/>
      <w:bookmarkStart w:id="1766" w:name="_Toc349143599"/>
      <w:r>
        <w:rPr>
          <w:rFonts w:hint="eastAsia"/>
          <w:color w:val="000000" w:themeColor="text1"/>
          <w:highlight w:val="none"/>
        </w:rPr>
        <w:t>第五部分</w:t>
      </w:r>
      <w:bookmarkStart w:id="1767" w:name="_Hlt97188172"/>
      <w:bookmarkEnd w:id="1767"/>
      <w:r>
        <w:rPr>
          <w:rFonts w:hint="eastAsia"/>
          <w:color w:val="000000" w:themeColor="text1"/>
          <w:highlight w:val="none"/>
        </w:rPr>
        <w:t>投标文件格式</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Start w:id="1768" w:name="_Hlt21938933"/>
      <w:bookmarkEnd w:id="1768"/>
    </w:p>
    <w:p>
      <w:pPr>
        <w:pStyle w:val="4"/>
        <w:numPr>
          <w:ilvl w:val="1"/>
          <w:numId w:val="0"/>
        </w:numPr>
        <w:rPr>
          <w:color w:val="000000" w:themeColor="text1"/>
          <w:sz w:val="24"/>
          <w:highlight w:val="none"/>
        </w:rPr>
      </w:pPr>
      <w:bookmarkStart w:id="1769" w:name="_Toc21613"/>
      <w:bookmarkStart w:id="1770" w:name="_Toc18699"/>
      <w:r>
        <w:rPr>
          <w:rFonts w:hint="eastAsia"/>
          <w:color w:val="000000" w:themeColor="text1"/>
          <w:sz w:val="24"/>
          <w:highlight w:val="none"/>
        </w:rPr>
        <w:t>资格审查封面格式</w:t>
      </w:r>
      <w:bookmarkEnd w:id="1769"/>
      <w:bookmarkEnd w:id="1770"/>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7"/>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771" w:name="_Toc18800"/>
      <w:bookmarkStart w:id="1772" w:name="_Toc31809"/>
      <w:r>
        <w:rPr>
          <w:rFonts w:hint="eastAsia"/>
          <w:color w:val="000000" w:themeColor="text1"/>
          <w:sz w:val="24"/>
          <w:highlight w:val="none"/>
        </w:rPr>
        <w:t>自查表</w:t>
      </w:r>
      <w:bookmarkEnd w:id="1771"/>
      <w:bookmarkEnd w:id="1772"/>
    </w:p>
    <w:p>
      <w:pPr>
        <w:pStyle w:val="4"/>
        <w:numPr>
          <w:ilvl w:val="1"/>
          <w:numId w:val="0"/>
        </w:numPr>
        <w:tabs>
          <w:tab w:val="left" w:pos="4320"/>
        </w:tabs>
        <w:spacing w:before="240" w:after="60" w:line="360" w:lineRule="exact"/>
        <w:rPr>
          <w:rFonts w:ascii="宋体"/>
          <w:b/>
          <w:bCs w:val="0"/>
          <w:color w:val="000000" w:themeColor="text1"/>
          <w:szCs w:val="21"/>
          <w:highlight w:val="none"/>
        </w:rPr>
      </w:pPr>
      <w:bookmarkStart w:id="1773" w:name="_Toc15898"/>
      <w:r>
        <w:rPr>
          <w:rFonts w:hint="eastAsia" w:ascii="宋体"/>
          <w:b/>
          <w:bCs w:val="0"/>
          <w:color w:val="000000" w:themeColor="text1"/>
          <w:szCs w:val="21"/>
          <w:highlight w:val="none"/>
        </w:rPr>
        <w:t xml:space="preserve"> </w:t>
      </w:r>
      <w:bookmarkStart w:id="1774" w:name="_Toc17330"/>
      <w:r>
        <w:rPr>
          <w:rFonts w:hint="eastAsia" w:ascii="宋体"/>
          <w:b/>
          <w:bCs w:val="0"/>
          <w:color w:val="000000" w:themeColor="text1"/>
          <w:szCs w:val="21"/>
          <w:highlight w:val="none"/>
        </w:rPr>
        <w:t>资格性自查表</w:t>
      </w:r>
      <w:bookmarkEnd w:id="1773"/>
      <w:bookmarkEnd w:id="1774"/>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366"/>
        <w:gridCol w:w="3659"/>
        <w:gridCol w:w="1980"/>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63"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659"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8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jc w:val="both"/>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9"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597" w:type="dxa"/>
            <w:vMerge w:val="restart"/>
            <w:vAlign w:val="center"/>
          </w:tcPr>
          <w:p>
            <w:pPr>
              <w:rPr>
                <w:color w:val="000000" w:themeColor="text1"/>
                <w:highlight w:val="none"/>
              </w:rPr>
            </w:pPr>
            <w:r>
              <w:rPr>
                <w:rFonts w:hint="eastAsia"/>
                <w:color w:val="000000" w:themeColor="text1"/>
                <w:highlight w:val="none"/>
              </w:rPr>
              <w:t>资格性检查</w:t>
            </w:r>
          </w:p>
        </w:tc>
        <w:tc>
          <w:tcPr>
            <w:tcW w:w="1366" w:type="dxa"/>
            <w:vMerge w:val="restart"/>
            <w:vAlign w:val="center"/>
          </w:tcPr>
          <w:p>
            <w:pPr>
              <w:rPr>
                <w:color w:val="000000" w:themeColor="text1"/>
                <w:highlight w:val="none"/>
              </w:rPr>
            </w:pPr>
            <w:r>
              <w:rPr>
                <w:rFonts w:hint="eastAsia"/>
                <w:color w:val="000000" w:themeColor="text1"/>
                <w:highlight w:val="none"/>
              </w:rPr>
              <w:t>投标人资格要求</w:t>
            </w:r>
          </w:p>
        </w:tc>
        <w:tc>
          <w:tcPr>
            <w:tcW w:w="3659"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80" w:type="dxa"/>
            <w:vAlign w:val="center"/>
          </w:tcPr>
          <w:p>
            <w:pPr>
              <w:tabs>
                <w:tab w:val="left" w:pos="480"/>
              </w:tabs>
              <w:ind w:left="480" w:hanging="480"/>
              <w:rPr>
                <w:rFonts w:ascii="宋体" w:hAnsi="宋体"/>
                <w:b/>
                <w:bCs/>
                <w:color w:val="000000" w:themeColor="text1"/>
                <w:szCs w:val="21"/>
                <w:highlight w:val="none"/>
              </w:rPr>
            </w:pPr>
          </w:p>
        </w:tc>
        <w:tc>
          <w:tcPr>
            <w:tcW w:w="2489"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597"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366" w:type="dxa"/>
            <w:vMerge w:val="continue"/>
            <w:vAlign w:val="center"/>
          </w:tcPr>
          <w:p>
            <w:pPr>
              <w:tabs>
                <w:tab w:val="left" w:pos="146"/>
              </w:tabs>
              <w:ind w:left="146"/>
              <w:rPr>
                <w:rFonts w:hint="eastAsia" w:ascii="宋体" w:hAnsi="宋体"/>
                <w:color w:val="000000" w:themeColor="text1"/>
                <w:szCs w:val="21"/>
                <w:highlight w:val="none"/>
              </w:rPr>
            </w:pPr>
          </w:p>
        </w:tc>
        <w:tc>
          <w:tcPr>
            <w:tcW w:w="3659" w:type="dxa"/>
            <w:vAlign w:val="center"/>
          </w:tcPr>
          <w:p>
            <w:pPr>
              <w:tabs>
                <w:tab w:val="left" w:pos="0"/>
              </w:tabs>
              <w:rPr>
                <w:rFonts w:hint="eastAsia" w:ascii="宋体" w:hAnsi="宋体" w:eastAsia="宋体"/>
                <w:b/>
                <w:bCs/>
                <w:color w:val="000000" w:themeColor="text1"/>
                <w:szCs w:val="21"/>
                <w:highlight w:val="none"/>
                <w:lang w:eastAsia="zh-CN"/>
              </w:rPr>
            </w:pPr>
            <w:r>
              <w:rPr>
                <w:rFonts w:ascii="宋体" w:hAnsi="宋体" w:cs="Futura-Heavy"/>
                <w:color w:val="000000" w:themeColor="text1"/>
                <w:szCs w:val="21"/>
                <w:highlight w:val="none"/>
                <w:shd w:val="clear" w:color="auto" w:fill="FFFFFF"/>
              </w:rPr>
              <w:t>为采购项目提供整体设计、规范编制或者项目管理、监理、检测等服务的供应商，不再参加该采购项目的其他采购活动。（</w:t>
            </w:r>
            <w:r>
              <w:rPr>
                <w:rFonts w:hint="eastAsia" w:ascii="宋体" w:hAnsi="宋体"/>
                <w:color w:val="000000" w:themeColor="text1"/>
                <w:szCs w:val="21"/>
                <w:highlight w:val="none"/>
                <w:lang w:val="en-US" w:eastAsia="zh-CN"/>
              </w:rPr>
              <w:t>提供《投标函》</w:t>
            </w:r>
            <w:r>
              <w:rPr>
                <w:rFonts w:ascii="宋体" w:hAnsi="宋体" w:cs="Futura-Heavy"/>
                <w:color w:val="000000" w:themeColor="text1"/>
                <w:szCs w:val="21"/>
                <w:highlight w:val="none"/>
                <w:shd w:val="clear" w:color="auto" w:fill="FFFFFF"/>
              </w:rPr>
              <w:t>）</w:t>
            </w:r>
          </w:p>
        </w:tc>
        <w:tc>
          <w:tcPr>
            <w:tcW w:w="1980" w:type="dxa"/>
            <w:vAlign w:val="center"/>
          </w:tcPr>
          <w:p>
            <w:pPr>
              <w:tabs>
                <w:tab w:val="left" w:pos="480"/>
              </w:tabs>
              <w:ind w:left="480" w:hanging="480"/>
              <w:rPr>
                <w:rFonts w:ascii="宋体" w:hAnsi="宋体"/>
                <w:b/>
                <w:bCs/>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Merge w:val="continue"/>
            <w:vAlign w:val="center"/>
          </w:tcPr>
          <w:p>
            <w:pPr>
              <w:tabs>
                <w:tab w:val="left" w:pos="146"/>
              </w:tabs>
              <w:ind w:left="146"/>
              <w:rPr>
                <w:rFonts w:ascii="宋体" w:hAnsi="宋体"/>
                <w:color w:val="000000" w:themeColor="text1"/>
                <w:szCs w:val="21"/>
                <w:highlight w:val="none"/>
              </w:rPr>
            </w:pPr>
          </w:p>
        </w:tc>
        <w:tc>
          <w:tcPr>
            <w:tcW w:w="3659" w:type="dxa"/>
            <w:vAlign w:val="center"/>
          </w:tcPr>
          <w:p>
            <w:pPr>
              <w:tabs>
                <w:tab w:val="left" w:pos="0"/>
              </w:tabs>
              <w:rPr>
                <w:rFonts w:ascii="宋体" w:hAnsi="宋体"/>
                <w:color w:val="000000" w:themeColor="text1"/>
                <w:szCs w:val="21"/>
                <w:highlight w:val="none"/>
              </w:rPr>
            </w:pPr>
            <w:r>
              <w:rPr>
                <w:rFonts w:ascii="宋体" w:hAnsi="宋体" w:cs="Futura-Heavy"/>
                <w:color w:val="000000" w:themeColor="text1"/>
                <w:szCs w:val="21"/>
                <w:highlight w:val="none"/>
                <w:shd w:val="clear" w:color="auto" w:fill="FFFFFF"/>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rPr>
              <w:t>提供《投标函》</w:t>
            </w:r>
            <w:r>
              <w:rPr>
                <w:rFonts w:ascii="宋体" w:hAnsi="宋体" w:cs="Futura-Heavy"/>
                <w:color w:val="000000" w:themeColor="text1"/>
                <w:szCs w:val="21"/>
                <w:highlight w:val="none"/>
                <w:shd w:val="clear" w:color="auto" w:fill="FFFFFF"/>
              </w:rPr>
              <w:t>）</w:t>
            </w:r>
          </w:p>
        </w:tc>
        <w:tc>
          <w:tcPr>
            <w:tcW w:w="1980" w:type="dxa"/>
            <w:vAlign w:val="center"/>
          </w:tcPr>
          <w:p>
            <w:pPr>
              <w:tabs>
                <w:tab w:val="left" w:pos="480"/>
              </w:tabs>
              <w:ind w:left="480" w:hanging="480"/>
              <w:rPr>
                <w:rFonts w:ascii="宋体" w:hAnsi="宋体"/>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2"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Merge w:val="continue"/>
            <w:vAlign w:val="center"/>
          </w:tcPr>
          <w:p>
            <w:pPr>
              <w:tabs>
                <w:tab w:val="left" w:pos="146"/>
              </w:tabs>
              <w:ind w:left="146"/>
              <w:rPr>
                <w:rFonts w:ascii="宋体" w:hAnsi="宋体"/>
                <w:color w:val="000000" w:themeColor="text1"/>
                <w:szCs w:val="21"/>
                <w:highlight w:val="none"/>
              </w:rPr>
            </w:pPr>
          </w:p>
        </w:tc>
        <w:tc>
          <w:tcPr>
            <w:tcW w:w="3659" w:type="dxa"/>
            <w:vAlign w:val="center"/>
          </w:tcPr>
          <w:p>
            <w:pPr>
              <w:widowControl w:val="0"/>
              <w:shd w:val="clear" w:color="auto" w:fill="FFFFFF"/>
              <w:wordWrap/>
              <w:adjustRightInd/>
              <w:spacing w:line="240" w:lineRule="auto"/>
              <w:jc w:val="left"/>
              <w:textAlignment w:val="auto"/>
              <w:rPr>
                <w:rFonts w:ascii="宋体" w:hAnsi="宋体" w:cs="Futura-Heavy"/>
                <w:color w:val="000000" w:themeColor="text1"/>
                <w:szCs w:val="21"/>
                <w:highlight w:val="none"/>
                <w:shd w:val="clear" w:color="auto" w:fill="FFFFFF"/>
              </w:rPr>
            </w:pPr>
            <w:r>
              <w:rPr>
                <w:rFonts w:ascii="宋体" w:hAnsi="宋体" w:cs="Futura-Heavy"/>
                <w:color w:val="000000" w:themeColor="text1"/>
                <w:szCs w:val="21"/>
                <w:highlight w:val="none"/>
                <w:shd w:val="clear" w:color="auto" w:fill="FFFFFF"/>
              </w:rPr>
              <w:t>投标人未被列入“信用中国”网站(</w:t>
            </w:r>
            <w:r>
              <w:rPr>
                <w:rFonts w:eastAsia="等线"/>
                <w:color w:val="000000" w:themeColor="text1"/>
                <w:szCs w:val="20"/>
                <w:highlight w:val="none"/>
              </w:rPr>
              <w:fldChar w:fldCharType="begin"/>
            </w:r>
            <w:r>
              <w:rPr>
                <w:color w:val="000000" w:themeColor="text1"/>
                <w:highlight w:val="none"/>
              </w:rPr>
              <w:instrText xml:space="preserve"> HYPERLINK "http://www.creditchina.gov.cn" </w:instrText>
            </w:r>
            <w:r>
              <w:rPr>
                <w:rFonts w:eastAsia="等线"/>
                <w:color w:val="000000" w:themeColor="text1"/>
                <w:szCs w:val="20"/>
                <w:highlight w:val="none"/>
              </w:rPr>
              <w:fldChar w:fldCharType="separate"/>
            </w:r>
            <w:r>
              <w:rPr>
                <w:rStyle w:val="51"/>
                <w:rFonts w:ascii="宋体" w:hAnsi="宋体" w:cs="Futura-Heavy"/>
                <w:color w:val="000000" w:themeColor="text1"/>
                <w:szCs w:val="21"/>
                <w:highlight w:val="none"/>
                <w:shd w:val="clear" w:color="auto" w:fill="FFFFFF"/>
              </w:rPr>
              <w:t>www.creditchina.gov.cn</w:t>
            </w:r>
            <w:r>
              <w:rPr>
                <w:rFonts w:ascii="宋体" w:hAnsi="宋体" w:cs="Futura-Heavy"/>
                <w:color w:val="000000" w:themeColor="text1"/>
                <w:szCs w:val="21"/>
                <w:highlight w:val="none"/>
                <w:shd w:val="clear" w:color="auto" w:fill="FFFFFF"/>
              </w:rPr>
              <w:fldChar w:fldCharType="end"/>
            </w:r>
            <w:r>
              <w:rPr>
                <w:rFonts w:ascii="宋体" w:hAnsi="宋体" w:cs="Futura-Heavy"/>
                <w:color w:val="000000" w:themeColor="text1"/>
                <w:szCs w:val="21"/>
                <w:highlight w:val="none"/>
                <w:shd w:val="clear" w:color="auto" w:fill="FFFFFF"/>
              </w:rPr>
              <w:t xml:space="preserve">)以下任意名单之一：①失信被执行人名单；②重大税收违法案件当事人名单；③政府采购严重违法失信名单。同时，不处于中国政府采购网（www.ccgp.gov.cn </w:t>
            </w:r>
            <w:r>
              <w:rPr>
                <w:rFonts w:hint="eastAsia" w:ascii="宋体" w:hAnsi="宋体" w:cs="Futura-Heavy"/>
                <w:color w:val="000000" w:themeColor="text1"/>
                <w:szCs w:val="21"/>
                <w:highlight w:val="none"/>
                <w:shd w:val="clear" w:color="auto" w:fill="FFFFFF"/>
              </w:rPr>
              <w:t>）“政府采购严重违法失信行为信息记录”中的禁止参加政府采购活动期间。（以采购代理机构于评审当天在上述网站查询结果为准，如在上述网站查询结果均显示没有相关记录，视为没有上述不良信用记录。同时对信用信息查询记录和证据截图存档。如相关失信记录已失效，供应商须提供相关证明资料。）</w:t>
            </w:r>
          </w:p>
        </w:tc>
        <w:tc>
          <w:tcPr>
            <w:tcW w:w="1980" w:type="dxa"/>
            <w:vAlign w:val="center"/>
          </w:tcPr>
          <w:p>
            <w:pPr>
              <w:tabs>
                <w:tab w:val="left" w:pos="480"/>
              </w:tabs>
              <w:ind w:left="480" w:hanging="480"/>
              <w:rPr>
                <w:rFonts w:ascii="宋体" w:hAnsi="宋体"/>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Align w:val="center"/>
          </w:tcPr>
          <w:p>
            <w:pPr>
              <w:tabs>
                <w:tab w:val="left" w:pos="146"/>
              </w:tabs>
              <w:rPr>
                <w:rFonts w:ascii="宋体" w:hAnsi="宋体"/>
                <w:color w:val="000000" w:themeColor="text1"/>
                <w:szCs w:val="21"/>
                <w:highlight w:val="none"/>
              </w:rPr>
            </w:pPr>
            <w:r>
              <w:rPr>
                <w:rFonts w:hint="eastAsia" w:ascii="宋体" w:hAnsi="宋体" w:cs="Futura-Heavy"/>
                <w:color w:val="000000" w:themeColor="text1"/>
                <w:szCs w:val="21"/>
                <w:highlight w:val="none"/>
                <w:shd w:val="clear" w:color="auto" w:fill="FFFFFF"/>
              </w:rPr>
              <w:t>本项目属于专门面向中小企业采购</w:t>
            </w:r>
          </w:p>
        </w:tc>
        <w:tc>
          <w:tcPr>
            <w:tcW w:w="3659" w:type="dxa"/>
            <w:vAlign w:val="center"/>
          </w:tcPr>
          <w:p>
            <w:pPr>
              <w:tabs>
                <w:tab w:val="left" w:pos="0"/>
              </w:tabs>
              <w:jc w:val="both"/>
              <w:rPr>
                <w:rFonts w:hint="eastAsia" w:ascii="宋体" w:hAnsi="宋体" w:eastAsia="宋体" w:cs="Futura-Heavy"/>
                <w:color w:val="000000" w:themeColor="text1"/>
                <w:szCs w:val="21"/>
                <w:highlight w:val="none"/>
                <w:shd w:val="clear" w:color="auto" w:fill="FFFFFF"/>
                <w:lang w:val="en-US" w:eastAsia="zh-CN"/>
              </w:rPr>
            </w:pPr>
            <w:r>
              <w:rPr>
                <w:rFonts w:hint="eastAsia"/>
                <w:color w:val="000000" w:themeColor="text1"/>
                <w:highlight w:val="none"/>
                <w:lang w:eastAsia="zh-CN"/>
              </w:rPr>
              <w:t>本项目属于专门面向中小企业采购。为落实《政府采购促进中小企业发展管理办法》（财库〔2020〕46号）政策，投标人为中型企业的，必须承诺中标后分包一定比例给小微企业，其中分包给小微企业的合同金额比例不低于 60%。（提供《分包意向协议书》或《分包承诺书》）。</w:t>
            </w:r>
            <w:r>
              <w:rPr>
                <w:rFonts w:hint="eastAsia"/>
                <w:color w:val="000000" w:themeColor="text1"/>
                <w:highlight w:val="none"/>
              </w:rPr>
              <w:t>（所属行业为：</w:t>
            </w:r>
            <w:r>
              <w:rPr>
                <w:rFonts w:hint="eastAsia" w:ascii="宋体" w:hAnsi="宋体"/>
                <w:color w:val="000000" w:themeColor="text1"/>
                <w:szCs w:val="21"/>
                <w:highlight w:val="none"/>
              </w:rPr>
              <w:t>租赁和商务服务业</w:t>
            </w:r>
            <w:r>
              <w:rPr>
                <w:rFonts w:hint="eastAsia"/>
                <w:color w:val="000000" w:themeColor="text1"/>
                <w:highlight w:val="none"/>
              </w:rPr>
              <w:t>）</w:t>
            </w:r>
          </w:p>
        </w:tc>
        <w:tc>
          <w:tcPr>
            <w:tcW w:w="1980" w:type="dxa"/>
            <w:vAlign w:val="center"/>
          </w:tcPr>
          <w:p>
            <w:pPr>
              <w:tabs>
                <w:tab w:val="left" w:pos="480"/>
              </w:tabs>
              <w:ind w:left="480" w:hanging="480"/>
              <w:rPr>
                <w:rFonts w:ascii="宋体" w:hAnsi="宋体"/>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97"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6"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659"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80" w:type="dxa"/>
            <w:vAlign w:val="center"/>
          </w:tcPr>
          <w:p>
            <w:pPr>
              <w:tabs>
                <w:tab w:val="left" w:pos="480"/>
              </w:tabs>
              <w:ind w:left="-107" w:leftChars="-51" w:firstLine="106"/>
              <w:rPr>
                <w:rFonts w:ascii="宋体" w:hAnsi="宋体"/>
                <w:b/>
                <w:bCs/>
                <w:color w:val="000000" w:themeColor="text1"/>
                <w:szCs w:val="21"/>
                <w:highlight w:val="none"/>
              </w:rPr>
            </w:pPr>
          </w:p>
        </w:tc>
        <w:tc>
          <w:tcPr>
            <w:tcW w:w="2489"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1"/>
          <w:numId w:val="0"/>
        </w:numPr>
        <w:rPr>
          <w:color w:val="000000" w:themeColor="text1"/>
          <w:highlight w:val="none"/>
        </w:rPr>
      </w:pPr>
      <w:bookmarkStart w:id="1775" w:name="_Toc21470"/>
      <w:bookmarkStart w:id="1776" w:name="_Toc24255"/>
      <w:r>
        <w:rPr>
          <w:rFonts w:hint="eastAsia"/>
          <w:color w:val="000000" w:themeColor="text1"/>
          <w:highlight w:val="none"/>
        </w:rPr>
        <w:t>（一）资格审查文件要求提交的有效证明文件</w:t>
      </w:r>
      <w:bookmarkEnd w:id="1775"/>
      <w:bookmarkEnd w:id="1776"/>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1"/>
          <w:numId w:val="0"/>
        </w:numPr>
        <w:rPr>
          <w:rFonts w:hAnsi="黑体"/>
          <w:color w:val="000000" w:themeColor="text1"/>
          <w:szCs w:val="21"/>
          <w:highlight w:val="none"/>
        </w:rPr>
      </w:pPr>
      <w:bookmarkStart w:id="1777" w:name="_Toc26194"/>
      <w:bookmarkStart w:id="1778" w:name="_Toc28431"/>
      <w:r>
        <w:rPr>
          <w:rFonts w:hint="eastAsia" w:hAnsi="黑体"/>
          <w:color w:val="000000" w:themeColor="text1"/>
          <w:szCs w:val="21"/>
          <w:highlight w:val="none"/>
        </w:rPr>
        <w:t>（二）无重大违法记录声明函</w:t>
      </w:r>
      <w:bookmarkEnd w:id="1777"/>
      <w:bookmarkEnd w:id="1778"/>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7"/>
        </w:numPr>
        <w:tabs>
          <w:tab w:val="clear" w:pos="720"/>
        </w:tabs>
        <w:ind w:left="720"/>
        <w:rPr>
          <w:color w:val="000000" w:themeColor="text1"/>
          <w:highlight w:val="none"/>
        </w:rPr>
      </w:pPr>
      <w:bookmarkStart w:id="1779" w:name="_Toc23785"/>
      <w:bookmarkStart w:id="1780" w:name="_Toc5256"/>
      <w:r>
        <w:rPr>
          <w:rFonts w:hint="eastAsia"/>
          <w:color w:val="000000" w:themeColor="text1"/>
          <w:highlight w:val="none"/>
        </w:rPr>
        <w:t>投标文件商务及技术部分</w:t>
      </w:r>
      <w:bookmarkEnd w:id="1779"/>
      <w:bookmarkEnd w:id="1780"/>
    </w:p>
    <w:p>
      <w:pPr>
        <w:pStyle w:val="4"/>
        <w:numPr>
          <w:ilvl w:val="1"/>
          <w:numId w:val="0"/>
        </w:numPr>
        <w:rPr>
          <w:color w:val="000000" w:themeColor="text1"/>
          <w:sz w:val="24"/>
          <w:highlight w:val="none"/>
        </w:rPr>
      </w:pPr>
      <w:bookmarkStart w:id="1781" w:name="_Toc11625"/>
      <w:r>
        <w:rPr>
          <w:rFonts w:hint="eastAsia"/>
          <w:color w:val="000000" w:themeColor="text1"/>
          <w:sz w:val="24"/>
          <w:highlight w:val="none"/>
        </w:rPr>
        <w:t>商务及技术封面格式</w:t>
      </w:r>
      <w:bookmarkEnd w:id="1781"/>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numPr>
          <w:ilvl w:val="1"/>
          <w:numId w:val="0"/>
        </w:numPr>
        <w:tabs>
          <w:tab w:val="left" w:pos="4320"/>
        </w:tabs>
        <w:spacing w:before="240" w:after="60" w:line="360" w:lineRule="exact"/>
        <w:rPr>
          <w:rFonts w:ascii="宋体"/>
          <w:b/>
          <w:bCs w:val="0"/>
          <w:color w:val="000000" w:themeColor="text1"/>
          <w:szCs w:val="21"/>
          <w:highlight w:val="none"/>
        </w:rPr>
      </w:pPr>
      <w:bookmarkStart w:id="1782" w:name="_Toc19051"/>
      <w:r>
        <w:rPr>
          <w:rFonts w:hint="eastAsia" w:ascii="宋体"/>
          <w:b/>
          <w:bCs w:val="0"/>
          <w:color w:val="000000" w:themeColor="text1"/>
          <w:szCs w:val="21"/>
          <w:highlight w:val="none"/>
        </w:rPr>
        <w:t>符合性自查表</w:t>
      </w:r>
      <w:bookmarkEnd w:id="1782"/>
    </w:p>
    <w:p>
      <w:pPr>
        <w:jc w:val="center"/>
        <w:rPr>
          <w:rFonts w:ascii="宋体" w:hAnsi="宋体"/>
          <w:b/>
          <w:bCs/>
          <w:color w:val="000000" w:themeColor="text1"/>
          <w:szCs w:val="21"/>
          <w:highlight w:val="none"/>
        </w:rPr>
      </w:pPr>
    </w:p>
    <w:tbl>
      <w:tblPr>
        <w:tblStyle w:val="4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6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96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96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96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196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196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top"/>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196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numPr>
          <w:ilvl w:val="1"/>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783" w:name="_Toc26704"/>
      <w:r>
        <w:rPr>
          <w:rFonts w:hint="eastAsia" w:ascii="宋体"/>
          <w:b/>
          <w:color w:val="000000" w:themeColor="text1"/>
          <w:szCs w:val="21"/>
          <w:highlight w:val="none"/>
        </w:rPr>
        <w:t xml:space="preserve"> </w:t>
      </w:r>
      <w:bookmarkStart w:id="1784" w:name="_Toc29136"/>
      <w:r>
        <w:rPr>
          <w:rFonts w:hint="eastAsia" w:ascii="宋体"/>
          <w:b/>
          <w:color w:val="000000" w:themeColor="text1"/>
          <w:szCs w:val="21"/>
          <w:highlight w:val="none"/>
        </w:rPr>
        <w:t>评审项目投标资料表</w:t>
      </w:r>
      <w:bookmarkEnd w:id="1783"/>
      <w:bookmarkEnd w:id="1784"/>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224"/>
              <w:adjustRightInd/>
              <w:spacing w:before="0" w:after="0" w:line="240" w:lineRule="auto"/>
              <w:textAlignment w:val="auto"/>
              <w:rPr>
                <w:rFonts w:ascii="宋体" w:hAnsi="宋体"/>
                <w:color w:val="000000" w:themeColor="text1"/>
                <w:spacing w:val="0"/>
                <w:kern w:val="2"/>
                <w:sz w:val="21"/>
                <w:szCs w:val="21"/>
                <w:highlight w:val="none"/>
              </w:rPr>
            </w:pPr>
            <w:r>
              <w:rPr>
                <w:rFonts w:hint="eastAsia" w:ascii="宋体" w:hAnsi="宋体"/>
                <w:color w:val="000000" w:themeColor="text1"/>
                <w:spacing w:val="0"/>
                <w:kern w:val="2"/>
                <w:sz w:val="21"/>
                <w:szCs w:val="21"/>
                <w:highlight w:val="none"/>
              </w:rPr>
              <w:t>评审分项</w:t>
            </w:r>
          </w:p>
        </w:tc>
        <w:tc>
          <w:tcPr>
            <w:tcW w:w="5202" w:type="dxa"/>
            <w:vAlign w:val="center"/>
          </w:tcPr>
          <w:p>
            <w:pPr>
              <w:pStyle w:val="224"/>
              <w:adjustRightInd/>
              <w:spacing w:before="0" w:after="0" w:line="240" w:lineRule="auto"/>
              <w:textAlignment w:val="auto"/>
              <w:rPr>
                <w:rFonts w:ascii="宋体" w:hAnsi="宋体"/>
                <w:color w:val="000000" w:themeColor="text1"/>
                <w:spacing w:val="0"/>
                <w:kern w:val="2"/>
                <w:sz w:val="21"/>
                <w:szCs w:val="21"/>
                <w:highlight w:val="none"/>
              </w:rPr>
            </w:pPr>
            <w:r>
              <w:rPr>
                <w:rFonts w:hint="eastAsia" w:ascii="宋体" w:hAnsi="宋体"/>
                <w:color w:val="000000" w:themeColor="text1"/>
                <w:spacing w:val="0"/>
                <w:kern w:val="2"/>
                <w:sz w:val="21"/>
                <w:szCs w:val="21"/>
                <w:highlight w:val="none"/>
              </w:rPr>
              <w:t>评审细则</w:t>
            </w:r>
          </w:p>
        </w:tc>
        <w:tc>
          <w:tcPr>
            <w:tcW w:w="2300" w:type="dxa"/>
            <w:vAlign w:val="center"/>
          </w:tcPr>
          <w:p>
            <w:pPr>
              <w:pStyle w:val="224"/>
              <w:adjustRightInd/>
              <w:spacing w:before="0" w:after="0" w:line="240" w:lineRule="auto"/>
              <w:textAlignment w:val="auto"/>
              <w:rPr>
                <w:rFonts w:ascii="宋体" w:hAnsi="宋体"/>
                <w:color w:val="000000" w:themeColor="text1"/>
                <w:spacing w:val="0"/>
                <w:kern w:val="2"/>
                <w:sz w:val="21"/>
                <w:szCs w:val="21"/>
                <w:highlight w:val="none"/>
              </w:rPr>
            </w:pPr>
            <w:r>
              <w:rPr>
                <w:rFonts w:hint="eastAsia" w:ascii="宋体" w:hAnsi="宋体"/>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53"/>
              <w:tabs>
                <w:tab w:val="clear" w:pos="360"/>
              </w:tabs>
              <w:jc w:val="both"/>
              <w:rPr>
                <w:rFonts w:ascii="宋体" w:hAnsi="宋体" w:eastAsia="宋体" w:cs="Times New Roman"/>
                <w:color w:val="000000" w:themeColor="text1"/>
                <w:sz w:val="2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448"/>
    <w:bookmarkEnd w:id="1449"/>
    <w:bookmarkEnd w:id="1450"/>
    <w:bookmarkEnd w:id="1451"/>
    <w:bookmarkEnd w:id="1452"/>
    <w:p>
      <w:pPr>
        <w:tabs>
          <w:tab w:val="center" w:pos="4483"/>
        </w:tabs>
        <w:rPr>
          <w:rFonts w:ascii="宋体" w:hAnsi="宋体"/>
          <w:bCs/>
          <w:color w:val="000000" w:themeColor="text1"/>
          <w:szCs w:val="21"/>
          <w:highlight w:val="none"/>
        </w:rPr>
      </w:pPr>
      <w:bookmarkStart w:id="1785" w:name="_Toc458262638"/>
      <w:bookmarkStart w:id="1786" w:name="_Toc6727971"/>
      <w:bookmarkStart w:id="1787" w:name="_Toc479991610"/>
      <w:bookmarkStart w:id="1788" w:name="_Toc480020285"/>
      <w:bookmarkStart w:id="1789" w:name="_Toc491658679"/>
      <w:bookmarkStart w:id="1790" w:name="_Toc467236768"/>
      <w:bookmarkStart w:id="1791" w:name="_Toc480010736"/>
      <w:bookmarkStart w:id="1792" w:name="_Toc467987851"/>
      <w:bookmarkStart w:id="1793" w:name="_Toc500861026"/>
      <w:bookmarkStart w:id="1794" w:name="_Toc468157564"/>
      <w:bookmarkStart w:id="1795" w:name="_Toc454701405"/>
      <w:bookmarkStart w:id="1796" w:name="_Toc468606057"/>
      <w:bookmarkStart w:id="1797" w:name="_Toc480021081"/>
      <w:bookmarkStart w:id="1798" w:name="_Toc6397150"/>
    </w:p>
    <w:p>
      <w:pPr>
        <w:pStyle w:val="4"/>
        <w:numPr>
          <w:ilvl w:val="1"/>
          <w:numId w:val="0"/>
        </w:numPr>
        <w:rPr>
          <w:color w:val="000000" w:themeColor="text1"/>
          <w:highlight w:val="none"/>
        </w:rPr>
      </w:pPr>
      <w:bookmarkStart w:id="1799" w:name="_Toc13455"/>
      <w:bookmarkStart w:id="1800" w:name="_Toc17042"/>
      <w:r>
        <w:rPr>
          <w:rFonts w:hint="eastAsia"/>
          <w:color w:val="000000" w:themeColor="text1"/>
          <w:highlight w:val="none"/>
        </w:rPr>
        <w:t>（一）法定代表人（负责人）证明书</w:t>
      </w:r>
      <w:bookmarkEnd w:id="1799"/>
      <w:bookmarkEnd w:id="1800"/>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rFonts w:ascii="宋体" w:hAnsi="Times New Roman" w:eastAsia="宋体" w:cs="Times New Roman"/>
          <w:color w:val="000000" w:themeColor="text1"/>
          <w:kern w:val="0"/>
          <w:sz w:val="34"/>
          <w:szCs w:val="20"/>
          <w:highlight w:val="none"/>
          <w:lang w:val="en-US" w:eastAsia="zh-CN" w:bidi="ar-SA"/>
        </w:rPr>
        <w:pict>
          <v:shape id="自选图形 2" o:spid="_x0000_s1027" o:spt="176" type="#_x0000_t176" style="position:absolute;left:0pt;margin-left:68.25pt;margin-top:27.3pt;height:135.65pt;width:273.55pt;z-index:251660288;mso-width-relative:page;mso-height-relative:page;" fillcolor="#FFFFFF" filled="t" o:preferrelative="t" stroked="t" coordsize="21600,21600" adj="2700">
            <v:path/>
            <v:fill on="t" focussize="0,0"/>
            <v:stroke color="#000000" color2="#FFFFFF" miterlimit="2"/>
            <v:imagedata gain="65536f" blacklevel="0f" gamma="0" o:title=""/>
            <o:lock v:ext="edit" position="f" selection="f" grouping="f" rotation="f" cropping="f" text="f" aspectratio="f"/>
            <v:textbox>
              <w:txbxContent>
                <w:p/>
                <w:p/>
                <w:p>
                  <w:pPr>
                    <w:jc w:val="center"/>
                  </w:pPr>
                  <w:r>
                    <w:rPr>
                      <w:rFonts w:hint="eastAsia"/>
                    </w:rPr>
                    <w:t>身份证正反面复印件</w:t>
                  </w:r>
                </w:p>
              </w:txbxContent>
            </v:textbox>
          </v:shape>
        </w:pict>
      </w:r>
    </w:p>
    <w:p>
      <w:pPr>
        <w:pStyle w:val="4"/>
        <w:numPr>
          <w:ilvl w:val="1"/>
          <w:numId w:val="0"/>
        </w:numPr>
        <w:rPr>
          <w:color w:val="000000" w:themeColor="text1"/>
          <w:highlight w:val="none"/>
        </w:rPr>
      </w:pPr>
      <w:bookmarkStart w:id="1801" w:name="_Toc27194"/>
      <w:bookmarkStart w:id="1802" w:name="_Toc29932"/>
      <w:r>
        <w:rPr>
          <w:rFonts w:hint="eastAsia"/>
          <w:color w:val="000000" w:themeColor="text1"/>
          <w:highlight w:val="none"/>
        </w:rPr>
        <w:t>（二）法定代表人（负责人）授权书</w:t>
      </w:r>
      <w:bookmarkEnd w:id="1801"/>
      <w:bookmarkEnd w:id="1802"/>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rFonts w:ascii="Times New Roman" w:hAnsi="Times New Roman" w:eastAsia="宋体" w:cs="Times New Roman"/>
          <w:color w:val="000000" w:themeColor="text1"/>
          <w:kern w:val="2"/>
          <w:sz w:val="21"/>
          <w:szCs w:val="24"/>
          <w:highlight w:val="none"/>
          <w:lang w:val="en-US" w:eastAsia="zh-CN" w:bidi="ar-SA"/>
        </w:rPr>
        <w:pict>
          <v:shape id="自选图形 3" o:spid="_x0000_s1028" o:spt="176" type="#_x0000_t176" style="position:absolute;left:0pt;margin-left:99.75pt;margin-top:-0.05pt;height:137.65pt;width:275.8pt;z-index:251659264;mso-width-relative:page;mso-height-relative:page;" fillcolor="#FFFFFF" filled="t" o:preferrelative="t" stroked="t" coordsize="21600,21600" adj="2700">
            <v:path/>
            <v:fill on="t" focussize="0,0"/>
            <v:stroke color="#000000" color2="#FFFFFF" miterlimit="2"/>
            <v:imagedata gain="65536f" blacklevel="0f" gamma="0" o:title=""/>
            <o:lock v:ext="edit" position="f" selection="f" grouping="f" rotation="f" cropping="f" text="f" aspectratio="f"/>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pPr>
        <w:pStyle w:val="4"/>
        <w:numPr>
          <w:ilvl w:val="1"/>
          <w:numId w:val="0"/>
        </w:numPr>
        <w:rPr>
          <w:color w:val="000000" w:themeColor="text1"/>
          <w:highlight w:val="none"/>
        </w:rPr>
      </w:pPr>
      <w:bookmarkStart w:id="1803" w:name="_Toc336681956"/>
      <w:bookmarkStart w:id="1804" w:name="_Toc350438770"/>
      <w:bookmarkStart w:id="1805" w:name="_Toc333237699"/>
      <w:bookmarkStart w:id="1806" w:name="_Toc330460007"/>
      <w:bookmarkStart w:id="1807" w:name="_Toc333237810"/>
      <w:bookmarkStart w:id="1808" w:name="_Toc343612941"/>
      <w:bookmarkStart w:id="1809" w:name="_Toc339441108"/>
      <w:bookmarkStart w:id="1810" w:name="_Toc333238655"/>
      <w:bookmarkStart w:id="1811" w:name="_Toc333935708"/>
      <w:bookmarkStart w:id="1812" w:name="_Toc339019910"/>
      <w:bookmarkStart w:id="1813" w:name="_Toc341348361"/>
      <w:bookmarkStart w:id="1814" w:name="_Toc331684063"/>
      <w:bookmarkStart w:id="1815" w:name="_Toc337632379"/>
      <w:bookmarkStart w:id="1816" w:name="_Toc340507463"/>
      <w:bookmarkStart w:id="1817" w:name="_Toc342296782"/>
      <w:bookmarkStart w:id="1818" w:name="_Toc343248439"/>
      <w:bookmarkStart w:id="1819" w:name="_Toc365985199"/>
      <w:bookmarkStart w:id="1820" w:name="_Toc365967093"/>
      <w:bookmarkStart w:id="1821" w:name="_Toc342060396"/>
      <w:bookmarkStart w:id="1822" w:name="_Toc332206730"/>
      <w:bookmarkStart w:id="1823" w:name="_Toc339362321"/>
      <w:bookmarkStart w:id="1824" w:name="_Toc336681601"/>
      <w:bookmarkStart w:id="1825" w:name="_Toc339020254"/>
      <w:bookmarkStart w:id="1826" w:name="_Toc350756471"/>
      <w:bookmarkStart w:id="1827" w:name="_Toc340677091"/>
      <w:bookmarkStart w:id="1828" w:name="_Toc343247121"/>
      <w:bookmarkStart w:id="1829" w:name="_Toc340672890"/>
      <w:bookmarkStart w:id="1830" w:name="_Toc342312464"/>
      <w:bookmarkStart w:id="1831" w:name="_Toc17323"/>
      <w:bookmarkStart w:id="1832" w:name="_Toc331512922"/>
      <w:bookmarkStart w:id="1833" w:name="_Toc332270368"/>
      <w:bookmarkStart w:id="1834" w:name="_Toc339020116"/>
      <w:bookmarkStart w:id="1835" w:name="_Toc342398151"/>
      <w:bookmarkStart w:id="1836" w:name="_Toc366072550"/>
      <w:bookmarkStart w:id="1837" w:name="_Toc339020036"/>
      <w:bookmarkStart w:id="1838" w:name="_Toc333935367"/>
      <w:bookmarkStart w:id="1839" w:name="_Toc345312618"/>
      <w:r>
        <w:rPr>
          <w:rFonts w:hint="eastAsia"/>
          <w:color w:val="000000" w:themeColor="text1"/>
          <w:highlight w:val="none"/>
        </w:rPr>
        <w:t>附件一：投标</w:t>
      </w:r>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Pr>
          <w:rFonts w:hint="eastAsia"/>
          <w:color w:val="000000" w:themeColor="text1"/>
          <w:highlight w:val="none"/>
        </w:rPr>
        <w:t>函</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具有独立承担民事责任的能力</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具有良好的商业信誉和健全的财务会计制度</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具有履行合同所必需的设备和专业技术能力</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有依法缴纳税收和社会保障资金的良好记录</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参加政府采购活动前三年内，在经营活动中没有重大违法记录</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color w:val="000000" w:themeColor="text1"/>
          <w:highlight w:val="none"/>
        </w:rPr>
        <w:t>法律、行政法规规定的其他条件</w:t>
      </w:r>
      <w:r>
        <w:rPr>
          <w:rFonts w:hint="eastAsia" w:ascii="宋体" w:hAnsi="宋体"/>
          <w:color w:val="000000" w:themeColor="text1"/>
          <w:highlight w:val="none"/>
          <w:lang w:eastAsia="zh-CN"/>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bCs/>
          <w:color w:val="000000" w:themeColor="text1"/>
          <w:highlight w:val="none"/>
        </w:rPr>
        <w:t>为采购项目提供整体设计、规范编制或者项目管理、监理、检测等服务的供应商，不再参加该采购项目的其他采购活动。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ascii="宋体" w:hAnsi="宋体"/>
          <w:bCs/>
          <w:color w:val="000000" w:themeColor="text1"/>
          <w:highlight w:val="none"/>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3"/>
        <w:spacing w:line="400" w:lineRule="exact"/>
        <w:rPr>
          <w:rFonts w:hAnsi="宋体"/>
          <w:color w:val="000000" w:themeColor="text1"/>
          <w:highlight w:val="none"/>
        </w:rPr>
      </w:pPr>
    </w:p>
    <w:p>
      <w:pPr>
        <w:rPr>
          <w:rFonts w:hint="eastAsia"/>
          <w:color w:val="000000" w:themeColor="text1"/>
          <w:highlight w:val="none"/>
        </w:rPr>
      </w:pPr>
      <w:bookmarkStart w:id="1840" w:name="_Hlt16935467"/>
      <w:bookmarkEnd w:id="1840"/>
      <w:bookmarkStart w:id="1841" w:name="_Toc78816017"/>
      <w:bookmarkStart w:id="1842" w:name="_Toc340672891"/>
      <w:bookmarkStart w:id="1843" w:name="_Toc333935368"/>
      <w:bookmarkStart w:id="1844" w:name="_Toc342060397"/>
      <w:bookmarkStart w:id="1845" w:name="_Toc332206731"/>
      <w:bookmarkStart w:id="1846" w:name="_Toc336681602"/>
      <w:bookmarkStart w:id="1847" w:name="_Toc336681957"/>
      <w:bookmarkStart w:id="1848" w:name="_Toc332270369"/>
      <w:bookmarkStart w:id="1849" w:name="_Toc350438771"/>
      <w:bookmarkStart w:id="1850" w:name="_Toc340677092"/>
      <w:bookmarkStart w:id="1851" w:name="_Toc343248440"/>
      <w:bookmarkStart w:id="1852" w:name="_Toc333935709"/>
      <w:bookmarkStart w:id="1853" w:name="_Toc345312619"/>
      <w:bookmarkStart w:id="1854" w:name="_Toc342398152"/>
      <w:bookmarkStart w:id="1855" w:name="_Toc366072551"/>
      <w:bookmarkStart w:id="1856" w:name="_Toc365985200"/>
      <w:bookmarkStart w:id="1857" w:name="_Toc339019911"/>
      <w:bookmarkStart w:id="1858" w:name="_Toc333237700"/>
      <w:bookmarkStart w:id="1859" w:name="_Toc340507464"/>
      <w:bookmarkStart w:id="1860" w:name="_Toc331512923"/>
      <w:bookmarkStart w:id="1861" w:name="_Toc333237811"/>
      <w:bookmarkStart w:id="1862" w:name="_Toc343247122"/>
      <w:bookmarkStart w:id="1863" w:name="_Toc337632380"/>
      <w:bookmarkStart w:id="1864" w:name="_Toc339362322"/>
      <w:bookmarkStart w:id="1865" w:name="_Toc365967094"/>
      <w:bookmarkStart w:id="1866" w:name="_Toc339020117"/>
      <w:bookmarkStart w:id="1867" w:name="_Toc331684064"/>
      <w:bookmarkStart w:id="1868" w:name="_Toc341348362"/>
      <w:bookmarkStart w:id="1869" w:name="_Toc339020037"/>
      <w:bookmarkStart w:id="1870" w:name="_Toc343612942"/>
      <w:bookmarkStart w:id="1871" w:name="_Toc333238656"/>
      <w:bookmarkStart w:id="1872" w:name="_Toc342296783"/>
      <w:bookmarkStart w:id="1873" w:name="_Toc342312465"/>
      <w:bookmarkStart w:id="1874" w:name="_Toc350756472"/>
      <w:bookmarkStart w:id="1875" w:name="_Toc339020255"/>
      <w:bookmarkStart w:id="1876" w:name="_Toc330460008"/>
      <w:bookmarkStart w:id="1877" w:name="_Toc339441109"/>
      <w:r>
        <w:rPr>
          <w:rFonts w:hint="eastAsia"/>
          <w:color w:val="000000" w:themeColor="text1"/>
          <w:highlight w:val="none"/>
        </w:rPr>
        <w:br w:type="page"/>
      </w:r>
    </w:p>
    <w:p>
      <w:pPr>
        <w:pStyle w:val="4"/>
        <w:numPr>
          <w:ilvl w:val="1"/>
          <w:numId w:val="0"/>
        </w:numPr>
        <w:spacing w:line="400" w:lineRule="exact"/>
        <w:rPr>
          <w:color w:val="000000" w:themeColor="text1"/>
          <w:highlight w:val="none"/>
        </w:rPr>
      </w:pPr>
      <w:bookmarkStart w:id="1878" w:name="_Toc27384"/>
      <w:r>
        <w:rPr>
          <w:rFonts w:hint="eastAsia"/>
          <w:color w:val="000000" w:themeColor="text1"/>
          <w:highlight w:val="none"/>
        </w:rPr>
        <w:t>附件二：开标一览表</w:t>
      </w:r>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891"/>
        <w:gridCol w:w="1501"/>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891" w:type="dxa"/>
            <w:vAlign w:val="center"/>
          </w:tcPr>
          <w:p>
            <w:pPr>
              <w:jc w:val="center"/>
              <w:rPr>
                <w:rFonts w:hint="default" w:ascii="宋体" w:hAnsi="宋体" w:eastAsia="宋体"/>
                <w:bCs/>
                <w:color w:val="000000" w:themeColor="text1"/>
                <w:highlight w:val="none"/>
                <w:lang w:val="en-US" w:eastAsia="zh-CN"/>
              </w:rPr>
            </w:pPr>
            <w:r>
              <w:rPr>
                <w:rFonts w:hint="eastAsia" w:ascii="宋体" w:hAnsi="宋体"/>
                <w:bCs/>
                <w:color w:val="000000" w:themeColor="text1"/>
                <w:highlight w:val="none"/>
              </w:rPr>
              <w:t>服务管理费（%）</w:t>
            </w:r>
          </w:p>
        </w:tc>
        <w:tc>
          <w:tcPr>
            <w:tcW w:w="1501"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848"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891" w:type="dxa"/>
            <w:vAlign w:val="center"/>
          </w:tcPr>
          <w:p>
            <w:pPr>
              <w:spacing w:line="260" w:lineRule="exact"/>
              <w:rPr>
                <w:rFonts w:ascii="宋体" w:hAnsi="宋体"/>
                <w:bCs/>
                <w:color w:val="000000" w:themeColor="text1"/>
                <w:highlight w:val="none"/>
              </w:rPr>
            </w:pPr>
          </w:p>
        </w:tc>
        <w:tc>
          <w:tcPr>
            <w:tcW w:w="1501" w:type="dxa"/>
            <w:vAlign w:val="center"/>
          </w:tcPr>
          <w:p>
            <w:pPr>
              <w:topLinePunct/>
              <w:jc w:val="left"/>
              <w:rPr>
                <w:rFonts w:ascii="宋体" w:hAnsi="宋体"/>
                <w:bCs/>
                <w:color w:val="000000" w:themeColor="text1"/>
                <w:highlight w:val="none"/>
                <w:u w:val="single"/>
              </w:rPr>
            </w:pPr>
          </w:p>
        </w:tc>
        <w:tc>
          <w:tcPr>
            <w:tcW w:w="848"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pStyle w:val="53"/>
        <w:numPr>
          <w:ilvl w:val="0"/>
          <w:numId w:val="0"/>
        </w:numPr>
        <w:tabs>
          <w:tab w:val="clear" w:pos="360"/>
        </w:tabs>
        <w:ind w:leftChars="0"/>
        <w:rPr>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hint="eastAsia"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u w:val="single"/>
        </w:rPr>
      </w:pPr>
    </w:p>
    <w:p>
      <w:pPr>
        <w:pStyle w:val="4"/>
        <w:numPr>
          <w:ilvl w:val="1"/>
          <w:numId w:val="0"/>
        </w:numPr>
        <w:spacing w:line="400" w:lineRule="exact"/>
        <w:rPr>
          <w:color w:val="000000" w:themeColor="text1"/>
          <w:highlight w:val="none"/>
        </w:rPr>
      </w:pPr>
      <w:bookmarkStart w:id="1879" w:name="_Toc331684066"/>
      <w:bookmarkStart w:id="1880" w:name="_Toc336681959"/>
      <w:bookmarkStart w:id="1881" w:name="_Toc342398154"/>
      <w:bookmarkStart w:id="1882" w:name="_Toc333237702"/>
      <w:bookmarkStart w:id="1883" w:name="_Toc342312467"/>
      <w:bookmarkStart w:id="1884" w:name="_Toc330460010"/>
      <w:bookmarkStart w:id="1885" w:name="_Toc339020119"/>
      <w:bookmarkStart w:id="1886" w:name="_Toc341348364"/>
      <w:bookmarkStart w:id="1887" w:name="_Toc333935370"/>
      <w:bookmarkStart w:id="1888" w:name="_Toc332270371"/>
      <w:bookmarkStart w:id="1889" w:name="_Toc333935711"/>
      <w:bookmarkStart w:id="1890" w:name="_Toc339441111"/>
      <w:bookmarkStart w:id="1891" w:name="_Toc332206733"/>
      <w:bookmarkStart w:id="1892" w:name="_Toc337632382"/>
      <w:bookmarkStart w:id="1893" w:name="_Toc331512925"/>
      <w:bookmarkStart w:id="1894" w:name="_Toc345312621"/>
      <w:bookmarkStart w:id="1895" w:name="_Toc339020039"/>
      <w:bookmarkStart w:id="1896" w:name="_Toc343247124"/>
      <w:bookmarkStart w:id="1897" w:name="_Toc366072553"/>
      <w:bookmarkStart w:id="1898" w:name="_Toc339020257"/>
      <w:bookmarkStart w:id="1899" w:name="_Toc350756474"/>
      <w:bookmarkStart w:id="1900" w:name="_Toc336681604"/>
      <w:bookmarkStart w:id="1901" w:name="_Toc340672893"/>
      <w:bookmarkStart w:id="1902" w:name="_Toc340677094"/>
      <w:bookmarkStart w:id="1903" w:name="_Toc333238658"/>
      <w:bookmarkStart w:id="1904" w:name="_Toc365967096"/>
      <w:bookmarkStart w:id="1905" w:name="_Toc333237813"/>
      <w:bookmarkStart w:id="1906" w:name="_Toc340507466"/>
      <w:bookmarkStart w:id="1907" w:name="_Toc339362324"/>
      <w:bookmarkStart w:id="1908" w:name="_Toc365985202"/>
      <w:bookmarkStart w:id="1909" w:name="_Toc342296785"/>
      <w:bookmarkStart w:id="1910" w:name="_Toc350438773"/>
      <w:bookmarkStart w:id="1911" w:name="_Toc342060399"/>
      <w:bookmarkStart w:id="1912" w:name="_Toc11171"/>
      <w:bookmarkStart w:id="1913" w:name="_Toc343612944"/>
      <w:bookmarkStart w:id="1914" w:name="_Toc339019913"/>
      <w:bookmarkStart w:id="1915" w:name="_Toc343248442"/>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w:t>
      </w:r>
      <w:r>
        <w:rPr>
          <w:rFonts w:hint="eastAsia"/>
          <w:color w:val="000000" w:themeColor="text1"/>
          <w:highlight w:val="none"/>
          <w:lang w:val="en-US" w:eastAsia="zh-CN"/>
        </w:rPr>
        <w:t>用户需求</w:t>
      </w:r>
      <w:r>
        <w:rPr>
          <w:rFonts w:hint="eastAsia"/>
          <w:color w:val="000000" w:themeColor="text1"/>
          <w:highlight w:val="none"/>
        </w:rPr>
        <w:t>偏离一览表</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4" w:type="dxa"/>
          <w:bottom w:w="0" w:type="dxa"/>
          <w:right w:w="54" w:type="dxa"/>
        </w:tblCellMar>
      </w:tblPr>
      <w:tblGrid>
        <w:gridCol w:w="441"/>
        <w:gridCol w:w="992"/>
        <w:gridCol w:w="3189"/>
        <w:gridCol w:w="3190"/>
        <w:gridCol w:w="850"/>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w:t>
      </w:r>
      <w:r>
        <w:rPr>
          <w:rFonts w:hint="eastAsia" w:ascii="宋体" w:hAnsi="宋体"/>
          <w:bCs/>
          <w:color w:val="000000" w:themeColor="text1"/>
          <w:highlight w:val="none"/>
          <w:lang w:val="en-US" w:eastAsia="zh-CN"/>
        </w:rPr>
        <w:t>用户需求书</w:t>
      </w:r>
      <w:r>
        <w:rPr>
          <w:rFonts w:hint="eastAsia" w:ascii="宋体" w:hAnsi="宋体"/>
          <w:bCs/>
          <w:color w:val="000000" w:themeColor="text1"/>
          <w:highlight w:val="none"/>
        </w:rPr>
        <w:t>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投标人声明：表中未列全的条款，我方均表示完全响应招标文件</w:t>
      </w:r>
      <w:r>
        <w:rPr>
          <w:rFonts w:hint="eastAsia" w:ascii="宋体" w:hAnsi="宋体"/>
          <w:b/>
          <w:bCs/>
          <w:color w:val="000000" w:themeColor="text1"/>
          <w:highlight w:val="none"/>
          <w:lang w:val="en-US" w:eastAsia="zh-CN"/>
        </w:rPr>
        <w:t>用户需求书</w:t>
      </w:r>
      <w:r>
        <w:rPr>
          <w:rFonts w:hint="eastAsia" w:ascii="宋体" w:hAnsi="宋体"/>
          <w:b/>
          <w:bCs/>
          <w:color w:val="000000" w:themeColor="text1"/>
          <w:highlight w:val="none"/>
        </w:rPr>
        <w:t>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5" w:type="default"/>
          <w:pgSz w:w="11906" w:h="16838"/>
          <w:pgMar w:top="1418" w:right="1474" w:bottom="1418" w:left="1474"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16" w:name="_Toc12896"/>
      <w:bookmarkStart w:id="1917" w:name="_Toc339019918"/>
      <w:bookmarkStart w:id="1918" w:name="_Toc332206738"/>
      <w:bookmarkStart w:id="1919" w:name="_Toc343612949"/>
      <w:bookmarkStart w:id="1920" w:name="_Toc342296790"/>
      <w:bookmarkStart w:id="1921" w:name="_Toc339020124"/>
      <w:bookmarkStart w:id="1922" w:name="_Toc365967104"/>
      <w:bookmarkStart w:id="1923" w:name="_Toc339020044"/>
      <w:bookmarkStart w:id="1924" w:name="_Toc365985210"/>
      <w:bookmarkStart w:id="1925" w:name="_Toc342398159"/>
      <w:bookmarkStart w:id="1926" w:name="_Toc340672898"/>
      <w:bookmarkStart w:id="1927" w:name="_Toc339362329"/>
      <w:bookmarkStart w:id="1928" w:name="_Toc330460015"/>
      <w:bookmarkStart w:id="1929" w:name="_Toc350756479"/>
      <w:bookmarkStart w:id="1930" w:name="_Toc333238663"/>
      <w:bookmarkStart w:id="1931" w:name="_Toc333935716"/>
      <w:bookmarkStart w:id="1932" w:name="_Toc342312472"/>
      <w:bookmarkStart w:id="1933" w:name="_Toc345312626"/>
      <w:bookmarkStart w:id="1934" w:name="_Toc343248447"/>
      <w:bookmarkStart w:id="1935" w:name="_Toc333237707"/>
      <w:bookmarkStart w:id="1936" w:name="_Toc339441116"/>
      <w:bookmarkStart w:id="1937" w:name="_Toc333935375"/>
      <w:bookmarkStart w:id="1938" w:name="_Toc336681964"/>
      <w:bookmarkStart w:id="1939" w:name="_Toc366072561"/>
      <w:bookmarkStart w:id="1940" w:name="_Toc332270376"/>
      <w:bookmarkStart w:id="1941" w:name="_Toc340507471"/>
      <w:bookmarkStart w:id="1942" w:name="_Toc350438778"/>
      <w:bookmarkStart w:id="1943" w:name="_Toc340677099"/>
      <w:bookmarkStart w:id="1944" w:name="_Toc337632387"/>
      <w:bookmarkStart w:id="1945" w:name="_Toc339020262"/>
      <w:bookmarkStart w:id="1946" w:name="_Toc333237818"/>
      <w:bookmarkStart w:id="1947" w:name="_Toc341348369"/>
      <w:bookmarkStart w:id="1948" w:name="_Toc343247129"/>
      <w:bookmarkStart w:id="1949" w:name="_Toc432695228"/>
      <w:bookmarkStart w:id="1950" w:name="_Toc331512930"/>
      <w:bookmarkStart w:id="1951" w:name="_Toc336681609"/>
      <w:bookmarkStart w:id="1952" w:name="_Toc331684071"/>
      <w:bookmarkStart w:id="1953" w:name="_Toc342060404"/>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w:t>
      </w:r>
      <w:r>
        <w:rPr>
          <w:rFonts w:hint="eastAsia"/>
          <w:color w:val="000000" w:themeColor="text1"/>
          <w:highlight w:val="none"/>
          <w:lang w:val="en-US" w:eastAsia="zh-CN"/>
        </w:rPr>
        <w:t>合同条款</w:t>
      </w:r>
      <w:r>
        <w:rPr>
          <w:rFonts w:hint="eastAsia"/>
          <w:color w:val="000000" w:themeColor="text1"/>
          <w:highlight w:val="none"/>
        </w:rPr>
        <w:t>偏离一览表</w:t>
      </w:r>
      <w:bookmarkEnd w:id="1916"/>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4" w:type="dxa"/>
          <w:bottom w:w="0" w:type="dxa"/>
          <w:right w:w="54" w:type="dxa"/>
        </w:tblCellMar>
      </w:tblPr>
      <w:tblGrid>
        <w:gridCol w:w="441"/>
        <w:gridCol w:w="992"/>
        <w:gridCol w:w="3189"/>
        <w:gridCol w:w="3190"/>
        <w:gridCol w:w="850"/>
        <w:gridCol w:w="6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lang w:val="en-US" w:eastAsia="zh-CN"/>
              </w:rPr>
              <w:t>合同</w:t>
            </w:r>
            <w:r>
              <w:rPr>
                <w:rFonts w:hint="eastAsia" w:ascii="宋体" w:hAnsi="宋体"/>
                <w:bCs/>
                <w:color w:val="000000" w:themeColor="text1"/>
                <w:highlight w:val="none"/>
              </w:rPr>
              <w:t>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lang w:val="en-US" w:eastAsia="zh-CN"/>
              </w:rPr>
              <w:t>响应</w:t>
            </w:r>
            <w:r>
              <w:rPr>
                <w:rFonts w:hint="eastAsia" w:ascii="宋体" w:hAnsi="宋体"/>
                <w:bCs/>
                <w:color w:val="000000" w:themeColor="text1"/>
                <w:highlight w:val="none"/>
              </w:rPr>
              <w:t>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w:t>
      </w:r>
      <w:r>
        <w:rPr>
          <w:rFonts w:hint="eastAsia" w:ascii="宋体" w:hAnsi="宋体"/>
          <w:bCs/>
          <w:color w:val="000000" w:themeColor="text1"/>
          <w:highlight w:val="none"/>
          <w:lang w:val="en-US" w:eastAsia="zh-CN"/>
        </w:rPr>
        <w:t>合同</w:t>
      </w:r>
      <w:r>
        <w:rPr>
          <w:rFonts w:hint="eastAsia" w:ascii="宋体" w:hAnsi="宋体"/>
          <w:bCs/>
          <w:color w:val="000000" w:themeColor="text1"/>
          <w:highlight w:val="none"/>
        </w:rPr>
        <w:t>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w:t>
      </w:r>
      <w:r>
        <w:rPr>
          <w:rFonts w:hint="eastAsia" w:ascii="宋体" w:hAnsi="宋体"/>
          <w:b/>
          <w:bCs/>
          <w:color w:val="000000" w:themeColor="text1"/>
          <w:highlight w:val="none"/>
          <w:lang w:val="en-US" w:eastAsia="zh-CN"/>
        </w:rPr>
        <w:t>合同</w:t>
      </w:r>
      <w:r>
        <w:rPr>
          <w:rFonts w:hint="eastAsia" w:ascii="宋体" w:hAnsi="宋体"/>
          <w:b/>
          <w:bCs/>
          <w:color w:val="000000" w:themeColor="text1"/>
          <w:highlight w:val="none"/>
        </w:rPr>
        <w:t>条款，我方均表示完全响应招标文件</w:t>
      </w:r>
      <w:r>
        <w:rPr>
          <w:rFonts w:hint="eastAsia" w:ascii="宋体" w:hAnsi="宋体"/>
          <w:b/>
          <w:bCs/>
          <w:color w:val="000000" w:themeColor="text1"/>
          <w:highlight w:val="none"/>
          <w:lang w:val="en-US" w:eastAsia="zh-CN"/>
        </w:rPr>
        <w:t>合同</w:t>
      </w:r>
      <w:r>
        <w:rPr>
          <w:rFonts w:hint="eastAsia" w:ascii="宋体" w:hAnsi="宋体"/>
          <w:b/>
          <w:bCs/>
          <w:color w:val="000000" w:themeColor="text1"/>
          <w:highlight w:val="none"/>
        </w:rPr>
        <w:t>条款的所有要求。</w:t>
      </w:r>
    </w:p>
    <w:p>
      <w:pPr>
        <w:adjustRightInd w:val="0"/>
        <w:snapToGrid w:val="0"/>
        <w:spacing w:line="360" w:lineRule="auto"/>
        <w:rPr>
          <w:rFonts w:hint="eastAsia" w:ascii="宋体" w:hAnsi="宋体"/>
          <w:b/>
          <w:bCs w:val="0"/>
          <w:color w:val="000000" w:themeColor="text1"/>
          <w:highlight w:val="none"/>
          <w:lang w:val="en-US" w:eastAsia="zh-CN"/>
        </w:rPr>
      </w:pPr>
    </w:p>
    <w:p>
      <w:pPr>
        <w:adjustRightInd w:val="0"/>
        <w:snapToGrid w:val="0"/>
        <w:spacing w:line="360" w:lineRule="auto"/>
        <w:rPr>
          <w:rFonts w:hint="default" w:ascii="宋体" w:hAnsi="宋体" w:eastAsia="宋体"/>
          <w:b/>
          <w:bCs w:val="0"/>
          <w:color w:val="000000" w:themeColor="text1"/>
          <w:highlight w:val="none"/>
          <w:lang w:val="en-US" w:eastAsia="zh-CN"/>
        </w:rPr>
      </w:pPr>
      <w:r>
        <w:rPr>
          <w:rFonts w:hint="eastAsia" w:ascii="宋体" w:hAnsi="宋体"/>
          <w:b/>
          <w:bCs w:val="0"/>
          <w:color w:val="000000" w:themeColor="text1"/>
          <w:highlight w:val="none"/>
          <w:lang w:val="en-US" w:eastAsia="zh-CN"/>
        </w:rPr>
        <w:t>投标人投标表示认可合同载明的全部事项，中标人应在中标（成交）通知书发出之日起10日内将签字盖章的合同文本提交采购人。</w:t>
      </w:r>
    </w:p>
    <w:p>
      <w:pPr>
        <w:adjustRightInd w:val="0"/>
        <w:snapToGrid w:val="0"/>
        <w:spacing w:line="360" w:lineRule="auto"/>
        <w:rPr>
          <w:rFonts w:hint="eastAsia"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hint="eastAsia"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hint="eastAsia"/>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spacing w:line="400" w:lineRule="exact"/>
        <w:rPr>
          <w:color w:val="000000" w:themeColor="text1"/>
          <w:highlight w:val="none"/>
        </w:rPr>
      </w:pPr>
      <w:bookmarkStart w:id="1954" w:name="_Toc16029"/>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rFonts w:hAnsi="黑体" w:cs="黑体"/>
          <w:color w:val="000000" w:themeColor="text1"/>
          <w:highlight w:val="none"/>
        </w:rPr>
      </w:pPr>
      <w:bookmarkStart w:id="1955" w:name="_Toc430771089"/>
      <w:bookmarkStart w:id="1956" w:name="_Toc432695229"/>
      <w:bookmarkStart w:id="1957" w:name="_Toc2172"/>
      <w:bookmarkStart w:id="1958" w:name="_Toc432682754"/>
      <w:bookmarkStart w:id="1959" w:name="_Toc365985211"/>
      <w:bookmarkStart w:id="1960" w:name="_Toc340672899"/>
      <w:bookmarkStart w:id="1961" w:name="_Toc331684072"/>
      <w:bookmarkStart w:id="1962" w:name="_Toc339019919"/>
      <w:bookmarkStart w:id="1963" w:name="_Toc345312627"/>
      <w:bookmarkStart w:id="1964" w:name="_Toc342312473"/>
      <w:bookmarkStart w:id="1965" w:name="_Toc337632388"/>
      <w:bookmarkStart w:id="1966" w:name="_Toc333237819"/>
      <w:bookmarkStart w:id="1967" w:name="_Toc333237708"/>
      <w:bookmarkStart w:id="1968" w:name="_Toc336681610"/>
      <w:bookmarkStart w:id="1969" w:name="_Toc350756480"/>
      <w:bookmarkStart w:id="1970" w:name="_Toc350438779"/>
      <w:bookmarkStart w:id="1971" w:name="_Toc340677100"/>
      <w:bookmarkStart w:id="1972" w:name="_Toc343247130"/>
      <w:bookmarkStart w:id="1973" w:name="_Toc339020125"/>
      <w:bookmarkStart w:id="1974" w:name="_Toc342398160"/>
      <w:bookmarkStart w:id="1975" w:name="_Toc339362330"/>
      <w:bookmarkStart w:id="1976" w:name="_Toc332206739"/>
      <w:bookmarkStart w:id="1977" w:name="_Toc336681965"/>
      <w:bookmarkStart w:id="1978" w:name="_Toc339441117"/>
      <w:bookmarkStart w:id="1979" w:name="_Toc339020045"/>
      <w:bookmarkStart w:id="1980" w:name="_Toc342060405"/>
      <w:bookmarkStart w:id="1981" w:name="_Toc333935717"/>
      <w:bookmarkStart w:id="1982" w:name="_Toc102451601"/>
      <w:bookmarkStart w:id="1983" w:name="_Toc331512931"/>
      <w:bookmarkStart w:id="1984" w:name="_Toc341348370"/>
      <w:bookmarkStart w:id="1985" w:name="_Toc343248448"/>
      <w:bookmarkStart w:id="1986" w:name="_Toc342296791"/>
      <w:bookmarkStart w:id="1987" w:name="_Toc365967105"/>
      <w:bookmarkStart w:id="1988" w:name="_Toc340507472"/>
      <w:bookmarkStart w:id="1989" w:name="_Toc333935376"/>
      <w:bookmarkStart w:id="1990" w:name="_Toc339020263"/>
      <w:bookmarkStart w:id="1991" w:name="_Toc366072562"/>
      <w:bookmarkStart w:id="1992" w:name="_Toc333238664"/>
      <w:bookmarkStart w:id="1993" w:name="_Toc343612950"/>
      <w:bookmarkStart w:id="1994" w:name="_Toc330460016"/>
      <w:bookmarkStart w:id="1995" w:name="_Toc332270377"/>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中小企业声明函</w:t>
      </w:r>
      <w:bookmarkEnd w:id="1955"/>
      <w:bookmarkEnd w:id="1956"/>
      <w:bookmarkEnd w:id="1957"/>
      <w:bookmarkEnd w:id="1958"/>
    </w:p>
    <w:p>
      <w:pPr>
        <w:adjustRightInd w:val="0"/>
        <w:snapToGrid w:val="0"/>
        <w:spacing w:line="440" w:lineRule="exact"/>
        <w:rPr>
          <w:rFonts w:hint="eastAsia" w:ascii="宋体" w:hAnsi="宋体"/>
          <w:bCs/>
          <w:color w:val="000000" w:themeColor="text1"/>
          <w:highlight w:val="none"/>
        </w:rPr>
      </w:pPr>
    </w:p>
    <w:p>
      <w:pPr>
        <w:adjustRightInd w:val="0"/>
        <w:snapToGrid w:val="0"/>
        <w:spacing w:line="440" w:lineRule="exact"/>
        <w:ind w:firstLine="420" w:firstLineChars="200"/>
        <w:rPr>
          <w:rFonts w:hint="eastAsia" w:ascii="宋体" w:hAnsi="宋体"/>
          <w:bCs/>
          <w:color w:val="000000" w:themeColor="text1"/>
          <w:highlight w:val="none"/>
          <w:lang w:eastAsia="zh-CN"/>
        </w:rPr>
      </w:pPr>
      <w:r>
        <w:rPr>
          <w:rFonts w:hint="eastAsia" w:ascii="宋体" w:hAnsi="宋体"/>
          <w:bCs/>
          <w:color w:val="000000" w:themeColor="text1"/>
          <w:highlight w:val="none"/>
        </w:rPr>
        <w:t>本公司郑重声明，根据《政府采购促进中小企业发展管理办法》（财库﹝2020﹞46 号）的规定，本公司</w:t>
      </w:r>
      <w:r>
        <w:rPr>
          <w:rFonts w:hint="eastAsia" w:ascii="宋体" w:hAnsi="宋体"/>
          <w:bCs/>
          <w:color w:val="000000" w:themeColor="text1"/>
          <w:highlight w:val="none"/>
          <w:lang w:eastAsia="zh-CN"/>
        </w:rPr>
        <w:t>参加</w:t>
      </w:r>
      <w:r>
        <w:rPr>
          <w:rFonts w:hint="eastAsia" w:ascii="宋体" w:hAnsi="宋体"/>
          <w:bCs/>
          <w:color w:val="000000" w:themeColor="text1"/>
          <w:highlight w:val="none"/>
          <w:u w:val="single"/>
          <w:lang w:eastAsia="zh-CN"/>
        </w:rPr>
        <w:t>（单位名称）</w:t>
      </w:r>
      <w:r>
        <w:rPr>
          <w:rFonts w:hint="eastAsia" w:ascii="宋体" w:hAnsi="宋体"/>
          <w:bCs/>
          <w:color w:val="000000" w:themeColor="text1"/>
          <w:highlight w:val="none"/>
          <w:lang w:eastAsia="zh-CN"/>
        </w:rPr>
        <w:t>的</w:t>
      </w:r>
      <w:r>
        <w:rPr>
          <w:rFonts w:hint="eastAsia" w:ascii="宋体" w:hAnsi="宋体"/>
          <w:bCs/>
          <w:color w:val="000000" w:themeColor="text1"/>
          <w:highlight w:val="none"/>
          <w:u w:val="single"/>
          <w:lang w:eastAsia="zh-CN"/>
        </w:rPr>
        <w:t>（项目名称）</w:t>
      </w:r>
      <w:r>
        <w:rPr>
          <w:rFonts w:hint="eastAsia" w:ascii="宋体" w:hAnsi="宋体"/>
          <w:bCs/>
          <w:color w:val="000000" w:themeColor="text1"/>
          <w:highlight w:val="none"/>
          <w:lang w:eastAsia="zh-CN"/>
        </w:rPr>
        <w:t>采购活动，服务全部由符合政策要求的中小企业承接。相关企业的具体情况如下：</w:t>
      </w:r>
    </w:p>
    <w:p>
      <w:pPr>
        <w:adjustRightInd w:val="0"/>
        <w:snapToGrid w:val="0"/>
        <w:spacing w:line="440" w:lineRule="exact"/>
        <w:ind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u w:val="single"/>
          <w:lang w:val="en-US" w:eastAsia="zh-CN"/>
        </w:rPr>
        <w:t>（标的名称）</w:t>
      </w:r>
      <w:r>
        <w:rPr>
          <w:rFonts w:hint="eastAsia" w:ascii="宋体" w:hAnsi="宋体"/>
          <w:bCs/>
          <w:color w:val="000000" w:themeColor="text1"/>
          <w:highlight w:val="none"/>
          <w:lang w:val="en-US" w:eastAsia="zh-CN"/>
        </w:rPr>
        <w:t>，属于</w:t>
      </w:r>
      <w:r>
        <w:rPr>
          <w:rFonts w:hint="eastAsia" w:ascii="宋体" w:hAnsi="宋体"/>
          <w:bCs/>
          <w:color w:val="000000" w:themeColor="text1"/>
          <w:highlight w:val="none"/>
          <w:u w:val="single"/>
          <w:lang w:val="en-US" w:eastAsia="zh-CN"/>
        </w:rPr>
        <w:t>（采购文件中明确的所属行业）</w:t>
      </w:r>
      <w:r>
        <w:rPr>
          <w:rFonts w:hint="eastAsia" w:ascii="宋体" w:hAnsi="宋体"/>
          <w:bCs/>
          <w:color w:val="000000" w:themeColor="text1"/>
          <w:highlight w:val="none"/>
          <w:lang w:val="en-US" w:eastAsia="zh-CN"/>
        </w:rPr>
        <w:t>；承接企业为</w:t>
      </w:r>
      <w:r>
        <w:rPr>
          <w:rFonts w:hint="eastAsia" w:ascii="宋体" w:hAnsi="宋体"/>
          <w:bCs/>
          <w:color w:val="000000" w:themeColor="text1"/>
          <w:highlight w:val="none"/>
          <w:u w:val="single"/>
          <w:lang w:val="en-US" w:eastAsia="zh-CN"/>
        </w:rPr>
        <w:t>（企业名称）</w:t>
      </w:r>
      <w:r>
        <w:rPr>
          <w:rFonts w:hint="eastAsia" w:ascii="宋体" w:hAnsi="宋体"/>
          <w:bCs/>
          <w:color w:val="000000" w:themeColor="text1"/>
          <w:highlight w:val="none"/>
          <w:lang w:val="en-US" w:eastAsia="zh-CN"/>
        </w:rPr>
        <w:t>，从业人员</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lang w:val="en-US" w:eastAsia="zh-CN"/>
        </w:rPr>
        <w:t>人，营业收入为</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lang w:val="en-US" w:eastAsia="zh-CN"/>
        </w:rPr>
        <w:t>万元，资产总额为</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lang w:val="en-US" w:eastAsia="zh-CN"/>
        </w:rPr>
        <w:t>万元，属于</w:t>
      </w:r>
      <w:r>
        <w:rPr>
          <w:rFonts w:hint="eastAsia" w:ascii="宋体" w:hAnsi="宋体"/>
          <w:bCs/>
          <w:color w:val="000000" w:themeColor="text1"/>
          <w:highlight w:val="none"/>
          <w:u w:val="single"/>
          <w:lang w:val="en-US" w:eastAsia="zh-CN"/>
        </w:rPr>
        <w:t>（中型企业、小型企业、微型企业）</w:t>
      </w:r>
      <w:r>
        <w:rPr>
          <w:rFonts w:hint="eastAsia" w:ascii="宋体" w:hAnsi="宋体"/>
          <w:bCs/>
          <w:color w:val="000000" w:themeColor="text1"/>
          <w:highlight w:val="none"/>
          <w:lang w:val="en-US" w:eastAsia="zh-CN"/>
        </w:rPr>
        <w:t>。</w:t>
      </w:r>
    </w:p>
    <w:p>
      <w:pPr>
        <w:adjustRightInd w:val="0"/>
        <w:snapToGrid w:val="0"/>
        <w:spacing w:line="440" w:lineRule="exact"/>
        <w:ind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本企业，不属于大企业的分支机构，不存在控股股东为大企业的情形，也不存在与大企业的负责人为同一人的情形。</w:t>
      </w:r>
    </w:p>
    <w:p>
      <w:pPr>
        <w:adjustRightInd w:val="0"/>
        <w:snapToGrid w:val="0"/>
        <w:spacing w:line="440" w:lineRule="exact"/>
        <w:ind w:firstLine="420" w:firstLineChars="200"/>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本企业对上述声明内容的真实性负责。如有虚假，将依法承担相应责任。</w:t>
      </w:r>
    </w:p>
    <w:p>
      <w:pPr>
        <w:adjustRightInd w:val="0"/>
        <w:snapToGrid w:val="0"/>
        <w:spacing w:line="440" w:lineRule="exact"/>
        <w:rPr>
          <w:rFonts w:hint="eastAsia" w:ascii="宋体" w:hAnsi="宋体"/>
          <w:bCs/>
          <w:color w:val="000000" w:themeColor="text1"/>
          <w:highlight w:val="none"/>
          <w:lang w:val="en-US" w:eastAsia="zh-CN"/>
        </w:rPr>
      </w:pPr>
      <w:r>
        <w:rPr>
          <w:rFonts w:hint="eastAsia" w:ascii="宋体" w:hAnsi="宋体"/>
          <w:bCs/>
          <w:color w:val="000000" w:themeColor="text1"/>
          <w:highlight w:val="none"/>
          <w:lang w:val="en-US" w:eastAsia="zh-CN"/>
        </w:rPr>
        <w:t xml:space="preserve"> </w:t>
      </w:r>
    </w:p>
    <w:p>
      <w:pPr>
        <w:adjustRightInd w:val="0"/>
        <w:snapToGrid w:val="0"/>
        <w:spacing w:line="440" w:lineRule="exact"/>
        <w:rPr>
          <w:rFonts w:hint="eastAsia" w:ascii="宋体" w:hAnsi="宋体"/>
          <w:bCs/>
          <w:color w:val="000000" w:themeColor="text1"/>
          <w:highlight w:val="none"/>
          <w:lang w:val="en-US" w:eastAsia="zh-CN"/>
        </w:rPr>
      </w:pPr>
    </w:p>
    <w:p>
      <w:pPr>
        <w:adjustRightInd w:val="0"/>
        <w:snapToGrid w:val="0"/>
        <w:spacing w:line="440" w:lineRule="exact"/>
        <w:rPr>
          <w:rFonts w:hint="eastAsia" w:ascii="宋体" w:hAnsi="宋体"/>
          <w:bCs/>
          <w:color w:val="000000" w:themeColor="text1"/>
          <w:highlight w:val="none"/>
        </w:rPr>
      </w:pP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lang w:eastAsia="zh-CN"/>
        </w:rPr>
        <w:t>企业</w:t>
      </w:r>
      <w:r>
        <w:rPr>
          <w:rFonts w:hint="eastAsia" w:ascii="宋体" w:hAnsi="宋体"/>
          <w:bCs/>
          <w:color w:val="000000" w:themeColor="text1"/>
          <w:highlight w:val="none"/>
        </w:rPr>
        <w:t>名称（</w:t>
      </w:r>
      <w:r>
        <w:rPr>
          <w:rFonts w:hint="eastAsia" w:ascii="宋体" w:hAnsi="宋体"/>
          <w:bCs/>
          <w:color w:val="000000" w:themeColor="text1"/>
          <w:highlight w:val="none"/>
          <w:lang w:eastAsia="zh-CN"/>
        </w:rPr>
        <w:t>盖章</w:t>
      </w:r>
      <w:r>
        <w:rPr>
          <w:rFonts w:hint="eastAsia" w:ascii="宋体" w:hAnsi="宋体"/>
          <w:bCs/>
          <w:color w:val="000000" w:themeColor="text1"/>
          <w:highlight w:val="none"/>
        </w:rPr>
        <w:t>）：</w:t>
      </w:r>
    </w:p>
    <w:p>
      <w:pPr>
        <w:adjustRightInd w:val="0"/>
        <w:snapToGrid w:val="0"/>
        <w:spacing w:line="440" w:lineRule="exact"/>
        <w:ind w:firstLine="6300" w:firstLineChars="3000"/>
        <w:rPr>
          <w:rFonts w:hint="eastAsia" w:ascii="宋体" w:hAnsi="宋体"/>
          <w:bCs/>
          <w:color w:val="000000" w:themeColor="text1"/>
          <w:highlight w:val="none"/>
        </w:rPr>
      </w:pPr>
      <w:r>
        <w:rPr>
          <w:rFonts w:hint="eastAsia" w:ascii="宋体" w:hAnsi="宋体"/>
          <w:bCs/>
          <w:color w:val="000000" w:themeColor="text1"/>
          <w:highlight w:val="none"/>
        </w:rPr>
        <w:t>日期：</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说明：从业人员</w:t>
      </w:r>
      <w:r>
        <w:rPr>
          <w:rFonts w:hint="eastAsia" w:ascii="宋体" w:hAnsi="宋体"/>
          <w:bCs/>
          <w:color w:val="000000" w:themeColor="text1"/>
          <w:highlight w:val="none"/>
          <w:lang w:eastAsia="zh-CN"/>
        </w:rPr>
        <w:t>、营业收入、资产总额填报上一年的数据，无上一年的数据的新成立企业可不填报。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Pr>
        <w:pStyle w:val="4"/>
        <w:numPr>
          <w:ilvl w:val="1"/>
          <w:numId w:val="0"/>
        </w:numPr>
        <w:tabs>
          <w:tab w:val="left" w:pos="851"/>
        </w:tabs>
        <w:spacing w:before="0" w:after="0" w:line="360" w:lineRule="auto"/>
        <w:rPr>
          <w:rFonts w:ascii="宋体" w:eastAsia="宋体"/>
          <w:color w:val="000000" w:themeColor="text1"/>
          <w:szCs w:val="21"/>
          <w:highlight w:val="none"/>
        </w:rPr>
      </w:pPr>
      <w:bookmarkStart w:id="1996" w:name="_Toc12109"/>
      <w:bookmarkStart w:id="1997" w:name="_Toc32373"/>
      <w:bookmarkStart w:id="1998"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96"/>
      <w:bookmarkEnd w:id="1997"/>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99" w:name="_Toc432695230"/>
      <w:bookmarkStart w:id="2000" w:name="_Toc32002"/>
      <w:bookmarkStart w:id="2001" w:name="_Toc9858"/>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99"/>
      <w:bookmarkEnd w:id="2000"/>
      <w:bookmarkEnd w:id="2001"/>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2002" w:name="_Toc326065622"/>
      <w:bookmarkStart w:id="2003" w:name="_Toc343248449"/>
      <w:bookmarkStart w:id="2004" w:name="_Toc350438780"/>
      <w:bookmarkStart w:id="2005" w:name="_Toc7961"/>
      <w:bookmarkStart w:id="2006" w:name="_Toc343247131"/>
      <w:bookmarkStart w:id="2007" w:name="_Toc339020126"/>
      <w:bookmarkStart w:id="2008" w:name="_Toc330460017"/>
      <w:bookmarkStart w:id="2009" w:name="_Toc343612951"/>
      <w:bookmarkStart w:id="2010" w:name="_Toc340672900"/>
      <w:bookmarkStart w:id="2011" w:name="_Toc333238665"/>
      <w:bookmarkStart w:id="2012" w:name="_Toc331512932"/>
      <w:bookmarkStart w:id="2013" w:name="_Toc339020046"/>
      <w:bookmarkStart w:id="2014" w:name="_Toc332206740"/>
      <w:bookmarkStart w:id="2015" w:name="_Toc342398161"/>
      <w:bookmarkStart w:id="2016" w:name="_Toc340677101"/>
      <w:bookmarkStart w:id="2017" w:name="_Toc339441118"/>
      <w:bookmarkStart w:id="2018" w:name="_Toc333237709"/>
      <w:bookmarkStart w:id="2019" w:name="_Toc432695231"/>
      <w:bookmarkStart w:id="2020" w:name="_Toc336681611"/>
      <w:bookmarkStart w:id="2021" w:name="_Toc336681966"/>
      <w:bookmarkStart w:id="2022" w:name="_Toc339362331"/>
      <w:bookmarkStart w:id="2023" w:name="_Toc341348371"/>
      <w:bookmarkStart w:id="2024" w:name="_Toc342312474"/>
      <w:bookmarkStart w:id="2025" w:name="_Toc332270378"/>
      <w:bookmarkStart w:id="2026" w:name="_Toc366072563"/>
      <w:bookmarkStart w:id="2027" w:name="_Toc337632389"/>
      <w:bookmarkStart w:id="2028" w:name="_Toc339020264"/>
      <w:bookmarkStart w:id="2029" w:name="_Toc340507473"/>
      <w:bookmarkStart w:id="2030" w:name="_Toc345312628"/>
      <w:bookmarkStart w:id="2031" w:name="_Toc333935377"/>
      <w:bookmarkStart w:id="2032" w:name="_Toc365985212"/>
      <w:bookmarkStart w:id="2033" w:name="_Toc342296792"/>
      <w:bookmarkStart w:id="2034" w:name="_Toc350756481"/>
      <w:bookmarkStart w:id="2035" w:name="_Toc333237820"/>
      <w:bookmarkStart w:id="2036" w:name="_Toc339019920"/>
      <w:bookmarkStart w:id="2037" w:name="_Toc342060406"/>
      <w:bookmarkStart w:id="2038" w:name="_Toc10463"/>
      <w:bookmarkStart w:id="2039" w:name="_Toc333935718"/>
      <w:bookmarkStart w:id="2040" w:name="_Toc331684073"/>
      <w:bookmarkStart w:id="2041" w:name="_Toc365967106"/>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2002"/>
      <w:r>
        <w:rPr>
          <w:rFonts w:hint="eastAsia"/>
          <w:color w:val="000000" w:themeColor="text1"/>
          <w:highlight w:val="none"/>
        </w:rPr>
        <w:t>投标人提交的其它商务和技术资料</w:t>
      </w:r>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rPr>
          <w:color w:val="000000" w:themeColor="text1"/>
          <w:sz w:val="52"/>
          <w:highlight w:val="none"/>
        </w:rPr>
      </w:pPr>
      <w:bookmarkStart w:id="2042" w:name="_Toc456887842"/>
      <w:bookmarkStart w:id="2043" w:name="_Toc456888293"/>
      <w:bookmarkStart w:id="2044" w:name="_Toc25122"/>
      <w:r>
        <w:rPr>
          <w:rFonts w:hint="eastAsia"/>
          <w:color w:val="000000" w:themeColor="text1"/>
          <w:sz w:val="52"/>
          <w:highlight w:val="none"/>
        </w:rPr>
        <w:t>其 他 格 式</w:t>
      </w:r>
      <w:bookmarkEnd w:id="1998"/>
      <w:bookmarkEnd w:id="2042"/>
      <w:bookmarkEnd w:id="2043"/>
      <w:bookmarkEnd w:id="2044"/>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6"/>
        <w:numPr>
          <w:ilvl w:val="2"/>
          <w:numId w:val="0"/>
        </w:numPr>
        <w:spacing w:afterLines="50"/>
        <w:jc w:val="center"/>
        <w:rPr>
          <w:rFonts w:ascii="宋体" w:hAnsi="宋体" w:eastAsia="宋体"/>
          <w:b/>
          <w:color w:val="000000" w:themeColor="text1"/>
          <w:sz w:val="28"/>
          <w:highlight w:val="none"/>
        </w:rPr>
      </w:pPr>
      <w:bookmarkStart w:id="2045" w:name="_Toc456887843"/>
      <w:bookmarkStart w:id="2046" w:name="_Toc456888294"/>
      <w:bookmarkStart w:id="2047" w:name="_Toc31821"/>
      <w:r>
        <w:rPr>
          <w:rFonts w:hint="eastAsia" w:ascii="宋体" w:hAnsi="宋体" w:eastAsia="宋体"/>
          <w:b/>
          <w:color w:val="000000" w:themeColor="text1"/>
          <w:sz w:val="28"/>
          <w:highlight w:val="none"/>
        </w:rPr>
        <w:t>投标保证金退付书</w:t>
      </w:r>
      <w:bookmarkEnd w:id="2045"/>
      <w:bookmarkEnd w:id="2046"/>
      <w:bookmarkEnd w:id="2047"/>
    </w:p>
    <w:p>
      <w:pPr>
        <w:pStyle w:val="5"/>
        <w:rPr>
          <w:color w:val="000000" w:themeColor="text1"/>
          <w:highlight w:val="none"/>
        </w:rPr>
      </w:pPr>
    </w:p>
    <w:p>
      <w:pPr>
        <w:spacing w:line="288" w:lineRule="auto"/>
        <w:rPr>
          <w:rFonts w:ascii="宋体" w:hAnsi="宋体"/>
          <w:b/>
          <w:color w:val="000000" w:themeColor="text1"/>
          <w:szCs w:val="21"/>
          <w:highlight w:val="none"/>
        </w:rPr>
      </w:pPr>
      <w:r>
        <w:rPr>
          <w:rFonts w:hint="eastAsia" w:ascii="宋体" w:hAnsi="宋体"/>
          <w:b/>
          <w:color w:val="000000" w:themeColor="text1"/>
          <w:szCs w:val="21"/>
          <w:highlight w:val="none"/>
        </w:rPr>
        <w:t>致：广东业信采购招标有限公司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项目名称</w:t>
            </w:r>
          </w:p>
        </w:tc>
        <w:tc>
          <w:tcPr>
            <w:tcW w:w="6095" w:type="dxa"/>
            <w:gridSpan w:val="3"/>
            <w:vAlign w:val="top"/>
          </w:tcPr>
          <w:p>
            <w:pPr>
              <w:ind w:right="206" w:rightChars="98"/>
              <w:rPr>
                <w:rStyle w:val="307"/>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项目编号</w:t>
            </w:r>
          </w:p>
        </w:tc>
        <w:tc>
          <w:tcPr>
            <w:tcW w:w="6095" w:type="dxa"/>
            <w:gridSpan w:val="3"/>
            <w:vAlign w:val="top"/>
          </w:tcPr>
          <w:p>
            <w:pPr>
              <w:ind w:right="206" w:rightChars="98"/>
              <w:rPr>
                <w:rStyle w:val="307"/>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收款单位</w:t>
            </w:r>
          </w:p>
        </w:tc>
        <w:tc>
          <w:tcPr>
            <w:tcW w:w="2836" w:type="dxa"/>
            <w:vAlign w:val="top"/>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收款单位名称</w:t>
            </w:r>
          </w:p>
        </w:tc>
        <w:tc>
          <w:tcPr>
            <w:tcW w:w="6095" w:type="dxa"/>
            <w:gridSpan w:val="3"/>
            <w:vAlign w:val="top"/>
          </w:tcPr>
          <w:p>
            <w:pPr>
              <w:ind w:right="206" w:rightChars="98"/>
              <w:jc w:val="center"/>
              <w:rPr>
                <w:rStyle w:val="307"/>
                <w:color w:val="000000" w:themeColor="text1"/>
                <w:spacing w:val="10"/>
                <w:sz w:val="21"/>
                <w:szCs w:val="21"/>
                <w:highlight w:val="none"/>
                <w:u w:val="single"/>
                <w:lang w:val="zh-CN"/>
              </w:rPr>
            </w:pPr>
            <w:r>
              <w:rPr>
                <w:rStyle w:val="307"/>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top"/>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收款单位地址</w:t>
            </w:r>
          </w:p>
        </w:tc>
        <w:tc>
          <w:tcPr>
            <w:tcW w:w="6095" w:type="dxa"/>
            <w:gridSpan w:val="3"/>
            <w:vAlign w:val="top"/>
          </w:tcPr>
          <w:p>
            <w:pPr>
              <w:ind w:right="206" w:rightChars="98"/>
              <w:jc w:val="center"/>
              <w:rPr>
                <w:rStyle w:val="307"/>
                <w:color w:val="000000" w:themeColor="text1"/>
                <w:spacing w:val="10"/>
                <w:sz w:val="21"/>
                <w:szCs w:val="21"/>
                <w:highlight w:val="none"/>
                <w:lang w:val="zh-CN"/>
              </w:rPr>
            </w:pPr>
            <w:r>
              <w:rPr>
                <w:rStyle w:val="307"/>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开户银行</w:t>
            </w:r>
            <w:r>
              <w:rPr>
                <w:rStyle w:val="307"/>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7"/>
                <w:color w:val="000000" w:themeColor="text1"/>
                <w:spacing w:val="10"/>
                <w:sz w:val="21"/>
                <w:szCs w:val="21"/>
                <w:highlight w:val="none"/>
                <w:lang w:val="zh-CN"/>
              </w:rPr>
            </w:pPr>
            <w:r>
              <w:rPr>
                <w:rStyle w:val="307"/>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银行账号</w:t>
            </w:r>
          </w:p>
        </w:tc>
        <w:tc>
          <w:tcPr>
            <w:tcW w:w="6095" w:type="dxa"/>
            <w:gridSpan w:val="3"/>
            <w:vAlign w:val="top"/>
          </w:tcPr>
          <w:p>
            <w:pPr>
              <w:ind w:right="206" w:rightChars="98"/>
              <w:jc w:val="center"/>
              <w:rPr>
                <w:rStyle w:val="307"/>
                <w:color w:val="000000" w:themeColor="text1"/>
                <w:spacing w:val="10"/>
                <w:sz w:val="21"/>
                <w:szCs w:val="21"/>
                <w:highlight w:val="none"/>
                <w:u w:val="single"/>
                <w:lang w:val="zh-CN"/>
              </w:rPr>
            </w:pPr>
            <w:r>
              <w:rPr>
                <w:rStyle w:val="307"/>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7"/>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Merge w:val="restart"/>
            <w:vAlign w:val="center"/>
          </w:tcPr>
          <w:p>
            <w:pPr>
              <w:ind w:right="206" w:rightChars="98"/>
              <w:jc w:val="center"/>
              <w:rPr>
                <w:rStyle w:val="307"/>
                <w:b/>
                <w:color w:val="000000" w:themeColor="text1"/>
                <w:spacing w:val="10"/>
                <w:sz w:val="21"/>
                <w:szCs w:val="21"/>
                <w:highlight w:val="none"/>
                <w:lang w:val="zh-CN"/>
              </w:rPr>
            </w:pPr>
            <w:r>
              <w:rPr>
                <w:rStyle w:val="307"/>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7"/>
                <w:color w:val="000000" w:themeColor="text1"/>
                <w:spacing w:val="10"/>
                <w:sz w:val="21"/>
                <w:szCs w:val="21"/>
                <w:highlight w:val="none"/>
                <w:lang w:val="zh-CN"/>
              </w:rPr>
            </w:pPr>
          </w:p>
        </w:tc>
        <w:tc>
          <w:tcPr>
            <w:tcW w:w="1481" w:type="dxa"/>
            <w:vAlign w:val="center"/>
          </w:tcPr>
          <w:p>
            <w:pPr>
              <w:ind w:right="206" w:rightChars="98"/>
              <w:jc w:val="center"/>
              <w:rPr>
                <w:rStyle w:val="307"/>
                <w:color w:val="000000" w:themeColor="text1"/>
                <w:spacing w:val="10"/>
                <w:sz w:val="21"/>
                <w:szCs w:val="21"/>
                <w:highlight w:val="none"/>
                <w:lang w:val="zh-CN"/>
              </w:rPr>
            </w:pPr>
            <w:r>
              <w:rPr>
                <w:rStyle w:val="307"/>
                <w:color w:val="000000" w:themeColor="text1"/>
                <w:spacing w:val="10"/>
                <w:sz w:val="21"/>
                <w:szCs w:val="21"/>
                <w:highlight w:val="none"/>
                <w:lang w:val="zh-CN"/>
              </w:rPr>
              <w:t>联系电话</w:t>
            </w:r>
          </w:p>
        </w:tc>
        <w:tc>
          <w:tcPr>
            <w:tcW w:w="3116" w:type="dxa"/>
            <w:vAlign w:val="center"/>
          </w:tcPr>
          <w:p>
            <w:pPr>
              <w:ind w:right="206" w:rightChars="98"/>
              <w:rPr>
                <w:rStyle w:val="307"/>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vAlign w:val="top"/>
          </w:tcPr>
          <w:p>
            <w:pPr>
              <w:ind w:right="206" w:rightChars="98"/>
              <w:rPr>
                <w:rStyle w:val="307"/>
                <w:color w:val="000000" w:themeColor="text1"/>
                <w:spacing w:val="10"/>
                <w:sz w:val="21"/>
                <w:szCs w:val="21"/>
                <w:highlight w:val="none"/>
                <w:lang w:val="zh-CN"/>
              </w:rPr>
            </w:pPr>
          </w:p>
        </w:tc>
        <w:tc>
          <w:tcPr>
            <w:tcW w:w="2836" w:type="dxa"/>
            <w:vMerge w:val="continue"/>
            <w:vAlign w:val="top"/>
          </w:tcPr>
          <w:p>
            <w:pPr>
              <w:ind w:right="206" w:rightChars="98"/>
              <w:jc w:val="center"/>
              <w:rPr>
                <w:rStyle w:val="307"/>
                <w:b/>
                <w:color w:val="000000" w:themeColor="text1"/>
                <w:spacing w:val="10"/>
                <w:sz w:val="21"/>
                <w:szCs w:val="21"/>
                <w:highlight w:val="none"/>
                <w:lang w:val="zh-CN"/>
              </w:rPr>
            </w:pPr>
          </w:p>
        </w:tc>
        <w:tc>
          <w:tcPr>
            <w:tcW w:w="1498" w:type="dxa"/>
            <w:vMerge w:val="continue"/>
            <w:vAlign w:val="center"/>
          </w:tcPr>
          <w:p>
            <w:pPr>
              <w:ind w:right="206" w:rightChars="98"/>
              <w:rPr>
                <w:rStyle w:val="307"/>
                <w:color w:val="000000" w:themeColor="text1"/>
                <w:spacing w:val="10"/>
                <w:sz w:val="21"/>
                <w:szCs w:val="21"/>
                <w:highlight w:val="none"/>
                <w:lang w:val="zh-CN"/>
              </w:rPr>
            </w:pPr>
          </w:p>
        </w:tc>
        <w:tc>
          <w:tcPr>
            <w:tcW w:w="1481" w:type="dxa"/>
            <w:vAlign w:val="center"/>
          </w:tcPr>
          <w:p>
            <w:pPr>
              <w:ind w:right="206" w:rightChars="98"/>
              <w:jc w:val="center"/>
              <w:rPr>
                <w:rStyle w:val="307"/>
                <w:color w:val="000000" w:themeColor="text1"/>
                <w:spacing w:val="10"/>
                <w:sz w:val="21"/>
                <w:szCs w:val="21"/>
                <w:highlight w:val="none"/>
                <w:lang w:val="zh-CN"/>
              </w:rPr>
            </w:pPr>
            <w:r>
              <w:rPr>
                <w:rStyle w:val="307"/>
                <w:color w:val="000000" w:themeColor="text1"/>
                <w:spacing w:val="10"/>
                <w:sz w:val="21"/>
                <w:szCs w:val="21"/>
                <w:highlight w:val="none"/>
                <w:lang w:val="zh-CN"/>
              </w:rPr>
              <w:t>传真</w:t>
            </w:r>
          </w:p>
        </w:tc>
        <w:tc>
          <w:tcPr>
            <w:tcW w:w="3116" w:type="dxa"/>
            <w:vAlign w:val="center"/>
          </w:tcPr>
          <w:p>
            <w:pPr>
              <w:ind w:right="206" w:rightChars="98"/>
              <w:rPr>
                <w:rStyle w:val="307"/>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 w:val="44"/>
          <w:szCs w:val="44"/>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vAlign w:val="top"/>
          </w:tcPr>
          <w:p>
            <w:pPr>
              <w:rPr>
                <w:rFonts w:hint="eastAsia"/>
                <w:color w:val="000000" w:themeColor="text1"/>
                <w:sz w:val="28"/>
                <w:szCs w:val="28"/>
                <w:highlight w:val="none"/>
              </w:rPr>
            </w:pPr>
          </w:p>
        </w:tc>
        <w:tc>
          <w:tcPr>
            <w:tcW w:w="1940"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ì.">
    <w:altName w:val="宋体"/>
    <w:panose1 w:val="00000000000000000000"/>
    <w:charset w:val="86"/>
    <w:family w:val="auto"/>
    <w:pitch w:val="default"/>
    <w:sig w:usb0="00000000" w:usb1="00000000" w:usb2="00000000" w:usb3="00000000" w:csb0="00040001" w:csb1="00000000"/>
  </w:font>
  <w:font w:name="Arial Narrow">
    <w:altName w:val="Arial"/>
    <w:panose1 w:val="020B0606020202030204"/>
    <w:charset w:val="00"/>
    <w:family w:val="auto"/>
    <w:pitch w:val="default"/>
    <w:sig w:usb0="00000000"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OMBFXO+Univers-Light">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Futura-Heavy">
    <w:altName w:val="Courier New"/>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separate"/>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20"/>
      <w:lvlText w:val="%1. "/>
      <w:lvlJc w:val="left"/>
      <w:pPr>
        <w:tabs>
          <w:tab w:val="left" w:pos="981"/>
        </w:tabs>
        <w:ind w:left="981" w:hanging="419"/>
      </w:pPr>
    </w:lvl>
    <w:lvl w:ilvl="1" w:tentative="0">
      <w:start w:val="1"/>
      <w:numFmt w:val="upperLetter"/>
      <w:pStyle w:val="209"/>
      <w:lvlText w:val="%2. "/>
      <w:lvlJc w:val="left"/>
      <w:pPr>
        <w:tabs>
          <w:tab w:val="left" w:pos="1191"/>
        </w:tabs>
        <w:ind w:left="1191" w:hanging="420"/>
      </w:pPr>
    </w:lvl>
    <w:lvl w:ilvl="2" w:tentative="0">
      <w:start w:val="1"/>
      <w:numFmt w:val="lowerLetter"/>
      <w:pStyle w:val="218"/>
      <w:lvlText w:val="%3. "/>
      <w:lvlJc w:val="left"/>
      <w:pPr>
        <w:tabs>
          <w:tab w:val="left" w:pos="1401"/>
        </w:tabs>
        <w:ind w:left="1401" w:hanging="420"/>
      </w:pPr>
    </w:lvl>
    <w:lvl w:ilvl="3" w:tentative="0">
      <w:start w:val="1"/>
      <w:numFmt w:val="lowerLetter"/>
      <w:pStyle w:val="7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1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8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19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13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18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17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pStyle w:val="200"/>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217"/>
      <w:suff w:val="space"/>
      <w:lvlText w:val="%1.%2.%3.%4"/>
      <w:lvlJc w:val="left"/>
      <w:pPr>
        <w:tabs>
          <w:tab w:val="left" w:pos="1984"/>
        </w:tabs>
        <w:ind w:left="0" w:firstLine="0"/>
      </w:pPr>
    </w:lvl>
    <w:lvl w:ilvl="4" w:tentative="0">
      <w:start w:val="1"/>
      <w:numFmt w:val="decimal"/>
      <w:pStyle w:val="213"/>
      <w:suff w:val="space"/>
      <w:lvlText w:val="%1.%2.%3.%4.%5"/>
      <w:lvlJc w:val="left"/>
      <w:pPr>
        <w:tabs>
          <w:tab w:val="left" w:pos="2551"/>
        </w:tabs>
        <w:ind w:left="0" w:firstLine="0"/>
      </w:pPr>
    </w:lvl>
    <w:lvl w:ilvl="5" w:tentative="0">
      <w:start w:val="1"/>
      <w:numFmt w:val="decimal"/>
      <w:pStyle w:val="11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20"/>
      <w:lvlText w:val="%1)"/>
      <w:lvlJc w:val="left"/>
      <w:pPr>
        <w:tabs>
          <w:tab w:val="left" w:pos="420"/>
        </w:tabs>
        <w:ind w:left="420" w:hanging="420"/>
      </w:pPr>
    </w:lvl>
    <w:lvl w:ilvl="1" w:tentative="0">
      <w:start w:val="1"/>
      <w:numFmt w:val="lowerLetter"/>
      <w:pStyle w:val="62"/>
      <w:lvlText w:val="%2)"/>
      <w:lvlJc w:val="left"/>
      <w:pPr>
        <w:tabs>
          <w:tab w:val="left" w:pos="840"/>
        </w:tabs>
        <w:ind w:left="840" w:hanging="420"/>
      </w:pPr>
    </w:lvl>
    <w:lvl w:ilvl="2" w:tentative="0">
      <w:start w:val="1"/>
      <w:numFmt w:val="lowerRoman"/>
      <w:pStyle w:val="61"/>
      <w:lvlText w:val="%3."/>
      <w:lvlJc w:val="right"/>
      <w:pPr>
        <w:tabs>
          <w:tab w:val="left" w:pos="1260"/>
        </w:tabs>
        <w:ind w:left="1260" w:hanging="420"/>
      </w:pPr>
    </w:lvl>
    <w:lvl w:ilvl="3" w:tentative="0">
      <w:start w:val="1"/>
      <w:numFmt w:val="decimal"/>
      <w:pStyle w:val="10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18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5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1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17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15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63"/>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8"/>
  </w:num>
  <w:num w:numId="6">
    <w:abstractNumId w:val="13"/>
  </w:num>
  <w:num w:numId="7">
    <w:abstractNumId w:val="27"/>
  </w:num>
  <w:num w:numId="8">
    <w:abstractNumId w:val="1"/>
  </w:num>
  <w:num w:numId="9">
    <w:abstractNumId w:val="5"/>
  </w:num>
  <w:num w:numId="10">
    <w:abstractNumId w:val="23"/>
  </w:num>
  <w:num w:numId="11">
    <w:abstractNumId w:val="11"/>
  </w:num>
  <w:num w:numId="12">
    <w:abstractNumId w:val="7"/>
  </w:num>
  <w:num w:numId="13">
    <w:abstractNumId w:val="25"/>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0"/>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mE2Zjc5NzZhNWNmMDhhN2NiYjQ5NjNiNzUyYWQ2ZTQifQ=="/>
  </w:docVars>
  <w:rsids>
    <w:rsidRoot w:val="00000000"/>
    <w:rsid w:val="035E2B6B"/>
    <w:rsid w:val="0BA15CEB"/>
    <w:rsid w:val="0C9A272B"/>
    <w:rsid w:val="15747FCD"/>
    <w:rsid w:val="1B666609"/>
    <w:rsid w:val="1CB9075F"/>
    <w:rsid w:val="21D249F9"/>
    <w:rsid w:val="27A110F5"/>
    <w:rsid w:val="30D047F9"/>
    <w:rsid w:val="34A90C26"/>
    <w:rsid w:val="34AD2F86"/>
    <w:rsid w:val="35814899"/>
    <w:rsid w:val="361C75D1"/>
    <w:rsid w:val="36853EF4"/>
    <w:rsid w:val="38D770B1"/>
    <w:rsid w:val="3A59463F"/>
    <w:rsid w:val="3AF7551B"/>
    <w:rsid w:val="3E014244"/>
    <w:rsid w:val="40A7345C"/>
    <w:rsid w:val="411B561D"/>
    <w:rsid w:val="42F93608"/>
    <w:rsid w:val="45C344D5"/>
    <w:rsid w:val="46031658"/>
    <w:rsid w:val="4AC73519"/>
    <w:rsid w:val="4F950C90"/>
    <w:rsid w:val="524254AC"/>
    <w:rsid w:val="53542C10"/>
    <w:rsid w:val="55C23E61"/>
    <w:rsid w:val="5B177049"/>
    <w:rsid w:val="5C232887"/>
    <w:rsid w:val="60047A60"/>
    <w:rsid w:val="6047060B"/>
    <w:rsid w:val="60B67442"/>
    <w:rsid w:val="618B5A4F"/>
    <w:rsid w:val="61CB0541"/>
    <w:rsid w:val="64D12CB1"/>
    <w:rsid w:val="6A1A44A6"/>
    <w:rsid w:val="6B8D6035"/>
    <w:rsid w:val="6DB60126"/>
    <w:rsid w:val="6F7044D6"/>
    <w:rsid w:val="726F5390"/>
    <w:rsid w:val="74C04A73"/>
    <w:rsid w:val="75751EF9"/>
    <w:rsid w:val="7DC85B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6"/>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272"/>
    <w:qFormat/>
    <w:uiPriority w:val="0"/>
    <w:pPr>
      <w:keepNext/>
      <w:keepLines/>
      <w:widowControl/>
      <w:numPr>
        <w:ilvl w:val="1"/>
        <w:numId w:val="1"/>
      </w:numPr>
      <w:tabs>
        <w:tab w:val="left" w:pos="1440"/>
      </w:tabs>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287"/>
    <w:qFormat/>
    <w:uiPriority w:val="0"/>
    <w:pPr>
      <w:keepNext/>
      <w:keepLines/>
      <w:widowControl/>
      <w:numPr>
        <w:ilvl w:val="2"/>
        <w:numId w:val="1"/>
      </w:numPr>
      <w:tabs>
        <w:tab w:val="left" w:pos="753"/>
        <w:tab w:val="left" w:pos="1440"/>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26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276"/>
    <w:qFormat/>
    <w:uiPriority w:val="0"/>
    <w:pPr>
      <w:keepNext/>
      <w:keepLines/>
      <w:spacing w:before="280" w:after="290" w:line="376" w:lineRule="auto"/>
      <w:outlineLvl w:val="4"/>
    </w:pPr>
    <w:rPr>
      <w:b/>
      <w:sz w:val="28"/>
      <w:szCs w:val="20"/>
    </w:rPr>
  </w:style>
  <w:style w:type="paragraph" w:styleId="9">
    <w:name w:val="heading 6"/>
    <w:basedOn w:val="1"/>
    <w:next w:val="5"/>
    <w:link w:val="26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280"/>
    <w:qFormat/>
    <w:uiPriority w:val="0"/>
    <w:pPr>
      <w:keepNext/>
      <w:keepLines/>
      <w:spacing w:before="240" w:after="64" w:line="320" w:lineRule="auto"/>
      <w:outlineLvl w:val="6"/>
    </w:pPr>
    <w:rPr>
      <w:b/>
      <w:sz w:val="24"/>
      <w:szCs w:val="20"/>
    </w:rPr>
  </w:style>
  <w:style w:type="paragraph" w:styleId="11">
    <w:name w:val="heading 8"/>
    <w:basedOn w:val="1"/>
    <w:next w:val="5"/>
    <w:link w:val="26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261"/>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8"/>
    <w:qFormat/>
    <w:uiPriority w:val="0"/>
    <w:pPr>
      <w:spacing w:after="120"/>
    </w:pPr>
  </w:style>
  <w:style w:type="paragraph" w:styleId="5">
    <w:name w:val="Normal Indent"/>
    <w:basedOn w:val="1"/>
    <w:link w:val="28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297"/>
    <w:qFormat/>
    <w:uiPriority w:val="0"/>
    <w:pPr>
      <w:spacing w:line="360" w:lineRule="auto"/>
      <w:jc w:val="left"/>
    </w:pPr>
    <w:rPr>
      <w:sz w:val="24"/>
    </w:rPr>
  </w:style>
  <w:style w:type="paragraph" w:styleId="18">
    <w:name w:val="Body Text Indent"/>
    <w:basedOn w:val="1"/>
    <w:link w:val="289"/>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295"/>
    <w:qFormat/>
    <w:uiPriority w:val="0"/>
    <w:pPr>
      <w:numPr>
        <w:ilvl w:val="0"/>
        <w:numId w:val="3"/>
      </w:numPr>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246"/>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237"/>
    <w:qFormat/>
    <w:uiPriority w:val="0"/>
    <w:pPr>
      <w:numPr>
        <w:ilvl w:val="0"/>
        <w:numId w:val="4"/>
      </w:numPr>
      <w:ind w:left="100" w:leftChars="2500"/>
    </w:pPr>
  </w:style>
  <w:style w:type="paragraph" w:styleId="26">
    <w:name w:val="Body Text Indent 2"/>
    <w:basedOn w:val="1"/>
    <w:link w:val="243"/>
    <w:qFormat/>
    <w:uiPriority w:val="0"/>
    <w:pPr>
      <w:spacing w:line="480" w:lineRule="exact"/>
      <w:ind w:left="810" w:firstLine="675"/>
    </w:pPr>
    <w:rPr>
      <w:rFonts w:eastAsia="仿宋_GB2312"/>
      <w:sz w:val="30"/>
      <w:szCs w:val="20"/>
    </w:rPr>
  </w:style>
  <w:style w:type="paragraph" w:styleId="27">
    <w:name w:val="Balloon Text"/>
    <w:basedOn w:val="1"/>
    <w:link w:val="257"/>
    <w:qFormat/>
    <w:uiPriority w:val="0"/>
    <w:rPr>
      <w:sz w:val="18"/>
      <w:szCs w:val="18"/>
    </w:rPr>
  </w:style>
  <w:style w:type="paragraph" w:styleId="28">
    <w:name w:val="footer"/>
    <w:basedOn w:val="1"/>
    <w:link w:val="298"/>
    <w:qFormat/>
    <w:uiPriority w:val="0"/>
    <w:pPr>
      <w:tabs>
        <w:tab w:val="center" w:pos="4153"/>
        <w:tab w:val="right" w:pos="8306"/>
      </w:tabs>
      <w:snapToGrid w:val="0"/>
      <w:jc w:val="left"/>
    </w:pPr>
    <w:rPr>
      <w:sz w:val="18"/>
      <w:szCs w:val="20"/>
    </w:rPr>
  </w:style>
  <w:style w:type="paragraph" w:styleId="29">
    <w:name w:val="header"/>
    <w:basedOn w:val="1"/>
    <w:link w:val="290"/>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244"/>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271"/>
    <w:qFormat/>
    <w:uiPriority w:val="0"/>
    <w:pPr>
      <w:spacing w:line="360" w:lineRule="auto"/>
    </w:pPr>
    <w:rPr>
      <w:rFonts w:ascii="仿宋_GB2312" w:eastAsia="仿宋_GB2312"/>
      <w:sz w:val="32"/>
    </w:rPr>
  </w:style>
  <w:style w:type="paragraph" w:styleId="40">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291"/>
    <w:qFormat/>
    <w:uiPriority w:val="0"/>
    <w:pPr>
      <w:spacing w:before="240" w:after="60"/>
      <w:jc w:val="center"/>
      <w:outlineLvl w:val="0"/>
    </w:pPr>
    <w:rPr>
      <w:rFonts w:ascii="Cambria" w:hAnsi="Cambria"/>
      <w:b/>
      <w:bCs/>
      <w:sz w:val="32"/>
      <w:szCs w:val="32"/>
    </w:rPr>
  </w:style>
  <w:style w:type="paragraph" w:styleId="44">
    <w:name w:val="Body Text First Indent"/>
    <w:basedOn w:val="2"/>
    <w:link w:val="299"/>
    <w:qFormat/>
    <w:uiPriority w:val="0"/>
    <w:pPr>
      <w:ind w:firstLine="100" w:firstLineChars="100"/>
    </w:pPr>
    <w:rPr>
      <w:rFonts w:ascii="Calibri" w:hAnsi="Calibri"/>
      <w:szCs w:val="22"/>
    </w:rPr>
  </w:style>
  <w:style w:type="paragraph" w:styleId="45">
    <w:name w:val="Body Text First Indent 2"/>
    <w:basedOn w:val="18"/>
    <w:link w:val="234"/>
    <w:qFormat/>
    <w:uiPriority w:val="0"/>
    <w:pPr>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表格文字"/>
    <w:basedOn w:val="1"/>
    <w:qFormat/>
    <w:uiPriority w:val="0"/>
    <w:pPr>
      <w:numPr>
        <w:ilvl w:val="0"/>
        <w:numId w:val="5"/>
      </w:numPr>
      <w:ind w:left="0" w:firstLine="0"/>
      <w:jc w:val="left"/>
    </w:pPr>
    <w:rPr>
      <w:rFonts w:ascii="Arial" w:hAnsi="Arial" w:eastAsia="仿宋_GB2312" w:cs="Arial"/>
      <w:sz w:val="18"/>
      <w:szCs w:val="18"/>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5">
    <w:name w:val="文档正文"/>
    <w:link w:val="23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paragraph" w:customStyle="1" w:styleId="56">
    <w:name w:val="样式 样式 宋体 小四 行距: 1.5 倍行距 + ˎ̥ 黑色"/>
    <w:basedOn w:val="45"/>
    <w:link w:val="241"/>
    <w:qFormat/>
    <w:uiPriority w:val="0"/>
  </w:style>
  <w:style w:type="paragraph" w:customStyle="1" w:styleId="57">
    <w:name w:val="正文（缩进）"/>
    <w:basedOn w:val="1"/>
    <w:link w:val="256"/>
    <w:qFormat/>
    <w:uiPriority w:val="0"/>
    <w:pPr>
      <w:spacing w:beforeLines="50" w:afterLines="50" w:line="360" w:lineRule="auto"/>
      <w:ind w:firstLine="480" w:firstLineChars="200"/>
    </w:pPr>
    <w:rPr>
      <w:sz w:val="24"/>
    </w:rPr>
  </w:style>
  <w:style w:type="paragraph" w:customStyle="1" w:styleId="58">
    <w:name w:val="类目1"/>
    <w:basedOn w:val="1"/>
    <w:link w:val="270"/>
    <w:qFormat/>
    <w:uiPriority w:val="0"/>
    <w:pPr>
      <w:adjustRightInd w:val="0"/>
      <w:snapToGrid w:val="0"/>
      <w:spacing w:line="220" w:lineRule="atLeast"/>
    </w:pPr>
    <w:rPr>
      <w:b/>
      <w:color w:val="17365D"/>
      <w:sz w:val="28"/>
      <w:szCs w:val="28"/>
    </w:rPr>
  </w:style>
  <w:style w:type="paragraph" w:customStyle="1" w:styleId="59">
    <w:name w:val="Normal Indent1"/>
    <w:basedOn w:val="1"/>
    <w:link w:val="278"/>
    <w:qFormat/>
    <w:uiPriority w:val="0"/>
    <w:pPr>
      <w:autoSpaceDE w:val="0"/>
      <w:autoSpaceDN w:val="0"/>
      <w:adjustRightInd w:val="0"/>
      <w:ind w:firstLine="420"/>
      <w:jc w:val="left"/>
      <w:textAlignment w:val="baseline"/>
    </w:pPr>
    <w:rPr>
      <w:rFonts w:ascii="宋体"/>
      <w:kern w:val="0"/>
      <w:sz w:val="34"/>
      <w:szCs w:val="20"/>
    </w:rPr>
  </w:style>
  <w:style w:type="paragraph" w:customStyle="1" w:styleId="60">
    <w:name w:val="样式5"/>
    <w:basedOn w:val="1"/>
    <w:link w:val="283"/>
    <w:qFormat/>
    <w:uiPriority w:val="0"/>
    <w:pPr>
      <w:spacing w:line="400" w:lineRule="exact"/>
      <w:ind w:left="482"/>
    </w:pPr>
    <w:rPr>
      <w:rFonts w:ascii="宋体" w:hAnsi="宋体" w:cs="Arial"/>
      <w:b/>
      <w:sz w:val="24"/>
    </w:rPr>
  </w:style>
  <w:style w:type="paragraph" w:customStyle="1" w:styleId="61">
    <w:name w:val="书籍标题3"/>
    <w:basedOn w:val="62"/>
    <w:link w:val="288"/>
    <w:qFormat/>
    <w:uiPriority w:val="0"/>
    <w:pPr>
      <w:numPr>
        <w:ilvl w:val="2"/>
        <w:numId w:val="6"/>
      </w:numPr>
      <w:tabs>
        <w:tab w:val="left" w:pos="420"/>
        <w:tab w:val="left" w:pos="840"/>
      </w:tabs>
      <w:outlineLvl w:val="2"/>
    </w:pPr>
    <w:rPr>
      <w:rFonts w:cs="Times New Roman"/>
      <w:sz w:val="28"/>
      <w:szCs w:val="28"/>
    </w:rPr>
  </w:style>
  <w:style w:type="paragraph" w:customStyle="1" w:styleId="62">
    <w:name w:val="书籍标题2"/>
    <w:basedOn w:val="1"/>
    <w:qFormat/>
    <w:uiPriority w:val="0"/>
    <w:pPr>
      <w:numPr>
        <w:ilvl w:val="1"/>
        <w:numId w:val="6"/>
      </w:numPr>
      <w:tabs>
        <w:tab w:val="left" w:pos="420"/>
      </w:tabs>
      <w:spacing w:beforeLines="100" w:afterLines="100"/>
      <w:jc w:val="left"/>
      <w:outlineLvl w:val="1"/>
    </w:pPr>
    <w:rPr>
      <w:rFonts w:cs="宋体"/>
      <w:b/>
      <w:bCs/>
      <w:spacing w:val="20"/>
      <w:sz w:val="32"/>
      <w:szCs w:val="20"/>
    </w:rPr>
  </w:style>
  <w:style w:type="paragraph" w:customStyle="1" w:styleId="63">
    <w:name w:val="细目1"/>
    <w:basedOn w:val="1"/>
    <w:link w:val="303"/>
    <w:qFormat/>
    <w:uiPriority w:val="0"/>
    <w:pPr>
      <w:numPr>
        <w:ilvl w:val="0"/>
        <w:numId w:val="7"/>
      </w:numPr>
      <w:tabs>
        <w:tab w:val="left" w:pos="1200"/>
        <w:tab w:val="clear" w:pos="1260"/>
      </w:tabs>
      <w:adjustRightInd w:val="0"/>
      <w:snapToGrid w:val="0"/>
      <w:spacing w:line="220" w:lineRule="atLeast"/>
    </w:pPr>
    <w:rPr>
      <w:b/>
      <w:color w:val="215868"/>
      <w:sz w:val="24"/>
    </w:rPr>
  </w:style>
  <w:style w:type="paragraph" w:customStyle="1" w:styleId="6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6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6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7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71">
    <w:name w:val="TOC 标题1"/>
    <w:basedOn w:val="3"/>
    <w:next w:val="1"/>
    <w:qFormat/>
    <w:uiPriority w:val="0"/>
    <w:pPr>
      <w:widowControl/>
      <w:numPr>
        <w:ilvl w:val="0"/>
        <w:numId w:val="0"/>
      </w:numPr>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72">
    <w:name w:val="默认段落字体 Para Char Char Char Char Char Char Char Char Char Char"/>
    <w:basedOn w:val="1"/>
    <w:qFormat/>
    <w:uiPriority w:val="0"/>
    <w:rPr>
      <w:rFonts w:ascii="Tahoma" w:hAnsi="Tahoma"/>
      <w:sz w:val="24"/>
      <w:szCs w:val="20"/>
    </w:rPr>
  </w:style>
  <w:style w:type="paragraph" w:customStyle="1" w:styleId="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5">
    <w:name w:val="字元 字元"/>
    <w:basedOn w:val="1"/>
    <w:qFormat/>
    <w:uiPriority w:val="0"/>
    <w:pPr>
      <w:spacing w:line="360" w:lineRule="auto"/>
      <w:ind w:firstLine="200" w:firstLineChars="200"/>
    </w:pPr>
    <w:rPr>
      <w:rFonts w:ascii="宋体" w:hAnsi="宋体" w:cs="宋体"/>
      <w:sz w:val="24"/>
    </w:rPr>
  </w:style>
  <w:style w:type="paragraph" w:customStyle="1" w:styleId="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7">
    <w:name w:val="正文序号 4"/>
    <w:basedOn w:val="1"/>
    <w:qFormat/>
    <w:uiPriority w:val="0"/>
    <w:pPr>
      <w:numPr>
        <w:ilvl w:val="3"/>
        <w:numId w:val="8"/>
      </w:numPr>
      <w:tabs>
        <w:tab w:val="left" w:pos="981"/>
        <w:tab w:val="left" w:pos="1469"/>
      </w:tabs>
      <w:spacing w:before="60"/>
    </w:pPr>
  </w:style>
  <w:style w:type="paragraph" w:customStyle="1" w:styleId="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0">
    <w:name w:val="Char3"/>
    <w:basedOn w:val="1"/>
    <w:qFormat/>
    <w:uiPriority w:val="0"/>
  </w:style>
  <w:style w:type="paragraph" w:customStyle="1" w:styleId="8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8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Char28"/>
    <w:basedOn w:val="1"/>
    <w:qFormat/>
    <w:uiPriority w:val="0"/>
    <w:pPr>
      <w:adjustRightInd w:val="0"/>
      <w:spacing w:line="360" w:lineRule="auto"/>
    </w:pPr>
  </w:style>
  <w:style w:type="paragraph" w:customStyle="1" w:styleId="84">
    <w:name w:val="pa-14"/>
    <w:basedOn w:val="1"/>
    <w:qFormat/>
    <w:uiPriority w:val="0"/>
    <w:pPr>
      <w:widowControl/>
      <w:spacing w:before="150" w:after="150"/>
      <w:jc w:val="left"/>
    </w:pPr>
    <w:rPr>
      <w:rFonts w:ascii="宋体" w:hAnsi="宋体" w:cs="宋体"/>
      <w:kern w:val="0"/>
      <w:sz w:val="24"/>
    </w:rPr>
  </w:style>
  <w:style w:type="paragraph" w:customStyle="1" w:styleId="8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Item List in Table"/>
    <w:basedOn w:val="1"/>
    <w:qFormat/>
    <w:uiPriority w:val="0"/>
    <w:pPr>
      <w:numPr>
        <w:ilvl w:val="0"/>
        <w:numId w:val="9"/>
      </w:numPr>
      <w:jc w:val="left"/>
    </w:pPr>
  </w:style>
  <w:style w:type="paragraph" w:customStyle="1" w:styleId="8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8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91">
    <w:name w:val="默认段落字体 Para Char"/>
    <w:basedOn w:val="1"/>
    <w:qFormat/>
    <w:uiPriority w:val="0"/>
    <w:rPr>
      <w:rFonts w:ascii="Tahoma" w:hAnsi="Tahoma"/>
      <w:sz w:val="24"/>
      <w:szCs w:val="20"/>
    </w:rPr>
  </w:style>
  <w:style w:type="paragraph" w:customStyle="1" w:styleId="9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9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4">
    <w:name w:val="样式 正文缩进 + 首行缩进:  2 字符"/>
    <w:basedOn w:val="5"/>
    <w:qFormat/>
    <w:uiPriority w:val="0"/>
    <w:pPr>
      <w:adjustRightInd/>
      <w:spacing w:line="360" w:lineRule="auto"/>
      <w:ind w:firstLine="480" w:firstLineChars="200"/>
      <w:jc w:val="both"/>
      <w:textAlignment w:val="auto"/>
    </w:pPr>
    <w:rPr>
      <w:rFonts w:ascii="Times New Roman"/>
      <w:kern w:val="2"/>
      <w:sz w:val="24"/>
      <w:szCs w:val="24"/>
    </w:rPr>
  </w:style>
  <w:style w:type="paragraph" w:customStyle="1" w:styleId="9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8">
    <w:name w:val="p0"/>
    <w:basedOn w:val="1"/>
    <w:qFormat/>
    <w:uiPriority w:val="0"/>
    <w:pPr>
      <w:widowControl/>
    </w:pPr>
    <w:rPr>
      <w:kern w:val="0"/>
      <w:szCs w:val="21"/>
    </w:rPr>
  </w:style>
  <w:style w:type="paragraph" w:customStyle="1" w:styleId="9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0">
    <w:name w:val="默认段落字体 Para Char Char Char1 Char"/>
    <w:basedOn w:val="45"/>
    <w:qFormat/>
    <w:uiPriority w:val="0"/>
  </w:style>
  <w:style w:type="paragraph" w:customStyle="1" w:styleId="101">
    <w:name w:val="Char1"/>
    <w:basedOn w:val="1"/>
    <w:qFormat/>
    <w:uiPriority w:val="0"/>
    <w:pPr>
      <w:widowControl/>
      <w:spacing w:line="400" w:lineRule="exact"/>
      <w:jc w:val="center"/>
    </w:pPr>
    <w:rPr>
      <w:rFonts w:ascii="Verdana" w:hAnsi="Verdana"/>
      <w:kern w:val="0"/>
      <w:szCs w:val="20"/>
      <w:lang w:eastAsia="en-US"/>
    </w:rPr>
  </w:style>
  <w:style w:type="paragraph" w:customStyle="1" w:styleId="10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0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
    <w:name w:val="列出段落1"/>
    <w:basedOn w:val="1"/>
    <w:qFormat/>
    <w:uiPriority w:val="0"/>
    <w:pPr>
      <w:ind w:firstLine="200" w:firstLineChars="200"/>
    </w:pPr>
    <w:rPr>
      <w:rFonts w:ascii="Calibri" w:hAnsi="Calibri"/>
      <w:szCs w:val="22"/>
    </w:rPr>
  </w:style>
  <w:style w:type="paragraph" w:customStyle="1" w:styleId="107">
    <w:name w:val="缺省文本"/>
    <w:basedOn w:val="1"/>
    <w:qFormat/>
    <w:uiPriority w:val="0"/>
    <w:pPr>
      <w:autoSpaceDE w:val="0"/>
      <w:autoSpaceDN w:val="0"/>
      <w:adjustRightInd w:val="0"/>
      <w:jc w:val="left"/>
    </w:pPr>
    <w:rPr>
      <w:kern w:val="0"/>
      <w:sz w:val="24"/>
    </w:rPr>
  </w:style>
  <w:style w:type="paragraph" w:customStyle="1" w:styleId="108">
    <w:name w:val="Char Char Char Char Char Char Char Char Char"/>
    <w:basedOn w:val="1"/>
    <w:qFormat/>
    <w:uiPriority w:val="0"/>
    <w:rPr>
      <w:sz w:val="28"/>
    </w:rPr>
  </w:style>
  <w:style w:type="paragraph" w:customStyle="1" w:styleId="109">
    <w:name w:val="书籍标题4"/>
    <w:basedOn w:val="61"/>
    <w:next w:val="1"/>
    <w:qFormat/>
    <w:uiPriority w:val="0"/>
    <w:pPr>
      <w:numPr>
        <w:ilvl w:val="3"/>
        <w:numId w:val="6"/>
      </w:numPr>
      <w:tabs>
        <w:tab w:val="left" w:pos="2160"/>
        <w:tab w:val="clear" w:pos="840"/>
        <w:tab w:val="clear" w:pos="1260"/>
      </w:tabs>
      <w:ind w:left="2160"/>
      <w:outlineLvl w:val="3"/>
    </w:pPr>
    <w:rPr>
      <w:sz w:val="24"/>
      <w:szCs w:val="24"/>
      <w:lang w:val="zh-CN"/>
    </w:rPr>
  </w:style>
  <w:style w:type="paragraph" w:customStyle="1" w:styleId="11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1">
    <w:name w:val="样式 书籍标题3 + Arial 段前: 1 行 段后: 1 行"/>
    <w:basedOn w:val="61"/>
    <w:qFormat/>
    <w:uiPriority w:val="0"/>
    <w:pPr>
      <w:numPr>
        <w:ilvl w:val="1"/>
        <w:numId w:val="10"/>
      </w:numPr>
      <w:tabs>
        <w:tab w:val="left" w:pos="1275"/>
        <w:tab w:val="clear" w:pos="420"/>
        <w:tab w:val="clear" w:pos="840"/>
        <w:tab w:val="clear" w:pos="1260"/>
      </w:tabs>
      <w:spacing w:beforeLines="0" w:afterLines="0"/>
    </w:pPr>
    <w:rPr>
      <w:rFonts w:ascii="Arial" w:hAnsi="Arial" w:cs="宋体"/>
      <w:b w:val="0"/>
      <w:bCs w:val="0"/>
    </w:rPr>
  </w:style>
  <w:style w:type="paragraph" w:customStyle="1" w:styleId="11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Char Char Char Char Char Char"/>
    <w:basedOn w:val="1"/>
    <w:qFormat/>
    <w:uiPriority w:val="0"/>
    <w:pPr>
      <w:widowControl/>
      <w:spacing w:after="160" w:line="240" w:lineRule="exact"/>
      <w:jc w:val="left"/>
    </w:pPr>
    <w:rPr>
      <w:sz w:val="32"/>
      <w:szCs w:val="20"/>
    </w:rPr>
  </w:style>
  <w:style w:type="paragraph" w:customStyle="1" w:styleId="11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5">
    <w:name w:val="List Paragraph"/>
    <w:basedOn w:val="1"/>
    <w:qFormat/>
    <w:uiPriority w:val="0"/>
    <w:pPr>
      <w:ind w:firstLine="420" w:firstLineChars="200"/>
    </w:pPr>
  </w:style>
  <w:style w:type="paragraph" w:customStyle="1" w:styleId="11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7">
    <w:name w:val="Char1 Char Char Char"/>
    <w:basedOn w:val="1"/>
    <w:qFormat/>
    <w:uiPriority w:val="0"/>
    <w:pPr>
      <w:ind w:left="1365" w:hanging="360"/>
    </w:pPr>
    <w:rPr>
      <w:sz w:val="24"/>
    </w:rPr>
  </w:style>
  <w:style w:type="paragraph" w:customStyle="1" w:styleId="118">
    <w:name w:val="MM Topic 6"/>
    <w:basedOn w:val="9"/>
    <w:qFormat/>
    <w:uiPriority w:val="0"/>
    <w:pPr>
      <w:numPr>
        <w:ilvl w:val="5"/>
        <w:numId w:val="11"/>
      </w:numPr>
      <w:tabs>
        <w:tab w:val="left" w:pos="425"/>
        <w:tab w:val="clear" w:pos="3260"/>
      </w:tabs>
      <w:spacing w:line="319" w:lineRule="auto"/>
    </w:pPr>
    <w:rPr>
      <w:bCs/>
      <w:szCs w:val="24"/>
    </w:rPr>
  </w:style>
  <w:style w:type="paragraph" w:customStyle="1" w:styleId="11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0">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12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2">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2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12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2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2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12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3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3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32">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133">
    <w:name w:val="pa-13"/>
    <w:basedOn w:val="1"/>
    <w:qFormat/>
    <w:uiPriority w:val="0"/>
    <w:pPr>
      <w:widowControl/>
      <w:spacing w:before="150" w:after="150"/>
      <w:jc w:val="left"/>
    </w:pPr>
    <w:rPr>
      <w:rFonts w:ascii="宋体" w:hAnsi="宋体" w:cs="宋体"/>
      <w:kern w:val="0"/>
      <w:sz w:val="24"/>
    </w:rPr>
  </w:style>
  <w:style w:type="paragraph" w:customStyle="1" w:styleId="13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35">
    <w:name w:val="MM Topic 1"/>
    <w:basedOn w:val="3"/>
    <w:qFormat/>
    <w:uiPriority w:val="0"/>
    <w:pPr>
      <w:numPr>
        <w:ilvl w:val="0"/>
        <w:numId w:val="12"/>
      </w:numPr>
      <w:tabs>
        <w:tab w:val="clear" w:pos="1440"/>
      </w:tabs>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13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3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13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3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43">
    <w:name w:val="样式 标题 3"/>
    <w:basedOn w:val="6"/>
    <w:next w:val="1"/>
    <w:qFormat/>
    <w:uiPriority w:val="0"/>
    <w:pPr>
      <w:widowControl w:val="0"/>
      <w:numPr>
        <w:ilvl w:val="2"/>
        <w:numId w:val="0"/>
      </w:numPr>
      <w:tabs>
        <w:tab w:val="left" w:pos="720"/>
        <w:tab w:val="clear" w:pos="432"/>
        <w:tab w:val="clear" w:pos="753"/>
        <w:tab w:val="clear" w:pos="1440"/>
      </w:tabs>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14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14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Char1 Char Char Char1"/>
    <w:basedOn w:val="1"/>
    <w:qFormat/>
    <w:uiPriority w:val="0"/>
    <w:pPr>
      <w:tabs>
        <w:tab w:val="left" w:pos="425"/>
      </w:tabs>
      <w:ind w:left="425" w:hanging="425"/>
    </w:pPr>
    <w:rPr>
      <w:sz w:val="24"/>
    </w:rPr>
  </w:style>
  <w:style w:type="paragraph" w:customStyle="1" w:styleId="14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50">
    <w:name w:val="Char"/>
    <w:basedOn w:val="1"/>
    <w:qFormat/>
    <w:uiPriority w:val="0"/>
    <w:pPr>
      <w:tabs>
        <w:tab w:val="left" w:pos="1365"/>
      </w:tabs>
      <w:ind w:left="1365" w:hanging="360"/>
    </w:pPr>
    <w:rPr>
      <w:sz w:val="24"/>
    </w:rPr>
  </w:style>
  <w:style w:type="paragraph" w:customStyle="1" w:styleId="15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5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15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154">
    <w:name w:val="没有缩进（为图形使用）"/>
    <w:basedOn w:val="1"/>
    <w:qFormat/>
    <w:uiPriority w:val="0"/>
    <w:pPr>
      <w:numPr>
        <w:ilvl w:val="0"/>
        <w:numId w:val="13"/>
      </w:numPr>
      <w:spacing w:before="120" w:after="120" w:line="360" w:lineRule="auto"/>
      <w:ind w:left="0" w:firstLine="0"/>
    </w:pPr>
    <w:rPr>
      <w:rFonts w:cs="宋体"/>
      <w:sz w:val="24"/>
      <w:szCs w:val="20"/>
    </w:rPr>
  </w:style>
  <w:style w:type="paragraph" w:customStyle="1" w:styleId="15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5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5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8">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15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16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162">
    <w:name w:val="Char Char Char Char Char Char Char Char Char1"/>
    <w:basedOn w:val="1"/>
    <w:qFormat/>
    <w:uiPriority w:val="0"/>
    <w:pPr>
      <w:widowControl/>
      <w:spacing w:after="160" w:line="240" w:lineRule="exact"/>
      <w:jc w:val="left"/>
    </w:pPr>
  </w:style>
  <w:style w:type="paragraph" w:customStyle="1" w:styleId="16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16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6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6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16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0">
    <w:name w:val="MM Topic 2"/>
    <w:basedOn w:val="4"/>
    <w:qFormat/>
    <w:uiPriority w:val="0"/>
    <w:pPr>
      <w:widowControl w:val="0"/>
      <w:numPr>
        <w:ilvl w:val="0"/>
        <w:numId w:val="14"/>
      </w:numPr>
      <w:tabs>
        <w:tab w:val="left" w:pos="425"/>
        <w:tab w:val="clear" w:pos="2040"/>
        <w:tab w:val="clear" w:pos="720"/>
        <w:tab w:val="clear" w:pos="1440"/>
      </w:tabs>
      <w:adjustRightInd/>
      <w:snapToGrid/>
      <w:spacing w:line="415" w:lineRule="auto"/>
      <w:ind w:left="0" w:firstLine="0"/>
      <w:jc w:val="both"/>
      <w:textAlignment w:val="auto"/>
    </w:pPr>
    <w:rPr>
      <w:rFonts w:ascii="Arial" w:hAnsi="Arial"/>
      <w:b/>
      <w:kern w:val="2"/>
      <w:sz w:val="32"/>
      <w:szCs w:val="32"/>
    </w:rPr>
  </w:style>
  <w:style w:type="paragraph" w:customStyle="1" w:styleId="17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7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font6"/>
    <w:basedOn w:val="1"/>
    <w:qFormat/>
    <w:uiPriority w:val="0"/>
    <w:pPr>
      <w:widowControl/>
      <w:spacing w:before="100" w:beforeAutospacing="1" w:after="100" w:afterAutospacing="1"/>
      <w:jc w:val="left"/>
    </w:pPr>
    <w:rPr>
      <w:kern w:val="0"/>
      <w:sz w:val="24"/>
    </w:rPr>
  </w:style>
  <w:style w:type="paragraph" w:customStyle="1" w:styleId="17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78">
    <w:name w:val="样式 首行缩进:  0.85 厘米"/>
    <w:basedOn w:val="1"/>
    <w:qFormat/>
    <w:uiPriority w:val="0"/>
    <w:pPr>
      <w:spacing w:line="360" w:lineRule="auto"/>
      <w:ind w:firstLine="200" w:firstLineChars="200"/>
    </w:pPr>
    <w:rPr>
      <w:rFonts w:cs="宋体"/>
      <w:sz w:val="24"/>
      <w:szCs w:val="20"/>
    </w:rPr>
  </w:style>
  <w:style w:type="paragraph" w:customStyle="1" w:styleId="179">
    <w:name w:val="列举"/>
    <w:basedOn w:val="1"/>
    <w:qFormat/>
    <w:uiPriority w:val="0"/>
    <w:pPr>
      <w:numPr>
        <w:ilvl w:val="0"/>
        <w:numId w:val="15"/>
      </w:numPr>
      <w:spacing w:line="360" w:lineRule="auto"/>
    </w:pPr>
    <w:rPr>
      <w:rFonts w:ascii="宋体"/>
    </w:rPr>
  </w:style>
  <w:style w:type="paragraph" w:customStyle="1" w:styleId="180">
    <w:name w:val="正文1"/>
    <w:basedOn w:val="1"/>
    <w:qFormat/>
    <w:uiPriority w:val="0"/>
    <w:pPr>
      <w:spacing w:line="360" w:lineRule="auto"/>
    </w:pPr>
    <w:rPr>
      <w:rFonts w:ascii="宋体" w:hAnsi="宋体"/>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正文缩进2字符"/>
    <w:basedOn w:val="44"/>
    <w:qFormat/>
    <w:uiPriority w:val="0"/>
    <w:pPr>
      <w:spacing w:after="0" w:line="360" w:lineRule="auto"/>
      <w:ind w:firstLine="200" w:firstLineChars="200"/>
    </w:pPr>
    <w:rPr>
      <w:sz w:val="24"/>
      <w:szCs w:val="24"/>
    </w:rPr>
  </w:style>
  <w:style w:type="paragraph" w:customStyle="1" w:styleId="183">
    <w:name w:val="font8"/>
    <w:basedOn w:val="1"/>
    <w:qFormat/>
    <w:uiPriority w:val="0"/>
    <w:pPr>
      <w:widowControl/>
      <w:spacing w:before="100" w:beforeAutospacing="1" w:after="100" w:afterAutospacing="1"/>
      <w:jc w:val="left"/>
    </w:pPr>
    <w:rPr>
      <w:kern w:val="0"/>
      <w:sz w:val="20"/>
      <w:szCs w:val="20"/>
    </w:rPr>
  </w:style>
  <w:style w:type="paragraph" w:customStyle="1" w:styleId="184">
    <w:name w:val="Char Char1 Char Char Char Char Char Char"/>
    <w:basedOn w:val="1"/>
    <w:qFormat/>
    <w:uiPriority w:val="0"/>
    <w:pPr>
      <w:widowControl/>
      <w:numPr>
        <w:ilvl w:val="0"/>
        <w:numId w:val="16"/>
      </w:numPr>
      <w:spacing w:after="160" w:line="240" w:lineRule="exact"/>
      <w:ind w:left="0" w:firstLine="0"/>
      <w:jc w:val="center"/>
    </w:pPr>
    <w:rPr>
      <w:rFonts w:ascii="黑体" w:hAnsi="Calibri" w:eastAsia="黑体"/>
      <w:kern w:val="0"/>
      <w:sz w:val="36"/>
      <w:szCs w:val="36"/>
    </w:rPr>
  </w:style>
  <w:style w:type="paragraph" w:customStyle="1" w:styleId="185">
    <w:name w:val="pa-3"/>
    <w:basedOn w:val="1"/>
    <w:qFormat/>
    <w:uiPriority w:val="0"/>
    <w:pPr>
      <w:widowControl/>
      <w:spacing w:before="150" w:after="150"/>
      <w:jc w:val="left"/>
    </w:pPr>
    <w:rPr>
      <w:rFonts w:ascii="宋体" w:hAnsi="宋体" w:cs="宋体"/>
      <w:kern w:val="0"/>
      <w:sz w:val="24"/>
    </w:rPr>
  </w:style>
  <w:style w:type="paragraph" w:customStyle="1" w:styleId="18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8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9">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19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8"/>
      </w:numPr>
      <w:spacing w:line="360" w:lineRule="auto"/>
    </w:pPr>
    <w:rPr>
      <w:sz w:val="24"/>
    </w:rPr>
  </w:style>
  <w:style w:type="paragraph" w:customStyle="1" w:styleId="19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19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9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9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19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98">
    <w:name w:val="段"/>
    <w:qFormat/>
    <w:uiPriority w:val="0"/>
    <w:pPr>
      <w:numPr>
        <w:ilvl w:val="0"/>
        <w:numId w:val="19"/>
      </w:numPr>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MM Topic 3"/>
    <w:basedOn w:val="6"/>
    <w:qFormat/>
    <w:uiPriority w:val="0"/>
    <w:pPr>
      <w:widowControl w:val="0"/>
      <w:numPr>
        <w:ilvl w:val="0"/>
        <w:numId w:val="11"/>
      </w:numPr>
      <w:tabs>
        <w:tab w:val="left" w:pos="1418"/>
        <w:tab w:val="clear" w:pos="432"/>
        <w:tab w:val="clear" w:pos="753"/>
        <w:tab w:val="clear" w:pos="1440"/>
      </w:tabs>
      <w:adjustRightInd/>
      <w:snapToGrid/>
      <w:spacing w:line="415" w:lineRule="auto"/>
      <w:textAlignment w:val="auto"/>
    </w:pPr>
    <w:rPr>
      <w:rFonts w:ascii="Times New Roman" w:eastAsia="宋体"/>
      <w:b/>
      <w:color w:val="auto"/>
      <w:sz w:val="32"/>
      <w:szCs w:val="32"/>
    </w:rPr>
  </w:style>
  <w:style w:type="paragraph" w:customStyle="1" w:styleId="201">
    <w:name w:val="列出段落2"/>
    <w:basedOn w:val="1"/>
    <w:qFormat/>
    <w:uiPriority w:val="0"/>
    <w:pPr>
      <w:ind w:firstLine="420" w:firstLineChars="200"/>
    </w:pPr>
  </w:style>
  <w:style w:type="paragraph" w:customStyle="1" w:styleId="202">
    <w:name w:val="font15"/>
    <w:basedOn w:val="1"/>
    <w:qFormat/>
    <w:uiPriority w:val="0"/>
    <w:pPr>
      <w:widowControl/>
      <w:spacing w:before="100" w:beforeAutospacing="1" w:after="100" w:afterAutospacing="1"/>
      <w:jc w:val="left"/>
    </w:pPr>
    <w:rPr>
      <w:kern w:val="0"/>
      <w:sz w:val="20"/>
      <w:szCs w:val="20"/>
    </w:rPr>
  </w:style>
  <w:style w:type="paragraph" w:customStyle="1" w:styleId="203">
    <w:name w:val="pa-15"/>
    <w:basedOn w:val="1"/>
    <w:qFormat/>
    <w:uiPriority w:val="0"/>
    <w:pPr>
      <w:widowControl/>
      <w:spacing w:before="150" w:after="150"/>
      <w:jc w:val="left"/>
    </w:pPr>
    <w:rPr>
      <w:rFonts w:ascii="宋体" w:hAnsi="宋体" w:cs="宋体"/>
      <w:kern w:val="0"/>
      <w:sz w:val="24"/>
    </w:rPr>
  </w:style>
  <w:style w:type="paragraph" w:customStyle="1" w:styleId="20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0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0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07">
    <w:name w:val="Char Char3 Char Char"/>
    <w:basedOn w:val="1"/>
    <w:qFormat/>
    <w:uiPriority w:val="0"/>
    <w:pPr>
      <w:spacing w:line="360" w:lineRule="auto"/>
      <w:ind w:firstLine="200" w:firstLineChars="200"/>
    </w:pPr>
    <w:rPr>
      <w:rFonts w:ascii="宋体" w:hAnsi="宋体" w:cs="宋体"/>
      <w:sz w:val="24"/>
    </w:rPr>
  </w:style>
  <w:style w:type="paragraph" w:customStyle="1" w:styleId="20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09">
    <w:name w:val="正文序号 2"/>
    <w:basedOn w:val="1"/>
    <w:qFormat/>
    <w:uiPriority w:val="0"/>
    <w:pPr>
      <w:numPr>
        <w:ilvl w:val="1"/>
        <w:numId w:val="8"/>
      </w:numPr>
      <w:tabs>
        <w:tab w:val="left" w:pos="981"/>
        <w:tab w:val="left" w:pos="1049"/>
      </w:tabs>
      <w:spacing w:before="60"/>
    </w:pPr>
  </w:style>
  <w:style w:type="paragraph" w:customStyle="1" w:styleId="210">
    <w:name w:val="样式 样式 标题 4Alt+41.1.1.1 Heading 4bulletblbbH44h4H41h41H42... + 自动..."/>
    <w:basedOn w:val="122"/>
    <w:qFormat/>
    <w:uiPriority w:val="0"/>
    <w:pPr>
      <w:numPr>
        <w:ilvl w:val="3"/>
        <w:numId w:val="20"/>
      </w:numPr>
      <w:tabs>
        <w:tab w:val="left" w:pos="528"/>
        <w:tab w:val="clear" w:pos="1914"/>
      </w:tabs>
    </w:pPr>
    <w:rPr>
      <w:color w:val="auto"/>
    </w:rPr>
  </w:style>
  <w:style w:type="paragraph" w:customStyle="1" w:styleId="21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13">
    <w:name w:val="MM Topic 5"/>
    <w:basedOn w:val="8"/>
    <w:qFormat/>
    <w:uiPriority w:val="0"/>
    <w:pPr>
      <w:numPr>
        <w:ilvl w:val="4"/>
        <w:numId w:val="11"/>
      </w:numPr>
      <w:tabs>
        <w:tab w:val="left" w:pos="425"/>
        <w:tab w:val="clear" w:pos="2551"/>
      </w:tabs>
    </w:pPr>
    <w:rPr>
      <w:bCs/>
      <w:szCs w:val="28"/>
    </w:rPr>
  </w:style>
  <w:style w:type="paragraph" w:customStyle="1" w:styleId="214">
    <w:name w:val="正文文本样式"/>
    <w:basedOn w:val="1"/>
    <w:qFormat/>
    <w:uiPriority w:val="0"/>
    <w:pPr>
      <w:spacing w:line="360" w:lineRule="auto"/>
      <w:ind w:firstLine="482"/>
    </w:pPr>
    <w:rPr>
      <w:rFonts w:cs="宋体"/>
      <w:sz w:val="24"/>
      <w:szCs w:val="20"/>
    </w:rPr>
  </w:style>
  <w:style w:type="paragraph" w:customStyle="1" w:styleId="21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17">
    <w:name w:val="MM Topic 4"/>
    <w:basedOn w:val="7"/>
    <w:qFormat/>
    <w:uiPriority w:val="0"/>
    <w:pPr>
      <w:numPr>
        <w:ilvl w:val="3"/>
        <w:numId w:val="11"/>
      </w:numPr>
      <w:tabs>
        <w:tab w:val="left" w:pos="425"/>
        <w:tab w:val="clear" w:pos="1984"/>
      </w:tabs>
    </w:pPr>
    <w:rPr>
      <w:bCs/>
      <w:szCs w:val="28"/>
    </w:rPr>
  </w:style>
  <w:style w:type="paragraph" w:customStyle="1" w:styleId="218">
    <w:name w:val="正文序号 3"/>
    <w:basedOn w:val="1"/>
    <w:qFormat/>
    <w:uiPriority w:val="0"/>
    <w:pPr>
      <w:numPr>
        <w:ilvl w:val="2"/>
        <w:numId w:val="8"/>
      </w:numPr>
      <w:tabs>
        <w:tab w:val="left" w:pos="981"/>
        <w:tab w:val="left" w:pos="1259"/>
      </w:tabs>
      <w:spacing w:before="60"/>
    </w:pPr>
  </w:style>
  <w:style w:type="paragraph" w:customStyle="1" w:styleId="219">
    <w:name w:val="Char2"/>
    <w:basedOn w:val="1"/>
    <w:qFormat/>
    <w:uiPriority w:val="0"/>
    <w:pPr>
      <w:tabs>
        <w:tab w:val="left" w:pos="425"/>
      </w:tabs>
      <w:ind w:left="425" w:hanging="425"/>
    </w:pPr>
    <w:rPr>
      <w:sz w:val="24"/>
    </w:rPr>
  </w:style>
  <w:style w:type="paragraph" w:customStyle="1" w:styleId="220">
    <w:name w:val="正文序号 1"/>
    <w:basedOn w:val="1"/>
    <w:qFormat/>
    <w:uiPriority w:val="0"/>
    <w:pPr>
      <w:numPr>
        <w:ilvl w:val="0"/>
        <w:numId w:val="8"/>
      </w:numPr>
      <w:tabs>
        <w:tab w:val="left" w:pos="839"/>
      </w:tabs>
      <w:spacing w:before="60"/>
    </w:pPr>
  </w:style>
  <w:style w:type="paragraph" w:customStyle="1" w:styleId="221">
    <w:name w:val="字元 字元1"/>
    <w:basedOn w:val="1"/>
    <w:qFormat/>
    <w:uiPriority w:val="0"/>
    <w:pPr>
      <w:spacing w:line="360" w:lineRule="auto"/>
      <w:ind w:firstLine="200" w:firstLineChars="200"/>
    </w:pPr>
    <w:rPr>
      <w:rFonts w:ascii="宋体" w:hAnsi="宋体" w:cs="宋体"/>
      <w:sz w:val="24"/>
    </w:rPr>
  </w:style>
  <w:style w:type="paragraph" w:customStyle="1" w:styleId="222">
    <w:name w:val="font12"/>
    <w:basedOn w:val="1"/>
    <w:qFormat/>
    <w:uiPriority w:val="0"/>
    <w:pPr>
      <w:widowControl/>
      <w:spacing w:before="100" w:beforeAutospacing="1" w:after="100" w:afterAutospacing="1"/>
      <w:jc w:val="left"/>
    </w:pPr>
    <w:rPr>
      <w:kern w:val="0"/>
      <w:sz w:val="22"/>
      <w:szCs w:val="22"/>
    </w:rPr>
  </w:style>
  <w:style w:type="paragraph" w:customStyle="1" w:styleId="223">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2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5">
    <w:name w:val="Table Paragraph"/>
    <w:basedOn w:val="1"/>
    <w:qFormat/>
    <w:uiPriority w:val="1"/>
    <w:rPr>
      <w:rFonts w:ascii="Calibri" w:hAnsi="Calibri"/>
      <w:sz w:val="24"/>
    </w:rPr>
  </w:style>
  <w:style w:type="paragraph" w:customStyle="1" w:styleId="226">
    <w:name w:val="正文首行缩进 21"/>
    <w:basedOn w:val="227"/>
    <w:qFormat/>
    <w:uiPriority w:val="0"/>
    <w:pPr>
      <w:widowControl/>
      <w:spacing w:line="500" w:lineRule="exact"/>
      <w:ind w:firstLine="420"/>
    </w:pPr>
    <w:rPr>
      <w:szCs w:val="20"/>
    </w:rPr>
  </w:style>
  <w:style w:type="paragraph" w:customStyle="1" w:styleId="227">
    <w:name w:val="正文文本缩进1"/>
    <w:basedOn w:val="1"/>
    <w:qFormat/>
    <w:uiPriority w:val="0"/>
    <w:pPr>
      <w:spacing w:line="500" w:lineRule="exact"/>
      <w:ind w:firstLine="880" w:firstLineChars="200"/>
    </w:pPr>
    <w:rPr>
      <w:rFonts w:ascii="Times New Roman" w:hAnsi="Times New Roman" w:eastAsia="宋体" w:cs="Times New Roman"/>
    </w:rPr>
  </w:style>
  <w:style w:type="paragraph" w:customStyle="1" w:styleId="22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229">
    <w:name w:val="标题 1 Char Char"/>
    <w:qFormat/>
    <w:uiPriority w:val="0"/>
    <w:rPr>
      <w:rFonts w:eastAsia="宋体"/>
      <w:b/>
      <w:bCs/>
      <w:kern w:val="44"/>
      <w:sz w:val="44"/>
      <w:szCs w:val="44"/>
      <w:lang w:val="en-US" w:eastAsia="zh-CN" w:bidi="ar-SA"/>
    </w:rPr>
  </w:style>
  <w:style w:type="character" w:customStyle="1" w:styleId="230">
    <w:name w:val="标题 4 Char Char"/>
    <w:qFormat/>
    <w:uiPriority w:val="0"/>
    <w:rPr>
      <w:rFonts w:ascii="Arial" w:hAnsi="Arial" w:eastAsia="黑体"/>
      <w:b/>
      <w:bCs/>
      <w:kern w:val="2"/>
      <w:sz w:val="28"/>
      <w:szCs w:val="28"/>
      <w:lang w:val="en-US" w:eastAsia="zh-CN" w:bidi="ar-SA"/>
    </w:rPr>
  </w:style>
  <w:style w:type="character" w:customStyle="1" w:styleId="231">
    <w:name w:val="font11"/>
    <w:qFormat/>
    <w:uiPriority w:val="0"/>
    <w:rPr>
      <w:rFonts w:hint="eastAsia" w:ascii="宋体" w:hAnsi="宋体" w:eastAsia="宋体"/>
      <w:color w:val="000000"/>
      <w:sz w:val="24"/>
      <w:szCs w:val="24"/>
      <w:u w:val="none"/>
    </w:rPr>
  </w:style>
  <w:style w:type="character" w:customStyle="1" w:styleId="232">
    <w:name w:val="标题 5 Char Char"/>
    <w:qFormat/>
    <w:uiPriority w:val="0"/>
    <w:rPr>
      <w:rFonts w:eastAsia="宋体"/>
      <w:b/>
      <w:bCs/>
      <w:kern w:val="2"/>
      <w:sz w:val="28"/>
      <w:szCs w:val="28"/>
      <w:lang w:val="en-US" w:eastAsia="zh-CN" w:bidi="ar-SA"/>
    </w:rPr>
  </w:style>
  <w:style w:type="character" w:customStyle="1" w:styleId="233">
    <w:name w:val="ca-5"/>
    <w:basedOn w:val="47"/>
    <w:qFormat/>
    <w:uiPriority w:val="0"/>
  </w:style>
  <w:style w:type="character" w:customStyle="1" w:styleId="234">
    <w:name w:val="正文首行缩进 2 Char"/>
    <w:link w:val="45"/>
    <w:qFormat/>
    <w:uiPriority w:val="0"/>
    <w:rPr>
      <w:rFonts w:ascii="Calibri" w:hAnsi="Calibri" w:eastAsia="仿宋_GB2312"/>
      <w:kern w:val="2"/>
      <w:sz w:val="21"/>
      <w:szCs w:val="22"/>
      <w:lang w:val="en-US" w:eastAsia="zh-CN" w:bidi="ar-SA"/>
    </w:rPr>
  </w:style>
  <w:style w:type="character" w:customStyle="1" w:styleId="235">
    <w:name w:val="已访问的超链接1"/>
    <w:qFormat/>
    <w:uiPriority w:val="0"/>
    <w:rPr>
      <w:color w:val="800080"/>
      <w:u w:val="single"/>
    </w:rPr>
  </w:style>
  <w:style w:type="character" w:customStyle="1" w:styleId="236">
    <w:name w:val="正文首行缩进 Char Char"/>
    <w:qFormat/>
    <w:uiPriority w:val="0"/>
    <w:rPr>
      <w:rFonts w:eastAsia="仿宋_GB2312"/>
      <w:kern w:val="2"/>
      <w:sz w:val="28"/>
      <w:szCs w:val="24"/>
      <w:lang w:bidi="ar-SA"/>
    </w:rPr>
  </w:style>
  <w:style w:type="character" w:customStyle="1" w:styleId="237">
    <w:name w:val="日期 Char"/>
    <w:link w:val="25"/>
    <w:qFormat/>
    <w:uiPriority w:val="0"/>
    <w:rPr>
      <w:kern w:val="2"/>
      <w:sz w:val="21"/>
      <w:szCs w:val="24"/>
    </w:rPr>
  </w:style>
  <w:style w:type="character" w:customStyle="1" w:styleId="238">
    <w:name w:val="正文文本缩进 3 Char Char"/>
    <w:qFormat/>
    <w:uiPriority w:val="0"/>
    <w:rPr>
      <w:kern w:val="2"/>
      <w:sz w:val="16"/>
      <w:szCs w:val="16"/>
      <w:lang w:bidi="ar-SA"/>
    </w:rPr>
  </w:style>
  <w:style w:type="character" w:customStyle="1" w:styleId="239">
    <w:name w:val="文档正文 Char1"/>
    <w:link w:val="55"/>
    <w:qFormat/>
    <w:uiPriority w:val="0"/>
    <w:rPr>
      <w:rFonts w:ascii="Arial Narrow" w:hAnsi="Arial Narrow"/>
      <w:sz w:val="24"/>
      <w:szCs w:val="24"/>
      <w:lang w:val="en-US" w:eastAsia="zh-CN" w:bidi="ar-SA"/>
    </w:rPr>
  </w:style>
  <w:style w:type="character" w:customStyle="1" w:styleId="240">
    <w:name w:val="正文文本 Char Char"/>
    <w:qFormat/>
    <w:uiPriority w:val="0"/>
    <w:rPr>
      <w:rFonts w:eastAsia="宋体"/>
      <w:kern w:val="2"/>
      <w:sz w:val="21"/>
      <w:szCs w:val="24"/>
      <w:lang w:val="en-US" w:eastAsia="zh-CN" w:bidi="ar-SA"/>
    </w:rPr>
  </w:style>
  <w:style w:type="character" w:customStyle="1" w:styleId="241">
    <w:name w:val="样式 样式 宋体 小四 行距: 1.5 倍行距 + ˎ̥ 黑色 Char Char"/>
    <w:link w:val="56"/>
    <w:qFormat/>
    <w:uiPriority w:val="0"/>
    <w:rPr>
      <w:rFonts w:ascii="Calibri" w:hAnsi="Calibri" w:eastAsia="仿宋_GB2312"/>
      <w:kern w:val="2"/>
      <w:sz w:val="21"/>
      <w:szCs w:val="22"/>
      <w:lang w:val="en-US" w:eastAsia="zh-CN" w:bidi="ar-SA"/>
    </w:rPr>
  </w:style>
  <w:style w:type="character" w:customStyle="1" w:styleId="242">
    <w:name w:val="style71"/>
    <w:qFormat/>
    <w:uiPriority w:val="0"/>
    <w:rPr>
      <w:sz w:val="21"/>
      <w:szCs w:val="21"/>
    </w:rPr>
  </w:style>
  <w:style w:type="character" w:customStyle="1" w:styleId="243">
    <w:name w:val="正文文本缩进 2 Char"/>
    <w:link w:val="26"/>
    <w:qFormat/>
    <w:uiPriority w:val="0"/>
    <w:rPr>
      <w:rFonts w:eastAsia="仿宋_GB2312"/>
      <w:kern w:val="2"/>
      <w:sz w:val="30"/>
      <w:lang w:val="en-US" w:eastAsia="zh-CN" w:bidi="ar-SA"/>
    </w:rPr>
  </w:style>
  <w:style w:type="character" w:customStyle="1" w:styleId="244">
    <w:name w:val="正文文本缩进 3 Char"/>
    <w:link w:val="36"/>
    <w:qFormat/>
    <w:uiPriority w:val="0"/>
    <w:rPr>
      <w:rFonts w:ascii="宋体" w:hAnsi="宋体" w:eastAsia="宋体"/>
      <w:kern w:val="2"/>
      <w:sz w:val="21"/>
      <w:szCs w:val="24"/>
      <w:lang w:val="en-US" w:eastAsia="zh-CN" w:bidi="ar-SA"/>
    </w:rPr>
  </w:style>
  <w:style w:type="character" w:customStyle="1" w:styleId="245">
    <w:name w:val="ca-9"/>
    <w:basedOn w:val="47"/>
    <w:qFormat/>
    <w:uiPriority w:val="0"/>
  </w:style>
  <w:style w:type="character" w:customStyle="1" w:styleId="246">
    <w:name w:val="纯文本 Char"/>
    <w:link w:val="23"/>
    <w:qFormat/>
    <w:uiPriority w:val="0"/>
    <w:rPr>
      <w:rFonts w:ascii="宋体" w:hAnsi="Courier New" w:eastAsia="宋体"/>
      <w:kern w:val="2"/>
      <w:sz w:val="21"/>
      <w:lang w:val="en-US" w:eastAsia="zh-CN" w:bidi="ar-SA"/>
    </w:rPr>
  </w:style>
  <w:style w:type="character" w:customStyle="1" w:styleId="247">
    <w:name w:val="页脚 Char Char"/>
    <w:qFormat/>
    <w:uiPriority w:val="0"/>
    <w:rPr>
      <w:rFonts w:eastAsia="宋体"/>
      <w:sz w:val="18"/>
      <w:szCs w:val="18"/>
      <w:lang w:bidi="ar-SA"/>
    </w:rPr>
  </w:style>
  <w:style w:type="character" w:customStyle="1" w:styleId="248">
    <w:name w:val="正文文本 Char"/>
    <w:link w:val="2"/>
    <w:qFormat/>
    <w:uiPriority w:val="0"/>
    <w:rPr>
      <w:rFonts w:eastAsia="宋体"/>
      <w:kern w:val="2"/>
      <w:sz w:val="21"/>
      <w:szCs w:val="24"/>
      <w:lang w:val="en-US" w:eastAsia="zh-CN" w:bidi="ar-SA"/>
    </w:rPr>
  </w:style>
  <w:style w:type="character" w:customStyle="1" w:styleId="249">
    <w:name w:val="标题 2 Char Char"/>
    <w:qFormat/>
    <w:uiPriority w:val="0"/>
    <w:rPr>
      <w:rFonts w:ascii="Cambria" w:hAnsi="Cambria" w:eastAsia="宋体"/>
      <w:b/>
      <w:bCs/>
      <w:kern w:val="2"/>
      <w:sz w:val="32"/>
      <w:szCs w:val="32"/>
      <w:lang w:val="en-US" w:eastAsia="zh-CN" w:bidi="ar-SA"/>
    </w:rPr>
  </w:style>
  <w:style w:type="character" w:customStyle="1" w:styleId="250">
    <w:name w:val="标题 1 1 Char"/>
    <w:qFormat/>
    <w:uiPriority w:val="0"/>
    <w:rPr>
      <w:rFonts w:ascii="黑体" w:eastAsia="黑体"/>
      <w:bCs/>
      <w:kern w:val="44"/>
      <w:sz w:val="24"/>
      <w:lang w:val="en-US" w:eastAsia="zh-CN" w:bidi="ar-SA"/>
    </w:rPr>
  </w:style>
  <w:style w:type="character" w:customStyle="1" w:styleId="251">
    <w:name w:val="Char Char14"/>
    <w:qFormat/>
    <w:uiPriority w:val="0"/>
    <w:rPr>
      <w:rFonts w:ascii="宋体" w:eastAsia="宋体"/>
      <w:sz w:val="34"/>
      <w:lang w:val="en-US" w:eastAsia="zh-CN" w:bidi="ar-SA"/>
    </w:rPr>
  </w:style>
  <w:style w:type="character" w:customStyle="1" w:styleId="252">
    <w:name w:val="content"/>
    <w:qFormat/>
    <w:uiPriority w:val="0"/>
  </w:style>
  <w:style w:type="character" w:customStyle="1" w:styleId="253">
    <w:name w:val="Char Char5"/>
    <w:qFormat/>
    <w:uiPriority w:val="0"/>
    <w:rPr>
      <w:rFonts w:eastAsia="宋体"/>
      <w:kern w:val="2"/>
      <w:sz w:val="18"/>
      <w:lang w:val="en-US" w:eastAsia="zh-CN" w:bidi="ar-SA"/>
    </w:rPr>
  </w:style>
  <w:style w:type="character" w:customStyle="1" w:styleId="254">
    <w:name w:val="c_666"/>
    <w:basedOn w:val="47"/>
    <w:qFormat/>
    <w:uiPriority w:val="0"/>
  </w:style>
  <w:style w:type="character" w:customStyle="1" w:styleId="255">
    <w:name w:val="ALT+Z Char"/>
    <w:qFormat/>
    <w:uiPriority w:val="0"/>
    <w:rPr>
      <w:rFonts w:ascii="宋体"/>
      <w:sz w:val="34"/>
    </w:rPr>
  </w:style>
  <w:style w:type="character" w:customStyle="1" w:styleId="256">
    <w:name w:val="正文（缩进） Char Char"/>
    <w:link w:val="57"/>
    <w:qFormat/>
    <w:uiPriority w:val="0"/>
    <w:rPr>
      <w:rFonts w:eastAsia="宋体"/>
      <w:kern w:val="2"/>
      <w:sz w:val="24"/>
      <w:szCs w:val="24"/>
      <w:lang w:val="en-US" w:eastAsia="zh-CN" w:bidi="ar-SA"/>
    </w:rPr>
  </w:style>
  <w:style w:type="character" w:customStyle="1" w:styleId="257">
    <w:name w:val="批注框文本 Char"/>
    <w:link w:val="27"/>
    <w:qFormat/>
    <w:uiPriority w:val="0"/>
    <w:rPr>
      <w:rFonts w:eastAsia="宋体"/>
      <w:kern w:val="2"/>
      <w:sz w:val="18"/>
      <w:szCs w:val="18"/>
      <w:lang w:val="en-US" w:eastAsia="zh-CN" w:bidi="ar-SA"/>
    </w:rPr>
  </w:style>
  <w:style w:type="character" w:customStyle="1" w:styleId="258">
    <w:name w:val="表格内容"/>
    <w:qFormat/>
    <w:uiPriority w:val="0"/>
    <w:rPr>
      <w:sz w:val="24"/>
    </w:rPr>
  </w:style>
  <w:style w:type="character" w:customStyle="1" w:styleId="259">
    <w:name w:val="ca-8"/>
    <w:basedOn w:val="47"/>
    <w:qFormat/>
    <w:uiPriority w:val="0"/>
  </w:style>
  <w:style w:type="character" w:customStyle="1" w:styleId="260">
    <w:name w:val="不明显参考1"/>
    <w:qFormat/>
    <w:uiPriority w:val="0"/>
    <w:rPr>
      <w:smallCaps/>
      <w:color w:val="C0504D"/>
      <w:u w:val="single"/>
    </w:rPr>
  </w:style>
  <w:style w:type="character" w:customStyle="1" w:styleId="261">
    <w:name w:val="标题 9 Char"/>
    <w:link w:val="12"/>
    <w:qFormat/>
    <w:uiPriority w:val="0"/>
    <w:rPr>
      <w:rFonts w:ascii="Arial" w:hAnsi="Arial" w:eastAsia="黑体"/>
      <w:kern w:val="2"/>
      <w:sz w:val="21"/>
      <w:lang w:val="en-US" w:eastAsia="zh-CN" w:bidi="ar-SA"/>
    </w:rPr>
  </w:style>
  <w:style w:type="character" w:customStyle="1" w:styleId="262">
    <w:name w:val="标题 6 Char"/>
    <w:link w:val="9"/>
    <w:qFormat/>
    <w:uiPriority w:val="0"/>
    <w:rPr>
      <w:rFonts w:ascii="Arial" w:hAnsi="Arial" w:eastAsia="黑体"/>
      <w:b/>
      <w:kern w:val="2"/>
      <w:sz w:val="24"/>
      <w:lang w:val="en-US" w:eastAsia="zh-CN" w:bidi="ar-SA"/>
    </w:rPr>
  </w:style>
  <w:style w:type="character" w:customStyle="1" w:styleId="263">
    <w:name w:val="ca-10"/>
    <w:basedOn w:val="47"/>
    <w:qFormat/>
    <w:uiPriority w:val="0"/>
  </w:style>
  <w:style w:type="character" w:customStyle="1" w:styleId="264">
    <w:name w:val="标题 4 Char"/>
    <w:link w:val="7"/>
    <w:qFormat/>
    <w:uiPriority w:val="0"/>
    <w:rPr>
      <w:rFonts w:ascii="Arial" w:hAnsi="Arial" w:eastAsia="黑体"/>
      <w:b/>
      <w:kern w:val="2"/>
      <w:sz w:val="28"/>
      <w:lang w:val="en-US" w:eastAsia="zh-CN" w:bidi="ar-SA"/>
    </w:rPr>
  </w:style>
  <w:style w:type="character" w:customStyle="1" w:styleId="265">
    <w:name w:val="批注文字 Char Char"/>
    <w:qFormat/>
    <w:uiPriority w:val="0"/>
    <w:rPr>
      <w:kern w:val="2"/>
      <w:sz w:val="21"/>
      <w:lang w:bidi="ar-SA"/>
    </w:rPr>
  </w:style>
  <w:style w:type="character" w:customStyle="1" w:styleId="266">
    <w:name w:val="style18"/>
    <w:qFormat/>
    <w:uiPriority w:val="0"/>
  </w:style>
  <w:style w:type="character" w:customStyle="1" w:styleId="267">
    <w:name w:val="font21"/>
    <w:qFormat/>
    <w:uiPriority w:val="0"/>
    <w:rPr>
      <w:rFonts w:hint="default" w:ascii="Arial" w:hAnsi="Arial" w:cs="Arial"/>
      <w:color w:val="000000"/>
      <w:sz w:val="24"/>
      <w:szCs w:val="24"/>
      <w:u w:val="none"/>
    </w:rPr>
  </w:style>
  <w:style w:type="character" w:customStyle="1" w:styleId="268">
    <w:name w:val="ca-11"/>
    <w:basedOn w:val="47"/>
    <w:qFormat/>
    <w:uiPriority w:val="0"/>
  </w:style>
  <w:style w:type="character" w:customStyle="1" w:styleId="269">
    <w:name w:val="标题 8 Char"/>
    <w:link w:val="11"/>
    <w:qFormat/>
    <w:uiPriority w:val="0"/>
    <w:rPr>
      <w:rFonts w:ascii="Arial" w:hAnsi="Arial" w:eastAsia="黑体"/>
      <w:kern w:val="2"/>
      <w:sz w:val="24"/>
      <w:lang w:val="en-US" w:eastAsia="zh-CN" w:bidi="ar-SA"/>
    </w:rPr>
  </w:style>
  <w:style w:type="character" w:customStyle="1" w:styleId="270">
    <w:name w:val="类目1 Char Char"/>
    <w:link w:val="58"/>
    <w:qFormat/>
    <w:uiPriority w:val="0"/>
    <w:rPr>
      <w:b/>
      <w:color w:val="17365D"/>
      <w:kern w:val="2"/>
      <w:sz w:val="28"/>
      <w:szCs w:val="28"/>
      <w:lang w:bidi="ar-SA"/>
    </w:rPr>
  </w:style>
  <w:style w:type="character" w:customStyle="1" w:styleId="271">
    <w:name w:val="正文文本 2 Char"/>
    <w:link w:val="39"/>
    <w:qFormat/>
    <w:uiPriority w:val="0"/>
    <w:rPr>
      <w:rFonts w:ascii="仿宋_GB2312" w:eastAsia="仿宋_GB2312"/>
      <w:kern w:val="2"/>
      <w:sz w:val="32"/>
      <w:szCs w:val="24"/>
      <w:lang w:val="en-US" w:eastAsia="zh-CN" w:bidi="ar-SA"/>
    </w:rPr>
  </w:style>
  <w:style w:type="character" w:customStyle="1" w:styleId="272">
    <w:name w:val="标题 2 Char"/>
    <w:link w:val="4"/>
    <w:qFormat/>
    <w:uiPriority w:val="0"/>
    <w:rPr>
      <w:rFonts w:ascii="黑体" w:hAnsi="宋体" w:eastAsia="黑体"/>
      <w:bCs/>
      <w:kern w:val="44"/>
      <w:sz w:val="21"/>
      <w:szCs w:val="24"/>
    </w:rPr>
  </w:style>
  <w:style w:type="character" w:customStyle="1" w:styleId="273">
    <w:name w:val="lineitems1"/>
    <w:qFormat/>
    <w:uiPriority w:val="0"/>
    <w:rPr>
      <w:sz w:val="17"/>
      <w:szCs w:val="17"/>
    </w:rPr>
  </w:style>
  <w:style w:type="character" w:customStyle="1" w:styleId="274">
    <w:name w:val="题注 Char1"/>
    <w:qFormat/>
    <w:uiPriority w:val="0"/>
    <w:rPr>
      <w:rFonts w:ascii="Arial" w:hAnsi="Arial" w:eastAsia="宋体" w:cs="Arial"/>
      <w:kern w:val="2"/>
      <w:lang w:val="en-US" w:eastAsia="zh-CN" w:bidi="ar-SA"/>
    </w:rPr>
  </w:style>
  <w:style w:type="character" w:customStyle="1" w:styleId="275">
    <w:name w:val="标题 3 Char Char"/>
    <w:qFormat/>
    <w:uiPriority w:val="0"/>
    <w:rPr>
      <w:rFonts w:eastAsia="宋体"/>
      <w:b/>
      <w:bCs/>
      <w:kern w:val="2"/>
      <w:sz w:val="32"/>
      <w:szCs w:val="32"/>
      <w:lang w:val="en-US" w:eastAsia="zh-CN" w:bidi="ar-SA"/>
    </w:rPr>
  </w:style>
  <w:style w:type="character" w:customStyle="1" w:styleId="276">
    <w:name w:val="标题 5 Char"/>
    <w:link w:val="8"/>
    <w:qFormat/>
    <w:uiPriority w:val="0"/>
    <w:rPr>
      <w:rFonts w:eastAsia="宋体"/>
      <w:b/>
      <w:kern w:val="2"/>
      <w:sz w:val="28"/>
      <w:lang w:val="en-US" w:eastAsia="zh-CN" w:bidi="ar-SA"/>
    </w:rPr>
  </w:style>
  <w:style w:type="character" w:customStyle="1" w:styleId="277">
    <w:name w:val="p12"/>
    <w:basedOn w:val="47"/>
    <w:qFormat/>
    <w:uiPriority w:val="0"/>
  </w:style>
  <w:style w:type="character" w:customStyle="1" w:styleId="278">
    <w:name w:val="正文缩进 Char2"/>
    <w:link w:val="59"/>
    <w:qFormat/>
    <w:uiPriority w:val="0"/>
    <w:rPr>
      <w:rFonts w:ascii="宋体" w:eastAsia="宋体"/>
      <w:sz w:val="34"/>
      <w:lang w:bidi="ar-SA"/>
    </w:rPr>
  </w:style>
  <w:style w:type="character" w:customStyle="1" w:styleId="279">
    <w:name w:val="标题 9 Char Char"/>
    <w:qFormat/>
    <w:uiPriority w:val="0"/>
    <w:rPr>
      <w:rFonts w:ascii="Arial" w:hAnsi="Arial" w:eastAsia="黑体"/>
      <w:kern w:val="2"/>
      <w:sz w:val="21"/>
      <w:szCs w:val="21"/>
      <w:lang w:val="en-US" w:eastAsia="zh-CN" w:bidi="ar-SA"/>
    </w:rPr>
  </w:style>
  <w:style w:type="character" w:customStyle="1" w:styleId="280">
    <w:name w:val="标题 7 Char"/>
    <w:link w:val="10"/>
    <w:qFormat/>
    <w:uiPriority w:val="0"/>
    <w:rPr>
      <w:rFonts w:eastAsia="宋体"/>
      <w:b/>
      <w:kern w:val="2"/>
      <w:sz w:val="24"/>
      <w:lang w:val="en-US" w:eastAsia="zh-CN" w:bidi="ar-SA"/>
    </w:rPr>
  </w:style>
  <w:style w:type="character" w:customStyle="1" w:styleId="281">
    <w:name w:val="flname7"/>
    <w:basedOn w:val="47"/>
    <w:qFormat/>
    <w:uiPriority w:val="0"/>
  </w:style>
  <w:style w:type="character" w:customStyle="1" w:styleId="282">
    <w:name w:val="正文缩进 Char"/>
    <w:link w:val="5"/>
    <w:qFormat/>
    <w:uiPriority w:val="0"/>
    <w:rPr>
      <w:rFonts w:ascii="宋体" w:eastAsia="宋体"/>
      <w:sz w:val="34"/>
      <w:lang w:val="en-US" w:eastAsia="zh-CN" w:bidi="ar-SA"/>
    </w:rPr>
  </w:style>
  <w:style w:type="character" w:customStyle="1" w:styleId="283">
    <w:name w:val="样式5 Char Char"/>
    <w:link w:val="60"/>
    <w:qFormat/>
    <w:uiPriority w:val="0"/>
    <w:rPr>
      <w:rFonts w:ascii="宋体" w:hAnsi="宋体" w:eastAsia="宋体" w:cs="Arial"/>
      <w:b/>
      <w:kern w:val="2"/>
      <w:sz w:val="24"/>
      <w:szCs w:val="24"/>
      <w:lang w:val="en-US" w:eastAsia="zh-CN" w:bidi="ar-SA"/>
    </w:rPr>
  </w:style>
  <w:style w:type="character" w:customStyle="1" w:styleId="284">
    <w:name w:val="text1"/>
    <w:qFormat/>
    <w:uiPriority w:val="0"/>
    <w:rPr>
      <w:sz w:val="20"/>
      <w:szCs w:val="20"/>
    </w:rPr>
  </w:style>
  <w:style w:type="character" w:customStyle="1" w:styleId="285">
    <w:name w:val="样式2"/>
    <w:qFormat/>
    <w:uiPriority w:val="0"/>
    <w:rPr>
      <w:rFonts w:eastAsia="华文楷体"/>
      <w:b/>
      <w:sz w:val="32"/>
    </w:rPr>
  </w:style>
  <w:style w:type="character" w:customStyle="1" w:styleId="286">
    <w:name w:val="页眉 Char Char"/>
    <w:qFormat/>
    <w:uiPriority w:val="0"/>
    <w:rPr>
      <w:rFonts w:eastAsia="宋体"/>
      <w:sz w:val="18"/>
      <w:szCs w:val="18"/>
      <w:lang w:bidi="ar-SA"/>
    </w:rPr>
  </w:style>
  <w:style w:type="character" w:customStyle="1" w:styleId="287">
    <w:name w:val="标题 3 Char"/>
    <w:link w:val="6"/>
    <w:qFormat/>
    <w:uiPriority w:val="0"/>
    <w:rPr>
      <w:rFonts w:ascii="黑体" w:eastAsia="黑体"/>
      <w:bCs/>
      <w:color w:val="000000"/>
      <w:kern w:val="2"/>
      <w:sz w:val="21"/>
      <w:szCs w:val="24"/>
    </w:rPr>
  </w:style>
  <w:style w:type="character" w:customStyle="1" w:styleId="288">
    <w:name w:val="书籍标题3 Char1"/>
    <w:link w:val="61"/>
    <w:qFormat/>
    <w:uiPriority w:val="0"/>
    <w:rPr>
      <w:b/>
      <w:bCs/>
      <w:spacing w:val="20"/>
      <w:kern w:val="2"/>
      <w:sz w:val="28"/>
      <w:szCs w:val="28"/>
    </w:rPr>
  </w:style>
  <w:style w:type="character" w:customStyle="1" w:styleId="289">
    <w:name w:val="正文文本缩进 Char"/>
    <w:link w:val="18"/>
    <w:qFormat/>
    <w:uiPriority w:val="0"/>
    <w:rPr>
      <w:rFonts w:ascii="仿宋_GB2312" w:eastAsia="仿宋_GB2312"/>
      <w:sz w:val="28"/>
      <w:lang w:val="en-US" w:eastAsia="zh-CN" w:bidi="ar-SA"/>
    </w:rPr>
  </w:style>
  <w:style w:type="character" w:customStyle="1" w:styleId="290">
    <w:name w:val="页眉 Char"/>
    <w:link w:val="29"/>
    <w:qFormat/>
    <w:uiPriority w:val="99"/>
    <w:rPr>
      <w:rFonts w:eastAsia="宋体"/>
      <w:kern w:val="2"/>
      <w:sz w:val="18"/>
      <w:lang w:val="en-US" w:eastAsia="zh-CN" w:bidi="ar-SA"/>
    </w:rPr>
  </w:style>
  <w:style w:type="character" w:customStyle="1" w:styleId="291">
    <w:name w:val="标题 Char"/>
    <w:link w:val="43"/>
    <w:qFormat/>
    <w:uiPriority w:val="0"/>
    <w:rPr>
      <w:rFonts w:ascii="Cambria" w:hAnsi="Cambria"/>
      <w:b/>
      <w:bCs/>
      <w:kern w:val="2"/>
      <w:sz w:val="32"/>
      <w:szCs w:val="32"/>
    </w:rPr>
  </w:style>
  <w:style w:type="character" w:customStyle="1" w:styleId="292">
    <w:name w:val="标题 8 Char Char"/>
    <w:qFormat/>
    <w:uiPriority w:val="0"/>
    <w:rPr>
      <w:rFonts w:ascii="Arial" w:hAnsi="Arial" w:eastAsia="黑体"/>
      <w:kern w:val="2"/>
      <w:sz w:val="24"/>
      <w:szCs w:val="24"/>
      <w:lang w:val="en-US" w:eastAsia="zh-CN" w:bidi="ar-SA"/>
    </w:rPr>
  </w:style>
  <w:style w:type="character" w:customStyle="1" w:styleId="293">
    <w:name w:val="正文文本缩进 2 Char Char"/>
    <w:qFormat/>
    <w:uiPriority w:val="0"/>
    <w:rPr>
      <w:rFonts w:eastAsia="仿宋_GB2312"/>
      <w:sz w:val="30"/>
      <w:lang w:bidi="ar-SA"/>
    </w:rPr>
  </w:style>
  <w:style w:type="character" w:customStyle="1" w:styleId="294">
    <w:name w:val="标题 7 Char Char"/>
    <w:qFormat/>
    <w:uiPriority w:val="0"/>
    <w:rPr>
      <w:rFonts w:eastAsia="宋体"/>
      <w:b/>
      <w:bCs/>
      <w:kern w:val="2"/>
      <w:sz w:val="24"/>
      <w:szCs w:val="24"/>
      <w:lang w:val="en-US" w:eastAsia="zh-CN" w:bidi="ar-SA"/>
    </w:rPr>
  </w:style>
  <w:style w:type="character" w:customStyle="1" w:styleId="295">
    <w:name w:val="HTML 地址 Char"/>
    <w:link w:val="20"/>
    <w:qFormat/>
    <w:uiPriority w:val="0"/>
    <w:rPr>
      <w:i/>
      <w:kern w:val="2"/>
      <w:sz w:val="21"/>
      <w:szCs w:val="24"/>
    </w:rPr>
  </w:style>
  <w:style w:type="character" w:customStyle="1" w:styleId="296">
    <w:name w:val="标题 1 Char"/>
    <w:link w:val="3"/>
    <w:qFormat/>
    <w:uiPriority w:val="0"/>
    <w:rPr>
      <w:rFonts w:ascii="黑体" w:eastAsia="黑体"/>
      <w:bCs/>
      <w:kern w:val="44"/>
      <w:sz w:val="24"/>
      <w:szCs w:val="24"/>
    </w:rPr>
  </w:style>
  <w:style w:type="character" w:customStyle="1" w:styleId="297">
    <w:name w:val="批注文字 Char"/>
    <w:link w:val="17"/>
    <w:qFormat/>
    <w:uiPriority w:val="0"/>
    <w:rPr>
      <w:kern w:val="2"/>
      <w:sz w:val="24"/>
      <w:szCs w:val="24"/>
    </w:rPr>
  </w:style>
  <w:style w:type="character" w:customStyle="1" w:styleId="298">
    <w:name w:val="页脚 Char"/>
    <w:link w:val="28"/>
    <w:qFormat/>
    <w:uiPriority w:val="0"/>
    <w:rPr>
      <w:rFonts w:eastAsia="宋体"/>
      <w:kern w:val="2"/>
      <w:sz w:val="18"/>
      <w:lang w:val="en-US" w:eastAsia="zh-CN" w:bidi="ar-SA"/>
    </w:rPr>
  </w:style>
  <w:style w:type="character" w:customStyle="1" w:styleId="299">
    <w:name w:val="正文首行缩进 Char"/>
    <w:link w:val="44"/>
    <w:qFormat/>
    <w:uiPriority w:val="0"/>
    <w:rPr>
      <w:rFonts w:ascii="Calibri" w:hAnsi="Calibri" w:eastAsia="宋体"/>
      <w:kern w:val="2"/>
      <w:sz w:val="21"/>
      <w:szCs w:val="22"/>
      <w:lang w:val="en-US" w:eastAsia="zh-CN" w:bidi="ar-SA"/>
    </w:rPr>
  </w:style>
  <w:style w:type="character" w:customStyle="1" w:styleId="300">
    <w:name w:val="纯文本 Char Char"/>
    <w:qFormat/>
    <w:uiPriority w:val="0"/>
    <w:rPr>
      <w:rFonts w:ascii="宋体" w:hAnsi="Courier New"/>
      <w:kern w:val="2"/>
      <w:sz w:val="21"/>
      <w:lang w:bidi="ar-SA"/>
    </w:rPr>
  </w:style>
  <w:style w:type="character" w:customStyle="1" w:styleId="301">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302">
    <w:name w:val="标题 6 Char Char"/>
    <w:qFormat/>
    <w:uiPriority w:val="0"/>
    <w:rPr>
      <w:rFonts w:ascii="Arial" w:hAnsi="Arial" w:eastAsia="黑体"/>
      <w:b/>
      <w:bCs/>
      <w:kern w:val="2"/>
      <w:sz w:val="24"/>
      <w:szCs w:val="24"/>
      <w:lang w:val="en-US" w:eastAsia="zh-CN" w:bidi="ar-SA"/>
    </w:rPr>
  </w:style>
  <w:style w:type="character" w:customStyle="1" w:styleId="303">
    <w:name w:val="细目1 Char Char"/>
    <w:link w:val="63"/>
    <w:qFormat/>
    <w:uiPriority w:val="0"/>
    <w:rPr>
      <w:b/>
      <w:color w:val="215868"/>
      <w:kern w:val="2"/>
      <w:sz w:val="24"/>
      <w:szCs w:val="24"/>
    </w:rPr>
  </w:style>
  <w:style w:type="character" w:customStyle="1" w:styleId="304">
    <w:name w:val="Char Char9"/>
    <w:qFormat/>
    <w:uiPriority w:val="0"/>
    <w:rPr>
      <w:rFonts w:ascii="宋体" w:hAnsi="Courier New" w:eastAsia="宋体"/>
      <w:kern w:val="2"/>
      <w:sz w:val="21"/>
      <w:lang w:val="en-US" w:eastAsia="zh-CN" w:bidi="ar-SA"/>
    </w:rPr>
  </w:style>
  <w:style w:type="character" w:customStyle="1" w:styleId="305">
    <w:name w:val="apple-converted-space"/>
    <w:qFormat/>
    <w:uiPriority w:val="0"/>
    <w:rPr>
      <w:rFonts w:cs="Times New Roman"/>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customStyle="1" w:styleId="308">
    <w:name w:val="Placeholder Text"/>
    <w:basedOn w:val="47"/>
    <w:semiHidden/>
    <w:qFormat/>
    <w:uiPriority w:val="99"/>
    <w:rPr>
      <w:color w:val="808080"/>
    </w:rPr>
  </w:style>
  <w:style w:type="character" w:customStyle="1" w:styleId="309">
    <w:name w:val="正文缩进 Char3"/>
    <w:qFormat/>
    <w:uiPriority w:val="0"/>
    <w:rPr>
      <w:rFonts w:ascii="宋体" w:eastAsia="宋体"/>
      <w:sz w:val="34"/>
      <w:lang w:val="en-US" w:eastAsia="zh-CN" w:bidi="ar-SA"/>
    </w:rPr>
  </w:style>
  <w:style w:type="character" w:customStyle="1" w:styleId="310">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41588</Words>
  <Characters>43007</Characters>
  <Lines>286</Lines>
  <Paragraphs>80</Paragraphs>
  <TotalTime>1</TotalTime>
  <ScaleCrop>false</ScaleCrop>
  <LinksUpToDate>false</LinksUpToDate>
  <CharactersWithSpaces>47990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2022-11-18T03:52:00Z</cp:lastPrinted>
  <dcterms:modified xsi:type="dcterms:W3CDTF">2023-06-19T02:54:34Z</dcterms:modified>
  <dc:title>货物公开招标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E1F259155FE24C4E88299200782D48BA_13</vt:lpwstr>
  </property>
</Properties>
</file>