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1270" b="184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5"/>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单一来源</w:t>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谈  判  文  件</w:t>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4"/>
        <w:tblpPr w:leftFromText="180" w:rightFromText="180" w:vertAnchor="text" w:tblpXSpec="center" w:tblpY="1"/>
        <w:tblOverlap w:val="never"/>
        <w:tblW w:w="9620" w:type="dxa"/>
        <w:jc w:val="center"/>
        <w:tblLayout w:type="fixed"/>
        <w:tblCellMar>
          <w:top w:w="0" w:type="dxa"/>
          <w:left w:w="108" w:type="dxa"/>
          <w:bottom w:w="0" w:type="dxa"/>
          <w:right w:w="108" w:type="dxa"/>
        </w:tblCellMar>
      </w:tblPr>
      <w:tblGrid>
        <w:gridCol w:w="1951"/>
        <w:gridCol w:w="284"/>
        <w:gridCol w:w="7385"/>
      </w:tblGrid>
      <w:tr>
        <w:tblPrEx>
          <w:tblCellMar>
            <w:top w:w="0" w:type="dxa"/>
            <w:left w:w="108" w:type="dxa"/>
            <w:bottom w:w="0" w:type="dxa"/>
            <w:right w:w="108" w:type="dxa"/>
          </w:tblCellMar>
        </w:tblPrEx>
        <w:trPr>
          <w:trHeight w:val="394" w:hRule="atLeast"/>
          <w:jc w:val="center"/>
        </w:trPr>
        <w:tc>
          <w:tcPr>
            <w:tcW w:w="1951" w:type="dxa"/>
            <w:vAlign w:val="center"/>
          </w:tcPr>
          <w:p>
            <w:pPr>
              <w:pStyle w:val="23"/>
              <w:widowControl/>
              <w:adjustRightInd w:val="0"/>
              <w:snapToGrid w:val="0"/>
              <w:spacing w:line="360" w:lineRule="auto"/>
              <w:jc w:val="distribute"/>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w:t>
            </w:r>
          </w:p>
        </w:tc>
        <w:tc>
          <w:tcPr>
            <w:tcW w:w="7385" w:type="dxa"/>
            <w:vAlign w:val="center"/>
          </w:tcPr>
          <w:p>
            <w:pPr>
              <w:pStyle w:val="23"/>
              <w:widowControl/>
              <w:adjustRightInd w:val="0"/>
              <w:snapToGrid w:val="0"/>
              <w:spacing w:line="360" w:lineRule="auto"/>
              <w:jc w:val="left"/>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hAnsi="宋体" w:cs="宋体"/>
                <w:b/>
                <w:bCs/>
                <w:color w:val="000000" w:themeColor="text1"/>
                <w:sz w:val="28"/>
                <w:szCs w:val="28"/>
                <w:highlight w:val="none"/>
                <w:lang w:eastAsia="zh-CN"/>
                <w14:textFill>
                  <w14:solidFill>
                    <w14:schemeClr w14:val="tx1"/>
                  </w14:solidFill>
                </w14:textFill>
              </w:rPr>
              <w:t>YXZB-20230223</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w:t>
            </w:r>
          </w:p>
        </w:tc>
        <w:tc>
          <w:tcPr>
            <w:tcW w:w="7385" w:type="dxa"/>
            <w:vAlign w:val="center"/>
          </w:tcPr>
          <w:p>
            <w:pPr>
              <w:pStyle w:val="23"/>
              <w:widowControl/>
              <w:adjustRightInd w:val="0"/>
              <w:snapToGrid w:val="0"/>
              <w:spacing w:line="360" w:lineRule="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hAnsi="宋体" w:cs="宋体"/>
                <w:b/>
                <w:bCs/>
                <w:color w:val="000000" w:themeColor="text1"/>
                <w:sz w:val="28"/>
                <w:szCs w:val="28"/>
                <w:highlight w:val="none"/>
                <w:lang w:eastAsia="zh-CN"/>
                <w14:textFill>
                  <w14:solidFill>
                    <w14:schemeClr w14:val="tx1"/>
                  </w14:solidFill>
                </w14:textFill>
              </w:rPr>
              <w:t>阳西县2023-2024年度党政机关和事业单位会议定点场所采购项目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w:t>
            </w:r>
          </w:p>
        </w:tc>
        <w:tc>
          <w:tcPr>
            <w:tcW w:w="7385" w:type="dxa"/>
            <w:vAlign w:val="center"/>
          </w:tcPr>
          <w:p>
            <w:pPr>
              <w:pStyle w:val="23"/>
              <w:widowControl/>
              <w:adjustRightInd w:val="0"/>
              <w:snapToGrid w:val="0"/>
              <w:spacing w:line="360" w:lineRule="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hAnsi="宋体" w:cs="宋体"/>
                <w:b/>
                <w:bCs/>
                <w:color w:val="000000" w:themeColor="text1"/>
                <w:sz w:val="28"/>
                <w:szCs w:val="28"/>
                <w:highlight w:val="none"/>
                <w:lang w:eastAsia="zh-CN"/>
                <w14:textFill>
                  <w14:solidFill>
                    <w14:schemeClr w14:val="tx1"/>
                  </w14:solidFill>
                </w14:textFill>
              </w:rPr>
              <w:t>阳西县财政局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w:t>
            </w:r>
          </w:p>
        </w:tc>
        <w:tc>
          <w:tcPr>
            <w:tcW w:w="7385" w:type="dxa"/>
            <w:vAlign w:val="center"/>
          </w:tcPr>
          <w:p>
            <w:pPr>
              <w:pStyle w:val="23"/>
              <w:widowControl/>
              <w:adjustRightInd w:val="0"/>
              <w:snapToGrid w:val="0"/>
              <w:spacing w:line="360" w:lineRule="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ascii="黑体" w:eastAsia="黑体"/>
          <w:bCs/>
          <w:color w:val="000000" w:themeColor="text1"/>
          <w:sz w:val="24"/>
          <w:szCs w:val="24"/>
          <w:highlight w:val="none"/>
          <w14:textFill>
            <w14:solidFill>
              <w14:schemeClr w14:val="tx1"/>
            </w14:solidFill>
          </w14:textFill>
        </w:rPr>
      </w:pPr>
      <w:r>
        <w:rPr>
          <w:rFonts w:hint="eastAsia" w:ascii="黑体" w:eastAsia="黑体"/>
          <w:bCs/>
          <w:color w:val="000000" w:themeColor="text1"/>
          <w:sz w:val="24"/>
          <w:szCs w:val="24"/>
          <w:highlight w:val="none"/>
          <w14:textFill>
            <w14:solidFill>
              <w14:schemeClr w14:val="tx1"/>
            </w14:solidFill>
          </w14:textFill>
        </w:rPr>
        <w:t>二○二</w:t>
      </w:r>
      <w:r>
        <w:rPr>
          <w:rFonts w:hint="eastAsia" w:ascii="黑体" w:eastAsia="黑体"/>
          <w:bCs/>
          <w:color w:val="000000" w:themeColor="text1"/>
          <w:sz w:val="24"/>
          <w:szCs w:val="24"/>
          <w:highlight w:val="none"/>
          <w:lang w:val="en-US" w:eastAsia="zh-CN"/>
          <w14:textFill>
            <w14:solidFill>
              <w14:schemeClr w14:val="tx1"/>
            </w14:solidFill>
          </w14:textFill>
        </w:rPr>
        <w:t>三</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三</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r>
        <w:rPr>
          <w:rFonts w:hint="eastAsia" w:ascii="宋体" w:hAnsi="宋体"/>
          <w:b/>
          <w:color w:val="000000" w:themeColor="text1"/>
          <w:szCs w:val="21"/>
          <w:highlight w:val="none"/>
          <w14:textFill>
            <w14:solidFill>
              <w14:schemeClr w14:val="tx1"/>
            </w14:solidFill>
          </w14:textFill>
        </w:rPr>
        <w:t>递交投标文件时间为投标截止时间前半小时。</w:t>
      </w:r>
    </w:p>
    <w:p>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报价要求详见谈判文件《报价一览表》</w:t>
      </w:r>
      <w:r>
        <w:rPr>
          <w:rFonts w:ascii="宋体" w:hAnsi="宋体"/>
          <w:color w:val="000000" w:themeColor="text1"/>
          <w:szCs w:val="21"/>
          <w:highlight w:val="none"/>
          <w14:textFill>
            <w14:solidFill>
              <w14:schemeClr w14:val="tx1"/>
            </w14:solidFill>
          </w14:textFill>
        </w:rPr>
        <w:t>。</w:t>
      </w:r>
    </w:p>
    <w:p>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一览表》、</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法定代表人（负责人）</w:t>
      </w:r>
      <w:r>
        <w:rPr>
          <w:rFonts w:hint="eastAsia" w:ascii="宋体" w:hAnsi="宋体"/>
          <w:color w:val="000000" w:themeColor="text1"/>
          <w:szCs w:val="21"/>
          <w:highlight w:val="none"/>
          <w14:textFill>
            <w14:solidFill>
              <w14:schemeClr w14:val="tx1"/>
            </w14:solidFill>
          </w14:textFill>
        </w:rPr>
        <w:t>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分公司作为投标人的，需提供具有法人资格的总公司的营业执照副本复印件及授权书。总公司可就本项目或此类项目在一定范围或时间内出具唯一的投标授权书。</w:t>
      </w:r>
    </w:p>
    <w:p>
      <w:pPr>
        <w:numPr>
          <w:ilvl w:val="0"/>
          <w:numId w:val="4"/>
        </w:numPr>
        <w:spacing w:line="360" w:lineRule="auto"/>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4"/>
        </w:numPr>
        <w:spacing w:line="360" w:lineRule="auto"/>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360" w:lineRule="auto"/>
        <w:jc w:val="center"/>
        <w:rPr>
          <w:rFonts w:ascii="黑体" w:eastAsia="黑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rPr>
          <w:rFonts w:ascii="黑体" w:eastAsia="黑体"/>
          <w:bCs/>
          <w:color w:val="000000" w:themeColor="text1"/>
          <w:sz w:val="24"/>
          <w:szCs w:val="24"/>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24"/>
          <w:szCs w:val="24"/>
          <w:highlight w:val="none"/>
          <w14:textFill>
            <w14:solidFill>
              <w14:schemeClr w14:val="tx1"/>
            </w14:solidFill>
          </w14:textFill>
        </w:rPr>
        <w:sectPr>
          <w:footerReference r:id="rId5" w:type="first"/>
          <w:footerReference r:id="rId3" w:type="default"/>
          <w:footerReference r:id="rId4" w:type="even"/>
          <w:pgSz w:w="11907" w:h="16840"/>
          <w:pgMar w:top="1701" w:right="1474" w:bottom="1134" w:left="1474" w:header="851" w:footer="851" w:gutter="0"/>
          <w:cols w:space="720" w:num="1"/>
          <w:titlePg/>
          <w:docGrid w:linePitch="380" w:charSpace="-5735"/>
        </w:sectPr>
      </w:pPr>
    </w:p>
    <w:p>
      <w:pPr>
        <w:pStyle w:val="37"/>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     录</w:t>
      </w:r>
    </w:p>
    <w:p>
      <w:pPr>
        <w:pStyle w:val="31"/>
        <w:tabs>
          <w:tab w:val="right" w:leader="dot" w:pos="9184"/>
          <w:tab w:val="clear" w:pos="82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_Toc24819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 xml:space="preserve">第一部分  </w:t>
      </w:r>
      <w:r>
        <w:rPr>
          <w:rFonts w:hint="eastAsia"/>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9184"/>
          <w:tab w:val="clear" w:pos="82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_Toc13595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9184"/>
          <w:tab w:val="clear" w:pos="82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_Toc14296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YXZB-20230223</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_Toc7218 </w:instrText>
      </w:r>
      <w:r>
        <w:rPr>
          <w:color w:val="000000" w:themeColor="text1"/>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阳西县2023-2024年度党政机关和事业单位会议定点场所采购项目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_Toc10977 </w:instrText>
      </w:r>
      <w:r>
        <w:rPr>
          <w:color w:val="000000" w:themeColor="text1"/>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_Toc1875 </w:instrText>
      </w:r>
      <w:r>
        <w:rPr>
          <w:color w:val="000000" w:themeColor="text1"/>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9184"/>
          <w:tab w:val="clear" w:pos="82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_Toc25968 </w:instrText>
      </w:r>
      <w:r>
        <w:rPr>
          <w:color w:val="000000" w:themeColor="text1"/>
          <w:highlight w:val="none"/>
          <w14:textFill>
            <w14:solidFill>
              <w14:schemeClr w14:val="tx1"/>
            </w14:solidFill>
          </w14:textFill>
        </w:rPr>
        <w:fldChar w:fldCharType="separate"/>
      </w:r>
      <w:r>
        <w:rPr>
          <w:rFonts w:hint="eastAsia"/>
          <w:bCs/>
          <w:color w:val="000000" w:themeColor="text1"/>
          <w:szCs w:val="21"/>
          <w:highlight w:val="none"/>
          <w14:textFill>
            <w14:solidFill>
              <w14:schemeClr w14:val="tx1"/>
            </w14:solidFill>
          </w14:textFill>
        </w:rPr>
        <w:t>第三部分 谈判须知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_Toc2538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谈判须知前附表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_Toc21621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_Toc12185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二、谈判文件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_Toc1486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三、单一来源谈判响应文件的编制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_Toc17536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四、谈判报价要求和响应供应商资格证明文件的要求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_Toc7149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五、谈判保证金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_Toc5325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六、单一来源谈判响应文件的份数、封装和递交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_Toc16293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七、谈判的步骤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_Toc1509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_Toc2365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_Toc15770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_Toc25407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_Toc28750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9184"/>
          <w:tab w:val="clear" w:pos="82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_Toc15517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9184"/>
          <w:tab w:val="clear" w:pos="82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_Toc29937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  单一来源谈判响应文件格式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_Toc19743 </w:instrText>
      </w:r>
      <w:r>
        <w:rPr>
          <w:color w:val="000000" w:themeColor="text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_Toc30273 </w:instrText>
      </w:r>
      <w:r>
        <w:rPr>
          <w:color w:val="000000" w:themeColor="text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_Toc1603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_Toc4790 </w:instrText>
      </w:r>
      <w:r>
        <w:rPr>
          <w:color w:val="000000" w:themeColor="text1"/>
          <w:highlight w:val="none"/>
          <w14:textFill>
            <w14:solidFill>
              <w14:schemeClr w14:val="tx1"/>
            </w14:solidFill>
          </w14:textFill>
        </w:rPr>
        <w:fldChar w:fldCharType="separate"/>
      </w:r>
      <w:r>
        <w:rPr>
          <w:rFonts w:hint="eastAsia"/>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_Toc23526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_Toc2288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（四）财务报表、缴税证明、社会保险登记证明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_Toc11122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（五）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_Toc15545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_Toc32115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附件一：谈判邀请函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_Toc199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附件二：承诺书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_Toc31923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附件三：报价一览表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_Toc13287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四</w:t>
      </w:r>
      <w:r>
        <w:rPr>
          <w:rFonts w:hint="eastAsia"/>
          <w:color w:val="000000" w:themeColor="text1"/>
          <w:szCs w:val="28"/>
          <w:highlight w:val="none"/>
          <w14:textFill>
            <w14:solidFill>
              <w14:schemeClr w14:val="tx1"/>
            </w14:solidFill>
          </w14:textFill>
        </w:rPr>
        <w:t>：</w:t>
      </w:r>
      <w:r>
        <w:rPr>
          <w:rFonts w:hint="eastAsia"/>
          <w:color w:val="000000" w:themeColor="text1"/>
          <w:szCs w:val="28"/>
          <w:highlight w:val="none"/>
          <w14:textFill>
            <w14:solidFill>
              <w14:schemeClr w14:val="tx1"/>
            </w14:solidFill>
          </w14:textFill>
        </w:rPr>
        <w:t>谈判分项报价</w:t>
      </w:r>
      <w:r>
        <w:rPr>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_Toc5966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五</w:t>
      </w:r>
      <w:r>
        <w:rPr>
          <w:rFonts w:hint="eastAsia"/>
          <w:color w:val="000000" w:themeColor="text1"/>
          <w:szCs w:val="28"/>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_Toc29761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六</w:t>
      </w:r>
      <w:r>
        <w:rPr>
          <w:rFonts w:hint="eastAsia"/>
          <w:color w:val="000000" w:themeColor="text1"/>
          <w:szCs w:val="28"/>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_Toc8547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七</w:t>
      </w:r>
      <w:r>
        <w:rPr>
          <w:rFonts w:hint="eastAsia"/>
          <w:color w:val="000000" w:themeColor="text1"/>
          <w:szCs w:val="28"/>
          <w:highlight w:val="none"/>
          <w14:textFill>
            <w14:solidFill>
              <w14:schemeClr w14:val="tx1"/>
            </w14:solidFill>
          </w14:textFill>
        </w:rPr>
        <w:t>：项目实施方案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_Toc450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八</w:t>
      </w:r>
      <w:r>
        <w:rPr>
          <w:rFonts w:hint="eastAsia"/>
          <w:color w:val="000000" w:themeColor="text1"/>
          <w:szCs w:val="28"/>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_Toc20039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九</w:t>
      </w:r>
      <w:r>
        <w:rPr>
          <w:rFonts w:hint="eastAsia"/>
          <w:color w:val="000000" w:themeColor="text1"/>
          <w:szCs w:val="28"/>
          <w:highlight w:val="none"/>
          <w14:textFill>
            <w14:solidFill>
              <w14:schemeClr w14:val="tx1"/>
            </w14:solidFill>
          </w14:textFill>
        </w:rPr>
        <w:t>：谈判供应商提交的其他资料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_Toc28927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_Toc15469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rPr>
          <w:color w:val="000000" w:themeColor="text1"/>
          <w:szCs w:val="28"/>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pStyle w:val="37"/>
        <w:rPr>
          <w:rFonts w:ascii="宋体"/>
          <w:color w:val="000000" w:themeColor="text1"/>
          <w:highlight w:val="none"/>
          <w14:textFill>
            <w14:solidFill>
              <w14:schemeClr w14:val="tx1"/>
            </w14:solidFill>
          </w14:textFill>
        </w:rPr>
      </w:pPr>
      <w:bookmarkStart w:id="0" w:name="_Toc351990139"/>
      <w:bookmarkStart w:id="1" w:name="_Toc369180016"/>
      <w:bookmarkStart w:id="2" w:name="_Toc351988703"/>
      <w:bookmarkStart w:id="3" w:name="_Toc351986012"/>
      <w:bookmarkStart w:id="4" w:name="_Toc351987762"/>
      <w:bookmarkStart w:id="5" w:name="_Toc353522386"/>
      <w:bookmarkStart w:id="6" w:name="_Toc351987958"/>
      <w:bookmarkStart w:id="7" w:name="_Toc357151162"/>
      <w:bookmarkStart w:id="8" w:name="_Toc351986192"/>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9"/>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24819"/>
      <w:r>
        <w:rPr>
          <w:rFonts w:hint="eastAsia" w:ascii="宋体" w:hAnsi="宋体"/>
          <w:color w:val="000000" w:themeColor="text1"/>
          <w:sz w:val="21"/>
          <w:szCs w:val="21"/>
          <w:highlight w:val="none"/>
          <w14:textFill>
            <w14:solidFill>
              <w14:schemeClr w14:val="tx1"/>
            </w14:solidFill>
          </w14:textFill>
        </w:rPr>
        <w:t xml:space="preserve">第一部分  </w:t>
      </w:r>
      <w:r>
        <w:rPr>
          <w:rFonts w:hint="eastAsia"/>
          <w:color w:val="000000" w:themeColor="text1"/>
          <w:sz w:val="21"/>
          <w:szCs w:val="21"/>
          <w:highlight w:val="none"/>
          <w14:textFill>
            <w14:solidFill>
              <w14:schemeClr w14:val="tx1"/>
            </w14:solidFill>
          </w14:textFill>
        </w:rPr>
        <w:t>谈判</w:t>
      </w:r>
      <w:r>
        <w:rPr>
          <w:rFonts w:hint="eastAsia" w:ascii="宋体" w:hAnsi="宋体"/>
          <w:color w:val="000000" w:themeColor="text1"/>
          <w:sz w:val="21"/>
          <w:szCs w:val="21"/>
          <w:highlight w:val="none"/>
          <w14:textFill>
            <w14:solidFill>
              <w14:schemeClr w14:val="tx1"/>
            </w14:solidFill>
          </w14:textFill>
        </w:rPr>
        <w:t>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u w:val="single"/>
          <w:lang w:eastAsia="zh-CN"/>
          <w14:textFill>
            <w14:solidFill>
              <w14:schemeClr w14:val="tx1"/>
            </w14:solidFill>
          </w14:textFill>
        </w:rPr>
        <w:t>阳西县财政局</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阳西县2023-2024年度党政机关和事业单位会议定点场所采购项目</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进行单一来源采购，根据规定，拟定阳西县德盛业投资有限公司九州国际大酒店和深圳市维纳斯皇冠国际酒店管理有限公司阳西店/深圳市五稻香品牌管理有限公司阳西店</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联合体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作为单一来源供应商进行谈判。</w:t>
      </w:r>
      <w:r>
        <w:rPr>
          <w:rFonts w:hint="eastAsia" w:ascii="宋体" w:hAnsi="宋体"/>
          <w:color w:val="000000" w:themeColor="text1"/>
          <w:highlight w:val="none"/>
          <w14:textFill>
            <w14:solidFill>
              <w14:schemeClr w14:val="tx1"/>
            </w14:solidFill>
          </w14:textFill>
        </w:rPr>
        <w:t>有关事项如下：</w:t>
      </w:r>
      <w:r>
        <w:rPr>
          <w:rFonts w:hint="eastAsia" w:ascii="宋体" w:hAnsi="宋体"/>
          <w:color w:val="000000" w:themeColor="text1"/>
          <w:szCs w:val="21"/>
          <w:highlight w:val="none"/>
          <w14:textFill>
            <w14:solidFill>
              <w14:schemeClr w14:val="tx1"/>
            </w14:solidFill>
          </w14:textFill>
        </w:rPr>
        <w:t xml:space="preserve"> </w:t>
      </w:r>
    </w:p>
    <w:p>
      <w:pPr>
        <w:widowControl/>
        <w:numPr>
          <w:ilvl w:val="0"/>
          <w:numId w:val="5"/>
        </w:numPr>
        <w:tabs>
          <w:tab w:val="left" w:pos="502"/>
          <w:tab w:val="left" w:pos="737"/>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项目的性质</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谈判项目编号：</w:t>
      </w:r>
      <w:r>
        <w:rPr>
          <w:rFonts w:hint="eastAsia" w:ascii="宋体" w:hAnsi="宋体"/>
          <w:bCs/>
          <w:color w:val="000000" w:themeColor="text1"/>
          <w:szCs w:val="21"/>
          <w:highlight w:val="none"/>
          <w:lang w:eastAsia="zh-CN"/>
          <w14:textFill>
            <w14:solidFill>
              <w14:schemeClr w14:val="tx1"/>
            </w14:solidFill>
          </w14:textFill>
        </w:rPr>
        <w:t>YXZB-20230223</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谈判项目名称：</w:t>
      </w:r>
      <w:r>
        <w:rPr>
          <w:rFonts w:hint="eastAsia" w:ascii="宋体" w:hAnsi="宋体"/>
          <w:bCs/>
          <w:color w:val="000000" w:themeColor="text1"/>
          <w:szCs w:val="21"/>
          <w:highlight w:val="none"/>
          <w:lang w:eastAsia="zh-CN"/>
          <w14:textFill>
            <w14:solidFill>
              <w14:schemeClr w14:val="tx1"/>
            </w14:solidFill>
          </w14:textFill>
        </w:rPr>
        <w:t>阳西县2023-2024年度党政机关和事业单位会议定点场所采购项目</w:t>
      </w:r>
      <w:r>
        <w:rPr>
          <w:rFonts w:hint="eastAsia" w:ascii="宋体" w:hAnsi="宋体"/>
          <w:bCs/>
          <w:color w:val="000000" w:themeColor="text1"/>
          <w:szCs w:val="21"/>
          <w:highlight w:val="none"/>
          <w14:textFill>
            <w14:solidFill>
              <w14:schemeClr w14:val="tx1"/>
            </w14:solidFill>
          </w14:textFill>
        </w:rPr>
        <w:t xml:space="preserve"> </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numPr>
          <w:ilvl w:val="0"/>
          <w:numId w:val="6"/>
        </w:numPr>
        <w:adjustRightInd w:val="0"/>
        <w:snapToGrid w:val="0"/>
        <w:spacing w:line="360" w:lineRule="auto"/>
        <w:ind w:firstLine="120"/>
        <w:rPr>
          <w:rFonts w:ascii="宋体" w:hAnsi="宋体" w:cs="Tahoma"/>
          <w:iCs/>
          <w:color w:val="000000" w:themeColor="text1"/>
          <w:kern w:val="28"/>
          <w:highlight w:val="none"/>
          <w14:textFill>
            <w14:solidFill>
              <w14:schemeClr w14:val="tx1"/>
            </w14:solidFill>
          </w14:textFill>
        </w:rPr>
      </w:pPr>
      <w:r>
        <w:rPr>
          <w:rFonts w:hint="eastAsia" w:ascii="宋体" w:hAnsi="宋体" w:eastAsia="宋体" w:cs="Times New Roman"/>
          <w:bCs/>
          <w:color w:val="000000" w:themeColor="text1"/>
          <w:kern w:val="2"/>
          <w:sz w:val="21"/>
          <w:szCs w:val="21"/>
          <w:highlight w:val="none"/>
          <w:lang w:val="en-US" w:eastAsia="zh-CN" w:bidi="ar-SA"/>
          <w14:textFill>
            <w14:solidFill>
              <w14:schemeClr w14:val="tx1"/>
            </w14:solidFill>
          </w14:textFill>
        </w:rPr>
        <w:t>报价方式：折扣率报价（</w:t>
      </w:r>
      <w:r>
        <w:rPr>
          <w:rFonts w:hint="eastAsia" w:ascii="宋体" w:hAnsi="宋体" w:cs="Times New Roman"/>
          <w:bCs/>
          <w:color w:val="000000" w:themeColor="text1"/>
          <w:kern w:val="2"/>
          <w:sz w:val="21"/>
          <w:szCs w:val="21"/>
          <w:highlight w:val="none"/>
          <w:lang w:val="en-US" w:eastAsia="zh-CN" w:bidi="ar-SA"/>
          <w14:textFill>
            <w14:solidFill>
              <w14:schemeClr w14:val="tx1"/>
            </w14:solidFill>
          </w14:textFill>
        </w:rPr>
        <w:t>0</w:t>
      </w:r>
      <w:r>
        <w:rPr>
          <w:rFonts w:hint="eastAsia" w:ascii="宋体" w:hAnsi="宋体" w:eastAsia="宋体" w:cs="Times New Roman"/>
          <w:bCs/>
          <w:color w:val="000000" w:themeColor="text1"/>
          <w:kern w:val="2"/>
          <w:sz w:val="21"/>
          <w:szCs w:val="21"/>
          <w:highlight w:val="none"/>
          <w:lang w:val="en-US" w:eastAsia="zh-CN" w:bidi="ar-SA"/>
          <w14:textFill>
            <w14:solidFill>
              <w14:schemeClr w14:val="tx1"/>
            </w14:solidFill>
          </w14:textFill>
        </w:rPr>
        <w:t>%</w:t>
      </w:r>
      <w:r>
        <w:rPr>
          <w:rFonts w:hint="eastAsia" w:ascii="宋体" w:hAnsi="宋体" w:cs="Times New Roman"/>
          <w:bCs/>
          <w:color w:val="000000" w:themeColor="text1"/>
          <w:kern w:val="2"/>
          <w:sz w:val="21"/>
          <w:szCs w:val="21"/>
          <w:highlight w:val="none"/>
          <w:lang w:val="en-US" w:eastAsia="zh-CN" w:bidi="ar-SA"/>
          <w14:textFill>
            <w14:solidFill>
              <w14:schemeClr w14:val="tx1"/>
            </w14:solidFill>
          </w14:textFill>
        </w:rPr>
        <w:t>-100%</w:t>
      </w:r>
      <w:r>
        <w:rPr>
          <w:rFonts w:hint="eastAsia" w:ascii="宋体" w:hAnsi="宋体" w:eastAsia="宋体" w:cs="Times New Roman"/>
          <w:bCs/>
          <w:color w:val="000000" w:themeColor="text1"/>
          <w:kern w:val="2"/>
          <w:sz w:val="21"/>
          <w:szCs w:val="21"/>
          <w:highlight w:val="none"/>
          <w:lang w:val="en-US" w:eastAsia="zh-CN" w:bidi="ar-SA"/>
          <w14:textFill>
            <w14:solidFill>
              <w14:schemeClr w14:val="tx1"/>
            </w14:solidFill>
          </w14:textFill>
        </w:rPr>
        <w:t>）</w:t>
      </w:r>
      <w:r>
        <w:rPr>
          <w:rFonts w:hint="eastAsia" w:ascii="宋体" w:hAnsi="宋体" w:cs="Times New Roman"/>
          <w:bCs/>
          <w:color w:val="000000" w:themeColor="text1"/>
          <w:kern w:val="2"/>
          <w:sz w:val="21"/>
          <w:szCs w:val="21"/>
          <w:highlight w:val="none"/>
          <w:lang w:val="en-US" w:eastAsia="zh-CN" w:bidi="ar-SA"/>
          <w14:textFill>
            <w14:solidFill>
              <w14:schemeClr w14:val="tx1"/>
            </w14:solidFill>
          </w14:textFill>
        </w:rPr>
        <w:t>（超出该上限的投标报价作无效投标处理）</w:t>
      </w:r>
    </w:p>
    <w:p>
      <w:pPr>
        <w:numPr>
          <w:ilvl w:val="0"/>
          <w:numId w:val="6"/>
        </w:numPr>
        <w:adjustRightInd w:val="0"/>
        <w:snapToGrid w:val="0"/>
        <w:spacing w:line="360" w:lineRule="auto"/>
        <w:ind w:firstLine="120"/>
        <w:rPr>
          <w:rFonts w:ascii="宋体" w:hAnsi="宋体" w:cs="Tahoma"/>
          <w:iCs/>
          <w:color w:val="000000" w:themeColor="text1"/>
          <w:kern w:val="28"/>
          <w:highlight w:val="none"/>
          <w14:textFill>
            <w14:solidFill>
              <w14:schemeClr w14:val="tx1"/>
            </w14:solidFill>
          </w14:textFill>
        </w:rPr>
      </w:pPr>
      <w:r>
        <w:rPr>
          <w:rFonts w:hint="eastAsia" w:ascii="宋体" w:hAnsi="宋体" w:cs="Tahoma"/>
          <w:iCs/>
          <w:color w:val="000000" w:themeColor="text1"/>
          <w:kern w:val="28"/>
          <w:highlight w:val="none"/>
          <w14:textFill>
            <w14:solidFill>
              <w14:schemeClr w14:val="tx1"/>
            </w14:solidFill>
          </w14:textFill>
        </w:rPr>
        <w:t>服务期：</w:t>
      </w:r>
      <w:r>
        <w:rPr>
          <w:rFonts w:hint="eastAsia" w:ascii="宋体" w:hAnsi="宋体"/>
          <w:b w:val="0"/>
          <w:bCs w:val="0"/>
          <w:color w:val="000000" w:themeColor="text1"/>
          <w:spacing w:val="-6"/>
          <w:sz w:val="21"/>
          <w:szCs w:val="21"/>
          <w:highlight w:val="none"/>
          <w:lang w:val="zh-CN"/>
          <w14:textFill>
            <w14:solidFill>
              <w14:schemeClr w14:val="tx1"/>
            </w14:solidFill>
          </w14:textFill>
        </w:rPr>
        <w:t>合同签订生效后至20</w:t>
      </w:r>
      <w:r>
        <w:rPr>
          <w:rFonts w:hint="eastAsia" w:ascii="宋体" w:hAnsi="宋体"/>
          <w:b w:val="0"/>
          <w:bCs w:val="0"/>
          <w:color w:val="000000" w:themeColor="text1"/>
          <w:spacing w:val="-6"/>
          <w:sz w:val="21"/>
          <w:szCs w:val="21"/>
          <w:highlight w:val="none"/>
          <w14:textFill>
            <w14:solidFill>
              <w14:schemeClr w14:val="tx1"/>
            </w14:solidFill>
          </w14:textFill>
        </w:rPr>
        <w:t>2</w:t>
      </w:r>
      <w:r>
        <w:rPr>
          <w:rFonts w:hint="eastAsia" w:ascii="宋体" w:hAnsi="宋体"/>
          <w:b w:val="0"/>
          <w:bCs w:val="0"/>
          <w:color w:val="000000" w:themeColor="text1"/>
          <w:spacing w:val="-6"/>
          <w:sz w:val="21"/>
          <w:szCs w:val="21"/>
          <w:highlight w:val="none"/>
          <w:lang w:val="en-US" w:eastAsia="zh-CN"/>
          <w14:textFill>
            <w14:solidFill>
              <w14:schemeClr w14:val="tx1"/>
            </w14:solidFill>
          </w14:textFill>
        </w:rPr>
        <w:t>4</w:t>
      </w:r>
      <w:r>
        <w:rPr>
          <w:rFonts w:hint="eastAsia" w:ascii="宋体" w:hAnsi="宋体"/>
          <w:b w:val="0"/>
          <w:bCs w:val="0"/>
          <w:color w:val="000000" w:themeColor="text1"/>
          <w:spacing w:val="-6"/>
          <w:sz w:val="21"/>
          <w:szCs w:val="21"/>
          <w:highlight w:val="none"/>
          <w:lang w:val="zh-CN"/>
          <w14:textFill>
            <w14:solidFill>
              <w14:schemeClr w14:val="tx1"/>
            </w14:solidFill>
          </w14:textFill>
        </w:rPr>
        <w:t>年12月31日</w:t>
      </w:r>
      <w:r>
        <w:rPr>
          <w:rFonts w:hint="eastAsia" w:ascii="宋体" w:hAnsi="宋体"/>
          <w:bCs/>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lang w:val="en-US" w:eastAsia="zh-CN"/>
          <w14:textFill>
            <w14:solidFill>
              <w14:schemeClr w14:val="tx1"/>
            </w14:solidFill>
          </w14:textFill>
        </w:rPr>
        <w:t>少于</w:t>
      </w:r>
      <w:r>
        <w:rPr>
          <w:rFonts w:hint="eastAsia" w:ascii="宋体" w:hAnsi="宋体"/>
          <w:bCs/>
          <w:color w:val="000000" w:themeColor="text1"/>
          <w:sz w:val="21"/>
          <w:szCs w:val="21"/>
          <w:highlight w:val="none"/>
          <w14:textFill>
            <w14:solidFill>
              <w14:schemeClr w14:val="tx1"/>
            </w14:solidFill>
          </w14:textFill>
        </w:rPr>
        <w:t>该服务期将作为无效投标处理）</w:t>
      </w:r>
    </w:p>
    <w:p>
      <w:pPr>
        <w:numPr>
          <w:ilvl w:val="0"/>
          <w:numId w:val="6"/>
        </w:numPr>
        <w:adjustRightInd w:val="0"/>
        <w:snapToGrid w:val="0"/>
        <w:spacing w:line="360" w:lineRule="auto"/>
        <w:ind w:firstLine="120"/>
        <w:rPr>
          <w:rFonts w:ascii="宋体" w:hAnsi="宋体" w:cs="Tahoma"/>
          <w:iCs/>
          <w:color w:val="000000" w:themeColor="text1"/>
          <w:kern w:val="28"/>
          <w:highlight w:val="none"/>
          <w14:textFill>
            <w14:solidFill>
              <w14:schemeClr w14:val="tx1"/>
            </w14:solidFill>
          </w14:textFill>
        </w:rPr>
      </w:pPr>
      <w:r>
        <w:rPr>
          <w:rFonts w:hint="eastAsia" w:ascii="宋体" w:hAnsi="宋体" w:cs="Tahoma"/>
          <w:iCs/>
          <w:color w:val="000000" w:themeColor="text1"/>
          <w:kern w:val="28"/>
          <w:highlight w:val="none"/>
          <w14:textFill>
            <w14:solidFill>
              <w14:schemeClr w14:val="tx1"/>
            </w14:solidFill>
          </w14:textFill>
        </w:rPr>
        <w:t>谈判项目的性质：单一来源</w:t>
      </w:r>
    </w:p>
    <w:p>
      <w:pPr>
        <w:widowControl/>
        <w:numPr>
          <w:ilvl w:val="0"/>
          <w:numId w:val="5"/>
        </w:numPr>
        <w:tabs>
          <w:tab w:val="left" w:pos="502"/>
          <w:tab w:val="left" w:pos="737"/>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color w:val="000000" w:themeColor="text1"/>
          <w:szCs w:val="21"/>
          <w:highlight w:val="none"/>
          <w14:textFill>
            <w14:solidFill>
              <w14:schemeClr w14:val="tx1"/>
            </w14:solidFill>
          </w14:textFill>
        </w:rPr>
        <w:t>投标人</w:t>
      </w:r>
      <w:r>
        <w:rPr>
          <w:rFonts w:hint="eastAsia" w:ascii="Tahoma" w:hAnsi="Tahoma" w:cs="Tahoma"/>
          <w:b/>
          <w:color w:val="000000" w:themeColor="text1"/>
          <w:szCs w:val="21"/>
          <w:highlight w:val="none"/>
          <w14:textFill>
            <w14:solidFill>
              <w14:schemeClr w14:val="tx1"/>
            </w14:solidFill>
          </w14:textFill>
        </w:rPr>
        <w:t>资格</w:t>
      </w:r>
      <w:r>
        <w:rPr>
          <w:rFonts w:hint="eastAsia" w:ascii="Tahoma" w:hAnsi="Tahoma" w:cs="Tahoma"/>
          <w:b/>
          <w:bCs/>
          <w:color w:val="000000" w:themeColor="text1"/>
          <w:szCs w:val="21"/>
          <w:highlight w:val="none"/>
          <w14:textFill>
            <w14:solidFill>
              <w14:schemeClr w14:val="tx1"/>
            </w14:solidFill>
          </w14:textFill>
        </w:rPr>
        <w:t>要求</w:t>
      </w:r>
    </w:p>
    <w:p>
      <w:pPr>
        <w:pStyle w:val="85"/>
        <w:autoSpaceDE w:val="0"/>
        <w:autoSpaceDN w:val="0"/>
        <w:spacing w:line="360" w:lineRule="auto"/>
        <w:ind w:left="0" w:leftChars="0" w:firstLine="420" w:firstLineChars="200"/>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1.投标人须是具备《政府采购法》第二十二条规定的条件：</w:t>
      </w:r>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6）法律、行政法规规定的其他条件。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2.投标人若是分公司或其分支机构，需提供总公司对分公司或其分支机构的授权文件并加盖公章；</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cs="Tahoma"/>
          <w:bCs/>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须持有《营业执照》、《卫生许可证》、《特种行业许可证》、消防安全检查审核通过的相关证明；</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cs="Tahoma"/>
          <w:bCs/>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本项目接受联合体投标；</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highlight w:val="none"/>
          <w:lang w:val="en-US" w:eastAsia="zh-CN" w:bidi="ar-SA"/>
          <w14:textFill>
            <w14:solidFill>
              <w14:schemeClr w14:val="tx1"/>
            </w14:solidFill>
          </w14:textFill>
        </w:rPr>
        <w:t>5.投标人须在招标代理机构登记并购买招标文件。</w:t>
      </w:r>
    </w:p>
    <w:p>
      <w:pPr>
        <w:widowControl/>
        <w:numPr>
          <w:ilvl w:val="0"/>
          <w:numId w:val="5"/>
        </w:numPr>
        <w:tabs>
          <w:tab w:val="left" w:pos="502"/>
          <w:tab w:val="left" w:pos="737"/>
        </w:tabs>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1.谈判文件公示时间：</w:t>
      </w:r>
      <w:r>
        <w:rPr>
          <w:rFonts w:hint="eastAsia" w:ascii="宋体" w:hAnsi="宋体" w:cs="宋体"/>
          <w:color w:val="000000" w:themeColor="text1"/>
          <w:szCs w:val="21"/>
          <w:highlight w:val="none"/>
          <w:lang w:val="en-US" w:eastAsia="zh-CN"/>
          <w14:textFill>
            <w14:solidFill>
              <w14:schemeClr w14:val="tx1"/>
            </w14:solidFill>
          </w14:textFill>
        </w:rPr>
        <w:t xml:space="preserve"> 2023年3月24日至2023年3月31日</w:t>
      </w:r>
      <w:r>
        <w:rPr>
          <w:rFonts w:hint="eastAsia" w:ascii="宋体" w:hAnsi="宋体" w:cs="宋体"/>
          <w:color w:val="000000" w:themeColor="text1"/>
          <w:szCs w:val="21"/>
          <w:highlight w:val="none"/>
          <w14:textFill>
            <w14:solidFill>
              <w14:schemeClr w14:val="tx1"/>
            </w14:solidFill>
          </w14:textFill>
        </w:rPr>
        <w:t>。</w:t>
      </w:r>
    </w:p>
    <w:p>
      <w:pPr>
        <w:spacing w:line="360" w:lineRule="auto"/>
        <w:ind w:left="420" w:leftChars="200"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2．获取谈判文件时间及下载：2023年3月24日至2023年3月31日，</w:t>
      </w:r>
      <w:r>
        <w:rPr>
          <w:rFonts w:hint="eastAsia" w:ascii="宋体" w:hAnsi="宋体" w:cs="宋体"/>
          <w:bCs/>
          <w:color w:val="000000" w:themeColor="text1"/>
          <w:highlight w:val="none"/>
          <w14:textFill>
            <w14:solidFill>
              <w14:schemeClr w14:val="tx1"/>
            </w14:solidFill>
          </w14:textFill>
        </w:rPr>
        <w:t>上午9:00～12:00，下午2:30～5:30</w:t>
      </w:r>
      <w:r>
        <w:rPr>
          <w:rFonts w:hint="eastAsia" w:ascii="宋体" w:hAnsi="宋体" w:cs="宋体"/>
          <w:color w:val="000000" w:themeColor="text1"/>
          <w:szCs w:val="21"/>
          <w:highlight w:val="none"/>
          <w14:textFill>
            <w14:solidFill>
              <w14:schemeClr w14:val="tx1"/>
            </w14:solidFill>
          </w14:textFill>
        </w:rPr>
        <w:t>（节假日除外）（北京时间）。</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3．获取谈判文件地点：阳江市江城区猫山四街33号A座2楼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05室。</w:t>
      </w:r>
    </w:p>
    <w:p>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4．获取谈判文件方式：购买。</w:t>
      </w:r>
      <w:bookmarkStart w:id="258" w:name="_GoBack"/>
      <w:bookmarkEnd w:id="258"/>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5．谈判文件售价：谈判文件每套人民币300元，售后不退。</w:t>
      </w:r>
    </w:p>
    <w:p>
      <w:pPr>
        <w:spacing w:line="360" w:lineRule="auto"/>
        <w:ind w:left="283" w:leftChars="-1" w:hanging="285" w:hangingChars="13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6．购买谈判文件方式：现场发售。</w:t>
      </w:r>
    </w:p>
    <w:p>
      <w:pPr>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7．购买谈判文件必须携带</w:t>
      </w:r>
      <w:r>
        <w:rPr>
          <w:rFonts w:hint="eastAsia" w:ascii="宋体" w:hAnsi="宋体"/>
          <w:bCs/>
          <w:color w:val="000000" w:themeColor="text1"/>
          <w:szCs w:val="21"/>
          <w:highlight w:val="none"/>
          <w14:textFill>
            <w14:solidFill>
              <w14:schemeClr w14:val="tx1"/>
            </w14:solidFill>
          </w14:textFill>
        </w:rPr>
        <w:t>法定代表人（负责人）证明书原件、法定代表人（负责人）授权委托</w:t>
      </w:r>
    </w:p>
    <w:p>
      <w:pPr>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书原件、法定代表人（负责人）身份证复印件、授权委托人身份证复印件、营业执照副本复印件</w:t>
      </w:r>
    </w:p>
    <w:p>
      <w:pPr>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和相关资质证书复印件及《购买标书登记表》（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4"/>
          <w:color w:val="000000" w:themeColor="text1"/>
          <w:highlight w:val="none"/>
          <w14:textFill>
            <w14:solidFill>
              <w14:schemeClr w14:val="tx1"/>
            </w14:solidFill>
          </w14:textFill>
        </w:rPr>
        <w:t>http://www.yjcg.cc</w:t>
      </w:r>
      <w:r>
        <w:rPr>
          <w:rStyle w:val="54"/>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54"/>
          <w:rFonts w:hint="eastAsia" w:ascii="宋体" w:hAnsi="宋体"/>
          <w:bCs/>
          <w:color w:val="000000" w:themeColor="text1"/>
          <w:highlight w:val="none"/>
          <w14:textFill>
            <w14:solidFill>
              <w14:schemeClr w14:val="tx1"/>
            </w14:solidFill>
          </w14:textFill>
        </w:rPr>
        <w:t>政府采购资料</w:t>
      </w:r>
      <w:r>
        <w:rPr>
          <w:rStyle w:val="54"/>
          <w:rFonts w:hint="eastAsia" w:ascii="宋体" w:hAnsi="宋体"/>
          <w:bCs/>
          <w:color w:val="000000" w:themeColor="text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w:t>
      </w:r>
    </w:p>
    <w:p>
      <w:pPr>
        <w:spacing w:line="360" w:lineRule="auto"/>
        <w:ind w:firstLine="420" w:firstLineChars="200"/>
        <w:rPr>
          <w:rFonts w:hint="eastAsia"/>
          <w:b/>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w:t>
      </w:r>
    </w:p>
    <w:p>
      <w:pP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b/>
          <w:bCs/>
          <w:color w:val="000000" w:themeColor="text1"/>
          <w:highlight w:val="none"/>
          <w14:textFill>
            <w14:solidFill>
              <w14:schemeClr w14:val="tx1"/>
            </w14:solidFill>
          </w14:textFill>
        </w:rPr>
        <w:t>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7"/>
        </w:numPr>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报价截止时间、开标时间及地点</w:t>
      </w:r>
    </w:p>
    <w:p>
      <w:pPr>
        <w:widowControl/>
        <w:spacing w:line="360" w:lineRule="auto"/>
        <w:ind w:left="318" w:firstLine="105" w:firstLineChars="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 </w:t>
      </w:r>
      <w:r>
        <w:rPr>
          <w:color w:val="000000" w:themeColor="text1"/>
          <w:kern w:val="0"/>
          <w:szCs w:val="21"/>
          <w:highlight w:val="none"/>
          <w14:textFill>
            <w14:solidFill>
              <w14:schemeClr w14:val="tx1"/>
            </w14:solidFill>
          </w14:textFill>
        </w:rPr>
        <w:t> </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时间：2023年4月4日9:</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lang w:val="en-US" w:eastAsia="zh-CN"/>
          <w14:textFill>
            <w14:solidFill>
              <w14:schemeClr w14:val="tx1"/>
            </w14:solidFill>
          </w14:textFill>
        </w:rPr>
        <w:t>09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 (北京时间)。</w:t>
      </w:r>
    </w:p>
    <w:p>
      <w:pPr>
        <w:widowControl/>
        <w:spacing w:line="360" w:lineRule="auto"/>
        <w:ind w:left="632" w:leftChars="151" w:hanging="315" w:hangingChars="1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2.</w:t>
      </w:r>
      <w:r>
        <w:rPr>
          <w:color w:val="000000" w:themeColor="text1"/>
          <w:kern w:val="0"/>
          <w:szCs w:val="21"/>
          <w:highlight w:val="none"/>
          <w14:textFill>
            <w14:solidFill>
              <w14:schemeClr w14:val="tx1"/>
            </w14:solidFill>
          </w14:textFill>
        </w:rPr>
        <w:t>   </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宋体"/>
          <w:color w:val="000000" w:themeColor="text1"/>
          <w:szCs w:val="21"/>
          <w:highlight w:val="none"/>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cs="宋体"/>
          <w:color w:val="000000" w:themeColor="text1"/>
          <w:kern w:val="0"/>
          <w:szCs w:val="21"/>
          <w:highlight w:val="none"/>
          <w14:textFill>
            <w14:solidFill>
              <w14:schemeClr w14:val="tx1"/>
            </w14:solidFill>
          </w14:textFill>
        </w:rPr>
        <w:t>开标室。</w:t>
      </w:r>
    </w:p>
    <w:p>
      <w:pPr>
        <w:widowControl/>
        <w:spacing w:line="360" w:lineRule="auto"/>
        <w:ind w:left="318"/>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3.</w:t>
      </w:r>
      <w:r>
        <w:rPr>
          <w:color w:val="000000" w:themeColor="text1"/>
          <w:kern w:val="0"/>
          <w:szCs w:val="21"/>
          <w:highlight w:val="none"/>
          <w14:textFill>
            <w14:solidFill>
              <w14:schemeClr w14:val="tx1"/>
            </w14:solidFill>
          </w14:textFill>
        </w:rPr>
        <w:t>   </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：2023年4月4日</w:t>
      </w:r>
      <w:r>
        <w:rPr>
          <w:rFonts w:hint="eastAsia" w:ascii="宋体" w:hAnsi="宋体" w:cs="宋体"/>
          <w:color w:val="000000" w:themeColor="text1"/>
          <w:kern w:val="0"/>
          <w:szCs w:val="21"/>
          <w:highlight w:val="none"/>
          <w:lang w:val="en-US" w:eastAsia="zh-CN"/>
          <w14:textFill>
            <w14:solidFill>
              <w14:schemeClr w14:val="tx1"/>
            </w14:solidFill>
          </w14:textFill>
        </w:rPr>
        <w:t>09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left="318" w:firstLine="105" w:firstLineChars="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4.</w:t>
      </w:r>
      <w:r>
        <w:rPr>
          <w:color w:val="000000" w:themeColor="text1"/>
          <w:kern w:val="0"/>
          <w:szCs w:val="21"/>
          <w:highlight w:val="none"/>
          <w14:textFill>
            <w14:solidFill>
              <w14:schemeClr w14:val="tx1"/>
            </w14:solidFill>
          </w14:textFill>
        </w:rPr>
        <w:t>   </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 xml:space="preserve"> 2023年4月4日09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left="318"/>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5.</w:t>
      </w:r>
      <w:r>
        <w:rPr>
          <w:color w:val="000000" w:themeColor="text1"/>
          <w:kern w:val="0"/>
          <w:szCs w:val="21"/>
          <w:highlight w:val="none"/>
          <w14:textFill>
            <w14:solidFill>
              <w14:schemeClr w14:val="tx1"/>
            </w14:solidFill>
          </w14:textFill>
        </w:rPr>
        <w:t>   </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宋体"/>
          <w:color w:val="000000" w:themeColor="text1"/>
          <w:szCs w:val="21"/>
          <w:highlight w:val="none"/>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kern w:val="0"/>
          <w:szCs w:val="21"/>
          <w:highlight w:val="none"/>
          <w14:textFill>
            <w14:solidFill>
              <w14:schemeClr w14:val="tx1"/>
            </w14:solidFill>
          </w14:textFill>
        </w:rPr>
        <w:t>评标室。</w:t>
      </w:r>
    </w:p>
    <w:p>
      <w:pPr>
        <w:widowControl/>
        <w:numPr>
          <w:ilvl w:val="0"/>
          <w:numId w:val="7"/>
        </w:numPr>
        <w:tabs>
          <w:tab w:val="left" w:pos="502"/>
          <w:tab w:val="left" w:pos="737"/>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采购人、代理采购机构的名称、地址和联系方式</w:t>
      </w:r>
    </w:p>
    <w:p>
      <w:pPr>
        <w:widowControl/>
        <w:numPr>
          <w:ilvl w:val="0"/>
          <w:numId w:val="8"/>
        </w:numPr>
        <w:tabs>
          <w:tab w:val="left" w:pos="502"/>
          <w:tab w:val="left" w:pos="900"/>
          <w:tab w:val="clear" w:pos="363"/>
        </w:tabs>
        <w:adjustRightInd w:val="0"/>
        <w:snapToGrid w:val="0"/>
        <w:spacing w:line="360" w:lineRule="auto"/>
        <w:ind w:firstLine="177"/>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阳西县财政局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阳江市阳西县新城区三区福兴一街5号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14:textFill>
            <w14:solidFill>
              <w14:schemeClr w14:val="tx1"/>
            </w14:solidFill>
          </w14:textFill>
        </w:rPr>
        <w:t>杨林聪</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14:textFill>
            <w14:solidFill>
              <w14:schemeClr w14:val="tx1"/>
            </w14:solidFill>
          </w14:textFill>
        </w:rPr>
        <w:t>0662-5551573</w:t>
      </w:r>
    </w:p>
    <w:p>
      <w:pPr>
        <w:widowControl/>
        <w:numPr>
          <w:ilvl w:val="0"/>
          <w:numId w:val="8"/>
        </w:numPr>
        <w:tabs>
          <w:tab w:val="left" w:pos="502"/>
          <w:tab w:val="left" w:pos="900"/>
          <w:tab w:val="clear" w:pos="363"/>
        </w:tabs>
        <w:adjustRightInd w:val="0"/>
        <w:snapToGrid w:val="0"/>
        <w:spacing w:line="360" w:lineRule="auto"/>
        <w:ind w:firstLine="177"/>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代理采购机构联系方式：</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14:textFill>
            <w14:solidFill>
              <w14:schemeClr w14:val="tx1"/>
            </w14:solidFill>
          </w14:textFill>
        </w:rPr>
      </w:pPr>
      <w:bookmarkStart w:id="10" w:name="_Toc351986013"/>
      <w:bookmarkStart w:id="11" w:name="_Toc369180017"/>
      <w:bookmarkStart w:id="12" w:name="_Toc351988704"/>
      <w:bookmarkStart w:id="13" w:name="_Toc351990140"/>
      <w:bookmarkStart w:id="14" w:name="_Toc351987763"/>
      <w:bookmarkStart w:id="15" w:name="_Toc329242667"/>
      <w:bookmarkStart w:id="16" w:name="_Toc357151163"/>
      <w:bookmarkStart w:id="17" w:name="_Toc351987959"/>
      <w:bookmarkStart w:id="18" w:name="_Toc351985908"/>
      <w:bookmarkStart w:id="19" w:name="_Toc351986193"/>
      <w:bookmarkStart w:id="20" w:name="_Toc353522387"/>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电话：0662-3167266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传真：0662-2669666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s="宋体"/>
          <w:color w:val="000000" w:themeColor="text1"/>
          <w:szCs w:val="21"/>
          <w:highlight w:val="none"/>
          <w14:textFill>
            <w14:solidFill>
              <w14:schemeClr w14:val="tx1"/>
            </w14:solidFill>
          </w14:textFill>
        </w:rPr>
        <w:t>阳江市江城区猫山四街33号A座2楼</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ind w:firstLine="898" w:firstLineChars="428"/>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网址：http://www.yjcg.cc</w:t>
      </w:r>
    </w:p>
    <w:p>
      <w:pPr>
        <w:spacing w:line="360" w:lineRule="auto"/>
        <w:ind w:firstLine="3255" w:firstLineChars="1550"/>
        <w:rPr>
          <w:rFonts w:ascii="宋体" w:hAnsi="宋体" w:cs="宋体"/>
          <w:color w:val="000000" w:themeColor="text1"/>
          <w:szCs w:val="21"/>
          <w:highlight w:val="none"/>
          <w14:textFill>
            <w14:solidFill>
              <w14:schemeClr w14:val="tx1"/>
            </w14:solidFill>
          </w14:textFill>
        </w:rPr>
      </w:pPr>
    </w:p>
    <w:p>
      <w:pPr>
        <w:spacing w:line="360" w:lineRule="auto"/>
        <w:ind w:firstLine="3255" w:firstLineChars="1550"/>
        <w:rPr>
          <w:rFonts w:ascii="宋体" w:hAnsi="宋体"/>
          <w:color w:val="000000" w:themeColor="text1"/>
          <w:szCs w:val="21"/>
          <w:highlight w:val="none"/>
          <w14:textFill>
            <w14:solidFill>
              <w14:schemeClr w14:val="tx1"/>
            </w14:solidFill>
          </w14:textFill>
        </w:rPr>
      </w:pPr>
    </w:p>
    <w:p>
      <w:pPr>
        <w:spacing w:line="360" w:lineRule="auto"/>
        <w:ind w:firstLine="3255" w:firstLineChars="1550"/>
        <w:rPr>
          <w:rFonts w:ascii="宋体" w:hAnsi="宋体"/>
          <w:color w:val="000000" w:themeColor="text1"/>
          <w:szCs w:val="21"/>
          <w:highlight w:val="none"/>
          <w14:textFill>
            <w14:solidFill>
              <w14:schemeClr w14:val="tx1"/>
            </w14:solidFill>
          </w14:textFill>
        </w:rPr>
      </w:pPr>
    </w:p>
    <w:p>
      <w:pPr>
        <w:spacing w:line="360" w:lineRule="auto"/>
        <w:ind w:firstLine="3255" w:firstLineChars="1550"/>
        <w:rPr>
          <w:rFonts w:ascii="宋体" w:hAnsi="宋体"/>
          <w:color w:val="000000" w:themeColor="text1"/>
          <w:szCs w:val="21"/>
          <w:highlight w:val="none"/>
          <w14:textFill>
            <w14:solidFill>
              <w14:schemeClr w14:val="tx1"/>
            </w14:solidFill>
          </w14:textFill>
        </w:rPr>
      </w:pPr>
    </w:p>
    <w:p>
      <w:pPr>
        <w:spacing w:line="360" w:lineRule="auto"/>
        <w:ind w:left="6615" w:leftChars="2450" w:hanging="1470" w:hangingChars="7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spacing w:line="360" w:lineRule="auto"/>
        <w:ind w:left="6615" w:leftChars="2450" w:hanging="1470" w:hangingChars="7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2023</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24</w:t>
      </w:r>
      <w:r>
        <w:rPr>
          <w:rFonts w:hint="eastAsia" w:ascii="宋体" w:hAnsi="宋体"/>
          <w:color w:val="000000" w:themeColor="text1"/>
          <w:szCs w:val="21"/>
          <w:highlight w:val="none"/>
          <w14:textFill>
            <w14:solidFill>
              <w14:schemeClr w14:val="tx1"/>
            </w14:solidFill>
          </w14:textFill>
        </w:rPr>
        <w:t>日</w:t>
      </w:r>
    </w:p>
    <w:bookmarkEnd w:id="10"/>
    <w:bookmarkEnd w:id="11"/>
    <w:bookmarkEnd w:id="12"/>
    <w:bookmarkEnd w:id="13"/>
    <w:bookmarkEnd w:id="14"/>
    <w:bookmarkEnd w:id="15"/>
    <w:bookmarkEnd w:id="16"/>
    <w:bookmarkEnd w:id="17"/>
    <w:bookmarkEnd w:id="18"/>
    <w:bookmarkEnd w:id="19"/>
    <w:bookmarkEnd w:id="20"/>
    <w:p>
      <w:pPr>
        <w:rPr>
          <w:rFonts w:hint="eastAsia" w:ascii="宋体" w:hAnsi="宋体"/>
          <w:color w:val="000000" w:themeColor="text1"/>
          <w:sz w:val="21"/>
          <w:szCs w:val="21"/>
          <w:highlight w:val="none"/>
          <w14:textFill>
            <w14:solidFill>
              <w14:schemeClr w14:val="tx1"/>
            </w14:solidFill>
          </w14:textFill>
        </w:rPr>
      </w:pPr>
      <w:bookmarkStart w:id="21" w:name="_Toc16126"/>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spacing w:afterLines="50" w:line="390" w:lineRule="exact"/>
        <w:jc w:val="center"/>
        <w:rPr>
          <w:rFonts w:ascii="宋体" w:hAnsi="宋体"/>
          <w:color w:val="000000" w:themeColor="text1"/>
          <w:sz w:val="21"/>
          <w:szCs w:val="21"/>
          <w:highlight w:val="none"/>
          <w14:textFill>
            <w14:solidFill>
              <w14:schemeClr w14:val="tx1"/>
            </w14:solidFill>
          </w14:textFill>
        </w:rPr>
      </w:pPr>
      <w:bookmarkStart w:id="22" w:name="_Toc13595"/>
      <w:r>
        <w:rPr>
          <w:rFonts w:hint="eastAsia" w:ascii="宋体" w:hAnsi="宋体"/>
          <w:color w:val="000000" w:themeColor="text1"/>
          <w:sz w:val="21"/>
          <w:szCs w:val="21"/>
          <w:highlight w:val="none"/>
          <w14:textFill>
            <w14:solidFill>
              <w14:schemeClr w14:val="tx1"/>
            </w14:solidFill>
          </w14:textFill>
        </w:rPr>
        <w:t xml:space="preserve">第二部分 </w:t>
      </w:r>
      <w:bookmarkStart w:id="23" w:name="_Hlt23321722"/>
      <w:bookmarkEnd w:id="23"/>
      <w:bookmarkStart w:id="24" w:name="_Toc75570886"/>
      <w:bookmarkStart w:id="25" w:name="_Toc333935621"/>
      <w:bookmarkStart w:id="26" w:name="_Toc333935280"/>
      <w:bookmarkStart w:id="27" w:name="_Toc330459949"/>
      <w:bookmarkStart w:id="28" w:name="_Toc333237725"/>
      <w:bookmarkStart w:id="29" w:name="_Toc333238573"/>
      <w:bookmarkStart w:id="30" w:name="_Toc333237614"/>
      <w:r>
        <w:rPr>
          <w:rFonts w:hint="eastAsia" w:ascii="宋体" w:hAnsi="宋体"/>
          <w:color w:val="000000" w:themeColor="text1"/>
          <w:sz w:val="21"/>
          <w:szCs w:val="21"/>
          <w:highlight w:val="none"/>
          <w14:textFill>
            <w14:solidFill>
              <w14:schemeClr w14:val="tx1"/>
            </w14:solidFill>
          </w14:textFill>
        </w:rPr>
        <w:t>采购项目内容</w:t>
      </w:r>
      <w:bookmarkEnd w:id="21"/>
      <w:bookmarkEnd w:id="22"/>
    </w:p>
    <w:bookmarkEnd w:id="24"/>
    <w:bookmarkEnd w:id="25"/>
    <w:bookmarkEnd w:id="26"/>
    <w:bookmarkEnd w:id="27"/>
    <w:bookmarkEnd w:id="28"/>
    <w:bookmarkEnd w:id="29"/>
    <w:bookmarkEnd w:id="30"/>
    <w:p>
      <w:pPr>
        <w:pStyle w:val="3"/>
        <w:numPr>
          <w:ilvl w:val="0"/>
          <w:numId w:val="0"/>
        </w:numPr>
        <w:autoSpaceDE w:val="0"/>
        <w:autoSpaceDN w:val="0"/>
        <w:adjustRightInd w:val="0"/>
        <w:snapToGrid w:val="0"/>
        <w:spacing w:beforeLines="100" w:after="0" w:line="360" w:lineRule="auto"/>
        <w:jc w:val="left"/>
        <w:textAlignment w:val="baseline"/>
        <w:rPr>
          <w:rFonts w:hint="default" w:ascii="宋体" w:hAnsi="宋体" w:eastAsia="宋体"/>
          <w:color w:val="000000" w:themeColor="text1"/>
          <w:sz w:val="21"/>
          <w:szCs w:val="21"/>
          <w:highlight w:val="none"/>
          <w:lang w:val="en-US" w:eastAsia="zh-CN"/>
          <w14:textFill>
            <w14:solidFill>
              <w14:schemeClr w14:val="tx1"/>
            </w14:solidFill>
          </w14:textFill>
        </w:rPr>
      </w:pPr>
      <w:bookmarkStart w:id="31" w:name="_Toc353522388"/>
      <w:bookmarkStart w:id="32" w:name="_Toc351987764"/>
      <w:bookmarkStart w:id="33" w:name="_Toc329242668"/>
      <w:bookmarkStart w:id="34" w:name="_Toc351988705"/>
      <w:bookmarkStart w:id="35" w:name="_Toc369180018"/>
      <w:bookmarkStart w:id="36" w:name="_Toc351986014"/>
      <w:bookmarkStart w:id="37" w:name="_Toc351987960"/>
      <w:bookmarkStart w:id="38" w:name="_Toc351986194"/>
      <w:bookmarkStart w:id="39" w:name="_Toc351990141"/>
      <w:bookmarkStart w:id="40" w:name="_Toc357151164"/>
      <w:bookmarkStart w:id="41" w:name="_Toc351985909"/>
      <w:bookmarkStart w:id="42" w:name="_Toc452826427"/>
      <w:bookmarkStart w:id="43" w:name="_Toc519865383"/>
      <w:bookmarkStart w:id="44" w:name="_Toc14296"/>
      <w:bookmarkStart w:id="45" w:name="_Toc3633"/>
      <w:r>
        <w:rPr>
          <w:rFonts w:hint="eastAsia" w:ascii="宋体" w:hAnsi="宋体"/>
          <w:color w:val="000000" w:themeColor="text1"/>
          <w:sz w:val="21"/>
          <w:szCs w:val="21"/>
          <w:highlight w:val="none"/>
          <w14:textFill>
            <w14:solidFill>
              <w14:schemeClr w14:val="tx1"/>
            </w14:solidFill>
          </w14:textFill>
        </w:rPr>
        <w:t>项目编号：</w:t>
      </w:r>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color w:val="000000" w:themeColor="text1"/>
          <w:sz w:val="21"/>
          <w:szCs w:val="21"/>
          <w:highlight w:val="none"/>
          <w:u w:val="single"/>
          <w:lang w:eastAsia="zh-CN"/>
          <w14:textFill>
            <w14:solidFill>
              <w14:schemeClr w14:val="tx1"/>
            </w14:solidFill>
          </w14:textFill>
        </w:rPr>
        <w:t>YXZB-20230223</w:t>
      </w:r>
      <w:bookmarkEnd w:id="44"/>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6" w:name="_Toc357151165"/>
      <w:bookmarkStart w:id="47" w:name="_Toc329242669"/>
      <w:bookmarkStart w:id="48" w:name="_Toc351987961"/>
      <w:bookmarkStart w:id="49" w:name="_Toc351988706"/>
      <w:bookmarkStart w:id="50" w:name="_Toc452826428"/>
      <w:bookmarkStart w:id="51" w:name="_Toc369180019"/>
      <w:bookmarkStart w:id="52" w:name="_Toc351986015"/>
      <w:bookmarkStart w:id="53" w:name="_Toc519865384"/>
      <w:bookmarkStart w:id="54" w:name="_Toc351987765"/>
      <w:bookmarkStart w:id="55" w:name="_Toc353522389"/>
      <w:bookmarkStart w:id="56" w:name="_Toc351986195"/>
      <w:bookmarkStart w:id="57" w:name="_Toc351990142"/>
      <w:bookmarkStart w:id="58" w:name="_Toc351985910"/>
      <w:bookmarkStart w:id="59" w:name="_Toc7218"/>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阳西县2023-2024年度党政机关和事业单位会议定点场所采购项目</w:t>
      </w:r>
      <w:bookmarkEnd w:id="59"/>
    </w:p>
    <w:p>
      <w:pPr>
        <w:pStyle w:val="4"/>
        <w:numPr>
          <w:ilvl w:val="0"/>
          <w:numId w:val="0"/>
        </w:numPr>
        <w:spacing w:beforeLines="150" w:after="0" w:line="360" w:lineRule="auto"/>
        <w:jc w:val="center"/>
        <w:rPr>
          <w:rFonts w:ascii="宋体" w:hAnsi="宋体" w:eastAsia="宋体"/>
          <w:color w:val="000000" w:themeColor="text1"/>
          <w:kern w:val="0"/>
          <w:sz w:val="21"/>
          <w:szCs w:val="21"/>
          <w:highlight w:val="none"/>
          <w14:textFill>
            <w14:solidFill>
              <w14:schemeClr w14:val="tx1"/>
            </w14:solidFill>
          </w14:textFill>
        </w:rPr>
      </w:pPr>
      <w:bookmarkStart w:id="60" w:name="_Toc10977"/>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45"/>
      <w:bookmarkEnd w:id="60"/>
    </w:p>
    <w:tbl>
      <w:tblPr>
        <w:tblStyle w:val="44"/>
        <w:tblpPr w:leftFromText="180" w:rightFromText="180" w:vertAnchor="text" w:tblpXSpec="center" w:tblpY="1"/>
        <w:tblOverlap w:val="never"/>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400"/>
        <w:gridCol w:w="1780"/>
        <w:gridCol w:w="5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73"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400"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  目</w:t>
            </w:r>
          </w:p>
        </w:tc>
        <w:tc>
          <w:tcPr>
            <w:tcW w:w="685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投标人投标资格要求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详见第一部份《谈判邀请书》。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服务期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详见第一部份《谈判邀请书》。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zh-CN"/>
                <w14:textFill>
                  <w14:solidFill>
                    <w14:schemeClr w14:val="tx1"/>
                  </w14:solidFill>
                </w14:textFill>
              </w:rPr>
              <w:t>投标报价应包括员工工资、保险福利、办公费用、法定税金、管理酬金及其他相关服务、全额含税发票、合同实施过程中应预见和不可预见费用等，完成合同规定责任和义务、达到合同目的的一切费用及企业利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73" w:type="dxa"/>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成交供应商凭《成交通知书》</w:t>
            </w:r>
            <w:r>
              <w:rPr>
                <w:rFonts w:hint="eastAsia" w:ascii="宋体" w:hAnsi="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通知书》发出之日起</w:t>
            </w:r>
            <w:r>
              <w:rPr>
                <w:rFonts w:hint="eastAsia" w:ascii="宋体" w:hAnsi="宋体" w:cs="宋体"/>
                <w:color w:val="000000" w:themeColor="text1"/>
                <w:highlight w:val="none"/>
                <w:lang w:val="en-US" w:eastAsia="zh-CN"/>
                <w14:textFill>
                  <w14:solidFill>
                    <w14:schemeClr w14:val="tx1"/>
                  </w14:solidFill>
                </w14:textFill>
              </w:rPr>
              <w:t>30天</w:t>
            </w:r>
            <w:r>
              <w:rPr>
                <w:rFonts w:hint="eastAsia" w:ascii="宋体" w:hAnsi="宋体" w:cs="宋体"/>
                <w:color w:val="000000" w:themeColor="text1"/>
                <w:highlight w:val="none"/>
                <w14:textFill>
                  <w14:solidFill>
                    <w14:schemeClr w14:val="tx1"/>
                  </w14:solidFill>
                </w14:textFill>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zh-CN"/>
                <w14:textFill>
                  <w14:solidFill>
                    <w14:schemeClr w14:val="tx1"/>
                  </w14:solidFill>
                </w14:textFill>
              </w:rPr>
              <w:t>阳江市阳西县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color w:val="000000" w:themeColor="text1"/>
                <w:highlight w:val="none"/>
                <w:lang w:val="zh-CN"/>
                <w14:textFill>
                  <w14:solidFill>
                    <w14:schemeClr w14:val="tx1"/>
                  </w14:solidFill>
                </w14:textFill>
              </w:rPr>
              <w:t>会议费实行一会一结算，会议场所由会议举办单位根据会议类别在定点范围内选择，会议费用由会议举办单位按照会议费管理办法规定向乙方（会议定点场所）支付，乙方（会议定点场所）应保存好所有结算单据，甲方（会议举办单位）有权根据会议费管理办法等检验结算单据</w:t>
            </w:r>
            <w:r>
              <w:rPr>
                <w:rFonts w:hint="eastAsia"/>
                <w:color w:val="000000" w:themeColor="text1"/>
                <w:highlight w:val="none"/>
                <w:lang w:val="zh-CN"/>
                <w14:textFill>
                  <w14:solidFill>
                    <w14:schemeClr w14:val="tx1"/>
                  </w14:solidFill>
                </w14:textFill>
              </w:rPr>
              <w:t>，支付方式严格执行国库集中支付和公务卡使用规定，使用公务卡或银行转账结算，具备条件的，由举办单位财务部门直接与会议服务单位结算，禁止使用现金方式结算。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400"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（应当以支票、汇票、本票或者金融机构、担保机构出具的保函等非现金形式提交）。</w:t>
            </w:r>
          </w:p>
          <w:p>
            <w:pPr>
              <w:spacing w:line="276"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保证金数额</w:t>
            </w:r>
          </w:p>
        </w:tc>
        <w:tc>
          <w:tcPr>
            <w:tcW w:w="507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eastAsia="zh-CN"/>
                <w14:textFill>
                  <w14:solidFill>
                    <w14:schemeClr w14:val="tx1"/>
                  </w14:solidFill>
                </w14:textFill>
              </w:rPr>
              <w:t>壹万</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10</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50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5077"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73"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p>
        </w:tc>
        <w:tc>
          <w:tcPr>
            <w:tcW w:w="2400"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供应商</w:t>
            </w:r>
            <w:r>
              <w:rPr>
                <w:rFonts w:hint="eastAsia" w:ascii="宋体" w:hAnsi="宋体" w:cs="宋体"/>
                <w:bCs/>
                <w:color w:val="000000" w:themeColor="text1"/>
                <w:sz w:val="21"/>
                <w:szCs w:val="21"/>
                <w:highlight w:val="none"/>
                <w:lang w:val="en-US" w:eastAsia="zh-CN"/>
                <w14:textFill>
                  <w14:solidFill>
                    <w14:schemeClr w14:val="tx1"/>
                  </w14:solidFill>
                </w14:textFill>
              </w:rPr>
              <w:t>分别</w:t>
            </w:r>
            <w:r>
              <w:rPr>
                <w:rFonts w:hint="eastAsia" w:ascii="宋体" w:hAnsi="宋体" w:eastAsia="宋体" w:cs="宋体"/>
                <w:bCs/>
                <w:color w:val="000000" w:themeColor="text1"/>
                <w:sz w:val="21"/>
                <w:szCs w:val="21"/>
                <w:highlight w:val="none"/>
                <w14:textFill>
                  <w14:solidFill>
                    <w14:schemeClr w14:val="tx1"/>
                  </w14:solidFill>
                </w14:textFill>
              </w:rPr>
              <w:t>在领取《</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通知书》之前应一次性交纳</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项目的招标代理服务费</w:t>
            </w:r>
            <w:r>
              <w:rPr>
                <w:rFonts w:hint="eastAsia" w:ascii="宋体" w:hAnsi="宋体" w:cs="宋体"/>
                <w:color w:val="000000" w:themeColor="text1"/>
                <w:sz w:val="21"/>
                <w:szCs w:val="21"/>
                <w:highlight w:val="none"/>
                <w:lang w:val="en-US" w:eastAsia="zh-CN"/>
                <w14:textFill>
                  <w14:solidFill>
                    <w14:schemeClr w14:val="tx1"/>
                  </w14:solidFill>
                </w14:textFill>
              </w:rPr>
              <w:t>壹</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numPr>
          <w:ilvl w:val="0"/>
          <w:numId w:val="0"/>
        </w:numPr>
        <w:spacing w:beforeLines="150" w:after="0" w:line="360" w:lineRule="auto"/>
        <w:jc w:val="center"/>
        <w:rPr>
          <w:rFonts w:ascii="宋体" w:hAnsi="宋体" w:eastAsia="宋体"/>
          <w:color w:val="000000" w:themeColor="text1"/>
          <w:kern w:val="0"/>
          <w:sz w:val="21"/>
          <w:szCs w:val="21"/>
          <w:highlight w:val="none"/>
          <w14:textFill>
            <w14:solidFill>
              <w14:schemeClr w14:val="tx1"/>
            </w14:solidFill>
          </w14:textFill>
        </w:rPr>
      </w:pPr>
      <w:r>
        <w:rPr>
          <w:rFonts w:hint="eastAsia" w:ascii="宋体" w:hAnsi="宋体"/>
          <w:b w:val="0"/>
          <w:color w:val="000000" w:themeColor="text1"/>
          <w:sz w:val="24"/>
          <w:highlight w:val="none"/>
          <w14:textFill>
            <w14:solidFill>
              <w14:schemeClr w14:val="tx1"/>
            </w14:solidFill>
          </w14:textFill>
        </w:rPr>
        <w:t xml:space="preserve"> </w:t>
      </w:r>
      <w:bookmarkStart w:id="61" w:name="_Toc1875"/>
      <w:r>
        <w:rPr>
          <w:rFonts w:hint="eastAsia" w:ascii="宋体" w:hAnsi="宋体" w:eastAsia="宋体"/>
          <w:color w:val="000000" w:themeColor="text1"/>
          <w:kern w:val="0"/>
          <w:sz w:val="21"/>
          <w:szCs w:val="21"/>
          <w:highlight w:val="none"/>
          <w14:textFill>
            <w14:solidFill>
              <w14:schemeClr w14:val="tx1"/>
            </w14:solidFill>
          </w14:textFill>
        </w:rPr>
        <w:t>B技术要求</w:t>
      </w:r>
      <w:bookmarkEnd w:id="61"/>
    </w:p>
    <w:p>
      <w:pPr>
        <w:spacing w:line="360" w:lineRule="auto"/>
        <w:rPr>
          <w:rFonts w:hint="eastAsia" w:ascii="宋体" w:hAnsi="宋体" w:eastAsia="宋体" w:cs="宋体"/>
          <w:b/>
          <w:bCs/>
          <w:color w:val="000000" w:themeColor="text1"/>
          <w:sz w:val="21"/>
          <w:szCs w:val="21"/>
          <w:highlight w:val="none"/>
          <w:lang w:val="zh-CN"/>
          <w14:textFill>
            <w14:solidFill>
              <w14:schemeClr w14:val="tx1"/>
            </w14:solidFill>
          </w14:textFill>
        </w:rPr>
      </w:pPr>
    </w:p>
    <w:p>
      <w:pPr>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 xml:space="preserve">招标控制价：  </w:t>
      </w:r>
      <w:r>
        <w:rPr>
          <w:rFonts w:hint="eastAsia" w:ascii="宋体" w:hAnsi="宋体" w:eastAsia="宋体" w:cs="宋体"/>
          <w:b/>
          <w:bCs/>
          <w:color w:val="000000" w:themeColor="text1"/>
          <w:sz w:val="21"/>
          <w:szCs w:val="21"/>
          <w:highlight w:val="none"/>
          <w14:textFill>
            <w14:solidFill>
              <w14:schemeClr w14:val="tx1"/>
            </w14:solidFill>
          </w14:textFill>
        </w:rPr>
        <w:t xml:space="preserve">                                                 </w:t>
      </w: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 xml:space="preserve"> 单位：元/人·天</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 xml:space="preserve">                                              </w:t>
      </w:r>
    </w:p>
    <w:tbl>
      <w:tblPr>
        <w:tblStyle w:val="44"/>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620"/>
        <w:gridCol w:w="1575"/>
        <w:gridCol w:w="172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376"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会议类别</w:t>
            </w:r>
          </w:p>
        </w:tc>
        <w:tc>
          <w:tcPr>
            <w:tcW w:w="162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157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172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198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76"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一类会议（最高限价）</w:t>
            </w:r>
          </w:p>
        </w:tc>
        <w:tc>
          <w:tcPr>
            <w:tcW w:w="162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340</w:t>
            </w:r>
          </w:p>
        </w:tc>
        <w:tc>
          <w:tcPr>
            <w:tcW w:w="157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172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w:t>
            </w:r>
          </w:p>
        </w:tc>
        <w:tc>
          <w:tcPr>
            <w:tcW w:w="198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76"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二类会议（最高限价）</w:t>
            </w:r>
          </w:p>
        </w:tc>
        <w:tc>
          <w:tcPr>
            <w:tcW w:w="162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300</w:t>
            </w:r>
          </w:p>
        </w:tc>
        <w:tc>
          <w:tcPr>
            <w:tcW w:w="157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172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98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76"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三类会议（最高限价）</w:t>
            </w:r>
          </w:p>
        </w:tc>
        <w:tc>
          <w:tcPr>
            <w:tcW w:w="162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290</w:t>
            </w:r>
          </w:p>
        </w:tc>
        <w:tc>
          <w:tcPr>
            <w:tcW w:w="157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130</w:t>
            </w:r>
          </w:p>
        </w:tc>
        <w:tc>
          <w:tcPr>
            <w:tcW w:w="172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w:t>
            </w:r>
          </w:p>
        </w:tc>
        <w:tc>
          <w:tcPr>
            <w:tcW w:w="198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r>
    </w:tbl>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一、采购内容及要求</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（一）采购目的</w:t>
      </w:r>
    </w:p>
    <w:p>
      <w:pPr>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为进一步加强和规范机关和事业单位会议费管理，提高会议效率和质量，节约会议经费开支，根据《党政机关厉行节约反对浪费条例》及有关规定、《党政机关会议定点管理办法》、《关于印发&lt;阳西县党政机关和事业单位会议费管理办法&gt;的通知》（西财行［2018］45号）等有关文件的要求，结合本县实际，阳西县辖区内党政机关和事业单位会议召开场所实行政府采购定点管理，定点场所以经营场所在阳西县辖区内为主。为做好该项工作，现对阳西县辖区内党政机关和事业单位会议定点场所进行定点采购。</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（二）报价说明</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会议定点场所应对会议收费给予优惠，收费标准应考虑阳西县当地的物价水平。会议定点场所收费标准应比对外提供的其他优惠价格更加优惠。</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会议定点场所的房间、会议室、会议餐费等政府采购价格，以阳西县会议费综合定额标准为上限，按综合定额形式采购。会议定点场所采购价格不区分淡旺季价格，不得随市场价格波动而提高。</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投标报价作为签订协议的价格最高上限，实际结算价格在不超过最高上限的范围内，由会议举办单位与会议定点场所协商。</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（三）费用开支范围</w:t>
      </w:r>
    </w:p>
    <w:p>
      <w:pPr>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费用开支包括</w:t>
      </w:r>
      <w:r>
        <w:rPr>
          <w:rFonts w:hint="eastAsia" w:ascii="宋体" w:hAnsi="宋体" w:eastAsia="宋体" w:cs="宋体"/>
          <w:color w:val="000000" w:themeColor="text1"/>
          <w:sz w:val="21"/>
          <w:szCs w:val="21"/>
          <w:highlight w:val="none"/>
          <w:lang w:val="zh-CN"/>
          <w14:textFill>
            <w14:solidFill>
              <w14:schemeClr w14:val="tx1"/>
            </w14:solidFill>
          </w14:textFill>
        </w:rPr>
        <w:t>住宿费、伙食费、其他费用（含会议室租金、交通费、文件印刷费、办公用品费、专用设备租赁、医药费、</w:t>
      </w:r>
      <w:r>
        <w:rPr>
          <w:rFonts w:hint="eastAsia" w:ascii="宋体" w:hAnsi="宋体" w:eastAsia="宋体" w:cs="宋体"/>
          <w:color w:val="000000" w:themeColor="text1"/>
          <w:sz w:val="21"/>
          <w:szCs w:val="21"/>
          <w:highlight w:val="none"/>
          <w14:textFill>
            <w14:solidFill>
              <w14:schemeClr w14:val="tx1"/>
            </w14:solidFill>
          </w14:textFill>
        </w:rPr>
        <w:t>卫生费、安全保险费、停车费、网络服务费、各项税金等一切费用</w:t>
      </w:r>
      <w:r>
        <w:rPr>
          <w:rFonts w:hint="eastAsia" w:ascii="宋体" w:hAnsi="宋体" w:eastAsia="宋体" w:cs="宋体"/>
          <w:color w:val="000000" w:themeColor="text1"/>
          <w:sz w:val="21"/>
          <w:szCs w:val="21"/>
          <w:highlight w:val="none"/>
          <w:lang w:val="zh-CN"/>
          <w14:textFill>
            <w14:solidFill>
              <w14:schemeClr w14:val="tx1"/>
            </w14:solidFill>
          </w14:textFill>
        </w:rPr>
        <w:t>）。</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（四）服务内容</w:t>
      </w:r>
    </w:p>
    <w:p>
      <w:pPr>
        <w:spacing w:line="360" w:lineRule="auto"/>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1、机关和事业单位会议定点场所采购（一类会议），机关和事业单位在阳西县内召开的会议定点场所，会议定点场所服务能力应满足本类会议的采购内容及要求。</w:t>
      </w:r>
    </w:p>
    <w:p>
      <w:pPr>
        <w:spacing w:line="360" w:lineRule="auto"/>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 xml:space="preserve">2、会议标准：      </w:t>
      </w:r>
    </w:p>
    <w:p>
      <w:pPr>
        <w:spacing w:line="360" w:lineRule="auto"/>
        <w:jc w:val="right"/>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单位：元/人·天</w:t>
      </w:r>
    </w:p>
    <w:tbl>
      <w:tblPr>
        <w:tblStyle w:val="44"/>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620"/>
        <w:gridCol w:w="1575"/>
        <w:gridCol w:w="172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376"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会议类别</w:t>
            </w:r>
          </w:p>
        </w:tc>
        <w:tc>
          <w:tcPr>
            <w:tcW w:w="162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157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172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198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76"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一类会议（最高限价）</w:t>
            </w:r>
          </w:p>
        </w:tc>
        <w:tc>
          <w:tcPr>
            <w:tcW w:w="162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340</w:t>
            </w:r>
          </w:p>
        </w:tc>
        <w:tc>
          <w:tcPr>
            <w:tcW w:w="157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172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w:t>
            </w:r>
          </w:p>
        </w:tc>
        <w:tc>
          <w:tcPr>
            <w:tcW w:w="198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76"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二类会议（最高限价）</w:t>
            </w:r>
          </w:p>
        </w:tc>
        <w:tc>
          <w:tcPr>
            <w:tcW w:w="162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300</w:t>
            </w:r>
          </w:p>
        </w:tc>
        <w:tc>
          <w:tcPr>
            <w:tcW w:w="157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172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98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76"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三类会议（最高限价）</w:t>
            </w:r>
          </w:p>
        </w:tc>
        <w:tc>
          <w:tcPr>
            <w:tcW w:w="162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290</w:t>
            </w:r>
          </w:p>
        </w:tc>
        <w:tc>
          <w:tcPr>
            <w:tcW w:w="157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130</w:t>
            </w:r>
          </w:p>
        </w:tc>
        <w:tc>
          <w:tcPr>
            <w:tcW w:w="172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w:t>
            </w:r>
          </w:p>
        </w:tc>
        <w:tc>
          <w:tcPr>
            <w:tcW w:w="198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r>
    </w:tbl>
    <w:p>
      <w:pPr>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其他费用包括：会议室租金、交通费、文件印刷费、办公用品费、专用设备租赁、医药费、</w:t>
      </w:r>
      <w:r>
        <w:rPr>
          <w:rFonts w:hint="eastAsia" w:ascii="宋体" w:hAnsi="宋体" w:eastAsia="宋体" w:cs="宋体"/>
          <w:color w:val="000000" w:themeColor="text1"/>
          <w:sz w:val="21"/>
          <w:szCs w:val="21"/>
          <w:highlight w:val="none"/>
          <w14:textFill>
            <w14:solidFill>
              <w14:schemeClr w14:val="tx1"/>
            </w14:solidFill>
          </w14:textFill>
        </w:rPr>
        <w:t>卫生费、安全保险费、停车费、网络服务费、各项税金等一切费用</w:t>
      </w:r>
      <w:r>
        <w:rPr>
          <w:rFonts w:hint="eastAsia" w:ascii="宋体" w:hAnsi="宋体" w:eastAsia="宋体" w:cs="宋体"/>
          <w:color w:val="000000" w:themeColor="text1"/>
          <w:sz w:val="21"/>
          <w:szCs w:val="21"/>
          <w:highlight w:val="none"/>
          <w:lang w:val="zh-CN"/>
          <w14:textFill>
            <w14:solidFill>
              <w14:schemeClr w14:val="tx1"/>
            </w14:solidFill>
          </w14:textFill>
        </w:rPr>
        <w:t>。交通费是指用于会议代表接送站，以及会议统一组织的代表考察、调研等发生的交通支出。</w:t>
      </w:r>
    </w:p>
    <w:p>
      <w:pPr>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会议费开支实行综合定额控制。</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（五）定点场所单位服务要求</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5.1、基本服务要求</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（1）定点场所应保证采购人获得优先服务的权利，积极主动与会议举办单位配合，协助会议举办单位完成会议的组织工作，并提供价格优惠。</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（2）定点场所应保持各项设备、设施完好，具备履行协议的能力；确保设施设备、清洁卫生、服务质量等要符合国家规定标准，不得因价格优惠而减少服务项目、降低服务质量。</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（3）定点场所应选配相对固定的政府采购联系人，设置联系电话，及时响应会议举办单位的各项要求。</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（4）定点场所有义务在规定的网站上同步公布空房数量、类型及价格等相关信息。</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在办理费用结算手续时，定点场所有义务通过网络同步向财政部门及其他主管部门如实提供有关信息。参会人员情况主要包括：姓名、单位、身份证号码、入住时间、收费标准及金额等；会议情况主要包括：会议名称、举办单位、参会人员数量、会议时间、收费金额标准等。</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（6）定点场所应接受财政部门及其他主管部门的监督检查，对其提出的意见及时进行整改。</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（7）定点场所应提供其协议范围内的全部客房、会议室参加定点会议接待服务，不允许只提供部分房间、会议室参加与定点服务。否则按规定予以警告或查处。</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（8）定点场所在结算时应通过“党政机关出差会议定点场所查询网”打印“电子结算单”供出差人员或会议举办单位报销使用。</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（9）定点场所具备信用卡收款条件的，结算时应要求出差人员或会议举办单位使用公务卡结算。</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（10）投标人可提供的其他服务，需在投标文件中明确提出。</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5.2、具体服务要求</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5.2.1定点场所布局合理，方便会议举办单位会议使用。</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5.2.2有空调设施，各区域通风良好，温湿度适宜。</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5.2.3有计算机管理系统。</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5.2.4各种设备设施养护良好，使用安全、有效。</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5.2.5各项管理规章制度健全。</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5.2.6前厅</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（1）有与会议规模相适应的前厅，配有时钟、公用电话等，在非经营区设置客人休息场所，配备舒适的座椅。</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（2）有供客人使用的行李车，提供行李服务。</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5.2.7总服务台</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（1）总服务台分区段设置问讯、结帐、留言等服务项目，提供24小时服务。</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（2）总服务台提供服务项目宣传品、价目表、本市交通图和旅游景点介绍、各种交通工具时刻表。</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5.2.8客房</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 xml:space="preserve"> 标准间及单间总数量要求: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会议类别</w:t>
            </w:r>
          </w:p>
        </w:tc>
        <w:tc>
          <w:tcPr>
            <w:tcW w:w="4253" w:type="dxa"/>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标准间及单间总数量要求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不少于100间（含100间）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不少于70间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不少于10间</w:t>
            </w:r>
          </w:p>
        </w:tc>
      </w:tr>
    </w:tbl>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（1）标准间及单间均设卫生间。标准间建筑面积不小于12平方米（不含卫生间面积），卫生间建筑面积不小于2平方米。</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客房配备软垫床、沙发或扶手椅、茶几、衣橱、写字台（或梳妆台）、床头柜、床头灯、台灯、窗帘等配套家具和装饰用品。有空调、彩电，可通过总机拨通市内电话。备有信封、信纸、笔、服务指南、住宿须知、价目表等。</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（3）卫生间装有抽水马桶、带台面的面盆、梳妆镜、有带淋浴喷头的洗浴设备、浴帘，配备常用的卫生用品等。有良好的照明和排风设施。采取有效的防滑措施。24小时供洗浴热水。</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（4）提供开夜床等服务，24小时供应开水（饮用水）。</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（5）客房、卫生间每天全面整理一次，每会或应客人要求更换床单、被罩和枕套，随时补充客用品、消耗品。</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5.2.9餐厅</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 xml:space="preserve"> 同时用餐人数要求: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会议类别</w:t>
            </w:r>
          </w:p>
        </w:tc>
        <w:tc>
          <w:tcPr>
            <w:tcW w:w="4253" w:type="dxa"/>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同时用餐人数要求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至少可容纳200人以上（含200人）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可容纳100人至200人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可容纳30人至60人</w:t>
            </w:r>
          </w:p>
        </w:tc>
      </w:tr>
    </w:tbl>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（1）家具、餐具、酒具、用品配套完好，使用布料的桌布、口布。</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（2）提供早、中、晚餐，晚餐客人点菜时间不得早于20时结束，并能根据客人需要提供桌餐或自助餐等服务，能提供民族餐。</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（3）能提供普通会议餐。</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5.2.10厨房</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（1）有符合国家卫生标准的操作间，有足够的冷库。墙壁地面满铺瓷砖（或保洁材料），有地槽、吊顶。全部使用不锈钢(或其他材质)工作台及优质的厨柜、厨具、用具，有洗刷、消毒设备。有封闭的垃圾箱。</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（2）冷荤间、面点间独立分隔，冷荤间有消毒保鲜设备。</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（3）厨房与餐厅之间有隔音、隔热、隔气味设施。</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（4）有防蚊蝇、防鼠、防蟑螂等有效措施。</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5.2.11会议室</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 xml:space="preserve"> 会议室容纳人数要求: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会议类别</w:t>
            </w:r>
          </w:p>
        </w:tc>
        <w:tc>
          <w:tcPr>
            <w:tcW w:w="4253" w:type="dxa"/>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会议室容纳人数要求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容纳200人以上的大型会议室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可容纳100人至200人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可容纳20人至50人</w:t>
            </w:r>
          </w:p>
        </w:tc>
      </w:tr>
    </w:tbl>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会议室应满足不同会议的实际使用需求，并提供所需的茶水、坐席牌、横幅、多媒体等配套设施。</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（1）室内配备冷暖空调、沙发、茶几、会议桌椅，茶具用具齐备。</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（2）有较宽敞的楼层厅堂和会间客人休息场所。</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（3）会议室设专职服务员。</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5.2.12公共区域</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自备(免费)停车场车位要求: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会议类别</w:t>
            </w:r>
          </w:p>
        </w:tc>
        <w:tc>
          <w:tcPr>
            <w:tcW w:w="4253" w:type="dxa"/>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自备(免费)停车场车位要求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不少于50个（含50个）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不少于40个（含40个）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不少于30个（含30个）</w:t>
            </w:r>
          </w:p>
        </w:tc>
      </w:tr>
    </w:tbl>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有与定点场所规模相适应的停车场。</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室内公共区域，设置应急照明设施和男女分设的公共卫生间。</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楼层适当位置设服务台和公共电话、市内电话簿。</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庭院绿化美化好。</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5.2.13综合服务</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（1）有多功能厅、商品部。</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（2）提供打印、复印、发传真等商务服务。</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（3）有方便客人投诉的措施。</w:t>
      </w:r>
    </w:p>
    <w:p>
      <w:pPr>
        <w:rPr>
          <w:rFonts w:hint="eastAsia"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br w:type="page"/>
      </w:r>
    </w:p>
    <w:p>
      <w:pPr>
        <w:pStyle w:val="3"/>
        <w:numPr>
          <w:ilvl w:val="0"/>
          <w:numId w:val="0"/>
        </w:numPr>
        <w:bidi w:val="0"/>
        <w:ind w:leftChars="0"/>
        <w:jc w:val="center"/>
        <w:rPr>
          <w:b/>
          <w:bCs/>
          <w:color w:val="000000" w:themeColor="text1"/>
          <w:sz w:val="21"/>
          <w:szCs w:val="21"/>
          <w:highlight w:val="none"/>
          <w14:textFill>
            <w14:solidFill>
              <w14:schemeClr w14:val="tx1"/>
            </w14:solidFill>
          </w14:textFill>
        </w:rPr>
      </w:pPr>
      <w:bookmarkStart w:id="62" w:name="_Toc25968"/>
      <w:bookmarkStart w:id="63" w:name="_Toc351987768"/>
      <w:bookmarkStart w:id="64" w:name="_Toc351987964"/>
      <w:bookmarkStart w:id="65" w:name="_Toc357151175"/>
      <w:bookmarkStart w:id="66" w:name="_Toc353522392"/>
      <w:bookmarkStart w:id="67" w:name="_Toc369180022"/>
      <w:bookmarkStart w:id="68" w:name="_Toc351990145"/>
      <w:bookmarkStart w:id="69" w:name="_Toc351988709"/>
      <w:r>
        <w:rPr>
          <w:rFonts w:hint="eastAsia"/>
          <w:b/>
          <w:bCs/>
          <w:color w:val="000000" w:themeColor="text1"/>
          <w:sz w:val="21"/>
          <w:szCs w:val="21"/>
          <w:highlight w:val="none"/>
          <w14:textFill>
            <w14:solidFill>
              <w14:schemeClr w14:val="tx1"/>
            </w14:solidFill>
          </w14:textFill>
        </w:rPr>
        <w:t>第三部分 谈判须知</w:t>
      </w:r>
      <w:bookmarkEnd w:id="62"/>
    </w:p>
    <w:p>
      <w:pPr>
        <w:pStyle w:val="4"/>
        <w:numPr>
          <w:ilvl w:val="0"/>
          <w:numId w:val="0"/>
        </w:numPr>
        <w:spacing w:line="360" w:lineRule="auto"/>
        <w:jc w:val="center"/>
        <w:rPr>
          <w:rFonts w:ascii="宋体" w:hAnsi="宋体"/>
          <w:color w:val="000000" w:themeColor="text1"/>
          <w:kern w:val="0"/>
          <w:sz w:val="24"/>
          <w:highlight w:val="none"/>
          <w14:textFill>
            <w14:solidFill>
              <w14:schemeClr w14:val="tx1"/>
            </w14:solidFill>
          </w14:textFill>
        </w:rPr>
      </w:pPr>
      <w:bookmarkStart w:id="70" w:name="_Toc434832495"/>
      <w:bookmarkStart w:id="71" w:name="_Toc2538"/>
      <w:bookmarkStart w:id="72" w:name="_Toc458956865"/>
      <w:r>
        <w:rPr>
          <w:rFonts w:hint="eastAsia" w:ascii="宋体" w:hAnsi="宋体"/>
          <w:color w:val="000000" w:themeColor="text1"/>
          <w:kern w:val="0"/>
          <w:sz w:val="24"/>
          <w:highlight w:val="none"/>
          <w14:textFill>
            <w14:solidFill>
              <w14:schemeClr w14:val="tx1"/>
            </w14:solidFill>
          </w14:textFill>
        </w:rPr>
        <w:t>谈判须知前附表</w:t>
      </w:r>
      <w:bookmarkEnd w:id="70"/>
      <w:bookmarkEnd w:id="71"/>
      <w:bookmarkEnd w:id="72"/>
    </w:p>
    <w:tbl>
      <w:tblPr>
        <w:tblStyle w:val="44"/>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单一来源小组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之前不准启封”的字样、项目名称、项目编号、投标人名称及联系资料，并加盖骑缝章。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5"/>
              <w:numPr>
                <w:ilvl w:val="1"/>
                <w:numId w:val="3"/>
              </w:numPr>
              <w:tabs>
                <w:tab w:val="left" w:pos="26"/>
                <w:tab w:val="clear" w:pos="783"/>
              </w:tabs>
              <w:autoSpaceDE w:val="0"/>
              <w:autoSpaceDN w:val="0"/>
              <w:adjustRightInd w:val="0"/>
              <w:ind w:left="26" w:firstLine="0"/>
              <w:textAlignment w:val="baseline"/>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招标文件中打“★”号条款必须实质性响应，负偏离（不满足要求）将导致投标无效。</w:t>
            </w:r>
          </w:p>
          <w:p>
            <w:pPr>
              <w:pStyle w:val="5"/>
              <w:tabs>
                <w:tab w:val="left" w:pos="26"/>
              </w:tabs>
              <w:ind w:left="26" w:firstLine="0"/>
              <w:rPr>
                <w:rFonts w:ascii="宋体"/>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2、招标文件中带“▲”为实质性参数要求响应,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政府采购信息公告媒体</w:t>
            </w:r>
          </w:p>
        </w:tc>
        <w:tc>
          <w:tcPr>
            <w:tcW w:w="3147"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147"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8055"/>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b/>
      </w:r>
    </w:p>
    <w:bookmarkEnd w:id="63"/>
    <w:bookmarkEnd w:id="64"/>
    <w:bookmarkEnd w:id="65"/>
    <w:bookmarkEnd w:id="66"/>
    <w:bookmarkEnd w:id="67"/>
    <w:bookmarkEnd w:id="68"/>
    <w:bookmarkEnd w:id="69"/>
    <w:p>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73" w:name="_Toc459971447"/>
      <w:bookmarkStart w:id="74" w:name="_Toc21621"/>
      <w:r>
        <w:rPr>
          <w:rFonts w:hint="eastAsia" w:hAnsi="宋体" w:cs="Times New Roman"/>
          <w:b/>
          <w:color w:val="000000" w:themeColor="text1"/>
          <w:highlight w:val="none"/>
          <w14:textFill>
            <w14:solidFill>
              <w14:schemeClr w14:val="tx1"/>
            </w14:solidFill>
          </w14:textFill>
        </w:rPr>
        <w:t>一、说  明</w:t>
      </w:r>
      <w:bookmarkEnd w:id="73"/>
      <w:bookmarkEnd w:id="74"/>
    </w:p>
    <w:p>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 适用范围</w:t>
      </w:r>
    </w:p>
    <w:p>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1.1本谈判文件适用于本</w:t>
      </w:r>
      <w:r>
        <w:rPr>
          <w:rFonts w:hint="eastAsia" w:hAnsi="宋体"/>
          <w:color w:val="000000" w:themeColor="text1"/>
          <w:highlight w:val="none"/>
          <w14:textFill>
            <w14:solidFill>
              <w14:schemeClr w14:val="tx1"/>
            </w14:solidFill>
          </w14:textFill>
        </w:rPr>
        <w:t>单一来源</w:t>
      </w:r>
      <w:r>
        <w:rPr>
          <w:rFonts w:hint="eastAsia" w:hAnsi="宋体" w:cs="Times New Roman"/>
          <w:color w:val="000000" w:themeColor="text1"/>
          <w:highlight w:val="none"/>
          <w14:textFill>
            <w14:solidFill>
              <w14:schemeClr w14:val="tx1"/>
            </w14:solidFill>
          </w14:textFill>
        </w:rPr>
        <w:t>谈判的政府采购项目。</w:t>
      </w:r>
    </w:p>
    <w:p>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 定义</w:t>
      </w:r>
    </w:p>
    <w:p>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“采购人”：是指本次采购项目的最终服务对象:</w:t>
      </w:r>
      <w:r>
        <w:rPr>
          <w:rFonts w:hint="eastAsia" w:hAnsi="宋体" w:cs="Times New Roman"/>
          <w:color w:val="000000" w:themeColor="text1"/>
          <w:highlight w:val="none"/>
          <w:lang w:eastAsia="zh-CN"/>
          <w14:textFill>
            <w14:solidFill>
              <w14:schemeClr w14:val="tx1"/>
            </w14:solidFill>
          </w14:textFill>
        </w:rPr>
        <w:t>阳西县财政局</w:t>
      </w:r>
      <w:r>
        <w:rPr>
          <w:rFonts w:hint="eastAsia" w:hAnsi="宋体" w:cs="Times New Roman"/>
          <w:color w:val="000000" w:themeColor="text1"/>
          <w:highlight w:val="none"/>
          <w14:textFill>
            <w14:solidFill>
              <w14:schemeClr w14:val="tx1"/>
            </w14:solidFill>
          </w14:textFill>
        </w:rPr>
        <w:t>。</w:t>
      </w:r>
    </w:p>
    <w:p>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“监管部门”是指：同级政府采购监管部门。</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 “采购代理机构”：是指</w:t>
      </w:r>
      <w:r>
        <w:rPr>
          <w:rFonts w:hint="eastAsia" w:ascii="宋体" w:hAnsi="宋体"/>
          <w:color w:val="000000" w:themeColor="text1"/>
          <w:kern w:val="0"/>
          <w:szCs w:val="21"/>
          <w:highlight w:val="none"/>
          <w:lang w:eastAsia="zh-CN"/>
          <w14:textFill>
            <w14:solidFill>
              <w14:schemeClr w14:val="tx1"/>
            </w14:solidFill>
          </w14:textFill>
        </w:rPr>
        <w:t>广东业信招标有限公司</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 “招标采购单位”是指：</w:t>
      </w:r>
      <w:r>
        <w:rPr>
          <w:rFonts w:hint="eastAsia" w:ascii="宋体" w:hAnsi="宋体"/>
          <w:color w:val="000000" w:themeColor="text1"/>
          <w:kern w:val="0"/>
          <w:szCs w:val="21"/>
          <w:highlight w:val="none"/>
          <w:u w:val="single"/>
          <w14:textFill>
            <w14:solidFill>
              <w14:schemeClr w14:val="tx1"/>
            </w14:solidFill>
          </w14:textFill>
        </w:rPr>
        <w:t>采购人</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“响应供应商”是指响应本文件要求，参加谈判的法人或者其他组织、自然人。</w:t>
      </w:r>
    </w:p>
    <w:p>
      <w:pPr>
        <w:autoSpaceDE w:val="0"/>
        <w:autoSpaceDN w:val="0"/>
        <w:adjustRightInd w:val="0"/>
        <w:snapToGrid w:val="0"/>
        <w:spacing w:line="36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合格的响应供应商指：</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(1)符合《政府采购法》第二十二条规定的响应供应商。</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(2)符合谈判文件规定的资格要求及特殊条件要求。</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2.6“成交供应商”是指经法定程序确定并授予合同的响应供应商。</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谈判响应文件”是指：供应商根据本文件要求，编制包含报价、技术和服务等所有内容的实质性响应文件。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 合格的货物和服务</w:t>
      </w:r>
    </w:p>
    <w:p>
      <w:pPr>
        <w:adjustRightInd w:val="0"/>
        <w:snapToGrid w:val="0"/>
        <w:spacing w:line="36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响应供应商制造或组织符合谈判文件要求的货物等。谈判文件中没有提及谈判货物来源地的，根据《政府采购法》的相关规定均应是本国货物，优先采购节能、环保产品。谈判的货物必须是其合法生产的符合国家有关标准要求的货物，并满足政府谈判文件规定的规格、参数、质量、价格、有效期、售后服务等要求。</w:t>
      </w:r>
    </w:p>
    <w:p>
      <w:pPr>
        <w:adjustRightInd w:val="0"/>
        <w:snapToGrid w:val="0"/>
        <w:spacing w:line="36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“服务”是指除货物和工程以外的其他政府采购对象,其中包括：响应供应商须承担的运输、安装、技术支持、培训以及谈判文件规定的其它服务。</w:t>
      </w:r>
    </w:p>
    <w:p>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 谈判费用</w:t>
      </w:r>
    </w:p>
    <w:p>
      <w:pPr>
        <w:pStyle w:val="23"/>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响应供应商应承担所有与准备和参加谈判有关的费用。不论谈判的结果如何，政府采购代理机构和采购人均无义务和责任承担这些费用。</w:t>
      </w:r>
    </w:p>
    <w:p>
      <w:pPr>
        <w:pStyle w:val="23"/>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4.2本次采购向成交供应商收取的成交服务费，按国家有关规定执行。</w:t>
      </w:r>
    </w:p>
    <w:p>
      <w:pPr>
        <w:pStyle w:val="23"/>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75" w:name="_Toc459971448"/>
      <w:bookmarkStart w:id="76" w:name="_Toc12185"/>
      <w:r>
        <w:rPr>
          <w:rFonts w:hint="eastAsia" w:hAnsi="宋体" w:cs="Times New Roman"/>
          <w:b/>
          <w:color w:val="000000" w:themeColor="text1"/>
          <w:highlight w:val="none"/>
          <w14:textFill>
            <w14:solidFill>
              <w14:schemeClr w14:val="tx1"/>
            </w14:solidFill>
          </w14:textFill>
        </w:rPr>
        <w:t>二、谈判文件</w:t>
      </w:r>
      <w:bookmarkEnd w:id="75"/>
      <w:bookmarkEnd w:id="76"/>
    </w:p>
    <w:p>
      <w:pPr>
        <w:pStyle w:val="23"/>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5.  谈判文件的构成</w:t>
      </w:r>
    </w:p>
    <w:p>
      <w:pPr>
        <w:pStyle w:val="23"/>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5.1谈判文件由下列文件以及在</w:t>
      </w:r>
      <w:r>
        <w:rPr>
          <w:rFonts w:hint="eastAsia" w:hAnsi="宋体"/>
          <w:color w:val="000000" w:themeColor="text1"/>
          <w:highlight w:val="none"/>
          <w14:textFill>
            <w14:solidFill>
              <w14:schemeClr w14:val="tx1"/>
            </w14:solidFill>
          </w14:textFill>
        </w:rPr>
        <w:t>谈判</w:t>
      </w:r>
      <w:r>
        <w:rPr>
          <w:rFonts w:hint="eastAsia" w:hAnsi="宋体" w:cs="Times New Roman"/>
          <w:color w:val="000000" w:themeColor="text1"/>
          <w:highlight w:val="none"/>
          <w14:textFill>
            <w14:solidFill>
              <w14:schemeClr w14:val="tx1"/>
            </w14:solidFill>
          </w14:textFill>
        </w:rPr>
        <w:t>过程中发出的修正和补充文件组成：</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谈判邀请</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谈判须知</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(5) </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谈判响应文件格式</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其他：详见《谈判须知前附表》</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在谈判过程中由招标采购单位发出的修正和补充文件等；</w:t>
      </w:r>
    </w:p>
    <w:p>
      <w:pPr>
        <w:pStyle w:val="23"/>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5.2 响应供应商应认真阅读、并充分理解谈判文件的全部内容（包括所有的补充、修改内容、重要事项、格式、条款和技术规范、参数及要求等。），响应供应商没有按照谈判文件要求提交全部资料，或者单一来源谈判响应文件没有对谈判文件在各方面都做出实质性响应是响应供应商的风险，有可能导致其谈判响应被拒绝，或被认定为无效响应或被确定为响应无效。</w:t>
      </w:r>
    </w:p>
    <w:p>
      <w:pPr>
        <w:spacing w:line="360" w:lineRule="auto"/>
        <w:ind w:left="360" w:hanging="360"/>
        <w:rPr>
          <w:rFonts w:ascii="宋体" w:hAnsi="宋体"/>
          <w:color w:val="000000" w:themeColor="text1"/>
          <w:szCs w:val="21"/>
          <w:highlight w:val="none"/>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77" w:name="_Toc459971449"/>
      <w:bookmarkStart w:id="78" w:name="_Toc1486"/>
      <w:r>
        <w:rPr>
          <w:rFonts w:hint="eastAsia" w:hAnsi="宋体" w:cs="Times New Roman"/>
          <w:b/>
          <w:color w:val="000000" w:themeColor="text1"/>
          <w:highlight w:val="none"/>
          <w14:textFill>
            <w14:solidFill>
              <w14:schemeClr w14:val="tx1"/>
            </w14:solidFill>
          </w14:textFill>
        </w:rPr>
        <w:t>三、单一来源谈判响应文件的编制</w:t>
      </w:r>
      <w:bookmarkEnd w:id="77"/>
      <w:bookmarkEnd w:id="78"/>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谈判响应文件的组成</w:t>
      </w:r>
    </w:p>
    <w:p>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6.1响应供应商编写的单一来源谈判响应文件应包括自查表、资格性文件、商务部分、技术部分、价格部分组成（单一来源谈判响应文件独立编制）,详见《单一来源谈判响应文件格式》。</w:t>
      </w:r>
    </w:p>
    <w:p>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 报价信封必须另单独分装，详见《单一来源谈判响应文件格式》。</w:t>
      </w:r>
    </w:p>
    <w:p>
      <w:pPr>
        <w:pStyle w:val="23"/>
        <w:adjustRightInd w:val="0"/>
        <w:snapToGrid w:val="0"/>
        <w:spacing w:line="360" w:lineRule="auto"/>
        <w:rPr>
          <w:rFonts w:hAnsi="宋体" w:cs="Times New Roman"/>
          <w:color w:val="000000" w:themeColor="text1"/>
          <w:highlight w:val="none"/>
          <w14:textFill>
            <w14:solidFill>
              <w14:schemeClr w14:val="tx1"/>
            </w14:solidFill>
          </w14:textFill>
        </w:rPr>
      </w:pPr>
    </w:p>
    <w:p>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 xml:space="preserve">7 </w:t>
      </w:r>
      <w:r>
        <w:rPr>
          <w:rFonts w:hint="eastAsia" w:hAnsi="宋体"/>
          <w:color w:val="000000" w:themeColor="text1"/>
          <w:highlight w:val="none"/>
          <w14:textFill>
            <w14:solidFill>
              <w14:schemeClr w14:val="tx1"/>
            </w14:solidFill>
          </w14:textFill>
        </w:rPr>
        <w:t>单一来源</w:t>
      </w:r>
      <w:r>
        <w:rPr>
          <w:rFonts w:hint="eastAsia" w:hAnsi="宋体" w:cs="Times New Roman"/>
          <w:color w:val="000000" w:themeColor="text1"/>
          <w:highlight w:val="none"/>
          <w14:textFill>
            <w14:solidFill>
              <w14:schemeClr w14:val="tx1"/>
            </w14:solidFill>
          </w14:textFill>
        </w:rPr>
        <w:t>谈判响应文件编制基本要求</w:t>
      </w:r>
    </w:p>
    <w:p>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响应供应商对单一来源谈判响应文件的编制应按要求装订和封装。</w:t>
      </w:r>
    </w:p>
    <w:p>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响应供应商提交的谈判响应文件及其与招标采购单位就有关谈判的所有来往函电均应使用中文。响应供应商提交的支持文件或印刷的资料可以用另一种语言，但相应内容应附有中文翻译本，在解释谈判响应文件的修改内容时以中文翻译本为准。对中文翻译有异议的，以权威机构的译本为准。</w:t>
      </w:r>
    </w:p>
    <w:p>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7.3单一来源谈判响应文件必须按本文件的全部内容，包括所有的补充通知及附件进行编制。</w:t>
      </w:r>
    </w:p>
    <w:p>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7.4如因响应供应商只填写和提供了本文件要求的部分内容和附件，而给谈判造成困难的，其可能导致的结果和责任由响应供应商自行承担。 </w:t>
      </w:r>
    </w:p>
    <w:p>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8. 计量单位：</w:t>
      </w:r>
    </w:p>
    <w:p>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8.1除技术要求中另有规定外，本文件所要求使用的计量单位均采用国家法定的度、量、衡标准单位计量。</w:t>
      </w:r>
    </w:p>
    <w:p>
      <w:pPr>
        <w:spacing w:line="360" w:lineRule="auto"/>
        <w:ind w:left="360" w:hanging="360"/>
        <w:rPr>
          <w:rFonts w:ascii="宋体" w:hAnsi="宋体"/>
          <w:color w:val="000000" w:themeColor="text1"/>
          <w:szCs w:val="21"/>
          <w:highlight w:val="none"/>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79" w:name="_Toc17536"/>
      <w:bookmarkStart w:id="80" w:name="_Toc459971450"/>
      <w:r>
        <w:rPr>
          <w:rFonts w:hint="eastAsia" w:hAnsi="宋体" w:cs="Times New Roman"/>
          <w:b/>
          <w:color w:val="000000" w:themeColor="text1"/>
          <w:highlight w:val="none"/>
          <w14:textFill>
            <w14:solidFill>
              <w14:schemeClr w14:val="tx1"/>
            </w14:solidFill>
          </w14:textFill>
        </w:rPr>
        <w:t>四、谈判报价要求和响应供应商资格证明文件的要求</w:t>
      </w:r>
      <w:bookmarkEnd w:id="79"/>
      <w:bookmarkEnd w:id="80"/>
    </w:p>
    <w:p>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9.</w:t>
      </w:r>
      <w:r>
        <w:rPr>
          <w:rFonts w:hint="eastAsia" w:hAnsi="宋体"/>
          <w:color w:val="000000" w:themeColor="text1"/>
          <w:kern w:val="0"/>
          <w:highlight w:val="none"/>
          <w14:textFill>
            <w14:solidFill>
              <w14:schemeClr w14:val="tx1"/>
            </w14:solidFill>
          </w14:textFill>
        </w:rPr>
        <w:t xml:space="preserve"> </w:t>
      </w:r>
      <w:r>
        <w:rPr>
          <w:rFonts w:hint="eastAsia" w:hAnsi="宋体" w:cs="Times New Roman"/>
          <w:color w:val="000000" w:themeColor="text1"/>
          <w:highlight w:val="none"/>
          <w14:textFill>
            <w14:solidFill>
              <w14:schemeClr w14:val="tx1"/>
            </w14:solidFill>
          </w14:textFill>
        </w:rPr>
        <w:t>响应供应商</w:t>
      </w:r>
      <w:r>
        <w:rPr>
          <w:rFonts w:hint="eastAsia" w:hAnsi="宋体"/>
          <w:color w:val="000000" w:themeColor="text1"/>
          <w:kern w:val="0"/>
          <w:highlight w:val="none"/>
          <w14:textFill>
            <w14:solidFill>
              <w14:schemeClr w14:val="tx1"/>
            </w14:solidFill>
          </w14:textFill>
        </w:rPr>
        <w:t>所提供的服务均应以人民币报价，</w:t>
      </w:r>
      <w:r>
        <w:rPr>
          <w:rFonts w:hint="eastAsia" w:hAnsi="宋体" w:cs="Times New Roman"/>
          <w:color w:val="000000" w:themeColor="text1"/>
          <w:highlight w:val="none"/>
          <w14:textFill>
            <w14:solidFill>
              <w14:schemeClr w14:val="tx1"/>
            </w14:solidFill>
          </w14:textFill>
        </w:rPr>
        <w:t>响应供应商应按照第二部分“</w:t>
      </w:r>
      <w:r>
        <w:rPr>
          <w:rFonts w:hint="eastAsia" w:hAnsi="宋体"/>
          <w:color w:val="000000" w:themeColor="text1"/>
          <w:kern w:val="0"/>
          <w:highlight w:val="none"/>
          <w14:textFill>
            <w14:solidFill>
              <w14:schemeClr w14:val="tx1"/>
            </w14:solidFill>
          </w14:textFill>
        </w:rPr>
        <w:t>采购项目服务内容及要求</w:t>
      </w:r>
      <w:r>
        <w:rPr>
          <w:rFonts w:hint="eastAsia" w:hAnsi="宋体" w:cs="Times New Roman"/>
          <w:color w:val="000000" w:themeColor="text1"/>
          <w:highlight w:val="none"/>
          <w14:textFill>
            <w14:solidFill>
              <w14:schemeClr w14:val="tx1"/>
            </w14:solidFill>
          </w14:textFill>
        </w:rPr>
        <w:t>”规定的内容、责任范围以及合同条款进行报价。</w:t>
      </w:r>
    </w:p>
    <w:p>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10.在合同实施时，采购人将不予支付成交供应商没有列入的项目费用，并认为此项目的费用已包括在总报价中。</w:t>
      </w:r>
    </w:p>
    <w:p>
      <w:pPr>
        <w:pStyle w:val="23"/>
        <w:adjustRightInd w:val="0"/>
        <w:snapToGrid w:val="0"/>
        <w:spacing w:line="360" w:lineRule="auto"/>
        <w:ind w:left="420" w:hanging="420"/>
        <w:rPr>
          <w:rFonts w:hAnsi="宋体"/>
          <w:b/>
          <w:color w:val="000000" w:themeColor="text1"/>
          <w:kern w:val="0"/>
          <w:highlight w:val="none"/>
          <w14:textFill>
            <w14:solidFill>
              <w14:schemeClr w14:val="tx1"/>
            </w14:solidFill>
          </w14:textFill>
        </w:rPr>
      </w:pPr>
      <w:r>
        <w:rPr>
          <w:rFonts w:hint="eastAsia" w:hAnsi="宋体"/>
          <w:b/>
          <w:color w:val="000000" w:themeColor="text1"/>
          <w:kern w:val="0"/>
          <w:highlight w:val="none"/>
          <w14:textFill>
            <w14:solidFill>
              <w14:schemeClr w14:val="tx1"/>
            </w14:solidFill>
          </w14:textFill>
        </w:rPr>
        <w:t>11. 本项目最终总报价不能高于采购预算（或最高限价），否则其谈判响应将被确定为响应无效。</w:t>
      </w:r>
    </w:p>
    <w:p>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Ansi="宋体" w:cs="Times New Roman"/>
          <w:color w:val="000000" w:themeColor="text1"/>
          <w:highlight w:val="none"/>
          <w14:textFill>
            <w14:solidFill>
              <w14:schemeClr w14:val="tx1"/>
            </w14:solidFill>
          </w14:textFill>
        </w:rPr>
        <w:t>1</w:t>
      </w:r>
      <w:r>
        <w:rPr>
          <w:rFonts w:hint="eastAsia" w:hAnsi="宋体" w:cs="Times New Roman"/>
          <w:color w:val="000000" w:themeColor="text1"/>
          <w:highlight w:val="none"/>
          <w14:textFill>
            <w14:solidFill>
              <w14:schemeClr w14:val="tx1"/>
            </w14:solidFill>
          </w14:textFill>
        </w:rPr>
        <w:t>2</w:t>
      </w:r>
      <w:r>
        <w:rPr>
          <w:rFonts w:hAnsi="宋体" w:cs="Times New Roman"/>
          <w:color w:val="000000" w:themeColor="text1"/>
          <w:highlight w:val="none"/>
          <w14:textFill>
            <w14:solidFill>
              <w14:schemeClr w14:val="tx1"/>
            </w14:solidFill>
          </w14:textFill>
        </w:rPr>
        <w:tab/>
      </w:r>
      <w:r>
        <w:rPr>
          <w:rFonts w:hint="eastAsia" w:hAnsi="宋体" w:cs="Times New Roman"/>
          <w:color w:val="000000" w:themeColor="text1"/>
          <w:highlight w:val="none"/>
          <w14:textFill>
            <w14:solidFill>
              <w14:schemeClr w14:val="tx1"/>
            </w14:solidFill>
          </w14:textFill>
        </w:rPr>
        <w:t>响应供应商资格证明文件</w:t>
      </w:r>
    </w:p>
    <w:p>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Ansi="宋体" w:cs="Times New Roman"/>
          <w:color w:val="000000" w:themeColor="text1"/>
          <w:highlight w:val="none"/>
          <w14:textFill>
            <w14:solidFill>
              <w14:schemeClr w14:val="tx1"/>
            </w14:solidFill>
          </w14:textFill>
        </w:rPr>
        <w:t>1</w:t>
      </w:r>
      <w:r>
        <w:rPr>
          <w:rFonts w:hint="eastAsia" w:hAnsi="宋体" w:cs="Times New Roman"/>
          <w:color w:val="000000" w:themeColor="text1"/>
          <w:highlight w:val="none"/>
          <w14:textFill>
            <w14:solidFill>
              <w14:schemeClr w14:val="tx1"/>
            </w14:solidFill>
          </w14:textFill>
        </w:rPr>
        <w:t>2</w:t>
      </w:r>
      <w:r>
        <w:rPr>
          <w:rFonts w:hAnsi="宋体" w:cs="Times New Roman"/>
          <w:color w:val="000000" w:themeColor="text1"/>
          <w:highlight w:val="none"/>
          <w14:textFill>
            <w14:solidFill>
              <w14:schemeClr w14:val="tx1"/>
            </w14:solidFill>
          </w14:textFill>
        </w:rPr>
        <w:t>.1</w:t>
      </w:r>
      <w:r>
        <w:rPr>
          <w:rFonts w:hint="eastAsia" w:hAnsi="宋体" w:cs="Times New Roman"/>
          <w:color w:val="000000" w:themeColor="text1"/>
          <w:highlight w:val="none"/>
          <w14:textFill>
            <w14:solidFill>
              <w14:schemeClr w14:val="tx1"/>
            </w14:solidFill>
          </w14:textFill>
        </w:rPr>
        <w:t>响应供应商应按谈判文件的要求，提交证明其有资格参加谈判和成交后有履行合同能力的文件，并作为其</w:t>
      </w:r>
      <w:r>
        <w:rPr>
          <w:rFonts w:hint="eastAsia" w:hAnsi="宋体"/>
          <w:color w:val="000000" w:themeColor="text1"/>
          <w:highlight w:val="none"/>
          <w14:textFill>
            <w14:solidFill>
              <w14:schemeClr w14:val="tx1"/>
            </w14:solidFill>
          </w14:textFill>
        </w:rPr>
        <w:t>单一来源</w:t>
      </w:r>
      <w:r>
        <w:rPr>
          <w:rFonts w:hint="eastAsia" w:hAnsi="宋体" w:cs="Times New Roman"/>
          <w:color w:val="000000" w:themeColor="text1"/>
          <w:highlight w:val="none"/>
          <w14:textFill>
            <w14:solidFill>
              <w14:schemeClr w14:val="tx1"/>
            </w14:solidFill>
          </w14:textFill>
        </w:rPr>
        <w:t>谈判响应文件的组成部分。详见《谈判须知前附表》</w:t>
      </w:r>
    </w:p>
    <w:p>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12.2资格证明文件必须真实有效，复印件必须加盖单位印章。</w:t>
      </w:r>
    </w:p>
    <w:p>
      <w:pPr>
        <w:pStyle w:val="23"/>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13. 证明</w:t>
      </w:r>
      <w:r>
        <w:rPr>
          <w:rFonts w:hint="eastAsia" w:hAnsi="宋体"/>
          <w:color w:val="000000" w:themeColor="text1"/>
          <w:highlight w:val="none"/>
          <w14:textFill>
            <w14:solidFill>
              <w14:schemeClr w14:val="tx1"/>
            </w14:solidFill>
          </w14:textFill>
        </w:rPr>
        <w:t>单一来源</w:t>
      </w:r>
      <w:r>
        <w:rPr>
          <w:rFonts w:hint="eastAsia" w:hAnsi="宋体" w:cs="Times New Roman"/>
          <w:color w:val="000000" w:themeColor="text1"/>
          <w:highlight w:val="none"/>
          <w14:textFill>
            <w14:solidFill>
              <w14:schemeClr w14:val="tx1"/>
            </w14:solidFill>
          </w14:textFill>
        </w:rPr>
        <w:t>谈判响应文件标的的合格性和符合谈判文件规定的文件：</w:t>
      </w:r>
    </w:p>
    <w:p>
      <w:pPr>
        <w:tabs>
          <w:tab w:val="left" w:pos="567"/>
        </w:tabs>
        <w:spacing w:line="36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13.1 响应供应商提交证明其所提供的服务的合格性并符合谈判文件规定的声明文件。</w:t>
      </w:r>
    </w:p>
    <w:p>
      <w:pPr>
        <w:tabs>
          <w:tab w:val="left" w:pos="567"/>
        </w:tabs>
        <w:spacing w:line="36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证明服务与谈判文件的要求相一致的文件可以是文字资料、图纸、数据资料等。</w:t>
      </w:r>
    </w:p>
    <w:p>
      <w:pPr>
        <w:pStyle w:val="23"/>
        <w:adjustRightInd w:val="0"/>
        <w:snapToGrid w:val="0"/>
        <w:spacing w:line="360" w:lineRule="auto"/>
        <w:ind w:left="420" w:hanging="420"/>
        <w:rPr>
          <w:rFonts w:hAnsi="宋体"/>
          <w:b/>
          <w:color w:val="000000" w:themeColor="text1"/>
          <w:kern w:val="0"/>
          <w:highlight w:val="none"/>
          <w:u w:val="single"/>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81" w:name="_Toc7149"/>
      <w:bookmarkStart w:id="82" w:name="_Toc459971451"/>
      <w:r>
        <w:rPr>
          <w:rFonts w:hint="eastAsia" w:hAnsi="宋体" w:cs="Times New Roman"/>
          <w:b/>
          <w:color w:val="000000" w:themeColor="text1"/>
          <w:highlight w:val="none"/>
          <w14:textFill>
            <w14:solidFill>
              <w14:schemeClr w14:val="tx1"/>
            </w14:solidFill>
          </w14:textFill>
        </w:rPr>
        <w:t>五、谈判保证金</w:t>
      </w:r>
      <w:bookmarkEnd w:id="81"/>
      <w:bookmarkEnd w:id="82"/>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 谈判保证金</w:t>
      </w:r>
    </w:p>
    <w:p>
      <w:pPr>
        <w:adjustRightInd w:val="0"/>
        <w:snapToGrid w:val="0"/>
        <w:spacing w:line="36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14.1 响应供应商应按谈判文件规定的金额和期限交纳谈判保证金，谈判保证金作为</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谈判响应文件的组成部分。</w:t>
      </w:r>
    </w:p>
    <w:p>
      <w:pPr>
        <w:adjustRightInd w:val="0"/>
        <w:snapToGrid w:val="0"/>
        <w:spacing w:line="36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14.2谈判保证金金额、交纳形式、交纳时间及谈判保证金账户，详见《谈判须知前附表》。</w:t>
      </w:r>
    </w:p>
    <w:p>
      <w:pPr>
        <w:adjustRightInd w:val="0"/>
        <w:snapToGrid w:val="0"/>
        <w:spacing w:line="36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14.3凡未按规定交纳谈判保证金的谈判响应，其谈判响应被确定为响应无效。</w:t>
      </w:r>
    </w:p>
    <w:p>
      <w:pPr>
        <w:adjustRightInd w:val="0"/>
        <w:snapToGrid w:val="0"/>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14.4如无质疑或投诉，未成交的响应供应商保证金，在成交通知书发出后5个工作日内不计利息原额退还；如有质疑或投诉，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pPr>
        <w:adjustRightInd w:val="0"/>
        <w:snapToGrid w:val="0"/>
        <w:spacing w:line="36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14.5</w:t>
      </w:r>
      <w:r>
        <w:rPr>
          <w:rFonts w:hint="eastAsia" w:ascii="宋体" w:hAnsi="宋体"/>
          <w:color w:val="000000" w:themeColor="text1"/>
          <w:kern w:val="0"/>
          <w:szCs w:val="21"/>
          <w:highlight w:val="none"/>
          <w14:textFill>
            <w14:solidFill>
              <w14:schemeClr w14:val="tx1"/>
            </w14:solidFill>
          </w14:textFill>
        </w:rPr>
        <w:t>成交供应商的谈判保证金,在成交供应商与采购人签订采购合同并执行了缴交成交服务费的规定后5个工作日内不计利息原额退还。</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14.6 若有下列情况之一，谈判保证金将被没收，因此而造成采购人的损失须由响应供应商承担：</w:t>
      </w:r>
    </w:p>
    <w:p>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响应供应商在谈判文件规定的谈判有效期内撤回其单一来源谈判响应文件；</w:t>
      </w:r>
    </w:p>
    <w:p>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成交响应供应商在规定期限内未能按本须知的规定提交履约保证金（如有）；</w:t>
      </w:r>
    </w:p>
    <w:p>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成交后未按谈判文件中的规定缴付成交服务费；</w:t>
      </w:r>
    </w:p>
    <w:p>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83" w:name="_Toc459971452"/>
      <w:bookmarkStart w:id="84" w:name="_Toc5325"/>
      <w:r>
        <w:rPr>
          <w:rFonts w:hint="eastAsia" w:hAnsi="宋体" w:cs="Times New Roman"/>
          <w:b/>
          <w:color w:val="000000" w:themeColor="text1"/>
          <w:highlight w:val="none"/>
          <w14:textFill>
            <w14:solidFill>
              <w14:schemeClr w14:val="tx1"/>
            </w14:solidFill>
          </w14:textFill>
        </w:rPr>
        <w:t>六、单一来源谈判响应文件的份数、封装和递交</w:t>
      </w:r>
      <w:bookmarkEnd w:id="83"/>
      <w:bookmarkEnd w:id="84"/>
    </w:p>
    <w:p>
      <w:pPr>
        <w:autoSpaceDE w:val="0"/>
        <w:autoSpaceDN w:val="0"/>
        <w:adjustRightInd w:val="0"/>
        <w:snapToGrid w:val="0"/>
        <w:spacing w:line="36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  单一来源谈判响应文件的数量和签署</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响应供应商应编制</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谈判响应文件份数详见《谈判须知前附表》，</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谈判响应文件的副本可采用正本的复印件。每套</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谈判响应文件须清楚地标明“正本”、“副本”。若副本与正本不符，以正本为准。</w:t>
      </w:r>
      <w:r>
        <w:rPr>
          <w:rFonts w:hint="eastAsia" w:ascii="宋体"/>
          <w:bCs/>
          <w:color w:val="000000" w:themeColor="text1"/>
          <w:highlight w:val="none"/>
          <w14:textFill>
            <w14:solidFill>
              <w14:schemeClr w14:val="tx1"/>
            </w14:solidFill>
          </w14:textFill>
        </w:rPr>
        <w:t>（注：单一来源谈判响应文件副本可为正本的复印件）。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15.2 </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谈判响应文件的正本需打印或用不褪色墨水书写，并由</w:t>
      </w:r>
      <w:r>
        <w:rPr>
          <w:rFonts w:hint="eastAsia" w:ascii="宋体" w:hAnsi="宋体"/>
          <w:color w:val="000000" w:themeColor="text1"/>
          <w:kern w:val="0"/>
          <w:szCs w:val="21"/>
          <w:highlight w:val="none"/>
          <w:lang w:eastAsia="zh-CN"/>
          <w14:textFill>
            <w14:solidFill>
              <w14:schemeClr w14:val="tx1"/>
            </w14:solidFill>
          </w14:textFill>
        </w:rPr>
        <w:t>法定代表人（负责人）</w:t>
      </w:r>
      <w:r>
        <w:rPr>
          <w:rFonts w:hint="eastAsia" w:ascii="宋体" w:hAnsi="宋体"/>
          <w:color w:val="000000" w:themeColor="text1"/>
          <w:kern w:val="0"/>
          <w:szCs w:val="21"/>
          <w:highlight w:val="none"/>
          <w14:textFill>
            <w14:solidFill>
              <w14:schemeClr w14:val="tx1"/>
            </w14:solidFill>
          </w14:textFill>
        </w:rPr>
        <w:t>或经其正式授权的代表签字。授权代表须出具书面授权证明，其《</w:t>
      </w:r>
      <w:r>
        <w:rPr>
          <w:rFonts w:hint="eastAsia" w:ascii="宋体" w:hAnsi="宋体"/>
          <w:color w:val="000000" w:themeColor="text1"/>
          <w:kern w:val="0"/>
          <w:szCs w:val="21"/>
          <w:highlight w:val="none"/>
          <w:lang w:eastAsia="zh-CN"/>
          <w14:textFill>
            <w14:solidFill>
              <w14:schemeClr w14:val="tx1"/>
            </w14:solidFill>
          </w14:textFill>
        </w:rPr>
        <w:t>法定代表人（负责人）</w:t>
      </w:r>
      <w:r>
        <w:rPr>
          <w:rFonts w:hint="eastAsia" w:ascii="宋体" w:hAnsi="宋体"/>
          <w:color w:val="000000" w:themeColor="text1"/>
          <w:kern w:val="0"/>
          <w:szCs w:val="21"/>
          <w:highlight w:val="none"/>
          <w14:textFill>
            <w14:solidFill>
              <w14:schemeClr w14:val="tx1"/>
            </w14:solidFill>
          </w14:textFill>
        </w:rPr>
        <w:t>授权书》应附在</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谈判响应文件中。</w:t>
      </w:r>
    </w:p>
    <w:p>
      <w:pPr>
        <w:pStyle w:val="23"/>
        <w:adjustRightInd w:val="0"/>
        <w:snapToGrid w:val="0"/>
        <w:spacing w:line="360" w:lineRule="auto"/>
        <w:ind w:left="473" w:hanging="472" w:hangingChars="225"/>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 xml:space="preserve">15.3 </w:t>
      </w:r>
      <w:r>
        <w:rPr>
          <w:rFonts w:hint="eastAsia" w:hAnsi="宋体"/>
          <w:color w:val="000000" w:themeColor="text1"/>
          <w:highlight w:val="none"/>
          <w14:textFill>
            <w14:solidFill>
              <w14:schemeClr w14:val="tx1"/>
            </w14:solidFill>
          </w14:textFill>
        </w:rPr>
        <w:t>单一来源</w:t>
      </w:r>
      <w:r>
        <w:rPr>
          <w:rFonts w:hint="eastAsia" w:hAnsi="宋体" w:cs="Times New Roman"/>
          <w:color w:val="000000" w:themeColor="text1"/>
          <w:kern w:val="0"/>
          <w:highlight w:val="none"/>
          <w14:textFill>
            <w14:solidFill>
              <w14:schemeClr w14:val="tx1"/>
            </w14:solidFill>
          </w14:textFill>
        </w:rPr>
        <w:t>谈判响应文件中的任何重要的插字、涂改和增删，必须由</w:t>
      </w:r>
      <w:r>
        <w:rPr>
          <w:rFonts w:hint="eastAsia" w:hAnsi="宋体" w:cs="Times New Roman"/>
          <w:color w:val="000000" w:themeColor="text1"/>
          <w:kern w:val="0"/>
          <w:highlight w:val="none"/>
          <w:lang w:eastAsia="zh-CN"/>
          <w14:textFill>
            <w14:solidFill>
              <w14:schemeClr w14:val="tx1"/>
            </w14:solidFill>
          </w14:textFill>
        </w:rPr>
        <w:t>法定代表人（负责人）</w:t>
      </w:r>
      <w:r>
        <w:rPr>
          <w:rFonts w:hint="eastAsia" w:hAnsi="宋体" w:cs="Times New Roman"/>
          <w:color w:val="000000" w:themeColor="text1"/>
          <w:kern w:val="0"/>
          <w:highlight w:val="none"/>
          <w14:textFill>
            <w14:solidFill>
              <w14:schemeClr w14:val="tx1"/>
            </w14:solidFill>
          </w14:textFill>
        </w:rPr>
        <w:t>或经其正式授权的代表在旁边签章或签字</w:t>
      </w:r>
      <w:r>
        <w:rPr>
          <w:rFonts w:hint="eastAsia"/>
          <w:bCs/>
          <w:color w:val="000000" w:themeColor="text1"/>
          <w:highlight w:val="none"/>
          <w14:textFill>
            <w14:solidFill>
              <w14:schemeClr w14:val="tx1"/>
            </w14:solidFill>
          </w14:textFill>
        </w:rPr>
        <w:t>并在修改处加盖公章</w:t>
      </w:r>
      <w:r>
        <w:rPr>
          <w:rFonts w:hint="eastAsia" w:hAnsi="宋体" w:cs="Times New Roman"/>
          <w:color w:val="000000" w:themeColor="text1"/>
          <w:kern w:val="0"/>
          <w:highlight w:val="none"/>
          <w14:textFill>
            <w14:solidFill>
              <w14:schemeClr w14:val="tx1"/>
            </w14:solidFill>
          </w14:textFill>
        </w:rPr>
        <w:t>才有效。</w:t>
      </w:r>
    </w:p>
    <w:p>
      <w:pPr>
        <w:tabs>
          <w:tab w:val="left" w:pos="8280"/>
        </w:tabs>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15.4 </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谈判响应文件的谈判有效期为从报价截止日起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16.  </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谈判响应文件的递交</w:t>
      </w:r>
    </w:p>
    <w:p>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16.1 </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谈判响应文件应于第一部分《谈判邀请》中规定的截止时点前递交到采购代理机构。</w:t>
      </w:r>
    </w:p>
    <w:p>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迟交的</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谈判响应文件，按《政府采购法》的规定，采购代理机构将拒收或原封退回在其规定的递交</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谈判响应文件截止时点之后收到的任何</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85" w:name="_Toc16293"/>
      <w:bookmarkStart w:id="86" w:name="_Toc459971453"/>
      <w:r>
        <w:rPr>
          <w:rFonts w:hint="eastAsia" w:hAnsi="宋体" w:cs="Times New Roman"/>
          <w:b/>
          <w:color w:val="000000" w:themeColor="text1"/>
          <w:highlight w:val="none"/>
          <w14:textFill>
            <w14:solidFill>
              <w14:schemeClr w14:val="tx1"/>
            </w14:solidFill>
          </w14:textFill>
        </w:rPr>
        <w:t>七、谈判的步骤</w:t>
      </w:r>
      <w:bookmarkEnd w:id="85"/>
      <w:bookmarkEnd w:id="86"/>
    </w:p>
    <w:p>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17.谈判文件的澄清</w:t>
      </w:r>
    </w:p>
    <w:p>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17.1任何要求对谈判文件进行澄清的响应供应商，均应以书面形式在谈判文件规定的谈判响应文件递交截止日以前通知采购代理机构。采购代理机构将组织采购人对响应供应商所要求澄清的内容以书面形式予以答复。必要时，采购代理机构将组织相关专家召开答疑会，会议内容或以书面的形式发给购买谈判文件的潜在响应供应商（答复中不包括问题的来源）。</w:t>
      </w:r>
    </w:p>
    <w:p>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17.2响应供应商在规定的时间内未要求对谈判文件澄清或提出疑问的，采购代理机构将视其为无异议。对谈判文件中描述有歧意或前后不一致的地方，评标委员会有权进行评判。</w:t>
      </w:r>
    </w:p>
    <w:p>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 谈判</w:t>
      </w:r>
    </w:p>
    <w:p>
      <w:pPr>
        <w:pStyle w:val="23"/>
        <w:adjustRightInd w:val="0"/>
        <w:snapToGrid w:val="0"/>
        <w:spacing w:line="360" w:lineRule="auto"/>
        <w:ind w:left="420" w:hanging="420" w:hangingChars="200"/>
        <w:rPr>
          <w:rFonts w:hAnsi="宋体"/>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18.1单一来源小组成员从政府采购专家库随机抽取产生，详见</w:t>
      </w:r>
      <w:r>
        <w:rPr>
          <w:rFonts w:hint="eastAsia" w:hAnsi="宋体"/>
          <w:color w:val="000000" w:themeColor="text1"/>
          <w:kern w:val="0"/>
          <w:highlight w:val="none"/>
          <w14:textFill>
            <w14:solidFill>
              <w14:schemeClr w14:val="tx1"/>
            </w14:solidFill>
          </w14:textFill>
        </w:rPr>
        <w:t>《谈判须知前附表》</w:t>
      </w:r>
      <w:r>
        <w:rPr>
          <w:rFonts w:hint="eastAsia" w:hAnsi="宋体" w:cs="Times New Roman"/>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单一来源小组对</w:t>
      </w:r>
      <w:r>
        <w:rPr>
          <w:rFonts w:hint="eastAsia" w:hAnsi="宋体" w:cs="Times New Roman"/>
          <w:color w:val="000000" w:themeColor="text1"/>
          <w:highlight w:val="none"/>
          <w14:textFill>
            <w14:solidFill>
              <w14:schemeClr w14:val="tx1"/>
            </w14:solidFill>
          </w14:textFill>
        </w:rPr>
        <w:t>单一来源谈判响应文件进行初审工作，初审包括资格性审查和符合性审查。</w:t>
      </w:r>
    </w:p>
    <w:p>
      <w:pPr>
        <w:autoSpaceDE w:val="0"/>
        <w:autoSpaceDN w:val="0"/>
        <w:adjustRightInd w:val="0"/>
        <w:snapToGrid w:val="0"/>
        <w:spacing w:line="360" w:lineRule="auto"/>
        <w:ind w:right="32"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在资格性审查、符合性检查时，如发现下列情形之一的，单一来源谈判响应文件将被视为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(1)响应供应商未提交谈判保证金或金额不足、谈判保证金提交形式不符合谈判文件要求的；</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报价总金额</w:t>
      </w:r>
      <w:r>
        <w:rPr>
          <w:rFonts w:hint="eastAsia" w:ascii="宋体" w:hAnsi="宋体"/>
          <w:color w:val="000000" w:themeColor="text1"/>
          <w:kern w:val="0"/>
          <w:szCs w:val="21"/>
          <w:highlight w:val="none"/>
          <w14:textFill>
            <w14:solidFill>
              <w14:schemeClr w14:val="tx1"/>
            </w14:solidFill>
          </w14:textFill>
        </w:rPr>
        <w:t>超过本项目采购预算（或最高限价）；</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(3)单一来源谈判响应文件或资格证明文件未提供或不符合谈判文件要求的；</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(4)不具备谈判文件中规定资格要求的；</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(5)未按照谈判文件规定要求签署、盖章的； </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谈判响应文件无</w:t>
      </w:r>
      <w:r>
        <w:rPr>
          <w:rFonts w:hint="eastAsia" w:ascii="宋体" w:hAnsi="宋体"/>
          <w:color w:val="000000" w:themeColor="text1"/>
          <w:kern w:val="0"/>
          <w:szCs w:val="21"/>
          <w:highlight w:val="none"/>
          <w:lang w:eastAsia="zh-CN"/>
          <w14:textFill>
            <w14:solidFill>
              <w14:schemeClr w14:val="tx1"/>
            </w14:solidFill>
          </w14:textFill>
        </w:rPr>
        <w:t>法定代表人（负责人）</w:t>
      </w:r>
      <w:r>
        <w:rPr>
          <w:rFonts w:hint="eastAsia" w:ascii="宋体" w:hAnsi="宋体"/>
          <w:color w:val="000000" w:themeColor="text1"/>
          <w:kern w:val="0"/>
          <w:szCs w:val="21"/>
          <w:highlight w:val="none"/>
          <w14:textFill>
            <w14:solidFill>
              <w14:schemeClr w14:val="tx1"/>
            </w14:solidFill>
          </w14:textFill>
        </w:rPr>
        <w:t>签字或签字人无</w:t>
      </w:r>
      <w:r>
        <w:rPr>
          <w:rFonts w:hint="eastAsia" w:ascii="宋体" w:hAnsi="宋体"/>
          <w:color w:val="000000" w:themeColor="text1"/>
          <w:kern w:val="0"/>
          <w:szCs w:val="21"/>
          <w:highlight w:val="none"/>
          <w:lang w:eastAsia="zh-CN"/>
          <w14:textFill>
            <w14:solidFill>
              <w14:schemeClr w14:val="tx1"/>
            </w14:solidFill>
          </w14:textFill>
        </w:rPr>
        <w:t>法定代表人（负责人）</w:t>
      </w:r>
      <w:r>
        <w:rPr>
          <w:rFonts w:hint="eastAsia" w:ascii="宋体" w:hAnsi="宋体"/>
          <w:color w:val="000000" w:themeColor="text1"/>
          <w:kern w:val="0"/>
          <w:szCs w:val="21"/>
          <w:highlight w:val="none"/>
          <w14:textFill>
            <w14:solidFill>
              <w14:schemeClr w14:val="tx1"/>
            </w14:solidFill>
          </w14:textFill>
        </w:rPr>
        <w:t>有效授权的；</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谈判响应文件对谈判文件的实质性技术与商务的（即标注★号条款）条款产生偏离的。</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(9)符合谈判文件中规定的被确定为响应无效的其它条款的。</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18.2</w:t>
      </w:r>
      <w:r>
        <w:rPr>
          <w:rFonts w:hint="eastAsia" w:hAnsi="宋体"/>
          <w:color w:val="000000" w:themeColor="text1"/>
          <w:highlight w:val="none"/>
          <w14:textFill>
            <w14:solidFill>
              <w14:schemeClr w14:val="tx1"/>
            </w14:solidFill>
          </w14:textFill>
        </w:rPr>
        <w:t>审查单一来源谈判响应文件是否对谈判文件作出实质性的响应。对未作出实质性响应的供应商应实行现场告知，由单一来源小组或采购人代表将集体意见现场及时告知该供应商，以让其核证、澄清事实。</w:t>
      </w:r>
    </w:p>
    <w:p>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18.3 单一来源小组与供应商应围绕技术、商务、合同条款等内容分别进行一轮或多轮的谈判。在谈判过程中，单一来源小组应当严格遵循保密原则，未经响应供应商同意不得向任何人透露当事人技术、价格和其他重要信息。</w:t>
      </w:r>
    </w:p>
    <w:p>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 xml:space="preserve">18.4 谈判文件的修正：单一来源小组调整或修改采购需求内容时，应取得单一来源小组的一致同意，并以书面形式通知所有参加谈判的供应商。但任何形式的决定须以符合公平、公正原则和有利于项目的顺利实施为前提。 </w:t>
      </w:r>
    </w:p>
    <w:p>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18.5  在谈判过程中，响应供应商提交的澄清文件和最终报价文件，由响应供应商法人代表或授权代表签署后生效，响应供应商应受其约束。</w:t>
      </w:r>
    </w:p>
    <w:p>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w:t>
      </w:r>
      <w:r>
        <w:rPr>
          <w:rFonts w:hAnsi="宋体" w:cs="Times New Roman"/>
          <w:color w:val="000000" w:themeColor="text1"/>
          <w:highlight w:val="none"/>
          <w14:textFill>
            <w14:solidFill>
              <w14:schemeClr w14:val="tx1"/>
            </w14:solidFill>
          </w14:textFill>
        </w:rPr>
        <w:t>6</w:t>
      </w:r>
      <w:r>
        <w:rPr>
          <w:rFonts w:hint="eastAsia" w:hAnsi="宋体" w:cs="Times New Roman"/>
          <w:color w:val="000000" w:themeColor="text1"/>
          <w:highlight w:val="non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单一来源小组进行综合评议审核，对供应商提供服务项目均能满足谈判文件规定最低要求条件时，才能推荐为成交的候选对象。</w:t>
      </w:r>
    </w:p>
    <w:p>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w:t>
      </w:r>
      <w:r>
        <w:rPr>
          <w:rFonts w:hAnsi="宋体"/>
          <w:color w:val="000000" w:themeColor="text1"/>
          <w:highlight w:val="none"/>
          <w14:textFill>
            <w14:solidFill>
              <w14:schemeClr w14:val="tx1"/>
            </w14:solidFill>
          </w14:textFill>
        </w:rPr>
        <w:t>7</w:t>
      </w:r>
      <w:r>
        <w:rPr>
          <w:rFonts w:hint="eastAsia" w:hAnsi="宋体"/>
          <w:color w:val="000000" w:themeColor="text1"/>
          <w:highlight w:val="none"/>
          <w14:textFill>
            <w14:solidFill>
              <w14:schemeClr w14:val="tx1"/>
            </w14:solidFill>
          </w14:textFill>
        </w:rPr>
        <w:t xml:space="preserve"> 代理机构对谈判过程和重要谈判内容进行记录。</w:t>
      </w:r>
    </w:p>
    <w:p>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87" w:name="_Toc459971454"/>
      <w:bookmarkStart w:id="88" w:name="_Toc1509"/>
      <w:r>
        <w:rPr>
          <w:rFonts w:hint="eastAsia" w:hAnsi="宋体" w:cs="Times New Roman"/>
          <w:b/>
          <w:color w:val="000000" w:themeColor="text1"/>
          <w:highlight w:val="none"/>
          <w14:textFill>
            <w14:solidFill>
              <w14:schemeClr w14:val="tx1"/>
            </w14:solidFill>
          </w14:textFill>
        </w:rPr>
        <w:t>八、确定成交供应商办法</w:t>
      </w:r>
      <w:bookmarkEnd w:id="87"/>
      <w:bookmarkEnd w:id="88"/>
    </w:p>
    <w:p>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19.确定成交供应商</w:t>
      </w:r>
    </w:p>
    <w:p>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19.1根据符合采购需求、质量和服务且报价最低的原则确定成交供应商。</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19.2 </w:t>
      </w:r>
      <w:r>
        <w:rPr>
          <w:rFonts w:hint="eastAsia" w:ascii="宋体" w:hAnsi="宋体"/>
          <w:color w:val="000000" w:themeColor="text1"/>
          <w:kern w:val="0"/>
          <w:szCs w:val="21"/>
          <w:highlight w:val="none"/>
          <w14:textFill>
            <w14:solidFill>
              <w14:schemeClr w14:val="tx1"/>
            </w14:solidFill>
          </w14:textFill>
        </w:rPr>
        <w:t>成交供应商确定后，采购代理机构在信息发布媒体上发布成交公告，向成交人发出《成交通知书》，《成交通知书》对成交人和采购人具有同等法律效力。</w:t>
      </w:r>
    </w:p>
    <w:p>
      <w:pPr>
        <w:pStyle w:val="23"/>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 xml:space="preserve">20. </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s="Times New Roman"/>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采购人重新进行组织采购。</w:t>
      </w:r>
    </w:p>
    <w:p>
      <w:pPr>
        <w:tabs>
          <w:tab w:val="left" w:pos="0"/>
        </w:tabs>
        <w:adjustRightInd w:val="0"/>
        <w:snapToGrid w:val="0"/>
        <w:spacing w:line="36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21. 项目响应无效处理</w:t>
      </w:r>
    </w:p>
    <w:p>
      <w:pPr>
        <w:spacing w:line="360" w:lineRule="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21.1 根据《政府采购法》第三十六条规定，下列情况出现将被确定为响应无效：</w:t>
      </w:r>
    </w:p>
    <w:p>
      <w:pPr>
        <w:tabs>
          <w:tab w:val="left" w:pos="540"/>
        </w:tabs>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(1) 出现影响采购公正的违法、违规行为的； </w:t>
      </w:r>
    </w:p>
    <w:p>
      <w:pPr>
        <w:tabs>
          <w:tab w:val="left" w:pos="540"/>
        </w:tabs>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响应供应商的报价均超过了采购预算，采购人不能支付的；</w:t>
      </w:r>
    </w:p>
    <w:p>
      <w:pPr>
        <w:tabs>
          <w:tab w:val="left" w:pos="540"/>
        </w:tabs>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因重大变故，采购任务取消的。</w:t>
      </w:r>
    </w:p>
    <w:p>
      <w:pPr>
        <w:autoSpaceDE w:val="0"/>
        <w:autoSpaceDN w:val="0"/>
        <w:adjustRightInd w:val="0"/>
        <w:snapToGrid w:val="0"/>
        <w:spacing w:line="360" w:lineRule="auto"/>
        <w:ind w:left="473" w:right="32" w:hanging="472" w:hangingChars="225"/>
        <w:rPr>
          <w:rFonts w:ascii="宋体" w:hAnsi="宋体"/>
          <w:color w:val="000000" w:themeColor="text1"/>
          <w:szCs w:val="21"/>
          <w:highlight w:val="none"/>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89" w:name="_Toc459971455"/>
      <w:bookmarkStart w:id="90" w:name="_Toc2365"/>
      <w:r>
        <w:rPr>
          <w:rFonts w:hint="eastAsia" w:hAnsi="宋体" w:cs="Times New Roman"/>
          <w:b/>
          <w:color w:val="000000" w:themeColor="text1"/>
          <w:highlight w:val="none"/>
          <w14:textFill>
            <w14:solidFill>
              <w14:schemeClr w14:val="tx1"/>
            </w14:solidFill>
          </w14:textFill>
        </w:rPr>
        <w:t>九、质疑</w:t>
      </w:r>
      <w:bookmarkEnd w:id="89"/>
      <w:bookmarkEnd w:id="90"/>
    </w:p>
    <w:p>
      <w:pPr>
        <w:autoSpaceDE w:val="0"/>
        <w:autoSpaceDN w:val="0"/>
        <w:adjustRightInd w:val="0"/>
        <w:snapToGrid w:val="0"/>
        <w:spacing w:line="360" w:lineRule="auto"/>
        <w:ind w:left="473" w:right="32"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 如果响应供应商对此次采购活动有疑问，可依法向采购代理机构提出质疑。采购代理机构应当依法给与答复，并将结果告知有关当事人。</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91" w:name="_Toc322033397"/>
      <w:bookmarkStart w:id="92" w:name="_Toc459971456"/>
      <w:bookmarkStart w:id="93" w:name="_Toc345675374"/>
      <w:bookmarkStart w:id="94" w:name="_Toc15770"/>
      <w:r>
        <w:rPr>
          <w:rFonts w:hint="eastAsia" w:hAnsi="宋体" w:cs="Times New Roman"/>
          <w:b/>
          <w:color w:val="000000" w:themeColor="text1"/>
          <w:highlight w:val="none"/>
          <w14:textFill>
            <w14:solidFill>
              <w14:schemeClr w14:val="tx1"/>
            </w14:solidFill>
          </w14:textFill>
        </w:rPr>
        <w:t>十、成交服务费</w:t>
      </w:r>
      <w:bookmarkEnd w:id="91"/>
      <w:bookmarkEnd w:id="92"/>
      <w:bookmarkEnd w:id="93"/>
      <w:bookmarkEnd w:id="94"/>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成交服务费</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23.1成交供应商应在领取《成交通知书》原件时，以银行汇票、电汇、支票或现金方式，向采购代理机构一次性支付成交服务费。采购代理机构收款人、开户行及帐号在支付申请中告知。</w:t>
      </w:r>
    </w:p>
    <w:p>
      <w:pPr>
        <w:spacing w:line="360" w:lineRule="auto"/>
        <w:ind w:left="720" w:hanging="7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23.2 成交服务费币种与成交通知书中成交价的币种相同。</w:t>
      </w:r>
    </w:p>
    <w:p>
      <w:pPr>
        <w:spacing w:line="360" w:lineRule="auto"/>
        <w:ind w:left="720" w:hanging="7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23.3 成交服务费不列在投标报价中。</w:t>
      </w:r>
    </w:p>
    <w:p>
      <w:pPr>
        <w:spacing w:line="360" w:lineRule="auto"/>
        <w:ind w:left="720" w:hanging="720"/>
        <w:rPr>
          <w:rFonts w:ascii="宋体" w:hAnsi="宋体"/>
          <w:color w:val="000000" w:themeColor="text1"/>
          <w:szCs w:val="21"/>
          <w:highlight w:val="none"/>
          <w14:textFill>
            <w14:solidFill>
              <w14:schemeClr w14:val="tx1"/>
            </w14:solidFill>
          </w14:textFill>
        </w:rPr>
      </w:pPr>
      <w:bookmarkStart w:id="95" w:name="_Toc459971457"/>
      <w:bookmarkStart w:id="96" w:name="_Toc458508246"/>
      <w:bookmarkStart w:id="97" w:name="_Toc458155012"/>
      <w:r>
        <w:rPr>
          <w:rFonts w:hint="eastAsia" w:ascii="宋体" w:hAnsi="宋体"/>
          <w:color w:val="000000" w:themeColor="text1"/>
          <w:szCs w:val="21"/>
          <w:highlight w:val="none"/>
          <w14:textFill>
            <w14:solidFill>
              <w14:schemeClr w14:val="tx1"/>
            </w14:solidFill>
          </w14:textFill>
        </w:rPr>
        <w:t>23.4成交服务费</w:t>
      </w:r>
      <w:bookmarkEnd w:id="95"/>
      <w:bookmarkEnd w:id="96"/>
      <w:bookmarkEnd w:id="97"/>
      <w:r>
        <w:rPr>
          <w:rFonts w:hint="eastAsia" w:ascii="宋体" w:hAnsi="宋体"/>
          <w:color w:val="000000" w:themeColor="text1"/>
          <w:szCs w:val="21"/>
          <w:highlight w:val="none"/>
          <w14:textFill>
            <w14:solidFill>
              <w14:schemeClr w14:val="tx1"/>
            </w14:solidFill>
          </w14:textFill>
        </w:rPr>
        <w:t>由采购人支付。</w:t>
      </w:r>
    </w:p>
    <w:p>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98" w:name="_Toc25407"/>
      <w:bookmarkStart w:id="99" w:name="_Toc459971458"/>
      <w:bookmarkStart w:id="100" w:name="_Toc536594109"/>
      <w:r>
        <w:rPr>
          <w:rFonts w:hint="eastAsia" w:hAnsi="宋体" w:cs="Times New Roman"/>
          <w:b/>
          <w:color w:val="000000" w:themeColor="text1"/>
          <w:highlight w:val="none"/>
          <w14:textFill>
            <w14:solidFill>
              <w14:schemeClr w14:val="tx1"/>
            </w14:solidFill>
          </w14:textFill>
        </w:rPr>
        <w:t>十一、合同的订立和履行</w:t>
      </w:r>
      <w:bookmarkEnd w:id="98"/>
      <w:bookmarkEnd w:id="99"/>
    </w:p>
    <w:bookmarkEnd w:id="100"/>
    <w:p>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24.合同的订立</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24.1 采购人与成交响应供应商自成交通知书发出之日起三十日内，按谈判文件要求和成交供应商单一来源谈判响应文件承诺签订政府采购合同，但不得超出谈判文件和成交供应商单一来源谈判响应文件的范围、也不得再行订立背离合同实质性内容的其他协议。</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签订政府采购合同后7个工作日内，采购人应将政府采购合同副本报同级政府采购监督管理部门备案。</w:t>
      </w:r>
    </w:p>
    <w:p>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24.3履约保证金</w:t>
      </w:r>
      <w:r>
        <w:rPr>
          <w:rFonts w:hint="eastAsia" w:ascii="宋体" w:hAnsi="宋体"/>
          <w:b/>
          <w:snapToGrid w:val="0"/>
          <w:color w:val="000000" w:themeColor="text1"/>
          <w:kern w:val="0"/>
          <w:szCs w:val="21"/>
          <w:highlight w:val="none"/>
          <w14:textFill>
            <w14:solidFill>
              <w14:schemeClr w14:val="tx1"/>
            </w14:solidFill>
          </w14:textFill>
        </w:rPr>
        <w:t>(如有)</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24.3.1成交供应商应在签署合同后10天内提交履约保证金，履约保证金金额应按《谈判须知前附表》中规定的金额。提交方式可按照下述方式提交：</w:t>
      </w:r>
    </w:p>
    <w:p>
      <w:pPr>
        <w:tabs>
          <w:tab w:val="left" w:pos="540"/>
        </w:tabs>
        <w:spacing w:line="360" w:lineRule="auto"/>
        <w:ind w:left="420" w:leftChars="200"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(1)履约保证金采用电汇、转帐方式提交( 注明成交通知书编号)。成交供应商必须保证资金在签订合同后的十个日历日内到帐,以银行收到为准）。保证金汇入采购人指定的履约保证金专用账户，待项目验收合格及结算完毕后28日内，采购人将把履约保证金无息退还成交供应商。</w:t>
      </w:r>
    </w:p>
    <w:p>
      <w:pPr>
        <w:tabs>
          <w:tab w:val="left" w:pos="540"/>
        </w:tabs>
        <w:spacing w:line="360" w:lineRule="auto"/>
        <w:ind w:left="420" w:leftChars="200"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采用履约保函方式：应按照合同条款的规定，向采购人提交由银行支行及以上机构出具的履约保函。保函格式如与谈判文件格式不相符则要事先征求采购人书面同意才视为有效。履约保函的有效期为自生效日期起至该项目验收合格及结算完毕后28日内有效。若项目未能按期完工，保函必须延期，延期银行费用由成交供应商负责。如果成交供应商提供的履约保函的有效期先于谈判文件要求的履约保函有效期到达，成交供应商应在原提交的履约保函有效期满前15天内，无条件办理履约保函延期手续，否则视为成交供应商违约，采购人可在履约保函到期前将履约保函金额转为现金存入履约保证金账户。</w:t>
      </w:r>
    </w:p>
    <w:p>
      <w:pPr>
        <w:tabs>
          <w:tab w:val="left" w:pos="540"/>
        </w:tabs>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(3)采购人认可的其它方式。</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24.3.2  如果成交供应商不按照谈判文件或合同条款规定提交履约保证金，招标采购单位将有充分理由取消该成交决定，并没收其谈判保证金。采购人可以与排位在成交供应商之后第一位的成交候选人签订政府采购合同，以此类推，或者重新进行组织采购。</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 合同的履行</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政府采购合同履行中，采购人需追加与合同标的相同的货物、工程或者服务的，在不改变合同其他条款的前提下，可以与响应供应商签订补充合同，但所补充合同的采购金额不得超过原采购金额的百分之十。签订补充合同的必须报同级政府采购监督管理部门备案。</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发票</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该项目获得成交的成交供应商在执行合同过程中，向采购人出具的发票必须是由成交供应商开具，不得以其他单位或个人名义出具。</w:t>
      </w:r>
    </w:p>
    <w:p>
      <w:pPr>
        <w:spacing w:line="360" w:lineRule="auto"/>
        <w:ind w:left="630" w:hanging="630" w:hangingChars="300"/>
        <w:rPr>
          <w:rFonts w:ascii="宋体" w:hAnsi="宋体"/>
          <w:color w:val="000000" w:themeColor="text1"/>
          <w:szCs w:val="21"/>
          <w:highlight w:val="none"/>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101" w:name="_Toc459971459"/>
      <w:bookmarkStart w:id="102" w:name="_Toc28750"/>
      <w:bookmarkStart w:id="103" w:name="_Toc322033399"/>
      <w:bookmarkStart w:id="104" w:name="_Toc345675376"/>
      <w:r>
        <w:rPr>
          <w:rFonts w:hint="eastAsia" w:hAnsi="宋体" w:cs="Times New Roman"/>
          <w:b/>
          <w:color w:val="000000" w:themeColor="text1"/>
          <w:highlight w:val="none"/>
          <w14:textFill>
            <w14:solidFill>
              <w14:schemeClr w14:val="tx1"/>
            </w14:solidFill>
          </w14:textFill>
        </w:rPr>
        <w:t>十二、适用法律</w:t>
      </w:r>
      <w:bookmarkEnd w:id="101"/>
      <w:bookmarkEnd w:id="102"/>
      <w:bookmarkEnd w:id="103"/>
      <w:bookmarkEnd w:id="104"/>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采购人及响应供应商的一切招标投标活动均适用《中华人民共和国政府采购法》及其配套的法规、规章、政策。工程类项目适用《中华人民共和国招标投标法》及其配套的法规、规章、政策。</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pPr>
        <w:pStyle w:val="3"/>
        <w:numPr>
          <w:ilvl w:val="0"/>
          <w:numId w:val="0"/>
        </w:numPr>
        <w:jc w:val="center"/>
        <w:rPr>
          <w:rFonts w:ascii="宋体" w:hAnsi="宋体"/>
          <w:color w:val="000000" w:themeColor="text1"/>
          <w:sz w:val="21"/>
          <w:szCs w:val="21"/>
          <w:highlight w:val="none"/>
          <w14:textFill>
            <w14:solidFill>
              <w14:schemeClr w14:val="tx1"/>
            </w14:solidFill>
          </w14:textFill>
        </w:rPr>
      </w:pPr>
      <w:bookmarkStart w:id="105" w:name="_Toc330459994"/>
      <w:bookmarkStart w:id="106" w:name="_Toc345513910"/>
      <w:bookmarkStart w:id="107" w:name="_Toc349127635"/>
      <w:bookmarkStart w:id="108" w:name="_Toc331512907"/>
      <w:bookmarkStart w:id="109" w:name="_Toc332206717"/>
      <w:bookmarkStart w:id="110" w:name="_Toc333237686"/>
      <w:bookmarkStart w:id="111" w:name="_Toc366072538"/>
      <w:bookmarkStart w:id="112" w:name="_Toc336681589"/>
      <w:bookmarkStart w:id="113" w:name="_Toc374454610"/>
      <w:bookmarkStart w:id="114" w:name="_Toc339019898"/>
      <w:bookmarkStart w:id="115" w:name="_Toc342060383"/>
      <w:bookmarkStart w:id="116" w:name="_Toc332270355"/>
      <w:bookmarkStart w:id="117" w:name="_Toc340672878"/>
      <w:bookmarkStart w:id="118" w:name="_Toc339020104"/>
      <w:bookmarkStart w:id="119" w:name="_Toc365985187"/>
      <w:bookmarkStart w:id="120" w:name="_Toc349143598"/>
      <w:bookmarkStart w:id="121" w:name="_Toc340507451"/>
      <w:bookmarkStart w:id="122" w:name="_Toc339441096"/>
      <w:bookmarkStart w:id="123" w:name="_Toc333935355"/>
      <w:bookmarkStart w:id="124" w:name="_Toc337632367"/>
      <w:bookmarkStart w:id="125" w:name="_Toc339020024"/>
      <w:bookmarkStart w:id="126" w:name="_Toc336681944"/>
      <w:bookmarkStart w:id="127" w:name="_Toc339362309"/>
      <w:bookmarkStart w:id="128" w:name="_Toc365967081"/>
      <w:bookmarkStart w:id="129" w:name="_Toc350756459"/>
      <w:bookmarkStart w:id="130" w:name="_Toc333237797"/>
      <w:bookmarkStart w:id="131" w:name="_Toc333935696"/>
      <w:bookmarkStart w:id="132" w:name="_Toc350438758"/>
      <w:bookmarkStart w:id="133" w:name="_Toc342296769"/>
      <w:bookmarkStart w:id="134" w:name="_Toc340677079"/>
      <w:bookmarkStart w:id="135" w:name="_Toc339020242"/>
      <w:bookmarkStart w:id="136" w:name="_Toc341348347"/>
      <w:bookmarkStart w:id="137" w:name="_Toc331684047"/>
      <w:bookmarkStart w:id="138" w:name="_Toc333238642"/>
      <w:bookmarkStart w:id="139" w:name="_Toc15517"/>
      <w:bookmarkStart w:id="140" w:name="_Toc2696"/>
      <w:bookmarkStart w:id="141" w:name="_Toc459971462"/>
      <w:r>
        <w:rPr>
          <w:rFonts w:hint="eastAsia" w:ascii="宋体" w:hAnsi="宋体"/>
          <w:color w:val="000000" w:themeColor="text1"/>
          <w:sz w:val="21"/>
          <w:szCs w:val="21"/>
          <w:highlight w:val="none"/>
          <w14:textFill>
            <w14:solidFill>
              <w14:schemeClr w14:val="tx1"/>
            </w14:solidFill>
          </w14:textFill>
        </w:rPr>
        <w:t xml:space="preserve">第四部分  </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Start w:id="142" w:name="_Hlt97188170"/>
      <w:bookmarkEnd w:id="142"/>
      <w:r>
        <w:rPr>
          <w:rFonts w:hint="eastAsia" w:ascii="宋体" w:hAnsi="宋体"/>
          <w:color w:val="000000" w:themeColor="text1"/>
          <w:sz w:val="21"/>
          <w:szCs w:val="21"/>
          <w:highlight w:val="none"/>
          <w14:textFill>
            <w14:solidFill>
              <w14:schemeClr w14:val="tx1"/>
            </w14:solidFill>
          </w14:textFill>
        </w:rPr>
        <w:t>采购项目合同（参考范本）</w:t>
      </w:r>
      <w:bookmarkEnd w:id="139"/>
      <w:bookmarkEnd w:id="140"/>
    </w:p>
    <w:p>
      <w:pPr>
        <w:spacing w:line="360" w:lineRule="exact"/>
        <w:rPr>
          <w:rFonts w:hint="eastAsia" w:ascii="宋体" w:hAnsi="宋体"/>
          <w:bCs/>
          <w:color w:val="000000" w:themeColor="text1"/>
          <w:szCs w:val="21"/>
          <w:highlight w:val="none"/>
          <w14:textFill>
            <w14:solidFill>
              <w14:schemeClr w14:val="tx1"/>
            </w14:solidFill>
          </w14:textFill>
        </w:rPr>
      </w:pPr>
    </w:p>
    <w:p>
      <w:pPr>
        <w:spacing w:line="360" w:lineRule="exact"/>
        <w:rPr>
          <w:rFonts w:hint="eastAsia" w:ascii="宋体" w:hAnsi="宋体"/>
          <w:bCs/>
          <w:color w:val="000000" w:themeColor="text1"/>
          <w:szCs w:val="21"/>
          <w:highlight w:val="none"/>
          <w14:textFill>
            <w14:solidFill>
              <w14:schemeClr w14:val="tx1"/>
            </w14:solidFill>
          </w14:textFill>
        </w:rPr>
      </w:pPr>
    </w:p>
    <w:p>
      <w:pPr>
        <w:spacing w:line="360" w:lineRule="exact"/>
        <w:rPr>
          <w:rFonts w:hint="eastAsia" w:ascii="宋体" w:hAnsi="宋体"/>
          <w:bCs/>
          <w:color w:val="000000" w:themeColor="text1"/>
          <w:szCs w:val="21"/>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pStyle w:val="19"/>
        <w:rPr>
          <w:rFonts w:hint="eastAsia"/>
          <w:color w:val="000000" w:themeColor="text1"/>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spacing w:line="36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spacing w:line="360" w:lineRule="exact"/>
        <w:rPr>
          <w:rFonts w:hint="eastAsia" w:ascii="宋体" w:hAnsi="宋体"/>
          <w:bCs/>
          <w:color w:val="000000" w:themeColor="text1"/>
          <w:szCs w:val="21"/>
          <w:highlight w:val="none"/>
          <w14:textFill>
            <w14:solidFill>
              <w14:schemeClr w14:val="tx1"/>
            </w14:solidFill>
          </w14:textFill>
        </w:rPr>
      </w:pPr>
    </w:p>
    <w:p>
      <w:pPr>
        <w:spacing w:line="360" w:lineRule="exact"/>
        <w:rPr>
          <w:rFonts w:hint="eastAsia" w:ascii="宋体" w:hAnsi="宋体"/>
          <w:bCs/>
          <w:color w:val="000000" w:themeColor="text1"/>
          <w:szCs w:val="21"/>
          <w:highlight w:val="none"/>
          <w14:textFill>
            <w14:solidFill>
              <w14:schemeClr w14:val="tx1"/>
            </w14:solidFill>
          </w14:textFill>
        </w:rPr>
      </w:pPr>
    </w:p>
    <w:p>
      <w:pPr>
        <w:spacing w:line="360" w:lineRule="exact"/>
        <w:rPr>
          <w:rFonts w:hint="eastAsia" w:ascii="宋体" w:hAnsi="宋体"/>
          <w:bCs/>
          <w:color w:val="000000" w:themeColor="text1"/>
          <w:szCs w:val="21"/>
          <w:highlight w:val="none"/>
          <w14:textFill>
            <w14:solidFill>
              <w14:schemeClr w14:val="tx1"/>
            </w14:solidFill>
          </w14:textFill>
        </w:rPr>
      </w:pPr>
    </w:p>
    <w:p>
      <w:pPr>
        <w:spacing w:line="360" w:lineRule="exact"/>
        <w:rPr>
          <w:rFonts w:hint="eastAsia" w:ascii="宋体" w:hAnsi="宋体"/>
          <w:bCs/>
          <w:color w:val="000000" w:themeColor="text1"/>
          <w:szCs w:val="21"/>
          <w:highlight w:val="none"/>
          <w14:textFill>
            <w14:solidFill>
              <w14:schemeClr w14:val="tx1"/>
            </w14:solidFill>
          </w14:textFill>
        </w:rPr>
      </w:pPr>
    </w:p>
    <w:p>
      <w:pPr>
        <w:spacing w:line="360" w:lineRule="exact"/>
        <w:rPr>
          <w:rFonts w:hint="eastAsia" w:ascii="宋体" w:hAnsi="宋体"/>
          <w:bCs/>
          <w:color w:val="000000" w:themeColor="text1"/>
          <w:szCs w:val="21"/>
          <w:highlight w:val="none"/>
          <w14:textFill>
            <w14:solidFill>
              <w14:schemeClr w14:val="tx1"/>
            </w14:solidFill>
          </w14:textFill>
        </w:rPr>
      </w:pPr>
    </w:p>
    <w:p>
      <w:pPr>
        <w:spacing w:line="360" w:lineRule="exact"/>
        <w:rPr>
          <w:rFonts w:hint="eastAsia" w:ascii="宋体" w:hAnsi="宋体"/>
          <w:bCs/>
          <w:color w:val="000000" w:themeColor="text1"/>
          <w:szCs w:val="21"/>
          <w:highlight w:val="none"/>
          <w14:textFill>
            <w14:solidFill>
              <w14:schemeClr w14:val="tx1"/>
            </w14:solidFill>
          </w14:textFill>
        </w:rPr>
      </w:pPr>
    </w:p>
    <w:p>
      <w:pPr>
        <w:spacing w:line="360" w:lineRule="exact"/>
        <w:rPr>
          <w:rFonts w:hint="eastAsia" w:ascii="宋体" w:hAnsi="宋体"/>
          <w:bCs/>
          <w:color w:val="000000" w:themeColor="text1"/>
          <w:szCs w:val="21"/>
          <w:highlight w:val="none"/>
          <w14:textFill>
            <w14:solidFill>
              <w14:schemeClr w14:val="tx1"/>
            </w14:solidFill>
          </w14:textFill>
        </w:rPr>
      </w:pPr>
    </w:p>
    <w:p>
      <w:pPr>
        <w:spacing w:line="360" w:lineRule="exact"/>
        <w:rPr>
          <w:rFonts w:hint="eastAsia" w:ascii="宋体" w:hAnsi="宋体"/>
          <w:bCs/>
          <w:color w:val="000000" w:themeColor="text1"/>
          <w:szCs w:val="21"/>
          <w:highlight w:val="none"/>
          <w14:textFill>
            <w14:solidFill>
              <w14:schemeClr w14:val="tx1"/>
            </w14:solidFill>
          </w14:textFill>
        </w:rPr>
      </w:pPr>
    </w:p>
    <w:p>
      <w:pPr>
        <w:spacing w:line="360" w:lineRule="exact"/>
        <w:rPr>
          <w:rFonts w:hint="eastAsia" w:ascii="宋体" w:hAnsi="宋体"/>
          <w:bCs/>
          <w:color w:val="000000" w:themeColor="text1"/>
          <w:szCs w:val="21"/>
          <w:highlight w:val="none"/>
          <w14:textFill>
            <w14:solidFill>
              <w14:schemeClr w14:val="tx1"/>
            </w14:solidFill>
          </w14:textFill>
        </w:rPr>
      </w:pPr>
    </w:p>
    <w:p>
      <w:pPr>
        <w:spacing w:line="360" w:lineRule="exact"/>
        <w:rPr>
          <w:rFonts w:hint="eastAsia" w:ascii="宋体" w:hAnsi="宋体"/>
          <w:bCs/>
          <w:color w:val="000000" w:themeColor="text1"/>
          <w:szCs w:val="21"/>
          <w:highlight w:val="none"/>
          <w14:textFill>
            <w14:solidFill>
              <w14:schemeClr w14:val="tx1"/>
            </w14:solidFill>
          </w14:textFill>
        </w:rPr>
      </w:pPr>
    </w:p>
    <w:p>
      <w:pPr>
        <w:spacing w:line="360" w:lineRule="exact"/>
        <w:rPr>
          <w:rFonts w:hint="eastAsia" w:ascii="宋体" w:hAnsi="宋体"/>
          <w:bCs/>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                                   采购编号：</w:t>
      </w:r>
    </w:p>
    <w:p>
      <w:pPr>
        <w:spacing w:line="360" w:lineRule="exac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cs="宋体"/>
          <w:color w:val="000000" w:themeColor="text1"/>
          <w:sz w:val="21"/>
          <w:szCs w:val="21"/>
          <w:highlight w:val="none"/>
          <w:lang w:val="en-US" w:eastAsia="zh-CN"/>
          <w14:textFill>
            <w14:solidFill>
              <w14:schemeClr w14:val="tx1"/>
            </w14:solidFill>
          </w14:textFill>
        </w:rPr>
        <w:t>谈判文件</w:t>
      </w:r>
      <w:r>
        <w:rPr>
          <w:rFonts w:hint="eastAsia" w:ascii="宋体" w:hAnsi="宋体" w:eastAsia="宋体" w:cs="宋体"/>
          <w:color w:val="000000" w:themeColor="text1"/>
          <w:sz w:val="21"/>
          <w:szCs w:val="21"/>
          <w:highlight w:val="none"/>
          <w14:textFill>
            <w14:solidFill>
              <w14:schemeClr w14:val="tx1"/>
            </w14:solidFill>
          </w14:textFill>
        </w:rPr>
        <w:t>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2"/>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2"/>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w:t>
      </w:r>
      <w:r>
        <w:rPr>
          <w:rFonts w:hint="eastAsia" w:ascii="宋体" w:hAnsi="宋体" w:cs="宋体"/>
          <w:color w:val="000000" w:themeColor="text1"/>
          <w:sz w:val="21"/>
          <w:szCs w:val="21"/>
          <w:highlight w:val="none"/>
          <w:lang w:val="en-US" w:eastAsia="zh-CN"/>
          <w14:textFill>
            <w14:solidFill>
              <w14:schemeClr w14:val="tx1"/>
            </w14:solidFill>
          </w14:textFill>
        </w:rPr>
        <w:t>谈判</w:t>
      </w:r>
      <w:r>
        <w:rPr>
          <w:rFonts w:hint="eastAsia" w:ascii="宋体" w:hAnsi="宋体" w:eastAsia="宋体" w:cs="宋体"/>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lang w:val="en-US" w:eastAsia="zh-CN"/>
          <w14:textFill>
            <w14:solidFill>
              <w14:schemeClr w14:val="tx1"/>
            </w14:solidFill>
          </w14:textFill>
        </w:rPr>
        <w:t>谈判响应</w:t>
      </w:r>
      <w:r>
        <w:rPr>
          <w:rFonts w:hint="eastAsia" w:ascii="宋体" w:hAnsi="宋体" w:eastAsia="宋体" w:cs="宋体"/>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通知书均为合同的有效组成部分，与本合同具有同等法律效力。</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tabs>
          <w:tab w:val="left" w:pos="1004"/>
          <w:tab w:val="left" w:pos="4267"/>
        </w:tabs>
        <w:spacing w:line="36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36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360" w:lineRule="exact"/>
        <w:rPr>
          <w:rFonts w:ascii="宋体" w:hAnsi="宋体"/>
          <w:bCs/>
          <w:color w:val="000000" w:themeColor="text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tabs>
          <w:tab w:val="left" w:pos="1004"/>
        </w:tabs>
        <w:spacing w:line="36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p>
    <w:p>
      <w:pPr>
        <w:pStyle w:val="3"/>
        <w:numPr>
          <w:ilvl w:val="0"/>
          <w:numId w:val="0"/>
        </w:numPr>
        <w:spacing w:before="100" w:beforeAutospacing="1" w:after="100" w:afterAutospacing="1" w:line="240" w:lineRule="auto"/>
        <w:jc w:val="center"/>
        <w:rPr>
          <w:rFonts w:ascii="宋体" w:hAnsi="宋体"/>
          <w:color w:val="000000" w:themeColor="text1"/>
          <w:sz w:val="21"/>
          <w:szCs w:val="21"/>
          <w:highlight w:val="none"/>
          <w14:textFill>
            <w14:solidFill>
              <w14:schemeClr w14:val="tx1"/>
            </w14:solidFill>
          </w14:textFill>
        </w:rPr>
      </w:pPr>
      <w:bookmarkStart w:id="143" w:name="_Toc29937"/>
      <w:r>
        <w:rPr>
          <w:rFonts w:hint="eastAsia" w:ascii="宋体" w:hAnsi="宋体"/>
          <w:color w:val="000000" w:themeColor="text1"/>
          <w:sz w:val="21"/>
          <w:szCs w:val="21"/>
          <w:highlight w:val="none"/>
          <w14:textFill>
            <w14:solidFill>
              <w14:schemeClr w14:val="tx1"/>
            </w14:solidFill>
          </w14:textFill>
        </w:rPr>
        <w:t>第五部分  单一来源谈判响应文件格式</w:t>
      </w:r>
      <w:bookmarkEnd w:id="141"/>
      <w:bookmarkEnd w:id="143"/>
    </w:p>
    <w:p>
      <w:pPr>
        <w:pStyle w:val="4"/>
        <w:numPr>
          <w:ilvl w:val="0"/>
          <w:numId w:val="0"/>
        </w:numPr>
        <w:jc w:val="center"/>
        <w:rPr>
          <w:rFonts w:ascii="宋体" w:hAnsi="宋体" w:eastAsia="宋体"/>
          <w:color w:val="000000" w:themeColor="text1"/>
          <w:sz w:val="21"/>
          <w:szCs w:val="21"/>
          <w:highlight w:val="none"/>
          <w14:textFill>
            <w14:solidFill>
              <w14:schemeClr w14:val="tx1"/>
            </w14:solidFill>
          </w14:textFill>
        </w:rPr>
      </w:pPr>
      <w:bookmarkStart w:id="144" w:name="_Toc200414513"/>
      <w:bookmarkStart w:id="145" w:name="_Toc19743"/>
      <w:r>
        <w:rPr>
          <w:rFonts w:hint="eastAsia" w:ascii="宋体" w:hAnsi="宋体" w:eastAsia="宋体"/>
          <w:color w:val="000000" w:themeColor="text1"/>
          <w:sz w:val="21"/>
          <w:szCs w:val="21"/>
          <w:highlight w:val="none"/>
          <w14:textFill>
            <w14:solidFill>
              <w14:schemeClr w14:val="tx1"/>
            </w14:solidFill>
          </w14:textFill>
        </w:rPr>
        <w:t>封面格式</w:t>
      </w:r>
      <w:bookmarkEnd w:id="144"/>
      <w:bookmarkEnd w:id="145"/>
    </w:p>
    <w:p>
      <w:pPr>
        <w:pStyle w:val="5"/>
        <w:rPr>
          <w:rFonts w:hAnsi="宋体"/>
          <w:bCs/>
          <w:color w:val="000000" w:themeColor="text1"/>
          <w:szCs w:val="24"/>
          <w:highlight w:val="none"/>
          <w14:textFill>
            <w14:solidFill>
              <w14:schemeClr w14:val="tx1"/>
            </w14:solidFill>
          </w14:textFill>
        </w:rPr>
      </w:pPr>
    </w:p>
    <w:p>
      <w:pPr>
        <w:pStyle w:val="5"/>
        <w:rPr>
          <w:rFonts w:hAnsi="宋体"/>
          <w:bCs/>
          <w:color w:val="000000" w:themeColor="text1"/>
          <w:szCs w:val="24"/>
          <w:highlight w:val="none"/>
          <w14:textFill>
            <w14:solidFill>
              <w14:schemeClr w14:val="tx1"/>
            </w14:solidFill>
          </w14:textFill>
        </w:rPr>
      </w:pPr>
    </w:p>
    <w:p>
      <w:pPr>
        <w:pStyle w:val="5"/>
        <w:spacing w:line="440" w:lineRule="exact"/>
        <w:ind w:left="315" w:leftChars="150" w:firstLineChars="200"/>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谈判响应文件的封面格式由供应商自拟，并应注明“谈判响应文件、项目编号、项目名称、供应商名称及地址、</w:t>
      </w:r>
      <w:r>
        <w:rPr>
          <w:rFonts w:hint="eastAsia" w:hAnsi="宋体"/>
          <w:bCs/>
          <w:color w:val="000000" w:themeColor="text1"/>
          <w:szCs w:val="24"/>
          <w:highlight w:val="none"/>
          <w:lang w:eastAsia="zh-CN"/>
          <w14:textFill>
            <w14:solidFill>
              <w14:schemeClr w14:val="tx1"/>
            </w14:solidFill>
          </w14:textFill>
        </w:rPr>
        <w:t>法定代表人（负责人）</w:t>
      </w:r>
      <w:r>
        <w:rPr>
          <w:rFonts w:hint="eastAsia" w:hAnsi="宋体"/>
          <w:bCs/>
          <w:color w:val="000000" w:themeColor="text1"/>
          <w:szCs w:val="24"/>
          <w:highlight w:val="none"/>
          <w14:textFill>
            <w14:solidFill>
              <w14:schemeClr w14:val="tx1"/>
            </w14:solidFill>
          </w14:textFill>
        </w:rPr>
        <w:t>或授权代理人、联系电话、传真、邮编，并加盖供应商公章。如：</w:t>
      </w:r>
    </w:p>
    <w:p>
      <w:pPr>
        <w:pStyle w:val="5"/>
        <w:rPr>
          <w:rFonts w:hAnsi="宋体"/>
          <w:bCs/>
          <w:color w:val="000000" w:themeColor="text1"/>
          <w:szCs w:val="24"/>
          <w:highlight w:val="none"/>
          <w14:textFill>
            <w14:solidFill>
              <w14:schemeClr w14:val="tx1"/>
            </w14:solidFill>
          </w14:textFill>
        </w:rPr>
      </w:pPr>
    </w:p>
    <w:p>
      <w:pPr>
        <w:pStyle w:val="5"/>
        <w:rPr>
          <w:rFonts w:hAnsi="宋体"/>
          <w:bCs/>
          <w:color w:val="000000" w:themeColor="text1"/>
          <w:szCs w:val="24"/>
          <w:highlight w:val="none"/>
          <w14:textFill>
            <w14:solidFill>
              <w14:schemeClr w14:val="tx1"/>
            </w14:solidFill>
          </w14:textFill>
        </w:rPr>
      </w:pPr>
    </w:p>
    <w:p>
      <w:pPr>
        <w:pStyle w:val="5"/>
        <w:rPr>
          <w:rFonts w:hAnsi="宋体"/>
          <w:bCs/>
          <w:color w:val="000000" w:themeColor="text1"/>
          <w:szCs w:val="24"/>
          <w:highlight w:val="none"/>
          <w14:textFill>
            <w14:solidFill>
              <w14:schemeClr w14:val="tx1"/>
            </w14:solidFill>
          </w14:textFill>
        </w:rPr>
      </w:pPr>
    </w:p>
    <w:p>
      <w:pPr>
        <w:pStyle w:val="5"/>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谈判响应文件（□正本、□副本）</w:t>
      </w:r>
    </w:p>
    <w:p>
      <w:pPr>
        <w:pStyle w:val="5"/>
        <w:spacing w:line="440" w:lineRule="exact"/>
        <w:rPr>
          <w:rFonts w:hint="eastAsia" w:hAnsi="宋体"/>
          <w:bCs/>
          <w:color w:val="000000" w:themeColor="text1"/>
          <w:szCs w:val="24"/>
          <w:highlight w:val="none"/>
          <w14:textFill>
            <w14:solidFill>
              <w14:schemeClr w14:val="tx1"/>
            </w14:solidFill>
          </w14:textFill>
        </w:rPr>
      </w:pPr>
    </w:p>
    <w:p>
      <w:pPr>
        <w:pStyle w:val="5"/>
        <w:spacing w:line="440" w:lineRule="exact"/>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b/>
          <w:bCs/>
          <w:color w:val="000000" w:themeColor="text1"/>
          <w:szCs w:val="24"/>
          <w:highlight w:val="none"/>
          <w:u w:val="single"/>
          <w:lang w:eastAsia="zh-CN"/>
          <w14:textFill>
            <w14:solidFill>
              <w14:schemeClr w14:val="tx1"/>
            </w14:solidFill>
          </w14:textFill>
        </w:rPr>
        <w:t>YXZB-20230223</w:t>
      </w:r>
      <w:r>
        <w:rPr>
          <w:rFonts w:hint="eastAsia" w:hAnsi="宋体"/>
          <w:b/>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14:textFill>
            <w14:solidFill>
              <w14:schemeClr w14:val="tx1"/>
            </w14:solidFill>
          </w14:textFill>
        </w:rPr>
        <w:t xml:space="preserve">             </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 xml:space="preserve">项目名称，由供应商填写               </w:t>
      </w:r>
      <w:r>
        <w:rPr>
          <w:rFonts w:hint="eastAsia" w:hAnsi="宋体"/>
          <w:bCs/>
          <w:color w:val="000000" w:themeColor="text1"/>
          <w:szCs w:val="24"/>
          <w:highlight w:val="none"/>
          <w:u w:val="single"/>
          <w14:textFill>
            <w14:solidFill>
              <w14:schemeClr w14:val="tx1"/>
            </w14:solidFill>
          </w14:textFill>
        </w:rPr>
        <w:t xml:space="preserve">         </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供应商名称（加盖公章）：</w:t>
      </w:r>
      <w:r>
        <w:rPr>
          <w:rFonts w:hint="eastAsia" w:hAnsi="宋体"/>
          <w:bCs/>
          <w:color w:val="000000" w:themeColor="text1"/>
          <w:szCs w:val="24"/>
          <w:highlight w:val="none"/>
          <w:u w:val="single"/>
          <w14:textFill>
            <w14:solidFill>
              <w14:schemeClr w14:val="tx1"/>
            </w14:solidFill>
          </w14:textFill>
        </w:rPr>
        <w:t xml:space="preserve">                                                   </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r>
        <w:rPr>
          <w:rFonts w:hint="eastAsia" w:hAnsi="宋体"/>
          <w:bCs/>
          <w:color w:val="000000" w:themeColor="text1"/>
          <w:szCs w:val="24"/>
          <w:highlight w:val="none"/>
          <w:u w:val="single"/>
          <w14:textFill>
            <w14:solidFill>
              <w14:schemeClr w14:val="tx1"/>
            </w14:solidFill>
          </w14:textFill>
        </w:rPr>
        <w:t xml:space="preserve">                                                              </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lang w:eastAsia="zh-CN"/>
          <w14:textFill>
            <w14:solidFill>
              <w14:schemeClr w14:val="tx1"/>
            </w14:solidFill>
          </w14:textFill>
        </w:rPr>
        <w:t>法定代表人（负责人）</w:t>
      </w:r>
      <w:r>
        <w:rPr>
          <w:rFonts w:hint="eastAsia" w:hAnsi="宋体"/>
          <w:bCs/>
          <w:color w:val="000000" w:themeColor="text1"/>
          <w:szCs w:val="24"/>
          <w:highlight w:val="none"/>
          <w14:textFill>
            <w14:solidFill>
              <w14:schemeClr w14:val="tx1"/>
            </w14:solidFill>
          </w14:textFill>
        </w:rPr>
        <w:t>或授权代理人（签字）</w:t>
      </w:r>
      <w:r>
        <w:rPr>
          <w:rFonts w:hAnsi="宋体"/>
          <w:bCs/>
          <w:color w:val="000000" w:themeColor="text1"/>
          <w:szCs w:val="24"/>
          <w:highlight w:val="none"/>
          <w14:textFill>
            <w14:solidFill>
              <w14:schemeClr w14:val="tx1"/>
            </w14:solidFill>
          </w14:textFill>
        </w:rPr>
        <w:t>：</w:t>
      </w:r>
      <w:r>
        <w:rPr>
          <w:rFonts w:hAnsi="宋体"/>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u w:val="single"/>
          <w14:textFill>
            <w14:solidFill>
              <w14:schemeClr w14:val="tx1"/>
            </w14:solidFill>
          </w14:textFill>
        </w:rPr>
        <w:t xml:space="preserve">                  </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u w:val="single"/>
          <w14:textFill>
            <w14:solidFill>
              <w14:schemeClr w14:val="tx1"/>
            </w14:solidFill>
          </w14:textFill>
        </w:rPr>
        <w:t xml:space="preserve">                           </w:t>
      </w:r>
      <w:r>
        <w:rPr>
          <w:rFonts w:hAnsi="宋体"/>
          <w:bCs/>
          <w:color w:val="000000" w:themeColor="text1"/>
          <w:szCs w:val="24"/>
          <w:highlight w:val="none"/>
          <w14:textFill>
            <w14:solidFill>
              <w14:schemeClr w14:val="tx1"/>
            </w14:solidFill>
          </w14:textFill>
        </w:rPr>
        <w:t xml:space="preserve">   </w:t>
      </w:r>
      <w:r>
        <w:rPr>
          <w:rFonts w:hint="eastAsia" w:hAnsi="宋体"/>
          <w:bCs/>
          <w:color w:val="000000" w:themeColor="text1"/>
          <w:szCs w:val="24"/>
          <w:highlight w:val="none"/>
          <w14:textFill>
            <w14:solidFill>
              <w14:schemeClr w14:val="tx1"/>
            </w14:solidFill>
          </w14:textFill>
        </w:rPr>
        <w:t>传真：</w:t>
      </w:r>
      <w:r>
        <w:rPr>
          <w:rFonts w:hint="eastAsia" w:hAnsi="宋体"/>
          <w:bCs/>
          <w:color w:val="000000" w:themeColor="text1"/>
          <w:szCs w:val="24"/>
          <w:highlight w:val="none"/>
          <w:u w:val="single"/>
          <w14:textFill>
            <w14:solidFill>
              <w14:schemeClr w14:val="tx1"/>
            </w14:solidFill>
          </w14:textFill>
        </w:rPr>
        <w:t xml:space="preserve">                            </w:t>
      </w:r>
    </w:p>
    <w:p>
      <w:pPr>
        <w:pStyle w:val="5"/>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r>
        <w:rPr>
          <w:rFonts w:hint="eastAsia" w:hAnsi="宋体"/>
          <w:bCs/>
          <w:color w:val="000000" w:themeColor="text1"/>
          <w:szCs w:val="24"/>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14:textFill>
            <w14:solidFill>
              <w14:schemeClr w14:val="tx1"/>
            </w14:solidFill>
          </w14:textFill>
        </w:rPr>
        <w:t>年</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14:textFill>
            <w14:solidFill>
              <w14:schemeClr w14:val="tx1"/>
            </w14:solidFill>
          </w14:textFill>
        </w:rPr>
        <w:t>月</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46" w:name="_Toc519865432"/>
      <w:bookmarkStart w:id="147" w:name="_Toc30273"/>
      <w:bookmarkStart w:id="148" w:name="_Toc200414514"/>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46"/>
      <w:bookmarkEnd w:id="147"/>
      <w:bookmarkEnd w:id="148"/>
    </w:p>
    <w:tbl>
      <w:tblPr>
        <w:tblStyle w:val="44"/>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950"/>
        <w:gridCol w:w="2605"/>
        <w:gridCol w:w="1728"/>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评审内容</w:t>
            </w:r>
          </w:p>
        </w:tc>
        <w:tc>
          <w:tcPr>
            <w:tcW w:w="2605"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谈判文件要求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（通过/不通过）</w:t>
            </w:r>
          </w:p>
        </w:tc>
        <w:tc>
          <w:tcPr>
            <w:tcW w:w="2786"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684"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资</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格</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检</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查</w:t>
            </w:r>
          </w:p>
        </w:tc>
        <w:tc>
          <w:tcPr>
            <w:tcW w:w="1950"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投标人要求</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14:textFill>
                  <w14:solidFill>
                    <w14:schemeClr w14:val="tx1"/>
                  </w14:solidFill>
                </w14:textFill>
              </w:rPr>
            </w:pP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 w:val="21"/>
                <w:szCs w:val="21"/>
                <w:highlight w:val="none"/>
                <w14:textFill>
                  <w14:solidFill>
                    <w14:schemeClr w14:val="tx1"/>
                  </w14:solidFill>
                </w14:textFill>
              </w:rPr>
              <w:t>财务报表</w:t>
            </w:r>
            <w:r>
              <w:rPr>
                <w:rFonts w:hint="eastAsia" w:ascii="宋体" w:hAnsi="宋体"/>
                <w:color w:val="000000" w:themeColor="text1"/>
                <w:sz w:val="2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68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 w:val="21"/>
                <w:szCs w:val="21"/>
                <w:highlight w:val="none"/>
                <w14:textFill>
                  <w14:solidFill>
                    <w14:schemeClr w14:val="tx1"/>
                  </w14:solidFill>
                </w14:textFill>
              </w:rPr>
            </w:pPr>
          </w:p>
        </w:tc>
        <w:tc>
          <w:tcPr>
            <w:tcW w:w="1950"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 w:val="21"/>
                <w:szCs w:val="21"/>
                <w:highlight w:val="none"/>
                <w14:textFill>
                  <w14:solidFill>
                    <w14:schemeClr w14:val="tx1"/>
                  </w14:solidFill>
                </w14:textFill>
              </w:rPr>
            </w:pP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zh-CN"/>
                <w14:textFill>
                  <w14:solidFill>
                    <w14:schemeClr w14:val="tx1"/>
                  </w14:solidFill>
                </w14:textFill>
              </w:rPr>
              <w:t>投标人若是分公司或其分支机构，需提供总公司对分公司或其分支机构的授权文件并加盖公章</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8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 w:val="21"/>
                <w:szCs w:val="21"/>
                <w:highlight w:val="none"/>
                <w14:textFill>
                  <w14:solidFill>
                    <w14:schemeClr w14:val="tx1"/>
                  </w14:solidFill>
                </w14:textFill>
              </w:rPr>
            </w:pPr>
          </w:p>
        </w:tc>
        <w:tc>
          <w:tcPr>
            <w:tcW w:w="1950"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 w:val="21"/>
                <w:szCs w:val="21"/>
                <w:highlight w:val="none"/>
                <w14:textFill>
                  <w14:solidFill>
                    <w14:schemeClr w14:val="tx1"/>
                  </w14:solidFill>
                </w14:textFill>
              </w:rPr>
            </w:pP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zh-CN"/>
                <w14:textFill>
                  <w14:solidFill>
                    <w14:schemeClr w14:val="tx1"/>
                  </w14:solidFill>
                </w14:textFill>
              </w:rPr>
              <w:t>须持有《营业执照》、《卫生许可证》、《特种行业许可证》、消防安全检查审核通过的相关证明</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8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 w:val="21"/>
                <w:szCs w:val="21"/>
                <w:highlight w:val="none"/>
                <w14:textFill>
                  <w14:solidFill>
                    <w14:schemeClr w14:val="tx1"/>
                  </w14:solidFill>
                </w14:textFill>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服务期</w:t>
            </w:r>
            <w:r>
              <w:rPr>
                <w:rFonts w:hint="eastAsia" w:ascii="宋体" w:hAnsi="宋体"/>
                <w:color w:val="000000" w:themeColor="text1"/>
                <w:sz w:val="21"/>
                <w:szCs w:val="21"/>
                <w:highlight w:val="none"/>
                <w14:textFill>
                  <w14:solidFill>
                    <w14:schemeClr w14:val="tx1"/>
                  </w14:solidFill>
                </w14:textFill>
              </w:rPr>
              <w:t>须满足要求</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w:t>
            </w:r>
            <w:r>
              <w:rPr>
                <w:rFonts w:hint="eastAsia" w:ascii="宋体" w:hAnsi="宋体"/>
                <w:bCs/>
                <w:color w:val="000000" w:themeColor="text1"/>
                <w:sz w:val="21"/>
                <w:szCs w:val="21"/>
                <w:highlight w:val="none"/>
                <w14:textFill>
                  <w14:solidFill>
                    <w14:schemeClr w14:val="tx1"/>
                  </w14:solidFill>
                </w14:textFill>
              </w:rPr>
              <w:t>谈判</w:t>
            </w:r>
            <w:r>
              <w:rPr>
                <w:rFonts w:hint="eastAsia" w:ascii="宋体" w:hAnsi="宋体"/>
                <w:color w:val="000000" w:themeColor="text1"/>
                <w:sz w:val="21"/>
                <w:szCs w:val="21"/>
                <w:highlight w:val="none"/>
                <w14:textFill>
                  <w14:solidFill>
                    <w14:schemeClr w14:val="tx1"/>
                  </w14:solidFill>
                </w14:textFill>
              </w:rPr>
              <w:t>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leftChars="0" w:hanging="480" w:firstLineChars="0"/>
              <w:textAlignment w:val="auto"/>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8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 w:val="21"/>
                <w:szCs w:val="21"/>
                <w:highlight w:val="none"/>
                <w14:textFill>
                  <w14:solidFill>
                    <w14:schemeClr w14:val="tx1"/>
                  </w14:solidFill>
                </w14:textFill>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hint="eastAsia"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w:t>
            </w:r>
            <w:r>
              <w:rPr>
                <w:rFonts w:hint="eastAsia" w:ascii="宋体" w:hAnsi="宋体"/>
                <w:bCs/>
                <w:color w:val="000000" w:themeColor="text1"/>
                <w:sz w:val="21"/>
                <w:szCs w:val="21"/>
                <w:highlight w:val="none"/>
                <w14:textFill>
                  <w14:solidFill>
                    <w14:schemeClr w14:val="tx1"/>
                  </w14:solidFill>
                </w14:textFill>
              </w:rPr>
              <w:t>谈判</w:t>
            </w:r>
            <w:r>
              <w:rPr>
                <w:rFonts w:hint="eastAsia" w:ascii="宋体" w:hAnsi="宋体"/>
                <w:color w:val="000000" w:themeColor="text1"/>
                <w:sz w:val="21"/>
                <w:szCs w:val="21"/>
                <w:highlight w:val="none"/>
                <w14:textFill>
                  <w14:solidFill>
                    <w14:schemeClr w14:val="tx1"/>
                  </w14:solidFill>
                </w14:textFill>
              </w:rPr>
              <w:t>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leftChars="0" w:hanging="480" w:firstLineChars="0"/>
              <w:textAlignment w:val="auto"/>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84" w:type="dxa"/>
            <w:vMerge w:val="continue"/>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14:textFill>
                  <w14:solidFill>
                    <w14:schemeClr w14:val="tx1"/>
                  </w14:solidFill>
                </w14:textFill>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保证金须满足要求</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w:t>
            </w:r>
            <w:r>
              <w:rPr>
                <w:rFonts w:hint="eastAsia" w:ascii="宋体" w:hAnsi="宋体"/>
                <w:bCs/>
                <w:color w:val="000000" w:themeColor="text1"/>
                <w:sz w:val="21"/>
                <w:szCs w:val="21"/>
                <w:highlight w:val="none"/>
                <w14:textFill>
                  <w14:solidFill>
                    <w14:schemeClr w14:val="tx1"/>
                  </w14:solidFill>
                </w14:textFill>
              </w:rPr>
              <w:t>谈判</w:t>
            </w:r>
            <w:r>
              <w:rPr>
                <w:rFonts w:hint="eastAsia" w:ascii="宋体" w:hAnsi="宋体"/>
                <w:color w:val="000000" w:themeColor="text1"/>
                <w:sz w:val="21"/>
                <w:szCs w:val="21"/>
                <w:highlight w:val="none"/>
                <w14:textFill>
                  <w14:solidFill>
                    <w14:schemeClr w14:val="tx1"/>
                  </w14:solidFill>
                </w14:textFill>
              </w:rPr>
              <w:t>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14:textFill>
                  <w14:solidFill>
                    <w14:schemeClr w14:val="tx1"/>
                  </w14:solidFill>
                </w14:textFill>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法定代表人/负责人资格证明书及授权委托书</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按对应格式文件签署、盖章(原件)</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 w:val="21"/>
                <w:szCs w:val="21"/>
                <w:highlight w:val="none"/>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14:textFill>
                  <w14:solidFill>
                    <w14:schemeClr w14:val="tx1"/>
                  </w14:solidFill>
                </w14:textFill>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接受联合体投标</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w:t>
            </w:r>
            <w:r>
              <w:rPr>
                <w:rFonts w:hint="eastAsia" w:ascii="宋体" w:hAnsi="宋体"/>
                <w:bCs/>
                <w:color w:val="000000" w:themeColor="text1"/>
                <w:sz w:val="21"/>
                <w:szCs w:val="21"/>
                <w:highlight w:val="none"/>
                <w14:textFill>
                  <w14:solidFill>
                    <w14:schemeClr w14:val="tx1"/>
                  </w14:solidFill>
                </w14:textFill>
              </w:rPr>
              <w:t>谈判</w:t>
            </w:r>
            <w:r>
              <w:rPr>
                <w:rFonts w:hint="eastAsia" w:ascii="宋体" w:hAnsi="宋体"/>
                <w:color w:val="000000" w:themeColor="text1"/>
                <w:sz w:val="21"/>
                <w:szCs w:val="21"/>
                <w:highlight w:val="none"/>
                <w14:textFill>
                  <w14:solidFill>
                    <w14:schemeClr w14:val="tx1"/>
                  </w14:solidFill>
                </w14:textFill>
              </w:rPr>
              <w:t>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 w:val="21"/>
                <w:szCs w:val="21"/>
                <w:highlight w:val="none"/>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14:textFill>
                  <w14:solidFill>
                    <w14:schemeClr w14:val="tx1"/>
                  </w14:solidFill>
                </w14:textFill>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其他要求</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按资料清单中规定提供“必须提交”的文件资料</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bl>
    <w:p>
      <w:pPr>
        <w:tabs>
          <w:tab w:val="center" w:pos="4483"/>
        </w:tabs>
        <w:ind w:left="420" w:hanging="420" w:hangingChars="200"/>
        <w:rPr>
          <w:rFonts w:hint="eastAsia" w:ascii="宋体" w:hAnsi="宋体"/>
          <w:color w:val="000000" w:themeColor="text1"/>
          <w:sz w:val="21"/>
          <w:szCs w:val="21"/>
          <w:highlight w:val="none"/>
          <w14:textFill>
            <w14:solidFill>
              <w14:schemeClr w14:val="tx1"/>
            </w14:solidFill>
          </w14:textFill>
        </w:rPr>
      </w:pPr>
    </w:p>
    <w:p>
      <w:pPr>
        <w:tabs>
          <w:tab w:val="center" w:pos="4483"/>
        </w:tabs>
        <w:ind w:left="420" w:hanging="420" w:hanging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注：1、以上材料将作为</w:t>
      </w:r>
      <w:r>
        <w:rPr>
          <w:rFonts w:hint="eastAsia" w:ascii="宋体" w:hAnsi="宋体"/>
          <w:bCs/>
          <w:color w:val="000000" w:themeColor="text1"/>
          <w:sz w:val="21"/>
          <w:szCs w:val="21"/>
          <w:highlight w:val="none"/>
          <w14:textFill>
            <w14:solidFill>
              <w14:schemeClr w14:val="tx1"/>
            </w14:solidFill>
          </w14:textFill>
        </w:rPr>
        <w:t>投标供应商</w:t>
      </w:r>
      <w:r>
        <w:rPr>
          <w:rFonts w:hint="eastAsia" w:ascii="宋体" w:hAnsi="宋体"/>
          <w:color w:val="000000" w:themeColor="text1"/>
          <w:sz w:val="21"/>
          <w:szCs w:val="21"/>
          <w:highlight w:val="none"/>
          <w14:textFill>
            <w14:solidFill>
              <w14:schemeClr w14:val="tx1"/>
            </w14:solidFill>
          </w14:textFill>
        </w:rPr>
        <w:t>资格性和符合性审核的重要内容之一，</w:t>
      </w:r>
      <w:r>
        <w:rPr>
          <w:rFonts w:hint="eastAsia" w:ascii="宋体" w:hAnsi="宋体"/>
          <w:bCs/>
          <w:color w:val="000000" w:themeColor="text1"/>
          <w:sz w:val="21"/>
          <w:szCs w:val="21"/>
          <w:highlight w:val="none"/>
          <w14:textFill>
            <w14:solidFill>
              <w14:schemeClr w14:val="tx1"/>
            </w14:solidFill>
          </w14:textFill>
        </w:rPr>
        <w:t>投标供应商</w:t>
      </w:r>
      <w:r>
        <w:rPr>
          <w:rFonts w:hint="eastAsia" w:ascii="宋体" w:hAnsi="宋体"/>
          <w:color w:val="000000" w:themeColor="text1"/>
          <w:sz w:val="2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 w:val="2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 w:val="21"/>
          <w:szCs w:val="21"/>
          <w:highlight w:val="none"/>
          <w14:textFill>
            <w14:solidFill>
              <w14:schemeClr w14:val="tx1"/>
            </w14:solidFill>
          </w14:textFill>
        </w:rPr>
        <w:t>将会直接导致无效投标。</w:t>
      </w:r>
      <w:r>
        <w:rPr>
          <w:rFonts w:hint="eastAsia" w:ascii="宋体" w:hAnsi="宋体"/>
          <w:bCs/>
          <w:color w:val="000000" w:themeColor="text1"/>
          <w:sz w:val="21"/>
          <w:szCs w:val="21"/>
          <w:highlight w:val="none"/>
          <w14:textFill>
            <w14:solidFill>
              <w14:schemeClr w14:val="tx1"/>
            </w14:solidFill>
          </w14:textFill>
        </w:rPr>
        <w:t>废标后，除采购任务取消情形外，应当重新组织采购。</w:t>
      </w:r>
      <w:r>
        <w:rPr>
          <w:rFonts w:hint="eastAsia" w:ascii="宋体" w:hAnsi="宋体"/>
          <w:color w:val="000000" w:themeColor="text1"/>
          <w:sz w:val="2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 w:val="21"/>
          <w:szCs w:val="21"/>
          <w:highlight w:val="none"/>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 xml:space="preserve">   2</w:t>
      </w:r>
      <w:r>
        <w:rPr>
          <w:rFonts w:hint="eastAsia" w:ascii="宋体" w:hAnsi="宋体"/>
          <w:bCs/>
          <w:color w:val="000000" w:themeColor="text1"/>
          <w:sz w:val="21"/>
          <w:szCs w:val="21"/>
          <w:highlight w:val="none"/>
          <w14:textFill>
            <w14:solidFill>
              <w14:schemeClr w14:val="tx1"/>
            </w14:solidFill>
          </w14:textFill>
        </w:rPr>
        <w:t>、投标供应商的</w:t>
      </w:r>
      <w:r>
        <w:rPr>
          <w:rFonts w:hint="eastAsia" w:ascii="宋体" w:hAnsi="宋体"/>
          <w:color w:val="000000" w:themeColor="text1"/>
          <w:sz w:val="21"/>
          <w:szCs w:val="21"/>
          <w:highlight w:val="none"/>
          <w14:textFill>
            <w14:solidFill>
              <w14:schemeClr w14:val="tx1"/>
            </w14:solidFill>
          </w14:textFill>
        </w:rPr>
        <w:t>谈判响应</w:t>
      </w:r>
      <w:r>
        <w:rPr>
          <w:rFonts w:hint="eastAsia" w:ascii="宋体" w:hAnsi="宋体"/>
          <w:bCs/>
          <w:color w:val="000000" w:themeColor="text1"/>
          <w:sz w:val="21"/>
          <w:szCs w:val="21"/>
          <w:highlight w:val="none"/>
          <w14:textFill>
            <w14:solidFill>
              <w14:schemeClr w14:val="tx1"/>
            </w14:solidFill>
          </w14:textFill>
        </w:rPr>
        <w:t>文件为法定代表人签署并由法定代表人亲自递交</w:t>
      </w:r>
      <w:r>
        <w:rPr>
          <w:rFonts w:hint="eastAsia" w:ascii="宋体" w:hAnsi="宋体"/>
          <w:color w:val="000000" w:themeColor="text1"/>
          <w:sz w:val="21"/>
          <w:szCs w:val="21"/>
          <w:highlight w:val="none"/>
          <w14:textFill>
            <w14:solidFill>
              <w14:schemeClr w14:val="tx1"/>
            </w14:solidFill>
          </w14:textFill>
        </w:rPr>
        <w:t>谈判响应</w:t>
      </w:r>
      <w:r>
        <w:rPr>
          <w:rFonts w:hint="eastAsia" w:ascii="宋体" w:hAnsi="宋体"/>
          <w:bCs/>
          <w:color w:val="000000" w:themeColor="text1"/>
          <w:sz w:val="21"/>
          <w:szCs w:val="21"/>
          <w:highlight w:val="none"/>
          <w14:textFill>
            <w14:solidFill>
              <w14:schemeClr w14:val="tx1"/>
            </w14:solidFill>
          </w14:textFill>
        </w:rPr>
        <w:t>文件和参加</w:t>
      </w:r>
      <w:r>
        <w:rPr>
          <w:rFonts w:hint="eastAsia" w:ascii="宋体" w:hAnsi="宋体"/>
          <w:color w:val="000000" w:themeColor="text1"/>
          <w:sz w:val="21"/>
          <w:szCs w:val="21"/>
          <w:highlight w:val="none"/>
          <w14:textFill>
            <w14:solidFill>
              <w14:schemeClr w14:val="tx1"/>
            </w14:solidFill>
          </w14:textFill>
        </w:rPr>
        <w:t>谈判</w:t>
      </w:r>
      <w:r>
        <w:rPr>
          <w:rFonts w:hint="eastAsia" w:ascii="宋体" w:hAnsi="宋体"/>
          <w:bCs/>
          <w:color w:val="000000" w:themeColor="text1"/>
          <w:sz w:val="21"/>
          <w:szCs w:val="21"/>
          <w:highlight w:val="none"/>
          <w14:textFill>
            <w14:solidFill>
              <w14:schemeClr w14:val="tx1"/>
            </w14:solidFill>
          </w14:textFill>
        </w:rPr>
        <w:t>的，可不提供“法定代表人授权书”及“代理人身份证”。</w:t>
      </w:r>
    </w:p>
    <w:p>
      <w:pPr>
        <w:tabs>
          <w:tab w:val="center" w:pos="4483"/>
        </w:tabs>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w:t>
      </w:r>
      <w:r>
        <w:rPr>
          <w:rFonts w:hint="eastAsia" w:ascii="宋体" w:hAnsi="宋体"/>
          <w:bCs/>
          <w:color w:val="000000" w:themeColor="text1"/>
          <w:szCs w:val="21"/>
          <w:highlight w:val="none"/>
          <w:lang w:eastAsia="zh-CN"/>
          <w14:textFill>
            <w14:solidFill>
              <w14:schemeClr w14:val="tx1"/>
            </w14:solidFill>
          </w14:textFill>
        </w:rPr>
        <w:t>法定代表人（负责人）</w:t>
      </w:r>
      <w:r>
        <w:rPr>
          <w:rFonts w:hint="eastAsia" w:ascii="宋体" w:hAnsi="宋体"/>
          <w:bCs/>
          <w:color w:val="000000" w:themeColor="text1"/>
          <w:szCs w:val="21"/>
          <w:highlight w:val="none"/>
          <w14:textFill>
            <w14:solidFill>
              <w14:schemeClr w14:val="tx1"/>
            </w14:solidFill>
          </w14:textFill>
        </w:rPr>
        <w:t>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sectPr>
          <w:headerReference r:id="rId7" w:type="first"/>
          <w:footerReference r:id="rId10" w:type="first"/>
          <w:headerReference r:id="rId6" w:type="default"/>
          <w:footerReference r:id="rId8" w:type="default"/>
          <w:footerReference r:id="rId9" w:type="even"/>
          <w:pgSz w:w="11906" w:h="16838"/>
          <w:pgMar w:top="1134" w:right="1361" w:bottom="1134" w:left="1361"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   月   日</w:t>
      </w:r>
    </w:p>
    <w:p>
      <w:pPr>
        <w:pStyle w:val="4"/>
        <w:numPr>
          <w:ilvl w:val="0"/>
          <w:numId w:val="0"/>
        </w:numPr>
        <w:jc w:val="center"/>
        <w:rPr>
          <w:color w:val="000000" w:themeColor="text1"/>
          <w:sz w:val="28"/>
          <w:szCs w:val="28"/>
          <w:highlight w:val="none"/>
          <w14:textFill>
            <w14:solidFill>
              <w14:schemeClr w14:val="tx1"/>
            </w14:solidFill>
          </w14:textFill>
        </w:rPr>
      </w:pPr>
      <w:bookmarkStart w:id="149" w:name="_Toc200414515"/>
      <w:bookmarkStart w:id="150" w:name="_Toc1603"/>
      <w:r>
        <w:rPr>
          <w:rFonts w:hint="eastAsia"/>
          <w:color w:val="000000" w:themeColor="text1"/>
          <w:sz w:val="28"/>
          <w:szCs w:val="28"/>
          <w:highlight w:val="none"/>
          <w14:textFill>
            <w14:solidFill>
              <w14:schemeClr w14:val="tx1"/>
            </w14:solidFill>
          </w14:textFill>
        </w:rPr>
        <w:t>（一）无重大违法记录声明函</w:t>
      </w:r>
      <w:bookmarkEnd w:id="149"/>
      <w:bookmarkEnd w:id="150"/>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针对贵方组织的</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eastAsia="zh-CN"/>
          <w14:textFill>
            <w14:solidFill>
              <w14:schemeClr w14:val="tx1"/>
            </w14:solidFill>
          </w14:textFill>
        </w:rPr>
        <w:t>阳西县2023-2024年度党政机关和事业单位会议定点场所采购项目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lang w:eastAsia="zh-CN"/>
          <w14:textFill>
            <w14:solidFill>
              <w14:schemeClr w14:val="tx1"/>
            </w14:solidFill>
          </w14:textFill>
        </w:rPr>
        <w:t>YXZB-20230223</w:t>
      </w:r>
      <w:r>
        <w:rPr>
          <w:rFonts w:hint="eastAsia"/>
          <w:color w:val="000000" w:themeColor="text1"/>
          <w:szCs w:val="21"/>
          <w:highlight w:val="none"/>
          <w:u w:val="single"/>
          <w14:textFill>
            <w14:solidFill>
              <w14:schemeClr w14:val="tx1"/>
            </w14:solidFill>
          </w14:textFill>
        </w:rPr>
        <w:t>）</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rFonts w:hint="eastAsia"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w:t>
      </w:r>
      <w:r>
        <w:rPr>
          <w:rFonts w:hint="eastAsia"/>
          <w:color w:val="000000" w:themeColor="text1"/>
          <w:szCs w:val="21"/>
          <w:highlight w:val="none"/>
          <w:lang w:eastAsia="zh-CN"/>
          <w14:textFill>
            <w14:solidFill>
              <w14:schemeClr w14:val="tx1"/>
            </w14:solidFill>
          </w14:textFill>
        </w:rPr>
        <w:t>法定代表人（负责人）</w:t>
      </w:r>
      <w:r>
        <w:rPr>
          <w:rFonts w:hint="eastAsia"/>
          <w:color w:val="000000" w:themeColor="text1"/>
          <w:szCs w:val="21"/>
          <w:highlight w:val="none"/>
          <w14:textFill>
            <w14:solidFill>
              <w14:schemeClr w14:val="tx1"/>
            </w14:solidFill>
          </w14:textFill>
        </w:rPr>
        <w:t>或授权代理人（签字）：</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4"/>
        <w:numPr>
          <w:ilvl w:val="0"/>
          <w:numId w:val="0"/>
        </w:numPr>
        <w:jc w:val="center"/>
        <w:rPr>
          <w:color w:val="000000" w:themeColor="text1"/>
          <w:kern w:val="0"/>
          <w:sz w:val="28"/>
          <w:szCs w:val="28"/>
          <w:highlight w:val="none"/>
          <w14:textFill>
            <w14:solidFill>
              <w14:schemeClr w14:val="tx1"/>
            </w14:solidFill>
          </w14:textFill>
        </w:rPr>
      </w:pPr>
      <w:bookmarkStart w:id="151" w:name="_Toc200414516"/>
      <w:bookmarkStart w:id="152" w:name="_Toc4790"/>
      <w:r>
        <w:rPr>
          <w:rFonts w:hint="eastAsia"/>
          <w:color w:val="000000" w:themeColor="text1"/>
          <w:kern w:val="0"/>
          <w:sz w:val="28"/>
          <w:szCs w:val="28"/>
          <w:highlight w:val="none"/>
          <w14:textFill>
            <w14:solidFill>
              <w14:schemeClr w14:val="tx1"/>
            </w14:solidFill>
          </w14:textFill>
        </w:rPr>
        <w:t>（二）</w:t>
      </w:r>
      <w:bookmarkEnd w:id="151"/>
      <w:r>
        <w:rPr>
          <w:rFonts w:hint="eastAsia"/>
          <w:color w:val="000000" w:themeColor="text1"/>
          <w:kern w:val="0"/>
          <w:sz w:val="28"/>
          <w:szCs w:val="28"/>
          <w:highlight w:val="none"/>
          <w14:textFill>
            <w14:solidFill>
              <w14:schemeClr w14:val="tx1"/>
            </w14:solidFill>
          </w14:textFill>
        </w:rPr>
        <w:t>法定代表人（负责人）证明书</w:t>
      </w:r>
      <w:bookmarkEnd w:id="152"/>
    </w:p>
    <w:p>
      <w:pPr>
        <w:pStyle w:val="5"/>
        <w:rPr>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单位法定代表人（负责人）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w:t>
      </w:r>
      <w:r>
        <w:rPr>
          <w:rFonts w:hint="eastAsia" w:ascii="宋体" w:hAnsi="宋体"/>
          <w:color w:val="000000" w:themeColor="text1"/>
          <w:highlight w:val="none"/>
          <w14:textFill>
            <w14:solidFill>
              <w14:schemeClr w14:val="tx1"/>
            </w14:solidFill>
          </w14:textFill>
        </w:rPr>
        <w:t>（负责人）</w:t>
      </w:r>
      <w:r>
        <w:rPr>
          <w:rFonts w:hint="eastAsia" w:ascii="宋体" w:hAnsi="宋体"/>
          <w:color w:val="000000" w:themeColor="text1"/>
          <w:highlight w:val="none"/>
          <w14:textFill>
            <w14:solidFill>
              <w14:schemeClr w14:val="tx1"/>
            </w14:solidFill>
          </w14:textFill>
        </w:rPr>
        <w:t>，特此证明。</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217" o:spid="_x0000_s1217" o:spt="176" type="#_x0000_t176" style="position:absolute;left:0pt;margin-left:62.75pt;margin-top:6.95pt;height:140.3pt;width:275.8pt;z-index:251660288;mso-width-relative:page;mso-height-relative:page;" coordsize="21600,2160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color w:val="000000" w:themeColor="text1"/>
          <w:highlight w:val="none"/>
          <w14:textFill>
            <w14:solidFill>
              <w14:schemeClr w14:val="tx1"/>
            </w14:solidFill>
          </w14:textFill>
        </w:rPr>
        <w:t xml:space="preserve">    </w:t>
      </w: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pStyle w:val="5"/>
        <w:ind w:firstLine="0"/>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jc w:val="center"/>
        <w:rPr>
          <w:color w:val="000000" w:themeColor="text1"/>
          <w:sz w:val="28"/>
          <w:szCs w:val="28"/>
          <w:highlight w:val="none"/>
          <w14:textFill>
            <w14:solidFill>
              <w14:schemeClr w14:val="tx1"/>
            </w14:solidFill>
          </w14:textFill>
        </w:rPr>
      </w:pPr>
      <w:bookmarkStart w:id="153" w:name="_Toc200414517"/>
      <w:bookmarkStart w:id="154" w:name="_Toc23526"/>
      <w:r>
        <w:rPr>
          <w:rFonts w:hint="eastAsia"/>
          <w:color w:val="000000" w:themeColor="text1"/>
          <w:sz w:val="28"/>
          <w:szCs w:val="28"/>
          <w:highlight w:val="none"/>
          <w14:textFill>
            <w14:solidFill>
              <w14:schemeClr w14:val="tx1"/>
            </w14:solidFill>
          </w14:textFill>
        </w:rPr>
        <w:t>（三）</w:t>
      </w:r>
      <w:bookmarkEnd w:id="153"/>
      <w:r>
        <w:rPr>
          <w:rFonts w:hint="eastAsia"/>
          <w:color w:val="000000" w:themeColor="text1"/>
          <w:sz w:val="28"/>
          <w:szCs w:val="28"/>
          <w:highlight w:val="none"/>
          <w14:textFill>
            <w14:solidFill>
              <w14:schemeClr w14:val="tx1"/>
            </w14:solidFill>
          </w14:textFill>
        </w:rPr>
        <w:t>法定代表人（负责人）授权书</w:t>
      </w:r>
      <w:bookmarkEnd w:id="154"/>
    </w:p>
    <w:p>
      <w:pPr>
        <w:spacing w:line="560" w:lineRule="exact"/>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w:t>
      </w:r>
      <w:r>
        <w:rPr>
          <w:rFonts w:hint="eastAsia" w:ascii="宋体" w:hAnsi="宋体"/>
          <w:bCs/>
          <w:color w:val="000000" w:themeColor="text1"/>
          <w:kern w:val="0"/>
          <w:highlight w:val="none"/>
          <w14:textFill>
            <w14:solidFill>
              <w14:schemeClr w14:val="tx1"/>
            </w14:solidFill>
          </w14:textFill>
        </w:rPr>
        <w:t>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（供应商名称）</w:t>
      </w:r>
      <w:r>
        <w:rPr>
          <w:rFonts w:hint="eastAsia" w:ascii="宋体" w:hAnsi="宋体"/>
          <w:bCs/>
          <w:color w:val="000000" w:themeColor="text1"/>
          <w:kern w:val="0"/>
          <w:highlight w:val="none"/>
          <w14:textFill>
            <w14:solidFill>
              <w14:schemeClr w14:val="tx1"/>
            </w14:solidFill>
          </w14:textFill>
        </w:rPr>
        <w:t>的法定代表人（负责人）</w:t>
      </w:r>
      <w:r>
        <w:rPr>
          <w:rFonts w:hint="eastAsia" w:ascii="宋体" w:hAnsi="宋体"/>
          <w:bCs/>
          <w:color w:val="000000" w:themeColor="text1"/>
          <w:kern w:val="0"/>
          <w:szCs w:val="21"/>
          <w:highlight w:val="none"/>
          <w14:textFill>
            <w14:solidFill>
              <w14:schemeClr w14:val="tx1"/>
            </w14:solidFill>
          </w14:textFill>
        </w:rPr>
        <w:t>，现授权委托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谈判项目（项目编号: </w:t>
      </w:r>
      <w:r>
        <w:rPr>
          <w:rFonts w:hint="eastAsia" w:ascii="宋体" w:hAnsi="宋体" w:cs="宋体"/>
          <w:b/>
          <w:color w:val="000000" w:themeColor="text1"/>
          <w:szCs w:val="21"/>
          <w:highlight w:val="none"/>
          <w:u w:val="single"/>
          <w:lang w:eastAsia="zh-CN"/>
          <w14:textFill>
            <w14:solidFill>
              <w14:schemeClr w14:val="tx1"/>
            </w14:solidFill>
          </w14:textFill>
        </w:rPr>
        <w:t>YXZB-20230223</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szCs w:val="21"/>
          <w:highlight w:val="none"/>
          <w14:textFill>
            <w14:solidFill>
              <w14:schemeClr w14:val="tx1"/>
            </w14:solidFill>
          </w14:textFill>
        </w:rPr>
      </w:pPr>
    </w:p>
    <w:p>
      <w:pPr>
        <w:spacing w:line="560" w:lineRule="exact"/>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亲自递交谈判响应文件和参加谈判的，不须提供该委托书，但需提供法定代表人证明书及法定代表人的身份证复印件。）</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_x0000_s1216" o:spid="_x0000_s1216" o:spt="176" type="#_x0000_t176" style="position:absolute;left:0pt;margin-left:99.75pt;margin-top:10.95pt;height:140.3pt;width:275.8pt;z-index:251659264;mso-width-relative:page;mso-height-relative:page;" coordsize="21600,2160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ascii="宋体" w:hAnsi="宋体"/>
          <w:color w:val="000000" w:themeColor="text1"/>
          <w:szCs w:val="21"/>
          <w:highlight w:val="none"/>
          <w:u w:val="single"/>
          <w14:textFill>
            <w14:solidFill>
              <w14:schemeClr w14:val="tx1"/>
            </w14:solidFill>
          </w14:textFill>
        </w:rPr>
      </w:pPr>
    </w:p>
    <w:p>
      <w:pPr>
        <w:rPr>
          <w:rFonts w:ascii="宋体" w:hAnsi="宋体"/>
          <w:color w:val="000000" w:themeColor="text1"/>
          <w:szCs w:val="21"/>
          <w:highlight w:val="none"/>
          <w:u w:val="single"/>
          <w14:textFill>
            <w14:solidFill>
              <w14:schemeClr w14:val="tx1"/>
            </w14:solidFill>
          </w14:textFill>
        </w:rPr>
      </w:pPr>
    </w:p>
    <w:p>
      <w:pPr>
        <w:rPr>
          <w:rFonts w:ascii="宋体" w:hAnsi="宋体"/>
          <w:color w:val="000000" w:themeColor="text1"/>
          <w:szCs w:val="21"/>
          <w:highlight w:val="none"/>
          <w:u w:val="single"/>
          <w14:textFill>
            <w14:solidFill>
              <w14:schemeClr w14:val="tx1"/>
            </w14:solidFill>
          </w14:textFill>
        </w:rPr>
      </w:pPr>
    </w:p>
    <w:p>
      <w:pPr>
        <w:rPr>
          <w:rFonts w:ascii="宋体" w:hAnsi="宋体"/>
          <w:color w:val="000000" w:themeColor="text1"/>
          <w:szCs w:val="21"/>
          <w:highlight w:val="none"/>
          <w:u w:val="single"/>
          <w14:textFill>
            <w14:solidFill>
              <w14:schemeClr w14:val="tx1"/>
            </w14:solidFill>
          </w14:textFill>
        </w:rPr>
      </w:pPr>
    </w:p>
    <w:p>
      <w:pPr>
        <w:pStyle w:val="4"/>
        <w:numPr>
          <w:ilvl w:val="0"/>
          <w:numId w:val="0"/>
        </w:numPr>
        <w:jc w:val="center"/>
        <w:rPr>
          <w:color w:val="000000" w:themeColor="text1"/>
          <w:sz w:val="28"/>
          <w:szCs w:val="28"/>
          <w:highlight w:val="none"/>
          <w14:textFill>
            <w14:solidFill>
              <w14:schemeClr w14:val="tx1"/>
            </w14:solidFill>
          </w14:textFill>
        </w:rPr>
      </w:pPr>
      <w:bookmarkStart w:id="155" w:name="_Toc200414519"/>
      <w:bookmarkStart w:id="156" w:name="_Toc2288"/>
      <w:r>
        <w:rPr>
          <w:rFonts w:hint="eastAsia"/>
          <w:color w:val="000000" w:themeColor="text1"/>
          <w:sz w:val="28"/>
          <w:szCs w:val="28"/>
          <w:highlight w:val="none"/>
          <w14:textFill>
            <w14:solidFill>
              <w14:schemeClr w14:val="tx1"/>
            </w14:solidFill>
          </w14:textFill>
        </w:rPr>
        <w:t>（四）</w:t>
      </w:r>
      <w:bookmarkEnd w:id="155"/>
      <w:bookmarkStart w:id="157" w:name="_Toc200414522"/>
      <w:r>
        <w:rPr>
          <w:rFonts w:hint="eastAsia"/>
          <w:color w:val="000000" w:themeColor="text1"/>
          <w:sz w:val="28"/>
          <w:szCs w:val="28"/>
          <w:highlight w:val="none"/>
          <w14:textFill>
            <w14:solidFill>
              <w14:schemeClr w14:val="tx1"/>
            </w14:solidFill>
          </w14:textFill>
        </w:rPr>
        <w:t>财务报表、缴税证明、社会保险登记证明</w:t>
      </w:r>
      <w:bookmarkEnd w:id="156"/>
      <w:bookmarkEnd w:id="157"/>
    </w:p>
    <w:p>
      <w:pPr>
        <w:tabs>
          <w:tab w:val="center" w:pos="4483"/>
        </w:tabs>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项目编号: </w:t>
      </w:r>
      <w:r>
        <w:rPr>
          <w:rFonts w:hint="eastAsia" w:ascii="宋体" w:hAnsi="宋体"/>
          <w:b/>
          <w:color w:val="000000" w:themeColor="text1"/>
          <w:kern w:val="0"/>
          <w:szCs w:val="21"/>
          <w:highlight w:val="none"/>
          <w:u w:val="single"/>
          <w:lang w:eastAsia="zh-CN"/>
          <w14:textFill>
            <w14:solidFill>
              <w14:schemeClr w14:val="tx1"/>
            </w14:solidFill>
          </w14:textFill>
        </w:rPr>
        <w:t>YXZB-20230223</w:t>
      </w:r>
    </w:p>
    <w:p>
      <w:pPr>
        <w:tabs>
          <w:tab w:val="center" w:pos="4483"/>
        </w:tabs>
        <w:rPr>
          <w:rFonts w:hint="eastAsia" w:ascii="宋体" w:hAnsi="宋体" w:eastAsia="宋体"/>
          <w:b/>
          <w:color w:val="000000" w:themeColor="text1"/>
          <w:kern w:val="0"/>
          <w:szCs w:val="21"/>
          <w:highlight w:val="none"/>
          <w:u w:val="single"/>
          <w:lang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项目名称：</w:t>
      </w:r>
      <w:r>
        <w:rPr>
          <w:rFonts w:hint="eastAsia" w:ascii="宋体" w:hAnsi="宋体"/>
          <w:b/>
          <w:color w:val="000000" w:themeColor="text1"/>
          <w:kern w:val="0"/>
          <w:szCs w:val="21"/>
          <w:highlight w:val="none"/>
          <w:u w:val="single"/>
          <w:lang w:eastAsia="zh-CN"/>
          <w14:textFill>
            <w14:solidFill>
              <w14:schemeClr w14:val="tx1"/>
            </w14:solidFill>
          </w14:textFill>
        </w:rPr>
        <w:t>阳西县2023-2024年度党政机关和事业单位会议定点场所采购项目</w:t>
      </w:r>
    </w:p>
    <w:p>
      <w:pPr>
        <w:tabs>
          <w:tab w:val="center" w:pos="4483"/>
        </w:tabs>
        <w:rPr>
          <w:rFonts w:ascii="宋体" w:hAnsi="宋体"/>
          <w:b/>
          <w:bCs/>
          <w:color w:val="000000" w:themeColor="text1"/>
          <w:highlight w:val="none"/>
          <w:u w:val="single"/>
          <w14:textFill>
            <w14:solidFill>
              <w14:schemeClr w14:val="tx1"/>
            </w14:solidFill>
          </w14:textFill>
        </w:rPr>
      </w:pPr>
    </w:p>
    <w:p>
      <w:pPr>
        <w:tabs>
          <w:tab w:val="center" w:pos="4483"/>
        </w:tabs>
        <w:rPr>
          <w:rFonts w:ascii="宋体" w:hAnsi="宋体"/>
          <w:b/>
          <w:bCs/>
          <w:color w:val="000000" w:themeColor="text1"/>
          <w:highlight w:val="none"/>
          <w:u w:val="single"/>
          <w14:textFill>
            <w14:solidFill>
              <w14:schemeClr w14:val="tx1"/>
            </w14:solidFill>
          </w14:textFill>
        </w:rPr>
      </w:pPr>
    </w:p>
    <w:p>
      <w:pPr>
        <w:tabs>
          <w:tab w:val="center" w:pos="4483"/>
        </w:tabs>
        <w:rPr>
          <w:rFonts w:ascii="宋体" w:hAnsi="宋体"/>
          <w:color w:val="000000" w:themeColor="text1"/>
          <w:kern w:val="0"/>
          <w:szCs w:val="21"/>
          <w:highlight w:val="none"/>
          <w14:textFill>
            <w14:solidFill>
              <w14:schemeClr w14:val="tx1"/>
            </w14:solidFill>
          </w14:textFill>
        </w:rPr>
        <w:sectPr>
          <w:headerReference r:id="rId11"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提供财务报表复印件加盖公章、缴税证明复印件加盖公章、社会保险登记证明复印件加盖公章</w:t>
      </w:r>
    </w:p>
    <w:p>
      <w:pPr>
        <w:pStyle w:val="4"/>
        <w:numPr>
          <w:ilvl w:val="0"/>
          <w:numId w:val="0"/>
        </w:numPr>
        <w:jc w:val="center"/>
        <w:rPr>
          <w:color w:val="000000" w:themeColor="text1"/>
          <w:sz w:val="28"/>
          <w:szCs w:val="28"/>
          <w:highlight w:val="none"/>
          <w14:textFill>
            <w14:solidFill>
              <w14:schemeClr w14:val="tx1"/>
            </w14:solidFill>
          </w14:textFill>
        </w:rPr>
      </w:pPr>
      <w:bookmarkStart w:id="158" w:name="_Toc11122"/>
      <w:bookmarkStart w:id="159" w:name="_Toc200414523"/>
      <w:r>
        <w:rPr>
          <w:rFonts w:hint="eastAsia"/>
          <w:color w:val="000000" w:themeColor="text1"/>
          <w:sz w:val="28"/>
          <w:szCs w:val="28"/>
          <w:highlight w:val="none"/>
          <w14:textFill>
            <w14:solidFill>
              <w14:schemeClr w14:val="tx1"/>
            </w14:solidFill>
          </w14:textFill>
        </w:rPr>
        <w:t>（五） 资格审查文件要求提交的其它有效证明文件</w:t>
      </w:r>
      <w:bookmarkEnd w:id="158"/>
      <w:bookmarkEnd w:id="159"/>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2、财务报表复印件加盖公章；</w:t>
      </w:r>
    </w:p>
    <w:p>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、无重大违法记录声明函；</w:t>
      </w:r>
    </w:p>
    <w:p>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、法定代表人（负责人）证明书；</w:t>
      </w:r>
    </w:p>
    <w:p>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、法定代表人（负责人）授权书；</w:t>
      </w:r>
    </w:p>
    <w:p>
      <w:pPr>
        <w:spacing w:line="440" w:lineRule="exact"/>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相关资质证明文件：</w:t>
      </w:r>
    </w:p>
    <w:p>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pStyle w:val="4"/>
        <w:numPr>
          <w:ilvl w:val="0"/>
          <w:numId w:val="0"/>
        </w:numPr>
        <w:spacing w:line="276" w:lineRule="auto"/>
        <w:ind w:firstLine="2249" w:firstLineChars="800"/>
        <w:rPr>
          <w:color w:val="000000" w:themeColor="text1"/>
          <w:sz w:val="28"/>
          <w:szCs w:val="28"/>
          <w:highlight w:val="none"/>
          <w14:textFill>
            <w14:solidFill>
              <w14:schemeClr w14:val="tx1"/>
            </w14:solidFill>
          </w14:textFill>
        </w:rPr>
      </w:pPr>
      <w:bookmarkStart w:id="160" w:name="_Toc15545"/>
      <w:bookmarkStart w:id="161" w:name="_Toc200414524"/>
      <w:r>
        <w:rPr>
          <w:rFonts w:hint="eastAsia"/>
          <w:color w:val="000000" w:themeColor="text1"/>
          <w:sz w:val="28"/>
          <w:szCs w:val="28"/>
          <w:highlight w:val="none"/>
          <w14:textFill>
            <w14:solidFill>
              <w14:schemeClr w14:val="tx1"/>
            </w14:solidFill>
          </w14:textFill>
        </w:rPr>
        <w:t>第二章  谈判响应文件商务及技术部分</w:t>
      </w:r>
      <w:bookmarkEnd w:id="160"/>
      <w:bookmarkEnd w:id="161"/>
    </w:p>
    <w:p>
      <w:pPr>
        <w:pStyle w:val="4"/>
        <w:numPr>
          <w:ilvl w:val="0"/>
          <w:numId w:val="0"/>
        </w:numPr>
        <w:spacing w:line="276" w:lineRule="auto"/>
        <w:ind w:firstLine="3373" w:firstLineChars="1200"/>
        <w:rPr>
          <w:color w:val="000000" w:themeColor="text1"/>
          <w:sz w:val="28"/>
          <w:szCs w:val="28"/>
          <w:highlight w:val="none"/>
          <w14:textFill>
            <w14:solidFill>
              <w14:schemeClr w14:val="tx1"/>
            </w14:solidFill>
          </w14:textFill>
        </w:rPr>
      </w:pPr>
      <w:bookmarkStart w:id="162" w:name="_Toc200414525"/>
      <w:bookmarkStart w:id="163" w:name="_Toc32115"/>
      <w:r>
        <w:rPr>
          <w:rFonts w:hint="eastAsia"/>
          <w:color w:val="000000" w:themeColor="text1"/>
          <w:sz w:val="28"/>
          <w:szCs w:val="28"/>
          <w:highlight w:val="none"/>
          <w14:textFill>
            <w14:solidFill>
              <w14:schemeClr w14:val="tx1"/>
            </w14:solidFill>
          </w14:textFill>
        </w:rPr>
        <w:t>附件一：谈判邀请函</w:t>
      </w:r>
      <w:bookmarkEnd w:id="162"/>
      <w:bookmarkEnd w:id="163"/>
    </w:p>
    <w:p>
      <w:pPr>
        <w:widowControl/>
        <w:spacing w:line="400" w:lineRule="exact"/>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360" w:lineRule="exact"/>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YXZB-20230223</w:t>
      </w:r>
      <w:r>
        <w:rPr>
          <w:rFonts w:hint="eastAsia" w:ascii="宋体" w:hAnsi="宋体"/>
          <w:bCs/>
          <w:color w:val="000000" w:themeColor="text1"/>
          <w:szCs w:val="21"/>
          <w:highlight w:val="none"/>
          <w14:textFill>
            <w14:solidFill>
              <w14:schemeClr w14:val="tx1"/>
            </w14:solidFill>
          </w14:textFill>
        </w:rPr>
        <w:t>），我方正式响应谈判文件内容并提交下述文件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和电子文件</w:t>
      </w:r>
      <w:r>
        <w:rPr>
          <w:rFonts w:hint="eastAsia" w:ascii="宋体" w:hAnsi="宋体"/>
          <w:b/>
          <w:bCs/>
          <w:color w:val="000000" w:themeColor="text1"/>
          <w:szCs w:val="21"/>
          <w:highlight w:val="none"/>
          <w:u w:val="single"/>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份</w:t>
      </w:r>
      <w:r>
        <w:rPr>
          <w:rFonts w:hint="eastAsia" w:ascii="宋体" w:hAnsi="宋体"/>
          <w:bCs/>
          <w:color w:val="000000" w:themeColor="text1"/>
          <w:szCs w:val="21"/>
          <w:highlight w:val="none"/>
          <w14:textFill>
            <w14:solidFill>
              <w14:schemeClr w14:val="tx1"/>
            </w14:solidFill>
          </w14:textFill>
        </w:rPr>
        <w:t>：</w:t>
      </w:r>
    </w:p>
    <w:p>
      <w:pPr>
        <w:widowControl/>
        <w:numPr>
          <w:ilvl w:val="1"/>
          <w:numId w:val="13"/>
        </w:numPr>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谈判邀请函；</w:t>
      </w:r>
    </w:p>
    <w:p>
      <w:pPr>
        <w:widowControl/>
        <w:numPr>
          <w:ilvl w:val="1"/>
          <w:numId w:val="13"/>
        </w:numPr>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承诺书；</w:t>
      </w:r>
    </w:p>
    <w:p>
      <w:pPr>
        <w:widowControl/>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3、报价一览表；</w:t>
      </w:r>
    </w:p>
    <w:p>
      <w:pPr>
        <w:widowControl/>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、商务条款偏离一览表；</w:t>
      </w:r>
    </w:p>
    <w:p>
      <w:pPr>
        <w:widowControl/>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、技术条款偏离一览表；</w:t>
      </w:r>
    </w:p>
    <w:p>
      <w:pPr>
        <w:widowControl/>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14:textFill>
            <w14:solidFill>
              <w14:schemeClr w14:val="tx1"/>
            </w14:solidFill>
          </w14:textFill>
        </w:rPr>
        <w:t>、项目实施方案；</w:t>
      </w:r>
    </w:p>
    <w:p>
      <w:pPr>
        <w:widowControl/>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 xml:space="preserve">、同类业绩一览表； </w:t>
      </w:r>
    </w:p>
    <w:p>
      <w:pPr>
        <w:widowControl/>
        <w:tabs>
          <w:tab w:val="left" w:pos="502"/>
        </w:tabs>
        <w:adjustRightInd w:val="0"/>
        <w:snapToGrid w:val="0"/>
        <w:spacing w:line="360" w:lineRule="exact"/>
        <w:ind w:left="374" w:leftChars="178" w:firstLine="315" w:firstLineChars="15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8</w:t>
      </w:r>
      <w:r>
        <w:rPr>
          <w:rFonts w:hint="eastAsia" w:ascii="宋体" w:hAnsi="宋体"/>
          <w:bCs/>
          <w:color w:val="000000" w:themeColor="text1"/>
          <w:szCs w:val="21"/>
          <w:highlight w:val="none"/>
          <w14:textFill>
            <w14:solidFill>
              <w14:schemeClr w14:val="tx1"/>
            </w14:solidFill>
          </w14:textFill>
        </w:rPr>
        <w:t>、谈判供应商提交的其他资料</w:t>
      </w:r>
    </w:p>
    <w:p>
      <w:pPr>
        <w:widowControl/>
        <w:tabs>
          <w:tab w:val="left" w:pos="502"/>
        </w:tabs>
        <w:adjustRightInd w:val="0"/>
        <w:snapToGrid w:val="0"/>
        <w:spacing w:line="360" w:lineRule="exact"/>
        <w:ind w:left="374" w:leftChars="178"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形式提交的谈判保证金，金额为大写</w:t>
      </w:r>
      <w:r>
        <w:rPr>
          <w:rFonts w:hint="eastAsia" w:ascii="宋体"/>
          <w:color w:val="000000" w:themeColor="text1"/>
          <w:szCs w:val="21"/>
          <w:highlight w:val="none"/>
          <w14:textFill>
            <w14:solidFill>
              <w14:schemeClr w14:val="tx1"/>
            </w14:solidFill>
          </w14:textFill>
        </w:rPr>
        <w:t>人民币</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exact"/>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pStyle w:val="19"/>
        <w:rPr>
          <w:rFonts w:hint="eastAsia" w:ascii="宋体" w:hAnsi="宋体"/>
          <w:bCs/>
          <w:color w:val="000000" w:themeColor="text1"/>
          <w:szCs w:val="21"/>
          <w:highlight w:val="none"/>
          <w14:textFill>
            <w14:solidFill>
              <w14:schemeClr w14:val="tx1"/>
            </w14:solidFill>
          </w14:textFill>
        </w:rPr>
      </w:pPr>
    </w:p>
    <w:p>
      <w:pPr>
        <w:pStyle w:val="19"/>
        <w:rPr>
          <w:rFonts w:hint="eastAsia" w:ascii="宋体" w:hAnsi="宋体"/>
          <w:bCs/>
          <w:color w:val="000000" w:themeColor="text1"/>
          <w:szCs w:val="21"/>
          <w:highlight w:val="none"/>
          <w14:textFill>
            <w14:solidFill>
              <w14:schemeClr w14:val="tx1"/>
            </w14:solidFill>
          </w14:textFill>
        </w:rPr>
      </w:pPr>
    </w:p>
    <w:p>
      <w:pPr>
        <w:pStyle w:val="19"/>
        <w:rPr>
          <w:rFonts w:hint="eastAsia" w:ascii="宋体" w:hAnsi="宋体"/>
          <w:bCs/>
          <w:color w:val="000000" w:themeColor="text1"/>
          <w:szCs w:val="21"/>
          <w:highlight w:val="none"/>
          <w14:textFill>
            <w14:solidFill>
              <w14:schemeClr w14:val="tx1"/>
            </w14:solidFill>
          </w14:textFill>
        </w:rPr>
      </w:pPr>
    </w:p>
    <w:p>
      <w:pPr>
        <w:adjustRightInd w:val="0"/>
        <w:snapToGrid w:val="0"/>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w:t>
      </w:r>
      <w:r>
        <w:rPr>
          <w:rFonts w:hint="eastAsia" w:ascii="宋体" w:hAnsi="宋体"/>
          <w:bCs/>
          <w:color w:val="000000" w:themeColor="text1"/>
          <w:szCs w:val="21"/>
          <w:highlight w:val="none"/>
          <w:lang w:eastAsia="zh-CN"/>
          <w14:textFill>
            <w14:solidFill>
              <w14:schemeClr w14:val="tx1"/>
            </w14:solidFill>
          </w14:textFill>
        </w:rPr>
        <w:t>法定代表人（负责人）</w:t>
      </w:r>
      <w:r>
        <w:rPr>
          <w:rFonts w:hint="eastAsia" w:ascii="宋体" w:hAnsi="宋体"/>
          <w:bCs/>
          <w:color w:val="000000" w:themeColor="text1"/>
          <w:szCs w:val="21"/>
          <w:highlight w:val="none"/>
          <w14:textFill>
            <w14:solidFill>
              <w14:schemeClr w14:val="tx1"/>
            </w14:solidFill>
          </w14:textFill>
        </w:rPr>
        <w:t xml:space="preserve">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pStyle w:val="23"/>
        <w:spacing w:line="36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4"/>
        <w:numPr>
          <w:ilvl w:val="0"/>
          <w:numId w:val="0"/>
        </w:numPr>
        <w:jc w:val="both"/>
        <w:rPr>
          <w:rFonts w:hint="eastAsia"/>
          <w:color w:val="000000" w:themeColor="text1"/>
          <w:sz w:val="28"/>
          <w:szCs w:val="28"/>
          <w:highlight w:val="none"/>
          <w14:textFill>
            <w14:solidFill>
              <w14:schemeClr w14:val="tx1"/>
            </w14:solidFill>
          </w14:textFill>
        </w:rPr>
      </w:pPr>
      <w:bookmarkStart w:id="164" w:name="_Toc333238656"/>
      <w:bookmarkStart w:id="165" w:name="_Toc339020255"/>
      <w:bookmarkStart w:id="166" w:name="_Toc343247122"/>
      <w:bookmarkStart w:id="167" w:name="_Toc342312465"/>
      <w:bookmarkStart w:id="168" w:name="_Toc339019911"/>
      <w:bookmarkStart w:id="169" w:name="_Toc365985200"/>
      <w:bookmarkStart w:id="170" w:name="_Toc343612942"/>
      <w:bookmarkStart w:id="171" w:name="_Toc350756472"/>
      <w:bookmarkStart w:id="172" w:name="_Toc342060397"/>
      <w:bookmarkStart w:id="173" w:name="_Toc78816017"/>
      <w:bookmarkStart w:id="174" w:name="_Toc333935709"/>
      <w:bookmarkStart w:id="175" w:name="_Toc340677092"/>
      <w:bookmarkStart w:id="176" w:name="_Toc342296783"/>
      <w:bookmarkStart w:id="177" w:name="_Toc336681602"/>
      <w:bookmarkStart w:id="178" w:name="_Toc342398152"/>
      <w:bookmarkStart w:id="179" w:name="_Toc337632380"/>
      <w:bookmarkStart w:id="180" w:name="_Toc331684064"/>
      <w:bookmarkStart w:id="181" w:name="_Toc332206731"/>
      <w:bookmarkStart w:id="182" w:name="_Toc340672891"/>
      <w:bookmarkStart w:id="183" w:name="_Toc350438771"/>
      <w:bookmarkStart w:id="184" w:name="_Toc339362322"/>
      <w:bookmarkStart w:id="185" w:name="_Toc333935368"/>
      <w:bookmarkStart w:id="186" w:name="_Toc340507464"/>
      <w:bookmarkStart w:id="187" w:name="_Toc333237700"/>
      <w:bookmarkStart w:id="188" w:name="_Toc343248440"/>
      <w:bookmarkStart w:id="189" w:name="_Toc330460008"/>
      <w:bookmarkStart w:id="190" w:name="_Toc331512923"/>
      <w:bookmarkStart w:id="191" w:name="_Toc345312619"/>
      <w:bookmarkStart w:id="192" w:name="_Toc366072551"/>
      <w:bookmarkStart w:id="193" w:name="_Toc333237811"/>
      <w:bookmarkStart w:id="194" w:name="_Toc332270369"/>
      <w:bookmarkStart w:id="195" w:name="_Toc336681957"/>
      <w:bookmarkStart w:id="196" w:name="_Toc341348362"/>
      <w:bookmarkStart w:id="197" w:name="_Toc339441109"/>
      <w:bookmarkStart w:id="198" w:name="_Toc365967094"/>
      <w:bookmarkStart w:id="199" w:name="_Toc339020037"/>
      <w:bookmarkStart w:id="200" w:name="_Toc339020117"/>
      <w:bookmarkStart w:id="201" w:name="_Toc438589238"/>
      <w:bookmarkStart w:id="202" w:name="_Toc427330699"/>
    </w:p>
    <w:p>
      <w:pPr>
        <w:rPr>
          <w:rFonts w:hint="eastAsia"/>
          <w:color w:val="000000" w:themeColor="text1"/>
          <w:sz w:val="28"/>
          <w:szCs w:val="28"/>
          <w:highlight w:val="none"/>
          <w14:textFill>
            <w14:solidFill>
              <w14:schemeClr w14:val="tx1"/>
            </w14:solidFill>
          </w14:textFill>
        </w:rPr>
      </w:pPr>
    </w:p>
    <w:p>
      <w:pPr>
        <w:pStyle w:val="4"/>
        <w:numPr>
          <w:ilvl w:val="0"/>
          <w:numId w:val="0"/>
        </w:numPr>
        <w:jc w:val="center"/>
        <w:rPr>
          <w:color w:val="000000" w:themeColor="text1"/>
          <w:sz w:val="28"/>
          <w:szCs w:val="28"/>
          <w:highlight w:val="none"/>
          <w14:textFill>
            <w14:solidFill>
              <w14:schemeClr w14:val="tx1"/>
            </w14:solidFill>
          </w14:textFill>
        </w:rPr>
      </w:pPr>
      <w:bookmarkStart w:id="203" w:name="_Toc199"/>
      <w:r>
        <w:rPr>
          <w:rFonts w:hint="eastAsia"/>
          <w:color w:val="000000" w:themeColor="text1"/>
          <w:sz w:val="28"/>
          <w:szCs w:val="28"/>
          <w:highlight w:val="none"/>
          <w14:textFill>
            <w14:solidFill>
              <w14:schemeClr w14:val="tx1"/>
            </w14:solidFill>
          </w14:textFill>
        </w:rPr>
        <w:t>附件二：</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color w:val="000000" w:themeColor="text1"/>
          <w:sz w:val="28"/>
          <w:szCs w:val="28"/>
          <w:highlight w:val="none"/>
          <w14:textFill>
            <w14:solidFill>
              <w14:schemeClr w14:val="tx1"/>
            </w14:solidFill>
          </w14:textFill>
        </w:rPr>
        <w:t>承诺书</w:t>
      </w:r>
      <w:bookmarkEnd w:id="201"/>
      <w:bookmarkEnd w:id="202"/>
      <w:bookmarkEnd w:id="203"/>
    </w:p>
    <w:p>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14:textFill>
            <w14:solidFill>
              <w14:schemeClr w14:val="tx1"/>
            </w14:solidFill>
          </w14:textFill>
        </w:rPr>
        <w:t xml:space="preserve">                                </w:t>
      </w:r>
    </w:p>
    <w:p>
      <w:pPr>
        <w:spacing w:line="500" w:lineRule="exact"/>
        <w:ind w:firstLine="420" w:firstLineChars="200"/>
        <w:rPr>
          <w:rFonts w:ascii="宋体" w:hAnsi="宋体"/>
          <w:color w:val="000000" w:themeColor="text1"/>
          <w:szCs w:val="21"/>
          <w:highlight w:val="none"/>
          <w14:textFill>
            <w14:solidFill>
              <w14:schemeClr w14:val="tx1"/>
            </w14:solidFill>
          </w14:textFill>
        </w:rPr>
      </w:pPr>
    </w:p>
    <w:p>
      <w:pPr>
        <w:spacing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为满足</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(项目编号:             )</w:t>
      </w:r>
      <w:r>
        <w:rPr>
          <w:rFonts w:hint="eastAsia" w:ascii="宋体" w:hAnsi="宋体"/>
          <w:color w:val="000000" w:themeColor="text1"/>
          <w:szCs w:val="21"/>
          <w:highlight w:val="none"/>
          <w14:textFill>
            <w14:solidFill>
              <w14:schemeClr w14:val="tx1"/>
            </w14:solidFill>
          </w14:textFill>
        </w:rPr>
        <w:t>的要求，我方</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（供应商全称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在此承诺所提供的投标材料均为真实的，否则，愿意承担相应的法律责任和赔偿经济损失。</w:t>
      </w:r>
    </w:p>
    <w:p>
      <w:pPr>
        <w:spacing w:line="440" w:lineRule="exact"/>
        <w:ind w:firstLine="420" w:firstLineChars="200"/>
        <w:rPr>
          <w:rFonts w:ascii="宋体" w:hAnsi="宋体"/>
          <w:color w:val="000000" w:themeColor="text1"/>
          <w:szCs w:val="2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w:t>
      </w:r>
      <w:r>
        <w:rPr>
          <w:rFonts w:hint="eastAsia" w:ascii="宋体" w:hAnsi="宋体"/>
          <w:bCs/>
          <w:color w:val="000000" w:themeColor="text1"/>
          <w:highlight w:val="none"/>
          <w:lang w:eastAsia="zh-CN"/>
          <w14:textFill>
            <w14:solidFill>
              <w14:schemeClr w14:val="tx1"/>
            </w14:solidFill>
          </w14:textFill>
        </w:rPr>
        <w:t>法定代表人（负责人）</w:t>
      </w:r>
      <w:r>
        <w:rPr>
          <w:rFonts w:hint="eastAsia" w:ascii="宋体" w:hAnsi="宋体"/>
          <w:bCs/>
          <w:color w:val="000000" w:themeColor="text1"/>
          <w:highlight w:val="none"/>
          <w14:textFill>
            <w14:solidFill>
              <w14:schemeClr w14:val="tx1"/>
            </w14:solidFill>
          </w14:textFill>
        </w:rPr>
        <w:t>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4"/>
        <w:numPr>
          <w:ilvl w:val="0"/>
          <w:numId w:val="0"/>
        </w:numPr>
        <w:jc w:val="center"/>
        <w:rPr>
          <w:color w:val="000000" w:themeColor="text1"/>
          <w:sz w:val="28"/>
          <w:szCs w:val="28"/>
          <w:highlight w:val="none"/>
          <w14:textFill>
            <w14:solidFill>
              <w14:schemeClr w14:val="tx1"/>
            </w14:solidFill>
          </w14:textFill>
        </w:rPr>
      </w:pPr>
      <w:bookmarkStart w:id="204" w:name="_Toc200414526"/>
      <w:bookmarkStart w:id="205" w:name="_Toc31923"/>
      <w:r>
        <w:rPr>
          <w:rFonts w:hint="eastAsia"/>
          <w:color w:val="000000" w:themeColor="text1"/>
          <w:sz w:val="28"/>
          <w:szCs w:val="28"/>
          <w:highlight w:val="none"/>
          <w14:textFill>
            <w14:solidFill>
              <w14:schemeClr w14:val="tx1"/>
            </w14:solidFill>
          </w14:textFill>
        </w:rPr>
        <w:t>附件三：报价一览表</w:t>
      </w:r>
      <w:bookmarkEnd w:id="204"/>
      <w:bookmarkEnd w:id="205"/>
    </w:p>
    <w:p>
      <w:pPr>
        <w:adjustRightInd w:val="0"/>
        <w:snapToGrid w:val="0"/>
        <w:spacing w:line="360" w:lineRule="auto"/>
        <w:jc w:val="left"/>
        <w:rPr>
          <w:rFonts w:ascii="宋体" w:hAnsi="宋体"/>
          <w:b/>
          <w:bCs/>
          <w:cap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YXZB-20230223</w:t>
      </w:r>
      <w:r>
        <w:rPr>
          <w:rFonts w:hint="eastAsia" w:ascii="宋体" w:hAnsi="宋体"/>
          <w:b/>
          <w:bCs/>
          <w:caps/>
          <w:color w:val="000000" w:themeColor="text1"/>
          <w:szCs w:val="21"/>
          <w:highlight w:val="none"/>
          <w:u w:val="none"/>
          <w14:textFill>
            <w14:solidFill>
              <w14:schemeClr w14:val="tx1"/>
            </w14:solidFill>
          </w14:textFill>
        </w:rPr>
        <w:t xml:space="preserve">  </w:t>
      </w:r>
      <w:r>
        <w:rPr>
          <w:rFonts w:hint="eastAsia" w:ascii="宋体" w:hAnsi="宋体"/>
          <w:b/>
          <w:bCs/>
          <w:caps/>
          <w:color w:val="000000" w:themeColor="text1"/>
          <w:szCs w:val="21"/>
          <w:highlight w:val="none"/>
          <w:u w:val="none"/>
          <w:lang w:val="en-US" w:eastAsia="zh-CN"/>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阳西县2023-2024年度党政机关和事业单位会议定点场所采购项目</w:t>
      </w:r>
      <w:r>
        <w:rPr>
          <w:rFonts w:hint="eastAsia" w:ascii="宋体" w:hAnsi="宋体"/>
          <w:color w:val="000000" w:themeColor="text1"/>
          <w:spacing w:val="10"/>
          <w:szCs w:val="21"/>
          <w:highlight w:val="none"/>
          <w14:textFill>
            <w14:solidFill>
              <w14:schemeClr w14:val="tx1"/>
            </w14:solidFill>
          </w14:textFill>
        </w:rPr>
        <w:t xml:space="preserve"> </w:t>
      </w:r>
    </w:p>
    <w:tbl>
      <w:tblPr>
        <w:tblStyle w:val="44"/>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折扣率（%）</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4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5"/>
        </w:numPr>
        <w:tabs>
          <w:tab w:val="left" w:pos="845"/>
        </w:tabs>
        <w:spacing w:line="460" w:lineRule="exact"/>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5"/>
        </w:numPr>
        <w:tabs>
          <w:tab w:val="left" w:pos="845"/>
        </w:tabs>
        <w:spacing w:line="46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所投项目的内容必须填写完整。</w:t>
      </w:r>
    </w:p>
    <w:p>
      <w:pPr>
        <w:numPr>
          <w:ilvl w:val="0"/>
          <w:numId w:val="15"/>
        </w:numPr>
        <w:tabs>
          <w:tab w:val="left" w:pos="845"/>
        </w:tabs>
        <w:spacing w:line="460" w:lineRule="exact"/>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46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w:t>
      </w:r>
      <w:r>
        <w:rPr>
          <w:rFonts w:hint="eastAsia" w:ascii="宋体" w:hAnsi="宋体"/>
          <w:bCs/>
          <w:color w:val="000000" w:themeColor="text1"/>
          <w:szCs w:val="21"/>
          <w:highlight w:val="none"/>
          <w:lang w:eastAsia="zh-CN"/>
          <w14:textFill>
            <w14:solidFill>
              <w14:schemeClr w14:val="tx1"/>
            </w14:solidFill>
          </w14:textFill>
        </w:rPr>
        <w:t>法定代表人（负责人）</w:t>
      </w:r>
      <w:r>
        <w:rPr>
          <w:rFonts w:hint="eastAsia" w:ascii="宋体" w:hAnsi="宋体"/>
          <w:bCs/>
          <w:color w:val="000000" w:themeColor="text1"/>
          <w:szCs w:val="21"/>
          <w:highlight w:val="none"/>
          <w14:textFill>
            <w14:solidFill>
              <w14:schemeClr w14:val="tx1"/>
            </w14:solidFill>
          </w14:textFill>
        </w:rPr>
        <w:t xml:space="preserve">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widowControl/>
        <w:adjustRightInd w:val="0"/>
        <w:snapToGrid w:val="0"/>
        <w:spacing w:line="460" w:lineRule="exact"/>
        <w:rPr>
          <w:rFonts w:ascii="宋体" w:hAnsi="宋体"/>
          <w:bCs/>
          <w:color w:val="000000" w:themeColor="text1"/>
          <w:highlight w:val="none"/>
          <w:u w:val="singl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0"/>
          <w:numId w:val="0"/>
        </w:numPr>
        <w:jc w:val="center"/>
        <w:rPr>
          <w:rFonts w:hint="eastAsia"/>
          <w:color w:val="000000" w:themeColor="text1"/>
          <w:sz w:val="28"/>
          <w:szCs w:val="28"/>
          <w:highlight w:val="none"/>
          <w14:textFill>
            <w14:solidFill>
              <w14:schemeClr w14:val="tx1"/>
            </w14:solidFill>
          </w14:textFill>
        </w:rPr>
      </w:pPr>
      <w:bookmarkStart w:id="206" w:name="_Toc13287"/>
      <w:bookmarkStart w:id="207" w:name="_Toc200414528"/>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四</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谈判分项报价</w:t>
      </w:r>
      <w:r>
        <w:rPr>
          <w:color w:val="000000" w:themeColor="text1"/>
          <w:sz w:val="28"/>
          <w:szCs w:val="28"/>
          <w:highlight w:val="none"/>
          <w14:textFill>
            <w14:solidFill>
              <w14:schemeClr w14:val="tx1"/>
            </w14:solidFill>
          </w14:textFill>
        </w:rPr>
        <w:t>表</w:t>
      </w:r>
      <w:bookmarkEnd w:id="206"/>
    </w:p>
    <w:p>
      <w:pPr>
        <w:bidi w:val="0"/>
        <w:rPr>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pPr>
        <w:spacing w:line="360" w:lineRule="auto"/>
        <w:rPr>
          <w:rFonts w:hint="eastAsia"/>
          <w:color w:val="000000" w:themeColor="text1"/>
          <w:highlight w:val="none"/>
          <w14:textFill>
            <w14:solidFill>
              <w14:schemeClr w14:val="tx1"/>
            </w14:solidFill>
          </w14:textFill>
        </w:rPr>
      </w:pPr>
    </w:p>
    <w:tbl>
      <w:tblPr>
        <w:tblStyle w:val="44"/>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471"/>
        <w:gridCol w:w="837"/>
        <w:gridCol w:w="837"/>
        <w:gridCol w:w="837"/>
        <w:gridCol w:w="837"/>
        <w:gridCol w:w="837"/>
        <w:gridCol w:w="837"/>
        <w:gridCol w:w="837"/>
        <w:gridCol w:w="83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2512"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vMerge w:val="restart"/>
            <w:tcBorders>
              <w:top w:val="single" w:color="auto" w:sz="4" w:space="0"/>
              <w:left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471" w:type="dxa"/>
            <w:vMerge w:val="restart"/>
            <w:tcBorders>
              <w:top w:val="single" w:color="auto" w:sz="4" w:space="0"/>
              <w:left w:val="single" w:color="auto" w:sz="4" w:space="0"/>
              <w:right w:val="single" w:color="auto" w:sz="4" w:space="0"/>
            </w:tcBorders>
            <w:vAlign w:val="center"/>
          </w:tcPr>
          <w:p>
            <w:pPr>
              <w:pStyle w:val="5"/>
              <w:snapToGrid w:val="0"/>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类会议</w:t>
            </w:r>
          </w:p>
        </w:tc>
        <w:tc>
          <w:tcPr>
            <w:tcW w:w="2512"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类会议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01"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471"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2</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服务</w:t>
            </w:r>
            <w:r>
              <w:rPr>
                <w:rFonts w:hint="eastAsia" w:hAnsi="宋体" w:cs="宋体"/>
                <w:color w:val="000000" w:themeColor="text1"/>
                <w:sz w:val="21"/>
                <w:szCs w:val="21"/>
                <w:highlight w:val="none"/>
                <w14:textFill>
                  <w14:solidFill>
                    <w14:schemeClr w14:val="tx1"/>
                  </w14:solidFill>
                </w14:textFill>
              </w:rPr>
              <w:t>时间</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3</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报价折扣率（%）</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4</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备注</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bl>
    <w:p>
      <w:pPr>
        <w:spacing w:line="360" w:lineRule="auto"/>
        <w:rPr>
          <w:rFonts w:hint="eastAsia"/>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r>
        <w:rPr>
          <w:rFonts w:hint="eastAsia" w:ascii="宋体" w:hAnsi="宋体"/>
          <w:color w:val="000000" w:themeColor="text1"/>
          <w:highlight w:val="none"/>
          <w14:textFill>
            <w14:solidFill>
              <w14:schemeClr w14:val="tx1"/>
            </w14:solidFill>
          </w14:textFill>
        </w:rPr>
        <w:t>1、如本表格式内容不能满足需要，供应商可自行划表填写，但必须体现以上内容。</w:t>
      </w:r>
    </w:p>
    <w:p>
      <w:pPr>
        <w:rPr>
          <w:rFonts w:hint="eastAsia"/>
          <w:color w:val="000000" w:themeColor="text1"/>
          <w:sz w:val="28"/>
          <w:szCs w:val="28"/>
          <w:highlight w:val="none"/>
          <w14:textFill>
            <w14:solidFill>
              <w14:schemeClr w14:val="tx1"/>
            </w14:solidFill>
          </w14:textFill>
        </w:rPr>
      </w:pP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w:t>
      </w:r>
      <w:r>
        <w:rPr>
          <w:rFonts w:hint="eastAsia" w:ascii="宋体" w:hAnsi="宋体"/>
          <w:bCs/>
          <w:color w:val="000000" w:themeColor="text1"/>
          <w:szCs w:val="21"/>
          <w:highlight w:val="none"/>
          <w:lang w:eastAsia="zh-CN"/>
          <w14:textFill>
            <w14:solidFill>
              <w14:schemeClr w14:val="tx1"/>
            </w14:solidFill>
          </w14:textFill>
        </w:rPr>
        <w:t>法定代表人（负责人）</w:t>
      </w:r>
      <w:r>
        <w:rPr>
          <w:rFonts w:hint="eastAsia" w:ascii="宋体" w:hAnsi="宋体"/>
          <w:bCs/>
          <w:color w:val="000000" w:themeColor="text1"/>
          <w:szCs w:val="21"/>
          <w:highlight w:val="none"/>
          <w14:textFill>
            <w14:solidFill>
              <w14:schemeClr w14:val="tx1"/>
            </w14:solidFill>
          </w14:textFill>
        </w:rPr>
        <w:t xml:space="preserve">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p>
    <w:p>
      <w:pPr>
        <w:pStyle w:val="4"/>
        <w:numPr>
          <w:ilvl w:val="0"/>
          <w:numId w:val="0"/>
        </w:numPr>
        <w:jc w:val="center"/>
        <w:rPr>
          <w:color w:val="000000" w:themeColor="text1"/>
          <w:sz w:val="28"/>
          <w:szCs w:val="28"/>
          <w:highlight w:val="none"/>
          <w14:textFill>
            <w14:solidFill>
              <w14:schemeClr w14:val="tx1"/>
            </w14:solidFill>
          </w14:textFill>
        </w:rPr>
      </w:pPr>
      <w:bookmarkStart w:id="208" w:name="_Toc5966"/>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五</w:t>
      </w:r>
      <w:r>
        <w:rPr>
          <w:rFonts w:hint="eastAsia"/>
          <w:color w:val="000000" w:themeColor="text1"/>
          <w:sz w:val="28"/>
          <w:szCs w:val="28"/>
          <w:highlight w:val="none"/>
          <w14:textFill>
            <w14:solidFill>
              <w14:schemeClr w14:val="tx1"/>
            </w14:solidFill>
          </w14:textFill>
        </w:rPr>
        <w:t>：商务条款偏离一览表</w:t>
      </w:r>
      <w:bookmarkEnd w:id="207"/>
      <w:bookmarkEnd w:id="208"/>
    </w:p>
    <w:p>
      <w:pPr>
        <w:adjustRightInd w:val="0"/>
        <w:snapToGrid w:val="0"/>
        <w:spacing w:line="360" w:lineRule="auto"/>
        <w:jc w:val="left"/>
        <w:rPr>
          <w:rFonts w:hint="default" w:ascii="宋体" w:hAnsi="宋体" w:eastAsia="宋体"/>
          <w:b/>
          <w:bCs/>
          <w:caps/>
          <w:color w:val="000000" w:themeColor="text1"/>
          <w:szCs w:val="21"/>
          <w:highlight w:val="none"/>
          <w:u w:val="none"/>
          <w:lang w:val="en-US"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YXZB-20230223</w:t>
      </w:r>
      <w:r>
        <w:rPr>
          <w:rFonts w:hint="eastAsia" w:ascii="宋体" w:hAnsi="宋体"/>
          <w:b/>
          <w:bCs/>
          <w:caps/>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szCs w:val="21"/>
          <w:highlight w:val="none"/>
          <w:u w:val="none"/>
          <w:lang w:val="en-US" w:eastAsia="zh-CN"/>
          <w14:textFill>
            <w14:solidFill>
              <w14:schemeClr w14:val="tx1"/>
            </w14:solidFill>
          </w14:textFill>
        </w:rPr>
        <w:t xml:space="preserve">                   </w:t>
      </w:r>
    </w:p>
    <w:p>
      <w:pPr>
        <w:adjustRightInd w:val="0"/>
        <w:snapToGrid w:val="0"/>
        <w:spacing w:line="360" w:lineRule="auto"/>
        <w:jc w:val="left"/>
        <w:rPr>
          <w:rFonts w:hint="eastAsia" w:ascii="宋体" w:hAnsi="宋体" w:eastAsia="宋体"/>
          <w:color w:val="000000" w:themeColor="text1"/>
          <w:spacing w:val="10"/>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阳西县2023-2024年度党政机关和事业单位会议定点场所采购项目</w:t>
      </w:r>
    </w:p>
    <w:tbl>
      <w:tblPr>
        <w:tblStyle w:val="44"/>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说明：1）对“偏离”一栏，填写“无偏离、负偏离、正偏离”；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w:t>
      </w:r>
      <w:r>
        <w:rPr>
          <w:rFonts w:hint="eastAsia" w:ascii="宋体" w:hAnsi="宋体"/>
          <w:bCs/>
          <w:color w:val="000000" w:themeColor="text1"/>
          <w:szCs w:val="21"/>
          <w:highlight w:val="none"/>
          <w:lang w:eastAsia="zh-CN"/>
          <w14:textFill>
            <w14:solidFill>
              <w14:schemeClr w14:val="tx1"/>
            </w14:solidFill>
          </w14:textFill>
        </w:rPr>
        <w:t>法定代表人（负责人）</w:t>
      </w:r>
      <w:r>
        <w:rPr>
          <w:rFonts w:hint="eastAsia" w:ascii="宋体" w:hAnsi="宋体"/>
          <w:bCs/>
          <w:color w:val="000000" w:themeColor="text1"/>
          <w:szCs w:val="21"/>
          <w:highlight w:val="none"/>
          <w14:textFill>
            <w14:solidFill>
              <w14:schemeClr w14:val="tx1"/>
            </w14:solidFill>
          </w14:textFill>
        </w:rPr>
        <w:t>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pPr>
        <w:pStyle w:val="4"/>
        <w:numPr>
          <w:ilvl w:val="0"/>
          <w:numId w:val="0"/>
        </w:numPr>
        <w:jc w:val="center"/>
        <w:rPr>
          <w:color w:val="000000" w:themeColor="text1"/>
          <w:sz w:val="28"/>
          <w:szCs w:val="28"/>
          <w:highlight w:val="none"/>
          <w14:textFill>
            <w14:solidFill>
              <w14:schemeClr w14:val="tx1"/>
            </w14:solidFill>
          </w14:textFill>
        </w:rPr>
      </w:pPr>
      <w:bookmarkStart w:id="209" w:name="_Toc200414529"/>
      <w:bookmarkStart w:id="210" w:name="_Toc29761"/>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六</w:t>
      </w:r>
      <w:r>
        <w:rPr>
          <w:rFonts w:hint="eastAsia"/>
          <w:color w:val="000000" w:themeColor="text1"/>
          <w:sz w:val="28"/>
          <w:szCs w:val="28"/>
          <w:highlight w:val="none"/>
          <w14:textFill>
            <w14:solidFill>
              <w14:schemeClr w14:val="tx1"/>
            </w14:solidFill>
          </w14:textFill>
        </w:rPr>
        <w:t>：技术条款偏离一览表</w:t>
      </w:r>
      <w:bookmarkEnd w:id="209"/>
      <w:bookmarkEnd w:id="210"/>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YXZB-20230223</w:t>
      </w:r>
      <w:r>
        <w:rPr>
          <w:rFonts w:hint="eastAsia" w:ascii="宋体" w:hAnsi="宋体"/>
          <w:b/>
          <w:bCs/>
          <w:color w:val="000000" w:themeColor="text1"/>
          <w:szCs w:val="21"/>
          <w:highlight w:val="none"/>
          <w:u w:val="single"/>
          <w:lang w:val="en-US" w:eastAsia="zh-CN"/>
          <w14:textFill>
            <w14:solidFill>
              <w14:schemeClr w14:val="tx1"/>
            </w14:solidFill>
          </w14:textFill>
        </w:rPr>
        <w:t xml:space="preserve"> </w:t>
      </w:r>
      <w:r>
        <w:rPr>
          <w:rFonts w:hint="eastAsia" w:ascii="宋体" w:hAnsi="宋体"/>
          <w:b/>
          <w:bCs/>
          <w:color w:val="000000" w:themeColor="text1"/>
          <w:szCs w:val="21"/>
          <w:highlight w:val="none"/>
          <w:u w:val="none"/>
          <w:lang w:val="en-US" w:eastAsia="zh-CN"/>
          <w14:textFill>
            <w14:solidFill>
              <w14:schemeClr w14:val="tx1"/>
            </w14:solidFill>
          </w14:textFill>
        </w:rPr>
        <w:t xml:space="preserve">                    </w:t>
      </w:r>
      <w:r>
        <w:rPr>
          <w:rFonts w:hint="eastAsia" w:ascii="宋体" w:hAnsi="宋体"/>
          <w:color w:val="000000" w:themeColor="text1"/>
          <w:szCs w:val="21"/>
          <w:highlight w:val="none"/>
          <w:u w:val="none"/>
          <w14:textFill>
            <w14:solidFill>
              <w14:schemeClr w14:val="tx1"/>
            </w14:solidFill>
          </w14:textFill>
        </w:rPr>
        <w:t xml:space="preserve"> </w:t>
      </w: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阳西县2023-2024年度党政机关和事业单位会议定点场所采购项目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44"/>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说明：1）对“偏离”一栏，填写“无偏离、负偏离、正偏离”；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w:t>
      </w:r>
    </w:p>
    <w:p>
      <w:pPr>
        <w:adjustRightInd w:val="0"/>
        <w:snapToGrid w:val="0"/>
        <w:spacing w:line="360" w:lineRule="auto"/>
        <w:ind w:left="-271" w:leftChars="-129"/>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w:t>
      </w:r>
      <w:r>
        <w:rPr>
          <w:rFonts w:hint="eastAsia" w:ascii="宋体" w:hAnsi="宋体"/>
          <w:bCs/>
          <w:color w:val="000000" w:themeColor="text1"/>
          <w:szCs w:val="21"/>
          <w:highlight w:val="none"/>
          <w:lang w:eastAsia="zh-CN"/>
          <w14:textFill>
            <w14:solidFill>
              <w14:schemeClr w14:val="tx1"/>
            </w14:solidFill>
          </w14:textFill>
        </w:rPr>
        <w:t>法定代表人（负责人）</w:t>
      </w:r>
      <w:r>
        <w:rPr>
          <w:rFonts w:hint="eastAsia" w:ascii="宋体" w:hAnsi="宋体"/>
          <w:bCs/>
          <w:color w:val="000000" w:themeColor="text1"/>
          <w:szCs w:val="21"/>
          <w:highlight w:val="none"/>
          <w14:textFill>
            <w14:solidFill>
              <w14:schemeClr w14:val="tx1"/>
            </w14:solidFill>
          </w14:textFill>
        </w:rPr>
        <w:t>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2" w:type="default"/>
          <w:pgSz w:w="11906" w:h="16838"/>
          <w:pgMar w:top="1418" w:right="1474" w:bottom="1418" w:left="1474" w:header="851" w:footer="851" w:gutter="0"/>
          <w:cols w:space="425" w:num="1"/>
          <w:titlePg/>
          <w:docGrid w:linePitch="312" w:charSpace="0"/>
        </w:sectPr>
      </w:pPr>
    </w:p>
    <w:p>
      <w:pPr>
        <w:pStyle w:val="4"/>
        <w:numPr>
          <w:ilvl w:val="0"/>
          <w:numId w:val="0"/>
        </w:numPr>
        <w:spacing w:line="400" w:lineRule="exact"/>
        <w:jc w:val="center"/>
        <w:rPr>
          <w:color w:val="000000" w:themeColor="text1"/>
          <w:sz w:val="28"/>
          <w:szCs w:val="28"/>
          <w:highlight w:val="none"/>
          <w14:textFill>
            <w14:solidFill>
              <w14:schemeClr w14:val="tx1"/>
            </w14:solidFill>
          </w14:textFill>
        </w:rPr>
      </w:pPr>
      <w:bookmarkStart w:id="211" w:name="_Toc333935713"/>
      <w:bookmarkStart w:id="212" w:name="_Toc332270373"/>
      <w:bookmarkStart w:id="213" w:name="_Toc337632384"/>
      <w:bookmarkStart w:id="214" w:name="_Toc345312623"/>
      <w:bookmarkStart w:id="215" w:name="_Toc339019915"/>
      <w:bookmarkStart w:id="216" w:name="_Toc343247126"/>
      <w:bookmarkStart w:id="217" w:name="_Toc438589241"/>
      <w:bookmarkStart w:id="218" w:name="_Toc340672895"/>
      <w:bookmarkStart w:id="219" w:name="_Toc342296787"/>
      <w:bookmarkStart w:id="220" w:name="_Toc343248444"/>
      <w:bookmarkStart w:id="221" w:name="_Toc350438775"/>
      <w:bookmarkStart w:id="222" w:name="_Toc339362326"/>
      <w:bookmarkStart w:id="223" w:name="_Toc366072555"/>
      <w:bookmarkStart w:id="224" w:name="_Toc331512927"/>
      <w:bookmarkStart w:id="225" w:name="_Toc339020259"/>
      <w:bookmarkStart w:id="226" w:name="_Toc339020121"/>
      <w:bookmarkStart w:id="227" w:name="_Toc336681606"/>
      <w:bookmarkStart w:id="228" w:name="_Toc331684068"/>
      <w:bookmarkStart w:id="229" w:name="_Toc332206735"/>
      <w:bookmarkStart w:id="230" w:name="_Toc333238660"/>
      <w:bookmarkStart w:id="231" w:name="_Toc342060401"/>
      <w:bookmarkStart w:id="232" w:name="_Toc333935372"/>
      <w:bookmarkStart w:id="233" w:name="_Toc365985204"/>
      <w:bookmarkStart w:id="234" w:name="_Toc340677096"/>
      <w:bookmarkStart w:id="235" w:name="_Toc340507468"/>
      <w:bookmarkStart w:id="236" w:name="_Toc343612946"/>
      <w:bookmarkStart w:id="237" w:name="_Toc336681961"/>
      <w:bookmarkStart w:id="238" w:name="_Toc350756476"/>
      <w:bookmarkStart w:id="239" w:name="_Toc427330702"/>
      <w:bookmarkStart w:id="240" w:name="_Toc339020041"/>
      <w:bookmarkStart w:id="241" w:name="_Toc330460012"/>
      <w:bookmarkStart w:id="242" w:name="_Toc341348366"/>
      <w:bookmarkStart w:id="243" w:name="_Toc342312469"/>
      <w:bookmarkStart w:id="244" w:name="_Toc339441113"/>
      <w:bookmarkStart w:id="245" w:name="_Toc342398156"/>
      <w:bookmarkStart w:id="246" w:name="_Toc333237704"/>
      <w:bookmarkStart w:id="247" w:name="_Toc365967098"/>
      <w:bookmarkStart w:id="248" w:name="_Toc333237815"/>
      <w:bookmarkStart w:id="249" w:name="_Toc8547"/>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七</w:t>
      </w:r>
      <w:r>
        <w:rPr>
          <w:rFonts w:hint="eastAsia"/>
          <w:color w:val="000000" w:themeColor="text1"/>
          <w:sz w:val="28"/>
          <w:szCs w:val="28"/>
          <w:highlight w:val="none"/>
          <w14:textFill>
            <w14:solidFill>
              <w14:schemeClr w14:val="tx1"/>
            </w14:solidFill>
          </w14:textFill>
        </w:rPr>
        <w: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color w:val="000000" w:themeColor="text1"/>
          <w:sz w:val="28"/>
          <w:szCs w:val="28"/>
          <w:highlight w:val="none"/>
          <w14:textFill>
            <w14:solidFill>
              <w14:schemeClr w14:val="tx1"/>
            </w14:solidFill>
          </w14:textFill>
        </w:rPr>
        <w:t>项目实施方案</w:t>
      </w:r>
      <w:bookmarkEnd w:id="249"/>
    </w:p>
    <w:p>
      <w:pPr>
        <w:adjustRightInd w:val="0"/>
        <w:snapToGrid w:val="0"/>
        <w:spacing w:line="360" w:lineRule="auto"/>
        <w:ind w:left="1054" w:hanging="1054" w:hangingChars="500"/>
        <w:jc w:val="left"/>
        <w:rPr>
          <w:rFonts w:hint="default" w:ascii="宋体" w:hAnsi="宋体" w:eastAsia="宋体"/>
          <w:b/>
          <w:bCs/>
          <w:caps/>
          <w:color w:val="000000" w:themeColor="text1"/>
          <w:highlight w:val="none"/>
          <w:u w:val="none"/>
          <w:lang w:val="en-US" w:eastAsia="zh-CN"/>
          <w14:textFill>
            <w14:solidFill>
              <w14:schemeClr w14:val="tx1"/>
            </w14:solidFill>
          </w14:textFill>
        </w:rPr>
      </w:pPr>
      <w:r>
        <w:rPr>
          <w:rFonts w:hint="eastAsia" w:ascii="宋体" w:hAnsi="宋体"/>
          <w:b/>
          <w:bCs/>
          <w:caps/>
          <w:color w:val="000000" w:themeColor="text1"/>
          <w:highlight w:val="none"/>
          <w:u w:val="none"/>
          <w14:textFill>
            <w14:solidFill>
              <w14:schemeClr w14:val="tx1"/>
            </w14:solidFill>
          </w14:textFill>
        </w:rPr>
        <w:t>项目编号：</w:t>
      </w:r>
      <w:r>
        <w:rPr>
          <w:rFonts w:hint="eastAsia" w:ascii="宋体" w:hAnsi="宋体"/>
          <w:b/>
          <w:bCs/>
          <w:caps/>
          <w:color w:val="000000" w:themeColor="text1"/>
          <w:highlight w:val="none"/>
          <w:u w:val="single"/>
          <w:lang w:eastAsia="zh-CN"/>
          <w14:textFill>
            <w14:solidFill>
              <w14:schemeClr w14:val="tx1"/>
            </w14:solidFill>
          </w14:textFill>
        </w:rPr>
        <w:t>YXZB-20230223</w:t>
      </w:r>
      <w:r>
        <w:rPr>
          <w:rFonts w:hint="eastAsia" w:ascii="宋体" w:hAnsi="宋体"/>
          <w:b/>
          <w:bCs/>
          <w:caps/>
          <w:color w:val="000000" w:themeColor="text1"/>
          <w:highlight w:val="none"/>
          <w:u w:val="none"/>
          <w14:textFill>
            <w14:solidFill>
              <w14:schemeClr w14:val="tx1"/>
            </w14:solidFill>
          </w14:textFill>
        </w:rPr>
        <w:t xml:space="preserve"> </w:t>
      </w:r>
      <w:r>
        <w:rPr>
          <w:rFonts w:hint="eastAsia" w:ascii="宋体" w:hAnsi="宋体"/>
          <w:b/>
          <w:bCs/>
          <w:caps/>
          <w:color w:val="000000" w:themeColor="text1"/>
          <w:highlight w:val="none"/>
          <w:u w:val="none"/>
          <w:lang w:val="en-US" w:eastAsia="zh-CN"/>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
          <w:bCs/>
          <w:caps/>
          <w:color w:val="000000" w:themeColor="text1"/>
          <w:highlight w:val="none"/>
          <w:u w:val="none"/>
          <w14:textFill>
            <w14:solidFill>
              <w14:schemeClr w14:val="tx1"/>
            </w14:solidFill>
          </w14:textFill>
        </w:rPr>
        <w:t>项目名称：</w:t>
      </w:r>
      <w:r>
        <w:rPr>
          <w:rFonts w:hint="eastAsia" w:ascii="宋体" w:hAnsi="宋体"/>
          <w:b/>
          <w:bCs/>
          <w:caps/>
          <w:color w:val="000000" w:themeColor="text1"/>
          <w:highlight w:val="none"/>
          <w:u w:val="single"/>
          <w:lang w:eastAsia="zh-CN"/>
          <w14:textFill>
            <w14:solidFill>
              <w14:schemeClr w14:val="tx1"/>
            </w14:solidFill>
          </w14:textFill>
        </w:rPr>
        <w:t>阳西县2023-2024年度党政机关和事业单位会议定点场所采购项目</w:t>
      </w:r>
      <w:r>
        <w:rPr>
          <w:rFonts w:hint="eastAsia" w:ascii="宋体" w:hAnsi="宋体"/>
          <w:b/>
          <w:bCs/>
          <w:caps/>
          <w:color w:val="000000" w:themeColor="text1"/>
          <w:highlight w:val="none"/>
          <w:u w:val="single"/>
          <w14:textFill>
            <w14:solidFill>
              <w14:schemeClr w14:val="tx1"/>
            </w14:solidFill>
          </w14:textFill>
        </w:rPr>
        <w:t xml:space="preserve"> </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w:t>
      </w:r>
      <w:r>
        <w:rPr>
          <w:rFonts w:hint="eastAsia" w:ascii="宋体" w:hAnsi="宋体"/>
          <w:bCs/>
          <w:color w:val="000000" w:themeColor="text1"/>
          <w:highlight w:val="none"/>
          <w:lang w:eastAsia="zh-CN"/>
          <w14:textFill>
            <w14:solidFill>
              <w14:schemeClr w14:val="tx1"/>
            </w14:solidFill>
          </w14:textFill>
        </w:rPr>
        <w:t>法定代表人（负责人）</w:t>
      </w:r>
      <w:r>
        <w:rPr>
          <w:rFonts w:hint="eastAsia" w:ascii="宋体" w:hAnsi="宋体"/>
          <w:bCs/>
          <w:color w:val="000000" w:themeColor="text1"/>
          <w:highlight w:val="none"/>
          <w14:textFill>
            <w14:solidFill>
              <w14:schemeClr w14:val="tx1"/>
            </w14:solidFill>
          </w14:textFill>
        </w:rPr>
        <w:t>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80" w:lineRule="auto"/>
        <w:rPr>
          <w:rFonts w:ascii="宋体" w:hAnsi="宋体"/>
          <w:bCs/>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4"/>
        <w:numPr>
          <w:ilvl w:val="0"/>
          <w:numId w:val="0"/>
        </w:numPr>
        <w:jc w:val="center"/>
        <w:rPr>
          <w:color w:val="000000" w:themeColor="text1"/>
          <w:sz w:val="28"/>
          <w:szCs w:val="28"/>
          <w:highlight w:val="none"/>
          <w14:textFill>
            <w14:solidFill>
              <w14:schemeClr w14:val="tx1"/>
            </w14:solidFill>
          </w14:textFill>
        </w:rPr>
      </w:pPr>
      <w:bookmarkStart w:id="250" w:name="_Toc450"/>
      <w:bookmarkStart w:id="251" w:name="_Toc200414533"/>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八</w:t>
      </w:r>
      <w:r>
        <w:rPr>
          <w:rFonts w:hint="eastAsia"/>
          <w:color w:val="000000" w:themeColor="text1"/>
          <w:sz w:val="28"/>
          <w:szCs w:val="28"/>
          <w:highlight w:val="none"/>
          <w14:textFill>
            <w14:solidFill>
              <w14:schemeClr w14:val="tx1"/>
            </w14:solidFill>
          </w14:textFill>
        </w:rPr>
        <w:t>：同类业绩一览表</w:t>
      </w:r>
      <w:bookmarkEnd w:id="250"/>
      <w:bookmarkEnd w:id="251"/>
    </w:p>
    <w:p>
      <w:pPr>
        <w:adjustRightInd w:val="0"/>
        <w:snapToGrid w:val="0"/>
        <w:spacing w:line="360" w:lineRule="auto"/>
        <w:jc w:val="left"/>
        <w:rPr>
          <w:rFonts w:hint="default" w:ascii="宋体" w:hAnsi="宋体" w:eastAsia="宋体"/>
          <w:b/>
          <w:bCs/>
          <w:caps/>
          <w:color w:val="000000" w:themeColor="text1"/>
          <w:szCs w:val="21"/>
          <w:highlight w:val="none"/>
          <w:u w:val="single"/>
          <w:lang w:val="en-US"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YXZB-20230223</w:t>
      </w:r>
      <w:r>
        <w:rPr>
          <w:rFonts w:hint="eastAsia" w:ascii="宋体" w:hAnsi="宋体"/>
          <w:b/>
          <w:bCs/>
          <w:caps/>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szCs w:val="21"/>
          <w:highlight w:val="none"/>
          <w:u w:val="none"/>
          <w14:textFill>
            <w14:solidFill>
              <w14:schemeClr w14:val="tx1"/>
            </w14:solidFill>
          </w14:textFill>
        </w:rPr>
        <w:t xml:space="preserve"> </w:t>
      </w:r>
      <w:r>
        <w:rPr>
          <w:rFonts w:hint="eastAsia" w:ascii="宋体" w:hAnsi="宋体"/>
          <w:b/>
          <w:bCs/>
          <w:caps/>
          <w:color w:val="000000" w:themeColor="text1"/>
          <w:szCs w:val="21"/>
          <w:highlight w:val="none"/>
          <w:u w:val="none"/>
          <w:lang w:val="en-US" w:eastAsia="zh-CN"/>
          <w14:textFill>
            <w14:solidFill>
              <w14:schemeClr w14:val="tx1"/>
            </w14:solidFill>
          </w14:textFill>
        </w:rPr>
        <w:t xml:space="preserve">                  </w:t>
      </w:r>
    </w:p>
    <w:p>
      <w:pPr>
        <w:adjustRightInd w:val="0"/>
        <w:snapToGrid w:val="0"/>
        <w:spacing w:line="360" w:lineRule="auto"/>
        <w:jc w:val="left"/>
        <w:rPr>
          <w:rFonts w:hint="eastAsia" w:ascii="宋体" w:hAnsi="宋体"/>
          <w:b/>
          <w:bCs/>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阳西县2023-2024年度党政机关和事业单位会议定点场所采购项目</w:t>
      </w:r>
    </w:p>
    <w:tbl>
      <w:tblPr>
        <w:tblStyle w:val="44"/>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19"/>
        <w:rPr>
          <w:rFonts w:hint="eastAsia"/>
          <w:color w:val="000000" w:themeColor="text1"/>
          <w:highlight w:val="none"/>
          <w:lang w:eastAsia="zh-CN"/>
          <w14:textFill>
            <w14:solidFill>
              <w14:schemeClr w14:val="tx1"/>
            </w14:solidFill>
          </w14:textFill>
        </w:rPr>
      </w:pPr>
    </w:p>
    <w:p>
      <w:pPr>
        <w:pStyle w:val="5"/>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5"/>
        <w:snapToGrid w:val="0"/>
        <w:spacing w:afterLines="50" w:line="360" w:lineRule="auto"/>
        <w:ind w:firstLineChars="200"/>
        <w:rPr>
          <w:rFonts w:hAnsi="宋体"/>
          <w:bCs/>
          <w:color w:val="000000" w:themeColor="text1"/>
          <w:highlight w:val="none"/>
          <w14:textFill>
            <w14:solidFill>
              <w14:schemeClr w14:val="tx1"/>
            </w14:solidFill>
          </w14:textFill>
        </w:rPr>
      </w:pPr>
    </w:p>
    <w:p>
      <w:pPr>
        <w:pStyle w:val="5"/>
        <w:snapToGrid w:val="0"/>
        <w:spacing w:afterLines="50" w:line="360" w:lineRule="auto"/>
        <w:ind w:firstLineChars="20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w:t>
      </w:r>
      <w:r>
        <w:rPr>
          <w:rFonts w:hint="eastAsia" w:ascii="宋体" w:hAnsi="宋体"/>
          <w:bCs/>
          <w:color w:val="000000" w:themeColor="text1"/>
          <w:highlight w:val="none"/>
          <w:lang w:eastAsia="zh-CN"/>
          <w14:textFill>
            <w14:solidFill>
              <w14:schemeClr w14:val="tx1"/>
            </w14:solidFill>
          </w14:textFill>
        </w:rPr>
        <w:t>法定代表人（负责人）</w:t>
      </w:r>
      <w:r>
        <w:rPr>
          <w:rFonts w:hint="eastAsia" w:ascii="宋体" w:hAnsi="宋体"/>
          <w:bCs/>
          <w:color w:val="000000" w:themeColor="text1"/>
          <w:highlight w:val="none"/>
          <w14:textFill>
            <w14:solidFill>
              <w14:schemeClr w14:val="tx1"/>
            </w14:solidFill>
          </w14:textFill>
        </w:rPr>
        <w:t xml:space="preserve">或授权代理人（签字）：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4"/>
        <w:numPr>
          <w:ilvl w:val="0"/>
          <w:numId w:val="0"/>
        </w:numPr>
        <w:jc w:val="center"/>
        <w:rPr>
          <w:color w:val="000000" w:themeColor="text1"/>
          <w:sz w:val="28"/>
          <w:szCs w:val="28"/>
          <w:highlight w:val="none"/>
          <w14:textFill>
            <w14:solidFill>
              <w14:schemeClr w14:val="tx1"/>
            </w14:solidFill>
          </w14:textFill>
        </w:rPr>
      </w:pPr>
      <w:bookmarkStart w:id="252" w:name="_Toc200414535"/>
      <w:bookmarkStart w:id="253" w:name="_Toc20039"/>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九</w:t>
      </w:r>
      <w:r>
        <w:rPr>
          <w:rFonts w:hint="eastAsia"/>
          <w:color w:val="000000" w:themeColor="text1"/>
          <w:sz w:val="28"/>
          <w:szCs w:val="28"/>
          <w:highlight w:val="none"/>
          <w14:textFill>
            <w14:solidFill>
              <w14:schemeClr w14:val="tx1"/>
            </w14:solidFill>
          </w14:textFill>
        </w:rPr>
        <w:t>：谈判供应商提交的其他资料</w:t>
      </w:r>
      <w:bookmarkEnd w:id="252"/>
      <w:bookmarkEnd w:id="253"/>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hint="default" w:ascii="宋体" w:hAnsi="宋体" w:eastAsia="宋体"/>
          <w:b/>
          <w:bCs/>
          <w:caps/>
          <w:color w:val="000000" w:themeColor="text1"/>
          <w:szCs w:val="21"/>
          <w:highlight w:val="none"/>
          <w:u w:val="single"/>
          <w:lang w:val="en-US"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YXZB-20230223</w:t>
      </w:r>
      <w:r>
        <w:rPr>
          <w:rFonts w:hint="eastAsia" w:ascii="宋体" w:hAnsi="宋体"/>
          <w:b/>
          <w:bCs/>
          <w:caps/>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szCs w:val="21"/>
          <w:highlight w:val="none"/>
          <w:u w:val="none"/>
          <w14:textFill>
            <w14:solidFill>
              <w14:schemeClr w14:val="tx1"/>
            </w14:solidFill>
          </w14:textFill>
        </w:rPr>
        <w:t xml:space="preserve"> </w:t>
      </w:r>
      <w:r>
        <w:rPr>
          <w:rFonts w:hint="eastAsia" w:ascii="宋体" w:hAnsi="宋体"/>
          <w:b/>
          <w:bCs/>
          <w:caps/>
          <w:color w:val="000000" w:themeColor="text1"/>
          <w:szCs w:val="21"/>
          <w:highlight w:val="none"/>
          <w:u w:val="none"/>
          <w:lang w:val="en-US" w:eastAsia="zh-CN"/>
          <w14:textFill>
            <w14:solidFill>
              <w14:schemeClr w14:val="tx1"/>
            </w14:solidFill>
          </w14:textFill>
        </w:rPr>
        <w:t xml:space="preserve">                   </w:t>
      </w:r>
    </w:p>
    <w:p>
      <w:pPr>
        <w:adjustRightInd w:val="0"/>
        <w:snapToGrid w:val="0"/>
        <w:spacing w:line="360" w:lineRule="auto"/>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阳西县2023-2024年度党政机关和事业单位会议定点场所采购项目</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5"/>
        <w:spacing w:line="360" w:lineRule="auto"/>
        <w:rPr>
          <w:color w:val="000000" w:themeColor="text1"/>
          <w:szCs w:val="21"/>
          <w:highlight w:val="none"/>
          <w14:textFill>
            <w14:solidFill>
              <w14:schemeClr w14:val="tx1"/>
            </w14:solidFill>
          </w14:textFill>
        </w:rPr>
      </w:pPr>
    </w:p>
    <w:p>
      <w:pPr>
        <w:pStyle w:val="5"/>
        <w:spacing w:line="360" w:lineRule="auto"/>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5"/>
        <w:spacing w:line="360" w:lineRule="auto"/>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一、</w:t>
      </w:r>
    </w:p>
    <w:p>
      <w:pPr>
        <w:pStyle w:val="5"/>
        <w:spacing w:line="360" w:lineRule="auto"/>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二、</w:t>
      </w:r>
    </w:p>
    <w:p>
      <w:pPr>
        <w:pStyle w:val="5"/>
        <w:spacing w:line="360" w:lineRule="auto"/>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三、</w:t>
      </w:r>
      <w:r>
        <w:rPr>
          <w:rFonts w:hAnsi="宋体"/>
          <w:bCs/>
          <w:color w:val="000000" w:themeColor="text1"/>
          <w:szCs w:val="21"/>
          <w:highlight w:val="none"/>
          <w14:textFill>
            <w14:solidFill>
              <w14:schemeClr w14:val="tx1"/>
            </w14:solidFill>
          </w14:textFill>
        </w:rPr>
        <w:t>...</w:t>
      </w:r>
    </w:p>
    <w:p>
      <w:pPr>
        <w:pStyle w:val="5"/>
        <w:spacing w:line="360" w:lineRule="auto"/>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四、</w:t>
      </w:r>
      <w:r>
        <w:rPr>
          <w:rFonts w:hAnsi="宋体"/>
          <w:bCs/>
          <w:color w:val="000000" w:themeColor="text1"/>
          <w:szCs w:val="21"/>
          <w:highlight w:val="none"/>
          <w14:textFill>
            <w14:solidFill>
              <w14:schemeClr w14:val="tx1"/>
            </w14:solidFill>
          </w14:textFill>
        </w:rPr>
        <w:t>...</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w:t>
      </w:r>
      <w:r>
        <w:rPr>
          <w:rFonts w:hint="eastAsia" w:ascii="宋体" w:hAnsi="宋体"/>
          <w:bCs/>
          <w:color w:val="000000" w:themeColor="text1"/>
          <w:szCs w:val="21"/>
          <w:highlight w:val="none"/>
          <w:lang w:eastAsia="zh-CN"/>
          <w14:textFill>
            <w14:solidFill>
              <w14:schemeClr w14:val="tx1"/>
            </w14:solidFill>
          </w14:textFill>
        </w:rPr>
        <w:t>法定代表人（负责人）</w:t>
      </w:r>
      <w:r>
        <w:rPr>
          <w:rFonts w:hint="eastAsia" w:ascii="宋体" w:hAnsi="宋体"/>
          <w:bCs/>
          <w:color w:val="000000" w:themeColor="text1"/>
          <w:szCs w:val="21"/>
          <w:highlight w:val="none"/>
          <w14:textFill>
            <w14:solidFill>
              <w14:schemeClr w14:val="tx1"/>
            </w14:solidFill>
          </w14:textFill>
        </w:rPr>
        <w:t>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rPr>
          <w:color w:val="000000" w:themeColor="text1"/>
          <w:szCs w:val="21"/>
          <w:highlight w:val="none"/>
          <w14:textFill>
            <w14:solidFill>
              <w14:schemeClr w14:val="tx1"/>
            </w14:solidFill>
          </w14:textFill>
        </w:rPr>
      </w:pPr>
    </w:p>
    <w:p>
      <w:pPr>
        <w:adjustRightInd w:val="0"/>
        <w:snapToGrid w:val="0"/>
        <w:spacing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（供应商认为本节无须提交的，应当注明“本节空白”字样）。</w:t>
      </w: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5"/>
        <w:spacing w:line="460" w:lineRule="exact"/>
        <w:rPr>
          <w:color w:val="000000" w:themeColor="text1"/>
          <w:highlight w:val="none"/>
          <w14:textFill>
            <w14:solidFill>
              <w14:schemeClr w14:val="tx1"/>
            </w14:solidFill>
          </w14:textFill>
        </w:rPr>
      </w:pPr>
    </w:p>
    <w:p>
      <w:pPr>
        <w:pStyle w:val="4"/>
        <w:numPr>
          <w:ilvl w:val="0"/>
          <w:numId w:val="0"/>
        </w:numPr>
        <w:spacing w:line="360" w:lineRule="auto"/>
        <w:jc w:val="center"/>
        <w:rPr>
          <w:color w:val="000000" w:themeColor="text1"/>
          <w:sz w:val="52"/>
          <w:highlight w:val="none"/>
          <w14:textFill>
            <w14:solidFill>
              <w14:schemeClr w14:val="tx1"/>
            </w14:solidFill>
          </w14:textFill>
        </w:rPr>
      </w:pPr>
      <w:bookmarkStart w:id="254" w:name="_Toc28927"/>
      <w:bookmarkStart w:id="255" w:name="_Toc459822893"/>
      <w:r>
        <w:rPr>
          <w:rFonts w:hint="eastAsia"/>
          <w:color w:val="000000" w:themeColor="text1"/>
          <w:sz w:val="52"/>
          <w:highlight w:val="none"/>
          <w14:textFill>
            <w14:solidFill>
              <w14:schemeClr w14:val="tx1"/>
            </w14:solidFill>
          </w14:textFill>
        </w:rPr>
        <w:t>其 他 格 式</w:t>
      </w:r>
      <w:bookmarkEnd w:id="254"/>
      <w:bookmarkEnd w:id="255"/>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pStyle w:val="6"/>
        <w:tabs>
          <w:tab w:val="left" w:pos="142"/>
        </w:tabs>
        <w:spacing w:afterLines="50" w:line="360" w:lineRule="auto"/>
        <w:jc w:val="center"/>
        <w:rPr>
          <w:color w:val="000000" w:themeColor="text1"/>
          <w:sz w:val="28"/>
          <w:highlight w:val="none"/>
          <w14:textFill>
            <w14:solidFill>
              <w14:schemeClr w14:val="tx1"/>
            </w14:solidFill>
          </w14:textFill>
        </w:rPr>
      </w:pPr>
      <w:bookmarkStart w:id="256" w:name="_Toc459822894"/>
      <w:bookmarkStart w:id="257" w:name="_Toc15469"/>
      <w:r>
        <w:rPr>
          <w:rFonts w:hint="eastAsia"/>
          <w:color w:val="000000" w:themeColor="text1"/>
          <w:sz w:val="28"/>
          <w:highlight w:val="none"/>
          <w14:textFill>
            <w14:solidFill>
              <w14:schemeClr w14:val="tx1"/>
            </w14:solidFill>
          </w14:textFill>
        </w:rPr>
        <w:t>投标保证金退付书</w:t>
      </w:r>
      <w:bookmarkEnd w:id="256"/>
      <w:bookmarkEnd w:id="257"/>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本公司为本项目的投标已提交了足额投标保证金，请贵司在符合退还条件时请代划入下列账户：</w:t>
      </w:r>
    </w:p>
    <w:tbl>
      <w:tblPr>
        <w:tblStyle w:val="44"/>
        <w:tblpPr w:leftFromText="180" w:rightFromText="180" w:vertAnchor="text" w:tblpY="1"/>
        <w:tblOverlap w:val="never"/>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287" w:type="dxa"/>
            <w:gridSpan w:val="2"/>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133"/>
                <w:rFonts w:hint="eastAsia" w:ascii="宋体" w:hAnsi="宋体" w:eastAsia="宋体" w:cs="宋体"/>
                <w:color w:val="000000" w:themeColor="text1"/>
                <w:spacing w:val="10"/>
                <w:sz w:val="21"/>
                <w:szCs w:val="21"/>
                <w:highlight w:val="none"/>
                <w:lang w:val="zh-CN" w:eastAsia="zh-CN"/>
                <w14:textFill>
                  <w14:solidFill>
                    <w14:schemeClr w14:val="tx1"/>
                  </w14:solidFill>
                </w14:textFill>
              </w:rPr>
            </w:pPr>
            <w:r>
              <w:rPr>
                <w:rFonts w:hint="eastAsia" w:ascii="宋体" w:hAnsi="宋体" w:cs="宋体"/>
                <w:b/>
                <w:bCs/>
                <w:color w:val="000000" w:themeColor="text1"/>
                <w:szCs w:val="21"/>
                <w:highlight w:val="none"/>
                <w:u w:val="single"/>
                <w:lang w:eastAsia="zh-CN"/>
                <w14:textFill>
                  <w14:solidFill>
                    <w14:schemeClr w14:val="tx1"/>
                  </w14:solidFill>
                </w14:textFill>
              </w:rPr>
              <w:t>阳西县2023-2024年度党政机关和事业单位会议定点场所采购项目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287" w:type="dxa"/>
            <w:gridSpan w:val="2"/>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r>
              <w:rPr>
                <w:rStyle w:val="133"/>
                <w:rFonts w:hint="eastAsia" w:ascii="宋体" w:hAnsi="宋体" w:cs="宋体"/>
                <w:color w:val="000000" w:themeColor="text1"/>
                <w:spacing w:val="10"/>
                <w:sz w:val="21"/>
                <w:szCs w:val="21"/>
                <w:highlight w:val="none"/>
                <w:lang w:val="zh-CN"/>
                <w14:textFill>
                  <w14:solidFill>
                    <w14:schemeClr w14:val="tx1"/>
                  </w14:solidFill>
                </w14:textFill>
              </w:rPr>
              <w:t>YXZB-20230223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51" w:type="dxa"/>
            <w:vMerge w:val="restart"/>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133"/>
                <w:rFonts w:ascii="宋体" w:hAnsi="宋体" w:eastAsia="宋体" w:cs="宋体"/>
                <w:color w:val="000000" w:themeColor="text1"/>
                <w:spacing w:val="10"/>
                <w:sz w:val="21"/>
                <w:szCs w:val="21"/>
                <w:highlight w:val="none"/>
                <w:u w:val="single"/>
                <w:lang w:val="zh-CN"/>
                <w14:textFill>
                  <w14:solidFill>
                    <w14:schemeClr w14:val="tx1"/>
                  </w14:solidFill>
                </w14:textFill>
              </w:rPr>
            </w:pPr>
            <w:r>
              <w:rPr>
                <w:rStyle w:val="133"/>
                <w:rFonts w:hint="eastAsia" w:ascii="宋体" w:hAnsi="宋体" w:eastAsia="宋体" w:cs="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133"/>
                <w:rFonts w:ascii="宋体" w:hAnsi="宋体" w:eastAsia="宋体" w:cs="宋体"/>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开户银行</w:t>
            </w:r>
            <w:r>
              <w:rPr>
                <w:rStyle w:val="133"/>
                <w:rFonts w:hint="eastAsia" w:ascii="宋体" w:hAnsi="宋体" w:eastAsia="宋体" w:cs="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133"/>
                <w:rFonts w:ascii="宋体" w:hAnsi="宋体" w:eastAsia="宋体" w:cs="宋体"/>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133"/>
                <w:rFonts w:ascii="宋体" w:hAnsi="宋体" w:eastAsia="宋体" w:cs="宋体"/>
                <w:color w:val="000000" w:themeColor="text1"/>
                <w:spacing w:val="10"/>
                <w:sz w:val="21"/>
                <w:szCs w:val="21"/>
                <w:highlight w:val="none"/>
                <w:u w:val="single"/>
                <w:lang w:val="zh-CN"/>
                <w14:textFill>
                  <w14:solidFill>
                    <w14:schemeClr w14:val="tx1"/>
                  </w14:solidFill>
                </w14:textFill>
              </w:rPr>
            </w:pPr>
            <w:r>
              <w:rPr>
                <w:rStyle w:val="133"/>
                <w:rFonts w:hint="eastAsia" w:ascii="宋体" w:hAnsi="宋体" w:eastAsia="宋体" w:cs="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133"/>
                <w:rFonts w:ascii="宋体" w:hAnsi="宋体" w:eastAsia="宋体" w:cs="宋体"/>
                <w:color w:val="000000" w:themeColor="text1"/>
                <w:spacing w:val="10"/>
                <w:sz w:val="21"/>
                <w:szCs w:val="21"/>
                <w:highlight w:val="none"/>
                <w:lang w:val="zh-CN"/>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3"/>
                <w:rFonts w:ascii="宋体" w:hAnsi="宋体" w:eastAsia="宋体" w:cs="宋体"/>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3"/>
                <w:rFonts w:ascii="宋体" w:hAnsi="宋体" w:eastAsia="宋体" w:cs="宋体"/>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注：保证金退还账户必须为对公账户。</w:t>
      </w:r>
    </w:p>
    <w:tbl>
      <w:tblPr>
        <w:tblStyle w:val="44"/>
        <w:tblpPr w:leftFromText="180" w:rightFromText="180" w:vertAnchor="text" w:tblpY="1"/>
        <w:tblOverlap w:val="never"/>
        <w:tblW w:w="9391"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391"/>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trPr>
        <w:tc>
          <w:tcPr>
            <w:tcW w:w="9391" w:type="dxa"/>
            <w:shd w:val="clear" w:color="auto" w:fill="auto"/>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spacing w:line="460" w:lineRule="exact"/>
        <w:ind w:firstLine="0"/>
        <w:rPr>
          <w:rFonts w:ascii="宋体" w:hAnsi="宋体"/>
          <w:b/>
          <w:color w:val="000000" w:themeColor="text1"/>
          <w:szCs w:val="21"/>
          <w:highlight w:val="none"/>
          <w14:textFill>
            <w14:solidFill>
              <w14:schemeClr w14:val="tx1"/>
            </w14:solidFill>
          </w14:textFill>
        </w:rPr>
        <w:sectPr>
          <w:headerReference r:id="rId13" w:type="default"/>
          <w:pgSz w:w="11906" w:h="16838"/>
          <w:pgMar w:top="1440" w:right="849" w:bottom="1440" w:left="1418" w:header="851" w:footer="992" w:gutter="0"/>
          <w:cols w:space="720" w:num="1"/>
          <w:docGrid w:type="lines" w:linePitch="312" w:charSpace="0"/>
        </w:sectPr>
      </w:pPr>
      <w:r>
        <w:rPr>
          <w:rFonts w:hint="eastAsia" w:ascii="宋体" w:hAnsi="宋体"/>
          <w:b/>
          <w:color w:val="000000" w:themeColor="text1"/>
          <w:szCs w:val="21"/>
          <w:highlight w:val="none"/>
          <w14:textFill>
            <w14:solidFill>
              <w14:schemeClr w14:val="tx1"/>
            </w14:solidFill>
          </w14:textFill>
        </w:rPr>
        <w:t>注：本退付书原件须放入唱标信封内，勿装订在投标文件内。</w:t>
      </w:r>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spacing w:line="360" w:lineRule="auto"/>
        <w:jc w:val="center"/>
        <w:rPr>
          <w:rFonts w:ascii="宋体" w:hAnsi="宋体"/>
          <w:b/>
          <w:color w:val="000000" w:themeColor="text1"/>
          <w:sz w:val="24"/>
          <w:highlight w:val="none"/>
          <w14:textFill>
            <w14:solidFill>
              <w14:schemeClr w14:val="tx1"/>
            </w14:solidFill>
          </w14:textFill>
        </w:rPr>
      </w:pPr>
    </w:p>
    <w:p>
      <w:pPr>
        <w:pStyle w:val="5"/>
        <w:spacing w:line="460" w:lineRule="exact"/>
        <w:ind w:firstLine="0"/>
        <w:rPr>
          <w:rFonts w:ascii="宋体" w:hAnsi="宋体"/>
          <w:b/>
          <w:color w:val="000000" w:themeColor="text1"/>
          <w:szCs w:val="21"/>
          <w:highlight w:val="none"/>
          <w14:textFill>
            <w14:solidFill>
              <w14:schemeClr w14:val="tx1"/>
            </w14:solidFill>
          </w14:textFill>
        </w:rPr>
      </w:pPr>
    </w:p>
    <w:sectPr>
      <w:pgSz w:w="11906" w:h="16838"/>
      <w:pgMar w:top="1440" w:right="849"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9"/>
                  <w:jc w:val="center"/>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8"/>
      </w:rPr>
    </w:pPr>
    <w:r>
      <w:fldChar w:fldCharType="begin"/>
    </w:r>
    <w:r>
      <w:rPr>
        <w:rStyle w:val="48"/>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9"/>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sdt>
      <w:sdtPr>
        <w:id w:val="28234777"/>
      </w:sdtPr>
      <w:sdtContent/>
    </w:sdt>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29"/>
                  <w:jc w:val="center"/>
                </w:pPr>
                <w:r>
                  <w:rPr>
                    <w:rFonts w:hint="eastAsia"/>
                  </w:rPr>
                  <w:t xml:space="preserve">第 </w:t>
                </w:r>
                <w:r>
                  <w:fldChar w:fldCharType="begin"/>
                </w:r>
                <w:r>
                  <w:instrText xml:space="preserve"> PAGE  \* MERGEFORMAT </w:instrText>
                </w:r>
                <w:r>
                  <w:fldChar w:fldCharType="separate"/>
                </w:r>
                <w:r>
                  <w:t>31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8"/>
      </w:rPr>
    </w:pPr>
    <w:r>
      <w:fldChar w:fldCharType="begin"/>
    </w:r>
    <w:r>
      <w:rPr>
        <w:rStyle w:val="48"/>
      </w:rPr>
      <w:instrText xml:space="preserve">PAGE  </w:instrText>
    </w:r>
    <w:r>
      <w:fldChar w:fldCharType="end"/>
    </w:r>
  </w:p>
  <w:p>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40</w:t>
    </w:r>
    <w:r>
      <w:rPr>
        <w:kern w:val="0"/>
        <w:szCs w:val="21"/>
      </w:rPr>
      <w:fldChar w:fldCharType="end"/>
    </w:r>
    <w:r>
      <w:rPr>
        <w:rFonts w:hint="eastAsia"/>
        <w:kern w:val="0"/>
        <w:szCs w:val="21"/>
      </w:rPr>
      <w:t xml:space="preserve"> 页</w:t>
    </w:r>
  </w:p>
  <w:p>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29"/>
                  <w:jc w:val="center"/>
                </w:pPr>
                <w:r>
                  <w:rPr>
                    <w:rFonts w:hint="eastAsia"/>
                  </w:rPr>
                  <w:t xml:space="preserve">第 </w:t>
                </w:r>
                <w:r>
                  <w:fldChar w:fldCharType="begin"/>
                </w:r>
                <w:r>
                  <w:instrText xml:space="preserve"> PAGE  \* MERGEFORMAT </w:instrText>
                </w:r>
                <w:r>
                  <w:fldChar w:fldCharType="separate"/>
                </w:r>
                <w:r>
                  <w:t>40</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13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3">
    <w:nsid w:val="07A8694A"/>
    <w:multiLevelType w:val="multilevel"/>
    <w:tmpl w:val="07A8694A"/>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4">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6">
    <w:nsid w:val="11B03064"/>
    <w:multiLevelType w:val="multilevel"/>
    <w:tmpl w:val="11B03064"/>
    <w:lvl w:ilvl="0" w:tentative="0">
      <w:start w:val="4"/>
      <w:numFmt w:val="japaneseCounting"/>
      <w:lvlText w:val="%1、"/>
      <w:lvlJc w:val="left"/>
      <w:pPr>
        <w:ind w:left="1036" w:hanging="720"/>
      </w:pPr>
      <w:rPr>
        <w:rFonts w:hint="default"/>
      </w:rPr>
    </w:lvl>
    <w:lvl w:ilvl="1" w:tentative="0">
      <w:start w:val="1"/>
      <w:numFmt w:val="lowerLetter"/>
      <w:lvlText w:val="%2)"/>
      <w:lvlJc w:val="left"/>
      <w:pPr>
        <w:ind w:left="1156" w:hanging="420"/>
      </w:pPr>
    </w:lvl>
    <w:lvl w:ilvl="2" w:tentative="0">
      <w:start w:val="1"/>
      <w:numFmt w:val="lowerRoman"/>
      <w:lvlText w:val="%3."/>
      <w:lvlJc w:val="right"/>
      <w:pPr>
        <w:ind w:left="1576" w:hanging="420"/>
      </w:pPr>
    </w:lvl>
    <w:lvl w:ilvl="3" w:tentative="0">
      <w:start w:val="1"/>
      <w:numFmt w:val="decimal"/>
      <w:lvlText w:val="%4."/>
      <w:lvlJc w:val="left"/>
      <w:pPr>
        <w:ind w:left="1996" w:hanging="420"/>
      </w:pPr>
    </w:lvl>
    <w:lvl w:ilvl="4" w:tentative="0">
      <w:start w:val="1"/>
      <w:numFmt w:val="lowerLetter"/>
      <w:lvlText w:val="%5)"/>
      <w:lvlJc w:val="left"/>
      <w:pPr>
        <w:ind w:left="2416" w:hanging="420"/>
      </w:pPr>
    </w:lvl>
    <w:lvl w:ilvl="5" w:tentative="0">
      <w:start w:val="1"/>
      <w:numFmt w:val="lowerRoman"/>
      <w:lvlText w:val="%6."/>
      <w:lvlJc w:val="right"/>
      <w:pPr>
        <w:ind w:left="2836" w:hanging="420"/>
      </w:pPr>
    </w:lvl>
    <w:lvl w:ilvl="6" w:tentative="0">
      <w:start w:val="1"/>
      <w:numFmt w:val="decimal"/>
      <w:lvlText w:val="%7."/>
      <w:lvlJc w:val="left"/>
      <w:pPr>
        <w:ind w:left="3256" w:hanging="420"/>
      </w:pPr>
    </w:lvl>
    <w:lvl w:ilvl="7" w:tentative="0">
      <w:start w:val="1"/>
      <w:numFmt w:val="lowerLetter"/>
      <w:lvlText w:val="%8)"/>
      <w:lvlJc w:val="left"/>
      <w:pPr>
        <w:ind w:left="3676" w:hanging="420"/>
      </w:pPr>
    </w:lvl>
    <w:lvl w:ilvl="8" w:tentative="0">
      <w:start w:val="1"/>
      <w:numFmt w:val="lowerRoman"/>
      <w:lvlText w:val="%9."/>
      <w:lvlJc w:val="right"/>
      <w:pPr>
        <w:ind w:left="4096" w:hanging="420"/>
      </w:pPr>
    </w:lvl>
  </w:abstractNum>
  <w:abstractNum w:abstractNumId="7">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06B33BD"/>
    <w:multiLevelType w:val="multilevel"/>
    <w:tmpl w:val="306B33BD"/>
    <w:lvl w:ilvl="0" w:tentative="0">
      <w:start w:val="1"/>
      <w:numFmt w:val="decimal"/>
      <w:lvlText w:val="%1."/>
      <w:lvlJc w:val="left"/>
      <w:pPr>
        <w:tabs>
          <w:tab w:val="left" w:pos="363"/>
        </w:tabs>
        <w:ind w:left="363"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lowerRoman"/>
      <w:lvlText w:val="%3."/>
      <w:lvlJc w:val="right"/>
      <w:pPr>
        <w:tabs>
          <w:tab w:val="left" w:pos="1263"/>
        </w:tabs>
        <w:ind w:left="1263" w:hanging="420"/>
      </w:p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9">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10">
    <w:nsid w:val="42CD84B7"/>
    <w:multiLevelType w:val="singleLevel"/>
    <w:tmpl w:val="42CD84B7"/>
    <w:lvl w:ilvl="0" w:tentative="0">
      <w:start w:val="1"/>
      <w:numFmt w:val="decimal"/>
      <w:lvlText w:val="%1."/>
      <w:lvlJc w:val="left"/>
      <w:pPr>
        <w:ind w:left="425" w:hanging="425"/>
      </w:pPr>
      <w:rPr>
        <w:rFonts w:hint="default"/>
      </w:rPr>
    </w:lvl>
  </w:abstractNum>
  <w:abstractNum w:abstractNumId="11">
    <w:nsid w:val="557073B5"/>
    <w:multiLevelType w:val="multilevel"/>
    <w:tmpl w:val="557073B5"/>
    <w:lvl w:ilvl="0" w:tentative="0">
      <w:start w:val="1"/>
      <w:numFmt w:val="chineseCountingThousand"/>
      <w:lvlText w:val="%1、"/>
      <w:lvlJc w:val="left"/>
      <w:pPr>
        <w:tabs>
          <w:tab w:val="left" w:pos="704"/>
        </w:tabs>
        <w:ind w:left="704" w:hanging="420"/>
      </w:pPr>
      <w:rPr>
        <w:lang w:val="en-US"/>
      </w:r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2">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90B1CDA"/>
    <w:multiLevelType w:val="multilevel"/>
    <w:tmpl w:val="690B1CDA"/>
    <w:lvl w:ilvl="0" w:tentative="0">
      <w:start w:val="1"/>
      <w:numFmt w:val="japaneseCounting"/>
      <w:pStyle w:val="116"/>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4">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num w:numId="1">
    <w:abstractNumId w:val="5"/>
  </w:num>
  <w:num w:numId="2">
    <w:abstractNumId w:val="13"/>
  </w:num>
  <w:num w:numId="3">
    <w:abstractNumId w:val="2"/>
  </w:num>
  <w:num w:numId="4">
    <w:abstractNumId w:val="7"/>
  </w:num>
  <w:num w:numId="5">
    <w:abstractNumId w:val="11"/>
  </w:num>
  <w:num w:numId="6">
    <w:abstractNumId w:val="4"/>
  </w:num>
  <w:num w:numId="7">
    <w:abstractNumId w:val="6"/>
  </w:num>
  <w:num w:numId="8">
    <w:abstractNumId w:val="8"/>
  </w:num>
  <w:num w:numId="9">
    <w:abstractNumId w:val="9"/>
  </w:num>
  <w:num w:numId="10">
    <w:abstractNumId w:val="1"/>
  </w:num>
  <w:num w:numId="11">
    <w:abstractNumId w:val="0"/>
  </w:num>
  <w:num w:numId="12">
    <w:abstractNumId w:val="10"/>
  </w:num>
  <w:num w:numId="13">
    <w:abstractNumId w:val="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49BA"/>
    <w:rsid w:val="00005FCB"/>
    <w:rsid w:val="000062F0"/>
    <w:rsid w:val="00007C9D"/>
    <w:rsid w:val="00007D36"/>
    <w:rsid w:val="00010614"/>
    <w:rsid w:val="00011381"/>
    <w:rsid w:val="0001156A"/>
    <w:rsid w:val="00011688"/>
    <w:rsid w:val="000120FB"/>
    <w:rsid w:val="000127D7"/>
    <w:rsid w:val="0001315A"/>
    <w:rsid w:val="00013671"/>
    <w:rsid w:val="000145F4"/>
    <w:rsid w:val="00014CAB"/>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4523"/>
    <w:rsid w:val="00024860"/>
    <w:rsid w:val="000248E7"/>
    <w:rsid w:val="000268CD"/>
    <w:rsid w:val="00026FC3"/>
    <w:rsid w:val="000278C1"/>
    <w:rsid w:val="00027BD5"/>
    <w:rsid w:val="0003063D"/>
    <w:rsid w:val="00030865"/>
    <w:rsid w:val="00031768"/>
    <w:rsid w:val="00032300"/>
    <w:rsid w:val="00032A2C"/>
    <w:rsid w:val="0003413E"/>
    <w:rsid w:val="00034518"/>
    <w:rsid w:val="00034573"/>
    <w:rsid w:val="00034E6E"/>
    <w:rsid w:val="00036ABE"/>
    <w:rsid w:val="000377F0"/>
    <w:rsid w:val="00040462"/>
    <w:rsid w:val="00040736"/>
    <w:rsid w:val="0004087D"/>
    <w:rsid w:val="00040FEE"/>
    <w:rsid w:val="000413C6"/>
    <w:rsid w:val="000415D4"/>
    <w:rsid w:val="00041A63"/>
    <w:rsid w:val="0004277B"/>
    <w:rsid w:val="00043105"/>
    <w:rsid w:val="00043EBB"/>
    <w:rsid w:val="000453A8"/>
    <w:rsid w:val="00046265"/>
    <w:rsid w:val="00046FB6"/>
    <w:rsid w:val="00047B7B"/>
    <w:rsid w:val="00050048"/>
    <w:rsid w:val="00051247"/>
    <w:rsid w:val="00051476"/>
    <w:rsid w:val="0005176E"/>
    <w:rsid w:val="00055140"/>
    <w:rsid w:val="00055BE2"/>
    <w:rsid w:val="00055E36"/>
    <w:rsid w:val="00055F28"/>
    <w:rsid w:val="000562D3"/>
    <w:rsid w:val="00056C25"/>
    <w:rsid w:val="0005770B"/>
    <w:rsid w:val="00057F61"/>
    <w:rsid w:val="00060245"/>
    <w:rsid w:val="0006027D"/>
    <w:rsid w:val="0006054E"/>
    <w:rsid w:val="00060689"/>
    <w:rsid w:val="000614F6"/>
    <w:rsid w:val="00061ADA"/>
    <w:rsid w:val="00062546"/>
    <w:rsid w:val="00063214"/>
    <w:rsid w:val="00064185"/>
    <w:rsid w:val="00064276"/>
    <w:rsid w:val="000642CD"/>
    <w:rsid w:val="000649DE"/>
    <w:rsid w:val="000652FF"/>
    <w:rsid w:val="00066B7A"/>
    <w:rsid w:val="000673CC"/>
    <w:rsid w:val="0007084F"/>
    <w:rsid w:val="00070D3D"/>
    <w:rsid w:val="00070DCE"/>
    <w:rsid w:val="0007120B"/>
    <w:rsid w:val="00071508"/>
    <w:rsid w:val="00072C00"/>
    <w:rsid w:val="00074BDF"/>
    <w:rsid w:val="00076023"/>
    <w:rsid w:val="0007627A"/>
    <w:rsid w:val="00076434"/>
    <w:rsid w:val="0007711F"/>
    <w:rsid w:val="00080133"/>
    <w:rsid w:val="00080574"/>
    <w:rsid w:val="00080AE7"/>
    <w:rsid w:val="00080DE8"/>
    <w:rsid w:val="00080E11"/>
    <w:rsid w:val="00081C2C"/>
    <w:rsid w:val="00082013"/>
    <w:rsid w:val="000822CA"/>
    <w:rsid w:val="00082512"/>
    <w:rsid w:val="000837A6"/>
    <w:rsid w:val="000843F8"/>
    <w:rsid w:val="00084816"/>
    <w:rsid w:val="00084CED"/>
    <w:rsid w:val="00085996"/>
    <w:rsid w:val="00085A61"/>
    <w:rsid w:val="0008670A"/>
    <w:rsid w:val="00087F54"/>
    <w:rsid w:val="00090CB0"/>
    <w:rsid w:val="000911A1"/>
    <w:rsid w:val="00091739"/>
    <w:rsid w:val="000936BB"/>
    <w:rsid w:val="00093E9C"/>
    <w:rsid w:val="00093F6F"/>
    <w:rsid w:val="000940E1"/>
    <w:rsid w:val="000945D5"/>
    <w:rsid w:val="00094C2A"/>
    <w:rsid w:val="00095BE6"/>
    <w:rsid w:val="000960A6"/>
    <w:rsid w:val="000A025A"/>
    <w:rsid w:val="000A040E"/>
    <w:rsid w:val="000A1A04"/>
    <w:rsid w:val="000A1AD0"/>
    <w:rsid w:val="000A24B9"/>
    <w:rsid w:val="000A4F7A"/>
    <w:rsid w:val="000A588E"/>
    <w:rsid w:val="000A6C12"/>
    <w:rsid w:val="000A70BC"/>
    <w:rsid w:val="000B00D4"/>
    <w:rsid w:val="000B0421"/>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76"/>
    <w:rsid w:val="000C3069"/>
    <w:rsid w:val="000C41BC"/>
    <w:rsid w:val="000C4379"/>
    <w:rsid w:val="000C4614"/>
    <w:rsid w:val="000C464F"/>
    <w:rsid w:val="000C63CB"/>
    <w:rsid w:val="000C6902"/>
    <w:rsid w:val="000C6B06"/>
    <w:rsid w:val="000C6E00"/>
    <w:rsid w:val="000C7F20"/>
    <w:rsid w:val="000D0CD2"/>
    <w:rsid w:val="000D0D31"/>
    <w:rsid w:val="000D0E1F"/>
    <w:rsid w:val="000D1822"/>
    <w:rsid w:val="000D27A2"/>
    <w:rsid w:val="000D2F76"/>
    <w:rsid w:val="000D3682"/>
    <w:rsid w:val="000D3D03"/>
    <w:rsid w:val="000D3F6A"/>
    <w:rsid w:val="000D47B2"/>
    <w:rsid w:val="000D4CC4"/>
    <w:rsid w:val="000D5955"/>
    <w:rsid w:val="000D5A26"/>
    <w:rsid w:val="000D5DB7"/>
    <w:rsid w:val="000D5FFF"/>
    <w:rsid w:val="000D675C"/>
    <w:rsid w:val="000D693D"/>
    <w:rsid w:val="000D69E5"/>
    <w:rsid w:val="000D75D0"/>
    <w:rsid w:val="000D7675"/>
    <w:rsid w:val="000D7C72"/>
    <w:rsid w:val="000E07CB"/>
    <w:rsid w:val="000E19C9"/>
    <w:rsid w:val="000E1BC0"/>
    <w:rsid w:val="000E1F01"/>
    <w:rsid w:val="000E3AD6"/>
    <w:rsid w:val="000E5AA4"/>
    <w:rsid w:val="000E659F"/>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823"/>
    <w:rsid w:val="000F623B"/>
    <w:rsid w:val="000F6278"/>
    <w:rsid w:val="000F67BA"/>
    <w:rsid w:val="000F6885"/>
    <w:rsid w:val="00100929"/>
    <w:rsid w:val="00100A59"/>
    <w:rsid w:val="00100A85"/>
    <w:rsid w:val="00100B16"/>
    <w:rsid w:val="001013B4"/>
    <w:rsid w:val="001017F3"/>
    <w:rsid w:val="00101823"/>
    <w:rsid w:val="001028F3"/>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6E35"/>
    <w:rsid w:val="0011743D"/>
    <w:rsid w:val="00120686"/>
    <w:rsid w:val="00120C3C"/>
    <w:rsid w:val="00122AC9"/>
    <w:rsid w:val="001234B2"/>
    <w:rsid w:val="00123A44"/>
    <w:rsid w:val="00124863"/>
    <w:rsid w:val="0012494A"/>
    <w:rsid w:val="00125117"/>
    <w:rsid w:val="00126736"/>
    <w:rsid w:val="00126B17"/>
    <w:rsid w:val="00126D44"/>
    <w:rsid w:val="001279A1"/>
    <w:rsid w:val="00127CAC"/>
    <w:rsid w:val="00130F99"/>
    <w:rsid w:val="0013184E"/>
    <w:rsid w:val="001327AF"/>
    <w:rsid w:val="0013370A"/>
    <w:rsid w:val="00134075"/>
    <w:rsid w:val="0013457A"/>
    <w:rsid w:val="00134979"/>
    <w:rsid w:val="001351C4"/>
    <w:rsid w:val="00135655"/>
    <w:rsid w:val="001370A8"/>
    <w:rsid w:val="00137668"/>
    <w:rsid w:val="00137F56"/>
    <w:rsid w:val="00140886"/>
    <w:rsid w:val="00141762"/>
    <w:rsid w:val="00141B7E"/>
    <w:rsid w:val="00141BF3"/>
    <w:rsid w:val="00141CAA"/>
    <w:rsid w:val="0014226C"/>
    <w:rsid w:val="00142861"/>
    <w:rsid w:val="00142EAA"/>
    <w:rsid w:val="00142F3D"/>
    <w:rsid w:val="001433B9"/>
    <w:rsid w:val="00143A78"/>
    <w:rsid w:val="00144079"/>
    <w:rsid w:val="00144588"/>
    <w:rsid w:val="00144CD2"/>
    <w:rsid w:val="00144D40"/>
    <w:rsid w:val="00144F28"/>
    <w:rsid w:val="00145EED"/>
    <w:rsid w:val="001473FF"/>
    <w:rsid w:val="001477D2"/>
    <w:rsid w:val="00151956"/>
    <w:rsid w:val="00152D75"/>
    <w:rsid w:val="00152FC5"/>
    <w:rsid w:val="00153598"/>
    <w:rsid w:val="001536B6"/>
    <w:rsid w:val="00153A47"/>
    <w:rsid w:val="00153D3E"/>
    <w:rsid w:val="001542D0"/>
    <w:rsid w:val="00154D1A"/>
    <w:rsid w:val="00155726"/>
    <w:rsid w:val="001579F5"/>
    <w:rsid w:val="001605FD"/>
    <w:rsid w:val="001606C6"/>
    <w:rsid w:val="00161C97"/>
    <w:rsid w:val="001622D6"/>
    <w:rsid w:val="00162583"/>
    <w:rsid w:val="00162800"/>
    <w:rsid w:val="0016298B"/>
    <w:rsid w:val="00162F9F"/>
    <w:rsid w:val="00163B25"/>
    <w:rsid w:val="001647AE"/>
    <w:rsid w:val="00165DE8"/>
    <w:rsid w:val="00165F41"/>
    <w:rsid w:val="00166019"/>
    <w:rsid w:val="00166BB6"/>
    <w:rsid w:val="00167257"/>
    <w:rsid w:val="001701A8"/>
    <w:rsid w:val="00170898"/>
    <w:rsid w:val="00170C45"/>
    <w:rsid w:val="00170DB2"/>
    <w:rsid w:val="00170DC2"/>
    <w:rsid w:val="001714A7"/>
    <w:rsid w:val="00171E3A"/>
    <w:rsid w:val="00172551"/>
    <w:rsid w:val="001726A5"/>
    <w:rsid w:val="00172DDC"/>
    <w:rsid w:val="001732F4"/>
    <w:rsid w:val="00173594"/>
    <w:rsid w:val="001737DA"/>
    <w:rsid w:val="00174D50"/>
    <w:rsid w:val="0017611F"/>
    <w:rsid w:val="0017628C"/>
    <w:rsid w:val="001762E0"/>
    <w:rsid w:val="001776D9"/>
    <w:rsid w:val="00177FE0"/>
    <w:rsid w:val="00180C47"/>
    <w:rsid w:val="0018109B"/>
    <w:rsid w:val="0018128C"/>
    <w:rsid w:val="00181599"/>
    <w:rsid w:val="00181779"/>
    <w:rsid w:val="00181BCB"/>
    <w:rsid w:val="00182320"/>
    <w:rsid w:val="00182C90"/>
    <w:rsid w:val="00182DCA"/>
    <w:rsid w:val="00183342"/>
    <w:rsid w:val="00183AF6"/>
    <w:rsid w:val="001844B7"/>
    <w:rsid w:val="00184690"/>
    <w:rsid w:val="001849A5"/>
    <w:rsid w:val="00185F4E"/>
    <w:rsid w:val="00187221"/>
    <w:rsid w:val="00187246"/>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AF4"/>
    <w:rsid w:val="001A0204"/>
    <w:rsid w:val="001A0BC3"/>
    <w:rsid w:val="001A2128"/>
    <w:rsid w:val="001A27BA"/>
    <w:rsid w:val="001A436E"/>
    <w:rsid w:val="001A4393"/>
    <w:rsid w:val="001A4F87"/>
    <w:rsid w:val="001A559F"/>
    <w:rsid w:val="001A60B3"/>
    <w:rsid w:val="001A6293"/>
    <w:rsid w:val="001A6547"/>
    <w:rsid w:val="001A73F0"/>
    <w:rsid w:val="001A7BFB"/>
    <w:rsid w:val="001B0095"/>
    <w:rsid w:val="001B028E"/>
    <w:rsid w:val="001B0944"/>
    <w:rsid w:val="001B0B72"/>
    <w:rsid w:val="001B0F2C"/>
    <w:rsid w:val="001B1B67"/>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C07AA"/>
    <w:rsid w:val="001C0A20"/>
    <w:rsid w:val="001C1955"/>
    <w:rsid w:val="001C3079"/>
    <w:rsid w:val="001C3705"/>
    <w:rsid w:val="001C37C0"/>
    <w:rsid w:val="001C4000"/>
    <w:rsid w:val="001C41C2"/>
    <w:rsid w:val="001C4607"/>
    <w:rsid w:val="001C4BF9"/>
    <w:rsid w:val="001C4FC6"/>
    <w:rsid w:val="001C5234"/>
    <w:rsid w:val="001C5B04"/>
    <w:rsid w:val="001C61D4"/>
    <w:rsid w:val="001C6F86"/>
    <w:rsid w:val="001C7632"/>
    <w:rsid w:val="001C7773"/>
    <w:rsid w:val="001C7A7B"/>
    <w:rsid w:val="001C7C88"/>
    <w:rsid w:val="001D0021"/>
    <w:rsid w:val="001D0C08"/>
    <w:rsid w:val="001D11ED"/>
    <w:rsid w:val="001D23E8"/>
    <w:rsid w:val="001D23E9"/>
    <w:rsid w:val="001D3124"/>
    <w:rsid w:val="001D32AD"/>
    <w:rsid w:val="001D3AC1"/>
    <w:rsid w:val="001D4712"/>
    <w:rsid w:val="001D6941"/>
    <w:rsid w:val="001E09A9"/>
    <w:rsid w:val="001E1A4F"/>
    <w:rsid w:val="001E2B7B"/>
    <w:rsid w:val="001E2D65"/>
    <w:rsid w:val="001E34CE"/>
    <w:rsid w:val="001E38A0"/>
    <w:rsid w:val="001E41FA"/>
    <w:rsid w:val="001E55B5"/>
    <w:rsid w:val="001E5AA2"/>
    <w:rsid w:val="001E5EBB"/>
    <w:rsid w:val="001E617C"/>
    <w:rsid w:val="001E67BC"/>
    <w:rsid w:val="001E6CCF"/>
    <w:rsid w:val="001E6D68"/>
    <w:rsid w:val="001E792E"/>
    <w:rsid w:val="001F05A5"/>
    <w:rsid w:val="001F0759"/>
    <w:rsid w:val="001F0EC5"/>
    <w:rsid w:val="001F15B4"/>
    <w:rsid w:val="001F1A39"/>
    <w:rsid w:val="001F1BE2"/>
    <w:rsid w:val="001F2585"/>
    <w:rsid w:val="001F271A"/>
    <w:rsid w:val="001F35CF"/>
    <w:rsid w:val="001F3BF5"/>
    <w:rsid w:val="001F3F92"/>
    <w:rsid w:val="001F440E"/>
    <w:rsid w:val="001F45D2"/>
    <w:rsid w:val="001F49F8"/>
    <w:rsid w:val="001F5C81"/>
    <w:rsid w:val="00201546"/>
    <w:rsid w:val="002028A5"/>
    <w:rsid w:val="00203B2D"/>
    <w:rsid w:val="00203F9F"/>
    <w:rsid w:val="00204036"/>
    <w:rsid w:val="0020560B"/>
    <w:rsid w:val="002062BA"/>
    <w:rsid w:val="00207089"/>
    <w:rsid w:val="00207F75"/>
    <w:rsid w:val="00210084"/>
    <w:rsid w:val="002110D3"/>
    <w:rsid w:val="00212D44"/>
    <w:rsid w:val="00212F81"/>
    <w:rsid w:val="0021371A"/>
    <w:rsid w:val="00213ECC"/>
    <w:rsid w:val="00214C34"/>
    <w:rsid w:val="00214EC7"/>
    <w:rsid w:val="0021573E"/>
    <w:rsid w:val="00215DC8"/>
    <w:rsid w:val="00216992"/>
    <w:rsid w:val="00216D99"/>
    <w:rsid w:val="00217911"/>
    <w:rsid w:val="002207DD"/>
    <w:rsid w:val="00221041"/>
    <w:rsid w:val="0022151A"/>
    <w:rsid w:val="00221A93"/>
    <w:rsid w:val="00221D44"/>
    <w:rsid w:val="0022295D"/>
    <w:rsid w:val="002229B0"/>
    <w:rsid w:val="00222AF5"/>
    <w:rsid w:val="0022302C"/>
    <w:rsid w:val="00223767"/>
    <w:rsid w:val="00224B1C"/>
    <w:rsid w:val="00227E5F"/>
    <w:rsid w:val="00230897"/>
    <w:rsid w:val="00231BEC"/>
    <w:rsid w:val="00231DC9"/>
    <w:rsid w:val="0023221C"/>
    <w:rsid w:val="002323E3"/>
    <w:rsid w:val="00232F54"/>
    <w:rsid w:val="0023312F"/>
    <w:rsid w:val="0023385C"/>
    <w:rsid w:val="002339EB"/>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C6"/>
    <w:rsid w:val="00246CE1"/>
    <w:rsid w:val="002475B1"/>
    <w:rsid w:val="00247E17"/>
    <w:rsid w:val="00250F3F"/>
    <w:rsid w:val="002532D8"/>
    <w:rsid w:val="002537A8"/>
    <w:rsid w:val="002550C3"/>
    <w:rsid w:val="0025511C"/>
    <w:rsid w:val="00256E35"/>
    <w:rsid w:val="0025741D"/>
    <w:rsid w:val="0025772A"/>
    <w:rsid w:val="00257C70"/>
    <w:rsid w:val="0026034D"/>
    <w:rsid w:val="00260933"/>
    <w:rsid w:val="00260D78"/>
    <w:rsid w:val="00261034"/>
    <w:rsid w:val="00261C36"/>
    <w:rsid w:val="00261FF8"/>
    <w:rsid w:val="00263A0D"/>
    <w:rsid w:val="00264151"/>
    <w:rsid w:val="002660A5"/>
    <w:rsid w:val="0026655C"/>
    <w:rsid w:val="00266587"/>
    <w:rsid w:val="00266771"/>
    <w:rsid w:val="00266AC5"/>
    <w:rsid w:val="00266AD7"/>
    <w:rsid w:val="0026773B"/>
    <w:rsid w:val="0027014F"/>
    <w:rsid w:val="002704DA"/>
    <w:rsid w:val="002714FA"/>
    <w:rsid w:val="00272466"/>
    <w:rsid w:val="00273277"/>
    <w:rsid w:val="00273C23"/>
    <w:rsid w:val="002741D1"/>
    <w:rsid w:val="00274289"/>
    <w:rsid w:val="00274464"/>
    <w:rsid w:val="00275B41"/>
    <w:rsid w:val="00276526"/>
    <w:rsid w:val="00276748"/>
    <w:rsid w:val="00276AE2"/>
    <w:rsid w:val="0027796E"/>
    <w:rsid w:val="002805F7"/>
    <w:rsid w:val="002807F6"/>
    <w:rsid w:val="00281B43"/>
    <w:rsid w:val="00281DBE"/>
    <w:rsid w:val="00282FE1"/>
    <w:rsid w:val="00283549"/>
    <w:rsid w:val="00284120"/>
    <w:rsid w:val="0028436A"/>
    <w:rsid w:val="00286015"/>
    <w:rsid w:val="002866DF"/>
    <w:rsid w:val="002868C2"/>
    <w:rsid w:val="00287252"/>
    <w:rsid w:val="00287F0D"/>
    <w:rsid w:val="00290453"/>
    <w:rsid w:val="00291A4E"/>
    <w:rsid w:val="00293E05"/>
    <w:rsid w:val="00294145"/>
    <w:rsid w:val="00294164"/>
    <w:rsid w:val="002943B8"/>
    <w:rsid w:val="00294C2D"/>
    <w:rsid w:val="002960FC"/>
    <w:rsid w:val="00296DBC"/>
    <w:rsid w:val="002979A8"/>
    <w:rsid w:val="002A02D5"/>
    <w:rsid w:val="002A1C7F"/>
    <w:rsid w:val="002A1EEC"/>
    <w:rsid w:val="002A2749"/>
    <w:rsid w:val="002A39DE"/>
    <w:rsid w:val="002A3F5B"/>
    <w:rsid w:val="002A4037"/>
    <w:rsid w:val="002A4EA1"/>
    <w:rsid w:val="002A5763"/>
    <w:rsid w:val="002A5779"/>
    <w:rsid w:val="002A6519"/>
    <w:rsid w:val="002A6DF0"/>
    <w:rsid w:val="002B0738"/>
    <w:rsid w:val="002B100C"/>
    <w:rsid w:val="002B1D45"/>
    <w:rsid w:val="002B1D52"/>
    <w:rsid w:val="002B2AA1"/>
    <w:rsid w:val="002B2EAE"/>
    <w:rsid w:val="002B35A7"/>
    <w:rsid w:val="002B3FD2"/>
    <w:rsid w:val="002B4E7A"/>
    <w:rsid w:val="002B5600"/>
    <w:rsid w:val="002B5EE7"/>
    <w:rsid w:val="002B5F4F"/>
    <w:rsid w:val="002C1069"/>
    <w:rsid w:val="002C1527"/>
    <w:rsid w:val="002C1544"/>
    <w:rsid w:val="002C4B80"/>
    <w:rsid w:val="002C618B"/>
    <w:rsid w:val="002C6CED"/>
    <w:rsid w:val="002D02B8"/>
    <w:rsid w:val="002D042D"/>
    <w:rsid w:val="002D0BEA"/>
    <w:rsid w:val="002D1B53"/>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3EF"/>
    <w:rsid w:val="002E5483"/>
    <w:rsid w:val="002E55D3"/>
    <w:rsid w:val="002E759D"/>
    <w:rsid w:val="002E7A65"/>
    <w:rsid w:val="002F015D"/>
    <w:rsid w:val="002F0C5F"/>
    <w:rsid w:val="002F112F"/>
    <w:rsid w:val="002F29C3"/>
    <w:rsid w:val="002F37BE"/>
    <w:rsid w:val="002F38E4"/>
    <w:rsid w:val="002F73E7"/>
    <w:rsid w:val="002F7F9C"/>
    <w:rsid w:val="003007C7"/>
    <w:rsid w:val="00301024"/>
    <w:rsid w:val="003015A9"/>
    <w:rsid w:val="00301877"/>
    <w:rsid w:val="0030249C"/>
    <w:rsid w:val="0030264E"/>
    <w:rsid w:val="00302796"/>
    <w:rsid w:val="00302E11"/>
    <w:rsid w:val="00303A67"/>
    <w:rsid w:val="003042ED"/>
    <w:rsid w:val="00304573"/>
    <w:rsid w:val="00304745"/>
    <w:rsid w:val="00305920"/>
    <w:rsid w:val="00305F17"/>
    <w:rsid w:val="00307A37"/>
    <w:rsid w:val="003116EF"/>
    <w:rsid w:val="003133AE"/>
    <w:rsid w:val="003133CA"/>
    <w:rsid w:val="00313768"/>
    <w:rsid w:val="00313BBD"/>
    <w:rsid w:val="00314B90"/>
    <w:rsid w:val="00314CF5"/>
    <w:rsid w:val="00314F07"/>
    <w:rsid w:val="00315060"/>
    <w:rsid w:val="00315F01"/>
    <w:rsid w:val="0032032A"/>
    <w:rsid w:val="0032198F"/>
    <w:rsid w:val="00322654"/>
    <w:rsid w:val="003235DE"/>
    <w:rsid w:val="00323700"/>
    <w:rsid w:val="00324DA0"/>
    <w:rsid w:val="00324DF7"/>
    <w:rsid w:val="003253DF"/>
    <w:rsid w:val="003255E2"/>
    <w:rsid w:val="00325858"/>
    <w:rsid w:val="00325D19"/>
    <w:rsid w:val="00325E6D"/>
    <w:rsid w:val="0033001F"/>
    <w:rsid w:val="00330025"/>
    <w:rsid w:val="00330AF9"/>
    <w:rsid w:val="00330BB9"/>
    <w:rsid w:val="00330C89"/>
    <w:rsid w:val="00330CC5"/>
    <w:rsid w:val="0033102A"/>
    <w:rsid w:val="00331AF4"/>
    <w:rsid w:val="00332E80"/>
    <w:rsid w:val="00334E0F"/>
    <w:rsid w:val="00335099"/>
    <w:rsid w:val="00335232"/>
    <w:rsid w:val="003368B1"/>
    <w:rsid w:val="00337A0F"/>
    <w:rsid w:val="0034025A"/>
    <w:rsid w:val="003402A7"/>
    <w:rsid w:val="003413CC"/>
    <w:rsid w:val="00342233"/>
    <w:rsid w:val="00342A99"/>
    <w:rsid w:val="00342BB6"/>
    <w:rsid w:val="0034332D"/>
    <w:rsid w:val="00343BA7"/>
    <w:rsid w:val="00343F05"/>
    <w:rsid w:val="00344080"/>
    <w:rsid w:val="00344A26"/>
    <w:rsid w:val="00345278"/>
    <w:rsid w:val="00345916"/>
    <w:rsid w:val="00345977"/>
    <w:rsid w:val="00346626"/>
    <w:rsid w:val="003475B4"/>
    <w:rsid w:val="00350226"/>
    <w:rsid w:val="003502CE"/>
    <w:rsid w:val="003506E9"/>
    <w:rsid w:val="00351A93"/>
    <w:rsid w:val="00352386"/>
    <w:rsid w:val="00352A62"/>
    <w:rsid w:val="003530A7"/>
    <w:rsid w:val="00353854"/>
    <w:rsid w:val="0035390D"/>
    <w:rsid w:val="00354724"/>
    <w:rsid w:val="00354E7A"/>
    <w:rsid w:val="00354F42"/>
    <w:rsid w:val="003553BF"/>
    <w:rsid w:val="0035582F"/>
    <w:rsid w:val="00355857"/>
    <w:rsid w:val="00356CF8"/>
    <w:rsid w:val="0035738E"/>
    <w:rsid w:val="003573D2"/>
    <w:rsid w:val="00357FCD"/>
    <w:rsid w:val="0036081D"/>
    <w:rsid w:val="003626D2"/>
    <w:rsid w:val="00362B80"/>
    <w:rsid w:val="00363608"/>
    <w:rsid w:val="003637C2"/>
    <w:rsid w:val="0036401D"/>
    <w:rsid w:val="00364703"/>
    <w:rsid w:val="00364C3D"/>
    <w:rsid w:val="00365AF0"/>
    <w:rsid w:val="00365D8C"/>
    <w:rsid w:val="003669BC"/>
    <w:rsid w:val="00366EEA"/>
    <w:rsid w:val="00367B01"/>
    <w:rsid w:val="003700B6"/>
    <w:rsid w:val="0037124A"/>
    <w:rsid w:val="00371989"/>
    <w:rsid w:val="00371BF8"/>
    <w:rsid w:val="00372542"/>
    <w:rsid w:val="00373B74"/>
    <w:rsid w:val="0037472E"/>
    <w:rsid w:val="00374C88"/>
    <w:rsid w:val="003756FF"/>
    <w:rsid w:val="003765E5"/>
    <w:rsid w:val="003769D6"/>
    <w:rsid w:val="00376F0D"/>
    <w:rsid w:val="00377A58"/>
    <w:rsid w:val="00377EF9"/>
    <w:rsid w:val="00380C2A"/>
    <w:rsid w:val="00380E27"/>
    <w:rsid w:val="00380E99"/>
    <w:rsid w:val="00381BCF"/>
    <w:rsid w:val="00382B41"/>
    <w:rsid w:val="00383158"/>
    <w:rsid w:val="00383E5C"/>
    <w:rsid w:val="00384EFB"/>
    <w:rsid w:val="0038754B"/>
    <w:rsid w:val="003876A1"/>
    <w:rsid w:val="00387703"/>
    <w:rsid w:val="003906A1"/>
    <w:rsid w:val="00391088"/>
    <w:rsid w:val="00391797"/>
    <w:rsid w:val="00392059"/>
    <w:rsid w:val="003923E5"/>
    <w:rsid w:val="00392439"/>
    <w:rsid w:val="003931E6"/>
    <w:rsid w:val="00394CC4"/>
    <w:rsid w:val="0039511C"/>
    <w:rsid w:val="003951A1"/>
    <w:rsid w:val="003953FE"/>
    <w:rsid w:val="00395C81"/>
    <w:rsid w:val="0039625C"/>
    <w:rsid w:val="003972B1"/>
    <w:rsid w:val="00397754"/>
    <w:rsid w:val="00397A35"/>
    <w:rsid w:val="003A018F"/>
    <w:rsid w:val="003A0315"/>
    <w:rsid w:val="003A0B1A"/>
    <w:rsid w:val="003A0D42"/>
    <w:rsid w:val="003A0D46"/>
    <w:rsid w:val="003A205F"/>
    <w:rsid w:val="003A2B20"/>
    <w:rsid w:val="003A32D0"/>
    <w:rsid w:val="003A4365"/>
    <w:rsid w:val="003A49BA"/>
    <w:rsid w:val="003A4D6D"/>
    <w:rsid w:val="003A5DE0"/>
    <w:rsid w:val="003A5F45"/>
    <w:rsid w:val="003A7E7E"/>
    <w:rsid w:val="003A7F66"/>
    <w:rsid w:val="003B07FA"/>
    <w:rsid w:val="003B087D"/>
    <w:rsid w:val="003B097B"/>
    <w:rsid w:val="003B193D"/>
    <w:rsid w:val="003B1AA8"/>
    <w:rsid w:val="003B26D9"/>
    <w:rsid w:val="003B33A0"/>
    <w:rsid w:val="003B37ED"/>
    <w:rsid w:val="003B3A84"/>
    <w:rsid w:val="003B3F74"/>
    <w:rsid w:val="003B4F11"/>
    <w:rsid w:val="003B509F"/>
    <w:rsid w:val="003B5937"/>
    <w:rsid w:val="003B5BAD"/>
    <w:rsid w:val="003B7187"/>
    <w:rsid w:val="003B7A7F"/>
    <w:rsid w:val="003B7AEE"/>
    <w:rsid w:val="003B7CE6"/>
    <w:rsid w:val="003C08E5"/>
    <w:rsid w:val="003C1704"/>
    <w:rsid w:val="003C170F"/>
    <w:rsid w:val="003C1BBA"/>
    <w:rsid w:val="003C2BB7"/>
    <w:rsid w:val="003C39F5"/>
    <w:rsid w:val="003C4678"/>
    <w:rsid w:val="003C470F"/>
    <w:rsid w:val="003C4C9C"/>
    <w:rsid w:val="003C56DC"/>
    <w:rsid w:val="003C5FC8"/>
    <w:rsid w:val="003C7779"/>
    <w:rsid w:val="003D08B8"/>
    <w:rsid w:val="003D0EEE"/>
    <w:rsid w:val="003D177D"/>
    <w:rsid w:val="003D202B"/>
    <w:rsid w:val="003D2AD0"/>
    <w:rsid w:val="003D2BDE"/>
    <w:rsid w:val="003D371B"/>
    <w:rsid w:val="003D3BA1"/>
    <w:rsid w:val="003D439B"/>
    <w:rsid w:val="003D5038"/>
    <w:rsid w:val="003D5E06"/>
    <w:rsid w:val="003D5EF4"/>
    <w:rsid w:val="003D642A"/>
    <w:rsid w:val="003D6715"/>
    <w:rsid w:val="003D753B"/>
    <w:rsid w:val="003D79EB"/>
    <w:rsid w:val="003E0652"/>
    <w:rsid w:val="003E1CF7"/>
    <w:rsid w:val="003E3AF2"/>
    <w:rsid w:val="003E4952"/>
    <w:rsid w:val="003E4C4D"/>
    <w:rsid w:val="003E626F"/>
    <w:rsid w:val="003E629B"/>
    <w:rsid w:val="003E74C7"/>
    <w:rsid w:val="003E7670"/>
    <w:rsid w:val="003E798A"/>
    <w:rsid w:val="003E7D38"/>
    <w:rsid w:val="003F1695"/>
    <w:rsid w:val="003F1F14"/>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1089"/>
    <w:rsid w:val="00411354"/>
    <w:rsid w:val="0041135C"/>
    <w:rsid w:val="0041268F"/>
    <w:rsid w:val="00412F03"/>
    <w:rsid w:val="00413AF6"/>
    <w:rsid w:val="004154F3"/>
    <w:rsid w:val="0041561B"/>
    <w:rsid w:val="0041742D"/>
    <w:rsid w:val="00417E60"/>
    <w:rsid w:val="00417FDA"/>
    <w:rsid w:val="0042074E"/>
    <w:rsid w:val="00421014"/>
    <w:rsid w:val="004211E8"/>
    <w:rsid w:val="00421A0C"/>
    <w:rsid w:val="00421D1B"/>
    <w:rsid w:val="0042203A"/>
    <w:rsid w:val="00423995"/>
    <w:rsid w:val="004239D2"/>
    <w:rsid w:val="004257B0"/>
    <w:rsid w:val="00425D3E"/>
    <w:rsid w:val="00425D42"/>
    <w:rsid w:val="004267CE"/>
    <w:rsid w:val="00430471"/>
    <w:rsid w:val="00430ADC"/>
    <w:rsid w:val="00431742"/>
    <w:rsid w:val="00431758"/>
    <w:rsid w:val="00431A01"/>
    <w:rsid w:val="00432211"/>
    <w:rsid w:val="0043224D"/>
    <w:rsid w:val="00432E39"/>
    <w:rsid w:val="004336EC"/>
    <w:rsid w:val="00433875"/>
    <w:rsid w:val="00434E99"/>
    <w:rsid w:val="00435012"/>
    <w:rsid w:val="00435855"/>
    <w:rsid w:val="00436776"/>
    <w:rsid w:val="004368A7"/>
    <w:rsid w:val="00437565"/>
    <w:rsid w:val="00440473"/>
    <w:rsid w:val="004421CD"/>
    <w:rsid w:val="00443261"/>
    <w:rsid w:val="00443FE8"/>
    <w:rsid w:val="00444271"/>
    <w:rsid w:val="00444299"/>
    <w:rsid w:val="004445A3"/>
    <w:rsid w:val="00445EF3"/>
    <w:rsid w:val="00446A38"/>
    <w:rsid w:val="00446A7A"/>
    <w:rsid w:val="00447694"/>
    <w:rsid w:val="00450B7B"/>
    <w:rsid w:val="00450F59"/>
    <w:rsid w:val="00451386"/>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7EF9"/>
    <w:rsid w:val="004700FA"/>
    <w:rsid w:val="0047055F"/>
    <w:rsid w:val="0047201E"/>
    <w:rsid w:val="00473D3B"/>
    <w:rsid w:val="00474A2F"/>
    <w:rsid w:val="00475F83"/>
    <w:rsid w:val="004761EB"/>
    <w:rsid w:val="004772DE"/>
    <w:rsid w:val="004778AC"/>
    <w:rsid w:val="00477A16"/>
    <w:rsid w:val="0048007E"/>
    <w:rsid w:val="0048191D"/>
    <w:rsid w:val="00481DD2"/>
    <w:rsid w:val="0048226A"/>
    <w:rsid w:val="004825EF"/>
    <w:rsid w:val="00482772"/>
    <w:rsid w:val="0048294D"/>
    <w:rsid w:val="004855FB"/>
    <w:rsid w:val="004856B5"/>
    <w:rsid w:val="0048667C"/>
    <w:rsid w:val="0049155F"/>
    <w:rsid w:val="004915AD"/>
    <w:rsid w:val="004916B1"/>
    <w:rsid w:val="00492338"/>
    <w:rsid w:val="004928C3"/>
    <w:rsid w:val="004928ED"/>
    <w:rsid w:val="00493633"/>
    <w:rsid w:val="0049450C"/>
    <w:rsid w:val="004947C6"/>
    <w:rsid w:val="004948DE"/>
    <w:rsid w:val="00495608"/>
    <w:rsid w:val="00495EFA"/>
    <w:rsid w:val="00496829"/>
    <w:rsid w:val="00497CB1"/>
    <w:rsid w:val="004A0102"/>
    <w:rsid w:val="004A086D"/>
    <w:rsid w:val="004A0EE0"/>
    <w:rsid w:val="004A1647"/>
    <w:rsid w:val="004A1ED7"/>
    <w:rsid w:val="004A2469"/>
    <w:rsid w:val="004A2C9F"/>
    <w:rsid w:val="004A42FB"/>
    <w:rsid w:val="004A4565"/>
    <w:rsid w:val="004A5A54"/>
    <w:rsid w:val="004A5AB1"/>
    <w:rsid w:val="004A6338"/>
    <w:rsid w:val="004A66BE"/>
    <w:rsid w:val="004A6806"/>
    <w:rsid w:val="004A692F"/>
    <w:rsid w:val="004A6A50"/>
    <w:rsid w:val="004A6DFF"/>
    <w:rsid w:val="004A6E95"/>
    <w:rsid w:val="004A7BA8"/>
    <w:rsid w:val="004A7D73"/>
    <w:rsid w:val="004A7ECB"/>
    <w:rsid w:val="004B1B8A"/>
    <w:rsid w:val="004B2274"/>
    <w:rsid w:val="004B2D23"/>
    <w:rsid w:val="004B35F4"/>
    <w:rsid w:val="004B392D"/>
    <w:rsid w:val="004B3E77"/>
    <w:rsid w:val="004B3E7C"/>
    <w:rsid w:val="004B5E53"/>
    <w:rsid w:val="004B6A39"/>
    <w:rsid w:val="004B7F3C"/>
    <w:rsid w:val="004C1498"/>
    <w:rsid w:val="004C1E85"/>
    <w:rsid w:val="004C2069"/>
    <w:rsid w:val="004C2A5C"/>
    <w:rsid w:val="004C2DE6"/>
    <w:rsid w:val="004C30BE"/>
    <w:rsid w:val="004C3B0E"/>
    <w:rsid w:val="004C45E6"/>
    <w:rsid w:val="004C5250"/>
    <w:rsid w:val="004C5512"/>
    <w:rsid w:val="004C574A"/>
    <w:rsid w:val="004C5994"/>
    <w:rsid w:val="004C5E6D"/>
    <w:rsid w:val="004C6590"/>
    <w:rsid w:val="004C666D"/>
    <w:rsid w:val="004C6D6F"/>
    <w:rsid w:val="004C6E58"/>
    <w:rsid w:val="004C7028"/>
    <w:rsid w:val="004D0C3C"/>
    <w:rsid w:val="004D17D1"/>
    <w:rsid w:val="004D1B50"/>
    <w:rsid w:val="004D1F16"/>
    <w:rsid w:val="004D339B"/>
    <w:rsid w:val="004D33D8"/>
    <w:rsid w:val="004D3503"/>
    <w:rsid w:val="004D36B1"/>
    <w:rsid w:val="004D3A27"/>
    <w:rsid w:val="004D4193"/>
    <w:rsid w:val="004D4E34"/>
    <w:rsid w:val="004D70F5"/>
    <w:rsid w:val="004D75C1"/>
    <w:rsid w:val="004E02ED"/>
    <w:rsid w:val="004E044D"/>
    <w:rsid w:val="004E0A90"/>
    <w:rsid w:val="004E255E"/>
    <w:rsid w:val="004E3816"/>
    <w:rsid w:val="004E38C6"/>
    <w:rsid w:val="004E3C34"/>
    <w:rsid w:val="004E470D"/>
    <w:rsid w:val="004E55D3"/>
    <w:rsid w:val="004E69E0"/>
    <w:rsid w:val="004E72C7"/>
    <w:rsid w:val="004E77F6"/>
    <w:rsid w:val="004E7FDB"/>
    <w:rsid w:val="004F0051"/>
    <w:rsid w:val="004F030D"/>
    <w:rsid w:val="004F039A"/>
    <w:rsid w:val="004F0BE3"/>
    <w:rsid w:val="004F1F48"/>
    <w:rsid w:val="004F1FF1"/>
    <w:rsid w:val="004F2FA6"/>
    <w:rsid w:val="004F33B7"/>
    <w:rsid w:val="004F353C"/>
    <w:rsid w:val="004F4957"/>
    <w:rsid w:val="004F5749"/>
    <w:rsid w:val="004F5F41"/>
    <w:rsid w:val="004F62FD"/>
    <w:rsid w:val="004F7437"/>
    <w:rsid w:val="004F78C8"/>
    <w:rsid w:val="00501129"/>
    <w:rsid w:val="00501843"/>
    <w:rsid w:val="005037C0"/>
    <w:rsid w:val="00505D9D"/>
    <w:rsid w:val="00505F3B"/>
    <w:rsid w:val="005061D7"/>
    <w:rsid w:val="00506252"/>
    <w:rsid w:val="00506C39"/>
    <w:rsid w:val="0050720C"/>
    <w:rsid w:val="00507694"/>
    <w:rsid w:val="00510FD9"/>
    <w:rsid w:val="00511A34"/>
    <w:rsid w:val="00511E5D"/>
    <w:rsid w:val="005134BB"/>
    <w:rsid w:val="005138FC"/>
    <w:rsid w:val="00513F8B"/>
    <w:rsid w:val="00514167"/>
    <w:rsid w:val="00514668"/>
    <w:rsid w:val="00514865"/>
    <w:rsid w:val="0051519E"/>
    <w:rsid w:val="00515FC2"/>
    <w:rsid w:val="00516518"/>
    <w:rsid w:val="00516E41"/>
    <w:rsid w:val="005206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6466"/>
    <w:rsid w:val="005271BF"/>
    <w:rsid w:val="00527C58"/>
    <w:rsid w:val="00527CC7"/>
    <w:rsid w:val="005307B5"/>
    <w:rsid w:val="00530DF9"/>
    <w:rsid w:val="00530E53"/>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796E"/>
    <w:rsid w:val="00537EE5"/>
    <w:rsid w:val="00540936"/>
    <w:rsid w:val="0054141A"/>
    <w:rsid w:val="0054147B"/>
    <w:rsid w:val="00541CB0"/>
    <w:rsid w:val="00543862"/>
    <w:rsid w:val="00543B27"/>
    <w:rsid w:val="005444A8"/>
    <w:rsid w:val="00545746"/>
    <w:rsid w:val="00545F54"/>
    <w:rsid w:val="00546472"/>
    <w:rsid w:val="005466D0"/>
    <w:rsid w:val="0054689F"/>
    <w:rsid w:val="00547D1F"/>
    <w:rsid w:val="005512E3"/>
    <w:rsid w:val="005512EC"/>
    <w:rsid w:val="00551B7D"/>
    <w:rsid w:val="00551D10"/>
    <w:rsid w:val="005531B3"/>
    <w:rsid w:val="00553522"/>
    <w:rsid w:val="005539D6"/>
    <w:rsid w:val="005546E0"/>
    <w:rsid w:val="00555473"/>
    <w:rsid w:val="00556644"/>
    <w:rsid w:val="0055710E"/>
    <w:rsid w:val="005572AD"/>
    <w:rsid w:val="0055746A"/>
    <w:rsid w:val="00561A33"/>
    <w:rsid w:val="00561B91"/>
    <w:rsid w:val="00561C39"/>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20E"/>
    <w:rsid w:val="005767D5"/>
    <w:rsid w:val="00576A2C"/>
    <w:rsid w:val="00580BCA"/>
    <w:rsid w:val="00580EB5"/>
    <w:rsid w:val="00580F71"/>
    <w:rsid w:val="005812EB"/>
    <w:rsid w:val="00581AAE"/>
    <w:rsid w:val="0058263A"/>
    <w:rsid w:val="00582BAE"/>
    <w:rsid w:val="00582D38"/>
    <w:rsid w:val="005838C2"/>
    <w:rsid w:val="00583BC3"/>
    <w:rsid w:val="0058495D"/>
    <w:rsid w:val="005871E5"/>
    <w:rsid w:val="00587DF0"/>
    <w:rsid w:val="005904DB"/>
    <w:rsid w:val="00590F19"/>
    <w:rsid w:val="00591175"/>
    <w:rsid w:val="0059132C"/>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79C3"/>
    <w:rsid w:val="005A0DCA"/>
    <w:rsid w:val="005A0EAF"/>
    <w:rsid w:val="005A0F89"/>
    <w:rsid w:val="005A14C6"/>
    <w:rsid w:val="005A1574"/>
    <w:rsid w:val="005A1B14"/>
    <w:rsid w:val="005A3156"/>
    <w:rsid w:val="005A3A84"/>
    <w:rsid w:val="005A43EB"/>
    <w:rsid w:val="005A4FF4"/>
    <w:rsid w:val="005A5FBA"/>
    <w:rsid w:val="005A6104"/>
    <w:rsid w:val="005A6641"/>
    <w:rsid w:val="005B0936"/>
    <w:rsid w:val="005B0CB9"/>
    <w:rsid w:val="005B0F5F"/>
    <w:rsid w:val="005B1085"/>
    <w:rsid w:val="005B1AEB"/>
    <w:rsid w:val="005B2F8F"/>
    <w:rsid w:val="005B4460"/>
    <w:rsid w:val="005B50C5"/>
    <w:rsid w:val="005B5B8A"/>
    <w:rsid w:val="005B5F74"/>
    <w:rsid w:val="005B66C4"/>
    <w:rsid w:val="005B6B93"/>
    <w:rsid w:val="005B6BF9"/>
    <w:rsid w:val="005B6E45"/>
    <w:rsid w:val="005B7806"/>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1544"/>
    <w:rsid w:val="005D39EF"/>
    <w:rsid w:val="005D3EFE"/>
    <w:rsid w:val="005D4333"/>
    <w:rsid w:val="005D56ED"/>
    <w:rsid w:val="005D5921"/>
    <w:rsid w:val="005D6F48"/>
    <w:rsid w:val="005D7E7F"/>
    <w:rsid w:val="005E025F"/>
    <w:rsid w:val="005E0CB3"/>
    <w:rsid w:val="005E0DE1"/>
    <w:rsid w:val="005E18C8"/>
    <w:rsid w:val="005E1AF1"/>
    <w:rsid w:val="005E30AA"/>
    <w:rsid w:val="005E33D0"/>
    <w:rsid w:val="005E359F"/>
    <w:rsid w:val="005E39EB"/>
    <w:rsid w:val="005E474F"/>
    <w:rsid w:val="005E47A2"/>
    <w:rsid w:val="005E4DDA"/>
    <w:rsid w:val="005E51D7"/>
    <w:rsid w:val="005E600B"/>
    <w:rsid w:val="005E6683"/>
    <w:rsid w:val="005E6F92"/>
    <w:rsid w:val="005E7099"/>
    <w:rsid w:val="005E7418"/>
    <w:rsid w:val="005E7D45"/>
    <w:rsid w:val="005E7E4A"/>
    <w:rsid w:val="005E7FD2"/>
    <w:rsid w:val="005F00AE"/>
    <w:rsid w:val="005F0BDA"/>
    <w:rsid w:val="005F20CC"/>
    <w:rsid w:val="005F2803"/>
    <w:rsid w:val="005F293C"/>
    <w:rsid w:val="005F2DA8"/>
    <w:rsid w:val="005F353C"/>
    <w:rsid w:val="005F3745"/>
    <w:rsid w:val="005F416E"/>
    <w:rsid w:val="005F4D43"/>
    <w:rsid w:val="005F5F4E"/>
    <w:rsid w:val="005F64D9"/>
    <w:rsid w:val="005F7132"/>
    <w:rsid w:val="00600690"/>
    <w:rsid w:val="00600D28"/>
    <w:rsid w:val="0060208D"/>
    <w:rsid w:val="0060231E"/>
    <w:rsid w:val="00602398"/>
    <w:rsid w:val="006033F9"/>
    <w:rsid w:val="00603548"/>
    <w:rsid w:val="0060394D"/>
    <w:rsid w:val="00603977"/>
    <w:rsid w:val="00603FA8"/>
    <w:rsid w:val="0060441F"/>
    <w:rsid w:val="0060549A"/>
    <w:rsid w:val="006058E2"/>
    <w:rsid w:val="00605BDD"/>
    <w:rsid w:val="006061CE"/>
    <w:rsid w:val="00606420"/>
    <w:rsid w:val="00606442"/>
    <w:rsid w:val="00606791"/>
    <w:rsid w:val="00606842"/>
    <w:rsid w:val="0061098E"/>
    <w:rsid w:val="00610E34"/>
    <w:rsid w:val="00610E52"/>
    <w:rsid w:val="00611227"/>
    <w:rsid w:val="006112E2"/>
    <w:rsid w:val="006118C1"/>
    <w:rsid w:val="00611A66"/>
    <w:rsid w:val="00611EEF"/>
    <w:rsid w:val="006137D9"/>
    <w:rsid w:val="006139B8"/>
    <w:rsid w:val="00614253"/>
    <w:rsid w:val="00615251"/>
    <w:rsid w:val="0061548E"/>
    <w:rsid w:val="006156F7"/>
    <w:rsid w:val="00615871"/>
    <w:rsid w:val="00615C79"/>
    <w:rsid w:val="00616416"/>
    <w:rsid w:val="006176C5"/>
    <w:rsid w:val="0062024B"/>
    <w:rsid w:val="00620A3F"/>
    <w:rsid w:val="00621E29"/>
    <w:rsid w:val="00622643"/>
    <w:rsid w:val="006251E3"/>
    <w:rsid w:val="0062553E"/>
    <w:rsid w:val="00625FD7"/>
    <w:rsid w:val="006263CC"/>
    <w:rsid w:val="00626605"/>
    <w:rsid w:val="006266B4"/>
    <w:rsid w:val="00627B4F"/>
    <w:rsid w:val="00630546"/>
    <w:rsid w:val="00630591"/>
    <w:rsid w:val="006310F2"/>
    <w:rsid w:val="006312EF"/>
    <w:rsid w:val="006317EB"/>
    <w:rsid w:val="00631A10"/>
    <w:rsid w:val="00633592"/>
    <w:rsid w:val="006335DC"/>
    <w:rsid w:val="00633A8A"/>
    <w:rsid w:val="006340A5"/>
    <w:rsid w:val="00634243"/>
    <w:rsid w:val="00634729"/>
    <w:rsid w:val="00635677"/>
    <w:rsid w:val="00635FA1"/>
    <w:rsid w:val="006361B6"/>
    <w:rsid w:val="0063698B"/>
    <w:rsid w:val="0063720D"/>
    <w:rsid w:val="006379C5"/>
    <w:rsid w:val="006406DC"/>
    <w:rsid w:val="006416DA"/>
    <w:rsid w:val="00641725"/>
    <w:rsid w:val="00641B1D"/>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C"/>
    <w:rsid w:val="00655DDF"/>
    <w:rsid w:val="00656815"/>
    <w:rsid w:val="00657409"/>
    <w:rsid w:val="00657447"/>
    <w:rsid w:val="00657825"/>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6475"/>
    <w:rsid w:val="006771B9"/>
    <w:rsid w:val="00677222"/>
    <w:rsid w:val="0067794F"/>
    <w:rsid w:val="00681500"/>
    <w:rsid w:val="00681AE4"/>
    <w:rsid w:val="00681C00"/>
    <w:rsid w:val="00682C90"/>
    <w:rsid w:val="00683387"/>
    <w:rsid w:val="0068356C"/>
    <w:rsid w:val="00683F40"/>
    <w:rsid w:val="00684519"/>
    <w:rsid w:val="006846C8"/>
    <w:rsid w:val="006852C8"/>
    <w:rsid w:val="00686FE9"/>
    <w:rsid w:val="00687F4B"/>
    <w:rsid w:val="00690627"/>
    <w:rsid w:val="00691140"/>
    <w:rsid w:val="00691548"/>
    <w:rsid w:val="00693BE4"/>
    <w:rsid w:val="006940AF"/>
    <w:rsid w:val="00694561"/>
    <w:rsid w:val="006945BF"/>
    <w:rsid w:val="006959B3"/>
    <w:rsid w:val="00695B52"/>
    <w:rsid w:val="0069605B"/>
    <w:rsid w:val="006962C2"/>
    <w:rsid w:val="00697093"/>
    <w:rsid w:val="00697AC8"/>
    <w:rsid w:val="006A0D46"/>
    <w:rsid w:val="006A1BC4"/>
    <w:rsid w:val="006A21D5"/>
    <w:rsid w:val="006A2D84"/>
    <w:rsid w:val="006A3A96"/>
    <w:rsid w:val="006A4398"/>
    <w:rsid w:val="006A47E8"/>
    <w:rsid w:val="006A4802"/>
    <w:rsid w:val="006A488E"/>
    <w:rsid w:val="006A4970"/>
    <w:rsid w:val="006A555F"/>
    <w:rsid w:val="006A6BF4"/>
    <w:rsid w:val="006A74D3"/>
    <w:rsid w:val="006A7510"/>
    <w:rsid w:val="006B1F78"/>
    <w:rsid w:val="006B1F7E"/>
    <w:rsid w:val="006B2012"/>
    <w:rsid w:val="006B26E5"/>
    <w:rsid w:val="006B27B2"/>
    <w:rsid w:val="006B2E93"/>
    <w:rsid w:val="006B3F7E"/>
    <w:rsid w:val="006B4360"/>
    <w:rsid w:val="006B4F0B"/>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1694"/>
    <w:rsid w:val="006D171E"/>
    <w:rsid w:val="006D240E"/>
    <w:rsid w:val="006D273C"/>
    <w:rsid w:val="006D2F6B"/>
    <w:rsid w:val="006D30E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6A55"/>
    <w:rsid w:val="006E73C7"/>
    <w:rsid w:val="006E7795"/>
    <w:rsid w:val="006F093C"/>
    <w:rsid w:val="006F0C47"/>
    <w:rsid w:val="006F1391"/>
    <w:rsid w:val="006F2476"/>
    <w:rsid w:val="006F3443"/>
    <w:rsid w:val="006F34F7"/>
    <w:rsid w:val="006F40B4"/>
    <w:rsid w:val="006F4580"/>
    <w:rsid w:val="006F45AC"/>
    <w:rsid w:val="006F4AF5"/>
    <w:rsid w:val="006F4B7D"/>
    <w:rsid w:val="006F522F"/>
    <w:rsid w:val="006F56FE"/>
    <w:rsid w:val="006F57C7"/>
    <w:rsid w:val="006F5982"/>
    <w:rsid w:val="006F6E4D"/>
    <w:rsid w:val="006F7076"/>
    <w:rsid w:val="006F7422"/>
    <w:rsid w:val="006F7F28"/>
    <w:rsid w:val="0070086E"/>
    <w:rsid w:val="007010CA"/>
    <w:rsid w:val="00701CF6"/>
    <w:rsid w:val="007021AC"/>
    <w:rsid w:val="00702779"/>
    <w:rsid w:val="00704234"/>
    <w:rsid w:val="00704493"/>
    <w:rsid w:val="007048F6"/>
    <w:rsid w:val="00704AE8"/>
    <w:rsid w:val="00705405"/>
    <w:rsid w:val="007060EA"/>
    <w:rsid w:val="0070726C"/>
    <w:rsid w:val="00707CCD"/>
    <w:rsid w:val="00710C08"/>
    <w:rsid w:val="00711AB8"/>
    <w:rsid w:val="00711CBA"/>
    <w:rsid w:val="00711DD3"/>
    <w:rsid w:val="00711ED9"/>
    <w:rsid w:val="00713133"/>
    <w:rsid w:val="00713907"/>
    <w:rsid w:val="00714F8F"/>
    <w:rsid w:val="00715024"/>
    <w:rsid w:val="00715204"/>
    <w:rsid w:val="00715313"/>
    <w:rsid w:val="0071547F"/>
    <w:rsid w:val="0071588B"/>
    <w:rsid w:val="00715B3E"/>
    <w:rsid w:val="00716138"/>
    <w:rsid w:val="007202A0"/>
    <w:rsid w:val="00720A0C"/>
    <w:rsid w:val="007213F6"/>
    <w:rsid w:val="00722242"/>
    <w:rsid w:val="007230B8"/>
    <w:rsid w:val="00723250"/>
    <w:rsid w:val="0072356C"/>
    <w:rsid w:val="00724A24"/>
    <w:rsid w:val="0072595B"/>
    <w:rsid w:val="0072660B"/>
    <w:rsid w:val="00726739"/>
    <w:rsid w:val="007268B3"/>
    <w:rsid w:val="007271DD"/>
    <w:rsid w:val="00727BB8"/>
    <w:rsid w:val="0073076D"/>
    <w:rsid w:val="0073095E"/>
    <w:rsid w:val="00733036"/>
    <w:rsid w:val="0073305F"/>
    <w:rsid w:val="00734327"/>
    <w:rsid w:val="0073438F"/>
    <w:rsid w:val="007345A5"/>
    <w:rsid w:val="007346D3"/>
    <w:rsid w:val="00735EF1"/>
    <w:rsid w:val="00736C26"/>
    <w:rsid w:val="00741280"/>
    <w:rsid w:val="007415C0"/>
    <w:rsid w:val="007422E4"/>
    <w:rsid w:val="007426CB"/>
    <w:rsid w:val="00742826"/>
    <w:rsid w:val="00743DBE"/>
    <w:rsid w:val="00744032"/>
    <w:rsid w:val="00744874"/>
    <w:rsid w:val="00745258"/>
    <w:rsid w:val="00746D99"/>
    <w:rsid w:val="00746FEC"/>
    <w:rsid w:val="00747DA7"/>
    <w:rsid w:val="0075077A"/>
    <w:rsid w:val="00753561"/>
    <w:rsid w:val="00755333"/>
    <w:rsid w:val="0075653C"/>
    <w:rsid w:val="00756788"/>
    <w:rsid w:val="007568D6"/>
    <w:rsid w:val="0075768B"/>
    <w:rsid w:val="007608DB"/>
    <w:rsid w:val="00760B61"/>
    <w:rsid w:val="007610FE"/>
    <w:rsid w:val="00761EC4"/>
    <w:rsid w:val="007636F3"/>
    <w:rsid w:val="0076548F"/>
    <w:rsid w:val="00766FC1"/>
    <w:rsid w:val="0076746D"/>
    <w:rsid w:val="00767D49"/>
    <w:rsid w:val="00770707"/>
    <w:rsid w:val="0077202B"/>
    <w:rsid w:val="00773047"/>
    <w:rsid w:val="00774087"/>
    <w:rsid w:val="007753FF"/>
    <w:rsid w:val="00775F84"/>
    <w:rsid w:val="007765CB"/>
    <w:rsid w:val="007767DF"/>
    <w:rsid w:val="00776825"/>
    <w:rsid w:val="00777016"/>
    <w:rsid w:val="007774D4"/>
    <w:rsid w:val="00777D1A"/>
    <w:rsid w:val="00777D2F"/>
    <w:rsid w:val="00777D9A"/>
    <w:rsid w:val="00780575"/>
    <w:rsid w:val="00781E73"/>
    <w:rsid w:val="0078346D"/>
    <w:rsid w:val="0078478F"/>
    <w:rsid w:val="00786880"/>
    <w:rsid w:val="00787D60"/>
    <w:rsid w:val="00791665"/>
    <w:rsid w:val="0079189A"/>
    <w:rsid w:val="007919E7"/>
    <w:rsid w:val="00794156"/>
    <w:rsid w:val="00795057"/>
    <w:rsid w:val="007960B0"/>
    <w:rsid w:val="007962CE"/>
    <w:rsid w:val="007965A8"/>
    <w:rsid w:val="0079683B"/>
    <w:rsid w:val="00796B68"/>
    <w:rsid w:val="007A0BCF"/>
    <w:rsid w:val="007A13C1"/>
    <w:rsid w:val="007A1704"/>
    <w:rsid w:val="007A2819"/>
    <w:rsid w:val="007A2D76"/>
    <w:rsid w:val="007A3636"/>
    <w:rsid w:val="007A4215"/>
    <w:rsid w:val="007A4D6D"/>
    <w:rsid w:val="007A53F5"/>
    <w:rsid w:val="007A56DA"/>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1DEE"/>
    <w:rsid w:val="007C2253"/>
    <w:rsid w:val="007C39A1"/>
    <w:rsid w:val="007C3B29"/>
    <w:rsid w:val="007C4316"/>
    <w:rsid w:val="007C45E3"/>
    <w:rsid w:val="007C5809"/>
    <w:rsid w:val="007C5909"/>
    <w:rsid w:val="007C5E2B"/>
    <w:rsid w:val="007C5F30"/>
    <w:rsid w:val="007C5FAB"/>
    <w:rsid w:val="007C66AF"/>
    <w:rsid w:val="007C7761"/>
    <w:rsid w:val="007D0568"/>
    <w:rsid w:val="007D17C4"/>
    <w:rsid w:val="007D1906"/>
    <w:rsid w:val="007D20C0"/>
    <w:rsid w:val="007D2D9A"/>
    <w:rsid w:val="007D47B0"/>
    <w:rsid w:val="007D4845"/>
    <w:rsid w:val="007D498B"/>
    <w:rsid w:val="007D49F7"/>
    <w:rsid w:val="007D5B3B"/>
    <w:rsid w:val="007D6EE2"/>
    <w:rsid w:val="007E12D7"/>
    <w:rsid w:val="007E2C26"/>
    <w:rsid w:val="007E3E42"/>
    <w:rsid w:val="007E409D"/>
    <w:rsid w:val="007E4715"/>
    <w:rsid w:val="007E4AC2"/>
    <w:rsid w:val="007E62DA"/>
    <w:rsid w:val="007E6B93"/>
    <w:rsid w:val="007E6CE9"/>
    <w:rsid w:val="007E7083"/>
    <w:rsid w:val="007F1357"/>
    <w:rsid w:val="007F2A1A"/>
    <w:rsid w:val="007F2F5D"/>
    <w:rsid w:val="007F359E"/>
    <w:rsid w:val="007F3B0F"/>
    <w:rsid w:val="007F3D45"/>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364F"/>
    <w:rsid w:val="008043A4"/>
    <w:rsid w:val="00804B8A"/>
    <w:rsid w:val="00805586"/>
    <w:rsid w:val="00805DD5"/>
    <w:rsid w:val="0080611C"/>
    <w:rsid w:val="00806653"/>
    <w:rsid w:val="00807706"/>
    <w:rsid w:val="00807A3B"/>
    <w:rsid w:val="00810B97"/>
    <w:rsid w:val="008110F9"/>
    <w:rsid w:val="00811C0C"/>
    <w:rsid w:val="00812E0B"/>
    <w:rsid w:val="0081367A"/>
    <w:rsid w:val="0081378F"/>
    <w:rsid w:val="008144DC"/>
    <w:rsid w:val="00815499"/>
    <w:rsid w:val="00815B75"/>
    <w:rsid w:val="00815BD9"/>
    <w:rsid w:val="00815DF6"/>
    <w:rsid w:val="00815E17"/>
    <w:rsid w:val="00815F6E"/>
    <w:rsid w:val="00820829"/>
    <w:rsid w:val="00820A16"/>
    <w:rsid w:val="00820D2D"/>
    <w:rsid w:val="00820F1B"/>
    <w:rsid w:val="0082208C"/>
    <w:rsid w:val="00822FD2"/>
    <w:rsid w:val="00823636"/>
    <w:rsid w:val="0082418C"/>
    <w:rsid w:val="00827429"/>
    <w:rsid w:val="00827EA9"/>
    <w:rsid w:val="00830573"/>
    <w:rsid w:val="00831466"/>
    <w:rsid w:val="00831783"/>
    <w:rsid w:val="00831939"/>
    <w:rsid w:val="008323FD"/>
    <w:rsid w:val="00832C3C"/>
    <w:rsid w:val="00832FA9"/>
    <w:rsid w:val="008347DE"/>
    <w:rsid w:val="00834C87"/>
    <w:rsid w:val="0083541A"/>
    <w:rsid w:val="00835D23"/>
    <w:rsid w:val="00835E9B"/>
    <w:rsid w:val="00836B2A"/>
    <w:rsid w:val="008404D7"/>
    <w:rsid w:val="00841FA1"/>
    <w:rsid w:val="008422E9"/>
    <w:rsid w:val="0084298F"/>
    <w:rsid w:val="00844172"/>
    <w:rsid w:val="0084417A"/>
    <w:rsid w:val="00844FCA"/>
    <w:rsid w:val="00844FCB"/>
    <w:rsid w:val="0084601D"/>
    <w:rsid w:val="00846A94"/>
    <w:rsid w:val="008470A9"/>
    <w:rsid w:val="008472A5"/>
    <w:rsid w:val="008479F8"/>
    <w:rsid w:val="008504A2"/>
    <w:rsid w:val="008520DE"/>
    <w:rsid w:val="0085261D"/>
    <w:rsid w:val="008546F0"/>
    <w:rsid w:val="008553D8"/>
    <w:rsid w:val="0085557A"/>
    <w:rsid w:val="00855C91"/>
    <w:rsid w:val="00856202"/>
    <w:rsid w:val="00856ABD"/>
    <w:rsid w:val="00860850"/>
    <w:rsid w:val="00860A08"/>
    <w:rsid w:val="00861082"/>
    <w:rsid w:val="00861650"/>
    <w:rsid w:val="00861AE4"/>
    <w:rsid w:val="00861E7B"/>
    <w:rsid w:val="00862C85"/>
    <w:rsid w:val="00862EE7"/>
    <w:rsid w:val="00863178"/>
    <w:rsid w:val="00863DB1"/>
    <w:rsid w:val="00864225"/>
    <w:rsid w:val="008647E2"/>
    <w:rsid w:val="008654B2"/>
    <w:rsid w:val="008656E3"/>
    <w:rsid w:val="008658C6"/>
    <w:rsid w:val="00865C3F"/>
    <w:rsid w:val="008666CE"/>
    <w:rsid w:val="00867105"/>
    <w:rsid w:val="008712AF"/>
    <w:rsid w:val="00871AB2"/>
    <w:rsid w:val="008725F8"/>
    <w:rsid w:val="00872D2B"/>
    <w:rsid w:val="00873D63"/>
    <w:rsid w:val="008740DB"/>
    <w:rsid w:val="008744E8"/>
    <w:rsid w:val="008746DF"/>
    <w:rsid w:val="00875803"/>
    <w:rsid w:val="00875FD5"/>
    <w:rsid w:val="00876348"/>
    <w:rsid w:val="00876362"/>
    <w:rsid w:val="00876ED7"/>
    <w:rsid w:val="0087751A"/>
    <w:rsid w:val="008808E3"/>
    <w:rsid w:val="00880B6E"/>
    <w:rsid w:val="00880DB9"/>
    <w:rsid w:val="0088152D"/>
    <w:rsid w:val="00881DB4"/>
    <w:rsid w:val="00881FF2"/>
    <w:rsid w:val="00882836"/>
    <w:rsid w:val="00883ABA"/>
    <w:rsid w:val="008845F8"/>
    <w:rsid w:val="00884B0E"/>
    <w:rsid w:val="00884DAF"/>
    <w:rsid w:val="008852D0"/>
    <w:rsid w:val="0088574B"/>
    <w:rsid w:val="00885B14"/>
    <w:rsid w:val="00885C9C"/>
    <w:rsid w:val="00887082"/>
    <w:rsid w:val="0088745E"/>
    <w:rsid w:val="0088777F"/>
    <w:rsid w:val="00891A7E"/>
    <w:rsid w:val="00892D61"/>
    <w:rsid w:val="008933A7"/>
    <w:rsid w:val="00893B6D"/>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6279"/>
    <w:rsid w:val="008A6E50"/>
    <w:rsid w:val="008A7029"/>
    <w:rsid w:val="008B01C4"/>
    <w:rsid w:val="008B01D9"/>
    <w:rsid w:val="008B0825"/>
    <w:rsid w:val="008B3EB0"/>
    <w:rsid w:val="008B48D5"/>
    <w:rsid w:val="008B5970"/>
    <w:rsid w:val="008B6288"/>
    <w:rsid w:val="008C13DA"/>
    <w:rsid w:val="008C1833"/>
    <w:rsid w:val="008C2EB1"/>
    <w:rsid w:val="008C3812"/>
    <w:rsid w:val="008C3B2F"/>
    <w:rsid w:val="008C3C2D"/>
    <w:rsid w:val="008C3EB8"/>
    <w:rsid w:val="008C4006"/>
    <w:rsid w:val="008C440F"/>
    <w:rsid w:val="008C51F7"/>
    <w:rsid w:val="008C5DB2"/>
    <w:rsid w:val="008C5E06"/>
    <w:rsid w:val="008C6F9C"/>
    <w:rsid w:val="008C705C"/>
    <w:rsid w:val="008C7142"/>
    <w:rsid w:val="008C7288"/>
    <w:rsid w:val="008C73A0"/>
    <w:rsid w:val="008C77E8"/>
    <w:rsid w:val="008C780C"/>
    <w:rsid w:val="008C7C06"/>
    <w:rsid w:val="008D0FD1"/>
    <w:rsid w:val="008D2030"/>
    <w:rsid w:val="008D223A"/>
    <w:rsid w:val="008D2E97"/>
    <w:rsid w:val="008D328E"/>
    <w:rsid w:val="008D392A"/>
    <w:rsid w:val="008D3FE3"/>
    <w:rsid w:val="008D43A0"/>
    <w:rsid w:val="008D441D"/>
    <w:rsid w:val="008D4719"/>
    <w:rsid w:val="008D489E"/>
    <w:rsid w:val="008D53E7"/>
    <w:rsid w:val="008D592F"/>
    <w:rsid w:val="008D5E9A"/>
    <w:rsid w:val="008D600B"/>
    <w:rsid w:val="008D66BD"/>
    <w:rsid w:val="008D6A4D"/>
    <w:rsid w:val="008D6A68"/>
    <w:rsid w:val="008D6BC3"/>
    <w:rsid w:val="008D77C4"/>
    <w:rsid w:val="008D7840"/>
    <w:rsid w:val="008D7BF4"/>
    <w:rsid w:val="008E0EDB"/>
    <w:rsid w:val="008E1692"/>
    <w:rsid w:val="008E5642"/>
    <w:rsid w:val="008E5EBE"/>
    <w:rsid w:val="008E69B5"/>
    <w:rsid w:val="008F0067"/>
    <w:rsid w:val="008F068F"/>
    <w:rsid w:val="008F0724"/>
    <w:rsid w:val="008F1B92"/>
    <w:rsid w:val="008F1BEB"/>
    <w:rsid w:val="008F1CC5"/>
    <w:rsid w:val="008F229B"/>
    <w:rsid w:val="008F32ED"/>
    <w:rsid w:val="008F393E"/>
    <w:rsid w:val="008F4E01"/>
    <w:rsid w:val="008F6776"/>
    <w:rsid w:val="008F788C"/>
    <w:rsid w:val="008F7901"/>
    <w:rsid w:val="00900962"/>
    <w:rsid w:val="00900DF9"/>
    <w:rsid w:val="00900E34"/>
    <w:rsid w:val="00900FA8"/>
    <w:rsid w:val="00901304"/>
    <w:rsid w:val="0090136D"/>
    <w:rsid w:val="00902053"/>
    <w:rsid w:val="009029A6"/>
    <w:rsid w:val="00902FB5"/>
    <w:rsid w:val="00904D95"/>
    <w:rsid w:val="009055E3"/>
    <w:rsid w:val="00905B29"/>
    <w:rsid w:val="00906967"/>
    <w:rsid w:val="00906A87"/>
    <w:rsid w:val="00906C76"/>
    <w:rsid w:val="0090770D"/>
    <w:rsid w:val="0091030D"/>
    <w:rsid w:val="009109C6"/>
    <w:rsid w:val="0091137F"/>
    <w:rsid w:val="00911D57"/>
    <w:rsid w:val="00911DD4"/>
    <w:rsid w:val="00912207"/>
    <w:rsid w:val="00912DB5"/>
    <w:rsid w:val="009139CE"/>
    <w:rsid w:val="00913AE2"/>
    <w:rsid w:val="00913B86"/>
    <w:rsid w:val="0091475B"/>
    <w:rsid w:val="00914D60"/>
    <w:rsid w:val="00920AF3"/>
    <w:rsid w:val="00922586"/>
    <w:rsid w:val="00922A3E"/>
    <w:rsid w:val="00922A4C"/>
    <w:rsid w:val="00922AE7"/>
    <w:rsid w:val="00923736"/>
    <w:rsid w:val="009244C7"/>
    <w:rsid w:val="00924E5A"/>
    <w:rsid w:val="00925B21"/>
    <w:rsid w:val="00925D23"/>
    <w:rsid w:val="0092616C"/>
    <w:rsid w:val="00926244"/>
    <w:rsid w:val="00926C7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30A7"/>
    <w:rsid w:val="00943184"/>
    <w:rsid w:val="009433DC"/>
    <w:rsid w:val="00943FF0"/>
    <w:rsid w:val="00944998"/>
    <w:rsid w:val="00944B77"/>
    <w:rsid w:val="00944C35"/>
    <w:rsid w:val="00945192"/>
    <w:rsid w:val="00945304"/>
    <w:rsid w:val="00945E86"/>
    <w:rsid w:val="00945EDD"/>
    <w:rsid w:val="00947718"/>
    <w:rsid w:val="00947DFE"/>
    <w:rsid w:val="009501DA"/>
    <w:rsid w:val="0095050B"/>
    <w:rsid w:val="00950BE4"/>
    <w:rsid w:val="009517B3"/>
    <w:rsid w:val="00951BF1"/>
    <w:rsid w:val="009520BA"/>
    <w:rsid w:val="00952509"/>
    <w:rsid w:val="00954782"/>
    <w:rsid w:val="00956C75"/>
    <w:rsid w:val="00957DE8"/>
    <w:rsid w:val="00960333"/>
    <w:rsid w:val="00960EE3"/>
    <w:rsid w:val="009638E1"/>
    <w:rsid w:val="00963EE6"/>
    <w:rsid w:val="00963FC5"/>
    <w:rsid w:val="0096518B"/>
    <w:rsid w:val="00965356"/>
    <w:rsid w:val="009659F6"/>
    <w:rsid w:val="00965DC1"/>
    <w:rsid w:val="00965FEE"/>
    <w:rsid w:val="00966D0D"/>
    <w:rsid w:val="00966D46"/>
    <w:rsid w:val="00966D74"/>
    <w:rsid w:val="0096721E"/>
    <w:rsid w:val="009673A5"/>
    <w:rsid w:val="00970510"/>
    <w:rsid w:val="00970744"/>
    <w:rsid w:val="00970968"/>
    <w:rsid w:val="00970F7F"/>
    <w:rsid w:val="00971828"/>
    <w:rsid w:val="009720A8"/>
    <w:rsid w:val="0097275B"/>
    <w:rsid w:val="00973329"/>
    <w:rsid w:val="00973F8B"/>
    <w:rsid w:val="00973FB4"/>
    <w:rsid w:val="0097444B"/>
    <w:rsid w:val="00975F43"/>
    <w:rsid w:val="00976C48"/>
    <w:rsid w:val="0097707E"/>
    <w:rsid w:val="009775C8"/>
    <w:rsid w:val="00977F02"/>
    <w:rsid w:val="00980A7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305F"/>
    <w:rsid w:val="0099497D"/>
    <w:rsid w:val="00995202"/>
    <w:rsid w:val="00995929"/>
    <w:rsid w:val="00996682"/>
    <w:rsid w:val="009967CF"/>
    <w:rsid w:val="00996CF7"/>
    <w:rsid w:val="00996D51"/>
    <w:rsid w:val="009A06B8"/>
    <w:rsid w:val="009A0D63"/>
    <w:rsid w:val="009A141E"/>
    <w:rsid w:val="009A1483"/>
    <w:rsid w:val="009A24DD"/>
    <w:rsid w:val="009A2EA0"/>
    <w:rsid w:val="009A3767"/>
    <w:rsid w:val="009A379E"/>
    <w:rsid w:val="009A3BB7"/>
    <w:rsid w:val="009A403B"/>
    <w:rsid w:val="009A4A3F"/>
    <w:rsid w:val="009A4EFF"/>
    <w:rsid w:val="009A7F9D"/>
    <w:rsid w:val="009B01BD"/>
    <w:rsid w:val="009B1131"/>
    <w:rsid w:val="009B12D0"/>
    <w:rsid w:val="009B159B"/>
    <w:rsid w:val="009B189D"/>
    <w:rsid w:val="009B276A"/>
    <w:rsid w:val="009B32E2"/>
    <w:rsid w:val="009B38BC"/>
    <w:rsid w:val="009B4177"/>
    <w:rsid w:val="009B4BB3"/>
    <w:rsid w:val="009B4C15"/>
    <w:rsid w:val="009B56C4"/>
    <w:rsid w:val="009B690A"/>
    <w:rsid w:val="009B71F7"/>
    <w:rsid w:val="009C0CC9"/>
    <w:rsid w:val="009C0DA0"/>
    <w:rsid w:val="009C136D"/>
    <w:rsid w:val="009C208B"/>
    <w:rsid w:val="009C3208"/>
    <w:rsid w:val="009C3E79"/>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A71"/>
    <w:rsid w:val="009D5E2B"/>
    <w:rsid w:val="009D5E51"/>
    <w:rsid w:val="009D6B8F"/>
    <w:rsid w:val="009D707F"/>
    <w:rsid w:val="009D7470"/>
    <w:rsid w:val="009D7AB0"/>
    <w:rsid w:val="009E01BC"/>
    <w:rsid w:val="009E09A8"/>
    <w:rsid w:val="009E2204"/>
    <w:rsid w:val="009E226A"/>
    <w:rsid w:val="009E22AB"/>
    <w:rsid w:val="009E2CC8"/>
    <w:rsid w:val="009E306D"/>
    <w:rsid w:val="009E35A3"/>
    <w:rsid w:val="009E3821"/>
    <w:rsid w:val="009E3BE9"/>
    <w:rsid w:val="009E3BFA"/>
    <w:rsid w:val="009E3ED5"/>
    <w:rsid w:val="009E411E"/>
    <w:rsid w:val="009E4890"/>
    <w:rsid w:val="009E514C"/>
    <w:rsid w:val="009E53D6"/>
    <w:rsid w:val="009E5586"/>
    <w:rsid w:val="009E5F55"/>
    <w:rsid w:val="009E6632"/>
    <w:rsid w:val="009E6944"/>
    <w:rsid w:val="009E7278"/>
    <w:rsid w:val="009E74CF"/>
    <w:rsid w:val="009E7DDB"/>
    <w:rsid w:val="009F04F4"/>
    <w:rsid w:val="009F0617"/>
    <w:rsid w:val="009F0920"/>
    <w:rsid w:val="009F1774"/>
    <w:rsid w:val="009F1A10"/>
    <w:rsid w:val="009F1AC5"/>
    <w:rsid w:val="009F294C"/>
    <w:rsid w:val="009F3208"/>
    <w:rsid w:val="009F3E04"/>
    <w:rsid w:val="009F4C59"/>
    <w:rsid w:val="009F4D97"/>
    <w:rsid w:val="009F5817"/>
    <w:rsid w:val="009F7A10"/>
    <w:rsid w:val="009F7A6F"/>
    <w:rsid w:val="00A008EA"/>
    <w:rsid w:val="00A033CE"/>
    <w:rsid w:val="00A038D0"/>
    <w:rsid w:val="00A03BA4"/>
    <w:rsid w:val="00A03BF0"/>
    <w:rsid w:val="00A04032"/>
    <w:rsid w:val="00A04A79"/>
    <w:rsid w:val="00A05979"/>
    <w:rsid w:val="00A059B9"/>
    <w:rsid w:val="00A06E1F"/>
    <w:rsid w:val="00A11C7A"/>
    <w:rsid w:val="00A13B11"/>
    <w:rsid w:val="00A156AE"/>
    <w:rsid w:val="00A16390"/>
    <w:rsid w:val="00A169AC"/>
    <w:rsid w:val="00A16D82"/>
    <w:rsid w:val="00A16EF8"/>
    <w:rsid w:val="00A2077F"/>
    <w:rsid w:val="00A20C67"/>
    <w:rsid w:val="00A20E03"/>
    <w:rsid w:val="00A22034"/>
    <w:rsid w:val="00A2257E"/>
    <w:rsid w:val="00A231FD"/>
    <w:rsid w:val="00A2378B"/>
    <w:rsid w:val="00A240B9"/>
    <w:rsid w:val="00A25302"/>
    <w:rsid w:val="00A25437"/>
    <w:rsid w:val="00A263E0"/>
    <w:rsid w:val="00A263FC"/>
    <w:rsid w:val="00A26685"/>
    <w:rsid w:val="00A26B8F"/>
    <w:rsid w:val="00A26FBA"/>
    <w:rsid w:val="00A27E95"/>
    <w:rsid w:val="00A313DD"/>
    <w:rsid w:val="00A31433"/>
    <w:rsid w:val="00A31F68"/>
    <w:rsid w:val="00A32731"/>
    <w:rsid w:val="00A33C59"/>
    <w:rsid w:val="00A34586"/>
    <w:rsid w:val="00A35515"/>
    <w:rsid w:val="00A357D6"/>
    <w:rsid w:val="00A35BF4"/>
    <w:rsid w:val="00A35E51"/>
    <w:rsid w:val="00A36465"/>
    <w:rsid w:val="00A36C39"/>
    <w:rsid w:val="00A374C5"/>
    <w:rsid w:val="00A37A78"/>
    <w:rsid w:val="00A40069"/>
    <w:rsid w:val="00A40502"/>
    <w:rsid w:val="00A40A97"/>
    <w:rsid w:val="00A41176"/>
    <w:rsid w:val="00A41C90"/>
    <w:rsid w:val="00A425F4"/>
    <w:rsid w:val="00A434AB"/>
    <w:rsid w:val="00A44235"/>
    <w:rsid w:val="00A462E4"/>
    <w:rsid w:val="00A46543"/>
    <w:rsid w:val="00A466BC"/>
    <w:rsid w:val="00A46858"/>
    <w:rsid w:val="00A47543"/>
    <w:rsid w:val="00A47A19"/>
    <w:rsid w:val="00A502D2"/>
    <w:rsid w:val="00A5136B"/>
    <w:rsid w:val="00A514C7"/>
    <w:rsid w:val="00A51E7D"/>
    <w:rsid w:val="00A52219"/>
    <w:rsid w:val="00A523BF"/>
    <w:rsid w:val="00A52A2A"/>
    <w:rsid w:val="00A53A9F"/>
    <w:rsid w:val="00A540E5"/>
    <w:rsid w:val="00A5455B"/>
    <w:rsid w:val="00A5461D"/>
    <w:rsid w:val="00A5702F"/>
    <w:rsid w:val="00A5730F"/>
    <w:rsid w:val="00A5739F"/>
    <w:rsid w:val="00A57AA1"/>
    <w:rsid w:val="00A61F90"/>
    <w:rsid w:val="00A621C8"/>
    <w:rsid w:val="00A62863"/>
    <w:rsid w:val="00A6365E"/>
    <w:rsid w:val="00A64A00"/>
    <w:rsid w:val="00A64A85"/>
    <w:rsid w:val="00A6552A"/>
    <w:rsid w:val="00A655C3"/>
    <w:rsid w:val="00A65BEA"/>
    <w:rsid w:val="00A66BB3"/>
    <w:rsid w:val="00A7011E"/>
    <w:rsid w:val="00A703CE"/>
    <w:rsid w:val="00A7080F"/>
    <w:rsid w:val="00A72169"/>
    <w:rsid w:val="00A7253D"/>
    <w:rsid w:val="00A72E27"/>
    <w:rsid w:val="00A73548"/>
    <w:rsid w:val="00A73F34"/>
    <w:rsid w:val="00A74996"/>
    <w:rsid w:val="00A755AD"/>
    <w:rsid w:val="00A75A42"/>
    <w:rsid w:val="00A75B79"/>
    <w:rsid w:val="00A761E4"/>
    <w:rsid w:val="00A769A2"/>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78F0"/>
    <w:rsid w:val="00A87C01"/>
    <w:rsid w:val="00A90906"/>
    <w:rsid w:val="00A91764"/>
    <w:rsid w:val="00A93065"/>
    <w:rsid w:val="00A9363C"/>
    <w:rsid w:val="00A93DF6"/>
    <w:rsid w:val="00A94BA5"/>
    <w:rsid w:val="00A94C61"/>
    <w:rsid w:val="00A94D91"/>
    <w:rsid w:val="00A966CE"/>
    <w:rsid w:val="00A966DE"/>
    <w:rsid w:val="00A96A4B"/>
    <w:rsid w:val="00A97FB7"/>
    <w:rsid w:val="00AA0163"/>
    <w:rsid w:val="00AA0663"/>
    <w:rsid w:val="00AA082C"/>
    <w:rsid w:val="00AA18B4"/>
    <w:rsid w:val="00AA2128"/>
    <w:rsid w:val="00AA2BAA"/>
    <w:rsid w:val="00AA30DD"/>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6D07"/>
    <w:rsid w:val="00AA75F7"/>
    <w:rsid w:val="00AA7F76"/>
    <w:rsid w:val="00AB0341"/>
    <w:rsid w:val="00AB03D8"/>
    <w:rsid w:val="00AB0555"/>
    <w:rsid w:val="00AB09FF"/>
    <w:rsid w:val="00AB0FE0"/>
    <w:rsid w:val="00AB1588"/>
    <w:rsid w:val="00AB19C7"/>
    <w:rsid w:val="00AB1B2C"/>
    <w:rsid w:val="00AB1CA6"/>
    <w:rsid w:val="00AB2A62"/>
    <w:rsid w:val="00AB4A95"/>
    <w:rsid w:val="00AB4B98"/>
    <w:rsid w:val="00AB585A"/>
    <w:rsid w:val="00AB65A3"/>
    <w:rsid w:val="00AB772F"/>
    <w:rsid w:val="00AC1C40"/>
    <w:rsid w:val="00AC1EF2"/>
    <w:rsid w:val="00AC2AD2"/>
    <w:rsid w:val="00AC31F6"/>
    <w:rsid w:val="00AC3F69"/>
    <w:rsid w:val="00AC4CED"/>
    <w:rsid w:val="00AC58CA"/>
    <w:rsid w:val="00AC5B6B"/>
    <w:rsid w:val="00AC66C2"/>
    <w:rsid w:val="00AC7A05"/>
    <w:rsid w:val="00AC7C2F"/>
    <w:rsid w:val="00AD2D07"/>
    <w:rsid w:val="00AD334B"/>
    <w:rsid w:val="00AD3CC8"/>
    <w:rsid w:val="00AD4FFA"/>
    <w:rsid w:val="00AD57E2"/>
    <w:rsid w:val="00AD5B29"/>
    <w:rsid w:val="00AD6D20"/>
    <w:rsid w:val="00AD6E55"/>
    <w:rsid w:val="00AD6E58"/>
    <w:rsid w:val="00AD7795"/>
    <w:rsid w:val="00AD7D54"/>
    <w:rsid w:val="00AE0363"/>
    <w:rsid w:val="00AE04B2"/>
    <w:rsid w:val="00AE0D42"/>
    <w:rsid w:val="00AE1D38"/>
    <w:rsid w:val="00AE24A3"/>
    <w:rsid w:val="00AE253B"/>
    <w:rsid w:val="00AE33B8"/>
    <w:rsid w:val="00AE402A"/>
    <w:rsid w:val="00AE4CE7"/>
    <w:rsid w:val="00AE53EC"/>
    <w:rsid w:val="00AE5BED"/>
    <w:rsid w:val="00AE72C8"/>
    <w:rsid w:val="00AF0D16"/>
    <w:rsid w:val="00AF0D7A"/>
    <w:rsid w:val="00AF120C"/>
    <w:rsid w:val="00AF1C10"/>
    <w:rsid w:val="00AF20BF"/>
    <w:rsid w:val="00AF21AB"/>
    <w:rsid w:val="00AF23AC"/>
    <w:rsid w:val="00AF29DD"/>
    <w:rsid w:val="00AF2D8F"/>
    <w:rsid w:val="00AF2DE7"/>
    <w:rsid w:val="00AF3DBB"/>
    <w:rsid w:val="00AF4C2F"/>
    <w:rsid w:val="00AF5BDA"/>
    <w:rsid w:val="00AF5F61"/>
    <w:rsid w:val="00AF79E7"/>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712"/>
    <w:rsid w:val="00B172AD"/>
    <w:rsid w:val="00B2060B"/>
    <w:rsid w:val="00B216A1"/>
    <w:rsid w:val="00B216F1"/>
    <w:rsid w:val="00B231EE"/>
    <w:rsid w:val="00B2323C"/>
    <w:rsid w:val="00B23BC9"/>
    <w:rsid w:val="00B2400D"/>
    <w:rsid w:val="00B24653"/>
    <w:rsid w:val="00B2491D"/>
    <w:rsid w:val="00B24AC5"/>
    <w:rsid w:val="00B24F03"/>
    <w:rsid w:val="00B250AA"/>
    <w:rsid w:val="00B252F0"/>
    <w:rsid w:val="00B25632"/>
    <w:rsid w:val="00B25EF3"/>
    <w:rsid w:val="00B266C3"/>
    <w:rsid w:val="00B30117"/>
    <w:rsid w:val="00B30E74"/>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95"/>
    <w:rsid w:val="00B421EA"/>
    <w:rsid w:val="00B429F0"/>
    <w:rsid w:val="00B42CAB"/>
    <w:rsid w:val="00B43715"/>
    <w:rsid w:val="00B4415C"/>
    <w:rsid w:val="00B44D10"/>
    <w:rsid w:val="00B451DD"/>
    <w:rsid w:val="00B46176"/>
    <w:rsid w:val="00B508F5"/>
    <w:rsid w:val="00B512A8"/>
    <w:rsid w:val="00B51748"/>
    <w:rsid w:val="00B5217E"/>
    <w:rsid w:val="00B52D50"/>
    <w:rsid w:val="00B53CC3"/>
    <w:rsid w:val="00B546EA"/>
    <w:rsid w:val="00B5627B"/>
    <w:rsid w:val="00B56D67"/>
    <w:rsid w:val="00B570A2"/>
    <w:rsid w:val="00B572E9"/>
    <w:rsid w:val="00B574F2"/>
    <w:rsid w:val="00B60734"/>
    <w:rsid w:val="00B622CE"/>
    <w:rsid w:val="00B62598"/>
    <w:rsid w:val="00B632F2"/>
    <w:rsid w:val="00B6449A"/>
    <w:rsid w:val="00B65517"/>
    <w:rsid w:val="00B65E35"/>
    <w:rsid w:val="00B66EFF"/>
    <w:rsid w:val="00B6716E"/>
    <w:rsid w:val="00B71A15"/>
    <w:rsid w:val="00B7245D"/>
    <w:rsid w:val="00B734AA"/>
    <w:rsid w:val="00B75512"/>
    <w:rsid w:val="00B75AE7"/>
    <w:rsid w:val="00B75D7C"/>
    <w:rsid w:val="00B7675C"/>
    <w:rsid w:val="00B76913"/>
    <w:rsid w:val="00B76945"/>
    <w:rsid w:val="00B7736D"/>
    <w:rsid w:val="00B77578"/>
    <w:rsid w:val="00B80F0C"/>
    <w:rsid w:val="00B81577"/>
    <w:rsid w:val="00B8185B"/>
    <w:rsid w:val="00B83392"/>
    <w:rsid w:val="00B8392B"/>
    <w:rsid w:val="00B83D63"/>
    <w:rsid w:val="00B847A2"/>
    <w:rsid w:val="00B8545C"/>
    <w:rsid w:val="00B86055"/>
    <w:rsid w:val="00B86280"/>
    <w:rsid w:val="00B86D0A"/>
    <w:rsid w:val="00B87745"/>
    <w:rsid w:val="00B913C9"/>
    <w:rsid w:val="00B91537"/>
    <w:rsid w:val="00B915AC"/>
    <w:rsid w:val="00B91827"/>
    <w:rsid w:val="00B91848"/>
    <w:rsid w:val="00B92049"/>
    <w:rsid w:val="00B92A20"/>
    <w:rsid w:val="00B933CA"/>
    <w:rsid w:val="00B93B2A"/>
    <w:rsid w:val="00B93B4E"/>
    <w:rsid w:val="00B93F7A"/>
    <w:rsid w:val="00B94213"/>
    <w:rsid w:val="00B949C6"/>
    <w:rsid w:val="00B94B4C"/>
    <w:rsid w:val="00B96231"/>
    <w:rsid w:val="00B96D52"/>
    <w:rsid w:val="00B977A7"/>
    <w:rsid w:val="00B97ED4"/>
    <w:rsid w:val="00BA024C"/>
    <w:rsid w:val="00BA13E0"/>
    <w:rsid w:val="00BA250E"/>
    <w:rsid w:val="00BA32B0"/>
    <w:rsid w:val="00BA492A"/>
    <w:rsid w:val="00BA602B"/>
    <w:rsid w:val="00BA69B0"/>
    <w:rsid w:val="00BA6D98"/>
    <w:rsid w:val="00BA7381"/>
    <w:rsid w:val="00BA7585"/>
    <w:rsid w:val="00BA7D0F"/>
    <w:rsid w:val="00BB14E9"/>
    <w:rsid w:val="00BB1A07"/>
    <w:rsid w:val="00BB23C2"/>
    <w:rsid w:val="00BB340F"/>
    <w:rsid w:val="00BB39F9"/>
    <w:rsid w:val="00BB3AE4"/>
    <w:rsid w:val="00BB3EF6"/>
    <w:rsid w:val="00BB4988"/>
    <w:rsid w:val="00BB4F1A"/>
    <w:rsid w:val="00BB528E"/>
    <w:rsid w:val="00BB68D2"/>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55E6"/>
    <w:rsid w:val="00BC61B0"/>
    <w:rsid w:val="00BC66F6"/>
    <w:rsid w:val="00BC6944"/>
    <w:rsid w:val="00BC6F03"/>
    <w:rsid w:val="00BD0350"/>
    <w:rsid w:val="00BD10C4"/>
    <w:rsid w:val="00BD1943"/>
    <w:rsid w:val="00BD30FA"/>
    <w:rsid w:val="00BD4CC7"/>
    <w:rsid w:val="00BD4D60"/>
    <w:rsid w:val="00BD6C62"/>
    <w:rsid w:val="00BD7FC5"/>
    <w:rsid w:val="00BE09D6"/>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A56"/>
    <w:rsid w:val="00BF6E08"/>
    <w:rsid w:val="00BF6FDE"/>
    <w:rsid w:val="00BF70AB"/>
    <w:rsid w:val="00BF7C09"/>
    <w:rsid w:val="00BF7FE2"/>
    <w:rsid w:val="00C005FF"/>
    <w:rsid w:val="00C012DB"/>
    <w:rsid w:val="00C0139B"/>
    <w:rsid w:val="00C01434"/>
    <w:rsid w:val="00C02280"/>
    <w:rsid w:val="00C02966"/>
    <w:rsid w:val="00C02E6D"/>
    <w:rsid w:val="00C0306D"/>
    <w:rsid w:val="00C03133"/>
    <w:rsid w:val="00C031A7"/>
    <w:rsid w:val="00C0324B"/>
    <w:rsid w:val="00C035B0"/>
    <w:rsid w:val="00C0375D"/>
    <w:rsid w:val="00C06417"/>
    <w:rsid w:val="00C070DE"/>
    <w:rsid w:val="00C07414"/>
    <w:rsid w:val="00C078EE"/>
    <w:rsid w:val="00C07BC3"/>
    <w:rsid w:val="00C106E7"/>
    <w:rsid w:val="00C10C58"/>
    <w:rsid w:val="00C10C5E"/>
    <w:rsid w:val="00C11150"/>
    <w:rsid w:val="00C112EC"/>
    <w:rsid w:val="00C11A34"/>
    <w:rsid w:val="00C11F3E"/>
    <w:rsid w:val="00C1275E"/>
    <w:rsid w:val="00C12C5E"/>
    <w:rsid w:val="00C12D0D"/>
    <w:rsid w:val="00C13768"/>
    <w:rsid w:val="00C14DA0"/>
    <w:rsid w:val="00C14DFB"/>
    <w:rsid w:val="00C15068"/>
    <w:rsid w:val="00C1671F"/>
    <w:rsid w:val="00C16964"/>
    <w:rsid w:val="00C16B54"/>
    <w:rsid w:val="00C2115F"/>
    <w:rsid w:val="00C2181F"/>
    <w:rsid w:val="00C22B87"/>
    <w:rsid w:val="00C23364"/>
    <w:rsid w:val="00C234DF"/>
    <w:rsid w:val="00C2391D"/>
    <w:rsid w:val="00C23BA6"/>
    <w:rsid w:val="00C23C13"/>
    <w:rsid w:val="00C2410D"/>
    <w:rsid w:val="00C24887"/>
    <w:rsid w:val="00C24C37"/>
    <w:rsid w:val="00C24C8B"/>
    <w:rsid w:val="00C24CB1"/>
    <w:rsid w:val="00C24EBB"/>
    <w:rsid w:val="00C251EB"/>
    <w:rsid w:val="00C25652"/>
    <w:rsid w:val="00C259AB"/>
    <w:rsid w:val="00C26156"/>
    <w:rsid w:val="00C26F9C"/>
    <w:rsid w:val="00C279FA"/>
    <w:rsid w:val="00C30E3A"/>
    <w:rsid w:val="00C32D2B"/>
    <w:rsid w:val="00C33393"/>
    <w:rsid w:val="00C343C2"/>
    <w:rsid w:val="00C3589E"/>
    <w:rsid w:val="00C37148"/>
    <w:rsid w:val="00C375B0"/>
    <w:rsid w:val="00C40086"/>
    <w:rsid w:val="00C40A5B"/>
    <w:rsid w:val="00C40C9B"/>
    <w:rsid w:val="00C4275F"/>
    <w:rsid w:val="00C4320A"/>
    <w:rsid w:val="00C43631"/>
    <w:rsid w:val="00C4371A"/>
    <w:rsid w:val="00C43748"/>
    <w:rsid w:val="00C437DB"/>
    <w:rsid w:val="00C43A15"/>
    <w:rsid w:val="00C4473A"/>
    <w:rsid w:val="00C44A94"/>
    <w:rsid w:val="00C44F4F"/>
    <w:rsid w:val="00C476C3"/>
    <w:rsid w:val="00C47881"/>
    <w:rsid w:val="00C47CA2"/>
    <w:rsid w:val="00C504ED"/>
    <w:rsid w:val="00C50C56"/>
    <w:rsid w:val="00C51375"/>
    <w:rsid w:val="00C52716"/>
    <w:rsid w:val="00C52E42"/>
    <w:rsid w:val="00C53F3C"/>
    <w:rsid w:val="00C54175"/>
    <w:rsid w:val="00C54206"/>
    <w:rsid w:val="00C54958"/>
    <w:rsid w:val="00C54B4B"/>
    <w:rsid w:val="00C55A4C"/>
    <w:rsid w:val="00C55EC9"/>
    <w:rsid w:val="00C55FB1"/>
    <w:rsid w:val="00C60680"/>
    <w:rsid w:val="00C607BC"/>
    <w:rsid w:val="00C6088A"/>
    <w:rsid w:val="00C61011"/>
    <w:rsid w:val="00C61B6D"/>
    <w:rsid w:val="00C61DE6"/>
    <w:rsid w:val="00C62DED"/>
    <w:rsid w:val="00C63E97"/>
    <w:rsid w:val="00C64416"/>
    <w:rsid w:val="00C6492E"/>
    <w:rsid w:val="00C649DC"/>
    <w:rsid w:val="00C64E0E"/>
    <w:rsid w:val="00C64E68"/>
    <w:rsid w:val="00C65106"/>
    <w:rsid w:val="00C6709C"/>
    <w:rsid w:val="00C67631"/>
    <w:rsid w:val="00C705AF"/>
    <w:rsid w:val="00C70895"/>
    <w:rsid w:val="00C70DA2"/>
    <w:rsid w:val="00C7192D"/>
    <w:rsid w:val="00C71B1C"/>
    <w:rsid w:val="00C7205A"/>
    <w:rsid w:val="00C7248E"/>
    <w:rsid w:val="00C72649"/>
    <w:rsid w:val="00C73739"/>
    <w:rsid w:val="00C74F4B"/>
    <w:rsid w:val="00C75017"/>
    <w:rsid w:val="00C75196"/>
    <w:rsid w:val="00C752B1"/>
    <w:rsid w:val="00C7585B"/>
    <w:rsid w:val="00C75A0F"/>
    <w:rsid w:val="00C764E9"/>
    <w:rsid w:val="00C766E8"/>
    <w:rsid w:val="00C76BD0"/>
    <w:rsid w:val="00C7784C"/>
    <w:rsid w:val="00C779D8"/>
    <w:rsid w:val="00C77C64"/>
    <w:rsid w:val="00C77EED"/>
    <w:rsid w:val="00C77F97"/>
    <w:rsid w:val="00C81796"/>
    <w:rsid w:val="00C82171"/>
    <w:rsid w:val="00C8287F"/>
    <w:rsid w:val="00C828E2"/>
    <w:rsid w:val="00C8357D"/>
    <w:rsid w:val="00C83C69"/>
    <w:rsid w:val="00C840AD"/>
    <w:rsid w:val="00C842A8"/>
    <w:rsid w:val="00C8433A"/>
    <w:rsid w:val="00C845AF"/>
    <w:rsid w:val="00C87D9F"/>
    <w:rsid w:val="00C9174E"/>
    <w:rsid w:val="00C92753"/>
    <w:rsid w:val="00C92E7A"/>
    <w:rsid w:val="00C92F8B"/>
    <w:rsid w:val="00C930F0"/>
    <w:rsid w:val="00C9331A"/>
    <w:rsid w:val="00C93A4E"/>
    <w:rsid w:val="00C969AE"/>
    <w:rsid w:val="00C96A28"/>
    <w:rsid w:val="00CA0567"/>
    <w:rsid w:val="00CA092A"/>
    <w:rsid w:val="00CA0C90"/>
    <w:rsid w:val="00CA1AEA"/>
    <w:rsid w:val="00CA1FBB"/>
    <w:rsid w:val="00CA27CC"/>
    <w:rsid w:val="00CA2A05"/>
    <w:rsid w:val="00CA3585"/>
    <w:rsid w:val="00CA522B"/>
    <w:rsid w:val="00CA5572"/>
    <w:rsid w:val="00CA5AD4"/>
    <w:rsid w:val="00CA5F54"/>
    <w:rsid w:val="00CA6BE6"/>
    <w:rsid w:val="00CA7128"/>
    <w:rsid w:val="00CA7592"/>
    <w:rsid w:val="00CA7A9B"/>
    <w:rsid w:val="00CA7D58"/>
    <w:rsid w:val="00CB0709"/>
    <w:rsid w:val="00CB10DF"/>
    <w:rsid w:val="00CB1447"/>
    <w:rsid w:val="00CB1F78"/>
    <w:rsid w:val="00CB2585"/>
    <w:rsid w:val="00CB382E"/>
    <w:rsid w:val="00CB398C"/>
    <w:rsid w:val="00CB3AA9"/>
    <w:rsid w:val="00CB3ADC"/>
    <w:rsid w:val="00CB42C5"/>
    <w:rsid w:val="00CB4668"/>
    <w:rsid w:val="00CB5F5A"/>
    <w:rsid w:val="00CB6AA7"/>
    <w:rsid w:val="00CC18B5"/>
    <w:rsid w:val="00CC2B18"/>
    <w:rsid w:val="00CC30F3"/>
    <w:rsid w:val="00CC3395"/>
    <w:rsid w:val="00CC34D2"/>
    <w:rsid w:val="00CC3962"/>
    <w:rsid w:val="00CC640C"/>
    <w:rsid w:val="00CC6AAA"/>
    <w:rsid w:val="00CC6AD5"/>
    <w:rsid w:val="00CC6D78"/>
    <w:rsid w:val="00CC6F92"/>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429C"/>
    <w:rsid w:val="00CE5134"/>
    <w:rsid w:val="00CE5562"/>
    <w:rsid w:val="00CE557C"/>
    <w:rsid w:val="00CE5C0D"/>
    <w:rsid w:val="00CE66BD"/>
    <w:rsid w:val="00CE77B3"/>
    <w:rsid w:val="00CF099D"/>
    <w:rsid w:val="00CF26F5"/>
    <w:rsid w:val="00CF2931"/>
    <w:rsid w:val="00CF3163"/>
    <w:rsid w:val="00CF364C"/>
    <w:rsid w:val="00CF3B7A"/>
    <w:rsid w:val="00CF3F2F"/>
    <w:rsid w:val="00CF45F7"/>
    <w:rsid w:val="00CF66C5"/>
    <w:rsid w:val="00CF7F6D"/>
    <w:rsid w:val="00D003D8"/>
    <w:rsid w:val="00D005C9"/>
    <w:rsid w:val="00D007D4"/>
    <w:rsid w:val="00D00D15"/>
    <w:rsid w:val="00D00E93"/>
    <w:rsid w:val="00D00F41"/>
    <w:rsid w:val="00D01C02"/>
    <w:rsid w:val="00D03611"/>
    <w:rsid w:val="00D037A5"/>
    <w:rsid w:val="00D03B37"/>
    <w:rsid w:val="00D04114"/>
    <w:rsid w:val="00D04599"/>
    <w:rsid w:val="00D04D97"/>
    <w:rsid w:val="00D0527D"/>
    <w:rsid w:val="00D06AA0"/>
    <w:rsid w:val="00D10759"/>
    <w:rsid w:val="00D11171"/>
    <w:rsid w:val="00D11357"/>
    <w:rsid w:val="00D113BC"/>
    <w:rsid w:val="00D118C1"/>
    <w:rsid w:val="00D118C4"/>
    <w:rsid w:val="00D118DF"/>
    <w:rsid w:val="00D1300F"/>
    <w:rsid w:val="00D13806"/>
    <w:rsid w:val="00D13D25"/>
    <w:rsid w:val="00D14256"/>
    <w:rsid w:val="00D14EEA"/>
    <w:rsid w:val="00D15460"/>
    <w:rsid w:val="00D1590B"/>
    <w:rsid w:val="00D15BFA"/>
    <w:rsid w:val="00D16092"/>
    <w:rsid w:val="00D1622D"/>
    <w:rsid w:val="00D16387"/>
    <w:rsid w:val="00D16622"/>
    <w:rsid w:val="00D16856"/>
    <w:rsid w:val="00D16B6B"/>
    <w:rsid w:val="00D1776E"/>
    <w:rsid w:val="00D17BCE"/>
    <w:rsid w:val="00D17D77"/>
    <w:rsid w:val="00D2079E"/>
    <w:rsid w:val="00D212CF"/>
    <w:rsid w:val="00D22087"/>
    <w:rsid w:val="00D22374"/>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E86"/>
    <w:rsid w:val="00D42AE1"/>
    <w:rsid w:val="00D4309C"/>
    <w:rsid w:val="00D436E7"/>
    <w:rsid w:val="00D44DA4"/>
    <w:rsid w:val="00D4538B"/>
    <w:rsid w:val="00D463FC"/>
    <w:rsid w:val="00D47280"/>
    <w:rsid w:val="00D47335"/>
    <w:rsid w:val="00D503B8"/>
    <w:rsid w:val="00D50A26"/>
    <w:rsid w:val="00D52CA8"/>
    <w:rsid w:val="00D53012"/>
    <w:rsid w:val="00D5382E"/>
    <w:rsid w:val="00D546AA"/>
    <w:rsid w:val="00D549A9"/>
    <w:rsid w:val="00D55725"/>
    <w:rsid w:val="00D5691F"/>
    <w:rsid w:val="00D57416"/>
    <w:rsid w:val="00D61936"/>
    <w:rsid w:val="00D62DD4"/>
    <w:rsid w:val="00D62E80"/>
    <w:rsid w:val="00D6306D"/>
    <w:rsid w:val="00D637AA"/>
    <w:rsid w:val="00D63A97"/>
    <w:rsid w:val="00D63C8D"/>
    <w:rsid w:val="00D6453B"/>
    <w:rsid w:val="00D6457D"/>
    <w:rsid w:val="00D66C84"/>
    <w:rsid w:val="00D6721C"/>
    <w:rsid w:val="00D673E9"/>
    <w:rsid w:val="00D677AD"/>
    <w:rsid w:val="00D6795B"/>
    <w:rsid w:val="00D70346"/>
    <w:rsid w:val="00D708E2"/>
    <w:rsid w:val="00D71008"/>
    <w:rsid w:val="00D71313"/>
    <w:rsid w:val="00D73535"/>
    <w:rsid w:val="00D73796"/>
    <w:rsid w:val="00D737D0"/>
    <w:rsid w:val="00D75A31"/>
    <w:rsid w:val="00D779FC"/>
    <w:rsid w:val="00D805D8"/>
    <w:rsid w:val="00D80926"/>
    <w:rsid w:val="00D80B2D"/>
    <w:rsid w:val="00D81923"/>
    <w:rsid w:val="00D82CCC"/>
    <w:rsid w:val="00D841D5"/>
    <w:rsid w:val="00D866DD"/>
    <w:rsid w:val="00D868F5"/>
    <w:rsid w:val="00D86DA8"/>
    <w:rsid w:val="00D878A5"/>
    <w:rsid w:val="00D87C04"/>
    <w:rsid w:val="00D87CE8"/>
    <w:rsid w:val="00D87D70"/>
    <w:rsid w:val="00D87EC1"/>
    <w:rsid w:val="00D91249"/>
    <w:rsid w:val="00D9151B"/>
    <w:rsid w:val="00D91AFD"/>
    <w:rsid w:val="00D92297"/>
    <w:rsid w:val="00D923EE"/>
    <w:rsid w:val="00D926A5"/>
    <w:rsid w:val="00D928C3"/>
    <w:rsid w:val="00D92D7E"/>
    <w:rsid w:val="00D930FE"/>
    <w:rsid w:val="00D9322C"/>
    <w:rsid w:val="00D936A4"/>
    <w:rsid w:val="00D93A06"/>
    <w:rsid w:val="00D94301"/>
    <w:rsid w:val="00D94605"/>
    <w:rsid w:val="00D948F4"/>
    <w:rsid w:val="00D95153"/>
    <w:rsid w:val="00D96283"/>
    <w:rsid w:val="00D96926"/>
    <w:rsid w:val="00D97256"/>
    <w:rsid w:val="00DA00B6"/>
    <w:rsid w:val="00DA1C7A"/>
    <w:rsid w:val="00DA2758"/>
    <w:rsid w:val="00DA3EC9"/>
    <w:rsid w:val="00DA3F15"/>
    <w:rsid w:val="00DA4123"/>
    <w:rsid w:val="00DA4247"/>
    <w:rsid w:val="00DA44B4"/>
    <w:rsid w:val="00DA5516"/>
    <w:rsid w:val="00DA574F"/>
    <w:rsid w:val="00DA6AC9"/>
    <w:rsid w:val="00DB187C"/>
    <w:rsid w:val="00DB1F26"/>
    <w:rsid w:val="00DB2C18"/>
    <w:rsid w:val="00DB36A2"/>
    <w:rsid w:val="00DB38EF"/>
    <w:rsid w:val="00DB4276"/>
    <w:rsid w:val="00DB47F1"/>
    <w:rsid w:val="00DB5094"/>
    <w:rsid w:val="00DB6B5F"/>
    <w:rsid w:val="00DB6FD4"/>
    <w:rsid w:val="00DC0076"/>
    <w:rsid w:val="00DC19C3"/>
    <w:rsid w:val="00DC1D6B"/>
    <w:rsid w:val="00DC3009"/>
    <w:rsid w:val="00DC36B9"/>
    <w:rsid w:val="00DC3F5E"/>
    <w:rsid w:val="00DC43FB"/>
    <w:rsid w:val="00DC6002"/>
    <w:rsid w:val="00DC626F"/>
    <w:rsid w:val="00DC67FC"/>
    <w:rsid w:val="00DC6E6F"/>
    <w:rsid w:val="00DC70CA"/>
    <w:rsid w:val="00DC71D8"/>
    <w:rsid w:val="00DC753A"/>
    <w:rsid w:val="00DC7A73"/>
    <w:rsid w:val="00DD08DD"/>
    <w:rsid w:val="00DD091F"/>
    <w:rsid w:val="00DD136E"/>
    <w:rsid w:val="00DD29FE"/>
    <w:rsid w:val="00DD315A"/>
    <w:rsid w:val="00DD3283"/>
    <w:rsid w:val="00DD5A71"/>
    <w:rsid w:val="00DD6565"/>
    <w:rsid w:val="00DD6FB9"/>
    <w:rsid w:val="00DD6FF6"/>
    <w:rsid w:val="00DD7213"/>
    <w:rsid w:val="00DD73EF"/>
    <w:rsid w:val="00DD7624"/>
    <w:rsid w:val="00DD7B4F"/>
    <w:rsid w:val="00DE112F"/>
    <w:rsid w:val="00DE19BA"/>
    <w:rsid w:val="00DE1E21"/>
    <w:rsid w:val="00DE2144"/>
    <w:rsid w:val="00DE3037"/>
    <w:rsid w:val="00DE337B"/>
    <w:rsid w:val="00DE3926"/>
    <w:rsid w:val="00DE407A"/>
    <w:rsid w:val="00DE543E"/>
    <w:rsid w:val="00DE5D72"/>
    <w:rsid w:val="00DE63FC"/>
    <w:rsid w:val="00DE6B99"/>
    <w:rsid w:val="00DF0ED1"/>
    <w:rsid w:val="00DF1670"/>
    <w:rsid w:val="00DF2846"/>
    <w:rsid w:val="00DF2A30"/>
    <w:rsid w:val="00DF2F77"/>
    <w:rsid w:val="00DF322F"/>
    <w:rsid w:val="00DF36B9"/>
    <w:rsid w:val="00DF42D6"/>
    <w:rsid w:val="00DF494C"/>
    <w:rsid w:val="00DF530B"/>
    <w:rsid w:val="00DF57A6"/>
    <w:rsid w:val="00DF6606"/>
    <w:rsid w:val="00DF7B7D"/>
    <w:rsid w:val="00DF7F12"/>
    <w:rsid w:val="00E00601"/>
    <w:rsid w:val="00E01AA3"/>
    <w:rsid w:val="00E01FB2"/>
    <w:rsid w:val="00E02F34"/>
    <w:rsid w:val="00E03418"/>
    <w:rsid w:val="00E06A25"/>
    <w:rsid w:val="00E10168"/>
    <w:rsid w:val="00E11964"/>
    <w:rsid w:val="00E11D16"/>
    <w:rsid w:val="00E11F51"/>
    <w:rsid w:val="00E124CD"/>
    <w:rsid w:val="00E12CAB"/>
    <w:rsid w:val="00E13D12"/>
    <w:rsid w:val="00E13FC7"/>
    <w:rsid w:val="00E14246"/>
    <w:rsid w:val="00E14886"/>
    <w:rsid w:val="00E14B45"/>
    <w:rsid w:val="00E14F85"/>
    <w:rsid w:val="00E15324"/>
    <w:rsid w:val="00E16ED0"/>
    <w:rsid w:val="00E178D8"/>
    <w:rsid w:val="00E20030"/>
    <w:rsid w:val="00E201AE"/>
    <w:rsid w:val="00E20913"/>
    <w:rsid w:val="00E2095E"/>
    <w:rsid w:val="00E20A20"/>
    <w:rsid w:val="00E22148"/>
    <w:rsid w:val="00E22A4C"/>
    <w:rsid w:val="00E23BA7"/>
    <w:rsid w:val="00E252B8"/>
    <w:rsid w:val="00E25311"/>
    <w:rsid w:val="00E27005"/>
    <w:rsid w:val="00E275E0"/>
    <w:rsid w:val="00E27854"/>
    <w:rsid w:val="00E30111"/>
    <w:rsid w:val="00E30379"/>
    <w:rsid w:val="00E30704"/>
    <w:rsid w:val="00E30FC4"/>
    <w:rsid w:val="00E31539"/>
    <w:rsid w:val="00E31FCD"/>
    <w:rsid w:val="00E326D5"/>
    <w:rsid w:val="00E32716"/>
    <w:rsid w:val="00E32730"/>
    <w:rsid w:val="00E33AE9"/>
    <w:rsid w:val="00E33CF0"/>
    <w:rsid w:val="00E344AA"/>
    <w:rsid w:val="00E3478C"/>
    <w:rsid w:val="00E34AE0"/>
    <w:rsid w:val="00E35A0B"/>
    <w:rsid w:val="00E40027"/>
    <w:rsid w:val="00E40F7A"/>
    <w:rsid w:val="00E41024"/>
    <w:rsid w:val="00E41E40"/>
    <w:rsid w:val="00E428FF"/>
    <w:rsid w:val="00E42B4A"/>
    <w:rsid w:val="00E43471"/>
    <w:rsid w:val="00E4464A"/>
    <w:rsid w:val="00E45A77"/>
    <w:rsid w:val="00E45CC8"/>
    <w:rsid w:val="00E473E7"/>
    <w:rsid w:val="00E47D23"/>
    <w:rsid w:val="00E50FA7"/>
    <w:rsid w:val="00E52120"/>
    <w:rsid w:val="00E527DB"/>
    <w:rsid w:val="00E52A96"/>
    <w:rsid w:val="00E52BCA"/>
    <w:rsid w:val="00E53673"/>
    <w:rsid w:val="00E5433A"/>
    <w:rsid w:val="00E54D58"/>
    <w:rsid w:val="00E552ED"/>
    <w:rsid w:val="00E558B9"/>
    <w:rsid w:val="00E56A9B"/>
    <w:rsid w:val="00E56CC2"/>
    <w:rsid w:val="00E60187"/>
    <w:rsid w:val="00E605A2"/>
    <w:rsid w:val="00E6065D"/>
    <w:rsid w:val="00E60FAA"/>
    <w:rsid w:val="00E62207"/>
    <w:rsid w:val="00E62BB1"/>
    <w:rsid w:val="00E639A8"/>
    <w:rsid w:val="00E63E2E"/>
    <w:rsid w:val="00E64548"/>
    <w:rsid w:val="00E667F3"/>
    <w:rsid w:val="00E67D25"/>
    <w:rsid w:val="00E67E1C"/>
    <w:rsid w:val="00E700C1"/>
    <w:rsid w:val="00E70E2E"/>
    <w:rsid w:val="00E7103A"/>
    <w:rsid w:val="00E71663"/>
    <w:rsid w:val="00E71783"/>
    <w:rsid w:val="00E72E14"/>
    <w:rsid w:val="00E732BC"/>
    <w:rsid w:val="00E73CF6"/>
    <w:rsid w:val="00E73F90"/>
    <w:rsid w:val="00E74E4A"/>
    <w:rsid w:val="00E75245"/>
    <w:rsid w:val="00E76FA9"/>
    <w:rsid w:val="00E7710C"/>
    <w:rsid w:val="00E77508"/>
    <w:rsid w:val="00E803D5"/>
    <w:rsid w:val="00E804C5"/>
    <w:rsid w:val="00E808FC"/>
    <w:rsid w:val="00E80D8D"/>
    <w:rsid w:val="00E80DD2"/>
    <w:rsid w:val="00E82160"/>
    <w:rsid w:val="00E824B8"/>
    <w:rsid w:val="00E82EB1"/>
    <w:rsid w:val="00E83ECB"/>
    <w:rsid w:val="00E84406"/>
    <w:rsid w:val="00E84878"/>
    <w:rsid w:val="00E85CFF"/>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24B2"/>
    <w:rsid w:val="00EA293D"/>
    <w:rsid w:val="00EA3448"/>
    <w:rsid w:val="00EA43EB"/>
    <w:rsid w:val="00EA5EED"/>
    <w:rsid w:val="00EA6069"/>
    <w:rsid w:val="00EA6445"/>
    <w:rsid w:val="00EA6A52"/>
    <w:rsid w:val="00EA76F5"/>
    <w:rsid w:val="00EA7B3B"/>
    <w:rsid w:val="00EA7E3F"/>
    <w:rsid w:val="00EA7E81"/>
    <w:rsid w:val="00EB1576"/>
    <w:rsid w:val="00EB184D"/>
    <w:rsid w:val="00EB2082"/>
    <w:rsid w:val="00EB4F77"/>
    <w:rsid w:val="00EB5733"/>
    <w:rsid w:val="00EB7272"/>
    <w:rsid w:val="00EC0F55"/>
    <w:rsid w:val="00EC1934"/>
    <w:rsid w:val="00EC2719"/>
    <w:rsid w:val="00EC4FB2"/>
    <w:rsid w:val="00EC5CFF"/>
    <w:rsid w:val="00ED06C9"/>
    <w:rsid w:val="00ED19EC"/>
    <w:rsid w:val="00ED2E30"/>
    <w:rsid w:val="00ED395D"/>
    <w:rsid w:val="00ED45A0"/>
    <w:rsid w:val="00ED4C30"/>
    <w:rsid w:val="00ED5730"/>
    <w:rsid w:val="00ED6056"/>
    <w:rsid w:val="00ED63E0"/>
    <w:rsid w:val="00EE0486"/>
    <w:rsid w:val="00EE198F"/>
    <w:rsid w:val="00EE28FD"/>
    <w:rsid w:val="00EE5950"/>
    <w:rsid w:val="00EE7609"/>
    <w:rsid w:val="00EE7967"/>
    <w:rsid w:val="00EF0F32"/>
    <w:rsid w:val="00EF1508"/>
    <w:rsid w:val="00EF26E5"/>
    <w:rsid w:val="00EF4126"/>
    <w:rsid w:val="00EF42FF"/>
    <w:rsid w:val="00EF5082"/>
    <w:rsid w:val="00EF6A3C"/>
    <w:rsid w:val="00EF6C9B"/>
    <w:rsid w:val="00F0019E"/>
    <w:rsid w:val="00F00200"/>
    <w:rsid w:val="00F0111E"/>
    <w:rsid w:val="00F01441"/>
    <w:rsid w:val="00F01862"/>
    <w:rsid w:val="00F02238"/>
    <w:rsid w:val="00F034F9"/>
    <w:rsid w:val="00F04C12"/>
    <w:rsid w:val="00F0573A"/>
    <w:rsid w:val="00F05B39"/>
    <w:rsid w:val="00F05BE0"/>
    <w:rsid w:val="00F0795E"/>
    <w:rsid w:val="00F100F1"/>
    <w:rsid w:val="00F10C20"/>
    <w:rsid w:val="00F11436"/>
    <w:rsid w:val="00F11BC2"/>
    <w:rsid w:val="00F12215"/>
    <w:rsid w:val="00F12842"/>
    <w:rsid w:val="00F13FDB"/>
    <w:rsid w:val="00F1408D"/>
    <w:rsid w:val="00F144C2"/>
    <w:rsid w:val="00F15540"/>
    <w:rsid w:val="00F16089"/>
    <w:rsid w:val="00F209DF"/>
    <w:rsid w:val="00F20BA9"/>
    <w:rsid w:val="00F23082"/>
    <w:rsid w:val="00F24200"/>
    <w:rsid w:val="00F24E4A"/>
    <w:rsid w:val="00F25466"/>
    <w:rsid w:val="00F2619B"/>
    <w:rsid w:val="00F261FB"/>
    <w:rsid w:val="00F2620E"/>
    <w:rsid w:val="00F26BCA"/>
    <w:rsid w:val="00F27269"/>
    <w:rsid w:val="00F276EC"/>
    <w:rsid w:val="00F3012A"/>
    <w:rsid w:val="00F302BB"/>
    <w:rsid w:val="00F30CDB"/>
    <w:rsid w:val="00F31402"/>
    <w:rsid w:val="00F3164A"/>
    <w:rsid w:val="00F31DAD"/>
    <w:rsid w:val="00F33078"/>
    <w:rsid w:val="00F3362F"/>
    <w:rsid w:val="00F33A2E"/>
    <w:rsid w:val="00F34341"/>
    <w:rsid w:val="00F34678"/>
    <w:rsid w:val="00F34AA0"/>
    <w:rsid w:val="00F3597D"/>
    <w:rsid w:val="00F3601A"/>
    <w:rsid w:val="00F36A79"/>
    <w:rsid w:val="00F3762E"/>
    <w:rsid w:val="00F400EB"/>
    <w:rsid w:val="00F40CC2"/>
    <w:rsid w:val="00F41856"/>
    <w:rsid w:val="00F41A0C"/>
    <w:rsid w:val="00F42612"/>
    <w:rsid w:val="00F44272"/>
    <w:rsid w:val="00F44924"/>
    <w:rsid w:val="00F44BA0"/>
    <w:rsid w:val="00F44EBB"/>
    <w:rsid w:val="00F45520"/>
    <w:rsid w:val="00F457D1"/>
    <w:rsid w:val="00F46497"/>
    <w:rsid w:val="00F47072"/>
    <w:rsid w:val="00F471C0"/>
    <w:rsid w:val="00F47662"/>
    <w:rsid w:val="00F479F0"/>
    <w:rsid w:val="00F505D7"/>
    <w:rsid w:val="00F50A7D"/>
    <w:rsid w:val="00F50CCB"/>
    <w:rsid w:val="00F52E12"/>
    <w:rsid w:val="00F541A4"/>
    <w:rsid w:val="00F5612E"/>
    <w:rsid w:val="00F57C87"/>
    <w:rsid w:val="00F601E6"/>
    <w:rsid w:val="00F6114C"/>
    <w:rsid w:val="00F61980"/>
    <w:rsid w:val="00F61BA1"/>
    <w:rsid w:val="00F622A9"/>
    <w:rsid w:val="00F63EAC"/>
    <w:rsid w:val="00F644BE"/>
    <w:rsid w:val="00F64CC7"/>
    <w:rsid w:val="00F64E41"/>
    <w:rsid w:val="00F6505E"/>
    <w:rsid w:val="00F6620E"/>
    <w:rsid w:val="00F66834"/>
    <w:rsid w:val="00F67397"/>
    <w:rsid w:val="00F6776C"/>
    <w:rsid w:val="00F70417"/>
    <w:rsid w:val="00F707B7"/>
    <w:rsid w:val="00F70858"/>
    <w:rsid w:val="00F70ADA"/>
    <w:rsid w:val="00F71914"/>
    <w:rsid w:val="00F72F6E"/>
    <w:rsid w:val="00F739F5"/>
    <w:rsid w:val="00F7429F"/>
    <w:rsid w:val="00F7470A"/>
    <w:rsid w:val="00F75001"/>
    <w:rsid w:val="00F751FF"/>
    <w:rsid w:val="00F755F9"/>
    <w:rsid w:val="00F75E65"/>
    <w:rsid w:val="00F76F32"/>
    <w:rsid w:val="00F7750C"/>
    <w:rsid w:val="00F802C0"/>
    <w:rsid w:val="00F80A8C"/>
    <w:rsid w:val="00F811CF"/>
    <w:rsid w:val="00F82A53"/>
    <w:rsid w:val="00F83001"/>
    <w:rsid w:val="00F83CB7"/>
    <w:rsid w:val="00F85399"/>
    <w:rsid w:val="00F85505"/>
    <w:rsid w:val="00F85E21"/>
    <w:rsid w:val="00F86B8F"/>
    <w:rsid w:val="00F86C7E"/>
    <w:rsid w:val="00F86EA7"/>
    <w:rsid w:val="00F902DF"/>
    <w:rsid w:val="00F90DD0"/>
    <w:rsid w:val="00F9105A"/>
    <w:rsid w:val="00F913E0"/>
    <w:rsid w:val="00F91C30"/>
    <w:rsid w:val="00F91C97"/>
    <w:rsid w:val="00F92191"/>
    <w:rsid w:val="00F925EC"/>
    <w:rsid w:val="00F9301D"/>
    <w:rsid w:val="00F934D9"/>
    <w:rsid w:val="00F9375A"/>
    <w:rsid w:val="00F944C6"/>
    <w:rsid w:val="00F947FA"/>
    <w:rsid w:val="00F95030"/>
    <w:rsid w:val="00F95436"/>
    <w:rsid w:val="00F95921"/>
    <w:rsid w:val="00F95E22"/>
    <w:rsid w:val="00F96476"/>
    <w:rsid w:val="00F9753F"/>
    <w:rsid w:val="00FA0EE9"/>
    <w:rsid w:val="00FA1026"/>
    <w:rsid w:val="00FA2DD4"/>
    <w:rsid w:val="00FA2EB7"/>
    <w:rsid w:val="00FA310E"/>
    <w:rsid w:val="00FA6397"/>
    <w:rsid w:val="00FA6984"/>
    <w:rsid w:val="00FA7C7D"/>
    <w:rsid w:val="00FB1A1A"/>
    <w:rsid w:val="00FB1EB4"/>
    <w:rsid w:val="00FB3658"/>
    <w:rsid w:val="00FB3B0E"/>
    <w:rsid w:val="00FB62CF"/>
    <w:rsid w:val="00FB66CD"/>
    <w:rsid w:val="00FB68C5"/>
    <w:rsid w:val="00FB6E69"/>
    <w:rsid w:val="00FB7035"/>
    <w:rsid w:val="00FB7493"/>
    <w:rsid w:val="00FB7A2C"/>
    <w:rsid w:val="00FB7A74"/>
    <w:rsid w:val="00FC11B3"/>
    <w:rsid w:val="00FC13F1"/>
    <w:rsid w:val="00FC1E7E"/>
    <w:rsid w:val="00FC2E4A"/>
    <w:rsid w:val="00FC3503"/>
    <w:rsid w:val="00FC362D"/>
    <w:rsid w:val="00FC36E4"/>
    <w:rsid w:val="00FC5486"/>
    <w:rsid w:val="00FC5FDD"/>
    <w:rsid w:val="00FC67C9"/>
    <w:rsid w:val="00FC6E59"/>
    <w:rsid w:val="00FC7C02"/>
    <w:rsid w:val="00FD03C2"/>
    <w:rsid w:val="00FD05CE"/>
    <w:rsid w:val="00FD1732"/>
    <w:rsid w:val="00FD29B7"/>
    <w:rsid w:val="00FD2B0D"/>
    <w:rsid w:val="00FD2D2C"/>
    <w:rsid w:val="00FD4C8B"/>
    <w:rsid w:val="00FD63DF"/>
    <w:rsid w:val="00FD72A0"/>
    <w:rsid w:val="00FD78E0"/>
    <w:rsid w:val="00FD7939"/>
    <w:rsid w:val="00FE0A22"/>
    <w:rsid w:val="00FE0AA1"/>
    <w:rsid w:val="00FE1115"/>
    <w:rsid w:val="00FE138A"/>
    <w:rsid w:val="00FE167F"/>
    <w:rsid w:val="00FE2700"/>
    <w:rsid w:val="00FE3423"/>
    <w:rsid w:val="00FE37EA"/>
    <w:rsid w:val="00FE3DE0"/>
    <w:rsid w:val="00FE467B"/>
    <w:rsid w:val="00FE6102"/>
    <w:rsid w:val="00FE626E"/>
    <w:rsid w:val="00FE7338"/>
    <w:rsid w:val="00FE7F17"/>
    <w:rsid w:val="00FF0947"/>
    <w:rsid w:val="00FF1A60"/>
    <w:rsid w:val="00FF1E17"/>
    <w:rsid w:val="00FF1EB4"/>
    <w:rsid w:val="00FF1F24"/>
    <w:rsid w:val="00FF30A4"/>
    <w:rsid w:val="00FF3B74"/>
    <w:rsid w:val="00FF3B77"/>
    <w:rsid w:val="00FF46C2"/>
    <w:rsid w:val="00FF52E3"/>
    <w:rsid w:val="00FF53CE"/>
    <w:rsid w:val="00FF65BD"/>
    <w:rsid w:val="00FF6772"/>
    <w:rsid w:val="00FF6FEB"/>
    <w:rsid w:val="00FF7843"/>
    <w:rsid w:val="01115173"/>
    <w:rsid w:val="01953B5D"/>
    <w:rsid w:val="01EC01DF"/>
    <w:rsid w:val="02B66219"/>
    <w:rsid w:val="02FA6E3A"/>
    <w:rsid w:val="033B1098"/>
    <w:rsid w:val="04796711"/>
    <w:rsid w:val="05347652"/>
    <w:rsid w:val="057D00EF"/>
    <w:rsid w:val="059A1C9D"/>
    <w:rsid w:val="05F05787"/>
    <w:rsid w:val="060002E9"/>
    <w:rsid w:val="060B0A71"/>
    <w:rsid w:val="062F59C1"/>
    <w:rsid w:val="06AA0A01"/>
    <w:rsid w:val="076D1B70"/>
    <w:rsid w:val="07FC4512"/>
    <w:rsid w:val="0830185F"/>
    <w:rsid w:val="08E54F34"/>
    <w:rsid w:val="0A2E457F"/>
    <w:rsid w:val="0A311901"/>
    <w:rsid w:val="0A563D67"/>
    <w:rsid w:val="0ACA785C"/>
    <w:rsid w:val="0B077103"/>
    <w:rsid w:val="0B0A5387"/>
    <w:rsid w:val="0B7A0A9C"/>
    <w:rsid w:val="0B9D7F6A"/>
    <w:rsid w:val="0BDE7E15"/>
    <w:rsid w:val="0C4454F0"/>
    <w:rsid w:val="0D00246A"/>
    <w:rsid w:val="0D263E51"/>
    <w:rsid w:val="0E3463B3"/>
    <w:rsid w:val="0F15187D"/>
    <w:rsid w:val="0F7D081D"/>
    <w:rsid w:val="0F9B7012"/>
    <w:rsid w:val="0FA0248B"/>
    <w:rsid w:val="11633345"/>
    <w:rsid w:val="11BF61FC"/>
    <w:rsid w:val="127F60AB"/>
    <w:rsid w:val="135A4481"/>
    <w:rsid w:val="1596620C"/>
    <w:rsid w:val="15A970FC"/>
    <w:rsid w:val="160015E1"/>
    <w:rsid w:val="16A34AF0"/>
    <w:rsid w:val="16E01D8D"/>
    <w:rsid w:val="189017A6"/>
    <w:rsid w:val="18AC1037"/>
    <w:rsid w:val="19ED4482"/>
    <w:rsid w:val="1ABB279C"/>
    <w:rsid w:val="1AF51954"/>
    <w:rsid w:val="1B25089C"/>
    <w:rsid w:val="1B9B54FD"/>
    <w:rsid w:val="1B9F7EB6"/>
    <w:rsid w:val="1C5E0E6C"/>
    <w:rsid w:val="1C6C7EF4"/>
    <w:rsid w:val="1C7143DF"/>
    <w:rsid w:val="1C8C51C6"/>
    <w:rsid w:val="1CF06E21"/>
    <w:rsid w:val="1DA0430A"/>
    <w:rsid w:val="1DA22FB8"/>
    <w:rsid w:val="1DEB15A3"/>
    <w:rsid w:val="1E41397D"/>
    <w:rsid w:val="1EA97168"/>
    <w:rsid w:val="1F2E7C9E"/>
    <w:rsid w:val="1F4724AC"/>
    <w:rsid w:val="1F590CB5"/>
    <w:rsid w:val="1F7A041D"/>
    <w:rsid w:val="1FFC578E"/>
    <w:rsid w:val="20FD4C2E"/>
    <w:rsid w:val="219B6B4D"/>
    <w:rsid w:val="223F1D24"/>
    <w:rsid w:val="22455FAA"/>
    <w:rsid w:val="22C80F21"/>
    <w:rsid w:val="22CA5F30"/>
    <w:rsid w:val="23004123"/>
    <w:rsid w:val="2301534A"/>
    <w:rsid w:val="23653D29"/>
    <w:rsid w:val="23B34CA4"/>
    <w:rsid w:val="240B167F"/>
    <w:rsid w:val="24354CBD"/>
    <w:rsid w:val="24D25916"/>
    <w:rsid w:val="254F18D4"/>
    <w:rsid w:val="25AB1587"/>
    <w:rsid w:val="26CE635A"/>
    <w:rsid w:val="272760F1"/>
    <w:rsid w:val="27D173CF"/>
    <w:rsid w:val="28214C6A"/>
    <w:rsid w:val="28E34FEC"/>
    <w:rsid w:val="2A4D1789"/>
    <w:rsid w:val="2AC770E5"/>
    <w:rsid w:val="2B740DA4"/>
    <w:rsid w:val="2C804DA2"/>
    <w:rsid w:val="2CF972DD"/>
    <w:rsid w:val="2D7602FA"/>
    <w:rsid w:val="2DC91946"/>
    <w:rsid w:val="2E110313"/>
    <w:rsid w:val="2E3738EA"/>
    <w:rsid w:val="2E3968BD"/>
    <w:rsid w:val="2E604BFD"/>
    <w:rsid w:val="2F9A4552"/>
    <w:rsid w:val="30773381"/>
    <w:rsid w:val="31105727"/>
    <w:rsid w:val="319B6A24"/>
    <w:rsid w:val="31AB2015"/>
    <w:rsid w:val="32300A82"/>
    <w:rsid w:val="325165D4"/>
    <w:rsid w:val="3260395B"/>
    <w:rsid w:val="32C134AE"/>
    <w:rsid w:val="33877857"/>
    <w:rsid w:val="339903C8"/>
    <w:rsid w:val="33D32711"/>
    <w:rsid w:val="341C43C3"/>
    <w:rsid w:val="34347541"/>
    <w:rsid w:val="352A4A7C"/>
    <w:rsid w:val="35B648A5"/>
    <w:rsid w:val="35D8031A"/>
    <w:rsid w:val="362E16C5"/>
    <w:rsid w:val="37180D2B"/>
    <w:rsid w:val="37681083"/>
    <w:rsid w:val="377F77E3"/>
    <w:rsid w:val="37B13643"/>
    <w:rsid w:val="394F31E7"/>
    <w:rsid w:val="3A860190"/>
    <w:rsid w:val="3B6D61EE"/>
    <w:rsid w:val="3C121C80"/>
    <w:rsid w:val="3C1D51E8"/>
    <w:rsid w:val="3D8C2BCB"/>
    <w:rsid w:val="3DD011E4"/>
    <w:rsid w:val="3DD531EB"/>
    <w:rsid w:val="3E10293F"/>
    <w:rsid w:val="3E1E6C56"/>
    <w:rsid w:val="3EBB16B4"/>
    <w:rsid w:val="404B2F5D"/>
    <w:rsid w:val="404C25FD"/>
    <w:rsid w:val="40B1639D"/>
    <w:rsid w:val="40CC7591"/>
    <w:rsid w:val="41354BF0"/>
    <w:rsid w:val="419E5EEB"/>
    <w:rsid w:val="424D4BC9"/>
    <w:rsid w:val="43BF0570"/>
    <w:rsid w:val="43F34A3C"/>
    <w:rsid w:val="44092CAA"/>
    <w:rsid w:val="458C04F3"/>
    <w:rsid w:val="45DC270F"/>
    <w:rsid w:val="478F6979"/>
    <w:rsid w:val="48EB7E8E"/>
    <w:rsid w:val="48EE3125"/>
    <w:rsid w:val="49373C2C"/>
    <w:rsid w:val="49CB1FA4"/>
    <w:rsid w:val="4B594EA0"/>
    <w:rsid w:val="4BF72A64"/>
    <w:rsid w:val="4C55171E"/>
    <w:rsid w:val="4C711190"/>
    <w:rsid w:val="4DFB5F75"/>
    <w:rsid w:val="4E177E9A"/>
    <w:rsid w:val="4F530BD7"/>
    <w:rsid w:val="4FA979F0"/>
    <w:rsid w:val="501B2E97"/>
    <w:rsid w:val="50B605B9"/>
    <w:rsid w:val="52204890"/>
    <w:rsid w:val="52A81CF3"/>
    <w:rsid w:val="53485B37"/>
    <w:rsid w:val="54E6255F"/>
    <w:rsid w:val="54FF30A4"/>
    <w:rsid w:val="55050666"/>
    <w:rsid w:val="58C425E6"/>
    <w:rsid w:val="58D42829"/>
    <w:rsid w:val="59127760"/>
    <w:rsid w:val="591B36A2"/>
    <w:rsid w:val="594E4E01"/>
    <w:rsid w:val="59910DF7"/>
    <w:rsid w:val="59F26D84"/>
    <w:rsid w:val="5A0B353B"/>
    <w:rsid w:val="5A376A6B"/>
    <w:rsid w:val="5B8B10A3"/>
    <w:rsid w:val="5BE84057"/>
    <w:rsid w:val="5C42534F"/>
    <w:rsid w:val="5C7464E5"/>
    <w:rsid w:val="5D18567F"/>
    <w:rsid w:val="5D6E7FE8"/>
    <w:rsid w:val="5DD551F3"/>
    <w:rsid w:val="5DE963D8"/>
    <w:rsid w:val="5EE155D3"/>
    <w:rsid w:val="5EF455D8"/>
    <w:rsid w:val="5FAC49FB"/>
    <w:rsid w:val="5FFA7423"/>
    <w:rsid w:val="602B6AA7"/>
    <w:rsid w:val="60C610F9"/>
    <w:rsid w:val="61DE0AFC"/>
    <w:rsid w:val="625F15E5"/>
    <w:rsid w:val="62A964F7"/>
    <w:rsid w:val="63963E28"/>
    <w:rsid w:val="63CC1485"/>
    <w:rsid w:val="63E31B72"/>
    <w:rsid w:val="6420257D"/>
    <w:rsid w:val="658B403A"/>
    <w:rsid w:val="660940D3"/>
    <w:rsid w:val="68451AAF"/>
    <w:rsid w:val="686F73B7"/>
    <w:rsid w:val="690D0CCA"/>
    <w:rsid w:val="6913353C"/>
    <w:rsid w:val="69224EEB"/>
    <w:rsid w:val="69522FD3"/>
    <w:rsid w:val="69923CFB"/>
    <w:rsid w:val="6A9458DA"/>
    <w:rsid w:val="6B372B75"/>
    <w:rsid w:val="6B4013F9"/>
    <w:rsid w:val="6B4078AA"/>
    <w:rsid w:val="6B8605F4"/>
    <w:rsid w:val="6C32718C"/>
    <w:rsid w:val="6D3528A6"/>
    <w:rsid w:val="6DBE6668"/>
    <w:rsid w:val="6E401453"/>
    <w:rsid w:val="6FCD684B"/>
    <w:rsid w:val="70340760"/>
    <w:rsid w:val="711D585E"/>
    <w:rsid w:val="7205181C"/>
    <w:rsid w:val="72965E7A"/>
    <w:rsid w:val="731927C5"/>
    <w:rsid w:val="742429A4"/>
    <w:rsid w:val="750C6A4F"/>
    <w:rsid w:val="75800D25"/>
    <w:rsid w:val="7593652E"/>
    <w:rsid w:val="75CC7FA2"/>
    <w:rsid w:val="761A6B08"/>
    <w:rsid w:val="763D788C"/>
    <w:rsid w:val="77654F47"/>
    <w:rsid w:val="792F796E"/>
    <w:rsid w:val="798F10CC"/>
    <w:rsid w:val="7AE21E7B"/>
    <w:rsid w:val="7B9A68D1"/>
    <w:rsid w:val="7BC04D73"/>
    <w:rsid w:val="7BDD0EA4"/>
    <w:rsid w:val="7C6D24C9"/>
    <w:rsid w:val="7CD01E6D"/>
    <w:rsid w:val="7D475DE2"/>
    <w:rsid w:val="7DB2735C"/>
    <w:rsid w:val="7DB75DAD"/>
    <w:rsid w:val="7E065469"/>
    <w:rsid w:val="7F1F715E"/>
    <w:rsid w:val="7F2367F5"/>
    <w:rsid w:val="7F60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qFormat="1" w:unhideWhenUsed="0" w:uiPriority="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link w:val="13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7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5"/>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qFormat/>
    <w:uiPriority w:val="0"/>
    <w:pPr>
      <w:keepNext/>
      <w:keepLines/>
      <w:spacing w:before="240" w:after="64" w:line="320" w:lineRule="auto"/>
      <w:outlineLvl w:val="6"/>
    </w:pPr>
    <w:rPr>
      <w:b/>
      <w:sz w:val="24"/>
      <w:szCs w:val="20"/>
    </w:rPr>
  </w:style>
  <w:style w:type="paragraph" w:styleId="11">
    <w:name w:val="heading 8"/>
    <w:basedOn w:val="1"/>
    <w:next w:val="5"/>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Normal Indent"/>
    <w:basedOn w:val="1"/>
    <w:link w:val="79"/>
    <w:qFormat/>
    <w:uiPriority w:val="0"/>
    <w:pPr>
      <w:ind w:firstLine="420"/>
    </w:pPr>
    <w:rPr>
      <w:szCs w:val="20"/>
    </w:rPr>
  </w:style>
  <w:style w:type="paragraph" w:styleId="13">
    <w:name w:val="toc 7"/>
    <w:basedOn w:val="1"/>
    <w:next w:val="1"/>
    <w:unhideWhenUsed/>
    <w:qFormat/>
    <w:uiPriority w:val="0"/>
    <w:pPr>
      <w:ind w:left="1260"/>
      <w:jc w:val="left"/>
    </w:pPr>
    <w:rPr>
      <w:rFonts w:ascii="Calibri" w:hAnsi="Calibri"/>
      <w:sz w:val="18"/>
      <w:szCs w:val="18"/>
    </w:rPr>
  </w:style>
  <w:style w:type="paragraph" w:styleId="14">
    <w:name w:val="caption"/>
    <w:basedOn w:val="1"/>
    <w:next w:val="1"/>
    <w:link w:val="69"/>
    <w:qFormat/>
    <w:uiPriority w:val="0"/>
    <w:rPr>
      <w:rFonts w:ascii="Arial" w:hAnsi="Arial" w:eastAsia="黑体"/>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81"/>
    <w:semiHidden/>
    <w:qFormat/>
    <w:uiPriority w:val="0"/>
    <w:pPr>
      <w:jc w:val="left"/>
    </w:p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360" w:lineRule="auto"/>
    </w:pPr>
    <w:rPr>
      <w:szCs w:val="20"/>
    </w:rPr>
  </w:style>
  <w:style w:type="paragraph" w:styleId="20">
    <w:name w:val="Body Text Indent"/>
    <w:basedOn w:val="1"/>
    <w:link w:val="64"/>
    <w:qFormat/>
    <w:uiPriority w:val="0"/>
    <w:pPr>
      <w:ind w:firstLine="830" w:firstLineChars="352"/>
    </w:pPr>
    <w:rPr>
      <w:rFonts w:ascii="仿宋_GB2312" w:eastAsia="仿宋_GB2312"/>
      <w:sz w:val="32"/>
      <w:szCs w:val="20"/>
    </w:rPr>
  </w:style>
  <w:style w:type="paragraph" w:styleId="21">
    <w:name w:val="toc 5"/>
    <w:basedOn w:val="1"/>
    <w:next w:val="1"/>
    <w:unhideWhenUsed/>
    <w:qFormat/>
    <w:uiPriority w:val="0"/>
    <w:pPr>
      <w:ind w:left="840"/>
      <w:jc w:val="left"/>
    </w:pPr>
    <w:rPr>
      <w:rFonts w:ascii="Calibri" w:hAnsi="Calibri"/>
      <w:sz w:val="18"/>
      <w:szCs w:val="18"/>
    </w:rPr>
  </w:style>
  <w:style w:type="paragraph" w:styleId="22">
    <w:name w:val="toc 3"/>
    <w:basedOn w:val="1"/>
    <w:next w:val="1"/>
    <w:qFormat/>
    <w:uiPriority w:val="39"/>
    <w:pPr>
      <w:tabs>
        <w:tab w:val="left" w:pos="900"/>
        <w:tab w:val="left" w:pos="1080"/>
      </w:tabs>
      <w:ind w:left="100" w:leftChars="100"/>
    </w:pPr>
    <w:rPr>
      <w:rFonts w:ascii="宋体" w:hAnsi="宋体"/>
      <w:iCs/>
    </w:rPr>
  </w:style>
  <w:style w:type="paragraph" w:styleId="23">
    <w:name w:val="Plain Text"/>
    <w:basedOn w:val="1"/>
    <w:link w:val="68"/>
    <w:qFormat/>
    <w:uiPriority w:val="0"/>
    <w:rPr>
      <w:rFonts w:ascii="宋体" w:hAnsi="Courier New" w:cs="Courier New"/>
      <w:szCs w:val="21"/>
    </w:rPr>
  </w:style>
  <w:style w:type="paragraph" w:styleId="24">
    <w:name w:val="toc 8"/>
    <w:basedOn w:val="1"/>
    <w:next w:val="1"/>
    <w:qFormat/>
    <w:uiPriority w:val="0"/>
    <w:pPr>
      <w:ind w:left="1470"/>
      <w:jc w:val="left"/>
    </w:pPr>
    <w:rPr>
      <w:rFonts w:ascii="Calibri" w:hAnsi="Calibri"/>
      <w:sz w:val="18"/>
      <w:szCs w:val="18"/>
    </w:rPr>
  </w:style>
  <w:style w:type="paragraph" w:styleId="25">
    <w:name w:val="index 3"/>
    <w:basedOn w:val="1"/>
    <w:next w:val="1"/>
    <w:semiHidden/>
    <w:qFormat/>
    <w:uiPriority w:val="0"/>
    <w:pPr>
      <w:ind w:left="400" w:leftChars="400"/>
    </w:pPr>
  </w:style>
  <w:style w:type="paragraph" w:styleId="26">
    <w:name w:val="Date"/>
    <w:basedOn w:val="1"/>
    <w:next w:val="1"/>
    <w:qFormat/>
    <w:uiPriority w:val="0"/>
    <w:rPr>
      <w:rFonts w:ascii="宋体" w:hAnsi="Courier New"/>
      <w:b/>
      <w:sz w:val="48"/>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semiHidden/>
    <w:qFormat/>
    <w:uiPriority w:val="0"/>
    <w:rPr>
      <w:sz w:val="18"/>
      <w:szCs w:val="18"/>
    </w:rPr>
  </w:style>
  <w:style w:type="paragraph" w:styleId="29">
    <w:name w:val="footer"/>
    <w:basedOn w:val="1"/>
    <w:link w:val="67"/>
    <w:qFormat/>
    <w:uiPriority w:val="99"/>
    <w:pPr>
      <w:tabs>
        <w:tab w:val="center" w:pos="4153"/>
        <w:tab w:val="right" w:pos="8306"/>
      </w:tabs>
      <w:snapToGrid w:val="0"/>
      <w:jc w:val="left"/>
    </w:pPr>
    <w:rPr>
      <w:sz w:val="18"/>
      <w:szCs w:val="18"/>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trike/>
      <w:sz w:val="18"/>
      <w:szCs w:val="18"/>
    </w:rPr>
  </w:style>
  <w:style w:type="paragraph" w:styleId="31">
    <w:name w:val="toc 1"/>
    <w:basedOn w:val="1"/>
    <w:next w:val="1"/>
    <w:qFormat/>
    <w:uiPriority w:val="39"/>
    <w:pPr>
      <w:tabs>
        <w:tab w:val="right" w:leader="dot" w:pos="8280"/>
      </w:tabs>
      <w:spacing w:line="360" w:lineRule="auto"/>
    </w:pPr>
    <w:rPr>
      <w:rFonts w:ascii="宋体" w:hAnsi="宋体"/>
      <w:b/>
      <w:sz w:val="22"/>
      <w:szCs w:val="21"/>
    </w:rPr>
  </w:style>
  <w:style w:type="paragraph" w:styleId="32">
    <w:name w:val="toc 4"/>
    <w:basedOn w:val="1"/>
    <w:next w:val="1"/>
    <w:unhideWhenUsed/>
    <w:qFormat/>
    <w:uiPriority w:val="39"/>
    <w:pPr>
      <w:ind w:left="630"/>
      <w:jc w:val="left"/>
    </w:pPr>
    <w:rPr>
      <w:rFonts w:ascii="Calibri" w:hAnsi="Calibri"/>
      <w:sz w:val="18"/>
      <w:szCs w:val="18"/>
    </w:rPr>
  </w:style>
  <w:style w:type="paragraph" w:styleId="33">
    <w:name w:val="index heading"/>
    <w:basedOn w:val="1"/>
    <w:next w:val="34"/>
    <w:semiHidden/>
    <w:qFormat/>
    <w:uiPriority w:val="0"/>
    <w:rPr>
      <w:szCs w:val="20"/>
    </w:rPr>
  </w:style>
  <w:style w:type="paragraph" w:styleId="34">
    <w:name w:val="index 1"/>
    <w:basedOn w:val="1"/>
    <w:next w:val="1"/>
    <w:semiHidden/>
    <w:qFormat/>
    <w:uiPriority w:val="0"/>
    <w:pPr>
      <w:tabs>
        <w:tab w:val="left" w:pos="7740"/>
      </w:tabs>
      <w:jc w:val="center"/>
    </w:pPr>
    <w:rPr>
      <w:rFonts w:ascii="仿宋" w:hAnsi="仿宋" w:eastAsia="仿宋"/>
      <w:b/>
      <w:sz w:val="28"/>
      <w:szCs w:val="28"/>
    </w:rPr>
  </w:style>
  <w:style w:type="paragraph" w:styleId="35">
    <w:name w:val="toc 6"/>
    <w:basedOn w:val="1"/>
    <w:next w:val="1"/>
    <w:unhideWhenUsed/>
    <w:qFormat/>
    <w:uiPriority w:val="0"/>
    <w:pPr>
      <w:ind w:left="1050"/>
      <w:jc w:val="left"/>
    </w:pPr>
    <w:rPr>
      <w:rFonts w:ascii="Calibri" w:hAnsi="Calibri"/>
      <w:sz w:val="18"/>
      <w:szCs w:val="18"/>
    </w:rPr>
  </w:style>
  <w:style w:type="paragraph" w:styleId="36">
    <w:name w:val="Body Text Indent 3"/>
    <w:basedOn w:val="1"/>
    <w:qFormat/>
    <w:uiPriority w:val="0"/>
    <w:pPr>
      <w:spacing w:line="360" w:lineRule="auto"/>
      <w:ind w:firstLine="420" w:firstLineChars="200"/>
    </w:pPr>
    <w:rPr>
      <w:szCs w:val="20"/>
    </w:rPr>
  </w:style>
  <w:style w:type="paragraph" w:styleId="37">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8">
    <w:name w:val="toc 9"/>
    <w:basedOn w:val="1"/>
    <w:next w:val="1"/>
    <w:unhideWhenUsed/>
    <w:qFormat/>
    <w:uiPriority w:val="0"/>
    <w:pPr>
      <w:ind w:left="1680"/>
      <w:jc w:val="left"/>
    </w:pPr>
    <w:rPr>
      <w:rFonts w:ascii="Calibri" w:hAnsi="Calibri"/>
      <w:sz w:val="18"/>
      <w:szCs w:val="18"/>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qFormat/>
    <w:uiPriority w:val="0"/>
    <w:pPr>
      <w:spacing w:before="240" w:after="60"/>
      <w:jc w:val="center"/>
      <w:outlineLvl w:val="0"/>
    </w:pPr>
    <w:rPr>
      <w:rFonts w:ascii="Arial" w:hAnsi="Arial" w:cs="Arial"/>
      <w:b/>
      <w:bCs/>
      <w:sz w:val="32"/>
      <w:szCs w:val="32"/>
    </w:rPr>
  </w:style>
  <w:style w:type="paragraph" w:styleId="41">
    <w:name w:val="annotation subject"/>
    <w:basedOn w:val="17"/>
    <w:next w:val="17"/>
    <w:semiHidden/>
    <w:qFormat/>
    <w:uiPriority w:val="0"/>
    <w:rPr>
      <w:b/>
      <w:bCs/>
    </w:rPr>
  </w:style>
  <w:style w:type="paragraph" w:styleId="42">
    <w:name w:val="Body Text First Indent"/>
    <w:basedOn w:val="19"/>
    <w:qFormat/>
    <w:uiPriority w:val="0"/>
    <w:pPr>
      <w:spacing w:after="120" w:line="240" w:lineRule="auto"/>
      <w:ind w:firstLine="420" w:firstLineChars="100"/>
    </w:pPr>
    <w:rPr>
      <w:szCs w:val="24"/>
    </w:rPr>
  </w:style>
  <w:style w:type="paragraph" w:styleId="43">
    <w:name w:val="Body Text First Indent 2"/>
    <w:basedOn w:val="20"/>
    <w:unhideWhenUsed/>
    <w:qFormat/>
    <w:uiPriority w:val="99"/>
    <w:pPr>
      <w:ind w:firstLine="420" w:firstLineChars="20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qFormat/>
    <w:uiPriority w:val="0"/>
    <w:rPr>
      <w:rFonts w:ascii="Tahoma" w:hAnsi="Tahoma" w:eastAsia="宋体"/>
      <w:b/>
      <w:bCs/>
      <w:spacing w:val="10"/>
      <w:sz w:val="24"/>
      <w:lang w:val="en-US" w:eastAsia="zh-CN" w:bidi="ar-SA"/>
    </w:rPr>
  </w:style>
  <w:style w:type="character" w:styleId="48">
    <w:name w:val="page number"/>
    <w:basedOn w:val="46"/>
    <w:qFormat/>
    <w:uiPriority w:val="0"/>
  </w:style>
  <w:style w:type="character" w:styleId="49">
    <w:name w:val="FollowedHyperlink"/>
    <w:basedOn w:val="46"/>
    <w:qFormat/>
    <w:uiPriority w:val="0"/>
    <w:rPr>
      <w:color w:val="800080"/>
      <w:u w:val="single"/>
    </w:rPr>
  </w:style>
  <w:style w:type="character" w:styleId="50">
    <w:name w:val="Emphasis"/>
    <w:basedOn w:val="46"/>
    <w:qFormat/>
    <w:uiPriority w:val="0"/>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basedOn w:val="46"/>
    <w:qFormat/>
    <w:uiPriority w:val="99"/>
    <w:rPr>
      <w:color w:val="0000FF"/>
      <w:u w:val="single"/>
    </w:rPr>
  </w:style>
  <w:style w:type="character" w:styleId="55">
    <w:name w:val="HTML Code"/>
    <w:basedOn w:val="46"/>
    <w:qFormat/>
    <w:uiPriority w:val="0"/>
    <w:rPr>
      <w:rFonts w:ascii="Courier New" w:hAnsi="Courier New"/>
      <w:sz w:val="20"/>
    </w:rPr>
  </w:style>
  <w:style w:type="character" w:styleId="56">
    <w:name w:val="annotation reference"/>
    <w:basedOn w:val="46"/>
    <w:semiHidden/>
    <w:qFormat/>
    <w:uiPriority w:val="0"/>
    <w:rPr>
      <w:sz w:val="21"/>
      <w:szCs w:val="21"/>
    </w:rPr>
  </w:style>
  <w:style w:type="character" w:styleId="57">
    <w:name w:val="HTML Cite"/>
    <w:basedOn w:val="46"/>
    <w:qFormat/>
    <w:uiPriority w:val="0"/>
  </w:style>
  <w:style w:type="character" w:customStyle="1" w:styleId="58">
    <w:name w:val="标题 2 Char"/>
    <w:basedOn w:val="46"/>
    <w:qFormat/>
    <w:uiPriority w:val="0"/>
    <w:rPr>
      <w:rFonts w:ascii="Arial" w:hAnsi="Arial" w:eastAsia="黑体"/>
      <w:b/>
      <w:bCs/>
      <w:kern w:val="2"/>
      <w:sz w:val="32"/>
      <w:szCs w:val="32"/>
      <w:lang w:val="en-US" w:eastAsia="zh-CN" w:bidi="ar-SA"/>
    </w:rPr>
  </w:style>
  <w:style w:type="character" w:customStyle="1" w:styleId="59">
    <w:name w:val="font1"/>
    <w:basedOn w:val="46"/>
    <w:qFormat/>
    <w:uiPriority w:val="0"/>
    <w:rPr>
      <w:sz w:val="18"/>
      <w:szCs w:val="18"/>
      <w:u w:val="none"/>
    </w:rPr>
  </w:style>
  <w:style w:type="character" w:customStyle="1" w:styleId="60">
    <w:name w:val="nine-11"/>
    <w:basedOn w:val="46"/>
    <w:qFormat/>
    <w:uiPriority w:val="0"/>
    <w:rPr>
      <w:rFonts w:hint="default"/>
      <w:sz w:val="18"/>
      <w:szCs w:val="18"/>
    </w:rPr>
  </w:style>
  <w:style w:type="character" w:customStyle="1" w:styleId="61">
    <w:name w:val="mark8"/>
    <w:basedOn w:val="46"/>
    <w:qFormat/>
    <w:uiPriority w:val="0"/>
    <w:rPr>
      <w:b/>
      <w:bCs/>
      <w:sz w:val="21"/>
      <w:szCs w:val="21"/>
    </w:rPr>
  </w:style>
  <w:style w:type="character" w:customStyle="1" w:styleId="62">
    <w:name w:val="列出段落 Char"/>
    <w:link w:val="63"/>
    <w:qFormat/>
    <w:uiPriority w:val="0"/>
    <w:rPr>
      <w:rFonts w:ascii="Calibri" w:hAnsi="Calibri"/>
      <w:kern w:val="2"/>
      <w:sz w:val="21"/>
      <w:szCs w:val="22"/>
    </w:rPr>
  </w:style>
  <w:style w:type="paragraph" w:styleId="63">
    <w:name w:val="List Paragraph"/>
    <w:basedOn w:val="1"/>
    <w:link w:val="62"/>
    <w:qFormat/>
    <w:uiPriority w:val="0"/>
    <w:pPr>
      <w:ind w:firstLine="420" w:firstLineChars="200"/>
    </w:pPr>
    <w:rPr>
      <w:rFonts w:ascii="Calibri" w:hAnsi="Calibri"/>
      <w:szCs w:val="22"/>
    </w:rPr>
  </w:style>
  <w:style w:type="character" w:customStyle="1" w:styleId="64">
    <w:name w:val="正文文本缩进 Char"/>
    <w:basedOn w:val="46"/>
    <w:link w:val="20"/>
    <w:qFormat/>
    <w:uiPriority w:val="0"/>
    <w:rPr>
      <w:rFonts w:ascii="仿宋_GB2312" w:eastAsia="仿宋_GB2312"/>
      <w:kern w:val="2"/>
      <w:sz w:val="32"/>
    </w:rPr>
  </w:style>
  <w:style w:type="character" w:customStyle="1" w:styleId="65">
    <w:name w:val="xl25 Char"/>
    <w:basedOn w:val="46"/>
    <w:link w:val="66"/>
    <w:qFormat/>
    <w:uiPriority w:val="0"/>
    <w:rPr>
      <w:rFonts w:ascii="宋体" w:hAnsi="宋体" w:eastAsia="宋体"/>
      <w:sz w:val="21"/>
      <w:szCs w:val="21"/>
      <w:lang w:val="en-US" w:eastAsia="zh-CN" w:bidi="ar-SA"/>
    </w:rPr>
  </w:style>
  <w:style w:type="paragraph" w:customStyle="1" w:styleId="66">
    <w:name w:val="xl25"/>
    <w:basedOn w:val="1"/>
    <w:link w:val="65"/>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7">
    <w:name w:val="页脚 Char"/>
    <w:basedOn w:val="46"/>
    <w:link w:val="29"/>
    <w:qFormat/>
    <w:uiPriority w:val="99"/>
    <w:rPr>
      <w:rFonts w:eastAsia="宋体"/>
      <w:kern w:val="2"/>
      <w:sz w:val="18"/>
      <w:szCs w:val="18"/>
      <w:lang w:val="en-US" w:eastAsia="zh-CN" w:bidi="ar-SA"/>
    </w:rPr>
  </w:style>
  <w:style w:type="character" w:customStyle="1" w:styleId="68">
    <w:name w:val="纯文本 Char"/>
    <w:basedOn w:val="46"/>
    <w:link w:val="23"/>
    <w:qFormat/>
    <w:uiPriority w:val="0"/>
    <w:rPr>
      <w:rFonts w:ascii="宋体" w:hAnsi="Courier New" w:eastAsia="宋体" w:cs="Courier New"/>
      <w:kern w:val="2"/>
      <w:sz w:val="21"/>
      <w:szCs w:val="21"/>
      <w:lang w:val="en-US" w:eastAsia="zh-CN" w:bidi="ar-SA"/>
    </w:rPr>
  </w:style>
  <w:style w:type="character" w:customStyle="1" w:styleId="69">
    <w:name w:val="题注 Char"/>
    <w:link w:val="14"/>
    <w:qFormat/>
    <w:uiPriority w:val="0"/>
    <w:rPr>
      <w:rFonts w:ascii="Arial" w:hAnsi="Arial" w:eastAsia="黑体" w:cs="Arial"/>
      <w:kern w:val="2"/>
    </w:rPr>
  </w:style>
  <w:style w:type="character" w:customStyle="1" w:styleId="70">
    <w:name w:val="mark"/>
    <w:basedOn w:val="46"/>
    <w:qFormat/>
    <w:uiPriority w:val="0"/>
  </w:style>
  <w:style w:type="character" w:customStyle="1" w:styleId="71">
    <w:name w:val="标题 3 Char"/>
    <w:basedOn w:val="46"/>
    <w:link w:val="6"/>
    <w:qFormat/>
    <w:uiPriority w:val="0"/>
    <w:rPr>
      <w:rFonts w:eastAsia="宋体"/>
      <w:b/>
      <w:bCs/>
      <w:kern w:val="2"/>
      <w:sz w:val="32"/>
      <w:szCs w:val="32"/>
      <w:lang w:val="en-US" w:eastAsia="zh-CN" w:bidi="ar-SA"/>
    </w:rPr>
  </w:style>
  <w:style w:type="character" w:customStyle="1" w:styleId="72">
    <w:name w:val="正文 A Char Char"/>
    <w:link w:val="73"/>
    <w:qFormat/>
    <w:uiPriority w:val="0"/>
    <w:rPr>
      <w:rFonts w:ascii="仿宋_GB2312" w:hAnsi="Heiti SC Light" w:eastAsia="仿宋_GB2312"/>
      <w:kern w:val="2"/>
      <w:sz w:val="24"/>
      <w:lang w:val="en-US" w:eastAsia="zh-CN" w:bidi="ar-SA"/>
    </w:rPr>
  </w:style>
  <w:style w:type="paragraph" w:customStyle="1" w:styleId="73">
    <w:name w:val="正文 A"/>
    <w:link w:val="72"/>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74">
    <w:name w:val="Char Char3"/>
    <w:basedOn w:val="46"/>
    <w:qFormat/>
    <w:uiPriority w:val="0"/>
    <w:rPr>
      <w:rFonts w:eastAsia="宋体"/>
      <w:kern w:val="2"/>
      <w:sz w:val="18"/>
      <w:lang w:val="en-US" w:eastAsia="zh-CN" w:bidi="ar-SA"/>
    </w:rPr>
  </w:style>
  <w:style w:type="character" w:customStyle="1" w:styleId="75">
    <w:name w:val="正文缩进 Char2"/>
    <w:basedOn w:val="46"/>
    <w:link w:val="76"/>
    <w:qFormat/>
    <w:uiPriority w:val="0"/>
    <w:rPr>
      <w:rFonts w:eastAsia="宋体"/>
      <w:szCs w:val="24"/>
      <w:lang w:bidi="ar-SA"/>
    </w:rPr>
  </w:style>
  <w:style w:type="paragraph" w:customStyle="1" w:styleId="76">
    <w:name w:val="正文缩进1"/>
    <w:basedOn w:val="1"/>
    <w:link w:val="75"/>
    <w:qFormat/>
    <w:uiPriority w:val="0"/>
    <w:pPr>
      <w:ind w:firstLine="420" w:firstLineChars="200"/>
    </w:pPr>
    <w:rPr>
      <w:kern w:val="0"/>
      <w:sz w:val="20"/>
    </w:rPr>
  </w:style>
  <w:style w:type="character" w:customStyle="1" w:styleId="77">
    <w:name w:val="Char Char8"/>
    <w:basedOn w:val="46"/>
    <w:qFormat/>
    <w:uiPriority w:val="0"/>
    <w:rPr>
      <w:rFonts w:ascii="宋体" w:hAnsi="Courier New" w:eastAsia="宋体"/>
      <w:kern w:val="2"/>
      <w:sz w:val="21"/>
      <w:lang w:val="en-US" w:eastAsia="zh-CN" w:bidi="ar-SA"/>
    </w:rPr>
  </w:style>
  <w:style w:type="character" w:customStyle="1" w:styleId="78">
    <w:name w:val="Char Char10"/>
    <w:basedOn w:val="46"/>
    <w:qFormat/>
    <w:uiPriority w:val="0"/>
    <w:rPr>
      <w:rFonts w:eastAsia="宋体"/>
      <w:kern w:val="2"/>
      <w:sz w:val="18"/>
      <w:szCs w:val="18"/>
      <w:lang w:val="en-US" w:eastAsia="zh-CN" w:bidi="ar-SA"/>
    </w:rPr>
  </w:style>
  <w:style w:type="character" w:customStyle="1" w:styleId="79">
    <w:name w:val="正文缩进 Char"/>
    <w:basedOn w:val="46"/>
    <w:link w:val="5"/>
    <w:qFormat/>
    <w:uiPriority w:val="0"/>
    <w:rPr>
      <w:rFonts w:eastAsia="宋体"/>
      <w:kern w:val="2"/>
      <w:sz w:val="21"/>
      <w:lang w:val="en-US" w:eastAsia="zh-CN" w:bidi="ar-SA"/>
    </w:rPr>
  </w:style>
  <w:style w:type="character" w:customStyle="1" w:styleId="80">
    <w:name w:val="页眉 Char"/>
    <w:basedOn w:val="46"/>
    <w:link w:val="30"/>
    <w:qFormat/>
    <w:uiPriority w:val="99"/>
    <w:rPr>
      <w:strike/>
      <w:kern w:val="2"/>
      <w:sz w:val="18"/>
      <w:szCs w:val="18"/>
    </w:rPr>
  </w:style>
  <w:style w:type="character" w:customStyle="1" w:styleId="81">
    <w:name w:val="批注文字 Char"/>
    <w:basedOn w:val="46"/>
    <w:link w:val="17"/>
    <w:semiHidden/>
    <w:qFormat/>
    <w:uiPriority w:val="0"/>
    <w:rPr>
      <w:kern w:val="2"/>
      <w:sz w:val="21"/>
      <w:szCs w:val="24"/>
    </w:rPr>
  </w:style>
  <w:style w:type="paragraph" w:customStyle="1" w:styleId="8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3">
    <w:name w:val="Char Char3 Char Char"/>
    <w:basedOn w:val="1"/>
    <w:qFormat/>
    <w:uiPriority w:val="0"/>
    <w:pPr>
      <w:spacing w:line="360" w:lineRule="auto"/>
      <w:ind w:firstLine="200" w:firstLineChars="200"/>
    </w:pPr>
    <w:rPr>
      <w:rFonts w:ascii="宋体" w:hAnsi="宋体" w:cs="宋体"/>
      <w:sz w:val="24"/>
    </w:rPr>
  </w:style>
  <w:style w:type="paragraph" w:customStyle="1" w:styleId="84">
    <w:name w:val="办公自动化专用标题"/>
    <w:basedOn w:val="40"/>
    <w:qFormat/>
    <w:uiPriority w:val="0"/>
    <w:pPr>
      <w:spacing w:line="560" w:lineRule="atLeast"/>
    </w:pPr>
    <w:rPr>
      <w:rFonts w:ascii="宋体" w:cs="Times New Roman"/>
      <w:bCs w:val="0"/>
      <w:sz w:val="44"/>
      <w:szCs w:val="20"/>
    </w:rPr>
  </w:style>
  <w:style w:type="paragraph" w:customStyle="1" w:styleId="85">
    <w:name w:val="列出段落1"/>
    <w:basedOn w:val="1"/>
    <w:qFormat/>
    <w:uiPriority w:val="0"/>
    <w:pPr>
      <w:ind w:firstLine="420" w:firstLineChars="200"/>
    </w:pPr>
    <w:rPr>
      <w:rFonts w:ascii="Calibri" w:hAnsi="Calibri"/>
      <w:szCs w:val="22"/>
    </w:rPr>
  </w:style>
  <w:style w:type="paragraph" w:customStyle="1" w:styleId="86">
    <w:name w:val="Char Char Char Char Char Char Char Char Char"/>
    <w:basedOn w:val="1"/>
    <w:qFormat/>
    <w:uiPriority w:val="0"/>
    <w:rPr>
      <w:sz w:val="28"/>
    </w:rPr>
  </w:style>
  <w:style w:type="paragraph" w:customStyle="1" w:styleId="8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88">
    <w:name w:val="Char Char Char Char Char Char Char"/>
    <w:basedOn w:val="1"/>
    <w:qFormat/>
    <w:uiPriority w:val="0"/>
    <w:pPr>
      <w:tabs>
        <w:tab w:val="left" w:pos="425"/>
      </w:tabs>
      <w:ind w:left="425" w:hanging="425"/>
    </w:pPr>
    <w:rPr>
      <w:rFonts w:eastAsia="仿宋_GB2312"/>
      <w:kern w:val="24"/>
      <w:sz w:val="24"/>
    </w:rPr>
  </w:style>
  <w:style w:type="paragraph" w:customStyle="1" w:styleId="89">
    <w:name w:val="p0"/>
    <w:basedOn w:val="1"/>
    <w:qFormat/>
    <w:uiPriority w:val="0"/>
    <w:pPr>
      <w:widowControl/>
    </w:pPr>
    <w:rPr>
      <w:kern w:val="0"/>
      <w:szCs w:val="21"/>
    </w:rPr>
  </w:style>
  <w:style w:type="paragraph" w:customStyle="1" w:styleId="90">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9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92">
    <w:name w:val="Char3"/>
    <w:basedOn w:val="1"/>
    <w:qFormat/>
    <w:uiPriority w:val="0"/>
  </w:style>
  <w:style w:type="paragraph" w:customStyle="1" w:styleId="9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4">
    <w:name w:val="正文段落"/>
    <w:basedOn w:val="1"/>
    <w:qFormat/>
    <w:uiPriority w:val="0"/>
    <w:pPr>
      <w:widowControl/>
      <w:spacing w:after="40" w:line="360" w:lineRule="auto"/>
      <w:ind w:firstLine="200" w:firstLineChars="200"/>
    </w:pPr>
    <w:rPr>
      <w:kern w:val="0"/>
      <w:sz w:val="24"/>
    </w:rPr>
  </w:style>
  <w:style w:type="paragraph" w:customStyle="1" w:styleId="95">
    <w:name w:val="默认段落字体 Para Char"/>
    <w:basedOn w:val="1"/>
    <w:qFormat/>
    <w:uiPriority w:val="0"/>
    <w:rPr>
      <w:rFonts w:ascii="宋体" w:hAnsi="宋体"/>
      <w:b/>
      <w:sz w:val="28"/>
      <w:szCs w:val="28"/>
    </w:rPr>
  </w:style>
  <w:style w:type="paragraph" w:customStyle="1" w:styleId="96">
    <w:name w:val="题注5"/>
    <w:basedOn w:val="1"/>
    <w:next w:val="14"/>
    <w:qFormat/>
    <w:uiPriority w:val="0"/>
    <w:pPr>
      <w:jc w:val="center"/>
    </w:pPr>
    <w:rPr>
      <w:b/>
      <w:color w:val="000000"/>
      <w:sz w:val="24"/>
      <w:szCs w:val="21"/>
    </w:rPr>
  </w:style>
  <w:style w:type="paragraph" w:customStyle="1" w:styleId="9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98">
    <w:name w:val="Char Char"/>
    <w:basedOn w:val="1"/>
    <w:qFormat/>
    <w:uiPriority w:val="0"/>
    <w:rPr>
      <w:rFonts w:ascii="宋体" w:hAnsi="宋体"/>
      <w:b/>
      <w:sz w:val="28"/>
      <w:szCs w:val="28"/>
    </w:rPr>
  </w:style>
  <w:style w:type="paragraph" w:customStyle="1" w:styleId="99">
    <w:name w:val="题注4"/>
    <w:basedOn w:val="1"/>
    <w:next w:val="14"/>
    <w:qFormat/>
    <w:uiPriority w:val="0"/>
    <w:pPr>
      <w:ind w:left="-132" w:leftChars="-64" w:right="-105" w:rightChars="-50" w:hanging="2"/>
      <w:jc w:val="center"/>
    </w:pPr>
    <w:rPr>
      <w:b/>
      <w:color w:val="FF0000"/>
      <w:szCs w:val="21"/>
      <w:lang w:val="en-GB"/>
    </w:rPr>
  </w:style>
  <w:style w:type="paragraph" w:customStyle="1" w:styleId="100">
    <w:name w:val="字元 字元"/>
    <w:basedOn w:val="1"/>
    <w:qFormat/>
    <w:uiPriority w:val="0"/>
    <w:pPr>
      <w:spacing w:line="360" w:lineRule="auto"/>
      <w:ind w:firstLine="200" w:firstLineChars="200"/>
    </w:pPr>
    <w:rPr>
      <w:rFonts w:ascii="宋体" w:hAnsi="宋体" w:cs="宋体"/>
      <w:sz w:val="24"/>
    </w:rPr>
  </w:style>
  <w:style w:type="paragraph" w:customStyle="1" w:styleId="10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正文1"/>
    <w:qFormat/>
    <w:uiPriority w:val="0"/>
    <w:pPr>
      <w:widowControl w:val="0"/>
      <w:jc w:val="both"/>
    </w:pPr>
    <w:rPr>
      <w:rFonts w:ascii="Times New Roman" w:hAnsi="Times New Roman" w:eastAsia="宋体" w:cs="Times New Roman"/>
      <w:lang w:val="en-US" w:eastAsia="zh-CN" w:bidi="ar-SA"/>
    </w:rPr>
  </w:style>
  <w:style w:type="paragraph" w:customStyle="1" w:styleId="104">
    <w:name w:val="表格"/>
    <w:basedOn w:val="1"/>
    <w:qFormat/>
    <w:uiPriority w:val="0"/>
    <w:pPr>
      <w:jc w:val="center"/>
    </w:pPr>
    <w:rPr>
      <w:rFonts w:ascii="宋体"/>
      <w:b/>
      <w:szCs w:val="20"/>
    </w:rPr>
  </w:style>
  <w:style w:type="paragraph" w:customStyle="1" w:styleId="105">
    <w:name w:val="表格文字"/>
    <w:basedOn w:val="1"/>
    <w:qFormat/>
    <w:uiPriority w:val="0"/>
    <w:pPr>
      <w:spacing w:before="25" w:after="25"/>
      <w:jc w:val="left"/>
    </w:pPr>
    <w:rPr>
      <w:bCs/>
      <w:spacing w:val="10"/>
      <w:kern w:val="0"/>
      <w:sz w:val="24"/>
      <w:szCs w:val="20"/>
    </w:rPr>
  </w:style>
  <w:style w:type="paragraph" w:customStyle="1" w:styleId="106">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07">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0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10">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1">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13">
    <w:name w:val="Char Char2 Char"/>
    <w:basedOn w:val="1"/>
    <w:qFormat/>
    <w:uiPriority w:val="0"/>
    <w:rPr>
      <w:rFonts w:ascii="宋体" w:hAnsi="宋体"/>
      <w:b/>
      <w:sz w:val="28"/>
      <w:szCs w:val="28"/>
    </w:rPr>
  </w:style>
  <w:style w:type="paragraph" w:customStyle="1" w:styleId="114">
    <w:name w:val="List Paragraph1"/>
    <w:basedOn w:val="1"/>
    <w:qFormat/>
    <w:uiPriority w:val="0"/>
    <w:pPr>
      <w:ind w:firstLine="420" w:firstLineChars="200"/>
    </w:pPr>
    <w:rPr>
      <w:rFonts w:ascii="Calibri" w:hAnsi="Calibri" w:cs="黑体"/>
      <w:szCs w:val="22"/>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Char1 Char Char Char"/>
    <w:basedOn w:val="1"/>
    <w:qFormat/>
    <w:uiPriority w:val="0"/>
    <w:pPr>
      <w:numPr>
        <w:ilvl w:val="0"/>
        <w:numId w:val="2"/>
      </w:numPr>
    </w:pPr>
    <w:rPr>
      <w:sz w:val="24"/>
    </w:rPr>
  </w:style>
  <w:style w:type="paragraph" w:customStyle="1" w:styleId="1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8">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19">
    <w:name w:val="图框内的文字"/>
    <w:basedOn w:val="1"/>
    <w:qFormat/>
    <w:uiPriority w:val="0"/>
    <w:pPr>
      <w:jc w:val="center"/>
    </w:pPr>
    <w:rPr>
      <w:position w:val="6"/>
      <w:szCs w:val="20"/>
    </w:rPr>
  </w:style>
  <w:style w:type="paragraph" w:customStyle="1" w:styleId="1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_Style 4"/>
    <w:basedOn w:val="1"/>
    <w:qFormat/>
    <w:uiPriority w:val="0"/>
    <w:pPr>
      <w:spacing w:beforeLines="50" w:afterLines="50"/>
    </w:pPr>
  </w:style>
  <w:style w:type="paragraph" w:customStyle="1" w:styleId="1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2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2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7">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28">
    <w:name w:val="样式1"/>
    <w:basedOn w:val="7"/>
    <w:qFormat/>
    <w:uiPriority w:val="0"/>
    <w:pPr>
      <w:spacing w:line="416" w:lineRule="auto"/>
      <w:ind w:left="560" w:leftChars="200"/>
    </w:pPr>
    <w:rPr>
      <w:rFonts w:ascii="宋体"/>
      <w:bCs w:val="0"/>
      <w:color w:val="FF0000"/>
    </w:rPr>
  </w:style>
  <w:style w:type="paragraph" w:customStyle="1" w:styleId="129">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0">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table" w:customStyle="1" w:styleId="131">
    <w:name w:val="网格型1"/>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2">
    <w:name w:val="标题 2 Char1"/>
    <w:link w:val="4"/>
    <w:qFormat/>
    <w:locked/>
    <w:uiPriority w:val="0"/>
    <w:rPr>
      <w:rFonts w:ascii="Arial" w:hAnsi="Arial" w:eastAsia="黑体"/>
      <w:b/>
      <w:bCs/>
      <w:kern w:val="2"/>
      <w:sz w:val="32"/>
      <w:szCs w:val="32"/>
    </w:rPr>
  </w:style>
  <w:style w:type="character" w:customStyle="1" w:styleId="133">
    <w:name w:val="Font Style17"/>
    <w:qFormat/>
    <w:uiPriority w:val="0"/>
    <w:rPr>
      <w:rFonts w:ascii="黑体" w:eastAsia="黑体" w:cs="黑体"/>
      <w:sz w:val="28"/>
      <w:szCs w:val="28"/>
    </w:rPr>
  </w:style>
  <w:style w:type="character" w:customStyle="1" w:styleId="134">
    <w:name w:val="纯文本 Char1"/>
    <w:qFormat/>
    <w:uiPriority w:val="0"/>
    <w:rPr>
      <w:rFonts w:ascii="宋体" w:hAnsi="Courier New" w:eastAsia="宋体" w:cs="Courier New"/>
      <w:kern w:val="2"/>
      <w:sz w:val="21"/>
      <w:szCs w:val="21"/>
      <w:lang w:val="en-US" w:eastAsia="zh-CN" w:bidi="ar-SA"/>
    </w:rPr>
  </w:style>
  <w:style w:type="character" w:customStyle="1" w:styleId="135">
    <w:name w:val="方案正文 Char"/>
    <w:link w:val="136"/>
    <w:qFormat/>
    <w:uiPriority w:val="0"/>
    <w:rPr>
      <w:rFonts w:ascii="宋体" w:hAnsi="宋体"/>
      <w:b/>
      <w:kern w:val="2"/>
      <w:sz w:val="28"/>
      <w:szCs w:val="24"/>
    </w:rPr>
  </w:style>
  <w:style w:type="paragraph" w:customStyle="1" w:styleId="136">
    <w:name w:val="方案正文"/>
    <w:link w:val="135"/>
    <w:qFormat/>
    <w:uiPriority w:val="0"/>
    <w:pPr>
      <w:spacing w:beforeLines="50" w:line="560" w:lineRule="exact"/>
      <w:ind w:firstLine="200" w:firstLineChars="200"/>
      <w:jc w:val="both"/>
    </w:pPr>
    <w:rPr>
      <w:rFonts w:ascii="宋体" w:hAnsi="宋体" w:eastAsia="宋体" w:cs="Times New Roman"/>
      <w:b/>
      <w:kern w:val="2"/>
      <w:sz w:val="28"/>
      <w:szCs w:val="24"/>
      <w:lang w:val="en-US" w:eastAsia="zh-CN" w:bidi="ar-SA"/>
    </w:rPr>
  </w:style>
  <w:style w:type="character" w:customStyle="1" w:styleId="137">
    <w:name w:val="标题 1 Char"/>
    <w:link w:val="3"/>
    <w:qFormat/>
    <w:locked/>
    <w:uiPriority w:val="0"/>
    <w:rPr>
      <w:b/>
      <w:bCs/>
      <w:kern w:val="44"/>
      <w:sz w:val="44"/>
      <w:szCs w:val="44"/>
    </w:rPr>
  </w:style>
  <w:style w:type="paragraph" w:customStyle="1" w:styleId="138">
    <w:name w:val="样式 样式 标题 4Alt+41.1.1.1 Heading 4bulletblbbH44h4H41h41H42... + 自动..."/>
    <w:basedOn w:val="1"/>
    <w:qFormat/>
    <w:uiPriority w:val="0"/>
    <w:pPr>
      <w:keepNext/>
      <w:keepLines/>
      <w:numPr>
        <w:ilvl w:val="3"/>
        <w:numId w:val="3"/>
      </w:numPr>
      <w:spacing w:before="120" w:after="120" w:line="376" w:lineRule="auto"/>
      <w:outlineLvl w:val="3"/>
    </w:pPr>
    <w:rPr>
      <w:rFonts w:ascii="宋体" w:hAnsi="宋体" w:eastAsia="黑体"/>
      <w:b/>
      <w:bCs/>
      <w:sz w:val="28"/>
      <w:szCs w:val="28"/>
    </w:rPr>
  </w:style>
  <w:style w:type="paragraph" w:styleId="139">
    <w:name w:val="No Spacing"/>
    <w:link w:val="140"/>
    <w:qFormat/>
    <w:uiPriority w:val="1"/>
    <w:rPr>
      <w:rFonts w:asciiTheme="minorHAnsi" w:hAnsiTheme="minorHAnsi" w:eastAsiaTheme="minorEastAsia" w:cstheme="minorBidi"/>
      <w:sz w:val="22"/>
      <w:szCs w:val="22"/>
      <w:lang w:val="en-US" w:eastAsia="zh-CN" w:bidi="ar-SA"/>
    </w:rPr>
  </w:style>
  <w:style w:type="character" w:customStyle="1" w:styleId="140">
    <w:name w:val="无间隔 Char"/>
    <w:basedOn w:val="46"/>
    <w:link w:val="139"/>
    <w:qFormat/>
    <w:uiPriority w:val="1"/>
    <w:rPr>
      <w:rFonts w:asciiTheme="minorHAnsi" w:hAnsiTheme="minorHAnsi" w:eastAsiaTheme="minorEastAsia" w:cstheme="minorBidi"/>
      <w:sz w:val="22"/>
      <w:szCs w:val="22"/>
    </w:rPr>
  </w:style>
  <w:style w:type="paragraph" w:customStyle="1" w:styleId="141">
    <w:name w:val="正文格式"/>
    <w:basedOn w:val="1"/>
    <w:qFormat/>
    <w:uiPriority w:val="0"/>
    <w:pPr>
      <w:spacing w:beforeLines="50" w:afterLines="50" w:line="360" w:lineRule="auto"/>
      <w:ind w:firstLine="480" w:firstLineChars="200"/>
    </w:pPr>
    <w:rPr>
      <w:rFonts w:ascii="宋体" w:hAnsi="宋体"/>
      <w:lang w:val="en-GB"/>
    </w:rPr>
  </w:style>
  <w:style w:type="character" w:customStyle="1" w:styleId="142">
    <w:name w:val="nth-child(1)"/>
    <w:basedOn w:val="46"/>
    <w:qFormat/>
    <w:uiPriority w:val="0"/>
  </w:style>
  <w:style w:type="character" w:customStyle="1" w:styleId="143">
    <w:name w:val="hover24"/>
    <w:basedOn w:val="46"/>
    <w:qFormat/>
    <w:uiPriority w:val="0"/>
  </w:style>
  <w:style w:type="character" w:customStyle="1" w:styleId="144">
    <w:name w:val="hover25"/>
    <w:basedOn w:val="46"/>
    <w:qFormat/>
    <w:uiPriority w:val="0"/>
    <w:rPr>
      <w:shd w:val="clear" w:color="auto" w:fill="F6F6F6"/>
    </w:rPr>
  </w:style>
  <w:style w:type="character" w:customStyle="1" w:styleId="145">
    <w:name w:val="hover26"/>
    <w:basedOn w:val="46"/>
    <w:qFormat/>
    <w:uiPriority w:val="0"/>
    <w:rPr>
      <w:color w:val="3C88FF"/>
    </w:rPr>
  </w:style>
  <w:style w:type="character" w:customStyle="1" w:styleId="146">
    <w:name w:val="first-child"/>
    <w:basedOn w:val="46"/>
    <w:qFormat/>
    <w:uiPriority w:val="0"/>
    <w:rPr>
      <w:color w:val="FFA800"/>
    </w:rPr>
  </w:style>
  <w:style w:type="character" w:customStyle="1" w:styleId="147">
    <w:name w:val="index-name-935ff1"/>
    <w:basedOn w:val="46"/>
    <w:qFormat/>
    <w:uiPriority w:val="0"/>
    <w:rPr>
      <w:sz w:val="24"/>
      <w:szCs w:val="24"/>
    </w:rPr>
  </w:style>
  <w:style w:type="character" w:customStyle="1" w:styleId="148">
    <w:name w:val="index-disable-b2173"/>
    <w:basedOn w:val="46"/>
    <w:qFormat/>
    <w:uiPriority w:val="0"/>
  </w:style>
  <w:style w:type="character" w:customStyle="1" w:styleId="149">
    <w:name w:val="nth-child(2)"/>
    <w:basedOn w:val="46"/>
    <w:qFormat/>
    <w:uiPriority w:val="0"/>
  </w:style>
  <w:style w:type="character" w:customStyle="1" w:styleId="150">
    <w:name w:val="text"/>
    <w:basedOn w:val="46"/>
    <w:qFormat/>
    <w:uiPriority w:val="0"/>
    <w:rPr>
      <w:color w:val="666666"/>
    </w:rPr>
  </w:style>
  <w:style w:type="character" w:customStyle="1" w:styleId="151">
    <w:name w:val="text1"/>
    <w:basedOn w:val="46"/>
    <w:qFormat/>
    <w:uiPriority w:val="0"/>
    <w:rPr>
      <w:color w:val="666666"/>
    </w:rPr>
  </w:style>
  <w:style w:type="character" w:customStyle="1" w:styleId="152">
    <w:name w:val="back"/>
    <w:basedOn w:val="46"/>
    <w:qFormat/>
    <w:uiPriority w:val="0"/>
    <w:rPr>
      <w:shd w:val="clear" w:color="auto" w:fill="111111"/>
    </w:rPr>
  </w:style>
  <w:style w:type="character" w:customStyle="1" w:styleId="153">
    <w:name w:val="back1"/>
    <w:basedOn w:val="46"/>
    <w:qFormat/>
    <w:uiPriority w:val="0"/>
    <w:rPr>
      <w:shd w:val="clear" w:color="auto" w:fill="111111"/>
    </w:rPr>
  </w:style>
  <w:style w:type="character" w:customStyle="1" w:styleId="154">
    <w:name w:val="nth-child(1)1"/>
    <w:basedOn w:val="46"/>
    <w:qFormat/>
    <w:uiPriority w:val="0"/>
  </w:style>
  <w:style w:type="character" w:customStyle="1" w:styleId="155">
    <w:name w:val="index-name-935ff"/>
    <w:basedOn w:val="46"/>
    <w:qFormat/>
    <w:uiPriority w:val="0"/>
    <w:rPr>
      <w:sz w:val="24"/>
      <w:szCs w:val="24"/>
    </w:rPr>
  </w:style>
  <w:style w:type="character" w:customStyle="1" w:styleId="156">
    <w:name w:val="rili11"/>
    <w:qFormat/>
    <w:uiPriority w:val="99"/>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1217"/>
    <customShpInfo spid="_x0000_s121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86E59-AF63-4CCC-9F04-A0091273083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17507</Words>
  <Characters>18551</Characters>
  <Lines>171</Lines>
  <Paragraphs>48</Paragraphs>
  <TotalTime>4</TotalTime>
  <ScaleCrop>false</ScaleCrop>
  <LinksUpToDate>false</LinksUpToDate>
  <CharactersWithSpaces>21548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2016-11-05T10:23:00Z</dcterms:created>
  <dc:creator>ibm</dc:creator>
  <cp:lastModifiedBy>Administrator</cp:lastModifiedBy>
  <cp:lastPrinted>2021-07-02T03:20:00Z</cp:lastPrinted>
  <dcterms:modified xsi:type="dcterms:W3CDTF">2023-03-23T09:39:02Z</dcterms:modified>
  <dc:title>第三部分  政府采购规范文本</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627329B4981F4C0DBFE80258EC864D34</vt:lpwstr>
  </property>
</Properties>
</file>