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lang w:eastAsia="zh-CN"/>
          <w14:textFill>
            <w14:solidFill>
              <w14:schemeClr w14:val="tx1"/>
            </w14:solidFill>
          </w14:textFill>
        </w:rPr>
        <w:drawing>
          <wp:inline distT="0" distB="0" distL="114300" distR="114300">
            <wp:extent cx="2265680" cy="400685"/>
            <wp:effectExtent l="0" t="0" r="1270" b="184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7"/>
                    <a:stretch>
                      <a:fillRect/>
                    </a:stretch>
                  </pic:blipFill>
                  <pic:spPr>
                    <a:xfrm>
                      <a:off x="0" y="0"/>
                      <a:ext cx="2265680" cy="400685"/>
                    </a:xfrm>
                    <a:prstGeom prst="rect">
                      <a:avLst/>
                    </a:prstGeom>
                  </pic:spPr>
                </pic:pic>
              </a:graphicData>
            </a:graphic>
          </wp:inline>
        </w:drawing>
      </w: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2"/>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YXZB-20221209</w:t>
            </w:r>
          </w:p>
        </w:tc>
      </w:tr>
      <w:tr>
        <w:tblPrEx>
          <w:tblCellMar>
            <w:top w:w="0" w:type="dxa"/>
            <w:left w:w="108" w:type="dxa"/>
            <w:bottom w:w="0" w:type="dxa"/>
            <w:right w:w="108" w:type="dxa"/>
          </w:tblCellMar>
        </w:tblPrEx>
        <w:trPr>
          <w:trHeight w:val="77" w:hRule="atLeast"/>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阳江市漠阳江中下游综合治理工程—江城段白蚁防治服务</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阳江市江城区河道堤防管护中心</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val="en-US" w:eastAsia="zh-CN"/>
          <w14:textFill>
            <w14:solidFill>
              <w14:schemeClr w14:val="tx1"/>
            </w14:solidFill>
          </w14:textFill>
        </w:rPr>
        <w:t>二二</w:t>
      </w:r>
      <w:r>
        <w:rPr>
          <w:rFonts w:hint="eastAsia" w:hAnsi="宋体"/>
          <w:b/>
          <w:bCs/>
          <w:color w:val="000000" w:themeColor="text1"/>
          <w:sz w:val="24"/>
          <w:highlight w:val="none"/>
          <w14:textFill>
            <w14:solidFill>
              <w14:schemeClr w14:val="tx1"/>
            </w14:solidFill>
          </w14:textFill>
        </w:rPr>
        <w:t>年</w:t>
      </w:r>
      <w:r>
        <w:rPr>
          <w:rFonts w:hint="eastAsia" w:hAnsi="宋体"/>
          <w:b/>
          <w:bCs/>
          <w:color w:val="000000" w:themeColor="text1"/>
          <w:sz w:val="24"/>
          <w:highlight w:val="none"/>
          <w:lang w:val="en-US" w:eastAsia="zh-CN"/>
          <w14:textFill>
            <w14:solidFill>
              <w14:schemeClr w14:val="tx1"/>
            </w14:solidFill>
          </w14:textFill>
        </w:rPr>
        <w:t>十</w:t>
      </w:r>
      <w:r>
        <w:rPr>
          <w:rFonts w:hint="eastAsia" w:hAnsi="宋体"/>
          <w:b/>
          <w:bCs/>
          <w:color w:val="000000" w:themeColor="text1"/>
          <w:sz w:val="24"/>
          <w:highlight w:val="none"/>
          <w14:textFill>
            <w14:solidFill>
              <w14:schemeClr w14:val="tx1"/>
            </w14:solidFill>
          </w14:textFill>
        </w:rPr>
        <w:t>二月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w:t>
      </w:r>
      <w:r>
        <w:rPr>
          <w:rFonts w:hint="eastAsia" w:ascii="宋体" w:hAnsi="宋体"/>
          <w:color w:val="000000" w:themeColor="text1"/>
          <w:szCs w:val="21"/>
          <w:highlight w:val="none"/>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特别留意磋商文件上注明的投标截止和开标时间，逾期送达或邮寄送达的磋商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w:t>
      </w:r>
      <w:r>
        <w:rPr>
          <w:rFonts w:hint="eastAsia" w:ascii="宋体" w:hAnsi="宋体"/>
          <w:color w:val="000000" w:themeColor="text1"/>
          <w:szCs w:val="21"/>
          <w:highlight w:val="none"/>
          <w14:textFill>
            <w14:solidFill>
              <w14:schemeClr w14:val="tx1"/>
            </w14:solidFill>
          </w14:textFill>
        </w:rPr>
        <w:t>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w:t>
      </w:r>
      <w:r>
        <w:rPr>
          <w:rFonts w:ascii="宋体" w:hAnsi="宋体"/>
          <w:color w:val="000000" w:themeColor="text1"/>
          <w:szCs w:val="21"/>
          <w:highlight w:val="none"/>
          <w14:textFill>
            <w14:solidFill>
              <w14:schemeClr w14:val="tx1"/>
            </w14:solidFill>
          </w14:textFill>
        </w:rPr>
        <w:t>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6"/>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pPr>
        <w:pStyle w:val="26"/>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_Toc16044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_Toc24278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_Toc15924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YXZB-20221209</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_Toc6582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阳江市漠阳江中下游综合治理工程—江城段白蚁防治服务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_Toc11985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_Toc31563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_Toc10854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_Toc30638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_Toc30591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_Toc6845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_Toc31714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_Toc7938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_Toc11363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_Toc11372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_Toc5501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_Toc8939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_Toc14444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_Toc14205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_Toc20671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_Toc520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_Toc30125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_Toc18477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_Toc15503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_Toc32563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_Toc28060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_Toc32342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_Toc31603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_Toc27822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_Toc15358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_Toc3831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_Toc32012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_Toc10412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w:t>
      </w:r>
      <w:r>
        <w:rPr>
          <w:rFonts w:hint="eastAsia" w:ascii="宋体" w:hAnsi="宋体"/>
          <w:color w:val="000000" w:themeColor="text1"/>
          <w:szCs w:val="28"/>
          <w:highlight w:val="none"/>
          <w14:textFill>
            <w14:solidFill>
              <w14:schemeClr w14:val="tx1"/>
            </w14:solidFill>
          </w14:textFill>
        </w:rPr>
        <w:t>：</w:t>
      </w:r>
      <w:r>
        <w:rPr>
          <w:rFonts w:hint="eastAsia" w:ascii="宋体" w:hAnsi="宋体"/>
          <w:color w:val="000000" w:themeColor="text1"/>
          <w:szCs w:val="28"/>
          <w:highlight w:val="none"/>
          <w:lang w:val="en-US" w:eastAsia="zh-CN"/>
          <w14:textFill>
            <w14:solidFill>
              <w14:schemeClr w14:val="tx1"/>
            </w14:solidFill>
          </w14:textFill>
        </w:rPr>
        <w:t>响应</w:t>
      </w:r>
      <w:r>
        <w:rPr>
          <w:rFonts w:hint="eastAsia" w:ascii="宋体" w:hAnsi="宋体"/>
          <w:color w:val="000000" w:themeColor="text1"/>
          <w:szCs w:val="28"/>
          <w:highlight w:val="none"/>
          <w14:textFill>
            <w14:solidFill>
              <w14:schemeClr w14:val="tx1"/>
            </w14:solidFill>
          </w14:textFill>
        </w:rPr>
        <w:t>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_Toc17366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_Toc2407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_Toc24563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_Toc24899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_Toc7786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_Toc29667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_Toc7201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_Toc31516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_Toc8695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_Toc16684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_Toc19117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42060322"/>
      <w:bookmarkStart w:id="2" w:name="_Toc341348291"/>
      <w:bookmarkStart w:id="3" w:name="_Toc340507403"/>
      <w:bookmarkStart w:id="4" w:name="_Toc333237723"/>
      <w:bookmarkStart w:id="5" w:name="_Toc350438702"/>
      <w:bookmarkStart w:id="6" w:name="_Toc336681537"/>
      <w:bookmarkStart w:id="7" w:name="_Toc330459945"/>
      <w:bookmarkStart w:id="8" w:name="_Toc340677031"/>
      <w:bookmarkStart w:id="9" w:name="_Toc339020048"/>
      <w:bookmarkStart w:id="10" w:name="_Toc333238571"/>
      <w:bookmarkStart w:id="11" w:name="_Toc339019828"/>
      <w:bookmarkStart w:id="12" w:name="_Toc349127583"/>
      <w:bookmarkStart w:id="13" w:name="_Toc336681892"/>
      <w:bookmarkStart w:id="14" w:name="_Toc349143546"/>
      <w:bookmarkStart w:id="15" w:name="_Toc333935278"/>
      <w:bookmarkStart w:id="16" w:name="_Toc345513762"/>
      <w:bookmarkStart w:id="17" w:name="_Toc339020186"/>
      <w:bookmarkStart w:id="18" w:name="_Toc365967002"/>
      <w:bookmarkStart w:id="19" w:name="_Toc16044"/>
      <w:bookmarkStart w:id="20" w:name="_Toc340672830"/>
      <w:bookmarkStart w:id="21" w:name="_Toc333935619"/>
      <w:bookmarkStart w:id="22" w:name="_Toc337632315"/>
      <w:bookmarkStart w:id="23" w:name="_Toc339362257"/>
      <w:bookmarkStart w:id="24" w:name="_Toc332206657"/>
      <w:bookmarkStart w:id="25" w:name="_Toc331512856"/>
      <w:bookmarkStart w:id="26" w:name="_Toc366072457"/>
      <w:bookmarkStart w:id="27" w:name="_Toc350756403"/>
      <w:bookmarkStart w:id="28" w:name="_Toc339441044"/>
      <w:bookmarkStart w:id="29" w:name="_Toc333237612"/>
      <w:bookmarkStart w:id="30" w:name="_Toc339019954"/>
      <w:bookmarkStart w:id="31" w:name="_Toc342296708"/>
      <w:bookmarkStart w:id="32" w:name="_Toc331683994"/>
      <w:bookmarkStart w:id="33" w:name="_Toc365985108"/>
      <w:bookmarkStart w:id="34" w:name="_Toc332270305"/>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阳江市江城区河道堤防管护中心</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阳江市漠阳江中下游综合治理工程—江城段白蚁防治服务</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YXZB-20221209</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阳江市漠阳江中下游综合治理工程—江城段白蚁防治服务</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YXZB-20221209</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3.投标报价上限：人</w:t>
      </w:r>
      <w:r>
        <w:rPr>
          <w:rFonts w:hint="eastAsia" w:ascii="宋体" w:hAnsi="宋体"/>
          <w:bCs/>
          <w:color w:val="000000" w:themeColor="text1"/>
          <w:szCs w:val="21"/>
          <w:highlight w:val="none"/>
          <w14:textFill>
            <w14:solidFill>
              <w14:schemeClr w14:val="tx1"/>
            </w14:solidFill>
          </w14:textFill>
        </w:rPr>
        <w:t>民币</w:t>
      </w:r>
      <w:r>
        <w:rPr>
          <w:rFonts w:hint="eastAsia" w:ascii="宋体" w:hAnsi="宋体"/>
          <w:color w:val="000000" w:themeColor="text1"/>
          <w:szCs w:val="21"/>
          <w:highlight w:val="none"/>
          <w14:textFill>
            <w14:solidFill>
              <w14:schemeClr w14:val="tx1"/>
            </w14:solidFill>
          </w14:textFill>
        </w:rPr>
        <w:t>￥</w:t>
      </w:r>
      <w:bookmarkStart w:id="37" w:name="_Hlk119667857"/>
      <w:r>
        <w:rPr>
          <w:rFonts w:hint="eastAsia" w:ascii="宋体" w:hAnsi="宋体"/>
          <w:color w:val="000000" w:themeColor="text1"/>
          <w:szCs w:val="21"/>
          <w:highlight w:val="none"/>
          <w14:textFill>
            <w14:solidFill>
              <w14:schemeClr w14:val="tx1"/>
            </w14:solidFill>
          </w14:textFill>
        </w:rPr>
        <w:t>375000.00</w:t>
      </w:r>
      <w:bookmarkEnd w:id="37"/>
      <w:r>
        <w:rPr>
          <w:rFonts w:hint="eastAsia" w:ascii="宋体" w:hAnsi="宋体"/>
          <w:bCs/>
          <w:color w:val="000000" w:themeColor="text1"/>
          <w:szCs w:val="21"/>
          <w:highlight w:val="none"/>
          <w14:textFill>
            <w14:solidFill>
              <w14:schemeClr w14:val="tx1"/>
            </w14:solidFill>
          </w14:textFill>
        </w:rPr>
        <w:t>元（</w:t>
      </w:r>
      <w:r>
        <w:rPr>
          <w:rFonts w:hint="eastAsia" w:ascii="宋体" w:hAnsi="宋体"/>
          <w:bCs/>
          <w:color w:val="000000" w:themeColor="text1"/>
          <w:highlight w:val="none"/>
          <w14:textFill>
            <w14:solidFill>
              <w14:schemeClr w14:val="tx1"/>
            </w14:solidFill>
          </w14:textFill>
        </w:rPr>
        <w:t>超出该上限的投标报价将作为无效投标处理）</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525" w:leftChars="1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lang w:val="en-US" w:eastAsia="zh-CN"/>
          <w14:textFill>
            <w14:solidFill>
              <w14:schemeClr w14:val="tx1"/>
            </w14:solidFill>
          </w14:textFill>
        </w:rPr>
        <w:t>.服务期</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本项目服务期限为一年，以</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收到开工批复的开工日期开始计算。（超出该</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期将作为无效投标处理）</w:t>
      </w:r>
    </w:p>
    <w:p>
      <w:pPr>
        <w:keepNext w:val="0"/>
        <w:keepLines w:val="0"/>
        <w:pageBreakBefore w:val="0"/>
        <w:widowControl/>
        <w:tabs>
          <w:tab w:val="left" w:pos="315"/>
          <w:tab w:val="left" w:pos="735"/>
        </w:tabs>
        <w:kinsoku/>
        <w:wordWrap/>
        <w:overflowPunct/>
        <w:topLinePunct w:val="0"/>
        <w:autoSpaceDE/>
        <w:autoSpaceDN/>
        <w:bidi w:val="0"/>
        <w:adjustRightInd w:val="0"/>
        <w:snapToGrid w:val="0"/>
        <w:spacing w:line="380" w:lineRule="exact"/>
        <w:ind w:firstLine="210" w:firstLineChars="1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w:t>
      </w:r>
      <w:r>
        <w:rPr>
          <w:rFonts w:hint="eastAsia" w:ascii="宋体" w:hAnsi="宋体" w:cs="Tahoma"/>
          <w:color w:val="000000" w:themeColor="text1"/>
          <w:kern w:val="28"/>
          <w:szCs w:val="21"/>
          <w:highlight w:val="none"/>
          <w14:textFill>
            <w14:solidFill>
              <w14:schemeClr w14:val="tx1"/>
            </w14:solidFill>
          </w14:textFill>
        </w:rPr>
        <w:t>目采购方式：竞争性磋商</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kinsoku/>
        <w:wordWrap/>
        <w:overflowPunct/>
        <w:topLinePunct w:val="0"/>
        <w:autoSpaceDE/>
        <w:autoSpaceDN/>
        <w:bidi w:val="0"/>
        <w:spacing w:line="380" w:lineRule="exact"/>
        <w:ind w:firstLine="210" w:firstLineChars="1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lang w:eastAsia="zh-CN"/>
          <w14:textFill>
            <w14:solidFill>
              <w14:schemeClr w14:val="tx1"/>
            </w14:solidFill>
          </w14:textFill>
        </w:rPr>
        <w:t>投标人</w:t>
      </w:r>
      <w:r>
        <w:rPr>
          <w:rFonts w:hint="eastAsia" w:ascii="宋体" w:hAnsi="宋体"/>
          <w:color w:val="000000" w:themeColor="text1"/>
          <w:highlight w:val="none"/>
          <w14:textFill>
            <w14:solidFill>
              <w14:schemeClr w14:val="tx1"/>
            </w14:solidFill>
          </w14:textFill>
        </w:rPr>
        <w:t>应具备《中华人民共和国政府采购法》第二十二条规定的条件：</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1）具有独立承担民事责任的能力；</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2）具有良好的商业信誉和健全的财务会计制度；</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3）具有履行合同所必需的设备和专业技术能力；</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4）有依法缴纳税收和社会保障资金的良好记录；</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5）参加政府采购活动前三年内，在经营活动中没有重大违法记录；</w:t>
      </w:r>
    </w:p>
    <w:p>
      <w:pPr>
        <w:keepNext w:val="0"/>
        <w:keepLines w:val="0"/>
        <w:pageBreakBefore w:val="0"/>
        <w:kinsoku/>
        <w:wordWrap/>
        <w:overflowPunct/>
        <w:topLinePunct w:val="0"/>
        <w:autoSpaceDE/>
        <w:autoSpaceDN/>
        <w:bidi w:val="0"/>
        <w:spacing w:line="380" w:lineRule="exact"/>
        <w:ind w:firstLine="210" w:firstLineChars="1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6）法律、行政法规规定的其他条件。</w:t>
      </w:r>
    </w:p>
    <w:p>
      <w:pPr>
        <w:keepNext w:val="0"/>
        <w:keepLines w:val="0"/>
        <w:pageBreakBefore w:val="0"/>
        <w:kinsoku/>
        <w:wordWrap/>
        <w:overflowPunct/>
        <w:topLinePunct w:val="0"/>
        <w:autoSpaceDE/>
        <w:autoSpaceDN/>
        <w:bidi w:val="0"/>
        <w:spacing w:line="380" w:lineRule="exact"/>
        <w:ind w:firstLine="210" w:firstLineChars="1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lang w:eastAsia="zh-CN"/>
          <w14:textFill>
            <w14:solidFill>
              <w14:schemeClr w14:val="tx1"/>
            </w14:solidFill>
          </w14:textFill>
        </w:rPr>
        <w:t>投标人</w:t>
      </w:r>
      <w:r>
        <w:rPr>
          <w:rFonts w:hint="eastAsia" w:ascii="宋体" w:hAnsi="宋体"/>
          <w:color w:val="000000" w:themeColor="text1"/>
          <w:highlight w:val="none"/>
          <w14:textFill>
            <w14:solidFill>
              <w14:schemeClr w14:val="tx1"/>
            </w14:solidFill>
          </w14:textFill>
        </w:rPr>
        <w:t>须是中华人民</w:t>
      </w:r>
      <w:r>
        <w:rPr>
          <w:rFonts w:hint="eastAsia" w:ascii="宋体" w:hAnsi="宋体"/>
          <w:color w:val="000000" w:themeColor="text1"/>
          <w:highlight w:val="none"/>
          <w14:textFill>
            <w14:solidFill>
              <w14:schemeClr w14:val="tx1"/>
            </w14:solidFill>
          </w14:textFill>
        </w:rPr>
        <w:t>共和国境内合法注册，能独立承担民事责任的法人、其他组织或自然人；</w:t>
      </w:r>
    </w:p>
    <w:p>
      <w:pPr>
        <w:keepNext w:val="0"/>
        <w:keepLines w:val="0"/>
        <w:pageBreakBefore w:val="0"/>
        <w:kinsoku/>
        <w:wordWrap/>
        <w:overflowPunct/>
        <w:topLinePunct w:val="0"/>
        <w:autoSpaceDE/>
        <w:autoSpaceDN/>
        <w:bidi w:val="0"/>
        <w:spacing w:line="380" w:lineRule="exact"/>
        <w:ind w:firstLine="210" w:firstLineChars="1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3.为采购项目提供整体设计、规范编制或者项目管理、监理、检测等服务的供应商，不得再参加同一采购项目的其他采购活动；（提供</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函</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承诺）</w:t>
      </w:r>
    </w:p>
    <w:p>
      <w:pPr>
        <w:keepNext w:val="0"/>
        <w:keepLines w:val="0"/>
        <w:pageBreakBefore w:val="0"/>
        <w:kinsoku/>
        <w:wordWrap/>
        <w:overflowPunct/>
        <w:topLinePunct w:val="0"/>
        <w:autoSpaceDE/>
        <w:autoSpaceDN/>
        <w:bidi w:val="0"/>
        <w:spacing w:line="380" w:lineRule="exact"/>
        <w:ind w:firstLine="210" w:firstLineChars="1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4.单位负责人为同一人或者存在直接控股、管理关系的不同供应商，不得参加同一合同项下的政府采购活动；（提供</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函</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承诺</w:t>
      </w:r>
      <w:r>
        <w:rPr>
          <w:rFonts w:hint="eastAsia" w:ascii="宋体" w:hAnsi="宋体"/>
          <w:color w:val="000000" w:themeColor="text1"/>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380" w:lineRule="exact"/>
        <w:ind w:firstLine="210" w:firstLineChars="1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lang w:eastAsia="zh-CN"/>
          <w14:textFill>
            <w14:solidFill>
              <w14:schemeClr w14:val="tx1"/>
            </w14:solidFill>
          </w14:textFill>
        </w:rPr>
        <w:t>投标人</w:t>
      </w:r>
      <w:r>
        <w:rPr>
          <w:rFonts w:hint="eastAsia" w:ascii="宋体" w:hAnsi="宋体"/>
          <w:color w:val="000000" w:themeColor="text1"/>
          <w:highlight w:val="none"/>
          <w14:textFill>
            <w14:solidFill>
              <w14:schemeClr w14:val="tx1"/>
            </w14:solidFill>
          </w14:textFill>
        </w:rPr>
        <w:t>须在省级水利行政主管部门备案；</w:t>
      </w:r>
    </w:p>
    <w:p>
      <w:pPr>
        <w:keepNext w:val="0"/>
        <w:keepLines w:val="0"/>
        <w:pageBreakBefore w:val="0"/>
        <w:kinsoku/>
        <w:wordWrap/>
        <w:overflowPunct/>
        <w:topLinePunct w:val="0"/>
        <w:autoSpaceDE/>
        <w:autoSpaceDN/>
        <w:bidi w:val="0"/>
        <w:spacing w:line="380" w:lineRule="exact"/>
        <w:ind w:firstLine="210" w:firstLineChars="1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w:t>
      </w:r>
      <w:r>
        <w:rPr>
          <w:rFonts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kinsoku/>
        <w:wordWrap/>
        <w:overflowPunct/>
        <w:topLinePunct w:val="0"/>
        <w:autoSpaceDE/>
        <w:autoSpaceDN/>
        <w:bidi w:val="0"/>
        <w:spacing w:line="380" w:lineRule="exact"/>
        <w:ind w:firstLine="210" w:firstLineChars="1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pPr>
        <w:keepNext w:val="0"/>
        <w:keepLines w:val="0"/>
        <w:pageBreakBefore w:val="0"/>
        <w:widowControl/>
        <w:kinsoku/>
        <w:wordWrap/>
        <w:overflowPunct/>
        <w:topLinePunct w:val="0"/>
        <w:autoSpaceDE/>
        <w:autoSpaceDN/>
        <w:bidi w:val="0"/>
        <w:spacing w:line="380" w:lineRule="exact"/>
        <w:jc w:val="left"/>
        <w:textAlignment w:val="auto"/>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2022年12月13日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2022年12月20日</w:t>
      </w:r>
      <w:r>
        <w:rPr>
          <w:rFonts w:hint="eastAsia" w:ascii="宋体" w:hAnsi="宋体"/>
          <w:bCs/>
          <w:color w:val="000000" w:themeColor="text1"/>
          <w:highlight w:val="none"/>
          <w14:textFill>
            <w14:solidFill>
              <w14:schemeClr w14:val="tx1"/>
            </w14:solidFill>
          </w14:textFill>
        </w:rPr>
        <w:t>。</w:t>
      </w:r>
      <w:bookmarkStart w:id="390" w:name="_GoBack"/>
      <w:bookmarkEnd w:id="390"/>
    </w:p>
    <w:p>
      <w:pPr>
        <w:keepNext w:val="0"/>
        <w:keepLines w:val="0"/>
        <w:pageBreakBefore w:val="0"/>
        <w:widowControl/>
        <w:kinsoku/>
        <w:wordWrap/>
        <w:overflowPunct/>
        <w:topLinePunct w:val="0"/>
        <w:autoSpaceDE/>
        <w:autoSpaceDN/>
        <w:bidi w:val="0"/>
        <w:adjustRightInd w:val="0"/>
        <w:snapToGrid w:val="0"/>
        <w:spacing w:line="380" w:lineRule="exact"/>
        <w:ind w:left="105" w:leftChars="5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hanging="210" w:hangingChars="100"/>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2022年12月13日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2022年12月20日</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磋商文件每套人民币200元，售后不退</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105" w:firstLineChars="5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w:t>
      </w:r>
      <w:r>
        <w:rPr>
          <w:rFonts w:hint="eastAsia" w:ascii="宋体" w:hAnsi="宋体"/>
          <w:bCs/>
          <w:color w:val="000000" w:themeColor="text1"/>
          <w:szCs w:val="21"/>
          <w:highlight w:val="none"/>
          <w14:textFill>
            <w14:solidFill>
              <w14:schemeClr w14:val="tx1"/>
            </w14:solidFill>
          </w14:textFill>
        </w:rPr>
        <w:t>人（负责人）授权委托书原件、法定代表人（负责人）身份证复印件、授权委托人身份证复印件和企业法人营业执照副本复印件及《购买标书登记表》（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9"/>
          <w:rFonts w:hint="eastAsia" w:ascii="宋体" w:hAnsi="宋体"/>
          <w:bCs/>
          <w:color w:val="000000" w:themeColor="text1"/>
          <w:szCs w:val="21"/>
          <w:highlight w:val="none"/>
          <w14:textFill>
            <w14:solidFill>
              <w14:schemeClr w14:val="tx1"/>
            </w14:solidFill>
          </w14:textFill>
        </w:rPr>
        <w:t>http://www.yjcg.cc</w:t>
      </w:r>
      <w:r>
        <w:rPr>
          <w:rStyle w:val="59"/>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ascii="宋体" w:hAnsi="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388" w:leftChars="135" w:hanging="105" w:hangingChars="50"/>
        <w:textAlignment w:val="auto"/>
        <w:rPr>
          <w:rFonts w:hint="eastAsia" w:ascii="宋体" w:hAnsi="宋体" w:eastAsia="宋体" w:cs="Arial"/>
          <w:b/>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r>
        <w:rPr>
          <w:rFonts w:hint="eastAsia" w:ascii="宋体" w:hAnsi="宋体"/>
          <w:b/>
          <w:bCs/>
          <w:color w:val="000000" w:themeColor="text1"/>
          <w:highlight w:val="none"/>
          <w:lang w:eastAsia="zh-CN"/>
          <w14:textFill>
            <w14:solidFill>
              <w14:schemeClr w14:val="tx1"/>
            </w14:solidFill>
          </w14:textFill>
        </w:rPr>
        <w:t>。</w:t>
      </w:r>
    </w:p>
    <w:p>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2022年12月26日</w:t>
      </w:r>
      <w:r>
        <w:rPr>
          <w:rFonts w:hint="eastAsia" w:ascii="宋体" w:hAnsi="宋体"/>
          <w:color w:val="000000" w:themeColor="text1"/>
          <w:highlight w:val="none"/>
          <w14:textFill>
            <w14:solidFill>
              <w14:schemeClr w14:val="tx1"/>
            </w14:solidFill>
          </w14:textFill>
        </w:rPr>
        <w:t xml:space="preserve"> 09:</w:t>
      </w:r>
      <w:r>
        <w:rPr>
          <w:rFonts w:hint="eastAsia" w:ascii="宋体" w:hAnsi="宋体"/>
          <w:color w:val="000000" w:themeColor="text1"/>
          <w:highlight w:val="none"/>
          <w:lang w:val="en-US" w:eastAsia="zh-CN"/>
          <w14:textFill>
            <w14:solidFill>
              <w14:schemeClr w14:val="tx1"/>
            </w14:solidFill>
          </w14:textFill>
        </w:rPr>
        <w:t>00</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2022年12月26日</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105" w:firstLineChars="50"/>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3.递交磋商响应文件地点、开标地点：阳江市江城区猫山四街33号A座2楼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105" w:firstLineChars="5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阳江市江城区河道堤防管护中心</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址：阳江市江城区新江北路347号江城区行政服务中心4号楼</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420" w:firstLineChars="2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人：詹德望</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0662-3182182</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105" w:firstLineChars="5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w:t>
      </w:r>
      <w:r>
        <w:rPr>
          <w:rFonts w:hint="eastAsia" w:ascii="宋体" w:hAnsi="宋体" w:cs="Tahoma"/>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420" w:firstLineChars="2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420" w:firstLineChars="200"/>
        <w:textAlignment w:val="auto"/>
        <w:rPr>
          <w:rFonts w:hint="default" w:ascii="宋体" w:hAnsi="宋体" w:eastAsia="宋体" w:cs="Tahoma"/>
          <w:color w:val="000000" w:themeColor="text1"/>
          <w:highlight w:val="none"/>
          <w:lang w:val="en-US"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w:t>
      </w:r>
      <w:r>
        <w:rPr>
          <w:rFonts w:hint="eastAsia" w:ascii="宋体" w:hAnsi="宋体" w:cs="Tahoma"/>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420" w:firstLineChars="2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420" w:firstLineChars="2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420" w:firstLineChars="2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center"/>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8" w:name="_Toc339020049"/>
      <w:bookmarkStart w:id="39" w:name="_Toc340672831"/>
      <w:bookmarkStart w:id="40" w:name="_Toc345513763"/>
      <w:bookmarkStart w:id="41" w:name="_Toc350438703"/>
      <w:bookmarkStart w:id="42" w:name="_Toc333935620"/>
      <w:bookmarkStart w:id="43" w:name="_Toc332270306"/>
      <w:bookmarkStart w:id="44" w:name="_Toc333237724"/>
      <w:bookmarkStart w:id="45" w:name="_Toc336681538"/>
      <w:bookmarkStart w:id="46" w:name="_Toc333237613"/>
      <w:bookmarkStart w:id="47" w:name="_Toc339020187"/>
      <w:bookmarkStart w:id="48" w:name="_Toc339362258"/>
      <w:bookmarkStart w:id="49" w:name="_Toc366072458"/>
      <w:bookmarkStart w:id="50" w:name="_Toc339441045"/>
      <w:bookmarkStart w:id="51" w:name="_Toc365967003"/>
      <w:bookmarkStart w:id="52" w:name="_Toc340677032"/>
      <w:bookmarkStart w:id="53" w:name="_Toc350756404"/>
      <w:bookmarkStart w:id="54" w:name="_Toc332206658"/>
      <w:bookmarkStart w:id="55" w:name="_Toc339019829"/>
      <w:bookmarkStart w:id="56" w:name="_Toc330459946"/>
      <w:bookmarkStart w:id="57" w:name="_Toc337632316"/>
      <w:bookmarkStart w:id="58" w:name="_Toc333238572"/>
      <w:bookmarkStart w:id="59" w:name="_Toc342296709"/>
      <w:bookmarkStart w:id="60" w:name="_Toc336681893"/>
      <w:bookmarkStart w:id="61" w:name="_Toc349127584"/>
      <w:bookmarkStart w:id="62" w:name="_Toc365985109"/>
      <w:bookmarkStart w:id="63" w:name="_Toc340507404"/>
      <w:bookmarkStart w:id="64" w:name="_Toc331512857"/>
      <w:bookmarkStart w:id="65" w:name="_Toc349143547"/>
      <w:bookmarkStart w:id="66" w:name="_Toc342060323"/>
      <w:bookmarkStart w:id="67" w:name="_Toc341348292"/>
      <w:bookmarkStart w:id="68" w:name="_Toc333935279"/>
      <w:bookmarkStart w:id="69" w:name="_Toc331683995"/>
      <w:bookmarkStart w:id="70" w:name="_Toc339019955"/>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2022年12月13日</w:t>
      </w:r>
    </w:p>
    <w:p>
      <w:pPr>
        <w:widowControl/>
        <w:tabs>
          <w:tab w:val="left" w:pos="4769"/>
        </w:tabs>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1" w:name="_Toc24278"/>
      <w:r>
        <w:rPr>
          <w:rFonts w:hint="eastAsia" w:ascii="宋体" w:hAnsi="宋体" w:eastAsia="宋体"/>
          <w:b/>
          <w:color w:val="000000" w:themeColor="text1"/>
          <w:highlight w:val="none"/>
          <w14:textFill>
            <w14:solidFill>
              <w14:schemeClr w14:val="tx1"/>
            </w14:solidFill>
          </w14:textFill>
        </w:rPr>
        <w:t xml:space="preserve">第二部分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2" w:name="_Hlt23321722"/>
      <w:bookmarkEnd w:id="72"/>
      <w:bookmarkStart w:id="73" w:name="_Toc333238573"/>
      <w:bookmarkStart w:id="74" w:name="_Toc330459949"/>
      <w:bookmarkStart w:id="75" w:name="_Toc333237725"/>
      <w:bookmarkStart w:id="76" w:name="_Toc333935621"/>
      <w:bookmarkStart w:id="77" w:name="_Toc333935280"/>
      <w:bookmarkStart w:id="78" w:name="_Toc75570886"/>
      <w:bookmarkStart w:id="79" w:name="_Toc333237614"/>
      <w:r>
        <w:rPr>
          <w:rFonts w:hint="eastAsia" w:ascii="宋体" w:hAnsi="宋体" w:eastAsia="宋体"/>
          <w:b/>
          <w:color w:val="000000" w:themeColor="text1"/>
          <w:highlight w:val="none"/>
          <w14:textFill>
            <w14:solidFill>
              <w14:schemeClr w14:val="tx1"/>
            </w14:solidFill>
          </w14:textFill>
        </w:rPr>
        <w:t>采购项目内容</w:t>
      </w:r>
      <w:bookmarkEnd w:id="71"/>
    </w:p>
    <w:bookmarkEnd w:id="73"/>
    <w:bookmarkEnd w:id="74"/>
    <w:bookmarkEnd w:id="75"/>
    <w:bookmarkEnd w:id="76"/>
    <w:bookmarkEnd w:id="77"/>
    <w:bookmarkEnd w:id="78"/>
    <w:bookmarkEnd w:id="79"/>
    <w:p>
      <w:pPr>
        <w:pStyle w:val="4"/>
        <w:numPr>
          <w:ilvl w:val="1"/>
          <w:numId w:val="0"/>
        </w:numPr>
        <w:spacing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80" w:name="_Toc15924"/>
      <w:bookmarkStart w:id="81" w:name="_Toc333238600"/>
      <w:bookmarkStart w:id="82" w:name="_Toc350438716"/>
      <w:bookmarkStart w:id="83" w:name="_Toc339020062"/>
      <w:bookmarkStart w:id="84" w:name="_Toc331512865"/>
      <w:bookmarkStart w:id="85" w:name="_Toc339020200"/>
      <w:bookmarkStart w:id="86" w:name="_Toc332270313"/>
      <w:bookmarkStart w:id="87" w:name="_Toc342296727"/>
      <w:bookmarkStart w:id="88" w:name="_Toc333935654"/>
      <w:bookmarkStart w:id="89" w:name="_Toc365985146"/>
      <w:bookmarkStart w:id="90" w:name="_Toc333237644"/>
      <w:bookmarkStart w:id="91" w:name="_Toc365967040"/>
      <w:bookmarkStart w:id="92" w:name="_Toc349127593"/>
      <w:bookmarkStart w:id="93" w:name="_Toc339019856"/>
      <w:bookmarkStart w:id="94" w:name="_Toc336681902"/>
      <w:bookmarkStart w:id="95" w:name="_Toc339362267"/>
      <w:bookmarkStart w:id="96" w:name="_Toc333935313"/>
      <w:bookmarkStart w:id="97" w:name="_Toc333237755"/>
      <w:bookmarkStart w:id="98" w:name="_Toc339441054"/>
      <w:bookmarkStart w:id="99" w:name="_Toc332206675"/>
      <w:bookmarkStart w:id="100" w:name="_Toc330459952"/>
      <w:bookmarkStart w:id="101" w:name="_Toc340677037"/>
      <w:bookmarkStart w:id="102" w:name="_Toc336681547"/>
      <w:bookmarkStart w:id="103" w:name="_Toc337632325"/>
      <w:bookmarkStart w:id="104" w:name="_Toc342060341"/>
      <w:bookmarkStart w:id="105" w:name="_Toc341348305"/>
      <w:bookmarkStart w:id="106" w:name="_Toc349143556"/>
      <w:bookmarkStart w:id="107" w:name="_Toc339019982"/>
      <w:bookmarkStart w:id="108" w:name="_Toc350756417"/>
      <w:bookmarkStart w:id="109" w:name="_Toc366072495"/>
      <w:bookmarkStart w:id="110" w:name="_Toc345513834"/>
      <w:bookmarkStart w:id="111" w:name="_Toc340507409"/>
      <w:bookmarkStart w:id="112" w:name="_Toc331684005"/>
      <w:bookmarkStart w:id="113" w:name="_Toc340672836"/>
      <w:r>
        <w:rPr>
          <w:rFonts w:hint="eastAsia" w:ascii="宋体" w:hAnsi="宋体"/>
          <w:color w:val="000000" w:themeColor="text1"/>
          <w:sz w:val="21"/>
          <w:szCs w:val="21"/>
          <w:highlight w:val="none"/>
          <w14:textFill>
            <w14:solidFill>
              <w14:schemeClr w14:val="tx1"/>
            </w14:solidFill>
          </w14:textFill>
        </w:rPr>
        <w:t>项目编号：</w:t>
      </w:r>
      <w:r>
        <w:rPr>
          <w:rFonts w:hint="eastAsia" w:ascii="宋体" w:hAnsi="宋体"/>
          <w:color w:val="000000" w:themeColor="text1"/>
          <w:sz w:val="21"/>
          <w:szCs w:val="21"/>
          <w:highlight w:val="none"/>
          <w:u w:val="single"/>
          <w:lang w:eastAsia="zh-CN"/>
          <w14:textFill>
            <w14:solidFill>
              <w14:schemeClr w14:val="tx1"/>
            </w14:solidFill>
          </w14:textFill>
        </w:rPr>
        <w:t>YXZB-20221209</w:t>
      </w:r>
      <w:bookmarkEnd w:id="80"/>
      <w:r>
        <w:rPr>
          <w:rFonts w:hint="eastAsia" w:ascii="宋体" w:hAnsi="宋体"/>
          <w:color w:val="000000" w:themeColor="text1"/>
          <w:sz w:val="21"/>
          <w:szCs w:val="21"/>
          <w:highlight w:val="none"/>
          <w14:textFill>
            <w14:solidFill>
              <w14:schemeClr w14:val="tx1"/>
            </w14:solidFill>
          </w14:textFill>
        </w:rPr>
        <w:t xml:space="preserve"> </w:t>
      </w:r>
    </w:p>
    <w:p>
      <w:pPr>
        <w:pStyle w:val="4"/>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4" w:name="_Toc6582"/>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lang w:eastAsia="zh-CN"/>
          <w14:textFill>
            <w14:solidFill>
              <w14:schemeClr w14:val="tx1"/>
            </w14:solidFill>
          </w14:textFill>
        </w:rPr>
        <w:t>阳江市漠阳江中下游综合治理工程—江城段白蚁防治服务</w:t>
      </w:r>
      <w:bookmarkEnd w:id="114"/>
    </w:p>
    <w:p>
      <w:pPr>
        <w:pStyle w:val="4"/>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5" w:name="_Toc11985"/>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5"/>
    </w:p>
    <w:tbl>
      <w:tblPr>
        <w:tblStyle w:val="5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报价要求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本项目概算金额为375000.00（控制价），</w:t>
            </w:r>
            <w:r>
              <w:rPr>
                <w:rFonts w:hint="eastAsia" w:ascii="宋体" w:hAnsi="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投标总报价即为合同总价。</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本项目采用固定综合单价的承包方式报价，固定综合单价在合同执行过程不因情况变化而调整。</w:t>
            </w:r>
            <w:r>
              <w:rPr>
                <w:rFonts w:hint="eastAsia" w:ascii="宋体" w:hAnsi="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根据</w:t>
            </w:r>
            <w:r>
              <w:rPr>
                <w:rFonts w:hint="eastAsia" w:ascii="宋体" w:hAnsi="宋体" w:eastAsia="宋体" w:cs="宋体"/>
                <w:color w:val="000000" w:themeColor="text1"/>
                <w:highlight w:val="none"/>
                <w:lang w:val="en-US" w:eastAsia="zh-CN"/>
                <w14:textFill>
                  <w14:solidFill>
                    <w14:schemeClr w14:val="tx1"/>
                  </w14:solidFill>
                </w14:textFill>
              </w:rPr>
              <w:t>磋商</w:t>
            </w:r>
            <w:r>
              <w:rPr>
                <w:rFonts w:hint="eastAsia" w:ascii="宋体" w:hAnsi="宋体" w:eastAsia="宋体" w:cs="宋体"/>
                <w:color w:val="000000" w:themeColor="text1"/>
                <w:highlight w:val="none"/>
                <w14:textFill>
                  <w14:solidFill>
                    <w14:schemeClr w14:val="tx1"/>
                  </w14:solidFill>
                </w14:textFill>
              </w:rPr>
              <w:t>文件规定的内容，结合现场实际情况进行投标报价，由</w:t>
            </w:r>
            <w:r>
              <w:rPr>
                <w:rFonts w:hint="eastAsia" w:ascii="宋体" w:hAnsi="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包工、包料、包工期、包质量、包安全、包文明施工，达到验收规范要求。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人民币375000.00元（超出该上限的投标报价将作为无效投标处理）,投标报价应为人民币含税全包价，包括所有服务等一切费用</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采购人不</w:t>
            </w:r>
            <w:r>
              <w:rPr>
                <w:rFonts w:hint="eastAsia" w:ascii="宋体" w:hAnsi="宋体" w:eastAsia="宋体" w:cs="宋体"/>
                <w:color w:val="000000" w:themeColor="text1"/>
                <w:highlight w:val="none"/>
                <w14:textFill>
                  <w14:solidFill>
                    <w14:schemeClr w14:val="tx1"/>
                  </w14:solidFill>
                </w14:textFill>
              </w:rPr>
              <w:t>支</w:t>
            </w:r>
            <w:r>
              <w:rPr>
                <w:rFonts w:hint="eastAsia" w:ascii="宋体" w:hAnsi="宋体" w:eastAsia="宋体" w:cs="宋体"/>
                <w:color w:val="000000" w:themeColor="text1"/>
                <w:highlight w:val="none"/>
                <w14:textFill>
                  <w14:solidFill>
                    <w14:schemeClr w14:val="tx1"/>
                  </w14:solidFill>
                </w14:textFill>
              </w:rPr>
              <w:t>付其他任何费用。（以上费用需在投标价格表中详细列明）。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合同签订要求：采购合同由</w:t>
            </w:r>
            <w:r>
              <w:rPr>
                <w:rFonts w:hint="eastAsia" w:ascii="宋体" w:hAnsi="宋体" w:eastAsia="宋体" w:cs="宋体"/>
                <w:color w:val="000000" w:themeColor="text1"/>
                <w:highlight w:val="none"/>
                <w:lang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凭《</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通知书》与采购人双方签订，签订时间为《</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通知书》发出之日起30天内。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服务地点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采购人指定地点</w:t>
            </w:r>
            <w:r>
              <w:rPr>
                <w:rFonts w:hint="eastAsia" w:ascii="宋体" w:hAnsi="宋体" w:eastAsia="宋体" w:cs="宋体"/>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合同签订后，采购人支付</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价的20%作为预付款。</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通过半年期实施情况验收后，支付</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价的40%。</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合同服务期满，通过完工验收后按实际工程量结清余款。</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结算价若小于合同价则以投标固定综合单价按实结算，结算价若大于合同价则按合同价进行结算。</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符合支付条件时，采购人负责向</w:t>
            </w:r>
            <w:r>
              <w:rPr>
                <w:rFonts w:hint="eastAsia" w:ascii="宋体" w:hAnsi="宋体" w:eastAsia="宋体" w:cs="宋体"/>
                <w:color w:val="000000" w:themeColor="text1"/>
                <w:highlight w:val="none"/>
                <w:lang w:eastAsia="zh-CN"/>
                <w14:textFill>
                  <w14:solidFill>
                    <w14:schemeClr w14:val="tx1"/>
                  </w14:solidFill>
                </w14:textFill>
              </w:rPr>
              <w:t>阳江市江城区河道堤防管护中心</w:t>
            </w:r>
            <w:r>
              <w:rPr>
                <w:rFonts w:hint="eastAsia" w:ascii="宋体" w:hAnsi="宋体" w:eastAsia="宋体" w:cs="宋体"/>
                <w:color w:val="000000" w:themeColor="text1"/>
                <w:highlight w:val="none"/>
                <w14:textFill>
                  <w14:solidFill>
                    <w14:schemeClr w14:val="tx1"/>
                  </w14:solidFill>
                </w14:textFill>
              </w:rPr>
              <w:t>提交支付申请材料，付款到</w:t>
            </w:r>
            <w:r>
              <w:rPr>
                <w:rFonts w:hint="eastAsia" w:ascii="宋体" w:hAnsi="宋体" w:eastAsia="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其他要求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参与投标的工作方案整体上必须满足或优于</w:t>
            </w:r>
            <w:r>
              <w:rPr>
                <w:rFonts w:hint="eastAsia" w:ascii="宋体" w:hAnsi="宋体" w:eastAsia="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提出的要求，并且详述技术支持能力及相关保障措施。</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项目采购人不统一集合</w:t>
            </w:r>
            <w:r>
              <w:rPr>
                <w:rFonts w:hint="eastAsia" w:ascii="宋体" w:hAnsi="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踏勘现场，由</w:t>
            </w:r>
            <w:r>
              <w:rPr>
                <w:rFonts w:hint="eastAsia" w:ascii="宋体" w:hAnsi="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自行进行踏勘现场，并由</w:t>
            </w:r>
            <w:r>
              <w:rPr>
                <w:rFonts w:hint="eastAsia" w:ascii="宋体" w:hAnsi="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自行承担踏勘现场的责任和风险。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形式提交）。</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提交主体：必须以</w:t>
            </w:r>
            <w:r>
              <w:rPr>
                <w:rFonts w:hint="eastAsia" w:ascii="宋体" w:hAnsi="宋体" w:eastAsia="宋体" w:cs="宋体"/>
                <w:b/>
                <w:color w:val="000000" w:themeColor="text1"/>
                <w:highlight w:val="none"/>
                <w:lang w:eastAsia="zh-CN"/>
                <w14:textFill>
                  <w14:solidFill>
                    <w14:schemeClr w14:val="tx1"/>
                  </w14:solidFill>
                </w14:textFill>
              </w:rPr>
              <w:t>供应商</w:t>
            </w:r>
            <w:r>
              <w:rPr>
                <w:rFonts w:hint="eastAsia" w:ascii="宋体" w:hAnsi="宋体" w:eastAsia="宋体" w:cs="宋体"/>
                <w:b/>
                <w:color w:val="000000" w:themeColor="text1"/>
                <w:highlight w:val="none"/>
                <w14:textFill>
                  <w14:solidFill>
                    <w14:schemeClr w14:val="tx1"/>
                  </w14:solidFill>
                </w14:textFill>
              </w:rPr>
              <w:t>自身名义提交，</w:t>
            </w:r>
            <w:r>
              <w:rPr>
                <w:rFonts w:hint="eastAsia" w:ascii="宋体" w:hAnsi="宋体" w:eastAsia="宋体" w:cs="宋体"/>
                <w:color w:val="000000" w:themeColor="text1"/>
                <w:szCs w:val="21"/>
                <w:highlight w:val="none"/>
                <w14:textFill>
                  <w14:solidFill>
                    <w14:schemeClr w14:val="tx1"/>
                  </w14:solidFill>
                </w14:textFill>
              </w:rPr>
              <w:t>应注明“</w:t>
            </w:r>
            <w:r>
              <w:rPr>
                <w:rFonts w:hint="eastAsia" w:ascii="宋体" w:hAnsi="宋体" w:eastAsia="宋体" w:cs="宋体"/>
                <w:b/>
                <w:color w:val="000000" w:themeColor="text1"/>
                <w:szCs w:val="21"/>
                <w:highlight w:val="none"/>
                <w14:textFill>
                  <w14:solidFill>
                    <w14:schemeClr w14:val="tx1"/>
                  </w14:solidFill>
                </w14:textFill>
              </w:rPr>
              <w:t>（项目编号）投标保证金</w:t>
            </w:r>
            <w:r>
              <w:rPr>
                <w:rFonts w:hint="eastAsia" w:ascii="宋体" w:hAnsi="宋体" w:eastAsia="宋体" w:cs="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保证金数额</w:t>
            </w:r>
          </w:p>
        </w:tc>
        <w:tc>
          <w:tcPr>
            <w:tcW w:w="422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人民币</w:t>
            </w:r>
            <w:r>
              <w:rPr>
                <w:rFonts w:hint="eastAsia" w:ascii="宋体" w:hAnsi="宋体" w:eastAsia="宋体" w:cs="宋体"/>
                <w:b/>
                <w:color w:val="000000" w:themeColor="text1"/>
                <w:szCs w:val="21"/>
                <w:highlight w:val="none"/>
                <w:lang w:val="en-US" w:eastAsia="zh-CN"/>
                <w14:textFill>
                  <w14:solidFill>
                    <w14:schemeClr w14:val="tx1"/>
                  </w14:solidFill>
                </w14:textFill>
              </w:rPr>
              <w:t>肆</w:t>
            </w:r>
            <w:r>
              <w:rPr>
                <w:rFonts w:hint="eastAsia" w:ascii="宋体" w:hAnsi="宋体" w:eastAsia="宋体" w:cs="宋体"/>
                <w:b/>
                <w:color w:val="000000" w:themeColor="text1"/>
                <w:szCs w:val="21"/>
                <w:highlight w:val="none"/>
                <w14:textFill>
                  <w14:solidFill>
                    <w14:schemeClr w14:val="tx1"/>
                  </w14:solidFill>
                </w14:textFill>
              </w:rPr>
              <w:t>仟元整（￥</w:t>
            </w:r>
            <w:r>
              <w:rPr>
                <w:rFonts w:hint="eastAsia" w:ascii="宋体" w:hAnsi="宋体" w:eastAsia="宋体" w:cs="宋体"/>
                <w:b/>
                <w:color w:val="000000" w:themeColor="text1"/>
                <w:szCs w:val="21"/>
                <w:highlight w:val="none"/>
                <w:lang w:val="en-US" w:eastAsia="zh-CN"/>
                <w14:textFill>
                  <w14:solidFill>
                    <w14:schemeClr w14:val="tx1"/>
                  </w14:solidFill>
                </w14:textFill>
              </w:rPr>
              <w:t>4</w:t>
            </w:r>
            <w:r>
              <w:rPr>
                <w:rFonts w:hint="eastAsia" w:ascii="宋体" w:hAnsi="宋体" w:eastAsia="宋体" w:cs="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交纳时间</w:t>
            </w:r>
          </w:p>
        </w:tc>
        <w:tc>
          <w:tcPr>
            <w:tcW w:w="422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参考发改价格[2015]299号文的规定，招标代理服务费实行市场调节价。成交供应商在领取《成交通知书》时应一次性交纳招标代理服务费陆仟伍佰元整（￥6500.00元）。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pStyle w:val="6"/>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pPr>
        <w:pStyle w:val="4"/>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6" w:name="_Toc31563"/>
      <w:r>
        <w:rPr>
          <w:rFonts w:hint="eastAsia" w:ascii="宋体" w:hAnsi="宋体"/>
          <w:color w:val="000000" w:themeColor="text1"/>
          <w:kern w:val="0"/>
          <w:sz w:val="24"/>
          <w:highlight w:val="none"/>
          <w14:textFill>
            <w14:solidFill>
              <w14:schemeClr w14:val="tx1"/>
            </w14:solidFill>
          </w14:textFill>
        </w:rPr>
        <w:t>B  技术要求</w:t>
      </w:r>
      <w:bookmarkEnd w:id="11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一、项目</w:t>
      </w:r>
      <w:bookmarkStart w:id="117" w:name="_Toc461563968"/>
      <w:r>
        <w:rPr>
          <w:rFonts w:hint="eastAsia" w:ascii="宋体" w:hAnsi="宋体" w:eastAsia="宋体" w:cs="宋体"/>
          <w:b/>
          <w:bCs/>
          <w:color w:val="000000" w:themeColor="text1"/>
          <w:highlight w:val="none"/>
          <w14:textFill>
            <w14:solidFill>
              <w14:schemeClr w14:val="tx1"/>
            </w14:solidFill>
          </w14:textFill>
        </w:rPr>
        <w:t>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18" w:name="_Hlk119668200"/>
      <w:r>
        <w:rPr>
          <w:rFonts w:hint="eastAsia" w:ascii="宋体" w:hAnsi="宋体" w:eastAsia="宋体" w:cs="宋体"/>
          <w:color w:val="000000" w:themeColor="text1"/>
          <w:highlight w:val="none"/>
          <w14:textFill>
            <w14:solidFill>
              <w14:schemeClr w14:val="tx1"/>
            </w14:solidFill>
          </w14:textFill>
        </w:rPr>
        <w:t>阳江市漠阳江中下游综合治理工程—江城段</w:t>
      </w:r>
      <w:bookmarkEnd w:id="118"/>
      <w:r>
        <w:rPr>
          <w:rFonts w:hint="eastAsia" w:ascii="宋体" w:hAnsi="宋体" w:eastAsia="宋体" w:cs="宋体"/>
          <w:color w:val="000000" w:themeColor="text1"/>
          <w:highlight w:val="none"/>
          <w14:textFill>
            <w14:solidFill>
              <w14:schemeClr w14:val="tx1"/>
            </w14:solidFill>
          </w14:textFill>
        </w:rPr>
        <w:t>白蚁防治服务主要服务内容分为两个区域实施：（1）捷西堤,（2）龙涛</w:t>
      </w:r>
      <w:r>
        <w:rPr>
          <w:rFonts w:hint="eastAsia" w:ascii="宋体" w:hAnsi="宋体" w:eastAsia="宋体" w:cs="宋体"/>
          <w:color w:val="000000" w:themeColor="text1"/>
          <w:highlight w:val="none"/>
          <w:lang w:eastAsia="zh-CN"/>
          <w14:textFill>
            <w14:solidFill>
              <w14:schemeClr w14:val="tx1"/>
            </w14:solidFill>
          </w14:textFill>
        </w:rPr>
        <w:t>围</w:t>
      </w:r>
      <w:r>
        <w:rPr>
          <w:rFonts w:hint="eastAsia" w:ascii="宋体" w:hAnsi="宋体" w:eastAsia="宋体" w:cs="宋体"/>
          <w:color w:val="000000" w:themeColor="text1"/>
          <w:highlight w:val="none"/>
          <w14:textFill>
            <w14:solidFill>
              <w14:schemeClr w14:val="tx1"/>
            </w14:solidFill>
          </w14:textFill>
        </w:rPr>
        <w:t>。根据广东省水利厅文件粤水办〔2015〕6 号关于印发《广东省水利厅水利工程白蚁防治的管理办法》的通知要求,对该工程建设区域进行蚁情勘查的情况，采购白蚁防治施工单位，对以上两个区域进行白蚁防治。</w:t>
      </w:r>
    </w:p>
    <w:bookmarkEnd w:id="117"/>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lang w:val="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二、项目要求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19" w:name="_Toc461563969"/>
      <w:r>
        <w:rPr>
          <w:rFonts w:hint="eastAsia" w:ascii="宋体" w:hAnsi="宋体" w:eastAsia="宋体" w:cs="宋体"/>
          <w:color w:val="000000" w:themeColor="text1"/>
          <w:highlight w:val="none"/>
          <w14:textFill>
            <w14:solidFill>
              <w14:schemeClr w14:val="tx1"/>
            </w14:solidFill>
          </w14:textFill>
        </w:rPr>
        <w:t>主要服务内容和工作量：</w:t>
      </w:r>
      <w:r>
        <w:rPr>
          <w:rFonts w:hint="eastAsia" w:ascii="宋体" w:hAnsi="宋体" w:eastAsia="宋体" w:cs="宋体"/>
          <w:color w:val="000000" w:themeColor="text1"/>
          <w:highlight w:val="none"/>
          <w14:textFill>
            <w14:solidFill>
              <w14:schemeClr w14:val="tx1"/>
            </w14:solidFill>
          </w14:textFill>
        </w:rPr>
        <w:t>阳江市漠阳江中下游综合治理工程—江城段两个施工区域内及周边</w:t>
      </w:r>
      <w:r>
        <w:rPr>
          <w:rFonts w:hint="eastAsia" w:ascii="宋体" w:hAnsi="宋体" w:eastAsia="宋体" w:cs="宋体"/>
          <w:color w:val="000000" w:themeColor="text1"/>
          <w:highlight w:val="none"/>
          <w:lang w:eastAsia="zh-CN"/>
          <w14:textFill>
            <w14:solidFill>
              <w14:schemeClr w14:val="tx1"/>
            </w14:solidFill>
          </w14:textFill>
        </w:rPr>
        <w:t>，龙涛围、捷西堤全长25.8km，防治面积269620平方米</w:t>
      </w:r>
      <w:r>
        <w:rPr>
          <w:rFonts w:hint="eastAsia" w:ascii="宋体" w:hAnsi="宋体" w:eastAsia="宋体" w:cs="宋体"/>
          <w:color w:val="000000" w:themeColor="text1"/>
          <w:highlight w:val="none"/>
          <w14:textFill>
            <w14:solidFill>
              <w14:schemeClr w14:val="tx1"/>
            </w14:solidFill>
          </w14:textFill>
        </w:rPr>
        <w:t>面积的白蚁防治，</w:t>
      </w:r>
      <w:r>
        <w:rPr>
          <w:rFonts w:hint="eastAsia" w:ascii="宋体" w:hAnsi="宋体" w:eastAsia="宋体" w:cs="宋体"/>
          <w:color w:val="000000" w:themeColor="text1"/>
          <w:highlight w:val="none"/>
          <w14:textFill>
            <w14:solidFill>
              <w14:schemeClr w14:val="tx1"/>
            </w14:solidFill>
          </w14:textFill>
        </w:rPr>
        <w:t>包括勘查、灭杀、对巢灌浆等。</w:t>
      </w:r>
    </w:p>
    <w:bookmarkEnd w:id="119"/>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三、服务要求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bookmarkStart w:id="120" w:name="_Toc309222605"/>
      <w:bookmarkStart w:id="121" w:name="_Toc287879969"/>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严格执行《广东省水利厅关于水利工程白蚁防治的管理办法》（粤水办〔2015〕6号）及《广东省水利工程白蚁防治技术指南》。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防治工作实行月报制，</w:t>
      </w:r>
      <w:r>
        <w:rPr>
          <w:rFonts w:hint="eastAsia" w:ascii="宋体" w:hAnsi="宋体" w:eastAsia="宋体" w:cs="宋体"/>
          <w:color w:val="000000" w:themeColor="text1"/>
          <w:highlight w:val="none"/>
          <w:lang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每个月应该对各个区域的白蚁防治工作进行验收签证，以此作为项目结算的依据。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应随时接受采购人的检查、监督，并为检查提供便利的条件。</w:t>
      </w:r>
      <w:r>
        <w:rPr>
          <w:rFonts w:hint="eastAsia" w:ascii="宋体" w:hAnsi="宋体" w:eastAsia="宋体" w:cs="宋体"/>
          <w:color w:val="000000" w:themeColor="text1"/>
          <w:highlight w:val="none"/>
          <w:lang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按合同实施各项工作任务时，必须事先通知采购人，施工中发现蚁情应及时向采购人派出的代表汇报并核实。防治质量应达到水利行业的质量检查评定标准，水利行业没有具体标准的项目，应达到相关项目相应的技术质量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应建立和健全质量保证体系，并在合同签订后 15 天内作为年度计划的附件报送采购人，其内容包括：质量管理机构的组成、主要成员资格、设备清单及设备进场检修情况、质量检查程序和细则等。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因</w:t>
      </w:r>
      <w:r>
        <w:rPr>
          <w:rFonts w:hint="eastAsia" w:ascii="宋体" w:hAnsi="宋体" w:eastAsia="宋体" w:cs="宋体"/>
          <w:color w:val="000000" w:themeColor="text1"/>
          <w:highlight w:val="none"/>
          <w:lang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单方面原因造成达不到约定的防治质量标准和要求的，</w:t>
      </w:r>
      <w:r>
        <w:rPr>
          <w:rFonts w:hint="eastAsia" w:ascii="宋体" w:hAnsi="宋体" w:eastAsia="宋体" w:cs="宋体"/>
          <w:color w:val="000000" w:themeColor="text1"/>
          <w:highlight w:val="none"/>
          <w:lang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应在采购人要求的时间内返工，直到防治质量符合标准要求，一切返工费用由</w:t>
      </w:r>
      <w:r>
        <w:rPr>
          <w:rFonts w:hint="eastAsia" w:ascii="宋体" w:hAnsi="宋体" w:eastAsia="宋体" w:cs="宋体"/>
          <w:color w:val="000000" w:themeColor="text1"/>
          <w:highlight w:val="none"/>
          <w:lang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因</w:t>
      </w:r>
      <w:r>
        <w:rPr>
          <w:rFonts w:hint="eastAsia" w:ascii="宋体" w:hAnsi="宋体" w:eastAsia="宋体" w:cs="宋体"/>
          <w:color w:val="000000" w:themeColor="text1"/>
          <w:highlight w:val="none"/>
          <w:lang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单方面原因造成达不到约定的防治质量标准和要求的，</w:t>
      </w:r>
      <w:r>
        <w:rPr>
          <w:rFonts w:hint="eastAsia" w:ascii="宋体" w:hAnsi="宋体" w:eastAsia="宋体" w:cs="宋体"/>
          <w:color w:val="000000" w:themeColor="text1"/>
          <w:highlight w:val="none"/>
          <w:lang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在采购人要求的时间内返工，但返工质量达不到约定的标准和要求，要承担违约责任：一切返工费用由</w:t>
      </w:r>
      <w:r>
        <w:rPr>
          <w:rFonts w:hint="eastAsia" w:ascii="宋体" w:hAnsi="宋体" w:eastAsia="宋体" w:cs="宋体"/>
          <w:color w:val="000000" w:themeColor="text1"/>
          <w:highlight w:val="none"/>
          <w:lang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承担并且扣除该次返工对应的工程量。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本项目进行半年期实施情况验收和服务期满完工验收共两次验收。</w:t>
      </w:r>
      <w:bookmarkEnd w:id="120"/>
      <w:bookmarkEnd w:id="121"/>
    </w:p>
    <w:p>
      <w:pPr>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br w:type="page"/>
      </w:r>
    </w:p>
    <w:p>
      <w:pPr>
        <w:pStyle w:val="3"/>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22" w:name="_Toc10854"/>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22"/>
    </w:p>
    <w:p>
      <w:pPr>
        <w:pStyle w:val="4"/>
        <w:numPr>
          <w:ilvl w:val="1"/>
          <w:numId w:val="0"/>
        </w:numPr>
        <w:rPr>
          <w:rFonts w:ascii="宋体" w:hAnsi="宋体"/>
          <w:color w:val="000000" w:themeColor="text1"/>
          <w:sz w:val="21"/>
          <w:szCs w:val="21"/>
          <w:highlight w:val="none"/>
          <w14:textFill>
            <w14:solidFill>
              <w14:schemeClr w14:val="tx1"/>
            </w14:solidFill>
          </w14:textFill>
        </w:rPr>
      </w:pPr>
      <w:bookmarkStart w:id="123" w:name="_Toc456648358"/>
      <w:bookmarkStart w:id="124" w:name="_Toc456272919"/>
      <w:bookmarkStart w:id="125" w:name="_Toc30638"/>
      <w:bookmarkStart w:id="126" w:name="_Toc434832495"/>
      <w:r>
        <w:rPr>
          <w:rFonts w:hint="eastAsia" w:ascii="宋体" w:hAnsi="宋体"/>
          <w:color w:val="000000" w:themeColor="text1"/>
          <w:sz w:val="21"/>
          <w:szCs w:val="21"/>
          <w:highlight w:val="none"/>
          <w14:textFill>
            <w14:solidFill>
              <w14:schemeClr w14:val="tx1"/>
            </w14:solidFill>
          </w14:textFill>
        </w:rPr>
        <w:t>投标人须知前附表</w:t>
      </w:r>
      <w:bookmarkEnd w:id="123"/>
      <w:bookmarkEnd w:id="124"/>
      <w:bookmarkEnd w:id="125"/>
      <w:bookmarkEnd w:id="126"/>
    </w:p>
    <w:tbl>
      <w:tblPr>
        <w:tblStyle w:val="5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442"/>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为了方便唱标，投标人在递交磋商响应文件的同时，向代理采购机构提交包含“第一次报价一览表”、“投标保证金”、“分项报价表”、“保证金退付书”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6"/>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1、磋商响应文件中打“★”号条款必须实质性响应，负偏离（不满足要求）将导致投标无效。</w:t>
            </w:r>
          </w:p>
          <w:p>
            <w:pPr>
              <w:pStyle w:val="6"/>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42" w:type="dxa"/>
            <w:vMerge w:val="restart"/>
            <w:tcBorders>
              <w:top w:val="single" w:color="auto" w:sz="4" w:space="0"/>
              <w:left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13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442" w:type="dxa"/>
            <w:vMerge w:val="continue"/>
            <w:tcBorders>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p>
        </w:tc>
        <w:tc>
          <w:tcPr>
            <w:tcW w:w="3136" w:type="dxa"/>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26"/>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27" w:name="_Hlt21938665"/>
      <w:bookmarkEnd w:id="127"/>
      <w:bookmarkStart w:id="128" w:name="_Hlt21938668"/>
      <w:bookmarkEnd w:id="128"/>
      <w:bookmarkStart w:id="129" w:name="_Toc464632120"/>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0" w:name="_Toc30591"/>
      <w:r>
        <w:rPr>
          <w:rFonts w:hint="eastAsia" w:hAnsi="宋体"/>
          <w:color w:val="000000" w:themeColor="text1"/>
          <w:highlight w:val="none"/>
          <w14:textFill>
            <w14:solidFill>
              <w14:schemeClr w14:val="tx1"/>
            </w14:solidFill>
          </w14:textFill>
        </w:rPr>
        <w:t>一、说  明</w:t>
      </w:r>
      <w:bookmarkEnd w:id="129"/>
      <w:bookmarkEnd w:id="130"/>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w:t>
      </w:r>
      <w:r>
        <w:rPr>
          <w:rFonts w:hint="eastAsia" w:ascii="宋体" w:hAnsi="宋体"/>
          <w:color w:val="000000" w:themeColor="text1"/>
          <w:kern w:val="0"/>
          <w:szCs w:val="21"/>
          <w:highlight w:val="none"/>
          <w:lang w:eastAsia="zh-CN"/>
          <w14:textFill>
            <w14:solidFill>
              <w14:schemeClr w14:val="tx1"/>
            </w14:solidFill>
          </w14:textFill>
        </w:rPr>
        <w:t>广东业信招标有限公司</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6845"/>
      <w:bookmarkStart w:id="132" w:name="_Toc464632121"/>
      <w:r>
        <w:rPr>
          <w:rFonts w:hint="eastAsia" w:hAnsi="宋体"/>
          <w:color w:val="000000" w:themeColor="text1"/>
          <w:highlight w:val="none"/>
          <w14:textFill>
            <w14:solidFill>
              <w14:schemeClr w14:val="tx1"/>
            </w14:solidFill>
          </w14:textFill>
        </w:rPr>
        <w:t>二、磋商文件</w:t>
      </w:r>
      <w:bookmarkEnd w:id="131"/>
      <w:bookmarkEnd w:id="132"/>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6"/>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464632122"/>
      <w:bookmarkStart w:id="134" w:name="_Toc31714"/>
      <w:r>
        <w:rPr>
          <w:rFonts w:hint="eastAsia" w:hAnsi="宋体"/>
          <w:color w:val="000000" w:themeColor="text1"/>
          <w:highlight w:val="none"/>
          <w14:textFill>
            <w14:solidFill>
              <w14:schemeClr w14:val="tx1"/>
            </w14:solidFill>
          </w14:textFill>
        </w:rPr>
        <w:t>三、响应文件的编制</w:t>
      </w:r>
      <w:bookmarkEnd w:id="133"/>
      <w:bookmarkEnd w:id="134"/>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464632123"/>
      <w:bookmarkStart w:id="136" w:name="_Toc7938"/>
      <w:r>
        <w:rPr>
          <w:rFonts w:hint="eastAsia" w:hAnsi="宋体"/>
          <w:color w:val="000000" w:themeColor="text1"/>
          <w:highlight w:val="none"/>
          <w14:textFill>
            <w14:solidFill>
              <w14:schemeClr w14:val="tx1"/>
            </w14:solidFill>
          </w14:textFill>
        </w:rPr>
        <w:t>四、磋商报价要求和供应商资格证明文件的要求</w:t>
      </w:r>
      <w:bookmarkEnd w:id="135"/>
      <w:bookmarkEnd w:id="136"/>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pPr>
        <w:pStyle w:val="26"/>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本项目投标报价不能高于采购预算（或最高限价），否则将被视为无效投标。</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pPr>
        <w:pStyle w:val="26"/>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7" w:name="_Toc464632124"/>
      <w:bookmarkStart w:id="138" w:name="_Toc11363"/>
      <w:r>
        <w:rPr>
          <w:rFonts w:hint="eastAsia" w:hAnsi="宋体"/>
          <w:color w:val="000000" w:themeColor="text1"/>
          <w:highlight w:val="none"/>
          <w14:textFill>
            <w14:solidFill>
              <w14:schemeClr w14:val="tx1"/>
            </w14:solidFill>
          </w14:textFill>
        </w:rPr>
        <w:t>五、保证金</w:t>
      </w:r>
      <w:bookmarkEnd w:id="137"/>
      <w:bookmarkEnd w:id="138"/>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9" w:name="_Toc176"/>
      <w:bookmarkStart w:id="140" w:name="_Toc464632125"/>
      <w:r>
        <w:rPr>
          <w:rFonts w:hint="eastAsia" w:hAnsi="宋体"/>
          <w:color w:val="000000" w:themeColor="text1"/>
          <w:highlight w:val="none"/>
          <w14:textFill>
            <w14:solidFill>
              <w14:schemeClr w14:val="tx1"/>
            </w14:solidFill>
          </w14:textFill>
        </w:rPr>
        <w:t>六、响应文件的份数、封装和递交</w:t>
      </w:r>
      <w:bookmarkEnd w:id="139"/>
      <w:bookmarkEnd w:id="140"/>
    </w:p>
    <w:p>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pPr>
        <w:pStyle w:val="26"/>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41" w:name="_Toc464632126"/>
      <w:bookmarkStart w:id="142" w:name="_Toc11372"/>
      <w:r>
        <w:rPr>
          <w:rFonts w:hint="eastAsia" w:hAnsi="宋体"/>
          <w:color w:val="000000" w:themeColor="text1"/>
          <w:highlight w:val="none"/>
          <w14:textFill>
            <w14:solidFill>
              <w14:schemeClr w14:val="tx1"/>
            </w14:solidFill>
          </w14:textFill>
        </w:rPr>
        <w:t>七、磋商的步骤</w:t>
      </w:r>
      <w:bookmarkEnd w:id="141"/>
      <w:bookmarkEnd w:id="142"/>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投标下浮率不符合招标文件规定的</w:t>
      </w:r>
      <w:r>
        <w:rPr>
          <w:rFonts w:hint="eastAsia" w:ascii="宋体" w:hAnsi="宋体"/>
          <w:color w:val="000000" w:themeColor="text1"/>
          <w:kern w:val="0"/>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×价格分值</w:t>
      </w:r>
    </w:p>
    <w:p>
      <w:pPr>
        <w:pStyle w:val="46"/>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1、价格修正：投标人的投标报价中经磋商小组确定为供货范围（包括货物、工程和服务）缺漏项，而进行调整的，调整价为该项目在其他有效投标中的最高报价。</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2、磋商小组将按照上述修正错误的方法调整该投标人的投标文件中的投标报价，调整后的价格对投标人具有约束力。如果投标人不接受修正后的投标价格，则其投标将被拒绝。</w:t>
      </w:r>
    </w:p>
    <w:p>
      <w:pPr>
        <w:tabs>
          <w:tab w:val="left" w:pos="1022"/>
        </w:tabs>
        <w:spacing w:line="300" w:lineRule="auto"/>
        <w:ind w:left="884" w:leftChars="421" w:right="657" w:rightChars="313" w:firstLine="315" w:firstLineChars="1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投标人同时为小型、微型企业和监狱企业的，评审中只享受一次价格扣除。不重复进行价格扣除。</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3名成交候选人。</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43" w:name="_Toc464632127"/>
      <w:bookmarkStart w:id="144" w:name="_Toc5501"/>
      <w:r>
        <w:rPr>
          <w:rFonts w:hint="eastAsia" w:hAnsi="宋体"/>
          <w:color w:val="000000" w:themeColor="text1"/>
          <w:highlight w:val="none"/>
          <w14:textFill>
            <w14:solidFill>
              <w14:schemeClr w14:val="tx1"/>
            </w14:solidFill>
          </w14:textFill>
        </w:rPr>
        <w:t>八、确定成交供应商办法</w:t>
      </w:r>
      <w:bookmarkEnd w:id="143"/>
      <w:bookmarkEnd w:id="144"/>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详见第三部份《磋商须知〈投标人须知前附表〉》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w:t>
      </w:r>
      <w:r>
        <w:rPr>
          <w:rFonts w:hint="eastAsia" w:ascii="宋体" w:hAnsi="宋体"/>
          <w:color w:val="000000" w:themeColor="text1"/>
          <w:kern w:val="0"/>
          <w:szCs w:val="21"/>
          <w:highlight w:val="none"/>
          <w14:textFill>
            <w14:solidFill>
              <w14:schemeClr w14:val="tx1"/>
            </w14:solidFill>
          </w14:textFill>
        </w:rPr>
        <w:t>《政府采购竞争性磋商采购方式管理暂行办法》</w:t>
      </w:r>
      <w:r>
        <w:rPr>
          <w:rFonts w:hint="eastAsia" w:ascii="宋体" w:hAnsi="宋体"/>
          <w:color w:val="000000" w:themeColor="text1"/>
          <w:kern w:val="0"/>
          <w:szCs w:val="21"/>
          <w:highlight w:val="none"/>
          <w14:textFill>
            <w14:solidFill>
              <w14:schemeClr w14:val="tx1"/>
            </w14:solidFill>
          </w14:textFill>
        </w:rPr>
        <w:t>相关规定，下列情况出现将被确定为响应无效：</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45" w:name="_Toc464632128"/>
      <w:bookmarkStart w:id="146" w:name="_Toc8939"/>
      <w:r>
        <w:rPr>
          <w:rFonts w:hint="eastAsia" w:ascii="宋体" w:hAnsi="宋体"/>
          <w:color w:val="000000" w:themeColor="text1"/>
          <w:szCs w:val="21"/>
          <w:highlight w:val="none"/>
          <w14:textFill>
            <w14:solidFill>
              <w14:schemeClr w14:val="tx1"/>
            </w14:solidFill>
          </w14:textFill>
        </w:rPr>
        <w:t>九、质疑</w:t>
      </w:r>
      <w:bookmarkEnd w:id="145"/>
      <w:bookmarkEnd w:id="146"/>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themeColor="text1"/>
          <w:szCs w:val="21"/>
          <w:highlight w:val="none"/>
          <w14:textFill>
            <w14:solidFill>
              <w14:schemeClr w14:val="tx1"/>
            </w14:solidFill>
          </w14:textFill>
        </w:rPr>
      </w:pPr>
      <w:bookmarkStart w:id="147" w:name="_Toc464632129"/>
      <w:bookmarkStart w:id="148" w:name="_Toc14444"/>
      <w:bookmarkStart w:id="149" w:name="_Toc345675374"/>
      <w:bookmarkStart w:id="150" w:name="_Toc322033397"/>
      <w:r>
        <w:rPr>
          <w:rFonts w:hint="eastAsia" w:ascii="宋体" w:hAnsi="宋体"/>
          <w:color w:val="000000" w:themeColor="text1"/>
          <w:szCs w:val="21"/>
          <w:highlight w:val="none"/>
          <w14:textFill>
            <w14:solidFill>
              <w14:schemeClr w14:val="tx1"/>
            </w14:solidFill>
          </w14:textFill>
        </w:rPr>
        <w:t>十、成交服务费</w:t>
      </w:r>
      <w:bookmarkEnd w:id="147"/>
      <w:bookmarkEnd w:id="148"/>
      <w:bookmarkEnd w:id="149"/>
      <w:bookmarkEnd w:id="150"/>
    </w:p>
    <w:p>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详见第二部份《采购项目内容〈A 商务要求〉》</w:t>
      </w:r>
      <w:r>
        <w:rPr>
          <w:rFonts w:hint="eastAsia" w:ascii="宋体" w:hAnsi="宋体"/>
          <w:color w:val="000000" w:themeColor="text1"/>
          <w:szCs w:val="21"/>
          <w:highlight w:val="none"/>
          <w14:textFill>
            <w14:solidFill>
              <w14:schemeClr w14:val="tx1"/>
            </w14:solidFill>
          </w14:textFill>
        </w:rPr>
        <w:t>。</w:t>
      </w:r>
    </w:p>
    <w:p>
      <w:pPr>
        <w:spacing w:line="300" w:lineRule="auto"/>
        <w:outlineLvl w:val="1"/>
        <w:rPr>
          <w:rFonts w:ascii="宋体" w:hAnsi="宋体"/>
          <w:color w:val="000000" w:themeColor="text1"/>
          <w:szCs w:val="21"/>
          <w:highlight w:val="none"/>
          <w14:textFill>
            <w14:solidFill>
              <w14:schemeClr w14:val="tx1"/>
            </w14:solidFill>
          </w14:textFill>
        </w:rPr>
      </w:pPr>
      <w:bookmarkStart w:id="151" w:name="_Toc464632131"/>
      <w:bookmarkStart w:id="152" w:name="_Toc14205"/>
      <w:bookmarkStart w:id="153" w:name="_Toc536594109"/>
      <w:r>
        <w:rPr>
          <w:rFonts w:hint="eastAsia" w:ascii="宋体" w:hAnsi="宋体"/>
          <w:color w:val="000000" w:themeColor="text1"/>
          <w:szCs w:val="21"/>
          <w:highlight w:val="none"/>
          <w14:textFill>
            <w14:solidFill>
              <w14:schemeClr w14:val="tx1"/>
            </w14:solidFill>
          </w14:textFill>
        </w:rPr>
        <w:t>十一、合同的订立和履行</w:t>
      </w:r>
      <w:bookmarkEnd w:id="151"/>
      <w:bookmarkEnd w:id="152"/>
    </w:p>
    <w:bookmarkEnd w:id="153"/>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themeColor="text1"/>
          <w:szCs w:val="21"/>
          <w:highlight w:val="none"/>
          <w14:textFill>
            <w14:solidFill>
              <w14:schemeClr w14:val="tx1"/>
            </w14:solidFill>
          </w14:textFill>
        </w:rPr>
      </w:pPr>
      <w:bookmarkStart w:id="154" w:name="_Toc20671"/>
      <w:bookmarkStart w:id="155" w:name="_Toc322033399"/>
      <w:bookmarkStart w:id="156" w:name="_Toc464632132"/>
      <w:bookmarkStart w:id="157" w:name="_Toc345675376"/>
      <w:r>
        <w:rPr>
          <w:rFonts w:hint="eastAsia" w:ascii="宋体" w:hAnsi="宋体"/>
          <w:color w:val="000000" w:themeColor="text1"/>
          <w:szCs w:val="21"/>
          <w:highlight w:val="none"/>
          <w14:textFill>
            <w14:solidFill>
              <w14:schemeClr w14:val="tx1"/>
            </w14:solidFill>
          </w14:textFill>
        </w:rPr>
        <w:t>十二、适用法律</w:t>
      </w:r>
      <w:bookmarkEnd w:id="154"/>
      <w:bookmarkEnd w:id="155"/>
      <w:bookmarkEnd w:id="156"/>
      <w:bookmarkEnd w:id="157"/>
    </w:p>
    <w:p>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p>
    <w:p>
      <w:pPr>
        <w:pStyle w:val="3"/>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8" w:name="_Toc520"/>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8"/>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一、评价指标及权重：</w:t>
      </w:r>
    </w:p>
    <w:tbl>
      <w:tblPr>
        <w:tblStyle w:val="52"/>
        <w:tblW w:w="8787" w:type="dxa"/>
        <w:tblInd w:w="3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271"/>
        <w:gridCol w:w="2548"/>
        <w:gridCol w:w="22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701"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评分项目</w:t>
            </w:r>
          </w:p>
        </w:tc>
        <w:tc>
          <w:tcPr>
            <w:tcW w:w="2271"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w:t>
            </w:r>
          </w:p>
        </w:tc>
        <w:tc>
          <w:tcPr>
            <w:tcW w:w="2548"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商务评分</w:t>
            </w:r>
          </w:p>
        </w:tc>
        <w:tc>
          <w:tcPr>
            <w:tcW w:w="2267"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价格评分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701"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分值</w:t>
            </w:r>
          </w:p>
        </w:tc>
        <w:tc>
          <w:tcPr>
            <w:tcW w:w="2271"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t>分</w:t>
            </w:r>
          </w:p>
        </w:tc>
        <w:tc>
          <w:tcPr>
            <w:tcW w:w="2548"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50</w:t>
            </w:r>
            <w:r>
              <w:rPr>
                <w:rFonts w:hint="eastAsia" w:ascii="宋体" w:hAnsi="宋体" w:eastAsia="宋体" w:cs="宋体"/>
                <w:color w:val="000000" w:themeColor="text1"/>
                <w:highlight w:val="none"/>
                <w14:textFill>
                  <w14:solidFill>
                    <w14:schemeClr w14:val="tx1"/>
                  </w14:solidFill>
                </w14:textFill>
              </w:rPr>
              <w:t>分</w:t>
            </w:r>
          </w:p>
        </w:tc>
        <w:tc>
          <w:tcPr>
            <w:tcW w:w="2267"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10分</w:t>
            </w:r>
          </w:p>
        </w:tc>
      </w:tr>
    </w:tbl>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二</w:t>
      </w:r>
      <w:r>
        <w:rPr>
          <w:rFonts w:hint="eastAsia" w:ascii="宋体" w:hAnsi="宋体"/>
          <w:b/>
          <w:color w:val="000000" w:themeColor="text1"/>
          <w:highlight w:val="none"/>
          <w:lang w:eastAsia="zh-CN"/>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技术评分细则</w:t>
      </w:r>
    </w:p>
    <w:tbl>
      <w:tblPr>
        <w:tblStyle w:val="52"/>
        <w:tblW w:w="9444" w:type="dxa"/>
        <w:jc w:val="center"/>
        <w:shd w:val="clear" w:color="auto" w:fill="FFFFFF"/>
        <w:tblLayout w:type="fixed"/>
        <w:tblCellMar>
          <w:top w:w="0" w:type="dxa"/>
          <w:left w:w="0" w:type="dxa"/>
          <w:bottom w:w="0" w:type="dxa"/>
          <w:right w:w="0" w:type="dxa"/>
        </w:tblCellMar>
      </w:tblPr>
      <w:tblGrid>
        <w:gridCol w:w="913"/>
        <w:gridCol w:w="1524"/>
        <w:gridCol w:w="736"/>
        <w:gridCol w:w="6271"/>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序号</w:t>
            </w:r>
          </w:p>
        </w:tc>
        <w:tc>
          <w:tcPr>
            <w:tcW w:w="15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评审内容</w:t>
            </w:r>
          </w:p>
        </w:tc>
        <w:tc>
          <w:tcPr>
            <w:tcW w:w="7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分值</w:t>
            </w:r>
          </w:p>
        </w:tc>
        <w:tc>
          <w:tcPr>
            <w:tcW w:w="62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219"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1</w:t>
            </w:r>
          </w:p>
        </w:tc>
        <w:tc>
          <w:tcPr>
            <w:tcW w:w="15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服务方案</w:t>
            </w:r>
          </w:p>
        </w:tc>
        <w:tc>
          <w:tcPr>
            <w:tcW w:w="7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20</w:t>
            </w:r>
            <w:r>
              <w:rPr>
                <w:rFonts w:hint="eastAsia" w:ascii="宋体" w:hAnsi="宋体"/>
                <w:b w:val="0"/>
                <w:bCs/>
                <w:color w:val="000000" w:themeColor="text1"/>
                <w:highlight w:val="none"/>
                <w14:textFill>
                  <w14:solidFill>
                    <w14:schemeClr w14:val="tx1"/>
                  </w14:solidFill>
                </w14:textFill>
              </w:rPr>
              <w:t>分</w:t>
            </w:r>
          </w:p>
        </w:tc>
        <w:tc>
          <w:tcPr>
            <w:tcW w:w="62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根据</w:t>
            </w:r>
            <w:r>
              <w:rPr>
                <w:rFonts w:hint="eastAsia" w:ascii="宋体" w:hAnsi="宋体"/>
                <w:b w:val="0"/>
                <w:bCs/>
                <w:color w:val="000000" w:themeColor="text1"/>
                <w:highlight w:val="none"/>
                <w:lang w:eastAsia="zh-CN"/>
                <w14:textFill>
                  <w14:solidFill>
                    <w14:schemeClr w14:val="tx1"/>
                  </w14:solidFill>
                </w14:textFill>
              </w:rPr>
              <w:t>投标人</w:t>
            </w:r>
            <w:r>
              <w:rPr>
                <w:rFonts w:hint="eastAsia" w:ascii="宋体" w:hAnsi="宋体"/>
                <w:b w:val="0"/>
                <w:bCs/>
                <w:color w:val="000000" w:themeColor="text1"/>
                <w:highlight w:val="none"/>
                <w14:textFill>
                  <w14:solidFill>
                    <w14:schemeClr w14:val="tx1"/>
                  </w14:solidFill>
                </w14:textFill>
              </w:rPr>
              <w:t>提供的服务方案进行评审：</w:t>
            </w:r>
          </w:p>
          <w:p>
            <w:pPr>
              <w:spacing w:line="360" w:lineRule="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1.对本项目情况和特点了解，项目作业方案清晰合理，可操作性强且有提供完整、可行、详细明确的作业规程、方案的得</w:t>
            </w:r>
            <w:r>
              <w:rPr>
                <w:rFonts w:hint="eastAsia" w:ascii="宋体" w:hAnsi="宋体"/>
                <w:b w:val="0"/>
                <w:bCs/>
                <w:color w:val="000000" w:themeColor="text1"/>
                <w:highlight w:val="none"/>
                <w:lang w:val="en-US" w:eastAsia="zh-CN"/>
                <w14:textFill>
                  <w14:solidFill>
                    <w14:schemeClr w14:val="tx1"/>
                  </w14:solidFill>
                </w14:textFill>
              </w:rPr>
              <w:t>20</w:t>
            </w:r>
            <w:r>
              <w:rPr>
                <w:rFonts w:hint="eastAsia" w:ascii="宋体" w:hAnsi="宋体"/>
                <w:b w:val="0"/>
                <w:bCs/>
                <w:color w:val="000000" w:themeColor="text1"/>
                <w:highlight w:val="none"/>
                <w14:textFill>
                  <w14:solidFill>
                    <w14:schemeClr w14:val="tx1"/>
                  </w14:solidFill>
                </w14:textFill>
              </w:rPr>
              <w:t>分；</w:t>
            </w:r>
          </w:p>
          <w:p>
            <w:pPr>
              <w:spacing w:line="360" w:lineRule="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2.对本项目情况和特点较了解，项目作业方案较清晰合理，可操作性较强且有提供较完整、可行的作业规程、方案的得</w:t>
            </w:r>
            <w:r>
              <w:rPr>
                <w:rFonts w:hint="eastAsia" w:ascii="宋体" w:hAnsi="宋体"/>
                <w:b w:val="0"/>
                <w:bCs/>
                <w:color w:val="000000" w:themeColor="text1"/>
                <w:highlight w:val="none"/>
                <w:lang w:val="en-US" w:eastAsia="zh-CN"/>
                <w14:textFill>
                  <w14:solidFill>
                    <w14:schemeClr w14:val="tx1"/>
                  </w14:solidFill>
                </w14:textFill>
              </w:rPr>
              <w:t>14</w:t>
            </w:r>
            <w:r>
              <w:rPr>
                <w:rFonts w:hint="eastAsia" w:ascii="宋体" w:hAnsi="宋体"/>
                <w:b w:val="0"/>
                <w:bCs/>
                <w:color w:val="000000" w:themeColor="text1"/>
                <w:highlight w:val="none"/>
                <w14:textFill>
                  <w14:solidFill>
                    <w14:schemeClr w14:val="tx1"/>
                  </w14:solidFill>
                </w14:textFill>
              </w:rPr>
              <w:t>分；</w:t>
            </w:r>
          </w:p>
          <w:p>
            <w:pPr>
              <w:spacing w:line="360" w:lineRule="auto"/>
              <w:rPr>
                <w:rFonts w:hint="eastAsia"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3.提供的作业规程、方案一般得</w:t>
            </w:r>
            <w:r>
              <w:rPr>
                <w:rFonts w:hint="eastAsia" w:ascii="宋体" w:hAnsi="宋体"/>
                <w:b w:val="0"/>
                <w:bCs/>
                <w:color w:val="000000" w:themeColor="text1"/>
                <w:highlight w:val="none"/>
                <w:lang w:val="en-US" w:eastAsia="zh-CN"/>
                <w14:textFill>
                  <w14:solidFill>
                    <w14:schemeClr w14:val="tx1"/>
                  </w14:solidFill>
                </w14:textFill>
              </w:rPr>
              <w:t>9</w:t>
            </w:r>
            <w:r>
              <w:rPr>
                <w:rFonts w:hint="eastAsia" w:ascii="宋体" w:hAnsi="宋体"/>
                <w:b w:val="0"/>
                <w:bCs/>
                <w:color w:val="000000" w:themeColor="text1"/>
                <w:highlight w:val="none"/>
                <w14:textFill>
                  <w14:solidFill>
                    <w14:schemeClr w14:val="tx1"/>
                  </w14:solidFill>
                </w14:textFill>
              </w:rPr>
              <w:t>分；</w:t>
            </w:r>
          </w:p>
          <w:p>
            <w:pPr>
              <w:spacing w:line="360" w:lineRule="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4.</w:t>
            </w:r>
            <w:r>
              <w:rPr>
                <w:rFonts w:hint="eastAsia" w:ascii="宋体" w:hAnsi="宋体"/>
                <w:b w:val="0"/>
                <w:bCs/>
                <w:color w:val="000000" w:themeColor="text1"/>
                <w:highlight w:val="none"/>
                <w14:textFill>
                  <w14:solidFill>
                    <w14:schemeClr w14:val="tx1"/>
                  </w14:solidFill>
                </w14:textFill>
              </w:rPr>
              <w:t>提供的作业规程、方案较差得</w:t>
            </w:r>
            <w:r>
              <w:rPr>
                <w:rFonts w:hint="eastAsia" w:ascii="宋体" w:hAnsi="宋体"/>
                <w:b w:val="0"/>
                <w:bCs/>
                <w:color w:val="000000" w:themeColor="text1"/>
                <w:highlight w:val="none"/>
                <w:lang w:val="en-US" w:eastAsia="zh-CN"/>
                <w14:textFill>
                  <w14:solidFill>
                    <w14:schemeClr w14:val="tx1"/>
                  </w14:solidFill>
                </w14:textFill>
              </w:rPr>
              <w:t>3</w:t>
            </w:r>
            <w:r>
              <w:rPr>
                <w:rFonts w:hint="eastAsia" w:ascii="宋体" w:hAnsi="宋体"/>
                <w:b w:val="0"/>
                <w:bCs/>
                <w:color w:val="000000" w:themeColor="text1"/>
                <w:highlight w:val="none"/>
                <w14:textFill>
                  <w14:solidFill>
                    <w14:schemeClr w14:val="tx1"/>
                  </w14:solidFill>
                </w14:textFill>
              </w:rPr>
              <w:t>分；</w:t>
            </w:r>
          </w:p>
          <w:p>
            <w:pPr>
              <w:spacing w:line="360" w:lineRule="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5</w:t>
            </w:r>
            <w:r>
              <w:rPr>
                <w:rFonts w:hint="eastAsia" w:ascii="宋体" w:hAnsi="宋体"/>
                <w:b w:val="0"/>
                <w:bCs/>
                <w:color w:val="000000" w:themeColor="text1"/>
                <w:highlight w:val="none"/>
                <w14:textFill>
                  <w14:solidFill>
                    <w14:schemeClr w14:val="tx1"/>
                  </w14:solidFill>
                </w14:textFill>
              </w:rPr>
              <w:t>.无相关描述不得分。</w:t>
            </w:r>
          </w:p>
        </w:tc>
      </w:tr>
      <w:tr>
        <w:tblPrEx>
          <w:shd w:val="clear" w:color="auto" w:fill="FFFFFF"/>
          <w:tblCellMar>
            <w:top w:w="0" w:type="dxa"/>
            <w:left w:w="0" w:type="dxa"/>
            <w:bottom w:w="0" w:type="dxa"/>
            <w:right w:w="0" w:type="dxa"/>
          </w:tblCellMar>
        </w:tblPrEx>
        <w:trPr>
          <w:cantSplit/>
          <w:trHeight w:val="1219"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ascii="宋体" w:hAnsi="宋体"/>
                <w:b w:val="0"/>
                <w:bCs/>
                <w:color w:val="000000" w:themeColor="text1"/>
                <w:highlight w:val="none"/>
                <w:lang w:val="en-US" w:eastAsia="zh-CN"/>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2</w:t>
            </w:r>
          </w:p>
        </w:tc>
        <w:tc>
          <w:tcPr>
            <w:tcW w:w="15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default" w:ascii="宋体" w:hAnsi="宋体"/>
                <w:b w:val="0"/>
                <w:bCs/>
                <w:color w:val="000000" w:themeColor="text1"/>
                <w:highlight w:val="none"/>
                <w:lang w:val="en-US" w:eastAsia="zh-CN"/>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售后服务</w:t>
            </w:r>
          </w:p>
        </w:tc>
        <w:tc>
          <w:tcPr>
            <w:tcW w:w="7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default" w:ascii="宋体" w:hAnsi="宋体"/>
                <w:b w:val="0"/>
                <w:bCs/>
                <w:color w:val="000000" w:themeColor="text1"/>
                <w:highlight w:val="none"/>
                <w:lang w:val="en-US" w:eastAsia="zh-CN"/>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10分</w:t>
            </w:r>
          </w:p>
        </w:tc>
        <w:tc>
          <w:tcPr>
            <w:tcW w:w="62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hint="eastAsia" w:ascii="宋体" w:hAnsi="宋体"/>
                <w:b w:val="0"/>
                <w:bCs/>
                <w:color w:val="000000" w:themeColor="text1"/>
                <w:highlight w:val="none"/>
                <w:lang w:val="en-US" w:eastAsia="zh-CN"/>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根据投标人对本项目的售后服务体系、服务内容、服务便利与及时性等进行评价：</w:t>
            </w:r>
          </w:p>
          <w:p>
            <w:pPr>
              <w:spacing w:line="360" w:lineRule="auto"/>
              <w:rPr>
                <w:rFonts w:hint="eastAsia" w:ascii="宋体" w:hAnsi="宋体"/>
                <w:b w:val="0"/>
                <w:bCs/>
                <w:color w:val="000000" w:themeColor="text1"/>
                <w:highlight w:val="none"/>
                <w:lang w:val="en-US" w:eastAsia="zh-CN"/>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1.售后服务体系设置合理，服务内容详尽、服务便利及时的，得10分；</w:t>
            </w:r>
          </w:p>
          <w:p>
            <w:pPr>
              <w:spacing w:line="360" w:lineRule="auto"/>
              <w:rPr>
                <w:rFonts w:hint="eastAsia" w:ascii="宋体" w:hAnsi="宋体"/>
                <w:b w:val="0"/>
                <w:bCs/>
                <w:color w:val="000000" w:themeColor="text1"/>
                <w:highlight w:val="none"/>
                <w:lang w:val="en-US" w:eastAsia="zh-CN"/>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2.售后服务体系、服务内容基本符合实际情况的，得5分；</w:t>
            </w:r>
          </w:p>
          <w:p>
            <w:pPr>
              <w:spacing w:line="360" w:lineRule="auto"/>
              <w:rPr>
                <w:rFonts w:hint="eastAsia" w:ascii="宋体" w:hAnsi="宋体"/>
                <w:b w:val="0"/>
                <w:bCs/>
                <w:color w:val="000000" w:themeColor="text1"/>
                <w:highlight w:val="none"/>
                <w:lang w:val="en-US" w:eastAsia="zh-CN"/>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3.售后服务体系、服务内容较差的，得1分。</w:t>
            </w:r>
          </w:p>
          <w:p>
            <w:pPr>
              <w:spacing w:line="360" w:lineRule="auto"/>
              <w:rPr>
                <w:rFonts w:hint="eastAsia" w:ascii="宋体" w:hAnsi="宋体"/>
                <w:b w:val="0"/>
                <w:bCs/>
                <w:color w:val="000000" w:themeColor="text1"/>
                <w:highlight w:val="none"/>
                <w:lang w:val="en-US" w:eastAsia="zh-CN"/>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4.无相关描述不得分。</w:t>
            </w:r>
          </w:p>
        </w:tc>
      </w:tr>
      <w:tr>
        <w:tblPrEx>
          <w:shd w:val="clear" w:color="auto" w:fill="FFFFFF"/>
          <w:tblCellMar>
            <w:top w:w="0" w:type="dxa"/>
            <w:left w:w="0" w:type="dxa"/>
            <w:bottom w:w="0" w:type="dxa"/>
            <w:right w:w="0" w:type="dxa"/>
          </w:tblCellMar>
        </w:tblPrEx>
        <w:trPr>
          <w:cantSplit/>
          <w:trHeight w:val="128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default" w:ascii="宋体" w:hAnsi="宋体"/>
                <w:b w:val="0"/>
                <w:bCs/>
                <w:color w:val="000000" w:themeColor="text1"/>
                <w:highlight w:val="none"/>
                <w:lang w:val="en-US" w:eastAsia="zh-CN"/>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3</w:t>
            </w:r>
          </w:p>
        </w:tc>
        <w:tc>
          <w:tcPr>
            <w:tcW w:w="15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应急预案</w:t>
            </w:r>
          </w:p>
        </w:tc>
        <w:tc>
          <w:tcPr>
            <w:tcW w:w="7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10</w:t>
            </w:r>
            <w:r>
              <w:rPr>
                <w:rFonts w:hint="eastAsia" w:ascii="宋体" w:hAnsi="宋体"/>
                <w:b w:val="0"/>
                <w:bCs/>
                <w:color w:val="000000" w:themeColor="text1"/>
                <w:highlight w:val="none"/>
                <w14:textFill>
                  <w14:solidFill>
                    <w14:schemeClr w14:val="tx1"/>
                  </w14:solidFill>
                </w14:textFill>
              </w:rPr>
              <w:t>分</w:t>
            </w:r>
          </w:p>
        </w:tc>
        <w:tc>
          <w:tcPr>
            <w:tcW w:w="62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根据</w:t>
            </w:r>
            <w:r>
              <w:rPr>
                <w:rFonts w:hint="eastAsia" w:ascii="宋体" w:hAnsi="宋体"/>
                <w:b w:val="0"/>
                <w:bCs/>
                <w:color w:val="000000" w:themeColor="text1"/>
                <w:highlight w:val="none"/>
                <w:lang w:eastAsia="zh-CN"/>
                <w14:textFill>
                  <w14:solidFill>
                    <w14:schemeClr w14:val="tx1"/>
                  </w14:solidFill>
                </w14:textFill>
              </w:rPr>
              <w:t>投标人</w:t>
            </w:r>
            <w:r>
              <w:rPr>
                <w:rFonts w:hint="eastAsia" w:ascii="宋体" w:hAnsi="宋体"/>
                <w:b w:val="0"/>
                <w:bCs/>
                <w:color w:val="000000" w:themeColor="text1"/>
                <w:highlight w:val="none"/>
                <w14:textFill>
                  <w14:solidFill>
                    <w14:schemeClr w14:val="tx1"/>
                  </w14:solidFill>
                </w14:textFill>
              </w:rPr>
              <w:t>提供的应急预案进行评审：</w:t>
            </w:r>
          </w:p>
          <w:p>
            <w:pPr>
              <w:spacing w:line="360" w:lineRule="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1.</w:t>
            </w:r>
            <w:r>
              <w:rPr>
                <w:rFonts w:hint="eastAsia" w:ascii="宋体" w:hAnsi="宋体"/>
                <w:b w:val="0"/>
                <w:bCs/>
                <w:color w:val="000000" w:themeColor="text1"/>
                <w:highlight w:val="none"/>
                <w:lang w:eastAsia="zh-CN"/>
                <w14:textFill>
                  <w14:solidFill>
                    <w14:schemeClr w14:val="tx1"/>
                  </w14:solidFill>
                </w14:textFill>
              </w:rPr>
              <w:t>投标人</w:t>
            </w:r>
            <w:r>
              <w:rPr>
                <w:rFonts w:hint="eastAsia" w:ascii="宋体" w:hAnsi="宋体"/>
                <w:b w:val="0"/>
                <w:bCs/>
                <w:color w:val="000000" w:themeColor="text1"/>
                <w:highlight w:val="none"/>
                <w14:textFill>
                  <w14:solidFill>
                    <w14:schemeClr w14:val="tx1"/>
                  </w14:solidFill>
                </w14:textFill>
              </w:rPr>
              <w:t>提供的应急预案清晰合理可行，可操作性强，得</w:t>
            </w:r>
            <w:r>
              <w:rPr>
                <w:rFonts w:hint="eastAsia" w:ascii="宋体" w:hAnsi="宋体"/>
                <w:b w:val="0"/>
                <w:bCs/>
                <w:color w:val="000000" w:themeColor="text1"/>
                <w:highlight w:val="none"/>
                <w:lang w:val="en-US" w:eastAsia="zh-CN"/>
                <w14:textFill>
                  <w14:solidFill>
                    <w14:schemeClr w14:val="tx1"/>
                  </w14:solidFill>
                </w14:textFill>
              </w:rPr>
              <w:t>10</w:t>
            </w:r>
            <w:r>
              <w:rPr>
                <w:rFonts w:hint="eastAsia" w:ascii="宋体" w:hAnsi="宋体"/>
                <w:b w:val="0"/>
                <w:bCs/>
                <w:color w:val="000000" w:themeColor="text1"/>
                <w:highlight w:val="none"/>
                <w14:textFill>
                  <w14:solidFill>
                    <w14:schemeClr w14:val="tx1"/>
                  </w14:solidFill>
                </w14:textFill>
              </w:rPr>
              <w:t>分；</w:t>
            </w:r>
          </w:p>
          <w:p>
            <w:pPr>
              <w:spacing w:line="360" w:lineRule="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2.</w:t>
            </w:r>
            <w:r>
              <w:rPr>
                <w:rFonts w:hint="eastAsia" w:ascii="宋体" w:hAnsi="宋体"/>
                <w:b w:val="0"/>
                <w:bCs/>
                <w:color w:val="000000" w:themeColor="text1"/>
                <w:highlight w:val="none"/>
                <w:lang w:eastAsia="zh-CN"/>
                <w14:textFill>
                  <w14:solidFill>
                    <w14:schemeClr w14:val="tx1"/>
                  </w14:solidFill>
                </w14:textFill>
              </w:rPr>
              <w:t>投标人</w:t>
            </w:r>
            <w:r>
              <w:rPr>
                <w:rFonts w:hint="eastAsia" w:ascii="宋体" w:hAnsi="宋体"/>
                <w:b w:val="0"/>
                <w:bCs/>
                <w:color w:val="000000" w:themeColor="text1"/>
                <w:highlight w:val="none"/>
                <w14:textFill>
                  <w14:solidFill>
                    <w14:schemeClr w14:val="tx1"/>
                  </w14:solidFill>
                </w14:textFill>
              </w:rPr>
              <w:t>提供的应急预案较清晰合理可行，可操作性较强，得</w:t>
            </w:r>
            <w:r>
              <w:rPr>
                <w:rFonts w:hint="eastAsia" w:ascii="宋体" w:hAnsi="宋体"/>
                <w:b w:val="0"/>
                <w:bCs/>
                <w:color w:val="000000" w:themeColor="text1"/>
                <w:highlight w:val="none"/>
                <w:lang w:val="en-US" w:eastAsia="zh-CN"/>
                <w14:textFill>
                  <w14:solidFill>
                    <w14:schemeClr w14:val="tx1"/>
                  </w14:solidFill>
                </w14:textFill>
              </w:rPr>
              <w:t>6</w:t>
            </w:r>
            <w:r>
              <w:rPr>
                <w:rFonts w:hint="eastAsia" w:ascii="宋体" w:hAnsi="宋体"/>
                <w:b w:val="0"/>
                <w:bCs/>
                <w:color w:val="000000" w:themeColor="text1"/>
                <w:highlight w:val="none"/>
                <w14:textFill>
                  <w14:solidFill>
                    <w14:schemeClr w14:val="tx1"/>
                  </w14:solidFill>
                </w14:textFill>
              </w:rPr>
              <w:t>分；</w:t>
            </w:r>
          </w:p>
          <w:p>
            <w:pPr>
              <w:spacing w:line="360" w:lineRule="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3.</w:t>
            </w:r>
            <w:r>
              <w:rPr>
                <w:rFonts w:hint="eastAsia" w:ascii="宋体" w:hAnsi="宋体"/>
                <w:b w:val="0"/>
                <w:bCs/>
                <w:color w:val="000000" w:themeColor="text1"/>
                <w:highlight w:val="none"/>
                <w:lang w:eastAsia="zh-CN"/>
                <w14:textFill>
                  <w14:solidFill>
                    <w14:schemeClr w14:val="tx1"/>
                  </w14:solidFill>
                </w14:textFill>
              </w:rPr>
              <w:t>投标人</w:t>
            </w:r>
            <w:r>
              <w:rPr>
                <w:rFonts w:hint="eastAsia" w:ascii="宋体" w:hAnsi="宋体"/>
                <w:b w:val="0"/>
                <w:bCs/>
                <w:color w:val="000000" w:themeColor="text1"/>
                <w:highlight w:val="none"/>
                <w14:textFill>
                  <w14:solidFill>
                    <w14:schemeClr w14:val="tx1"/>
                  </w14:solidFill>
                </w14:textFill>
              </w:rPr>
              <w:t>提供的应急预案一般，得</w:t>
            </w:r>
            <w:r>
              <w:rPr>
                <w:rFonts w:hint="eastAsia" w:ascii="宋体" w:hAnsi="宋体"/>
                <w:b w:val="0"/>
                <w:bCs/>
                <w:color w:val="000000" w:themeColor="text1"/>
                <w:highlight w:val="none"/>
                <w:lang w:val="en-US" w:eastAsia="zh-CN"/>
                <w14:textFill>
                  <w14:solidFill>
                    <w14:schemeClr w14:val="tx1"/>
                  </w14:solidFill>
                </w14:textFill>
              </w:rPr>
              <w:t>4</w:t>
            </w:r>
            <w:r>
              <w:rPr>
                <w:rFonts w:hint="eastAsia" w:ascii="宋体" w:hAnsi="宋体"/>
                <w:b w:val="0"/>
                <w:bCs/>
                <w:color w:val="000000" w:themeColor="text1"/>
                <w:highlight w:val="none"/>
                <w14:textFill>
                  <w14:solidFill>
                    <w14:schemeClr w14:val="tx1"/>
                  </w14:solidFill>
                </w14:textFill>
              </w:rPr>
              <w:t>分；</w:t>
            </w:r>
          </w:p>
          <w:p>
            <w:pPr>
              <w:spacing w:line="360" w:lineRule="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4.</w:t>
            </w:r>
            <w:r>
              <w:rPr>
                <w:rFonts w:hint="eastAsia" w:ascii="宋体" w:hAnsi="宋体"/>
                <w:b w:val="0"/>
                <w:bCs/>
                <w:color w:val="000000" w:themeColor="text1"/>
                <w:highlight w:val="none"/>
                <w:lang w:eastAsia="zh-CN"/>
                <w14:textFill>
                  <w14:solidFill>
                    <w14:schemeClr w14:val="tx1"/>
                  </w14:solidFill>
                </w14:textFill>
              </w:rPr>
              <w:t>投标人</w:t>
            </w:r>
            <w:r>
              <w:rPr>
                <w:rFonts w:hint="eastAsia" w:ascii="宋体" w:hAnsi="宋体"/>
                <w:b w:val="0"/>
                <w:bCs/>
                <w:color w:val="000000" w:themeColor="text1"/>
                <w:highlight w:val="none"/>
                <w14:textFill>
                  <w14:solidFill>
                    <w14:schemeClr w14:val="tx1"/>
                  </w14:solidFill>
                </w14:textFill>
              </w:rPr>
              <w:t>提供的应急预案较差，得1分；</w:t>
            </w:r>
          </w:p>
          <w:p>
            <w:pPr>
              <w:spacing w:line="360" w:lineRule="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5</w:t>
            </w:r>
            <w:r>
              <w:rPr>
                <w:rFonts w:hint="eastAsia" w:ascii="宋体" w:hAnsi="宋体"/>
                <w:b w:val="0"/>
                <w:bCs/>
                <w:color w:val="000000" w:themeColor="text1"/>
                <w:highlight w:val="none"/>
                <w14:textFill>
                  <w14:solidFill>
                    <w14:schemeClr w14:val="tx1"/>
                  </w14:solidFill>
                </w14:textFill>
              </w:rPr>
              <w:t>.无相关描述不得分。</w:t>
            </w:r>
          </w:p>
        </w:tc>
      </w:tr>
      <w:tr>
        <w:tblPrEx>
          <w:shd w:val="clear" w:color="auto" w:fill="FFFFFF"/>
          <w:tblCellMar>
            <w:top w:w="0" w:type="dxa"/>
            <w:left w:w="0" w:type="dxa"/>
            <w:bottom w:w="0" w:type="dxa"/>
            <w:right w:w="0" w:type="dxa"/>
          </w:tblCellMar>
        </w:tblPrEx>
        <w:trPr>
          <w:cantSplit/>
          <w:trHeight w:val="436" w:hRule="atLeast"/>
          <w:jc w:val="center"/>
        </w:trPr>
        <w:tc>
          <w:tcPr>
            <w:tcW w:w="243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60" w:lineRule="auto"/>
              <w:jc w:val="center"/>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合计</w:t>
            </w:r>
          </w:p>
        </w:tc>
        <w:tc>
          <w:tcPr>
            <w:tcW w:w="7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40</w:t>
            </w:r>
            <w:r>
              <w:rPr>
                <w:rFonts w:hint="eastAsia" w:ascii="宋体" w:hAnsi="宋体"/>
                <w:b w:val="0"/>
                <w:bCs/>
                <w:color w:val="000000" w:themeColor="text1"/>
                <w:highlight w:val="none"/>
                <w14:textFill>
                  <w14:solidFill>
                    <w14:schemeClr w14:val="tx1"/>
                  </w14:solidFill>
                </w14:textFill>
              </w:rPr>
              <w:t>分</w:t>
            </w:r>
          </w:p>
        </w:tc>
        <w:tc>
          <w:tcPr>
            <w:tcW w:w="62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ascii="宋体" w:hAnsi="宋体"/>
                <w:b w:val="0"/>
                <w:bCs/>
                <w:color w:val="000000" w:themeColor="text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 </w:t>
            </w:r>
          </w:p>
        </w:tc>
      </w:tr>
    </w:tbl>
    <w:p>
      <w:pPr>
        <w:spacing w:line="360" w:lineRule="auto"/>
        <w:rPr>
          <w:rFonts w:ascii="宋体" w:hAnsi="宋体"/>
          <w:b/>
          <w:color w:val="000000" w:themeColor="text1"/>
          <w:highlight w:val="none"/>
          <w14:textFill>
            <w14:solidFill>
              <w14:schemeClr w14:val="tx1"/>
            </w14:solidFill>
          </w14:textFill>
        </w:rPr>
      </w:pPr>
    </w:p>
    <w:p>
      <w:pPr>
        <w:spacing w:line="360" w:lineRule="auto"/>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商务</w:t>
      </w:r>
      <w:r>
        <w:rPr>
          <w:rFonts w:hint="eastAsia" w:ascii="宋体" w:hAnsi="宋体"/>
          <w:b/>
          <w:color w:val="000000" w:themeColor="text1"/>
          <w:highlight w:val="none"/>
          <w14:textFill>
            <w14:solidFill>
              <w14:schemeClr w14:val="tx1"/>
            </w14:solidFill>
          </w14:textFill>
        </w:rPr>
        <w:t>评分细则</w:t>
      </w:r>
    </w:p>
    <w:tbl>
      <w:tblPr>
        <w:tblStyle w:val="52"/>
        <w:tblW w:w="9462"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546"/>
        <w:gridCol w:w="739"/>
        <w:gridCol w:w="6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12" w:type="dxa"/>
            <w:noWrap/>
            <w:vAlign w:val="center"/>
          </w:tcPr>
          <w:p>
            <w:pPr>
              <w:spacing w:line="360" w:lineRule="auto"/>
              <w:jc w:val="center"/>
              <w:rPr>
                <w:rFonts w:hint="eastAsia" w:ascii="宋体" w:hAnsi="宋体" w:cs="Times New Roman"/>
                <w:b/>
                <w:bCs w:val="0"/>
                <w:color w:val="000000" w:themeColor="text1"/>
                <w:highlight w:val="none"/>
                <w14:textFill>
                  <w14:solidFill>
                    <w14:schemeClr w14:val="tx1"/>
                  </w14:solidFill>
                </w14:textFill>
              </w:rPr>
            </w:pPr>
            <w:r>
              <w:rPr>
                <w:rFonts w:hint="eastAsia" w:ascii="宋体" w:hAnsi="宋体" w:cs="Times New Roman"/>
                <w:b/>
                <w:bCs w:val="0"/>
                <w:color w:val="000000" w:themeColor="text1"/>
                <w:highlight w:val="none"/>
                <w14:textFill>
                  <w14:solidFill>
                    <w14:schemeClr w14:val="tx1"/>
                  </w14:solidFill>
                </w14:textFill>
              </w:rPr>
              <w:t>序号</w:t>
            </w:r>
          </w:p>
        </w:tc>
        <w:tc>
          <w:tcPr>
            <w:tcW w:w="1546" w:type="dxa"/>
            <w:noWrap/>
            <w:vAlign w:val="center"/>
          </w:tcPr>
          <w:p>
            <w:pPr>
              <w:spacing w:line="360" w:lineRule="auto"/>
              <w:jc w:val="center"/>
              <w:rPr>
                <w:rFonts w:hint="eastAsia" w:ascii="宋体" w:hAnsi="宋体" w:cs="Times New Roman"/>
                <w:b/>
                <w:bCs w:val="0"/>
                <w:color w:val="000000" w:themeColor="text1"/>
                <w:highlight w:val="none"/>
                <w14:textFill>
                  <w14:solidFill>
                    <w14:schemeClr w14:val="tx1"/>
                  </w14:solidFill>
                </w14:textFill>
              </w:rPr>
            </w:pPr>
            <w:r>
              <w:rPr>
                <w:rFonts w:hint="eastAsia" w:ascii="宋体" w:hAnsi="宋体" w:cs="Times New Roman"/>
                <w:b/>
                <w:bCs w:val="0"/>
                <w:color w:val="000000" w:themeColor="text1"/>
                <w:highlight w:val="none"/>
                <w14:textFill>
                  <w14:solidFill>
                    <w14:schemeClr w14:val="tx1"/>
                  </w14:solidFill>
                </w14:textFill>
              </w:rPr>
              <w:t>评审内容</w:t>
            </w:r>
          </w:p>
        </w:tc>
        <w:tc>
          <w:tcPr>
            <w:tcW w:w="739" w:type="dxa"/>
            <w:noWrap/>
            <w:vAlign w:val="center"/>
          </w:tcPr>
          <w:p>
            <w:pPr>
              <w:spacing w:line="360" w:lineRule="auto"/>
              <w:jc w:val="center"/>
              <w:rPr>
                <w:rFonts w:hint="eastAsia" w:ascii="宋体" w:hAnsi="宋体" w:cs="Times New Roman"/>
                <w:b/>
                <w:bCs w:val="0"/>
                <w:color w:val="000000" w:themeColor="text1"/>
                <w:highlight w:val="none"/>
                <w14:textFill>
                  <w14:solidFill>
                    <w14:schemeClr w14:val="tx1"/>
                  </w14:solidFill>
                </w14:textFill>
              </w:rPr>
            </w:pPr>
            <w:r>
              <w:rPr>
                <w:rFonts w:hint="eastAsia" w:ascii="宋体" w:hAnsi="宋体" w:cs="Times New Roman"/>
                <w:b/>
                <w:bCs w:val="0"/>
                <w:color w:val="000000" w:themeColor="text1"/>
                <w:highlight w:val="none"/>
                <w14:textFill>
                  <w14:solidFill>
                    <w14:schemeClr w14:val="tx1"/>
                  </w14:solidFill>
                </w14:textFill>
              </w:rPr>
              <w:t>分值</w:t>
            </w:r>
          </w:p>
        </w:tc>
        <w:tc>
          <w:tcPr>
            <w:tcW w:w="6265" w:type="dxa"/>
            <w:noWrap/>
            <w:vAlign w:val="center"/>
          </w:tcPr>
          <w:p>
            <w:pPr>
              <w:spacing w:line="360" w:lineRule="auto"/>
              <w:jc w:val="center"/>
              <w:rPr>
                <w:rFonts w:hint="eastAsia" w:ascii="宋体" w:hAnsi="宋体" w:cs="Times New Roman"/>
                <w:b/>
                <w:bCs w:val="0"/>
                <w:color w:val="000000" w:themeColor="text1"/>
                <w:highlight w:val="none"/>
                <w14:textFill>
                  <w14:solidFill>
                    <w14:schemeClr w14:val="tx1"/>
                  </w14:solidFill>
                </w14:textFill>
              </w:rPr>
            </w:pPr>
            <w:r>
              <w:rPr>
                <w:rFonts w:hint="eastAsia" w:ascii="宋体" w:hAnsi="宋体" w:cs="Times New Roman"/>
                <w:b/>
                <w:bCs w:val="0"/>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912" w:type="dxa"/>
            <w:noWrap/>
            <w:vAlign w:val="center"/>
          </w:tcPr>
          <w:p>
            <w:pPr>
              <w:spacing w:line="360" w:lineRule="auto"/>
              <w:jc w:val="center"/>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1</w:t>
            </w:r>
          </w:p>
        </w:tc>
        <w:tc>
          <w:tcPr>
            <w:tcW w:w="1546" w:type="dxa"/>
            <w:noWrap/>
            <w:vAlign w:val="center"/>
          </w:tcPr>
          <w:p>
            <w:pPr>
              <w:spacing w:line="360" w:lineRule="auto"/>
              <w:jc w:val="center"/>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同类项目业绩情况</w:t>
            </w:r>
          </w:p>
        </w:tc>
        <w:tc>
          <w:tcPr>
            <w:tcW w:w="739" w:type="dxa"/>
            <w:noWrap/>
            <w:vAlign w:val="center"/>
          </w:tcPr>
          <w:p>
            <w:pPr>
              <w:spacing w:line="360" w:lineRule="auto"/>
              <w:jc w:val="center"/>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1</w:t>
            </w:r>
            <w:r>
              <w:rPr>
                <w:rFonts w:hint="eastAsia" w:ascii="宋体" w:hAnsi="宋体" w:cs="Times New Roman"/>
                <w:b w:val="0"/>
                <w:bCs/>
                <w:color w:val="000000" w:themeColor="text1"/>
                <w:highlight w:val="none"/>
                <w:lang w:val="en-US" w:eastAsia="zh-CN"/>
                <w14:textFill>
                  <w14:solidFill>
                    <w14:schemeClr w14:val="tx1"/>
                  </w14:solidFill>
                </w14:textFill>
              </w:rPr>
              <w:t>0</w:t>
            </w:r>
            <w:r>
              <w:rPr>
                <w:rFonts w:hint="eastAsia" w:ascii="宋体" w:hAnsi="宋体" w:cs="Times New Roman"/>
                <w:b w:val="0"/>
                <w:bCs/>
                <w:color w:val="000000" w:themeColor="text1"/>
                <w:highlight w:val="none"/>
                <w14:textFill>
                  <w14:solidFill>
                    <w14:schemeClr w14:val="tx1"/>
                  </w14:solidFill>
                </w14:textFill>
              </w:rPr>
              <w:t>分</w:t>
            </w:r>
          </w:p>
        </w:tc>
        <w:tc>
          <w:tcPr>
            <w:tcW w:w="6265" w:type="dxa"/>
            <w:noWrap/>
            <w:vAlign w:val="center"/>
          </w:tcPr>
          <w:p>
            <w:pPr>
              <w:spacing w:line="360" w:lineRule="auto"/>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lang w:eastAsia="zh-CN"/>
                <w14:textFill>
                  <w14:solidFill>
                    <w14:schemeClr w14:val="tx1"/>
                  </w14:solidFill>
                </w14:textFill>
              </w:rPr>
              <w:t>投标人</w:t>
            </w:r>
            <w:r>
              <w:rPr>
                <w:rFonts w:hint="eastAsia" w:ascii="宋体" w:hAnsi="宋体" w:cs="Times New Roman"/>
                <w:b w:val="0"/>
                <w:bCs/>
                <w:color w:val="000000" w:themeColor="text1"/>
                <w:highlight w:val="none"/>
                <w14:textFill>
                  <w14:solidFill>
                    <w14:schemeClr w14:val="tx1"/>
                  </w14:solidFill>
                </w14:textFill>
              </w:rPr>
              <w:t>自2021年1月1日起至本项目投标截止时间止承接过的同类业绩（有效业绩的日期认定以签订合同的日期或中标（成交）通知书发出的时间为准），每提供一个业绩得2分，本项最高得</w:t>
            </w:r>
            <w:r>
              <w:rPr>
                <w:rFonts w:hint="eastAsia" w:ascii="宋体" w:hAnsi="宋体" w:cs="Times New Roman"/>
                <w:b w:val="0"/>
                <w:bCs/>
                <w:color w:val="000000" w:themeColor="text1"/>
                <w:highlight w:val="none"/>
                <w:lang w:val="en-US" w:eastAsia="zh-CN"/>
                <w14:textFill>
                  <w14:solidFill>
                    <w14:schemeClr w14:val="tx1"/>
                  </w14:solidFill>
                </w14:textFill>
              </w:rPr>
              <w:t>10</w:t>
            </w:r>
            <w:r>
              <w:rPr>
                <w:rFonts w:hint="eastAsia" w:ascii="宋体" w:hAnsi="宋体" w:cs="Times New Roman"/>
                <w:b w:val="0"/>
                <w:bCs/>
                <w:color w:val="000000" w:themeColor="text1"/>
                <w:highlight w:val="none"/>
                <w14:textFill>
                  <w14:solidFill>
                    <w14:schemeClr w14:val="tx1"/>
                  </w14:solidFill>
                </w14:textFill>
              </w:rPr>
              <w:t>分。</w:t>
            </w:r>
          </w:p>
          <w:p>
            <w:pPr>
              <w:spacing w:line="360" w:lineRule="auto"/>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bCs w:val="0"/>
                <w:color w:val="000000" w:themeColor="text1"/>
                <w:highlight w:val="none"/>
                <w:lang w:val="zh-CN"/>
                <w14:textFill>
                  <w14:solidFill>
                    <w14:schemeClr w14:val="tx1"/>
                  </w14:solidFill>
                </w14:textFill>
              </w:rPr>
              <w:t>注：</w:t>
            </w:r>
            <w:r>
              <w:rPr>
                <w:rFonts w:hint="eastAsia" w:ascii="宋体" w:hAnsi="宋体" w:cs="Times New Roman"/>
                <w:b/>
                <w:bCs w:val="0"/>
                <w:color w:val="000000" w:themeColor="text1"/>
                <w:highlight w:val="none"/>
                <w14:textFill>
                  <w14:solidFill>
                    <w14:schemeClr w14:val="tx1"/>
                  </w14:solidFill>
                </w14:textFill>
              </w:rPr>
              <w:t>须提供</w:t>
            </w:r>
            <w:r>
              <w:rPr>
                <w:rFonts w:hint="eastAsia" w:ascii="宋体" w:hAnsi="宋体" w:cs="Times New Roman"/>
                <w:b/>
                <w:bCs w:val="0"/>
                <w:color w:val="000000" w:themeColor="text1"/>
                <w:highlight w:val="none"/>
                <w:lang w:val="zh-CN"/>
                <w14:textFill>
                  <w14:solidFill>
                    <w14:schemeClr w14:val="tx1"/>
                  </w14:solidFill>
                </w14:textFill>
              </w:rPr>
              <w:t>合同关键页复印件</w:t>
            </w:r>
            <w:r>
              <w:rPr>
                <w:rFonts w:hint="eastAsia" w:ascii="宋体" w:hAnsi="宋体" w:cs="Times New Roman"/>
                <w:b/>
                <w:bCs w:val="0"/>
                <w:color w:val="000000" w:themeColor="text1"/>
                <w:highlight w:val="none"/>
                <w14:textFill>
                  <w14:solidFill>
                    <w14:schemeClr w14:val="tx1"/>
                  </w14:solidFill>
                </w14:textFill>
              </w:rPr>
              <w:t>和验收报告复印件</w:t>
            </w:r>
            <w:r>
              <w:rPr>
                <w:rFonts w:hint="eastAsia" w:ascii="宋体" w:hAnsi="宋体" w:cs="Times New Roman"/>
                <w:b/>
                <w:bCs w:val="0"/>
                <w:color w:val="000000" w:themeColor="text1"/>
                <w:highlight w:val="none"/>
                <w:lang w:val="zh-CN"/>
                <w14:textFill>
                  <w14:solidFill>
                    <w14:schemeClr w14:val="tx1"/>
                  </w14:solidFill>
                </w14:textFill>
              </w:rPr>
              <w:t>加盖公章，不提供</w:t>
            </w:r>
            <w:r>
              <w:rPr>
                <w:rFonts w:hint="eastAsia" w:ascii="宋体" w:hAnsi="宋体" w:cs="Times New Roman"/>
                <w:b/>
                <w:bCs w:val="0"/>
                <w:color w:val="000000" w:themeColor="text1"/>
                <w:highlight w:val="none"/>
                <w14:textFill>
                  <w14:solidFill>
                    <w14:schemeClr w14:val="tx1"/>
                  </w14:solidFill>
                </w14:textFill>
              </w:rPr>
              <w:t>或提供不全</w:t>
            </w:r>
            <w:r>
              <w:rPr>
                <w:rFonts w:hint="eastAsia" w:ascii="宋体" w:hAnsi="宋体" w:cs="Times New Roman"/>
                <w:b/>
                <w:bCs w:val="0"/>
                <w:color w:val="000000" w:themeColor="text1"/>
                <w:highlight w:val="none"/>
                <w:lang w:val="zh-CN"/>
                <w14:textFill>
                  <w14:solidFill>
                    <w14:schemeClr w14:val="tx1"/>
                  </w14:solidFill>
                </w14:textFill>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12" w:type="dxa"/>
            <w:noWrap/>
            <w:vAlign w:val="center"/>
          </w:tcPr>
          <w:p>
            <w:pPr>
              <w:spacing w:line="360" w:lineRule="auto"/>
              <w:jc w:val="center"/>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2</w:t>
            </w:r>
          </w:p>
        </w:tc>
        <w:tc>
          <w:tcPr>
            <w:tcW w:w="1546" w:type="dxa"/>
            <w:noWrap/>
            <w:vAlign w:val="center"/>
          </w:tcPr>
          <w:p>
            <w:pPr>
              <w:spacing w:line="360" w:lineRule="auto"/>
              <w:jc w:val="center"/>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科研能力</w:t>
            </w:r>
          </w:p>
        </w:tc>
        <w:tc>
          <w:tcPr>
            <w:tcW w:w="739" w:type="dxa"/>
            <w:noWrap/>
            <w:vAlign w:val="center"/>
          </w:tcPr>
          <w:p>
            <w:pPr>
              <w:spacing w:line="360" w:lineRule="auto"/>
              <w:jc w:val="center"/>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lang w:val="en-US" w:eastAsia="zh-CN"/>
                <w14:textFill>
                  <w14:solidFill>
                    <w14:schemeClr w14:val="tx1"/>
                  </w14:solidFill>
                </w14:textFill>
              </w:rPr>
              <w:t>6</w:t>
            </w:r>
            <w:r>
              <w:rPr>
                <w:rFonts w:hint="eastAsia" w:ascii="宋体" w:hAnsi="宋体" w:cs="Times New Roman"/>
                <w:b w:val="0"/>
                <w:bCs/>
                <w:color w:val="000000" w:themeColor="text1"/>
                <w:highlight w:val="none"/>
                <w14:textFill>
                  <w14:solidFill>
                    <w14:schemeClr w14:val="tx1"/>
                  </w14:solidFill>
                </w14:textFill>
              </w:rPr>
              <w:t>分</w:t>
            </w:r>
          </w:p>
        </w:tc>
        <w:tc>
          <w:tcPr>
            <w:tcW w:w="6265" w:type="dxa"/>
            <w:noWrap/>
            <w:vAlign w:val="center"/>
          </w:tcPr>
          <w:p>
            <w:pPr>
              <w:spacing w:line="360" w:lineRule="auto"/>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lang w:eastAsia="zh-CN"/>
                <w14:textFill>
                  <w14:solidFill>
                    <w14:schemeClr w14:val="tx1"/>
                  </w14:solidFill>
                </w14:textFill>
              </w:rPr>
              <w:t>投标人</w:t>
            </w:r>
            <w:r>
              <w:rPr>
                <w:rFonts w:hint="eastAsia" w:ascii="宋体" w:hAnsi="宋体" w:cs="Times New Roman"/>
                <w:b w:val="0"/>
                <w:bCs/>
                <w:color w:val="000000" w:themeColor="text1"/>
                <w:highlight w:val="none"/>
                <w14:textFill>
                  <w14:solidFill>
                    <w14:schemeClr w14:val="tx1"/>
                  </w14:solidFill>
                </w14:textFill>
              </w:rPr>
              <w:t>在省级或以上专业研究所进行白蚁防治药物推广、项目协助，每提供一项得3分，最高得6分。</w:t>
            </w:r>
          </w:p>
          <w:p>
            <w:pPr>
              <w:spacing w:line="360" w:lineRule="auto"/>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bCs w:val="0"/>
                <w:color w:val="000000" w:themeColor="text1"/>
                <w:highlight w:val="none"/>
                <w:lang w:val="zh-CN"/>
                <w14:textFill>
                  <w14:solidFill>
                    <w14:schemeClr w14:val="tx1"/>
                  </w14:solidFill>
                </w14:textFill>
              </w:rPr>
              <w:t>注：</w:t>
            </w:r>
            <w:r>
              <w:rPr>
                <w:rFonts w:hint="eastAsia" w:ascii="宋体" w:hAnsi="宋体" w:cs="Times New Roman"/>
                <w:b/>
                <w:bCs w:val="0"/>
                <w:color w:val="000000" w:themeColor="text1"/>
                <w:highlight w:val="none"/>
                <w14:textFill>
                  <w14:solidFill>
                    <w14:schemeClr w14:val="tx1"/>
                  </w14:solidFill>
                </w14:textFill>
              </w:rPr>
              <w:t>须提供相关证明材料复印件</w:t>
            </w:r>
            <w:r>
              <w:rPr>
                <w:rFonts w:hint="eastAsia" w:ascii="宋体" w:hAnsi="宋体" w:cs="Times New Roman"/>
                <w:b/>
                <w:bCs w:val="0"/>
                <w:color w:val="000000" w:themeColor="text1"/>
                <w:highlight w:val="none"/>
                <w:lang w:val="zh-CN"/>
                <w14:textFill>
                  <w14:solidFill>
                    <w14:schemeClr w14:val="tx1"/>
                  </w14:solidFill>
                </w14:textFill>
              </w:rPr>
              <w:t>加盖公章，</w:t>
            </w:r>
            <w:r>
              <w:rPr>
                <w:rFonts w:hint="eastAsia" w:ascii="宋体" w:hAnsi="宋体" w:cs="Times New Roman"/>
                <w:b/>
                <w:bCs w:val="0"/>
                <w:color w:val="000000" w:themeColor="text1"/>
                <w:highlight w:val="none"/>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12" w:type="dxa"/>
            <w:noWrap/>
            <w:vAlign w:val="center"/>
          </w:tcPr>
          <w:p>
            <w:pPr>
              <w:spacing w:line="360" w:lineRule="auto"/>
              <w:jc w:val="center"/>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3</w:t>
            </w:r>
          </w:p>
        </w:tc>
        <w:tc>
          <w:tcPr>
            <w:tcW w:w="1546" w:type="dxa"/>
            <w:noWrap/>
            <w:vAlign w:val="center"/>
          </w:tcPr>
          <w:p>
            <w:pPr>
              <w:spacing w:line="360" w:lineRule="auto"/>
              <w:jc w:val="center"/>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培训能力</w:t>
            </w:r>
          </w:p>
        </w:tc>
        <w:tc>
          <w:tcPr>
            <w:tcW w:w="739" w:type="dxa"/>
            <w:noWrap/>
            <w:vAlign w:val="center"/>
          </w:tcPr>
          <w:p>
            <w:pPr>
              <w:spacing w:line="360" w:lineRule="auto"/>
              <w:jc w:val="center"/>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lang w:val="en-US" w:eastAsia="zh-CN"/>
                <w14:textFill>
                  <w14:solidFill>
                    <w14:schemeClr w14:val="tx1"/>
                  </w14:solidFill>
                </w14:textFill>
              </w:rPr>
              <w:t>8</w:t>
            </w:r>
            <w:r>
              <w:rPr>
                <w:rFonts w:hint="eastAsia" w:ascii="宋体" w:hAnsi="宋体" w:cs="Times New Roman"/>
                <w:b w:val="0"/>
                <w:bCs/>
                <w:color w:val="000000" w:themeColor="text1"/>
                <w:highlight w:val="none"/>
                <w14:textFill>
                  <w14:solidFill>
                    <w14:schemeClr w14:val="tx1"/>
                  </w14:solidFill>
                </w14:textFill>
              </w:rPr>
              <w:t>分</w:t>
            </w:r>
          </w:p>
        </w:tc>
        <w:tc>
          <w:tcPr>
            <w:tcW w:w="6265" w:type="dxa"/>
            <w:noWrap/>
            <w:vAlign w:val="center"/>
          </w:tcPr>
          <w:p>
            <w:pPr>
              <w:spacing w:line="360" w:lineRule="auto"/>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lang w:eastAsia="zh-CN"/>
                <w14:textFill>
                  <w14:solidFill>
                    <w14:schemeClr w14:val="tx1"/>
                  </w14:solidFill>
                </w14:textFill>
              </w:rPr>
              <w:t>投标人</w:t>
            </w:r>
            <w:r>
              <w:rPr>
                <w:rFonts w:hint="eastAsia" w:ascii="宋体" w:hAnsi="宋体" w:cs="Times New Roman"/>
                <w:b w:val="0"/>
                <w:bCs/>
                <w:color w:val="000000" w:themeColor="text1"/>
                <w:highlight w:val="none"/>
                <w14:textFill>
                  <w14:solidFill>
                    <w14:schemeClr w14:val="tx1"/>
                  </w14:solidFill>
                </w14:textFill>
              </w:rPr>
              <w:t>组织过白蚁防治项目培训课程或单位人员受邀参加过水利白蚁防治培训班课程进行讲解与授课，每提供一项得</w:t>
            </w:r>
            <w:r>
              <w:rPr>
                <w:rFonts w:hint="eastAsia" w:ascii="宋体" w:hAnsi="宋体" w:cs="Times New Roman"/>
                <w:b w:val="0"/>
                <w:bCs/>
                <w:color w:val="000000" w:themeColor="text1"/>
                <w:highlight w:val="none"/>
                <w:lang w:val="en-US" w:eastAsia="zh-CN"/>
                <w14:textFill>
                  <w14:solidFill>
                    <w14:schemeClr w14:val="tx1"/>
                  </w14:solidFill>
                </w14:textFill>
              </w:rPr>
              <w:t>2</w:t>
            </w:r>
            <w:r>
              <w:rPr>
                <w:rFonts w:hint="eastAsia" w:ascii="宋体" w:hAnsi="宋体" w:cs="Times New Roman"/>
                <w:b w:val="0"/>
                <w:bCs/>
                <w:color w:val="000000" w:themeColor="text1"/>
                <w:highlight w:val="none"/>
                <w14:textFill>
                  <w14:solidFill>
                    <w14:schemeClr w14:val="tx1"/>
                  </w14:solidFill>
                </w14:textFill>
              </w:rPr>
              <w:t>分，最高得</w:t>
            </w:r>
            <w:r>
              <w:rPr>
                <w:rFonts w:hint="eastAsia" w:ascii="宋体" w:hAnsi="宋体" w:cs="Times New Roman"/>
                <w:b w:val="0"/>
                <w:bCs/>
                <w:color w:val="000000" w:themeColor="text1"/>
                <w:highlight w:val="none"/>
                <w:lang w:val="en-US" w:eastAsia="zh-CN"/>
                <w14:textFill>
                  <w14:solidFill>
                    <w14:schemeClr w14:val="tx1"/>
                  </w14:solidFill>
                </w14:textFill>
              </w:rPr>
              <w:t>8</w:t>
            </w:r>
            <w:r>
              <w:rPr>
                <w:rFonts w:hint="eastAsia" w:ascii="宋体" w:hAnsi="宋体" w:cs="Times New Roman"/>
                <w:b w:val="0"/>
                <w:bCs/>
                <w:color w:val="000000" w:themeColor="text1"/>
                <w:highlight w:val="none"/>
                <w14:textFill>
                  <w14:solidFill>
                    <w14:schemeClr w14:val="tx1"/>
                  </w14:solidFill>
                </w14:textFill>
              </w:rPr>
              <w:t>分。</w:t>
            </w:r>
          </w:p>
          <w:p>
            <w:pPr>
              <w:spacing w:line="360" w:lineRule="auto"/>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bCs w:val="0"/>
                <w:color w:val="000000" w:themeColor="text1"/>
                <w:highlight w:val="none"/>
                <w:lang w:val="zh-CN"/>
                <w14:textFill>
                  <w14:solidFill>
                    <w14:schemeClr w14:val="tx1"/>
                  </w14:solidFill>
                </w14:textFill>
              </w:rPr>
              <w:t>注：</w:t>
            </w:r>
            <w:r>
              <w:rPr>
                <w:rFonts w:hint="eastAsia" w:ascii="宋体" w:hAnsi="宋体" w:cs="Times New Roman"/>
                <w:b/>
                <w:bCs w:val="0"/>
                <w:color w:val="000000" w:themeColor="text1"/>
                <w:highlight w:val="none"/>
                <w14:textFill>
                  <w14:solidFill>
                    <w14:schemeClr w14:val="tx1"/>
                  </w14:solidFill>
                </w14:textFill>
              </w:rPr>
              <w:t>须提供相关证明材料复印件</w:t>
            </w:r>
            <w:r>
              <w:rPr>
                <w:rFonts w:hint="eastAsia" w:ascii="宋体" w:hAnsi="宋体" w:cs="Times New Roman"/>
                <w:b/>
                <w:bCs w:val="0"/>
                <w:color w:val="000000" w:themeColor="text1"/>
                <w:highlight w:val="none"/>
                <w:lang w:val="zh-CN"/>
                <w14:textFill>
                  <w14:solidFill>
                    <w14:schemeClr w14:val="tx1"/>
                  </w14:solidFill>
                </w14:textFill>
              </w:rPr>
              <w:t>加盖公章，</w:t>
            </w:r>
            <w:r>
              <w:rPr>
                <w:rFonts w:hint="eastAsia" w:ascii="宋体" w:hAnsi="宋体" w:cs="Times New Roman"/>
                <w:b/>
                <w:bCs w:val="0"/>
                <w:color w:val="000000" w:themeColor="text1"/>
                <w:highlight w:val="none"/>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12" w:type="dxa"/>
            <w:noWrap/>
            <w:vAlign w:val="center"/>
          </w:tcPr>
          <w:p>
            <w:pPr>
              <w:spacing w:line="360" w:lineRule="auto"/>
              <w:jc w:val="center"/>
              <w:rPr>
                <w:rFonts w:hint="eastAsia" w:ascii="宋体" w:hAnsi="宋体" w:cs="Times New Roman"/>
                <w:b w:val="0"/>
                <w:bCs/>
                <w:color w:val="000000" w:themeColor="text1"/>
                <w:highlight w:val="none"/>
                <w:lang w:val="en-US" w:eastAsia="zh-CN"/>
                <w14:textFill>
                  <w14:solidFill>
                    <w14:schemeClr w14:val="tx1"/>
                  </w14:solidFill>
                </w14:textFill>
              </w:rPr>
            </w:pPr>
            <w:r>
              <w:rPr>
                <w:rFonts w:hint="eastAsia" w:ascii="宋体" w:hAnsi="宋体" w:cs="Times New Roman"/>
                <w:b w:val="0"/>
                <w:bCs/>
                <w:color w:val="000000" w:themeColor="text1"/>
                <w:highlight w:val="none"/>
                <w:lang w:val="en-US" w:eastAsia="zh-CN"/>
                <w14:textFill>
                  <w14:solidFill>
                    <w14:schemeClr w14:val="tx1"/>
                  </w14:solidFill>
                </w14:textFill>
              </w:rPr>
              <w:t>4</w:t>
            </w:r>
          </w:p>
        </w:tc>
        <w:tc>
          <w:tcPr>
            <w:tcW w:w="1546" w:type="dxa"/>
            <w:noWrap/>
            <w:vAlign w:val="center"/>
          </w:tcPr>
          <w:p>
            <w:pPr>
              <w:spacing w:line="360" w:lineRule="auto"/>
              <w:jc w:val="center"/>
              <w:rPr>
                <w:rFonts w:hint="eastAsia" w:ascii="宋体" w:hAnsi="宋体" w:cs="Times New Roman"/>
                <w:b w:val="0"/>
                <w:bCs/>
                <w:color w:val="000000" w:themeColor="text1"/>
                <w:highlight w:val="none"/>
                <w:lang w:val="en-US" w:eastAsia="zh-CN"/>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拟投入本项目负责人资格和经验情况</w:t>
            </w:r>
          </w:p>
        </w:tc>
        <w:tc>
          <w:tcPr>
            <w:tcW w:w="739" w:type="dxa"/>
            <w:noWrap/>
            <w:vAlign w:val="center"/>
          </w:tcPr>
          <w:p>
            <w:pPr>
              <w:spacing w:line="360" w:lineRule="auto"/>
              <w:jc w:val="center"/>
              <w:rPr>
                <w:rFonts w:hint="eastAsia" w:ascii="宋体" w:hAnsi="宋体" w:cs="Times New Roman"/>
                <w:b w:val="0"/>
                <w:bCs/>
                <w:color w:val="000000" w:themeColor="text1"/>
                <w:highlight w:val="none"/>
                <w:lang w:val="en-US" w:eastAsia="zh-CN"/>
                <w14:textFill>
                  <w14:solidFill>
                    <w14:schemeClr w14:val="tx1"/>
                  </w14:solidFill>
                </w14:textFill>
              </w:rPr>
            </w:pPr>
            <w:r>
              <w:rPr>
                <w:rFonts w:hint="eastAsia" w:ascii="宋体" w:hAnsi="宋体" w:cs="Times New Roman"/>
                <w:b w:val="0"/>
                <w:bCs/>
                <w:color w:val="000000" w:themeColor="text1"/>
                <w:highlight w:val="none"/>
                <w:lang w:val="en-US" w:eastAsia="zh-CN"/>
                <w14:textFill>
                  <w14:solidFill>
                    <w14:schemeClr w14:val="tx1"/>
                  </w14:solidFill>
                </w14:textFill>
              </w:rPr>
              <w:t>10</w:t>
            </w:r>
            <w:r>
              <w:rPr>
                <w:rFonts w:hint="eastAsia" w:ascii="宋体" w:hAnsi="宋体" w:cs="Times New Roman"/>
                <w:b w:val="0"/>
                <w:bCs/>
                <w:color w:val="000000" w:themeColor="text1"/>
                <w:highlight w:val="none"/>
                <w14:textFill>
                  <w14:solidFill>
                    <w14:schemeClr w14:val="tx1"/>
                  </w14:solidFill>
                </w14:textFill>
              </w:rPr>
              <w:t>分</w:t>
            </w:r>
          </w:p>
        </w:tc>
        <w:tc>
          <w:tcPr>
            <w:tcW w:w="6265" w:type="dxa"/>
            <w:noWrap/>
            <w:vAlign w:val="center"/>
          </w:tcPr>
          <w:p>
            <w:pPr>
              <w:spacing w:line="360" w:lineRule="auto"/>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1</w:t>
            </w:r>
            <w:r>
              <w:rPr>
                <w:rFonts w:hint="eastAsia" w:ascii="宋体" w:hAnsi="宋体" w:cs="Times New Roman"/>
                <w:b w:val="0"/>
                <w:bCs/>
                <w:color w:val="000000" w:themeColor="text1"/>
                <w:highlight w:val="none"/>
                <w:lang w:val="en-US" w:eastAsia="zh-CN"/>
                <w14:textFill>
                  <w14:solidFill>
                    <w14:schemeClr w14:val="tx1"/>
                  </w14:solidFill>
                </w14:textFill>
              </w:rPr>
              <w:t>.</w:t>
            </w:r>
            <w:r>
              <w:rPr>
                <w:rFonts w:hint="eastAsia" w:ascii="宋体" w:hAnsi="宋体" w:cs="Times New Roman"/>
                <w:b w:val="0"/>
                <w:bCs/>
                <w:color w:val="000000" w:themeColor="text1"/>
                <w:highlight w:val="none"/>
                <w14:textFill>
                  <w14:solidFill>
                    <w14:schemeClr w14:val="tx1"/>
                  </w14:solidFill>
                </w14:textFill>
              </w:rPr>
              <w:t>拟派本项目的项目负责人具有</w:t>
            </w:r>
            <w:r>
              <w:rPr>
                <w:rFonts w:hint="eastAsia" w:ascii="宋体" w:hAnsi="宋体" w:cs="Times New Roman"/>
                <w:b w:val="0"/>
                <w:bCs/>
                <w:color w:val="000000" w:themeColor="text1"/>
                <w:highlight w:val="none"/>
                <w:lang w:val="en-US" w:eastAsia="zh-CN"/>
                <w14:textFill>
                  <w14:solidFill>
                    <w14:schemeClr w14:val="tx1"/>
                  </w14:solidFill>
                </w14:textFill>
              </w:rPr>
              <w:t>水利技术管理工程师</w:t>
            </w:r>
            <w:r>
              <w:rPr>
                <w:rFonts w:hint="eastAsia" w:ascii="宋体" w:hAnsi="宋体" w:cs="Times New Roman"/>
                <w:b w:val="0"/>
                <w:bCs/>
                <w:color w:val="000000" w:themeColor="text1"/>
                <w:highlight w:val="none"/>
                <w14:textFill>
                  <w14:solidFill>
                    <w14:schemeClr w14:val="tx1"/>
                  </w14:solidFill>
                </w14:textFill>
              </w:rPr>
              <w:t>职业资格证书，得5分。</w:t>
            </w:r>
          </w:p>
          <w:p>
            <w:pPr>
              <w:spacing w:line="360" w:lineRule="auto"/>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2</w:t>
            </w:r>
            <w:r>
              <w:rPr>
                <w:rFonts w:hint="eastAsia" w:ascii="宋体" w:hAnsi="宋体" w:cs="Times New Roman"/>
                <w:b w:val="0"/>
                <w:bCs/>
                <w:color w:val="000000" w:themeColor="text1"/>
                <w:highlight w:val="none"/>
                <w:lang w:val="en-US" w:eastAsia="zh-CN"/>
                <w14:textFill>
                  <w14:solidFill>
                    <w14:schemeClr w14:val="tx1"/>
                  </w14:solidFill>
                </w14:textFill>
              </w:rPr>
              <w:t>.</w:t>
            </w:r>
            <w:r>
              <w:rPr>
                <w:rFonts w:hint="eastAsia" w:ascii="宋体" w:hAnsi="宋体" w:cs="Times New Roman"/>
                <w:b w:val="0"/>
                <w:bCs/>
                <w:color w:val="000000" w:themeColor="text1"/>
                <w:highlight w:val="none"/>
                <w14:textFill>
                  <w14:solidFill>
                    <w14:schemeClr w14:val="tx1"/>
                  </w14:solidFill>
                </w14:textFill>
              </w:rPr>
              <w:t>拟派本项目的技术负责人具有防治工职业技能职业资格证书或参加过白蚁防治</w:t>
            </w:r>
            <w:r>
              <w:rPr>
                <w:rFonts w:hint="eastAsia" w:ascii="宋体" w:hAnsi="宋体" w:cs="Times New Roman"/>
                <w:b w:val="0"/>
                <w:bCs/>
                <w:color w:val="000000" w:themeColor="text1"/>
                <w:highlight w:val="none"/>
                <w:lang w:val="en-US" w:eastAsia="zh-CN"/>
                <w14:textFill>
                  <w14:solidFill>
                    <w14:schemeClr w14:val="tx1"/>
                  </w14:solidFill>
                </w14:textFill>
              </w:rPr>
              <w:t>专业人员岗位</w:t>
            </w:r>
            <w:r>
              <w:rPr>
                <w:rFonts w:hint="eastAsia" w:ascii="宋体" w:hAnsi="宋体" w:cs="Times New Roman"/>
                <w:b w:val="0"/>
                <w:bCs/>
                <w:color w:val="000000" w:themeColor="text1"/>
                <w:highlight w:val="none"/>
                <w14:textFill>
                  <w14:solidFill>
                    <w14:schemeClr w14:val="tx1"/>
                  </w14:solidFill>
                </w14:textFill>
              </w:rPr>
              <w:t>培训</w:t>
            </w:r>
            <w:r>
              <w:rPr>
                <w:rFonts w:hint="eastAsia" w:ascii="宋体" w:hAnsi="宋体" w:cs="Times New Roman"/>
                <w:b w:val="0"/>
                <w:bCs/>
                <w:color w:val="000000" w:themeColor="text1"/>
                <w:highlight w:val="none"/>
                <w:lang w:val="en-US" w:eastAsia="zh-CN"/>
                <w14:textFill>
                  <w14:solidFill>
                    <w14:schemeClr w14:val="tx1"/>
                  </w14:solidFill>
                </w14:textFill>
              </w:rPr>
              <w:t>班合格</w:t>
            </w:r>
            <w:r>
              <w:rPr>
                <w:rFonts w:hint="eastAsia" w:ascii="宋体" w:hAnsi="宋体" w:cs="Times New Roman"/>
                <w:b w:val="0"/>
                <w:bCs/>
                <w:color w:val="000000" w:themeColor="text1"/>
                <w:highlight w:val="none"/>
                <w14:textFill>
                  <w14:solidFill>
                    <w14:schemeClr w14:val="tx1"/>
                  </w14:solidFill>
                </w14:textFill>
              </w:rPr>
              <w:t>证书</w:t>
            </w:r>
            <w:r>
              <w:rPr>
                <w:rFonts w:hint="eastAsia" w:ascii="宋体" w:hAnsi="宋体" w:cs="Times New Roman"/>
                <w:b w:val="0"/>
                <w:bCs/>
                <w:color w:val="000000" w:themeColor="text1"/>
                <w:highlight w:val="none"/>
                <w:lang w:val="en-US" w:eastAsia="zh-CN"/>
                <w14:textFill>
                  <w14:solidFill>
                    <w14:schemeClr w14:val="tx1"/>
                  </w14:solidFill>
                </w14:textFill>
              </w:rPr>
              <w:t>或白蚁防治生物药物检测师职业培训合格证书的</w:t>
            </w:r>
            <w:r>
              <w:rPr>
                <w:rFonts w:hint="eastAsia" w:ascii="宋体" w:hAnsi="宋体" w:cs="Times New Roman"/>
                <w:b w:val="0"/>
                <w:bCs/>
                <w:color w:val="000000" w:themeColor="text1"/>
                <w:highlight w:val="none"/>
                <w14:textFill>
                  <w14:solidFill>
                    <w14:schemeClr w14:val="tx1"/>
                  </w14:solidFill>
                </w14:textFill>
              </w:rPr>
              <w:t>，得5分。</w:t>
            </w:r>
          </w:p>
          <w:p>
            <w:pPr>
              <w:spacing w:line="360" w:lineRule="auto"/>
              <w:rPr>
                <w:rFonts w:hint="eastAsia" w:ascii="宋体" w:hAnsi="宋体" w:cs="Times New Roman"/>
                <w:b w:val="0"/>
                <w:bCs/>
                <w:color w:val="000000" w:themeColor="text1"/>
                <w:highlight w:val="none"/>
                <w:lang w:val="zh-CN" w:eastAsia="zh-CN"/>
                <w14:textFill>
                  <w14:solidFill>
                    <w14:schemeClr w14:val="tx1"/>
                  </w14:solidFill>
                </w14:textFill>
              </w:rPr>
            </w:pPr>
            <w:r>
              <w:rPr>
                <w:rFonts w:hint="eastAsia" w:ascii="宋体" w:hAnsi="宋体" w:cs="Times New Roman"/>
                <w:b/>
                <w:bCs w:val="0"/>
                <w:color w:val="000000" w:themeColor="text1"/>
                <w:highlight w:val="none"/>
                <w14:textFill>
                  <w14:solidFill>
                    <w14:schemeClr w14:val="tx1"/>
                  </w14:solidFill>
                </w14:textFill>
              </w:rPr>
              <w:t>注：须提供有效的证书复印件和在</w:t>
            </w:r>
            <w:r>
              <w:rPr>
                <w:rFonts w:hint="eastAsia" w:ascii="宋体" w:hAnsi="宋体" w:cs="Times New Roman"/>
                <w:b/>
                <w:bCs w:val="0"/>
                <w:color w:val="000000" w:themeColor="text1"/>
                <w:highlight w:val="none"/>
                <w:lang w:val="en-US" w:eastAsia="zh-CN"/>
                <w14:textFill>
                  <w14:solidFill>
                    <w14:schemeClr w14:val="tx1"/>
                  </w14:solidFill>
                </w14:textFill>
              </w:rPr>
              <w:t>响应</w:t>
            </w:r>
            <w:r>
              <w:rPr>
                <w:rFonts w:hint="eastAsia" w:ascii="宋体" w:hAnsi="宋体" w:cs="Times New Roman"/>
                <w:b/>
                <w:bCs w:val="0"/>
                <w:color w:val="000000" w:themeColor="text1"/>
                <w:highlight w:val="none"/>
                <w14:textFill>
                  <w14:solidFill>
                    <w14:schemeClr w14:val="tx1"/>
                  </w14:solidFill>
                </w14:textFill>
              </w:rPr>
              <w:t>单位任职的外部证明材料(加盖社保机构或税务部门印章的打印日期在本项目投标截止日前六个月任意一个月的《投保单》或《社会保险参保人员缴费证明》的复印件加盖</w:t>
            </w:r>
            <w:r>
              <w:rPr>
                <w:rFonts w:hint="eastAsia" w:ascii="宋体" w:hAnsi="宋体" w:cs="Times New Roman"/>
                <w:b/>
                <w:bCs w:val="0"/>
                <w:color w:val="000000" w:themeColor="text1"/>
                <w:highlight w:val="none"/>
                <w:lang w:eastAsia="zh-CN"/>
                <w14:textFill>
                  <w14:solidFill>
                    <w14:schemeClr w14:val="tx1"/>
                  </w14:solidFill>
                </w14:textFill>
              </w:rPr>
              <w:t>投标人</w:t>
            </w:r>
            <w:r>
              <w:rPr>
                <w:rFonts w:hint="eastAsia" w:ascii="宋体" w:hAnsi="宋体" w:cs="Times New Roman"/>
                <w:b/>
                <w:bCs w:val="0"/>
                <w:color w:val="000000" w:themeColor="text1"/>
                <w:highlight w:val="none"/>
                <w14:textFill>
                  <w14:solidFill>
                    <w14:schemeClr w14:val="tx1"/>
                  </w14:solidFill>
                </w14:textFill>
              </w:rPr>
              <w:t>公章）作为评审依据，不提供或提供资料不齐全不得分。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12" w:type="dxa"/>
            <w:noWrap/>
            <w:vAlign w:val="center"/>
          </w:tcPr>
          <w:p>
            <w:pPr>
              <w:spacing w:line="360" w:lineRule="auto"/>
              <w:jc w:val="center"/>
              <w:rPr>
                <w:rFonts w:hint="eastAsia" w:ascii="宋体" w:hAnsi="宋体" w:cs="Times New Roman"/>
                <w:b w:val="0"/>
                <w:bCs/>
                <w:color w:val="000000" w:themeColor="text1"/>
                <w:highlight w:val="none"/>
                <w:lang w:val="en-US" w:eastAsia="zh-CN"/>
                <w14:textFill>
                  <w14:solidFill>
                    <w14:schemeClr w14:val="tx1"/>
                  </w14:solidFill>
                </w14:textFill>
              </w:rPr>
            </w:pPr>
            <w:r>
              <w:rPr>
                <w:rFonts w:hint="eastAsia" w:ascii="宋体" w:hAnsi="宋体" w:cs="Times New Roman"/>
                <w:b w:val="0"/>
                <w:bCs/>
                <w:color w:val="000000" w:themeColor="text1"/>
                <w:highlight w:val="none"/>
                <w:lang w:val="en-US" w:eastAsia="zh-CN"/>
                <w14:textFill>
                  <w14:solidFill>
                    <w14:schemeClr w14:val="tx1"/>
                  </w14:solidFill>
                </w14:textFill>
              </w:rPr>
              <w:t>5</w:t>
            </w:r>
          </w:p>
        </w:tc>
        <w:tc>
          <w:tcPr>
            <w:tcW w:w="1546" w:type="dxa"/>
            <w:noWrap/>
            <w:vAlign w:val="center"/>
          </w:tcPr>
          <w:p>
            <w:pPr>
              <w:spacing w:line="360" w:lineRule="auto"/>
              <w:jc w:val="center"/>
              <w:rPr>
                <w:rFonts w:hint="eastAsia" w:ascii="宋体" w:hAnsi="宋体" w:cs="Times New Roman"/>
                <w:b w:val="0"/>
                <w:bCs/>
                <w:color w:val="000000" w:themeColor="text1"/>
                <w:highlight w:val="none"/>
                <w:lang w:val="en-US" w:eastAsia="zh-CN"/>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拟派本项目其他人员配备情况</w:t>
            </w:r>
            <w:r>
              <w:rPr>
                <w:rFonts w:hint="eastAsia" w:ascii="宋体" w:hAnsi="宋体" w:cs="Times New Roman"/>
                <w:b w:val="0"/>
                <w:bCs/>
                <w:color w:val="000000" w:themeColor="text1"/>
                <w:highlight w:val="none"/>
                <w:lang w:val="en-US" w:eastAsia="zh-CN"/>
                <w14:textFill>
                  <w14:solidFill>
                    <w14:schemeClr w14:val="tx1"/>
                  </w14:solidFill>
                </w14:textFill>
              </w:rPr>
              <w:t>（除项目负责人及技术负责人外）</w:t>
            </w:r>
          </w:p>
        </w:tc>
        <w:tc>
          <w:tcPr>
            <w:tcW w:w="739" w:type="dxa"/>
            <w:noWrap/>
            <w:vAlign w:val="center"/>
          </w:tcPr>
          <w:p>
            <w:pPr>
              <w:spacing w:line="360" w:lineRule="auto"/>
              <w:jc w:val="center"/>
              <w:rPr>
                <w:rFonts w:hint="eastAsia" w:ascii="宋体" w:hAnsi="宋体" w:cs="Times New Roman"/>
                <w:b w:val="0"/>
                <w:bCs/>
                <w:color w:val="000000" w:themeColor="text1"/>
                <w:highlight w:val="none"/>
                <w:lang w:val="en-US" w:eastAsia="zh-CN"/>
                <w14:textFill>
                  <w14:solidFill>
                    <w14:schemeClr w14:val="tx1"/>
                  </w14:solidFill>
                </w14:textFill>
              </w:rPr>
            </w:pPr>
            <w:r>
              <w:rPr>
                <w:rFonts w:hint="eastAsia" w:ascii="宋体" w:hAnsi="宋体" w:cs="Times New Roman"/>
                <w:b w:val="0"/>
                <w:bCs/>
                <w:color w:val="000000" w:themeColor="text1"/>
                <w:highlight w:val="none"/>
                <w:lang w:val="en-US" w:eastAsia="zh-CN"/>
                <w14:textFill>
                  <w14:solidFill>
                    <w14:schemeClr w14:val="tx1"/>
                  </w14:solidFill>
                </w14:textFill>
              </w:rPr>
              <w:t>10</w:t>
            </w:r>
            <w:r>
              <w:rPr>
                <w:rFonts w:hint="eastAsia" w:ascii="宋体" w:hAnsi="宋体" w:cs="Times New Roman"/>
                <w:b w:val="0"/>
                <w:bCs/>
                <w:color w:val="000000" w:themeColor="text1"/>
                <w:highlight w:val="none"/>
                <w14:textFill>
                  <w14:solidFill>
                    <w14:schemeClr w14:val="tx1"/>
                  </w14:solidFill>
                </w14:textFill>
              </w:rPr>
              <w:t>分</w:t>
            </w:r>
          </w:p>
        </w:tc>
        <w:tc>
          <w:tcPr>
            <w:tcW w:w="6265" w:type="dxa"/>
            <w:noWrap/>
            <w:vAlign w:val="center"/>
          </w:tcPr>
          <w:p>
            <w:pPr>
              <w:spacing w:line="360" w:lineRule="auto"/>
              <w:rPr>
                <w:rFonts w:hint="eastAsia" w:ascii="宋体" w:hAnsi="宋体" w:cs="Times New Roman"/>
                <w:b w:val="0"/>
                <w:bCs/>
                <w:color w:val="000000" w:themeColor="text1"/>
                <w:highlight w:val="none"/>
                <w:lang w:eastAsia="zh-CN"/>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拟派本项目其他人员配备情况（除项目负责人及技术负责人外）</w:t>
            </w:r>
            <w:r>
              <w:rPr>
                <w:rFonts w:hint="eastAsia" w:ascii="宋体" w:hAnsi="宋体" w:cs="Times New Roman"/>
                <w:b w:val="0"/>
                <w:bCs/>
                <w:color w:val="000000" w:themeColor="text1"/>
                <w:highlight w:val="none"/>
                <w:lang w:eastAsia="zh-CN"/>
                <w14:textFill>
                  <w14:solidFill>
                    <w14:schemeClr w14:val="tx1"/>
                  </w14:solidFill>
                </w14:textFill>
              </w:rPr>
              <w:t>：</w:t>
            </w:r>
          </w:p>
          <w:p>
            <w:pPr>
              <w:spacing w:line="360" w:lineRule="auto"/>
              <w:rPr>
                <w:rFonts w:hint="eastAsia" w:ascii="宋体" w:hAnsi="宋体" w:cs="Times New Roman"/>
                <w:b w:val="0"/>
                <w:bCs/>
                <w:color w:val="000000" w:themeColor="text1"/>
                <w:highlight w:val="none"/>
                <w:lang w:val="en-US" w:eastAsia="zh-CN"/>
                <w14:textFill>
                  <w14:solidFill>
                    <w14:schemeClr w14:val="tx1"/>
                  </w14:solidFill>
                </w14:textFill>
              </w:rPr>
            </w:pPr>
            <w:r>
              <w:rPr>
                <w:rFonts w:hint="eastAsia" w:ascii="宋体" w:hAnsi="宋体" w:cs="Times New Roman"/>
                <w:b w:val="0"/>
                <w:bCs/>
                <w:color w:val="000000" w:themeColor="text1"/>
                <w:highlight w:val="none"/>
                <w:lang w:val="en-US" w:eastAsia="zh-CN"/>
                <w14:textFill>
                  <w14:solidFill>
                    <w14:schemeClr w14:val="tx1"/>
                  </w14:solidFill>
                </w14:textFill>
              </w:rPr>
              <w:t>具有防治工职业技能职业资格证书、白蚁防治专业人员岗位培训班合格证书、水利技术管理工程师职业资格证书、有害生物防治员、</w:t>
            </w:r>
          </w:p>
          <w:p>
            <w:pPr>
              <w:spacing w:line="360" w:lineRule="auto"/>
              <w:rPr>
                <w:rFonts w:hint="eastAsia" w:ascii="宋体" w:hAnsi="宋体" w:cs="Times New Roman"/>
                <w:b w:val="0"/>
                <w:bCs/>
                <w:color w:val="000000" w:themeColor="text1"/>
                <w:highlight w:val="none"/>
                <w:lang w:val="en-US" w:eastAsia="zh-CN"/>
                <w14:textFill>
                  <w14:solidFill>
                    <w14:schemeClr w14:val="tx1"/>
                  </w14:solidFill>
                </w14:textFill>
              </w:rPr>
            </w:pPr>
            <w:r>
              <w:rPr>
                <w:rFonts w:hint="eastAsia" w:ascii="宋体" w:hAnsi="宋体" w:cs="Times New Roman"/>
                <w:b w:val="0"/>
                <w:bCs/>
                <w:color w:val="000000" w:themeColor="text1"/>
                <w:highlight w:val="none"/>
                <w:lang w:val="en-US" w:eastAsia="zh-CN"/>
                <w14:textFill>
                  <w14:solidFill>
                    <w14:schemeClr w14:val="tx1"/>
                  </w14:solidFill>
                </w14:textFill>
              </w:rPr>
              <w:t>白蚁防治生物药物检测师职业培训合格证书、建筑工程白蚁防治师等，每一人提供一项证书得2分，同一人不重复计分，最高得10分。</w:t>
            </w:r>
          </w:p>
          <w:p>
            <w:pPr>
              <w:spacing w:line="360" w:lineRule="auto"/>
              <w:rPr>
                <w:rFonts w:hint="eastAsia" w:ascii="宋体" w:hAnsi="宋体" w:cs="Times New Roman"/>
                <w:b w:val="0"/>
                <w:bCs/>
                <w:color w:val="000000" w:themeColor="text1"/>
                <w:highlight w:val="none"/>
                <w:lang w:val="zh-CN" w:eastAsia="zh-CN"/>
                <w14:textFill>
                  <w14:solidFill>
                    <w14:schemeClr w14:val="tx1"/>
                  </w14:solidFill>
                </w14:textFill>
              </w:rPr>
            </w:pPr>
            <w:r>
              <w:rPr>
                <w:rFonts w:hint="eastAsia" w:ascii="宋体" w:hAnsi="宋体" w:cs="Times New Roman"/>
                <w:b/>
                <w:bCs w:val="0"/>
                <w:color w:val="000000" w:themeColor="text1"/>
                <w:highlight w:val="none"/>
                <w14:textFill>
                  <w14:solidFill>
                    <w14:schemeClr w14:val="tx1"/>
                  </w14:solidFill>
                </w14:textFill>
              </w:rPr>
              <w:t>注：须提供有效的证书复印件和在投标单位任职的外部证明材料(加盖社保机构或税务部门印章的打印日期在本项目投标截止日前六个月任意一个月的《投保单》或《社会保险参保人员缴费证明》的复印件加盖</w:t>
            </w:r>
            <w:r>
              <w:rPr>
                <w:rFonts w:hint="eastAsia" w:ascii="宋体" w:hAnsi="宋体" w:cs="Times New Roman"/>
                <w:b/>
                <w:bCs w:val="0"/>
                <w:color w:val="000000" w:themeColor="text1"/>
                <w:highlight w:val="none"/>
                <w:lang w:eastAsia="zh-CN"/>
                <w14:textFill>
                  <w14:solidFill>
                    <w14:schemeClr w14:val="tx1"/>
                  </w14:solidFill>
                </w14:textFill>
              </w:rPr>
              <w:t>投标人</w:t>
            </w:r>
            <w:r>
              <w:rPr>
                <w:rFonts w:hint="eastAsia" w:ascii="宋体" w:hAnsi="宋体" w:cs="Times New Roman"/>
                <w:b/>
                <w:bCs w:val="0"/>
                <w:color w:val="000000" w:themeColor="text1"/>
                <w:highlight w:val="none"/>
                <w14:textFill>
                  <w14:solidFill>
                    <w14:schemeClr w14:val="tx1"/>
                  </w14:solidFill>
                </w14:textFill>
              </w:rPr>
              <w:t>公章）作为评审依据，不提供或提供资料不齐全不得分。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12" w:type="dxa"/>
            <w:noWrap/>
            <w:vAlign w:val="center"/>
          </w:tcPr>
          <w:p>
            <w:pPr>
              <w:spacing w:line="360" w:lineRule="auto"/>
              <w:jc w:val="center"/>
              <w:rPr>
                <w:rFonts w:hint="eastAsia" w:ascii="宋体" w:hAnsi="宋体" w:cs="Times New Roman"/>
                <w:b w:val="0"/>
                <w:bCs/>
                <w:color w:val="000000" w:themeColor="text1"/>
                <w:highlight w:val="none"/>
                <w:lang w:eastAsia="zh-CN"/>
                <w14:textFill>
                  <w14:solidFill>
                    <w14:schemeClr w14:val="tx1"/>
                  </w14:solidFill>
                </w14:textFill>
              </w:rPr>
            </w:pPr>
            <w:r>
              <w:rPr>
                <w:rFonts w:hint="eastAsia" w:ascii="宋体" w:hAnsi="宋体" w:cs="Times New Roman"/>
                <w:b w:val="0"/>
                <w:bCs/>
                <w:color w:val="000000" w:themeColor="text1"/>
                <w:highlight w:val="none"/>
                <w:lang w:val="en-US" w:eastAsia="zh-CN"/>
                <w14:textFill>
                  <w14:solidFill>
                    <w14:schemeClr w14:val="tx1"/>
                  </w14:solidFill>
                </w14:textFill>
              </w:rPr>
              <w:t>6</w:t>
            </w:r>
          </w:p>
        </w:tc>
        <w:tc>
          <w:tcPr>
            <w:tcW w:w="1546" w:type="dxa"/>
            <w:noWrap/>
            <w:vAlign w:val="center"/>
          </w:tcPr>
          <w:p>
            <w:pPr>
              <w:spacing w:line="360" w:lineRule="auto"/>
              <w:jc w:val="center"/>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管理体系认证</w:t>
            </w:r>
          </w:p>
        </w:tc>
        <w:tc>
          <w:tcPr>
            <w:tcW w:w="739" w:type="dxa"/>
            <w:noWrap/>
            <w:vAlign w:val="center"/>
          </w:tcPr>
          <w:p>
            <w:pPr>
              <w:spacing w:line="360" w:lineRule="auto"/>
              <w:jc w:val="center"/>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lang w:val="en-US" w:eastAsia="zh-CN"/>
                <w14:textFill>
                  <w14:solidFill>
                    <w14:schemeClr w14:val="tx1"/>
                  </w14:solidFill>
                </w14:textFill>
              </w:rPr>
              <w:t>3</w:t>
            </w:r>
            <w:r>
              <w:rPr>
                <w:rFonts w:hint="eastAsia" w:ascii="宋体" w:hAnsi="宋体" w:cs="Times New Roman"/>
                <w:b w:val="0"/>
                <w:bCs/>
                <w:color w:val="000000" w:themeColor="text1"/>
                <w:highlight w:val="none"/>
                <w14:textFill>
                  <w14:solidFill>
                    <w14:schemeClr w14:val="tx1"/>
                  </w14:solidFill>
                </w14:textFill>
              </w:rPr>
              <w:t>分</w:t>
            </w:r>
          </w:p>
        </w:tc>
        <w:tc>
          <w:tcPr>
            <w:tcW w:w="6265" w:type="dxa"/>
            <w:noWrap/>
            <w:vAlign w:val="center"/>
          </w:tcPr>
          <w:p>
            <w:pPr>
              <w:spacing w:line="360" w:lineRule="auto"/>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1.具有有效的ISO9001质量管理体系认证；</w:t>
            </w:r>
          </w:p>
          <w:p>
            <w:pPr>
              <w:spacing w:line="360" w:lineRule="auto"/>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2.具有有效的ISO14001环境管理体系认证；</w:t>
            </w:r>
          </w:p>
          <w:p>
            <w:pPr>
              <w:spacing w:line="360" w:lineRule="auto"/>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3.具有有效的OHSAS18001职业健康安全管理体系认证；</w:t>
            </w:r>
          </w:p>
          <w:p>
            <w:pPr>
              <w:spacing w:line="360" w:lineRule="auto"/>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每提供1项得</w:t>
            </w:r>
            <w:r>
              <w:rPr>
                <w:rFonts w:hint="eastAsia" w:ascii="宋体" w:hAnsi="宋体" w:cs="Times New Roman"/>
                <w:b w:val="0"/>
                <w:bCs/>
                <w:color w:val="000000" w:themeColor="text1"/>
                <w:highlight w:val="none"/>
                <w:lang w:val="en-US" w:eastAsia="zh-CN"/>
                <w14:textFill>
                  <w14:solidFill>
                    <w14:schemeClr w14:val="tx1"/>
                  </w14:solidFill>
                </w14:textFill>
              </w:rPr>
              <w:t>1</w:t>
            </w:r>
            <w:r>
              <w:rPr>
                <w:rFonts w:hint="eastAsia" w:ascii="宋体" w:hAnsi="宋体" w:cs="Times New Roman"/>
                <w:b w:val="0"/>
                <w:bCs/>
                <w:color w:val="000000" w:themeColor="text1"/>
                <w:highlight w:val="none"/>
                <w14:textFill>
                  <w14:solidFill>
                    <w14:schemeClr w14:val="tx1"/>
                  </w14:solidFill>
                </w14:textFill>
              </w:rPr>
              <w:t>分，最高得</w:t>
            </w:r>
            <w:r>
              <w:rPr>
                <w:rFonts w:hint="eastAsia" w:ascii="宋体" w:hAnsi="宋体" w:cs="Times New Roman"/>
                <w:b w:val="0"/>
                <w:bCs/>
                <w:color w:val="000000" w:themeColor="text1"/>
                <w:highlight w:val="none"/>
                <w:lang w:val="en-US" w:eastAsia="zh-CN"/>
                <w14:textFill>
                  <w14:solidFill>
                    <w14:schemeClr w14:val="tx1"/>
                  </w14:solidFill>
                </w14:textFill>
              </w:rPr>
              <w:t>3</w:t>
            </w:r>
            <w:r>
              <w:rPr>
                <w:rFonts w:hint="eastAsia" w:ascii="宋体" w:hAnsi="宋体" w:cs="Times New Roman"/>
                <w:b w:val="0"/>
                <w:bCs/>
                <w:color w:val="000000" w:themeColor="text1"/>
                <w:highlight w:val="none"/>
                <w14:textFill>
                  <w14:solidFill>
                    <w14:schemeClr w14:val="tx1"/>
                  </w14:solidFill>
                </w14:textFill>
              </w:rPr>
              <w:t>分</w:t>
            </w:r>
            <w:r>
              <w:rPr>
                <w:rFonts w:hint="eastAsia" w:ascii="宋体" w:hAnsi="宋体" w:cs="Times New Roman"/>
                <w:b w:val="0"/>
                <w:bCs/>
                <w:color w:val="000000" w:themeColor="text1"/>
                <w:highlight w:val="none"/>
                <w:lang w:val="zh-CN"/>
                <w14:textFill>
                  <w14:solidFill>
                    <w14:schemeClr w14:val="tx1"/>
                  </w14:solidFill>
                </w14:textFill>
              </w:rPr>
              <w:t>，</w:t>
            </w:r>
            <w:r>
              <w:rPr>
                <w:rFonts w:hint="eastAsia" w:ascii="宋体" w:hAnsi="宋体" w:cs="Times New Roman"/>
                <w:b w:val="0"/>
                <w:bCs/>
                <w:color w:val="000000" w:themeColor="text1"/>
                <w:highlight w:val="none"/>
                <w14:textFill>
                  <w14:solidFill>
                    <w14:schemeClr w14:val="tx1"/>
                  </w14:solidFill>
                </w14:textFill>
              </w:rPr>
              <w:t>不提供不得分。</w:t>
            </w:r>
          </w:p>
          <w:p>
            <w:pPr>
              <w:spacing w:line="360" w:lineRule="auto"/>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bCs w:val="0"/>
                <w:color w:val="000000" w:themeColor="text1"/>
                <w:highlight w:val="none"/>
                <w14:textFill>
                  <w14:solidFill>
                    <w14:schemeClr w14:val="tx1"/>
                  </w14:solidFill>
                </w14:textFill>
              </w:rPr>
              <w:t>注：须提供证书复印件加盖公章，不提供不得分。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12" w:type="dxa"/>
            <w:noWrap/>
            <w:vAlign w:val="center"/>
          </w:tcPr>
          <w:p>
            <w:pPr>
              <w:spacing w:line="360" w:lineRule="auto"/>
              <w:jc w:val="center"/>
              <w:rPr>
                <w:rFonts w:hint="eastAsia" w:ascii="宋体" w:hAnsi="宋体" w:cs="Times New Roman"/>
                <w:b w:val="0"/>
                <w:bCs/>
                <w:color w:val="000000" w:themeColor="text1"/>
                <w:highlight w:val="none"/>
                <w:lang w:eastAsia="zh-CN"/>
                <w14:textFill>
                  <w14:solidFill>
                    <w14:schemeClr w14:val="tx1"/>
                  </w14:solidFill>
                </w14:textFill>
              </w:rPr>
            </w:pPr>
            <w:r>
              <w:rPr>
                <w:rFonts w:hint="eastAsia" w:ascii="宋体" w:hAnsi="宋体" w:cs="Times New Roman"/>
                <w:b w:val="0"/>
                <w:bCs/>
                <w:color w:val="000000" w:themeColor="text1"/>
                <w:highlight w:val="none"/>
                <w:lang w:val="en-US" w:eastAsia="zh-CN"/>
                <w14:textFill>
                  <w14:solidFill>
                    <w14:schemeClr w14:val="tx1"/>
                  </w14:solidFill>
                </w14:textFill>
              </w:rPr>
              <w:t>7</w:t>
            </w:r>
          </w:p>
        </w:tc>
        <w:tc>
          <w:tcPr>
            <w:tcW w:w="1546" w:type="dxa"/>
            <w:noWrap/>
            <w:vAlign w:val="center"/>
          </w:tcPr>
          <w:p>
            <w:pPr>
              <w:spacing w:line="360" w:lineRule="auto"/>
              <w:jc w:val="center"/>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企业荣誉</w:t>
            </w:r>
          </w:p>
        </w:tc>
        <w:tc>
          <w:tcPr>
            <w:tcW w:w="739" w:type="dxa"/>
            <w:noWrap/>
            <w:vAlign w:val="center"/>
          </w:tcPr>
          <w:p>
            <w:pPr>
              <w:spacing w:line="360" w:lineRule="auto"/>
              <w:jc w:val="center"/>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lang w:val="en-US" w:eastAsia="zh-CN"/>
                <w14:textFill>
                  <w14:solidFill>
                    <w14:schemeClr w14:val="tx1"/>
                  </w14:solidFill>
                </w14:textFill>
              </w:rPr>
              <w:t>3</w:t>
            </w:r>
            <w:r>
              <w:rPr>
                <w:rFonts w:hint="eastAsia" w:ascii="宋体" w:hAnsi="宋体" w:cs="Times New Roman"/>
                <w:b w:val="0"/>
                <w:bCs/>
                <w:color w:val="000000" w:themeColor="text1"/>
                <w:highlight w:val="none"/>
                <w14:textFill>
                  <w14:solidFill>
                    <w14:schemeClr w14:val="tx1"/>
                  </w14:solidFill>
                </w14:textFill>
              </w:rPr>
              <w:t>分</w:t>
            </w:r>
          </w:p>
        </w:tc>
        <w:tc>
          <w:tcPr>
            <w:tcW w:w="6265" w:type="dxa"/>
            <w:noWrap/>
            <w:vAlign w:val="center"/>
          </w:tcPr>
          <w:p>
            <w:pPr>
              <w:spacing w:line="360" w:lineRule="auto"/>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1.具有广东省十佳有害生物防制单位的得</w:t>
            </w:r>
            <w:r>
              <w:rPr>
                <w:rFonts w:hint="eastAsia" w:ascii="宋体" w:hAnsi="宋体" w:cs="Times New Roman"/>
                <w:b w:val="0"/>
                <w:bCs/>
                <w:color w:val="000000" w:themeColor="text1"/>
                <w:highlight w:val="none"/>
                <w:lang w:val="en-US" w:eastAsia="zh-CN"/>
                <w14:textFill>
                  <w14:solidFill>
                    <w14:schemeClr w14:val="tx1"/>
                  </w14:solidFill>
                </w14:textFill>
              </w:rPr>
              <w:t>1</w:t>
            </w:r>
            <w:r>
              <w:rPr>
                <w:rFonts w:hint="eastAsia" w:ascii="宋体" w:hAnsi="宋体" w:cs="Times New Roman"/>
                <w:b w:val="0"/>
                <w:bCs/>
                <w:color w:val="000000" w:themeColor="text1"/>
                <w:highlight w:val="none"/>
                <w14:textFill>
                  <w14:solidFill>
                    <w14:schemeClr w14:val="tx1"/>
                  </w14:solidFill>
                </w14:textFill>
              </w:rPr>
              <w:t>分；</w:t>
            </w:r>
          </w:p>
          <w:p>
            <w:pPr>
              <w:spacing w:line="360" w:lineRule="auto"/>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2.具有中国质量信用企业的得</w:t>
            </w:r>
            <w:r>
              <w:rPr>
                <w:rFonts w:hint="eastAsia" w:ascii="宋体" w:hAnsi="宋体" w:cs="Times New Roman"/>
                <w:b w:val="0"/>
                <w:bCs/>
                <w:color w:val="000000" w:themeColor="text1"/>
                <w:highlight w:val="none"/>
                <w:lang w:val="en-US" w:eastAsia="zh-CN"/>
                <w14:textFill>
                  <w14:solidFill>
                    <w14:schemeClr w14:val="tx1"/>
                  </w14:solidFill>
                </w14:textFill>
              </w:rPr>
              <w:t>1</w:t>
            </w:r>
            <w:r>
              <w:rPr>
                <w:rFonts w:hint="eastAsia" w:ascii="宋体" w:hAnsi="宋体" w:cs="Times New Roman"/>
                <w:b w:val="0"/>
                <w:bCs/>
                <w:color w:val="000000" w:themeColor="text1"/>
                <w:highlight w:val="none"/>
                <w14:textFill>
                  <w14:solidFill>
                    <w14:schemeClr w14:val="tx1"/>
                  </w14:solidFill>
                </w14:textFill>
              </w:rPr>
              <w:t>分；</w:t>
            </w:r>
          </w:p>
          <w:p>
            <w:pPr>
              <w:spacing w:line="360" w:lineRule="auto"/>
              <w:rPr>
                <w:rFonts w:hint="eastAsia" w:ascii="宋体" w:hAnsi="宋体" w:cs="Times New Roman"/>
                <w:b w:val="0"/>
                <w:bCs/>
                <w:color w:val="000000" w:themeColor="text1"/>
                <w:highlight w:val="none"/>
                <w:lang w:val="en-US" w:eastAsia="zh-CN"/>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3.具有全国服务质量十佳优秀企业的得</w:t>
            </w:r>
            <w:r>
              <w:rPr>
                <w:rFonts w:hint="eastAsia" w:ascii="宋体" w:hAnsi="宋体" w:cs="Times New Roman"/>
                <w:b w:val="0"/>
                <w:bCs/>
                <w:color w:val="000000" w:themeColor="text1"/>
                <w:highlight w:val="none"/>
                <w:lang w:val="en-US" w:eastAsia="zh-CN"/>
                <w14:textFill>
                  <w14:solidFill>
                    <w14:schemeClr w14:val="tx1"/>
                  </w14:solidFill>
                </w14:textFill>
              </w:rPr>
              <w:t>1</w:t>
            </w:r>
            <w:r>
              <w:rPr>
                <w:rFonts w:hint="eastAsia" w:ascii="宋体" w:hAnsi="宋体" w:cs="Times New Roman"/>
                <w:b w:val="0"/>
                <w:bCs/>
                <w:color w:val="000000" w:themeColor="text1"/>
                <w:highlight w:val="none"/>
                <w14:textFill>
                  <w14:solidFill>
                    <w14:schemeClr w14:val="tx1"/>
                  </w14:solidFill>
                </w14:textFill>
              </w:rPr>
              <w:t>分；</w:t>
            </w:r>
          </w:p>
          <w:p>
            <w:pPr>
              <w:spacing w:line="360" w:lineRule="auto"/>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此项最高得</w:t>
            </w:r>
            <w:r>
              <w:rPr>
                <w:rFonts w:hint="eastAsia" w:ascii="宋体" w:hAnsi="宋体" w:cs="Times New Roman"/>
                <w:b w:val="0"/>
                <w:bCs/>
                <w:color w:val="000000" w:themeColor="text1"/>
                <w:highlight w:val="none"/>
                <w:lang w:val="en-US" w:eastAsia="zh-CN"/>
                <w14:textFill>
                  <w14:solidFill>
                    <w14:schemeClr w14:val="tx1"/>
                  </w14:solidFill>
                </w14:textFill>
              </w:rPr>
              <w:t>3</w:t>
            </w:r>
            <w:r>
              <w:rPr>
                <w:rFonts w:hint="eastAsia" w:ascii="宋体" w:hAnsi="宋体" w:cs="Times New Roman"/>
                <w:b w:val="0"/>
                <w:bCs/>
                <w:color w:val="000000" w:themeColor="text1"/>
                <w:highlight w:val="none"/>
                <w14:textFill>
                  <w14:solidFill>
                    <w14:schemeClr w14:val="tx1"/>
                  </w14:solidFill>
                </w14:textFill>
              </w:rPr>
              <w:t>分，不提供不得分。</w:t>
            </w:r>
          </w:p>
          <w:p>
            <w:pPr>
              <w:spacing w:line="360" w:lineRule="auto"/>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bCs w:val="0"/>
                <w:color w:val="000000" w:themeColor="text1"/>
                <w:highlight w:val="none"/>
                <w14:textFill>
                  <w14:solidFill>
                    <w14:schemeClr w14:val="tx1"/>
                  </w14:solidFill>
                </w14:textFill>
              </w:rPr>
              <w:t>注：须提供证书复印件加盖公章，不提供不得分。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458" w:type="dxa"/>
            <w:gridSpan w:val="2"/>
            <w:noWrap/>
            <w:vAlign w:val="center"/>
          </w:tcPr>
          <w:p>
            <w:pPr>
              <w:spacing w:line="360" w:lineRule="auto"/>
              <w:jc w:val="center"/>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14:textFill>
                  <w14:solidFill>
                    <w14:schemeClr w14:val="tx1"/>
                  </w14:solidFill>
                </w14:textFill>
              </w:rPr>
              <w:t>合计</w:t>
            </w:r>
          </w:p>
        </w:tc>
        <w:tc>
          <w:tcPr>
            <w:tcW w:w="739" w:type="dxa"/>
            <w:noWrap/>
            <w:vAlign w:val="center"/>
          </w:tcPr>
          <w:p>
            <w:pPr>
              <w:spacing w:line="360" w:lineRule="auto"/>
              <w:jc w:val="center"/>
              <w:rPr>
                <w:rFonts w:hint="eastAsia" w:ascii="宋体" w:hAnsi="宋体" w:cs="Times New Roman"/>
                <w:b w:val="0"/>
                <w:bCs/>
                <w:color w:val="000000" w:themeColor="text1"/>
                <w:highlight w:val="none"/>
                <w14:textFill>
                  <w14:solidFill>
                    <w14:schemeClr w14:val="tx1"/>
                  </w14:solidFill>
                </w14:textFill>
              </w:rPr>
            </w:pPr>
            <w:r>
              <w:rPr>
                <w:rFonts w:hint="eastAsia" w:ascii="宋体" w:hAnsi="宋体" w:cs="Times New Roman"/>
                <w:b w:val="0"/>
                <w:bCs/>
                <w:color w:val="000000" w:themeColor="text1"/>
                <w:highlight w:val="none"/>
                <w:lang w:val="en-US" w:eastAsia="zh-CN"/>
                <w14:textFill>
                  <w14:solidFill>
                    <w14:schemeClr w14:val="tx1"/>
                  </w14:solidFill>
                </w14:textFill>
              </w:rPr>
              <w:t>50</w:t>
            </w:r>
            <w:r>
              <w:rPr>
                <w:rFonts w:hint="eastAsia" w:ascii="宋体" w:hAnsi="宋体" w:cs="Times New Roman"/>
                <w:b w:val="0"/>
                <w:bCs/>
                <w:color w:val="000000" w:themeColor="text1"/>
                <w:highlight w:val="none"/>
                <w14:textFill>
                  <w14:solidFill>
                    <w14:schemeClr w14:val="tx1"/>
                  </w14:solidFill>
                </w14:textFill>
              </w:rPr>
              <w:t>分</w:t>
            </w:r>
          </w:p>
        </w:tc>
        <w:tc>
          <w:tcPr>
            <w:tcW w:w="6265" w:type="dxa"/>
            <w:noWrap/>
            <w:vAlign w:val="center"/>
          </w:tcPr>
          <w:p>
            <w:pPr>
              <w:spacing w:line="360" w:lineRule="auto"/>
              <w:rPr>
                <w:rFonts w:hint="eastAsia" w:ascii="宋体" w:hAnsi="宋体" w:cs="Times New Roman"/>
                <w:b w:val="0"/>
                <w:bCs/>
                <w:color w:val="000000" w:themeColor="text1"/>
                <w:highlight w:val="none"/>
                <w14:textFill>
                  <w14:solidFill>
                    <w14:schemeClr w14:val="tx1"/>
                  </w14:solidFill>
                </w14:textFill>
              </w:rPr>
            </w:pPr>
          </w:p>
        </w:tc>
      </w:tr>
    </w:tbl>
    <w:p>
      <w:pPr>
        <w:spacing w:line="360" w:lineRule="auto"/>
        <w:rPr>
          <w:rFonts w:hint="eastAsia" w:ascii="宋体" w:hAnsi="宋体" w:cs="Times New Roman"/>
          <w:b/>
          <w:color w:val="000000" w:themeColor="text1"/>
          <w:highlight w:val="none"/>
          <w14:textFill>
            <w14:solidFill>
              <w14:schemeClr w14:val="tx1"/>
            </w14:solidFill>
          </w14:textFill>
        </w:rPr>
      </w:pPr>
    </w:p>
    <w:p>
      <w:pPr>
        <w:spacing w:line="360" w:lineRule="auto"/>
        <w:rPr>
          <w:rFonts w:hint="eastAsia" w:ascii="宋体" w:hAnsi="宋体" w:cs="Times New Roman"/>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综合评分法中的价格分统一采用低价优先法计算，即满足招标文件要求</w:t>
      </w:r>
      <w:r>
        <w:rPr>
          <w:rFonts w:hint="eastAsia" w:ascii="宋体" w:hAnsi="宋体"/>
          <w:color w:val="000000" w:themeColor="text1"/>
          <w:highlight w:val="none"/>
          <w14:textFill>
            <w14:solidFill>
              <w14:schemeClr w14:val="tx1"/>
            </w14:solidFill>
          </w14:textFill>
        </w:rPr>
        <w:t>（通过资格性、符合性审查）</w:t>
      </w:r>
      <w:r>
        <w:rPr>
          <w:rFonts w:ascii="宋体" w:hAnsi="宋体"/>
          <w:color w:val="000000" w:themeColor="text1"/>
          <w:highlight w:val="none"/>
          <w14:textFill>
            <w14:solidFill>
              <w14:schemeClr w14:val="tx1"/>
            </w14:solidFill>
          </w14:textFill>
        </w:rPr>
        <w:t>且投标价格最低的</w:t>
      </w:r>
      <w:r>
        <w:rPr>
          <w:rFonts w:hint="eastAsia" w:ascii="宋体" w:hAnsi="宋体"/>
          <w:color w:val="000000" w:themeColor="text1"/>
          <w:highlight w:val="none"/>
          <w14:textFill>
            <w14:solidFill>
              <w14:schemeClr w14:val="tx1"/>
            </w14:solidFill>
          </w14:textFill>
        </w:rPr>
        <w:t>有效</w:t>
      </w:r>
      <w:r>
        <w:rPr>
          <w:rFonts w:ascii="宋体" w:hAnsi="宋体"/>
          <w:color w:val="000000" w:themeColor="text1"/>
          <w:highlight w:val="none"/>
          <w14:textFill>
            <w14:solidFill>
              <w14:schemeClr w14:val="tx1"/>
            </w14:solidFill>
          </w14:textFill>
        </w:rPr>
        <w:t>投标报价</w:t>
      </w:r>
      <w:r>
        <w:rPr>
          <w:rFonts w:hint="eastAsia" w:ascii="宋体" w:hAnsi="宋体"/>
          <w:color w:val="000000" w:themeColor="text1"/>
          <w:highlight w:val="none"/>
          <w14:textFill>
            <w14:solidFill>
              <w14:schemeClr w14:val="tx1"/>
            </w14:solidFill>
          </w14:textFill>
        </w:rPr>
        <w:t>（指价格核准后的价格，下同）</w:t>
      </w:r>
      <w:r>
        <w:rPr>
          <w:rFonts w:ascii="宋体" w:hAnsi="宋体"/>
          <w:color w:val="000000" w:themeColor="text1"/>
          <w:highlight w:val="none"/>
          <w14:textFill>
            <w14:solidFill>
              <w14:schemeClr w14:val="tx1"/>
            </w14:solidFill>
          </w14:textFill>
        </w:rPr>
        <w:t>为评标基准价，其价格分为满分。其他投标人的价格分统一按照下列公式计算：</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投标报价得分=(评标基准价/投标报价)×价格权值×100</w:t>
      </w:r>
    </w:p>
    <w:p>
      <w:pPr>
        <w:spacing w:line="360" w:lineRule="auto"/>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备注：投标报价得分四舍五入后，小数点后保留两位有效数</w:t>
      </w:r>
      <w:r>
        <w:rPr>
          <w:rFonts w:hint="eastAsia" w:ascii="宋体" w:hAnsi="宋体"/>
          <w:color w:val="000000" w:themeColor="text1"/>
          <w:highlight w:val="none"/>
          <w:lang w:eastAsia="zh-CN"/>
          <w14:textFill>
            <w14:solidFill>
              <w14:schemeClr w14:val="tx1"/>
            </w14:solidFill>
          </w14:textFill>
        </w:rPr>
        <w:t>。</w:t>
      </w:r>
    </w:p>
    <w:bookmarkEnd w:id="35"/>
    <w:p>
      <w:pPr>
        <w:spacing w:line="360" w:lineRule="auto"/>
        <w:jc w:val="center"/>
        <w:rPr>
          <w:rFonts w:ascii="宋体" w:hAnsi="宋体"/>
          <w:b/>
          <w:color w:val="000000" w:themeColor="text1"/>
          <w:highlight w:val="none"/>
          <w14:textFill>
            <w14:solidFill>
              <w14:schemeClr w14:val="tx1"/>
            </w14:solidFill>
          </w14:textFill>
        </w:rPr>
      </w:pPr>
      <w:bookmarkStart w:id="159" w:name="_Toc432682726"/>
      <w:bookmarkStart w:id="160" w:name="_Toc430771059"/>
      <w:bookmarkStart w:id="161" w:name="_Toc467236766"/>
      <w:bookmarkStart w:id="162" w:name="_Toc480010734"/>
      <w:bookmarkStart w:id="163" w:name="_Toc467987849"/>
      <w:bookmarkStart w:id="164" w:name="_Toc491658677"/>
      <w:bookmarkStart w:id="165" w:name="_Toc480020283"/>
      <w:bookmarkStart w:id="166" w:name="_Toc500861024"/>
      <w:bookmarkStart w:id="167" w:name="_Toc468157562"/>
      <w:bookmarkStart w:id="168" w:name="_Toc479991608"/>
      <w:bookmarkStart w:id="169" w:name="_Toc480021079"/>
      <w:bookmarkStart w:id="170" w:name="_Toc468606055"/>
      <w:bookmarkStart w:id="171" w:name="_Toc500861027"/>
      <w:bookmarkStart w:id="172" w:name="_Toc26066260"/>
      <w:bookmarkStart w:id="173" w:name="_Toc6397151"/>
      <w:bookmarkStart w:id="174" w:name="_Toc6727972"/>
      <w:bookmarkStart w:id="175" w:name="_Toc491658680"/>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highlight w:val="none"/>
          <w14:textFill>
            <w14:solidFill>
              <w14:schemeClr w14:val="tx1"/>
            </w14:solidFill>
          </w14:textFill>
        </w:rPr>
      </w:pPr>
    </w:p>
    <w:bookmarkEnd w:id="159"/>
    <w:bookmarkEnd w:id="160"/>
    <w:p>
      <w:pPr>
        <w:rPr>
          <w:rFonts w:hint="eastAsia"/>
          <w:color w:val="000000" w:themeColor="text1"/>
          <w:sz w:val="24"/>
          <w:highlight w:val="none"/>
          <w14:textFill>
            <w14:solidFill>
              <w14:schemeClr w14:val="tx1"/>
            </w14:solidFill>
          </w14:textFill>
        </w:rPr>
      </w:pPr>
      <w:bookmarkStart w:id="176" w:name="_Toc500843104"/>
      <w:bookmarkStart w:id="177" w:name="_Toc430185803"/>
      <w:bookmarkStart w:id="178" w:name="_Toc430771060"/>
      <w:r>
        <w:rPr>
          <w:rFonts w:hint="eastAsia"/>
          <w:color w:val="000000" w:themeColor="text1"/>
          <w:sz w:val="24"/>
          <w:highlight w:val="none"/>
          <w14:textFill>
            <w14:solidFill>
              <w14:schemeClr w14:val="tx1"/>
            </w14:solidFill>
          </w14:textFill>
        </w:rPr>
        <w:br w:type="page"/>
      </w:r>
    </w:p>
    <w:p>
      <w:pPr>
        <w:pStyle w:val="4"/>
        <w:numPr>
          <w:ilvl w:val="0"/>
          <w:numId w:val="0"/>
        </w:numPr>
        <w:rPr>
          <w:color w:val="000000" w:themeColor="text1"/>
          <w:sz w:val="24"/>
          <w:highlight w:val="none"/>
          <w14:textFill>
            <w14:solidFill>
              <w14:schemeClr w14:val="tx1"/>
            </w14:solidFill>
          </w14:textFill>
        </w:rPr>
      </w:pPr>
      <w:bookmarkStart w:id="179" w:name="_Toc30125"/>
      <w:r>
        <w:rPr>
          <w:rFonts w:hint="eastAsia"/>
          <w:color w:val="000000" w:themeColor="text1"/>
          <w:sz w:val="24"/>
          <w:highlight w:val="none"/>
          <w14:textFill>
            <w14:solidFill>
              <w14:schemeClr w14:val="tx1"/>
            </w14:solidFill>
          </w14:textFill>
        </w:rPr>
        <w:t>政府采购政策</w:t>
      </w:r>
      <w:bookmarkEnd w:id="176"/>
      <w:bookmarkEnd w:id="179"/>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7"/>
      <w:bookmarkEnd w:id="178"/>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pPr>
        <w:spacing w:line="360" w:lineRule="auto"/>
        <w:rPr>
          <w:rFonts w:ascii="宋体" w:hAnsi="宋体"/>
          <w:color w:val="000000" w:themeColor="text1"/>
          <w:highlight w:val="none"/>
          <w14:textFill>
            <w14:solidFill>
              <w14:schemeClr w14:val="tx1"/>
            </w14:solidFill>
          </w14:textFill>
        </w:rPr>
      </w:pPr>
      <w:bookmarkStart w:id="180" w:name="_Toc430771061"/>
      <w:bookmarkStart w:id="181" w:name="_Toc430185804"/>
      <w:r>
        <w:rPr>
          <w:rFonts w:hint="eastAsia" w:ascii="宋体" w:hAnsi="宋体"/>
          <w:color w:val="000000" w:themeColor="text1"/>
          <w:highlight w:val="none"/>
          <w14:textFill>
            <w14:solidFill>
              <w14:schemeClr w14:val="tx1"/>
            </w14:solidFill>
          </w14:textFill>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80"/>
      <w:bookmarkEnd w:id="181"/>
    </w:p>
    <w:p>
      <w:pPr>
        <w:spacing w:line="360" w:lineRule="auto"/>
        <w:rPr>
          <w:rFonts w:ascii="宋体" w:hAnsi="宋体"/>
          <w:color w:val="000000" w:themeColor="text1"/>
          <w:highlight w:val="none"/>
          <w14:textFill>
            <w14:solidFill>
              <w14:schemeClr w14:val="tx1"/>
            </w14:solidFill>
          </w14:textFill>
        </w:rPr>
      </w:pPr>
      <w:bookmarkStart w:id="182" w:name="_Toc430185805"/>
      <w:bookmarkStart w:id="183" w:name="_Toc430771062"/>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http://www.ccgp.gov.cn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http://www.sepa.gov.cn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http://www.cgpn.cn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82"/>
      <w:bookmarkEnd w:id="183"/>
    </w:p>
    <w:p>
      <w:pPr>
        <w:spacing w:line="360" w:lineRule="auto"/>
        <w:rPr>
          <w:rFonts w:ascii="宋体" w:hAnsi="宋体"/>
          <w:color w:val="000000" w:themeColor="text1"/>
          <w:highlight w:val="none"/>
          <w14:textFill>
            <w14:solidFill>
              <w14:schemeClr w14:val="tx1"/>
            </w14:solidFill>
          </w14:textFill>
        </w:rPr>
      </w:pPr>
      <w:bookmarkStart w:id="184" w:name="_Toc430185806"/>
      <w:bookmarkStart w:id="185" w:name="_Toc430771063"/>
      <w:r>
        <w:rPr>
          <w:rFonts w:hint="eastAsia" w:ascii="宋体" w:hAnsi="宋体"/>
          <w:color w:val="000000" w:themeColor="text1"/>
          <w:highlight w:val="none"/>
          <w14:textFill>
            <w14:solidFill>
              <w14:schemeClr w14:val="tx1"/>
            </w14:solidFill>
          </w14:textFill>
        </w:rPr>
        <w:t>4．</w:t>
      </w:r>
      <w:bookmarkEnd w:id="184"/>
      <w:bookmarkEnd w:id="185"/>
      <w:r>
        <w:rPr>
          <w:rFonts w:hint="eastAsia" w:ascii="宋体" w:hAnsi="宋体" w:eastAsia="宋体" w:cs="宋体"/>
          <w:color w:val="000000" w:themeColor="text1"/>
          <w:highlight w:val="none"/>
          <w14:textFill>
            <w14:solidFill>
              <w14:schemeClr w14:val="tx1"/>
            </w14:solidFill>
          </w14:textFill>
        </w:rPr>
        <w:t>根据《关于印发《政府采购促进中小企业发展管理方法》的通知》（财库[2020]46号）</w:t>
      </w:r>
      <w:r>
        <w:rPr>
          <w:rFonts w:hint="eastAsia" w:ascii="宋体" w:hAnsi="宋体" w:eastAsia="宋体" w:cs="宋体"/>
          <w:color w:val="000000" w:themeColor="text1"/>
          <w:highlight w:val="none"/>
          <w14:textFill>
            <w14:solidFill>
              <w14:schemeClr w14:val="tx1"/>
            </w14:solidFill>
          </w14:textFill>
        </w:rPr>
        <w:t>的规定，投标人投标时需注意：</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4.2参加政府采购活动的中小企业投标时需提供《中小企业声明函》。否则不予认可。</w:t>
      </w:r>
    </w:p>
    <w:p>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通知》，监狱企业视同小微企业。监狱企业是指由司法部认定的为罪犯、戒毒人员提供生产</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戒毒康复所，以及新疆生产建设兵团监狱管理局、戒毒管理局的企业。监狱企业投标时，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w:t>
      </w:r>
      <w:r>
        <w:rPr>
          <w:rFonts w:hint="eastAsia" w:ascii="宋体" w:hAnsi="宋体" w:eastAsia="宋体" w:cs="宋体"/>
          <w:bCs/>
          <w:color w:val="000000" w:themeColor="text1"/>
          <w:highlight w:val="none"/>
          <w:lang w:val="en-US" w:eastAsia="zh-CN"/>
          <w14:textFill>
            <w14:solidFill>
              <w14:schemeClr w14:val="tx1"/>
            </w14:solidFill>
          </w14:textFill>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对于非专门面向中小微型企业采购的项目，依照《政府采购促进中小企业发展暂行办法》的规定，凡符合要求的有效投标人，按照以下比例给予相应的价格扣除：</w:t>
      </w:r>
    </w:p>
    <w:tbl>
      <w:tblPr>
        <w:tblStyle w:val="5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485"/>
        <w:gridCol w:w="2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5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p>
        </w:tc>
        <w:tc>
          <w:tcPr>
            <w:tcW w:w="2544"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hint="eastAsia" w:ascii="宋体" w:hAnsi="宋体"/>
                <w:color w:val="000000" w:themeColor="text1"/>
                <w:highlight w:val="none"/>
                <w:lang w:val="en-US" w:eastAsia="zh-CN"/>
                <w14:textFill>
                  <w14:solidFill>
                    <w14:schemeClr w14:val="tx1"/>
                  </w14:solidFill>
                </w14:textFill>
              </w:rPr>
              <w:t>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54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4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w:t>
            </w:r>
            <w:r>
              <w:rPr>
                <w:rFonts w:hint="eastAsia" w:ascii="宋体" w:hAnsi="宋体"/>
                <w:color w:val="000000" w:themeColor="text1"/>
                <w:highlight w:val="none"/>
                <w:lang w:val="en-US" w:eastAsia="zh-CN"/>
                <w14:textFill>
                  <w14:solidFill>
                    <w14:schemeClr w14:val="tx1"/>
                  </w14:solidFill>
                </w14:textFill>
              </w:rPr>
              <w:t>4</w:t>
            </w:r>
            <w:r>
              <w:rPr>
                <w:rFonts w:ascii="宋体" w:hAnsi="宋体"/>
                <w:color w:val="000000" w:themeColor="text1"/>
                <w:highlight w:val="none"/>
                <w14:textFill>
                  <w14:solidFill>
                    <w14:schemeClr w14:val="tx1"/>
                  </w14:solidFill>
                </w14:textFill>
              </w:rPr>
              <w:t>%</w:t>
            </w:r>
          </w:p>
        </w:tc>
        <w:tc>
          <w:tcPr>
            <w:tcW w:w="2544"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lang w:val="en-US" w:eastAsia="zh-CN"/>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pPr>
        <w:spacing w:line="360" w:lineRule="auto"/>
        <w:rPr>
          <w:rFonts w:ascii="宋体" w:hAns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61"/>
    <w:bookmarkEnd w:id="162"/>
    <w:bookmarkEnd w:id="163"/>
    <w:bookmarkEnd w:id="164"/>
    <w:bookmarkEnd w:id="165"/>
    <w:bookmarkEnd w:id="166"/>
    <w:bookmarkEnd w:id="167"/>
    <w:bookmarkEnd w:id="168"/>
    <w:bookmarkEnd w:id="169"/>
    <w:bookmarkEnd w:id="170"/>
    <w:p>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186" w:name="_Hlt21939000"/>
      <w:bookmarkEnd w:id="186"/>
      <w:bookmarkStart w:id="187" w:name="_Toc350438758"/>
      <w:bookmarkStart w:id="188" w:name="_Toc333237797"/>
      <w:bookmarkStart w:id="189" w:name="_Toc336681944"/>
      <w:bookmarkStart w:id="190" w:name="_Toc365985187"/>
      <w:bookmarkStart w:id="191" w:name="_Toc341348347"/>
      <w:bookmarkStart w:id="192" w:name="_Toc349143598"/>
      <w:bookmarkStart w:id="193" w:name="_Toc331512907"/>
      <w:bookmarkStart w:id="194" w:name="_Toc337632367"/>
      <w:bookmarkStart w:id="195" w:name="_Toc330459994"/>
      <w:bookmarkStart w:id="196" w:name="_Toc342060383"/>
      <w:bookmarkStart w:id="197" w:name="_Toc340677079"/>
      <w:bookmarkStart w:id="198" w:name="_Toc333238642"/>
      <w:bookmarkStart w:id="199" w:name="_Toc339362309"/>
      <w:bookmarkStart w:id="200" w:name="_Toc340672878"/>
      <w:bookmarkStart w:id="201" w:name="_Toc345513910"/>
      <w:bookmarkStart w:id="202" w:name="_Toc339020242"/>
      <w:bookmarkStart w:id="203" w:name="_Toc332206717"/>
      <w:bookmarkStart w:id="204" w:name="_Toc366072538"/>
      <w:bookmarkStart w:id="205" w:name="_Toc333935696"/>
      <w:bookmarkStart w:id="206" w:name="_Toc339020104"/>
      <w:bookmarkStart w:id="207" w:name="_Toc340507451"/>
      <w:bookmarkStart w:id="208" w:name="_Toc349127635"/>
      <w:bookmarkStart w:id="209" w:name="_Toc339441096"/>
      <w:bookmarkStart w:id="210" w:name="_Toc374454610"/>
      <w:bookmarkStart w:id="211" w:name="_Toc332270355"/>
      <w:bookmarkStart w:id="212" w:name="_Toc331684047"/>
      <w:bookmarkStart w:id="213" w:name="_Toc333935355"/>
      <w:bookmarkStart w:id="214" w:name="_Toc365967081"/>
      <w:bookmarkStart w:id="215" w:name="_Toc350756459"/>
      <w:bookmarkStart w:id="216" w:name="_Toc333237686"/>
      <w:bookmarkStart w:id="217" w:name="_Toc339020024"/>
      <w:bookmarkStart w:id="218" w:name="_Toc339019898"/>
      <w:bookmarkStart w:id="219" w:name="_Toc336681589"/>
      <w:bookmarkStart w:id="220" w:name="_Toc342296769"/>
      <w:bookmarkStart w:id="221" w:name="_Toc18477"/>
      <w:r>
        <w:rPr>
          <w:rFonts w:hint="eastAsia" w:ascii="宋体" w:hAnsi="宋体" w:eastAsia="宋体"/>
          <w:b/>
          <w:color w:val="000000" w:themeColor="text1"/>
          <w:highlight w:val="none"/>
          <w14:textFill>
            <w14:solidFill>
              <w14:schemeClr w14:val="tx1"/>
            </w14:solidFill>
          </w14:textFill>
        </w:rPr>
        <w:t xml:space="preserve">第五部分  </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Start w:id="222" w:name="_Hlt97188170"/>
      <w:bookmarkEnd w:id="222"/>
      <w:r>
        <w:rPr>
          <w:rFonts w:hint="eastAsia" w:ascii="宋体" w:hAnsi="宋体"/>
          <w:b/>
          <w:color w:val="000000" w:themeColor="text1"/>
          <w:sz w:val="21"/>
          <w:szCs w:val="21"/>
          <w:highlight w:val="none"/>
          <w14:textFill>
            <w14:solidFill>
              <w14:schemeClr w14:val="tx1"/>
            </w14:solidFill>
          </w14:textFill>
        </w:rPr>
        <w:t>合同书格式（参考范本）</w:t>
      </w:r>
      <w:bookmarkEnd w:id="221"/>
    </w:p>
    <w:p>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eastAsia="zh-CN"/>
          <w14:textFill>
            <w14:solidFill>
              <w14:schemeClr w14:val="tx1"/>
            </w14:solidFill>
          </w14:textFill>
        </w:rPr>
        <w:t>服务</w:t>
      </w:r>
      <w:r>
        <w:rPr>
          <w:rFonts w:hint="eastAsia" w:ascii="宋体" w:hAnsi="宋体"/>
          <w:bCs/>
          <w:color w:val="000000" w:themeColor="text1"/>
          <w:szCs w:val="21"/>
          <w:highlight w:val="none"/>
          <w14:textFill>
            <w14:solidFill>
              <w14:schemeClr w14:val="tx1"/>
            </w14:solidFill>
          </w14:textFill>
        </w:rPr>
        <w:t>和验收</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223" w:name="_Toc340672879"/>
      <w:bookmarkStart w:id="224" w:name="_Toc339020243"/>
      <w:bookmarkStart w:id="225" w:name="_Toc365967082"/>
      <w:bookmarkStart w:id="226" w:name="_Toc491658678"/>
      <w:bookmarkStart w:id="227" w:name="_Toc341348348"/>
      <w:bookmarkStart w:id="228" w:name="_Toc345513911"/>
      <w:bookmarkStart w:id="229" w:name="_Toc333237687"/>
      <w:bookmarkStart w:id="230" w:name="_Toc350756460"/>
      <w:bookmarkStart w:id="231" w:name="_Toc366072539"/>
      <w:bookmarkStart w:id="232" w:name="_Toc339019899"/>
      <w:bookmarkStart w:id="233" w:name="_Toc339362310"/>
      <w:bookmarkStart w:id="234" w:name="_Toc365985188"/>
      <w:bookmarkStart w:id="235" w:name="_Toc336681945"/>
      <w:bookmarkStart w:id="236" w:name="_Toc342060384"/>
      <w:bookmarkStart w:id="237" w:name="_Toc333935356"/>
      <w:bookmarkStart w:id="238" w:name="_Toc333237798"/>
      <w:bookmarkStart w:id="239" w:name="_Toc342296770"/>
      <w:bookmarkStart w:id="240" w:name="_Toc331512908"/>
      <w:bookmarkStart w:id="241" w:name="_Toc350438759"/>
      <w:bookmarkStart w:id="242" w:name="_Toc349143599"/>
      <w:bookmarkStart w:id="243" w:name="_Toc339441097"/>
      <w:bookmarkStart w:id="244" w:name="_Toc337632368"/>
      <w:bookmarkStart w:id="245" w:name="_Toc339020105"/>
      <w:bookmarkStart w:id="246" w:name="_Toc332206718"/>
      <w:bookmarkStart w:id="247" w:name="_Toc500861025"/>
      <w:bookmarkStart w:id="248" w:name="_Toc333935697"/>
      <w:bookmarkStart w:id="249" w:name="_Toc333238643"/>
      <w:bookmarkStart w:id="250" w:name="_Toc339020025"/>
      <w:bookmarkStart w:id="251" w:name="_Toc340507452"/>
      <w:bookmarkStart w:id="252" w:name="_Toc15503"/>
      <w:bookmarkStart w:id="253" w:name="_Toc336681590"/>
      <w:bookmarkStart w:id="254" w:name="_Toc332270356"/>
      <w:bookmarkStart w:id="255" w:name="_Toc349127636"/>
      <w:bookmarkStart w:id="256" w:name="_Toc340677080"/>
      <w:bookmarkStart w:id="257" w:name="_Toc330459995"/>
      <w:bookmarkStart w:id="258" w:name="_Toc331684048"/>
      <w:r>
        <w:rPr>
          <w:rFonts w:hint="eastAsia" w:ascii="宋体" w:hAnsi="宋体" w:eastAsia="宋体"/>
          <w:b/>
          <w:color w:val="000000" w:themeColor="text1"/>
          <w:highlight w:val="none"/>
          <w14:textFill>
            <w14:solidFill>
              <w14:schemeClr w14:val="tx1"/>
            </w14:solidFill>
          </w14:textFill>
        </w:rPr>
        <w:t>第六部分</w:t>
      </w:r>
      <w:bookmarkStart w:id="259" w:name="_Hlt97188172"/>
      <w:bookmarkEnd w:id="259"/>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Start w:id="260" w:name="_Hlt21938933"/>
      <w:bookmarkEnd w:id="260"/>
    </w:p>
    <w:p>
      <w:pPr>
        <w:rPr>
          <w:rFonts w:ascii="宋体" w:hAnsi="宋体"/>
          <w:color w:val="000000" w:themeColor="text1"/>
          <w:highlight w:val="none"/>
          <w14:textFill>
            <w14:solidFill>
              <w14:schemeClr w14:val="tx1"/>
            </w14:solidFill>
          </w14:textFill>
        </w:rPr>
      </w:pPr>
    </w:p>
    <w:p>
      <w:pPr>
        <w:pStyle w:val="4"/>
        <w:numPr>
          <w:ilvl w:val="1"/>
          <w:numId w:val="0"/>
        </w:numPr>
        <w:rPr>
          <w:rFonts w:ascii="宋体" w:hAnsi="宋体"/>
          <w:color w:val="000000" w:themeColor="text1"/>
          <w:sz w:val="24"/>
          <w:highlight w:val="none"/>
          <w14:textFill>
            <w14:solidFill>
              <w14:schemeClr w14:val="tx1"/>
            </w14:solidFill>
          </w14:textFill>
        </w:rPr>
      </w:pPr>
      <w:bookmarkStart w:id="261" w:name="_Toc332270357"/>
      <w:bookmarkStart w:id="262" w:name="_Toc336681946"/>
      <w:bookmarkStart w:id="263" w:name="_Toc330459996"/>
      <w:bookmarkStart w:id="264" w:name="_Toc339020026"/>
      <w:bookmarkStart w:id="265" w:name="_Toc350438760"/>
      <w:bookmarkStart w:id="266" w:name="_Toc341348349"/>
      <w:bookmarkStart w:id="267" w:name="_Toc339019900"/>
      <w:bookmarkStart w:id="268" w:name="_Toc333237688"/>
      <w:bookmarkStart w:id="269" w:name="_Toc333238644"/>
      <w:bookmarkStart w:id="270" w:name="_Toc345513912"/>
      <w:bookmarkStart w:id="271" w:name="_Toc349127637"/>
      <w:bookmarkStart w:id="272" w:name="_Toc365985189"/>
      <w:bookmarkStart w:id="273" w:name="_Toc337632369"/>
      <w:bookmarkStart w:id="274" w:name="_Toc365967083"/>
      <w:bookmarkStart w:id="275" w:name="_Toc332206719"/>
      <w:bookmarkStart w:id="276" w:name="_Toc333935357"/>
      <w:bookmarkStart w:id="277" w:name="_Toc350756461"/>
      <w:bookmarkStart w:id="278" w:name="_Toc333935698"/>
      <w:bookmarkStart w:id="279" w:name="_Toc342296771"/>
      <w:bookmarkStart w:id="280" w:name="_Toc366072540"/>
      <w:bookmarkStart w:id="281" w:name="_Toc333237799"/>
      <w:bookmarkStart w:id="282" w:name="_Toc339020106"/>
      <w:bookmarkStart w:id="283" w:name="_Toc340507453"/>
      <w:bookmarkStart w:id="284" w:name="_Toc342060385"/>
      <w:bookmarkStart w:id="285" w:name="_Toc336681591"/>
      <w:bookmarkStart w:id="286" w:name="_Toc339020244"/>
      <w:bookmarkStart w:id="287" w:name="_Toc340677081"/>
      <w:bookmarkStart w:id="288" w:name="_Toc331684049"/>
      <w:bookmarkStart w:id="289" w:name="_Toc32563"/>
      <w:bookmarkStart w:id="290" w:name="_Toc339362311"/>
      <w:bookmarkStart w:id="291" w:name="_Toc349143600"/>
      <w:bookmarkStart w:id="292" w:name="_Toc339441098"/>
      <w:bookmarkStart w:id="293" w:name="_Toc331512909"/>
      <w:bookmarkStart w:id="294" w:name="_Toc340672880"/>
      <w:r>
        <w:rPr>
          <w:rFonts w:hint="eastAsia" w:ascii="宋体" w:hAnsi="宋体"/>
          <w:color w:val="000000" w:themeColor="text1"/>
          <w:sz w:val="24"/>
          <w:highlight w:val="none"/>
          <w14:textFill>
            <w14:solidFill>
              <w14:schemeClr w14:val="tx1"/>
            </w14:solidFill>
          </w14:textFill>
        </w:rPr>
        <w:t>封面格式</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pPr>
        <w:pStyle w:val="6"/>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14:textFill>
            <w14:solidFill>
              <w14:schemeClr w14:val="tx1"/>
            </w14:solidFill>
          </w14:textFill>
        </w:rPr>
        <w:t xml:space="preserve"> </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YXZB-20221209</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pPr>
        <w:pStyle w:val="4"/>
        <w:numPr>
          <w:ilvl w:val="7"/>
          <w:numId w:val="7"/>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95" w:name="_Toc28060"/>
      <w:r>
        <w:rPr>
          <w:rFonts w:hint="eastAsia" w:ascii="宋体" w:hAnsi="宋体"/>
          <w:b w:val="0"/>
          <w:color w:val="000000" w:themeColor="text1"/>
          <w:sz w:val="24"/>
          <w:highlight w:val="none"/>
          <w14:textFill>
            <w14:solidFill>
              <w14:schemeClr w14:val="tx1"/>
            </w14:solidFill>
          </w14:textFill>
        </w:rPr>
        <w:t>自查表</w:t>
      </w:r>
      <w:bookmarkEnd w:id="295"/>
    </w:p>
    <w:p>
      <w:pPr>
        <w:pStyle w:val="4"/>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96" w:name="_Toc18086"/>
      <w:bookmarkStart w:id="297" w:name="_Toc32342"/>
      <w:bookmarkStart w:id="298" w:name="_Toc31777"/>
      <w:r>
        <w:rPr>
          <w:rFonts w:hint="eastAsia" w:ascii="宋体"/>
          <w:bCs w:val="0"/>
          <w:color w:val="000000" w:themeColor="text1"/>
          <w:szCs w:val="21"/>
          <w:highlight w:val="none"/>
          <w14:textFill>
            <w14:solidFill>
              <w14:schemeClr w14:val="tx1"/>
            </w14:solidFill>
          </w14:textFill>
        </w:rPr>
        <w:t>1.1  资格性/符合性自查表</w:t>
      </w:r>
      <w:bookmarkEnd w:id="296"/>
      <w:bookmarkEnd w:id="297"/>
      <w:bookmarkEnd w:id="298"/>
    </w:p>
    <w:p>
      <w:pPr>
        <w:jc w:val="center"/>
        <w:rPr>
          <w:rFonts w:ascii="宋体" w:hAnsi="宋体"/>
          <w:b/>
          <w:bCs/>
          <w:color w:val="000000" w:themeColor="text1"/>
          <w:szCs w:val="21"/>
          <w:highlight w:val="none"/>
          <w14:textFill>
            <w14:solidFill>
              <w14:schemeClr w14:val="tx1"/>
            </w14:solidFill>
          </w14:textFill>
        </w:rPr>
      </w:pPr>
    </w:p>
    <w:tbl>
      <w:tblPr>
        <w:tblStyle w:val="52"/>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657"/>
        <w:gridCol w:w="2565"/>
        <w:gridCol w:w="1725"/>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70" w:type="dxa"/>
            <w:gridSpan w:val="2"/>
            <w:vAlign w:val="center"/>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评审内容</w:t>
            </w:r>
          </w:p>
        </w:tc>
        <w:tc>
          <w:tcPr>
            <w:tcW w:w="2565" w:type="dxa"/>
            <w:vAlign w:val="center"/>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磋商</w:t>
            </w:r>
            <w:r>
              <w:rPr>
                <w:rFonts w:hint="eastAsia" w:ascii="宋体" w:hAnsi="宋体"/>
                <w:b/>
                <w:bCs/>
                <w:color w:val="000000" w:themeColor="text1"/>
                <w:sz w:val="21"/>
                <w:szCs w:val="21"/>
                <w:highlight w:val="none"/>
                <w14:textFill>
                  <w14:solidFill>
                    <w14:schemeClr w14:val="tx1"/>
                  </w14:solidFill>
                </w14:textFill>
              </w:rPr>
              <w:t>文件要求</w:t>
            </w:r>
          </w:p>
        </w:tc>
        <w:tc>
          <w:tcPr>
            <w:tcW w:w="1725" w:type="dxa"/>
            <w:vAlign w:val="center"/>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（通过/不通过）</w:t>
            </w:r>
          </w:p>
        </w:tc>
        <w:tc>
          <w:tcPr>
            <w:tcW w:w="2497" w:type="dxa"/>
            <w:vAlign w:val="center"/>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3" w:type="dxa"/>
            <w:vMerge w:val="restart"/>
            <w:vAlign w:val="center"/>
          </w:tcPr>
          <w:p>
            <w:pPr>
              <w:tabs>
                <w:tab w:val="left" w:pos="480"/>
              </w:tabs>
              <w:ind w:left="480" w:hanging="480"/>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资格性检查</w:t>
            </w:r>
          </w:p>
        </w:tc>
        <w:tc>
          <w:tcPr>
            <w:tcW w:w="1657" w:type="dxa"/>
            <w:vMerge w:val="restart"/>
            <w:vAlign w:val="center"/>
          </w:tcPr>
          <w:p>
            <w:pPr>
              <w:tabs>
                <w:tab w:val="left" w:pos="146"/>
              </w:tabs>
              <w:ind w:left="146"/>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投标人要求</w:t>
            </w:r>
          </w:p>
        </w:tc>
        <w:tc>
          <w:tcPr>
            <w:tcW w:w="2565" w:type="dxa"/>
            <w:vAlign w:val="center"/>
          </w:tcPr>
          <w:p>
            <w:pPr>
              <w:tabs>
                <w:tab w:val="left" w:pos="0"/>
              </w:tabs>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投标人应具备《中华人民共和国政府采购法》第二十二条规定的条件</w:t>
            </w:r>
          </w:p>
        </w:tc>
        <w:tc>
          <w:tcPr>
            <w:tcW w:w="1725" w:type="dxa"/>
            <w:vAlign w:val="center"/>
          </w:tcPr>
          <w:p>
            <w:pPr>
              <w:tabs>
                <w:tab w:val="left" w:pos="480"/>
              </w:tabs>
              <w:ind w:left="480" w:hanging="480"/>
              <w:rPr>
                <w:rFonts w:ascii="宋体" w:hAnsi="宋体"/>
                <w:b/>
                <w:bCs/>
                <w:color w:val="000000" w:themeColor="text1"/>
                <w:sz w:val="21"/>
                <w:szCs w:val="21"/>
                <w:highlight w:val="none"/>
                <w14:textFill>
                  <w14:solidFill>
                    <w14:schemeClr w14:val="tx1"/>
                  </w14:solidFill>
                </w14:textFill>
              </w:rPr>
            </w:pPr>
          </w:p>
        </w:tc>
        <w:tc>
          <w:tcPr>
            <w:tcW w:w="2497" w:type="dxa"/>
            <w:vAlign w:val="center"/>
          </w:tcPr>
          <w:p>
            <w:pPr>
              <w:tabs>
                <w:tab w:val="left" w:pos="0"/>
              </w:tabs>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见</w:t>
            </w:r>
            <w:r>
              <w:rPr>
                <w:rFonts w:hint="eastAsia" w:ascii="宋体" w:hAnsi="宋体"/>
                <w:color w:val="000000" w:themeColor="text1"/>
                <w:sz w:val="21"/>
                <w:szCs w:val="21"/>
                <w:highlight w:val="none"/>
                <w14:textFill>
                  <w14:solidFill>
                    <w14:schemeClr w14:val="tx1"/>
                  </w14:solidFill>
                </w14:textFill>
              </w:rPr>
              <w:t>磋商响应</w:t>
            </w:r>
            <w:r>
              <w:rPr>
                <w:rFonts w:hint="eastAsia" w:ascii="宋体" w:hAnsi="宋体"/>
                <w:b/>
                <w:color w:val="000000" w:themeColor="text1"/>
                <w:sz w:val="21"/>
                <w:szCs w:val="21"/>
                <w:highlight w:val="none"/>
                <w14:textFill>
                  <w14:solidFill>
                    <w14:schemeClr w14:val="tx1"/>
                  </w14:solidFill>
                </w14:textFill>
              </w:rPr>
              <w:t>文件</w:t>
            </w:r>
          </w:p>
          <w:p>
            <w:pPr>
              <w:tabs>
                <w:tab w:val="left" w:pos="0"/>
              </w:tabs>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第（  ）页</w:t>
            </w:r>
          </w:p>
          <w:p>
            <w:pPr>
              <w:tabs>
                <w:tab w:val="left" w:pos="0"/>
              </w:tabs>
              <w:jc w:val="center"/>
              <w:rPr>
                <w:rFonts w:hint="eastAsia"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 w:val="21"/>
                <w:szCs w:val="21"/>
                <w:highlight w:val="none"/>
                <w14:textFill>
                  <w14:solidFill>
                    <w14:schemeClr w14:val="tx1"/>
                  </w14:solidFill>
                </w14:textFill>
              </w:rPr>
              <w:t>财务报表</w:t>
            </w:r>
            <w:r>
              <w:rPr>
                <w:rFonts w:hint="eastAsia" w:ascii="宋体" w:hAnsi="宋体"/>
                <w:color w:val="000000" w:themeColor="text1"/>
                <w:sz w:val="2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3" w:type="dxa"/>
            <w:vMerge w:val="continue"/>
            <w:vAlign w:val="center"/>
          </w:tcPr>
          <w:p>
            <w:pPr>
              <w:tabs>
                <w:tab w:val="left" w:pos="480"/>
              </w:tabs>
              <w:ind w:left="480" w:hanging="480"/>
              <w:rPr>
                <w:rFonts w:hint="eastAsia" w:ascii="宋体" w:hAnsi="宋体"/>
                <w:color w:val="000000" w:themeColor="text1"/>
                <w:sz w:val="21"/>
                <w:szCs w:val="21"/>
                <w:highlight w:val="none"/>
                <w14:textFill>
                  <w14:solidFill>
                    <w14:schemeClr w14:val="tx1"/>
                  </w14:solidFill>
                </w14:textFill>
              </w:rPr>
            </w:pPr>
          </w:p>
        </w:tc>
        <w:tc>
          <w:tcPr>
            <w:tcW w:w="1657" w:type="dxa"/>
            <w:vMerge w:val="continue"/>
            <w:vAlign w:val="center"/>
          </w:tcPr>
          <w:p>
            <w:pPr>
              <w:tabs>
                <w:tab w:val="left" w:pos="146"/>
              </w:tabs>
              <w:ind w:left="146"/>
              <w:rPr>
                <w:rFonts w:hint="eastAsia" w:ascii="宋体" w:hAnsi="宋体"/>
                <w:color w:val="000000" w:themeColor="text1"/>
                <w:sz w:val="21"/>
                <w:szCs w:val="21"/>
                <w:highlight w:val="none"/>
                <w14:textFill>
                  <w14:solidFill>
                    <w14:schemeClr w14:val="tx1"/>
                  </w14:solidFill>
                </w14:textFill>
              </w:rPr>
            </w:pPr>
          </w:p>
        </w:tc>
        <w:tc>
          <w:tcPr>
            <w:tcW w:w="2565" w:type="dxa"/>
            <w:vAlign w:val="center"/>
          </w:tcPr>
          <w:p>
            <w:pPr>
              <w:tabs>
                <w:tab w:val="left" w:pos="0"/>
              </w:tabs>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须是中华人民共和国境内合法注册，能独立承担民事责任的法人、其他组织或自然人</w:t>
            </w:r>
          </w:p>
        </w:tc>
        <w:tc>
          <w:tcPr>
            <w:tcW w:w="1725" w:type="dxa"/>
            <w:vAlign w:val="center"/>
          </w:tcPr>
          <w:p>
            <w:pPr>
              <w:tabs>
                <w:tab w:val="left" w:pos="480"/>
              </w:tabs>
              <w:ind w:left="480" w:hanging="480"/>
              <w:rPr>
                <w:rFonts w:ascii="宋体" w:hAnsi="宋体"/>
                <w:b/>
                <w:bCs/>
                <w:color w:val="000000" w:themeColor="text1"/>
                <w:sz w:val="21"/>
                <w:szCs w:val="21"/>
                <w:highlight w:val="none"/>
                <w14:textFill>
                  <w14:solidFill>
                    <w14:schemeClr w14:val="tx1"/>
                  </w14:solidFill>
                </w14:textFill>
              </w:rPr>
            </w:pPr>
          </w:p>
        </w:tc>
        <w:tc>
          <w:tcPr>
            <w:tcW w:w="2497" w:type="dxa"/>
            <w:vAlign w:val="center"/>
          </w:tcPr>
          <w:p>
            <w:pPr>
              <w:tabs>
                <w:tab w:val="left" w:pos="0"/>
              </w:tabs>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见磋商响应文件</w:t>
            </w:r>
          </w:p>
          <w:p>
            <w:pPr>
              <w:tabs>
                <w:tab w:val="left" w:pos="0"/>
              </w:tabs>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3" w:type="dxa"/>
            <w:vMerge w:val="continue"/>
            <w:vAlign w:val="center"/>
          </w:tcPr>
          <w:p>
            <w:pPr>
              <w:tabs>
                <w:tab w:val="left" w:pos="480"/>
              </w:tabs>
              <w:ind w:left="480" w:hanging="480"/>
              <w:rPr>
                <w:rFonts w:hint="eastAsia" w:ascii="宋体" w:hAnsi="宋体"/>
                <w:color w:val="000000" w:themeColor="text1"/>
                <w:sz w:val="21"/>
                <w:szCs w:val="21"/>
                <w:highlight w:val="none"/>
                <w14:textFill>
                  <w14:solidFill>
                    <w14:schemeClr w14:val="tx1"/>
                  </w14:solidFill>
                </w14:textFill>
              </w:rPr>
            </w:pPr>
          </w:p>
        </w:tc>
        <w:tc>
          <w:tcPr>
            <w:tcW w:w="1657" w:type="dxa"/>
            <w:vMerge w:val="continue"/>
            <w:vAlign w:val="center"/>
          </w:tcPr>
          <w:p>
            <w:pPr>
              <w:tabs>
                <w:tab w:val="left" w:pos="146"/>
              </w:tabs>
              <w:ind w:left="146"/>
              <w:rPr>
                <w:rFonts w:hint="eastAsia" w:ascii="宋体" w:hAnsi="宋体"/>
                <w:color w:val="000000" w:themeColor="text1"/>
                <w:sz w:val="21"/>
                <w:szCs w:val="21"/>
                <w:highlight w:val="none"/>
                <w14:textFill>
                  <w14:solidFill>
                    <w14:schemeClr w14:val="tx1"/>
                  </w14:solidFill>
                </w14:textFill>
              </w:rPr>
            </w:pPr>
          </w:p>
        </w:tc>
        <w:tc>
          <w:tcPr>
            <w:tcW w:w="2565" w:type="dxa"/>
            <w:vAlign w:val="center"/>
          </w:tcPr>
          <w:p>
            <w:pPr>
              <w:tabs>
                <w:tab w:val="left" w:pos="0"/>
              </w:tabs>
              <w:rPr>
                <w:rFonts w:hint="eastAsia" w:ascii="宋体" w:hAnsi="宋体" w:cs="Times New Roman"/>
                <w:color w:val="000000" w:themeColor="text1"/>
                <w:sz w:val="21"/>
                <w:szCs w:val="21"/>
                <w:highlight w:val="none"/>
                <w:lang w:eastAsia="zh-CN"/>
                <w14:textFill>
                  <w14:solidFill>
                    <w14:schemeClr w14:val="tx1"/>
                  </w14:solidFill>
                </w14:textFill>
              </w:rPr>
            </w:pPr>
            <w:r>
              <w:rPr>
                <w:rFonts w:hint="eastAsia" w:ascii="宋体" w:hAnsi="宋体" w:cs="Times New Roman"/>
                <w:color w:val="000000" w:themeColor="text1"/>
                <w:sz w:val="21"/>
                <w:szCs w:val="21"/>
                <w:highlight w:val="none"/>
                <w14:textFill>
                  <w14:solidFill>
                    <w14:schemeClr w14:val="tx1"/>
                  </w14:solidFill>
                </w14:textFill>
              </w:rPr>
              <w:t>为采购项目提供整体设计、规范编制或者项目管理、监理、检测等服务的供应商，不得再参加同一采购项目的其他采购活动</w:t>
            </w:r>
            <w:r>
              <w:rPr>
                <w:rFonts w:hint="eastAsia" w:ascii="宋体" w:hAnsi="宋体"/>
                <w:color w:val="000000" w:themeColor="text1"/>
                <w:highlight w:val="none"/>
                <w14:textFill>
                  <w14:solidFill>
                    <w14:schemeClr w14:val="tx1"/>
                  </w14:solidFill>
                </w14:textFill>
              </w:rPr>
              <w:t>（提供</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函</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承诺）</w:t>
            </w:r>
          </w:p>
        </w:tc>
        <w:tc>
          <w:tcPr>
            <w:tcW w:w="1725" w:type="dxa"/>
            <w:vAlign w:val="center"/>
          </w:tcPr>
          <w:p>
            <w:pPr>
              <w:tabs>
                <w:tab w:val="left" w:pos="480"/>
              </w:tabs>
              <w:ind w:left="480" w:hanging="480"/>
              <w:rPr>
                <w:rFonts w:ascii="宋体" w:hAnsi="宋体"/>
                <w:b/>
                <w:bCs/>
                <w:color w:val="000000" w:themeColor="text1"/>
                <w:sz w:val="21"/>
                <w:szCs w:val="21"/>
                <w:highlight w:val="none"/>
                <w14:textFill>
                  <w14:solidFill>
                    <w14:schemeClr w14:val="tx1"/>
                  </w14:solidFill>
                </w14:textFill>
              </w:rPr>
            </w:pPr>
          </w:p>
        </w:tc>
        <w:tc>
          <w:tcPr>
            <w:tcW w:w="2497" w:type="dxa"/>
            <w:vAlign w:val="center"/>
          </w:tcPr>
          <w:p>
            <w:pPr>
              <w:tabs>
                <w:tab w:val="left" w:pos="0"/>
              </w:tabs>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见磋商响应文件</w:t>
            </w:r>
          </w:p>
          <w:p>
            <w:pPr>
              <w:tabs>
                <w:tab w:val="left" w:pos="0"/>
              </w:tabs>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3" w:type="dxa"/>
            <w:vMerge w:val="continue"/>
            <w:vAlign w:val="center"/>
          </w:tcPr>
          <w:p>
            <w:pPr>
              <w:tabs>
                <w:tab w:val="left" w:pos="480"/>
              </w:tabs>
              <w:ind w:left="480" w:hanging="480"/>
              <w:rPr>
                <w:rFonts w:hint="eastAsia" w:ascii="宋体" w:hAnsi="宋体"/>
                <w:color w:val="000000" w:themeColor="text1"/>
                <w:sz w:val="21"/>
                <w:szCs w:val="21"/>
                <w:highlight w:val="none"/>
                <w14:textFill>
                  <w14:solidFill>
                    <w14:schemeClr w14:val="tx1"/>
                  </w14:solidFill>
                </w14:textFill>
              </w:rPr>
            </w:pPr>
          </w:p>
        </w:tc>
        <w:tc>
          <w:tcPr>
            <w:tcW w:w="1657" w:type="dxa"/>
            <w:vMerge w:val="continue"/>
            <w:vAlign w:val="center"/>
          </w:tcPr>
          <w:p>
            <w:pPr>
              <w:tabs>
                <w:tab w:val="left" w:pos="146"/>
              </w:tabs>
              <w:ind w:left="146"/>
              <w:rPr>
                <w:rFonts w:hint="eastAsia" w:ascii="宋体" w:hAnsi="宋体"/>
                <w:color w:val="000000" w:themeColor="text1"/>
                <w:sz w:val="21"/>
                <w:szCs w:val="21"/>
                <w:highlight w:val="none"/>
                <w14:textFill>
                  <w14:solidFill>
                    <w14:schemeClr w14:val="tx1"/>
                  </w14:solidFill>
                </w14:textFill>
              </w:rPr>
            </w:pPr>
          </w:p>
        </w:tc>
        <w:tc>
          <w:tcPr>
            <w:tcW w:w="2565" w:type="dxa"/>
            <w:vAlign w:val="center"/>
          </w:tcPr>
          <w:p>
            <w:pPr>
              <w:tabs>
                <w:tab w:val="left" w:pos="0"/>
              </w:tabs>
              <w:rPr>
                <w:rFonts w:hint="eastAsia" w:ascii="宋体" w:hAnsi="宋体" w:cs="Times New Roman"/>
                <w:b/>
                <w:bCs/>
                <w:color w:val="000000" w:themeColor="text1"/>
                <w:sz w:val="21"/>
                <w:szCs w:val="21"/>
                <w:highlight w:val="none"/>
                <w14:textFill>
                  <w14:solidFill>
                    <w14:schemeClr w14:val="tx1"/>
                  </w14:solidFill>
                </w14:textFill>
              </w:rPr>
            </w:pPr>
            <w:r>
              <w:rPr>
                <w:rFonts w:hint="default" w:ascii="宋体" w:hAnsi="宋体" w:cs="Times New Roman"/>
                <w:color w:val="000000" w:themeColor="text1"/>
                <w:sz w:val="21"/>
                <w:szCs w:val="21"/>
                <w:highlight w:val="none"/>
                <w:lang w:val="en-US"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14:textFill>
                  <w14:solidFill>
                    <w14:schemeClr w14:val="tx1"/>
                  </w14:solidFill>
                </w14:textFill>
              </w:rPr>
              <w:t>（提供</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函</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承诺）</w:t>
            </w:r>
          </w:p>
        </w:tc>
        <w:tc>
          <w:tcPr>
            <w:tcW w:w="1725" w:type="dxa"/>
            <w:vAlign w:val="center"/>
          </w:tcPr>
          <w:p>
            <w:pPr>
              <w:tabs>
                <w:tab w:val="left" w:pos="480"/>
              </w:tabs>
              <w:ind w:left="480" w:hanging="480"/>
              <w:rPr>
                <w:rFonts w:ascii="宋体" w:hAnsi="宋体"/>
                <w:b/>
                <w:bCs/>
                <w:color w:val="000000" w:themeColor="text1"/>
                <w:sz w:val="21"/>
                <w:szCs w:val="21"/>
                <w:highlight w:val="none"/>
                <w14:textFill>
                  <w14:solidFill>
                    <w14:schemeClr w14:val="tx1"/>
                  </w14:solidFill>
                </w14:textFill>
              </w:rPr>
            </w:pPr>
          </w:p>
        </w:tc>
        <w:tc>
          <w:tcPr>
            <w:tcW w:w="2497" w:type="dxa"/>
            <w:vAlign w:val="center"/>
          </w:tcPr>
          <w:p>
            <w:pPr>
              <w:tabs>
                <w:tab w:val="left" w:pos="0"/>
              </w:tabs>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见磋商响应文件</w:t>
            </w:r>
          </w:p>
          <w:p>
            <w:pPr>
              <w:tabs>
                <w:tab w:val="left" w:pos="0"/>
              </w:tabs>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3" w:type="dxa"/>
            <w:vMerge w:val="continue"/>
            <w:vAlign w:val="center"/>
          </w:tcPr>
          <w:p>
            <w:pPr>
              <w:tabs>
                <w:tab w:val="left" w:pos="480"/>
              </w:tabs>
              <w:ind w:left="480" w:hanging="480"/>
              <w:jc w:val="center"/>
              <w:rPr>
                <w:rFonts w:ascii="宋体" w:hAnsi="宋体"/>
                <w:color w:val="000000" w:themeColor="text1"/>
                <w:sz w:val="21"/>
                <w:szCs w:val="21"/>
                <w:highlight w:val="none"/>
                <w14:textFill>
                  <w14:solidFill>
                    <w14:schemeClr w14:val="tx1"/>
                  </w14:solidFill>
                </w14:textFill>
              </w:rPr>
            </w:pPr>
          </w:p>
        </w:tc>
        <w:tc>
          <w:tcPr>
            <w:tcW w:w="1657" w:type="dxa"/>
            <w:vMerge w:val="continue"/>
            <w:vAlign w:val="center"/>
          </w:tcPr>
          <w:p>
            <w:pPr>
              <w:tabs>
                <w:tab w:val="left" w:pos="146"/>
              </w:tabs>
              <w:ind w:left="146"/>
              <w:rPr>
                <w:rFonts w:ascii="宋体" w:hAnsi="宋体"/>
                <w:color w:val="000000" w:themeColor="text1"/>
                <w:sz w:val="21"/>
                <w:szCs w:val="21"/>
                <w:highlight w:val="none"/>
                <w14:textFill>
                  <w14:solidFill>
                    <w14:schemeClr w14:val="tx1"/>
                  </w14:solidFill>
                </w14:textFill>
              </w:rPr>
            </w:pPr>
          </w:p>
        </w:tc>
        <w:tc>
          <w:tcPr>
            <w:tcW w:w="2565" w:type="dxa"/>
            <w:vAlign w:val="center"/>
          </w:tcPr>
          <w:p>
            <w:pPr>
              <w:tabs>
                <w:tab w:val="left" w:pos="0"/>
              </w:tabs>
              <w:rPr>
                <w:rFonts w:hint="default" w:ascii="宋体" w:hAnsi="宋体" w:cs="Times New Roman"/>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投标人</w:t>
            </w:r>
            <w:r>
              <w:rPr>
                <w:rFonts w:hint="default" w:ascii="宋体" w:hAnsi="宋体" w:cs="Times New Roman"/>
                <w:color w:val="000000" w:themeColor="text1"/>
                <w:sz w:val="21"/>
                <w:szCs w:val="21"/>
                <w:highlight w:val="none"/>
                <w:lang w:val="en-US" w:eastAsia="zh-CN"/>
                <w14:textFill>
                  <w14:solidFill>
                    <w14:schemeClr w14:val="tx1"/>
                  </w14:solidFill>
                </w14:textFill>
              </w:rPr>
              <w:t>须在省级水利行政主管部门备案</w:t>
            </w:r>
          </w:p>
        </w:tc>
        <w:tc>
          <w:tcPr>
            <w:tcW w:w="1725" w:type="dxa"/>
            <w:vAlign w:val="center"/>
          </w:tcPr>
          <w:p>
            <w:pPr>
              <w:tabs>
                <w:tab w:val="left" w:pos="480"/>
              </w:tabs>
              <w:ind w:left="480" w:hanging="480"/>
              <w:rPr>
                <w:rFonts w:ascii="宋体" w:hAnsi="宋体"/>
                <w:color w:val="000000" w:themeColor="text1"/>
                <w:sz w:val="21"/>
                <w:szCs w:val="21"/>
                <w:highlight w:val="none"/>
                <w14:textFill>
                  <w14:solidFill>
                    <w14:schemeClr w14:val="tx1"/>
                  </w14:solidFill>
                </w14:textFill>
              </w:rPr>
            </w:pPr>
          </w:p>
        </w:tc>
        <w:tc>
          <w:tcPr>
            <w:tcW w:w="2497" w:type="dxa"/>
            <w:vAlign w:val="center"/>
          </w:tcPr>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见磋商响应文件</w:t>
            </w:r>
          </w:p>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3" w:type="dxa"/>
            <w:vMerge w:val="restart"/>
            <w:vAlign w:val="center"/>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符合性审查</w:t>
            </w:r>
          </w:p>
        </w:tc>
        <w:tc>
          <w:tcPr>
            <w:tcW w:w="1657" w:type="dxa"/>
            <w:vAlign w:val="center"/>
          </w:tcPr>
          <w:p>
            <w:pPr>
              <w:tabs>
                <w:tab w:val="left" w:pos="146"/>
              </w:tabs>
              <w:ind w:left="146"/>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服务期</w:t>
            </w:r>
            <w:r>
              <w:rPr>
                <w:rFonts w:hint="eastAsia" w:ascii="宋体" w:hAnsi="宋体"/>
                <w:color w:val="000000" w:themeColor="text1"/>
                <w:sz w:val="21"/>
                <w:szCs w:val="21"/>
                <w:highlight w:val="none"/>
                <w14:textFill>
                  <w14:solidFill>
                    <w14:schemeClr w14:val="tx1"/>
                  </w14:solidFill>
                </w14:textFill>
              </w:rPr>
              <w:t>须满足要求</w:t>
            </w:r>
          </w:p>
        </w:tc>
        <w:tc>
          <w:tcPr>
            <w:tcW w:w="2565" w:type="dxa"/>
            <w:vAlign w:val="center"/>
          </w:tcPr>
          <w:p>
            <w:pPr>
              <w:tabs>
                <w:tab w:val="left" w:pos="0"/>
              </w:tabs>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按磋商</w:t>
            </w:r>
            <w:r>
              <w:rPr>
                <w:rFonts w:hint="eastAsia" w:ascii="宋体" w:hAnsi="宋体"/>
                <w:bCs/>
                <w:color w:val="000000" w:themeColor="text1"/>
                <w:sz w:val="21"/>
                <w:szCs w:val="21"/>
                <w:highlight w:val="none"/>
                <w14:textFill>
                  <w14:solidFill>
                    <w14:schemeClr w14:val="tx1"/>
                  </w14:solidFill>
                </w14:textFill>
              </w:rPr>
              <w:t>文件</w:t>
            </w:r>
            <w:r>
              <w:rPr>
                <w:rFonts w:hint="eastAsia" w:ascii="宋体" w:hAnsi="宋体"/>
                <w:color w:val="000000" w:themeColor="text1"/>
                <w:sz w:val="21"/>
                <w:szCs w:val="21"/>
                <w:highlight w:val="none"/>
                <w14:textFill>
                  <w14:solidFill>
                    <w14:schemeClr w14:val="tx1"/>
                  </w14:solidFill>
                </w14:textFill>
              </w:rPr>
              <w:t>要求</w:t>
            </w:r>
          </w:p>
        </w:tc>
        <w:tc>
          <w:tcPr>
            <w:tcW w:w="1725" w:type="dxa"/>
            <w:vAlign w:val="center"/>
          </w:tcPr>
          <w:p>
            <w:pPr>
              <w:tabs>
                <w:tab w:val="left" w:pos="480"/>
              </w:tabs>
              <w:ind w:left="480" w:hanging="480"/>
              <w:rPr>
                <w:rFonts w:ascii="宋体" w:hAnsi="宋体"/>
                <w:b/>
                <w:bCs/>
                <w:color w:val="000000" w:themeColor="text1"/>
                <w:sz w:val="21"/>
                <w:szCs w:val="21"/>
                <w:highlight w:val="none"/>
                <w14:textFill>
                  <w14:solidFill>
                    <w14:schemeClr w14:val="tx1"/>
                  </w14:solidFill>
                </w14:textFill>
              </w:rPr>
            </w:pPr>
          </w:p>
        </w:tc>
        <w:tc>
          <w:tcPr>
            <w:tcW w:w="2497" w:type="dxa"/>
            <w:vAlign w:val="center"/>
          </w:tcPr>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3" w:type="dxa"/>
            <w:vMerge w:val="continue"/>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p>
        </w:tc>
        <w:tc>
          <w:tcPr>
            <w:tcW w:w="1657" w:type="dxa"/>
            <w:vAlign w:val="center"/>
          </w:tcPr>
          <w:p>
            <w:pPr>
              <w:tabs>
                <w:tab w:val="left" w:pos="146"/>
              </w:tabs>
              <w:ind w:left="146"/>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投标报价未超出报价上限</w:t>
            </w:r>
          </w:p>
        </w:tc>
        <w:tc>
          <w:tcPr>
            <w:tcW w:w="2565" w:type="dxa"/>
            <w:vAlign w:val="center"/>
          </w:tcPr>
          <w:p>
            <w:pPr>
              <w:tabs>
                <w:tab w:val="left" w:pos="0"/>
              </w:tabs>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按磋商</w:t>
            </w:r>
            <w:r>
              <w:rPr>
                <w:rFonts w:hint="eastAsia" w:ascii="宋体" w:hAnsi="宋体"/>
                <w:bCs/>
                <w:color w:val="000000" w:themeColor="text1"/>
                <w:sz w:val="21"/>
                <w:szCs w:val="21"/>
                <w:highlight w:val="none"/>
                <w14:textFill>
                  <w14:solidFill>
                    <w14:schemeClr w14:val="tx1"/>
                  </w14:solidFill>
                </w14:textFill>
              </w:rPr>
              <w:t>文件</w:t>
            </w:r>
            <w:r>
              <w:rPr>
                <w:rFonts w:hint="eastAsia" w:ascii="宋体" w:hAnsi="宋体"/>
                <w:color w:val="000000" w:themeColor="text1"/>
                <w:sz w:val="21"/>
                <w:szCs w:val="21"/>
                <w:highlight w:val="none"/>
                <w14:textFill>
                  <w14:solidFill>
                    <w14:schemeClr w14:val="tx1"/>
                  </w14:solidFill>
                </w14:textFill>
              </w:rPr>
              <w:t>要求</w:t>
            </w:r>
          </w:p>
        </w:tc>
        <w:tc>
          <w:tcPr>
            <w:tcW w:w="1725" w:type="dxa"/>
            <w:vAlign w:val="center"/>
          </w:tcPr>
          <w:p>
            <w:pPr>
              <w:tabs>
                <w:tab w:val="left" w:pos="480"/>
              </w:tabs>
              <w:ind w:left="480" w:hanging="480"/>
              <w:rPr>
                <w:rFonts w:ascii="宋体" w:hAnsi="宋体"/>
                <w:b/>
                <w:bCs/>
                <w:color w:val="000000" w:themeColor="text1"/>
                <w:sz w:val="21"/>
                <w:szCs w:val="21"/>
                <w:highlight w:val="none"/>
                <w14:textFill>
                  <w14:solidFill>
                    <w14:schemeClr w14:val="tx1"/>
                  </w14:solidFill>
                </w14:textFill>
              </w:rPr>
            </w:pPr>
          </w:p>
        </w:tc>
        <w:tc>
          <w:tcPr>
            <w:tcW w:w="2497" w:type="dxa"/>
            <w:vAlign w:val="center"/>
          </w:tcPr>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3" w:type="dxa"/>
            <w:vMerge w:val="continue"/>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p>
        </w:tc>
        <w:tc>
          <w:tcPr>
            <w:tcW w:w="1657" w:type="dxa"/>
            <w:vAlign w:val="center"/>
          </w:tcPr>
          <w:p>
            <w:pPr>
              <w:tabs>
                <w:tab w:val="left" w:pos="146"/>
              </w:tabs>
              <w:ind w:left="146"/>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保证金须满足要求</w:t>
            </w:r>
          </w:p>
        </w:tc>
        <w:tc>
          <w:tcPr>
            <w:tcW w:w="2565" w:type="dxa"/>
            <w:vAlign w:val="center"/>
          </w:tcPr>
          <w:p>
            <w:pPr>
              <w:tabs>
                <w:tab w:val="left" w:pos="0"/>
              </w:tabs>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按磋商</w:t>
            </w:r>
            <w:r>
              <w:rPr>
                <w:rFonts w:hint="eastAsia" w:ascii="宋体" w:hAnsi="宋体"/>
                <w:bCs/>
                <w:color w:val="000000" w:themeColor="text1"/>
                <w:sz w:val="21"/>
                <w:szCs w:val="21"/>
                <w:highlight w:val="none"/>
                <w14:textFill>
                  <w14:solidFill>
                    <w14:schemeClr w14:val="tx1"/>
                  </w14:solidFill>
                </w14:textFill>
              </w:rPr>
              <w:t>文件</w:t>
            </w:r>
            <w:r>
              <w:rPr>
                <w:rFonts w:hint="eastAsia" w:ascii="宋体" w:hAnsi="宋体"/>
                <w:color w:val="000000" w:themeColor="text1"/>
                <w:sz w:val="21"/>
                <w:szCs w:val="21"/>
                <w:highlight w:val="none"/>
                <w14:textFill>
                  <w14:solidFill>
                    <w14:schemeClr w14:val="tx1"/>
                  </w14:solidFill>
                </w14:textFill>
              </w:rPr>
              <w:t>要求</w:t>
            </w:r>
          </w:p>
        </w:tc>
        <w:tc>
          <w:tcPr>
            <w:tcW w:w="1725" w:type="dxa"/>
            <w:vAlign w:val="center"/>
          </w:tcPr>
          <w:p>
            <w:pPr>
              <w:tabs>
                <w:tab w:val="left" w:pos="480"/>
              </w:tabs>
              <w:ind w:left="480" w:hanging="480"/>
              <w:rPr>
                <w:rFonts w:ascii="宋体" w:hAnsi="宋体"/>
                <w:color w:val="000000" w:themeColor="text1"/>
                <w:sz w:val="21"/>
                <w:szCs w:val="21"/>
                <w:highlight w:val="none"/>
                <w14:textFill>
                  <w14:solidFill>
                    <w14:schemeClr w14:val="tx1"/>
                  </w14:solidFill>
                </w14:textFill>
              </w:rPr>
            </w:pPr>
          </w:p>
        </w:tc>
        <w:tc>
          <w:tcPr>
            <w:tcW w:w="2497" w:type="dxa"/>
            <w:vAlign w:val="center"/>
          </w:tcPr>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见磋商响应文件</w:t>
            </w:r>
          </w:p>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13" w:type="dxa"/>
            <w:vMerge w:val="continue"/>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p>
        </w:tc>
        <w:tc>
          <w:tcPr>
            <w:tcW w:w="1657" w:type="dxa"/>
            <w:vAlign w:val="center"/>
          </w:tcPr>
          <w:p>
            <w:pPr>
              <w:tabs>
                <w:tab w:val="left" w:pos="146"/>
              </w:tabs>
              <w:ind w:left="146"/>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法定代表人/负责人资格证明书及授权委托书</w:t>
            </w:r>
          </w:p>
        </w:tc>
        <w:tc>
          <w:tcPr>
            <w:tcW w:w="2565" w:type="dxa"/>
            <w:vAlign w:val="center"/>
          </w:tcPr>
          <w:p>
            <w:pPr>
              <w:tabs>
                <w:tab w:val="left" w:pos="0"/>
              </w:tabs>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按对应格式文件签署、盖章(原件)</w:t>
            </w:r>
          </w:p>
        </w:tc>
        <w:tc>
          <w:tcPr>
            <w:tcW w:w="1725" w:type="dxa"/>
            <w:vAlign w:val="center"/>
          </w:tcPr>
          <w:p>
            <w:pPr>
              <w:tabs>
                <w:tab w:val="left" w:pos="480"/>
              </w:tabs>
              <w:ind w:left="-107" w:leftChars="-51" w:firstLine="106"/>
              <w:rPr>
                <w:rFonts w:ascii="宋体" w:hAnsi="宋体"/>
                <w:b/>
                <w:bCs/>
                <w:color w:val="000000" w:themeColor="text1"/>
                <w:sz w:val="21"/>
                <w:szCs w:val="21"/>
                <w:highlight w:val="none"/>
                <w14:textFill>
                  <w14:solidFill>
                    <w14:schemeClr w14:val="tx1"/>
                  </w14:solidFill>
                </w14:textFill>
              </w:rPr>
            </w:pPr>
          </w:p>
        </w:tc>
        <w:tc>
          <w:tcPr>
            <w:tcW w:w="2497" w:type="dxa"/>
            <w:vAlign w:val="center"/>
          </w:tcPr>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13" w:type="dxa"/>
            <w:vMerge w:val="continue"/>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p>
        </w:tc>
        <w:tc>
          <w:tcPr>
            <w:tcW w:w="1657" w:type="dxa"/>
            <w:vAlign w:val="center"/>
          </w:tcPr>
          <w:p>
            <w:pPr>
              <w:tabs>
                <w:tab w:val="left" w:pos="146"/>
              </w:tabs>
              <w:ind w:left="146"/>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不接受联合体投标</w:t>
            </w:r>
          </w:p>
        </w:tc>
        <w:tc>
          <w:tcPr>
            <w:tcW w:w="2565" w:type="dxa"/>
            <w:vAlign w:val="center"/>
          </w:tcPr>
          <w:p>
            <w:pPr>
              <w:tabs>
                <w:tab w:val="left" w:pos="0"/>
              </w:tabs>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按磋商</w:t>
            </w:r>
            <w:r>
              <w:rPr>
                <w:rFonts w:hint="eastAsia" w:ascii="宋体" w:hAnsi="宋体"/>
                <w:bCs/>
                <w:color w:val="000000" w:themeColor="text1"/>
                <w:sz w:val="21"/>
                <w:szCs w:val="21"/>
                <w:highlight w:val="none"/>
                <w14:textFill>
                  <w14:solidFill>
                    <w14:schemeClr w14:val="tx1"/>
                  </w14:solidFill>
                </w14:textFill>
              </w:rPr>
              <w:t>文件</w:t>
            </w:r>
            <w:r>
              <w:rPr>
                <w:rFonts w:hint="eastAsia" w:ascii="宋体" w:hAnsi="宋体"/>
                <w:color w:val="000000" w:themeColor="text1"/>
                <w:sz w:val="21"/>
                <w:szCs w:val="21"/>
                <w:highlight w:val="none"/>
                <w14:textFill>
                  <w14:solidFill>
                    <w14:schemeClr w14:val="tx1"/>
                  </w14:solidFill>
                </w14:textFill>
              </w:rPr>
              <w:t>要求</w:t>
            </w:r>
          </w:p>
        </w:tc>
        <w:tc>
          <w:tcPr>
            <w:tcW w:w="1725" w:type="dxa"/>
            <w:vAlign w:val="center"/>
          </w:tcPr>
          <w:p>
            <w:pPr>
              <w:tabs>
                <w:tab w:val="left" w:pos="480"/>
              </w:tabs>
              <w:ind w:left="-107" w:leftChars="-51" w:firstLine="106"/>
              <w:rPr>
                <w:rFonts w:ascii="宋体" w:hAnsi="宋体"/>
                <w:b/>
                <w:bCs/>
                <w:color w:val="000000" w:themeColor="text1"/>
                <w:sz w:val="21"/>
                <w:szCs w:val="21"/>
                <w:highlight w:val="none"/>
                <w14:textFill>
                  <w14:solidFill>
                    <w14:schemeClr w14:val="tx1"/>
                  </w14:solidFill>
                </w14:textFill>
              </w:rPr>
            </w:pPr>
          </w:p>
        </w:tc>
        <w:tc>
          <w:tcPr>
            <w:tcW w:w="2497" w:type="dxa"/>
            <w:vAlign w:val="center"/>
          </w:tcPr>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见磋商响应文件</w:t>
            </w:r>
          </w:p>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313" w:type="dxa"/>
            <w:vMerge w:val="continue"/>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p>
        </w:tc>
        <w:tc>
          <w:tcPr>
            <w:tcW w:w="1657" w:type="dxa"/>
            <w:vAlign w:val="center"/>
          </w:tcPr>
          <w:p>
            <w:pPr>
              <w:tabs>
                <w:tab w:val="left" w:pos="146"/>
              </w:tabs>
              <w:ind w:left="146"/>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其他要求</w:t>
            </w:r>
          </w:p>
        </w:tc>
        <w:tc>
          <w:tcPr>
            <w:tcW w:w="2565" w:type="dxa"/>
            <w:vAlign w:val="center"/>
          </w:tcPr>
          <w:p>
            <w:pPr>
              <w:tabs>
                <w:tab w:val="left" w:pos="0"/>
              </w:tabs>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按投标资料清单中规定提供“必须提交”的文件资料</w:t>
            </w:r>
          </w:p>
        </w:tc>
        <w:tc>
          <w:tcPr>
            <w:tcW w:w="1725" w:type="dxa"/>
            <w:vAlign w:val="center"/>
          </w:tcPr>
          <w:p>
            <w:pPr>
              <w:tabs>
                <w:tab w:val="left" w:pos="480"/>
              </w:tabs>
              <w:ind w:left="480" w:hanging="480"/>
              <w:rPr>
                <w:rFonts w:ascii="宋体" w:hAnsi="宋体"/>
                <w:b/>
                <w:bCs/>
                <w:color w:val="000000" w:themeColor="text1"/>
                <w:sz w:val="21"/>
                <w:szCs w:val="21"/>
                <w:highlight w:val="none"/>
                <w14:textFill>
                  <w14:solidFill>
                    <w14:schemeClr w14:val="tx1"/>
                  </w14:solidFill>
                </w14:textFill>
              </w:rPr>
            </w:pPr>
          </w:p>
        </w:tc>
        <w:tc>
          <w:tcPr>
            <w:tcW w:w="2497" w:type="dxa"/>
            <w:vAlign w:val="center"/>
          </w:tcPr>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见磋商响应文件</w:t>
            </w:r>
          </w:p>
          <w:p>
            <w:pPr>
              <w:tabs>
                <w:tab w:val="left" w:pos="0"/>
              </w:tabs>
              <w:jc w:val="center"/>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71"/>
    <w:bookmarkEnd w:id="172"/>
    <w:bookmarkEnd w:id="173"/>
    <w:bookmarkEnd w:id="174"/>
    <w:bookmarkEnd w:id="175"/>
    <w:p>
      <w:pPr>
        <w:pStyle w:val="4"/>
        <w:numPr>
          <w:ilvl w:val="1"/>
          <w:numId w:val="0"/>
        </w:numPr>
        <w:spacing w:line="360" w:lineRule="auto"/>
        <w:rPr>
          <w:rFonts w:ascii="宋体" w:hAnsi="宋体"/>
          <w:color w:val="000000" w:themeColor="text1"/>
          <w:highlight w:val="none"/>
          <w14:textFill>
            <w14:solidFill>
              <w14:schemeClr w14:val="tx1"/>
            </w14:solidFill>
          </w14:textFill>
        </w:rPr>
      </w:pPr>
      <w:bookmarkStart w:id="299" w:name="_Toc469160785"/>
      <w:bookmarkStart w:id="300" w:name="_Toc200414515"/>
      <w:bookmarkStart w:id="301" w:name="_Toc31603"/>
      <w:r>
        <w:rPr>
          <w:rFonts w:hint="eastAsia" w:ascii="宋体" w:hAnsi="宋体"/>
          <w:color w:val="000000" w:themeColor="text1"/>
          <w:sz w:val="28"/>
          <w:szCs w:val="28"/>
          <w:highlight w:val="none"/>
          <w14:textFill>
            <w14:solidFill>
              <w14:schemeClr w14:val="tx1"/>
            </w14:solidFill>
          </w14:textFill>
        </w:rPr>
        <w:t>（一）无重大违法记录声明函</w:t>
      </w:r>
      <w:bookmarkEnd w:id="299"/>
      <w:bookmarkEnd w:id="300"/>
      <w:bookmarkEnd w:id="301"/>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pPr>
        <w:pStyle w:val="6"/>
        <w:spacing w:line="360" w:lineRule="auto"/>
        <w:ind w:left="420" w:firstLine="0"/>
        <w:rPr>
          <w:rFonts w:hAnsi="宋体"/>
          <w:color w:val="000000" w:themeColor="text1"/>
          <w:highlight w:val="none"/>
          <w14:textFill>
            <w14:solidFill>
              <w14:schemeClr w14:val="tx1"/>
            </w14:solidFill>
          </w14:textFill>
        </w:rPr>
      </w:pPr>
    </w:p>
    <w:p>
      <w:pPr>
        <w:pStyle w:val="6"/>
        <w:spacing w:line="360" w:lineRule="auto"/>
        <w:ind w:left="420" w:firstLine="0"/>
        <w:rPr>
          <w:rFonts w:hAnsi="宋体"/>
          <w:color w:val="000000" w:themeColor="text1"/>
          <w:highlight w:val="none"/>
          <w14:textFill>
            <w14:solidFill>
              <w14:schemeClr w14:val="tx1"/>
            </w14:solidFill>
          </w14:textFill>
        </w:rPr>
      </w:pPr>
    </w:p>
    <w:p>
      <w:pPr>
        <w:pStyle w:val="6"/>
        <w:spacing w:line="360" w:lineRule="auto"/>
        <w:ind w:left="420" w:firstLine="0"/>
        <w:rPr>
          <w:rFonts w:hAnsi="宋体"/>
          <w:color w:val="000000" w:themeColor="text1"/>
          <w:highlight w:val="none"/>
          <w14:textFill>
            <w14:solidFill>
              <w14:schemeClr w14:val="tx1"/>
            </w14:solidFill>
          </w14:textFill>
        </w:rPr>
      </w:pPr>
    </w:p>
    <w:p>
      <w:pPr>
        <w:pStyle w:val="6"/>
        <w:spacing w:line="360" w:lineRule="auto"/>
        <w:ind w:left="420" w:firstLine="0"/>
        <w:rPr>
          <w:rFonts w:hAnsi="宋体"/>
          <w:color w:val="000000" w:themeColor="text1"/>
          <w:highlight w:val="none"/>
          <w14:textFill>
            <w14:solidFill>
              <w14:schemeClr w14:val="tx1"/>
            </w14:solidFill>
          </w14:textFill>
        </w:rPr>
      </w:pPr>
    </w:p>
    <w:p>
      <w:pPr>
        <w:pStyle w:val="6"/>
        <w:spacing w:line="360" w:lineRule="auto"/>
        <w:ind w:left="420" w:firstLine="0"/>
        <w:rPr>
          <w:rFonts w:hAnsi="宋体"/>
          <w:color w:val="000000" w:themeColor="text1"/>
          <w:highlight w:val="none"/>
          <w14:textFill>
            <w14:solidFill>
              <w14:schemeClr w14:val="tx1"/>
            </w14:solidFill>
          </w14:textFill>
        </w:rPr>
      </w:pPr>
    </w:p>
    <w:p>
      <w:pPr>
        <w:pStyle w:val="6"/>
        <w:spacing w:line="360" w:lineRule="auto"/>
        <w:ind w:left="420" w:firstLine="0"/>
        <w:rPr>
          <w:rFonts w:hAnsi="宋体"/>
          <w:color w:val="000000" w:themeColor="text1"/>
          <w:highlight w:val="none"/>
          <w14:textFill>
            <w14:solidFill>
              <w14:schemeClr w14:val="tx1"/>
            </w14:solidFill>
          </w14:textFill>
        </w:rPr>
      </w:pPr>
    </w:p>
    <w:p>
      <w:pPr>
        <w:pStyle w:val="6"/>
        <w:spacing w:line="360" w:lineRule="auto"/>
        <w:ind w:left="420" w:firstLine="0"/>
        <w:rPr>
          <w:rFonts w:hAnsi="宋体"/>
          <w:color w:val="000000" w:themeColor="text1"/>
          <w:highlight w:val="none"/>
          <w14:textFill>
            <w14:solidFill>
              <w14:schemeClr w14:val="tx1"/>
            </w14:solidFill>
          </w14:textFill>
        </w:rPr>
      </w:pPr>
    </w:p>
    <w:p>
      <w:pPr>
        <w:pStyle w:val="6"/>
        <w:spacing w:line="360" w:lineRule="auto"/>
        <w:ind w:left="420" w:firstLine="0"/>
        <w:rPr>
          <w:rFonts w:hAnsi="宋体"/>
          <w:color w:val="000000" w:themeColor="text1"/>
          <w:highlight w:val="none"/>
          <w14:textFill>
            <w14:solidFill>
              <w14:schemeClr w14:val="tx1"/>
            </w14:solidFill>
          </w14:textFill>
        </w:rPr>
      </w:pPr>
    </w:p>
    <w:p>
      <w:pPr>
        <w:pStyle w:val="4"/>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302" w:name="_Toc200414516"/>
      <w:bookmarkStart w:id="303" w:name="_Toc27822"/>
      <w:bookmarkStart w:id="304" w:name="_Toc46916078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302"/>
      <w:bookmarkEnd w:id="303"/>
      <w:bookmarkEnd w:id="304"/>
    </w:p>
    <w:p>
      <w:pPr>
        <w:pStyle w:val="6"/>
        <w:spacing w:line="360" w:lineRule="auto"/>
        <w:rPr>
          <w:rFonts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6"/>
        <w:spacing w:line="360" w:lineRule="auto"/>
        <w:rPr>
          <w:rFonts w:hAnsi="宋体"/>
          <w:color w:val="000000" w:themeColor="text1"/>
          <w:highlight w:val="none"/>
          <w14:textFill>
            <w14:solidFill>
              <w14:schemeClr w14:val="tx1"/>
            </w14:solidFill>
          </w14:textFill>
        </w:rPr>
      </w:pPr>
    </w:p>
    <w:p>
      <w:pPr>
        <w:pStyle w:val="6"/>
        <w:spacing w:line="360" w:lineRule="auto"/>
        <w:rPr>
          <w:rFonts w:hAnsi="宋体"/>
          <w:color w:val="000000" w:themeColor="text1"/>
          <w:highlight w:val="none"/>
          <w14:textFill>
            <w14:solidFill>
              <w14:schemeClr w14:val="tx1"/>
            </w14:solidFill>
          </w14:textFill>
        </w:rPr>
      </w:pPr>
    </w:p>
    <w:p>
      <w:pPr>
        <w:pStyle w:val="6"/>
        <w:spacing w:line="360" w:lineRule="auto"/>
        <w:rPr>
          <w:rFonts w:hAnsi="宋体"/>
          <w:color w:val="000000" w:themeColor="text1"/>
          <w:highlight w:val="none"/>
          <w14:textFill>
            <w14:solidFill>
              <w14:schemeClr w14:val="tx1"/>
            </w14:solidFill>
          </w14:textFill>
        </w:rPr>
      </w:pPr>
    </w:p>
    <w:p>
      <w:pPr>
        <w:pStyle w:val="6"/>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BG&#10;xe6UWgIAAKYEAAAOAAAAAAAAAAEAIAAAACYBAABkcnMvZTJvRG9jLnhtbFBLBQYAAAAABgAGAFkB&#10;AADyBQ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pPr>
        <w:pStyle w:val="6"/>
        <w:spacing w:line="360" w:lineRule="auto"/>
        <w:ind w:firstLine="0"/>
        <w:rPr>
          <w:rFonts w:hAnsi="宋体"/>
          <w:color w:val="000000" w:themeColor="text1"/>
          <w:highlight w:val="none"/>
          <w14:textFill>
            <w14:solidFill>
              <w14:schemeClr w14:val="tx1"/>
            </w14:solidFill>
          </w14:textFill>
        </w:rPr>
      </w:pPr>
    </w:p>
    <w:p>
      <w:pPr>
        <w:pStyle w:val="6"/>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pPr>
        <w:pStyle w:val="6"/>
        <w:spacing w:line="360" w:lineRule="auto"/>
        <w:ind w:firstLine="0"/>
        <w:rPr>
          <w:rFonts w:hAnsi="宋体"/>
          <w:color w:val="000000" w:themeColor="text1"/>
          <w:highlight w:val="none"/>
          <w14:textFill>
            <w14:solidFill>
              <w14:schemeClr w14:val="tx1"/>
            </w14:solidFill>
          </w14:textFill>
        </w:rPr>
      </w:pPr>
    </w:p>
    <w:p>
      <w:pPr>
        <w:pStyle w:val="6"/>
        <w:spacing w:line="360" w:lineRule="auto"/>
        <w:rPr>
          <w:rFonts w:hAnsi="宋体"/>
          <w:color w:val="000000" w:themeColor="text1"/>
          <w:highlight w:val="none"/>
          <w14:textFill>
            <w14:solidFill>
              <w14:schemeClr w14:val="tx1"/>
            </w14:solidFill>
          </w14:textFill>
        </w:rPr>
      </w:pPr>
    </w:p>
    <w:p>
      <w:pPr>
        <w:pStyle w:val="6"/>
        <w:spacing w:line="360" w:lineRule="auto"/>
        <w:rPr>
          <w:rFonts w:hAnsi="宋体"/>
          <w:color w:val="000000" w:themeColor="text1"/>
          <w:highlight w:val="none"/>
          <w14:textFill>
            <w14:solidFill>
              <w14:schemeClr w14:val="tx1"/>
            </w14:solidFill>
          </w14:textFill>
        </w:rPr>
      </w:pPr>
    </w:p>
    <w:p>
      <w:pPr>
        <w:pStyle w:val="6"/>
        <w:spacing w:line="360" w:lineRule="auto"/>
        <w:rPr>
          <w:rFonts w:hAnsi="宋体"/>
          <w:color w:val="000000" w:themeColor="text1"/>
          <w:highlight w:val="none"/>
          <w14:textFill>
            <w14:solidFill>
              <w14:schemeClr w14:val="tx1"/>
            </w14:solidFill>
          </w14:textFill>
        </w:rPr>
      </w:pPr>
    </w:p>
    <w:p>
      <w:pPr>
        <w:pStyle w:val="6"/>
        <w:spacing w:line="360" w:lineRule="auto"/>
        <w:rPr>
          <w:rFonts w:hAnsi="宋体"/>
          <w:color w:val="000000" w:themeColor="text1"/>
          <w:highlight w:val="none"/>
          <w14:textFill>
            <w14:solidFill>
              <w14:schemeClr w14:val="tx1"/>
            </w14:solidFill>
          </w14:textFill>
        </w:rPr>
      </w:pPr>
    </w:p>
    <w:p>
      <w:pPr>
        <w:pStyle w:val="6"/>
        <w:spacing w:line="360" w:lineRule="auto"/>
        <w:rPr>
          <w:rFonts w:hAnsi="宋体"/>
          <w:color w:val="000000" w:themeColor="text1"/>
          <w:highlight w:val="none"/>
          <w14:textFill>
            <w14:solidFill>
              <w14:schemeClr w14:val="tx1"/>
            </w14:solidFill>
          </w14:textFill>
        </w:rPr>
      </w:pPr>
    </w:p>
    <w:p>
      <w:pPr>
        <w:pStyle w:val="6"/>
        <w:spacing w:line="360" w:lineRule="auto"/>
        <w:rPr>
          <w:rFonts w:hAnsi="宋体"/>
          <w:color w:val="000000" w:themeColor="text1"/>
          <w:highlight w:val="none"/>
          <w14:textFill>
            <w14:solidFill>
              <w14:schemeClr w14:val="tx1"/>
            </w14:solidFill>
          </w14:textFill>
        </w:r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5" w:name="_Toc200414517"/>
      <w:bookmarkStart w:id="306" w:name="_Toc15358"/>
      <w:bookmarkStart w:id="307" w:name="_Toc469160787"/>
      <w:r>
        <w:rPr>
          <w:rFonts w:hint="eastAsia" w:ascii="宋体" w:hAnsi="宋体"/>
          <w:color w:val="000000" w:themeColor="text1"/>
          <w:sz w:val="28"/>
          <w:szCs w:val="28"/>
          <w:highlight w:val="none"/>
          <w14:textFill>
            <w14:solidFill>
              <w14:schemeClr w14:val="tx1"/>
            </w14:solidFill>
          </w14:textFill>
        </w:rPr>
        <w:t>（三）法定代表人（负责人）授权书</w:t>
      </w:r>
      <w:bookmarkEnd w:id="305"/>
      <w:bookmarkEnd w:id="306"/>
      <w:bookmarkEnd w:id="307"/>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fAi9BFoCAACmBAAADgAAAAAAAAABACAAAAAnAQAAZHJzL2Uyb0RvYy54bWxQSwUGAAAAAAYABgBZ&#10;AQAA8wU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8" w:name="_Toc3831"/>
      <w:bookmarkStart w:id="309" w:name="_Toc200414523"/>
      <w:bookmarkStart w:id="310" w:name="_Toc46916079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8"/>
      <w:bookmarkEnd w:id="309"/>
      <w:bookmarkEnd w:id="310"/>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p>
      <w:pPr>
        <w:pStyle w:val="4"/>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11" w:name="_Toc469160794"/>
      <w:bookmarkStart w:id="312" w:name="_Toc200414524"/>
      <w:bookmarkStart w:id="313" w:name="_Toc32012"/>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11"/>
      <w:bookmarkEnd w:id="312"/>
      <w:bookmarkEnd w:id="313"/>
    </w:p>
    <w:p>
      <w:pPr>
        <w:pStyle w:val="4"/>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14" w:name="_Toc10412"/>
      <w:bookmarkStart w:id="315" w:name="_Toc200414525"/>
      <w:bookmarkStart w:id="316" w:name="_Toc469160795"/>
      <w:r>
        <w:rPr>
          <w:rFonts w:hint="eastAsia" w:ascii="宋体" w:hAnsi="宋体"/>
          <w:color w:val="000000" w:themeColor="text1"/>
          <w:sz w:val="28"/>
          <w:szCs w:val="28"/>
          <w:highlight w:val="none"/>
          <w14:textFill>
            <w14:solidFill>
              <w14:schemeClr w14:val="tx1"/>
            </w14:solidFill>
          </w14:textFill>
        </w:rPr>
        <w:t>附件一</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响应</w:t>
      </w:r>
      <w:r>
        <w:rPr>
          <w:rFonts w:hint="eastAsia" w:ascii="宋体" w:hAnsi="宋体"/>
          <w:color w:val="000000" w:themeColor="text1"/>
          <w:sz w:val="28"/>
          <w:szCs w:val="28"/>
          <w:highlight w:val="none"/>
          <w14:textFill>
            <w14:solidFill>
              <w14:schemeClr w14:val="tx1"/>
            </w14:solidFill>
          </w14:textFill>
        </w:rPr>
        <w:t>函</w:t>
      </w:r>
      <w:bookmarkEnd w:id="314"/>
      <w:bookmarkEnd w:id="315"/>
      <w:bookmarkEnd w:id="316"/>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的投标邀请（项目编号：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auto"/>
        <w:ind w:left="374" w:leftChars="178"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形式提交的磋商保证金，金额为大写</w:t>
      </w:r>
      <w:r>
        <w:rPr>
          <w:rFonts w:hint="eastAsia" w:ascii="宋体" w:hAnsi="宋体"/>
          <w:color w:val="000000" w:themeColor="text1"/>
          <w:szCs w:val="21"/>
          <w:highlight w:val="none"/>
          <w14:textFill>
            <w14:solidFill>
              <w14:schemeClr w14:val="tx1"/>
            </w14:solidFill>
          </w14:textFill>
        </w:rPr>
        <w:t>人民币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为采购项目提供整体设计、规范编制或者项目管理、监理、检测等服务的供应商，不得再参加同一采购项目的其他采购活动</w:t>
      </w:r>
      <w:r>
        <w:rPr>
          <w:rFonts w:hint="eastAsia" w:ascii="宋体" w:hAnsi="宋体"/>
          <w:bCs/>
          <w:color w:val="000000" w:themeColor="text1"/>
          <w:szCs w:val="21"/>
          <w:highlight w:val="none"/>
          <w:lang w:eastAsia="zh-CN"/>
          <w14:textFill>
            <w14:solidFill>
              <w14:schemeClr w14:val="tx1"/>
            </w14:solidFill>
          </w14:textFill>
        </w:rPr>
        <w:t>。</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bCs/>
          <w:color w:val="000000" w:themeColor="text1"/>
          <w:szCs w:val="21"/>
          <w:highlight w:val="none"/>
          <w:lang w:eastAsia="zh-CN"/>
          <w14:textFill>
            <w14:solidFill>
              <w14:schemeClr w14:val="tx1"/>
            </w14:solidFill>
          </w14:textFill>
        </w:rPr>
        <w:t>。</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本次投标所报内容完全按照磋商文件要求填</w:t>
      </w:r>
      <w:r>
        <w:rPr>
          <w:rFonts w:hint="eastAsia" w:ascii="宋体" w:hAnsi="宋体"/>
          <w:bCs/>
          <w:color w:val="000000" w:themeColor="text1"/>
          <w:szCs w:val="21"/>
          <w:highlight w:val="none"/>
          <w14:textFill>
            <w14:solidFill>
              <w14:schemeClr w14:val="tx1"/>
            </w14:solidFill>
          </w14:textFill>
        </w:rPr>
        <w:t>报，所有内容都是真实、准确的。</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本次投标自递交磋商响应文件截止之日起有效期为90天。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如果在规定的递交磋商响应文件截止之日后，供应商在投标有效期内撤回投标，投标保证金将被贵方没收。</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pStyle w:val="26"/>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7" w:name="_Toc200414526"/>
      <w:bookmarkStart w:id="318" w:name="_Toc17366"/>
      <w:bookmarkStart w:id="319" w:name="_Toc469160796"/>
      <w:r>
        <w:rPr>
          <w:rFonts w:hint="eastAsia" w:ascii="宋体" w:hAnsi="宋体"/>
          <w:color w:val="000000" w:themeColor="text1"/>
          <w:sz w:val="28"/>
          <w:szCs w:val="28"/>
          <w:highlight w:val="none"/>
          <w14:textFill>
            <w14:solidFill>
              <w14:schemeClr w14:val="tx1"/>
            </w14:solidFill>
          </w14:textFill>
        </w:rPr>
        <w:t>附件二：第一次报价一览表</w:t>
      </w:r>
      <w:bookmarkEnd w:id="317"/>
      <w:bookmarkEnd w:id="318"/>
      <w:bookmarkEnd w:id="319"/>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YXZB-20221209</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阳江市漠阳江中下游综合治理工程—江城段白蚁防治服务</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服务期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0" w:name="_Toc2407"/>
      <w:bookmarkStart w:id="321" w:name="_Toc200414527"/>
      <w:bookmarkStart w:id="322" w:name="_Toc469160797"/>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20"/>
      <w:bookmarkEnd w:id="321"/>
      <w:bookmarkEnd w:id="322"/>
    </w:p>
    <w:p>
      <w:pPr>
        <w:adjustRightInd w:val="0"/>
        <w:snapToGrid w:val="0"/>
        <w:spacing w:line="360" w:lineRule="auto"/>
        <w:jc w:val="left"/>
        <w:rPr>
          <w:rFonts w:ascii="宋体" w:hAnsi="宋体"/>
          <w:b/>
          <w:bCs/>
          <w:cap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YXZB-20221209</w:t>
      </w:r>
      <w:r>
        <w:rPr>
          <w:rFonts w:hint="eastAsia" w:ascii="宋体" w:hAnsi="宋体"/>
          <w:b/>
          <w:bCs/>
          <w:caps/>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阳江市漠阳江中下游综合治理工程—江城段白蚁防治服务</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pPr>
              <w:pStyle w:val="6"/>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pPr>
              <w:pStyle w:val="6"/>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pPr>
              <w:pStyle w:val="6"/>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pPr>
              <w:pStyle w:val="6"/>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pPr>
              <w:pStyle w:val="6"/>
              <w:snapToGrid w:val="0"/>
              <w:ind w:firstLine="0"/>
              <w:jc w:val="center"/>
              <w:rPr>
                <w:rFonts w:hAnsi="宋体"/>
                <w:bCs/>
                <w:color w:val="000000" w:themeColor="text1"/>
                <w:sz w:val="21"/>
                <w:szCs w:val="21"/>
                <w:highlight w:val="none"/>
                <w14:textFill>
                  <w14:solidFill>
                    <w14:schemeClr w14:val="tx1"/>
                  </w14:solidFill>
                </w14:textFill>
              </w:rPr>
            </w:pPr>
          </w:p>
        </w:tc>
      </w:tr>
    </w:tbl>
    <w:p>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bookmarkStart w:id="323" w:name="_Toc200414528"/>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4" w:name="_Toc469160798"/>
      <w:bookmarkStart w:id="325" w:name="_Toc24563"/>
      <w:r>
        <w:rPr>
          <w:rFonts w:hint="eastAsia" w:ascii="宋体" w:hAnsi="宋体"/>
          <w:color w:val="000000" w:themeColor="text1"/>
          <w:sz w:val="28"/>
          <w:szCs w:val="28"/>
          <w:highlight w:val="none"/>
          <w14:textFill>
            <w14:solidFill>
              <w14:schemeClr w14:val="tx1"/>
            </w14:solidFill>
          </w14:textFill>
        </w:rPr>
        <w:t>附件四：商务条款偏离一览表</w:t>
      </w:r>
      <w:bookmarkEnd w:id="323"/>
      <w:bookmarkEnd w:id="324"/>
      <w:bookmarkEnd w:id="325"/>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YXZB-20221209</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阳江市漠阳江中下游综合治理工程—江城段白蚁防治服务</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6" w:name="_Toc24899"/>
      <w:bookmarkStart w:id="327" w:name="_Toc200414529"/>
      <w:bookmarkStart w:id="328" w:name="_Toc469160799"/>
      <w:r>
        <w:rPr>
          <w:rFonts w:hint="eastAsia" w:ascii="宋体" w:hAnsi="宋体"/>
          <w:color w:val="000000" w:themeColor="text1"/>
          <w:sz w:val="28"/>
          <w:szCs w:val="28"/>
          <w:highlight w:val="none"/>
          <w14:textFill>
            <w14:solidFill>
              <w14:schemeClr w14:val="tx1"/>
            </w14:solidFill>
          </w14:textFill>
        </w:rPr>
        <w:t>附件五：技术条款偏离一览表</w:t>
      </w:r>
      <w:bookmarkEnd w:id="326"/>
      <w:bookmarkEnd w:id="327"/>
      <w:bookmarkEnd w:id="328"/>
    </w:p>
    <w:p>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YXZB-20221209</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阳江市漠阳江中下游综合治理工程—江城段白蚁防治服务</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spacing w:line="360" w:lineRule="auto"/>
        <w:ind w:firstLine="0"/>
        <w:rPr>
          <w:rFonts w:hAnsi="宋体"/>
          <w:bCs/>
          <w:color w:val="000000" w:themeColor="text1"/>
          <w:szCs w:val="21"/>
          <w:highlight w:val="none"/>
          <w14:textFill>
            <w14:solidFill>
              <w14:schemeClr w14:val="tx1"/>
            </w14:solidFill>
          </w14:textFill>
        </w:rPr>
      </w:pPr>
    </w:p>
    <w:p>
      <w:pPr>
        <w:pStyle w:val="4"/>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9" w:name="_Toc7786"/>
      <w:r>
        <w:rPr>
          <w:rFonts w:hint="eastAsia" w:ascii="宋体" w:hAnsi="宋体"/>
          <w:color w:val="000000" w:themeColor="text1"/>
          <w:sz w:val="28"/>
          <w:szCs w:val="28"/>
          <w:highlight w:val="none"/>
          <w14:textFill>
            <w14:solidFill>
              <w14:schemeClr w14:val="tx1"/>
            </w14:solidFill>
          </w14:textFill>
        </w:rPr>
        <w:t>附件六：同类业绩一览表</w:t>
      </w:r>
      <w:bookmarkEnd w:id="329"/>
    </w:p>
    <w:p>
      <w:pPr>
        <w:pStyle w:val="6"/>
        <w:rPr>
          <w:color w:val="000000" w:themeColor="text1"/>
          <w:highlight w:val="none"/>
          <w14:textFill>
            <w14:solidFill>
              <w14:schemeClr w14:val="tx1"/>
            </w14:solidFill>
          </w14:textFill>
        </w:rPr>
      </w:pPr>
    </w:p>
    <w:p>
      <w:pPr>
        <w:pStyle w:val="6"/>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YXZB-20221209</w:t>
      </w:r>
      <w:r>
        <w:rPr>
          <w:rFonts w:hint="eastAsia"/>
          <w:b/>
          <w:bCs/>
          <w:color w:val="000000" w:themeColor="text1"/>
          <w:sz w:val="21"/>
          <w:szCs w:val="21"/>
          <w:highlight w:val="none"/>
          <w14:textFill>
            <w14:solidFill>
              <w14:schemeClr w14:val="tx1"/>
            </w14:solidFill>
          </w14:textFill>
        </w:rPr>
        <w:t xml:space="preserve">  </w:t>
      </w:r>
    </w:p>
    <w:p>
      <w:pPr>
        <w:pStyle w:val="6"/>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阳江市漠阳江中下游综合治理工程—江城段白蚁防治服务</w:t>
      </w:r>
    </w:p>
    <w:p>
      <w:pPr>
        <w:pStyle w:val="6"/>
        <w:ind w:firstLine="0"/>
        <w:rPr>
          <w:b/>
          <w:bCs/>
          <w:color w:val="000000" w:themeColor="text1"/>
          <w:sz w:val="21"/>
          <w:szCs w:val="21"/>
          <w:highlight w:val="none"/>
          <w:u w:val="single"/>
          <w14:textFill>
            <w14:solidFill>
              <w14:schemeClr w14:val="tx1"/>
            </w14:solidFill>
          </w14:textFill>
        </w:rPr>
      </w:pPr>
    </w:p>
    <w:tbl>
      <w:tblPr>
        <w:tblStyle w:val="5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bl>
    <w:p>
      <w:pPr>
        <w:pStyle w:val="6"/>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6"/>
        <w:ind w:firstLine="0"/>
        <w:rPr>
          <w:rFonts w:hAnsi="宋体"/>
          <w:bCs/>
          <w:color w:val="000000" w:themeColor="text1"/>
          <w:sz w:val="21"/>
          <w:highlight w:val="none"/>
          <w14:textFill>
            <w14:solidFill>
              <w14:schemeClr w14:val="tx1"/>
            </w14:solidFill>
          </w14:textFill>
        </w:rPr>
      </w:pPr>
    </w:p>
    <w:p>
      <w:pPr>
        <w:pStyle w:val="6"/>
        <w:ind w:firstLine="0"/>
        <w:rPr>
          <w:rFonts w:hAnsi="宋体"/>
          <w:bCs/>
          <w:color w:val="000000" w:themeColor="text1"/>
          <w:sz w:val="21"/>
          <w:highlight w:val="none"/>
          <w14:textFill>
            <w14:solidFill>
              <w14:schemeClr w14:val="tx1"/>
            </w14:solidFill>
          </w14:textFill>
        </w:rPr>
      </w:pPr>
    </w:p>
    <w:p>
      <w:pPr>
        <w:pStyle w:val="6"/>
        <w:ind w:firstLine="0"/>
        <w:rPr>
          <w:rFonts w:hAnsi="宋体"/>
          <w:bCs/>
          <w:color w:val="000000" w:themeColor="text1"/>
          <w:sz w:val="21"/>
          <w:highlight w:val="none"/>
          <w14:textFill>
            <w14:solidFill>
              <w14:schemeClr w14:val="tx1"/>
            </w14:solidFill>
          </w14:textFill>
        </w:rPr>
      </w:pPr>
    </w:p>
    <w:p>
      <w:pPr>
        <w:pStyle w:val="6"/>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pPr>
        <w:pStyle w:val="6"/>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pPr>
        <w:pStyle w:val="6"/>
        <w:ind w:firstLine="0"/>
        <w:rPr>
          <w:rFonts w:hAnsi="宋体"/>
          <w:bCs/>
          <w:color w:val="000000" w:themeColor="text1"/>
          <w:sz w:val="21"/>
          <w:szCs w:val="21"/>
          <w:highlight w:val="none"/>
          <w14:textFill>
            <w14:solidFill>
              <w14:schemeClr w14:val="tx1"/>
            </w14:solidFill>
          </w14:textFill>
        </w:rPr>
      </w:pPr>
    </w:p>
    <w:p>
      <w:pPr>
        <w:pStyle w:val="6"/>
        <w:ind w:firstLine="0"/>
        <w:rPr>
          <w:rFonts w:hAnsi="宋体"/>
          <w:bCs/>
          <w:color w:val="000000" w:themeColor="text1"/>
          <w:sz w:val="21"/>
          <w:szCs w:val="21"/>
          <w:highlight w:val="none"/>
          <w14:textFill>
            <w14:solidFill>
              <w14:schemeClr w14:val="tx1"/>
            </w14:solidFill>
          </w14:textFill>
        </w:rPr>
      </w:pPr>
    </w:p>
    <w:p>
      <w:pPr>
        <w:pStyle w:val="6"/>
        <w:ind w:firstLine="0"/>
        <w:rPr>
          <w:rFonts w:hAnsi="宋体"/>
          <w:bCs/>
          <w:color w:val="000000" w:themeColor="text1"/>
          <w:sz w:val="21"/>
          <w:szCs w:val="21"/>
          <w:highlight w:val="none"/>
          <w14:textFill>
            <w14:solidFill>
              <w14:schemeClr w14:val="tx1"/>
            </w14:solidFill>
          </w14:textFill>
        </w:rPr>
      </w:pPr>
    </w:p>
    <w:p>
      <w:pPr>
        <w:pStyle w:val="6"/>
        <w:ind w:firstLine="0"/>
        <w:rPr>
          <w:rFonts w:hAnsi="宋体"/>
          <w:bCs/>
          <w:color w:val="000000" w:themeColor="text1"/>
          <w:sz w:val="21"/>
          <w:szCs w:val="21"/>
          <w:highlight w:val="none"/>
          <w14:textFill>
            <w14:solidFill>
              <w14:schemeClr w14:val="tx1"/>
            </w14:solidFill>
          </w14:textFill>
        </w:rPr>
      </w:pPr>
    </w:p>
    <w:p>
      <w:pPr>
        <w:pStyle w:val="6"/>
        <w:ind w:firstLine="0"/>
        <w:rPr>
          <w:rFonts w:hAnsi="宋体"/>
          <w:bCs/>
          <w:color w:val="000000" w:themeColor="text1"/>
          <w:sz w:val="21"/>
          <w:szCs w:val="21"/>
          <w:highlight w:val="none"/>
          <w14:textFill>
            <w14:solidFill>
              <w14:schemeClr w14:val="tx1"/>
            </w14:solidFill>
          </w14:textFill>
        </w:rPr>
      </w:pPr>
    </w:p>
    <w:p>
      <w:pPr>
        <w:pStyle w:val="6"/>
        <w:ind w:firstLine="0"/>
        <w:rPr>
          <w:rFonts w:hAnsi="宋体"/>
          <w:bCs/>
          <w:color w:val="000000" w:themeColor="text1"/>
          <w:sz w:val="21"/>
          <w:szCs w:val="21"/>
          <w:highlight w:val="none"/>
          <w14:textFill>
            <w14:solidFill>
              <w14:schemeClr w14:val="tx1"/>
            </w14:solidFill>
          </w14:textFill>
        </w:rPr>
      </w:pPr>
    </w:p>
    <w:p>
      <w:pPr>
        <w:pStyle w:val="6"/>
        <w:ind w:firstLine="0"/>
        <w:rPr>
          <w:rFonts w:hAnsi="宋体"/>
          <w:bCs/>
          <w:color w:val="000000" w:themeColor="text1"/>
          <w:sz w:val="21"/>
          <w:szCs w:val="21"/>
          <w:highlight w:val="none"/>
          <w14:textFill>
            <w14:solidFill>
              <w14:schemeClr w14:val="tx1"/>
            </w14:solidFill>
          </w14:textFill>
        </w:rPr>
      </w:pPr>
    </w:p>
    <w:p>
      <w:pPr>
        <w:pStyle w:val="6"/>
        <w:ind w:firstLine="0"/>
        <w:rPr>
          <w:rFonts w:hAnsi="宋体"/>
          <w:bCs/>
          <w:color w:val="000000" w:themeColor="text1"/>
          <w:sz w:val="21"/>
          <w:szCs w:val="21"/>
          <w:highlight w:val="none"/>
          <w14:textFill>
            <w14:solidFill>
              <w14:schemeClr w14:val="tx1"/>
            </w14:solidFill>
          </w14:textFill>
        </w:rPr>
      </w:pPr>
    </w:p>
    <w:p>
      <w:pPr>
        <w:pStyle w:val="6"/>
        <w:ind w:firstLine="0"/>
        <w:rPr>
          <w:rFonts w:hAnsi="宋体"/>
          <w:bCs/>
          <w:color w:val="000000" w:themeColor="text1"/>
          <w:sz w:val="21"/>
          <w:szCs w:val="21"/>
          <w:highlight w:val="none"/>
          <w14:textFill>
            <w14:solidFill>
              <w14:schemeClr w14:val="tx1"/>
            </w14:solidFill>
          </w14:textFill>
        </w:rPr>
      </w:pPr>
    </w:p>
    <w:p>
      <w:pPr>
        <w:pStyle w:val="6"/>
        <w:ind w:firstLine="0"/>
        <w:rPr>
          <w:rFonts w:hAnsi="宋体"/>
          <w:bCs/>
          <w:color w:val="000000" w:themeColor="text1"/>
          <w:sz w:val="21"/>
          <w:szCs w:val="21"/>
          <w:highlight w:val="none"/>
          <w14:textFill>
            <w14:solidFill>
              <w14:schemeClr w14:val="tx1"/>
            </w14:solidFill>
          </w14:textFill>
        </w:rPr>
      </w:pPr>
    </w:p>
    <w:p>
      <w:pPr>
        <w:pStyle w:val="4"/>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30" w:name="_Toc432695229"/>
      <w:bookmarkStart w:id="331" w:name="_Toc29667"/>
      <w:bookmarkStart w:id="332" w:name="_Toc432682754"/>
      <w:bookmarkStart w:id="333" w:name="_Toc11866431"/>
      <w:bookmarkStart w:id="334" w:name="_Toc11866689"/>
      <w:bookmarkStart w:id="335" w:name="_Toc430771089"/>
      <w:bookmarkStart w:id="336" w:name="_Toc7149"/>
      <w:bookmarkStart w:id="337" w:name="_Toc333237819"/>
      <w:bookmarkStart w:id="338" w:name="_Toc330460016"/>
      <w:bookmarkStart w:id="339" w:name="_Toc341348370"/>
      <w:bookmarkStart w:id="340" w:name="_Toc340507472"/>
      <w:bookmarkStart w:id="341" w:name="_Toc365967105"/>
      <w:bookmarkStart w:id="342" w:name="_Toc343248448"/>
      <w:bookmarkStart w:id="343" w:name="_Toc342296791"/>
      <w:bookmarkStart w:id="344" w:name="_Toc342398160"/>
      <w:bookmarkStart w:id="345" w:name="_Toc333935376"/>
      <w:bookmarkStart w:id="346" w:name="_Toc366072562"/>
      <w:bookmarkStart w:id="347" w:name="_Toc331512931"/>
      <w:bookmarkStart w:id="348" w:name="_Toc337632388"/>
      <w:bookmarkStart w:id="349" w:name="_Toc345312627"/>
      <w:bookmarkStart w:id="350" w:name="_Toc331684072"/>
      <w:bookmarkStart w:id="351" w:name="_Toc339020125"/>
      <w:bookmarkStart w:id="352" w:name="_Toc339441117"/>
      <w:bookmarkStart w:id="353" w:name="_Toc340672899"/>
      <w:bookmarkStart w:id="354" w:name="_Toc342060405"/>
      <w:bookmarkStart w:id="355" w:name="_Toc333935717"/>
      <w:bookmarkStart w:id="356" w:name="_Toc336681965"/>
      <w:bookmarkStart w:id="357" w:name="_Toc339362330"/>
      <w:bookmarkStart w:id="358" w:name="_Toc102451601"/>
      <w:bookmarkStart w:id="359" w:name="_Toc339019919"/>
      <w:bookmarkStart w:id="360" w:name="_Toc343612950"/>
      <w:bookmarkStart w:id="361" w:name="_Toc350756480"/>
      <w:bookmarkStart w:id="362" w:name="_Toc333238664"/>
      <w:bookmarkStart w:id="363" w:name="_Toc339020263"/>
      <w:bookmarkStart w:id="364" w:name="_Toc336681610"/>
      <w:bookmarkStart w:id="365" w:name="_Toc339020045"/>
      <w:bookmarkStart w:id="366" w:name="_Toc365985211"/>
      <w:bookmarkStart w:id="367" w:name="_Toc343247130"/>
      <w:bookmarkStart w:id="368" w:name="_Toc333237708"/>
      <w:bookmarkStart w:id="369" w:name="_Toc332270377"/>
      <w:bookmarkStart w:id="370" w:name="_Toc332206739"/>
      <w:bookmarkStart w:id="371" w:name="_Toc350438779"/>
      <w:bookmarkStart w:id="372" w:name="_Toc340677100"/>
      <w:bookmarkStart w:id="373" w:name="_Toc342312473"/>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30"/>
      <w:bookmarkEnd w:id="331"/>
      <w:bookmarkEnd w:id="332"/>
      <w:bookmarkEnd w:id="333"/>
      <w:bookmarkEnd w:id="334"/>
      <w:bookmarkEnd w:id="335"/>
      <w:bookmarkEnd w:id="336"/>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440" w:lineRule="exact"/>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Pr>
        <w:pStyle w:val="4"/>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74" w:name="_Toc11866432"/>
      <w:bookmarkStart w:id="375" w:name="_Toc20242"/>
      <w:bookmarkStart w:id="376" w:name="_Toc32373"/>
      <w:bookmarkStart w:id="377" w:name="_Toc11866690"/>
      <w:bookmarkStart w:id="378" w:name="_Toc7201"/>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74"/>
      <w:bookmarkEnd w:id="375"/>
      <w:bookmarkEnd w:id="376"/>
      <w:bookmarkEnd w:id="377"/>
      <w:bookmarkEnd w:id="378"/>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pStyle w:val="6"/>
        <w:ind w:firstLine="0"/>
        <w:rPr>
          <w:color w:val="000000" w:themeColor="text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日期：年月日</w:t>
      </w:r>
    </w:p>
    <w:p>
      <w:pPr>
        <w:pStyle w:val="6"/>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9" w:name="_Toc31516"/>
      <w:bookmarkStart w:id="380" w:name="_Toc469160804"/>
      <w:bookmarkStart w:id="381" w:name="_Toc200414534"/>
      <w:r>
        <w:rPr>
          <w:rFonts w:hint="eastAsia" w:ascii="宋体" w:hAnsi="宋体"/>
          <w:color w:val="000000" w:themeColor="text1"/>
          <w:sz w:val="28"/>
          <w:szCs w:val="28"/>
          <w:highlight w:val="none"/>
          <w14:textFill>
            <w14:solidFill>
              <w14:schemeClr w14:val="tx1"/>
            </w14:solidFill>
          </w14:textFill>
        </w:rPr>
        <w:t>附件九：成交服务费承诺</w:t>
      </w:r>
      <w:bookmarkEnd w:id="379"/>
      <w:bookmarkEnd w:id="380"/>
      <w:bookmarkEnd w:id="381"/>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82" w:name="_Toc8695"/>
      <w:bookmarkStart w:id="383" w:name="_Toc200414535"/>
      <w:bookmarkStart w:id="384" w:name="_Toc46916080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82"/>
      <w:bookmarkEnd w:id="383"/>
      <w:bookmarkEnd w:id="384"/>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YXZB-20221209</w:t>
      </w:r>
      <w:r>
        <w:rPr>
          <w:rFonts w:hint="eastAsia" w:ascii="宋体" w:hAnsi="宋体"/>
          <w:b/>
          <w:bCs/>
          <w:cap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阳江市漠阳江中下游综合治理工程—江城段白蚁防治服务</w:t>
      </w:r>
      <w:r>
        <w:rPr>
          <w:rFonts w:hint="eastAsia" w:ascii="宋体" w:hAnsi="宋体"/>
          <w:b/>
          <w:bCs/>
          <w:color w:val="000000" w:themeColor="text1"/>
          <w:szCs w:val="21"/>
          <w:highlight w:val="none"/>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6"/>
        <w:spacing w:line="360" w:lineRule="auto"/>
        <w:rPr>
          <w:rFonts w:hAnsi="宋体"/>
          <w:color w:val="000000" w:themeColor="text1"/>
          <w:sz w:val="21"/>
          <w:szCs w:val="21"/>
          <w:highlight w:val="none"/>
          <w14:textFill>
            <w14:solidFill>
              <w14:schemeClr w14:val="tx1"/>
            </w14:solidFill>
          </w14:textFill>
        </w:rPr>
      </w:pPr>
    </w:p>
    <w:p>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spacing w:line="360" w:lineRule="auto"/>
        <w:rPr>
          <w:rFonts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6"/>
        <w:spacing w:line="360" w:lineRule="auto"/>
        <w:rPr>
          <w:rFonts w:hAnsi="宋体"/>
          <w:color w:val="000000" w:themeColor="text1"/>
          <w:highlight w:val="none"/>
          <w14:textFill>
            <w14:solidFill>
              <w14:schemeClr w14:val="tx1"/>
            </w14:solidFill>
          </w14:textFill>
        </w:rPr>
      </w:pPr>
    </w:p>
    <w:p>
      <w:pPr>
        <w:pStyle w:val="6"/>
        <w:ind w:firstLine="0"/>
        <w:rPr>
          <w:rFonts w:hAnsi="宋体"/>
          <w:color w:val="000000" w:themeColor="text1"/>
          <w:highlight w:val="none"/>
          <w14:textFill>
            <w14:solidFill>
              <w14:schemeClr w14:val="tx1"/>
            </w14:solidFill>
          </w14:textFill>
        </w:rPr>
      </w:pPr>
      <w:bookmarkStart w:id="385" w:name="_Toc434832511"/>
    </w:p>
    <w:p>
      <w:pPr>
        <w:pStyle w:val="6"/>
        <w:ind w:firstLine="0"/>
        <w:rPr>
          <w:rFonts w:hAnsi="宋体"/>
          <w:color w:val="000000" w:themeColor="text1"/>
          <w:highlight w:val="none"/>
          <w14:textFill>
            <w14:solidFill>
              <w14:schemeClr w14:val="tx1"/>
            </w14:solidFill>
          </w14:textFill>
        </w:rPr>
      </w:pPr>
    </w:p>
    <w:p>
      <w:pPr>
        <w:pStyle w:val="6"/>
        <w:ind w:firstLine="0"/>
        <w:rPr>
          <w:rFonts w:hAnsi="宋体"/>
          <w:color w:val="000000" w:themeColor="text1"/>
          <w:highlight w:val="none"/>
          <w14:textFill>
            <w14:solidFill>
              <w14:schemeClr w14:val="tx1"/>
            </w14:solidFill>
          </w14:textFill>
        </w:rPr>
      </w:pPr>
    </w:p>
    <w:p>
      <w:pPr>
        <w:pStyle w:val="6"/>
        <w:ind w:firstLine="0"/>
        <w:rPr>
          <w:rFonts w:hAnsi="宋体"/>
          <w:color w:val="000000" w:themeColor="text1"/>
          <w:highlight w:val="none"/>
          <w14:textFill>
            <w14:solidFill>
              <w14:schemeClr w14:val="tx1"/>
            </w14:solidFill>
          </w14:textFill>
        </w:rPr>
      </w:pPr>
    </w:p>
    <w:p>
      <w:pPr>
        <w:pStyle w:val="6"/>
        <w:ind w:firstLine="0"/>
        <w:rPr>
          <w:rFonts w:hAnsi="宋体"/>
          <w:color w:val="000000" w:themeColor="text1"/>
          <w:highlight w:val="none"/>
          <w14:textFill>
            <w14:solidFill>
              <w14:schemeClr w14:val="tx1"/>
            </w14:solidFill>
          </w14:textFill>
        </w:rPr>
      </w:pPr>
    </w:p>
    <w:p>
      <w:pPr>
        <w:pStyle w:val="6"/>
        <w:ind w:firstLine="0"/>
        <w:rPr>
          <w:rFonts w:hAnsi="宋体"/>
          <w:color w:val="000000" w:themeColor="text1"/>
          <w:highlight w:val="none"/>
          <w14:textFill>
            <w14:solidFill>
              <w14:schemeClr w14:val="tx1"/>
            </w14:solidFill>
          </w14:textFill>
        </w:rPr>
      </w:pPr>
    </w:p>
    <w:p>
      <w:pPr>
        <w:pStyle w:val="6"/>
        <w:ind w:firstLine="0"/>
        <w:rPr>
          <w:rFonts w:hAnsi="宋体"/>
          <w:color w:val="000000" w:themeColor="text1"/>
          <w:highlight w:val="none"/>
          <w14:textFill>
            <w14:solidFill>
              <w14:schemeClr w14:val="tx1"/>
            </w14:solidFill>
          </w14:textFill>
        </w:rPr>
      </w:pPr>
    </w:p>
    <w:p>
      <w:pPr>
        <w:pStyle w:val="6"/>
        <w:ind w:firstLine="0"/>
        <w:rPr>
          <w:rFonts w:hAnsi="宋体"/>
          <w:color w:val="000000" w:themeColor="text1"/>
          <w:highlight w:val="none"/>
          <w14:textFill>
            <w14:solidFill>
              <w14:schemeClr w14:val="tx1"/>
            </w14:solidFill>
          </w14:textFill>
        </w:rPr>
      </w:pPr>
    </w:p>
    <w:p>
      <w:pPr>
        <w:pStyle w:val="6"/>
        <w:ind w:firstLine="0"/>
        <w:rPr>
          <w:rFonts w:hAnsi="宋体"/>
          <w:color w:val="000000" w:themeColor="text1"/>
          <w:highlight w:val="none"/>
          <w14:textFill>
            <w14:solidFill>
              <w14:schemeClr w14:val="tx1"/>
            </w14:solidFill>
          </w14:textFill>
        </w:rPr>
      </w:pPr>
    </w:p>
    <w:p>
      <w:pPr>
        <w:pStyle w:val="4"/>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6" w:name="_Toc16684"/>
      <w:bookmarkStart w:id="387" w:name="_Toc469160806"/>
      <w:r>
        <w:rPr>
          <w:rFonts w:hint="eastAsia" w:ascii="宋体" w:hAnsi="宋体"/>
          <w:color w:val="000000" w:themeColor="text1"/>
          <w:sz w:val="52"/>
          <w:highlight w:val="none"/>
          <w14:textFill>
            <w14:solidFill>
              <w14:schemeClr w14:val="tx1"/>
            </w14:solidFill>
          </w14:textFill>
        </w:rPr>
        <w:t>其 他 格 式</w:t>
      </w:r>
      <w:bookmarkEnd w:id="385"/>
      <w:bookmarkEnd w:id="386"/>
      <w:bookmarkEnd w:id="387"/>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pStyle w:val="5"/>
        <w:numPr>
          <w:ilvl w:val="2"/>
          <w:numId w:val="0"/>
        </w:numPr>
        <w:spacing w:afterLines="50"/>
        <w:jc w:val="center"/>
        <w:rPr>
          <w:rFonts w:ascii="宋体" w:hAnsi="宋体" w:eastAsia="宋体"/>
          <w:color w:val="000000" w:themeColor="text1"/>
          <w:sz w:val="28"/>
          <w:highlight w:val="none"/>
          <w14:textFill>
            <w14:solidFill>
              <w14:schemeClr w14:val="tx1"/>
            </w14:solidFill>
          </w14:textFill>
        </w:rPr>
      </w:pPr>
      <w:bookmarkStart w:id="388" w:name="_Toc469160807"/>
      <w:bookmarkStart w:id="389" w:name="_Toc19117"/>
      <w:r>
        <w:rPr>
          <w:rFonts w:hint="eastAsia" w:ascii="宋体" w:hAnsi="宋体" w:eastAsia="宋体"/>
          <w:color w:val="000000" w:themeColor="text1"/>
          <w:sz w:val="28"/>
          <w:highlight w:val="none"/>
          <w14:textFill>
            <w14:solidFill>
              <w14:schemeClr w14:val="tx1"/>
            </w14:solidFill>
          </w14:textFill>
        </w:rPr>
        <w:t>投标保证金退付书</w:t>
      </w:r>
      <w:bookmarkEnd w:id="388"/>
      <w:bookmarkEnd w:id="389"/>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5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r>
              <w:rPr>
                <w:rStyle w:val="137"/>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r>
              <w:rPr>
                <w:rStyle w:val="137"/>
                <w:rFonts w:hint="eastAsia" w:ascii="宋体" w:hAnsi="宋体"/>
                <w:color w:val="000000" w:themeColor="text1"/>
                <w:spacing w:val="10"/>
                <w:sz w:val="21"/>
                <w:szCs w:val="21"/>
                <w:highlight w:val="none"/>
                <w:lang w:val="zh-CN"/>
                <w14:textFill>
                  <w14:solidFill>
                    <w14:schemeClr w14:val="tx1"/>
                  </w14:solidFill>
                </w14:textFill>
              </w:rPr>
              <w:t>阳江市漠阳江中下游综合治理工程—江城段白蚁防治服务</w:t>
            </w:r>
            <w:r>
              <w:rPr>
                <w:rStyle w:val="137"/>
                <w:rFonts w:ascii="宋体" w:hAnsi="宋体" w:eastAsia="宋体"/>
                <w:color w:val="000000" w:themeColor="text1"/>
                <w:spacing w:val="10"/>
                <w:sz w:val="21"/>
                <w:szCs w:val="21"/>
                <w:highlight w:val="none"/>
                <w:lang w:val="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r>
              <w:rPr>
                <w:rStyle w:val="137"/>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r>
              <w:rPr>
                <w:rStyle w:val="137"/>
                <w:rFonts w:hint="eastAsia" w:ascii="宋体" w:hAnsi="宋体"/>
                <w:color w:val="000000" w:themeColor="text1"/>
                <w:spacing w:val="10"/>
                <w:sz w:val="21"/>
                <w:szCs w:val="21"/>
                <w:highlight w:val="none"/>
                <w:lang w:val="zh-CN"/>
                <w14:textFill>
                  <w14:solidFill>
                    <w14:schemeClr w14:val="tx1"/>
                  </w14:solidFill>
                </w14:textFill>
              </w:rPr>
              <w:t>YXZB-20221209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r>
              <w:rPr>
                <w:rStyle w:val="137"/>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r>
              <w:rPr>
                <w:rStyle w:val="137"/>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137"/>
                <w:rFonts w:ascii="宋体" w:hAnsi="宋体" w:eastAsia="宋体"/>
                <w:color w:val="000000" w:themeColor="text1"/>
                <w:spacing w:val="10"/>
                <w:sz w:val="21"/>
                <w:szCs w:val="21"/>
                <w:highlight w:val="none"/>
                <w:u w:val="single"/>
                <w:lang w:val="zh-CN"/>
                <w14:textFill>
                  <w14:solidFill>
                    <w14:schemeClr w14:val="tx1"/>
                  </w14:solidFill>
                </w14:textFill>
              </w:rPr>
            </w:pPr>
            <w:r>
              <w:rPr>
                <w:rStyle w:val="137"/>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r>
              <w:rPr>
                <w:rStyle w:val="137"/>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137"/>
                <w:rFonts w:ascii="宋体" w:hAnsi="宋体" w:eastAsia="宋体"/>
                <w:color w:val="000000" w:themeColor="text1"/>
                <w:spacing w:val="10"/>
                <w:sz w:val="21"/>
                <w:szCs w:val="21"/>
                <w:highlight w:val="none"/>
                <w:lang w:val="zh-CN"/>
                <w14:textFill>
                  <w14:solidFill>
                    <w14:schemeClr w14:val="tx1"/>
                  </w14:solidFill>
                </w14:textFill>
              </w:rPr>
            </w:pPr>
            <w:r>
              <w:rPr>
                <w:rStyle w:val="137"/>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r>
              <w:rPr>
                <w:rStyle w:val="137"/>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137"/>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137"/>
                <w:rFonts w:ascii="宋体" w:hAnsi="宋体" w:eastAsia="宋体"/>
                <w:color w:val="000000" w:themeColor="text1"/>
                <w:spacing w:val="10"/>
                <w:sz w:val="21"/>
                <w:szCs w:val="21"/>
                <w:highlight w:val="none"/>
                <w:lang w:val="zh-CN"/>
                <w14:textFill>
                  <w14:solidFill>
                    <w14:schemeClr w14:val="tx1"/>
                  </w14:solidFill>
                </w14:textFill>
              </w:rPr>
            </w:pPr>
            <w:r>
              <w:rPr>
                <w:rStyle w:val="137"/>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r>
              <w:rPr>
                <w:rStyle w:val="137"/>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137"/>
                <w:rFonts w:ascii="宋体" w:hAnsi="宋体" w:eastAsia="宋体"/>
                <w:color w:val="000000" w:themeColor="text1"/>
                <w:spacing w:val="10"/>
                <w:sz w:val="21"/>
                <w:szCs w:val="21"/>
                <w:highlight w:val="none"/>
                <w:u w:val="single"/>
                <w:lang w:val="zh-CN"/>
                <w14:textFill>
                  <w14:solidFill>
                    <w14:schemeClr w14:val="tx1"/>
                  </w14:solidFill>
                </w14:textFill>
              </w:rPr>
            </w:pPr>
            <w:r>
              <w:rPr>
                <w:rStyle w:val="137"/>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r>
              <w:rPr>
                <w:rStyle w:val="137"/>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137"/>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r>
              <w:rPr>
                <w:rStyle w:val="137"/>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137"/>
                <w:rFonts w:ascii="宋体" w:hAnsi="宋体" w:eastAsia="宋体"/>
                <w:color w:val="000000" w:themeColor="text1"/>
                <w:spacing w:val="10"/>
                <w:sz w:val="21"/>
                <w:szCs w:val="21"/>
                <w:highlight w:val="none"/>
                <w:lang w:val="zh-CN"/>
                <w14:textFill>
                  <w14:solidFill>
                    <w14:schemeClr w14:val="tx1"/>
                  </w14:solidFill>
                </w14:textFill>
              </w:rPr>
            </w:pPr>
            <w:r>
              <w:rPr>
                <w:rStyle w:val="137"/>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137"/>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137"/>
                <w:rFonts w:ascii="宋体" w:hAnsi="宋体" w:eastAsia="宋体"/>
                <w:color w:val="000000" w:themeColor="text1"/>
                <w:spacing w:val="10"/>
                <w:sz w:val="21"/>
                <w:szCs w:val="21"/>
                <w:highlight w:val="none"/>
                <w:lang w:val="zh-CN"/>
                <w14:textFill>
                  <w14:solidFill>
                    <w14:schemeClr w14:val="tx1"/>
                  </w14:solidFill>
                </w14:textFill>
              </w:rPr>
            </w:pPr>
            <w:r>
              <w:rPr>
                <w:rStyle w:val="137"/>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137"/>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52"/>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5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pPr>
        <w:pStyle w:val="46"/>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rPr>
          <w:rFonts w:ascii="宋体" w:hAnsi="宋体"/>
          <w:b/>
          <w:color w:val="000000" w:themeColor="text1"/>
          <w:szCs w:val="21"/>
          <w:highlight w:val="none"/>
          <w14:textFill>
            <w14:solidFill>
              <w14:schemeClr w14:val="tx1"/>
            </w14:solidFill>
          </w14:textFill>
        </w:rPr>
      </w:pPr>
    </w:p>
    <w:sectPr>
      <w:head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6"/>
      </w:rPr>
    </w:pPr>
    <w:r>
      <w:fldChar w:fldCharType="begin"/>
    </w:r>
    <w:r>
      <w:rPr>
        <w:rStyle w:val="56"/>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5"/>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2"/>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4"/>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9"/>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2"/>
      <w:lvlText w:val="%1. "/>
      <w:lvlJc w:val="left"/>
      <w:pPr>
        <w:tabs>
          <w:tab w:val="left" w:pos="839"/>
        </w:tabs>
        <w:ind w:left="839" w:hanging="419"/>
      </w:pPr>
    </w:lvl>
    <w:lvl w:ilvl="1" w:tentative="0">
      <w:start w:val="1"/>
      <w:numFmt w:val="upperLetter"/>
      <w:pStyle w:val="186"/>
      <w:lvlText w:val="%2. "/>
      <w:lvlJc w:val="left"/>
      <w:pPr>
        <w:tabs>
          <w:tab w:val="left" w:pos="1049"/>
        </w:tabs>
        <w:ind w:left="1049" w:hanging="420"/>
      </w:pPr>
    </w:lvl>
    <w:lvl w:ilvl="2" w:tentative="0">
      <w:start w:val="1"/>
      <w:numFmt w:val="lowerLetter"/>
      <w:pStyle w:val="246"/>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5"/>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4"/>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7"/>
      <w:lvlText w:val="%1)"/>
      <w:lvlJc w:val="left"/>
      <w:pPr>
        <w:tabs>
          <w:tab w:val="left" w:pos="420"/>
        </w:tabs>
        <w:ind w:left="420" w:hanging="420"/>
      </w:pPr>
    </w:lvl>
    <w:lvl w:ilvl="1" w:tentative="0">
      <w:start w:val="1"/>
      <w:numFmt w:val="lowerLetter"/>
      <w:pStyle w:val="101"/>
      <w:lvlText w:val="%2)"/>
      <w:lvlJc w:val="left"/>
      <w:pPr>
        <w:tabs>
          <w:tab w:val="left" w:pos="840"/>
        </w:tabs>
        <w:ind w:left="840" w:hanging="420"/>
      </w:pPr>
    </w:lvl>
    <w:lvl w:ilvl="2" w:tentative="0">
      <w:start w:val="1"/>
      <w:numFmt w:val="lowerRoman"/>
      <w:pStyle w:val="100"/>
      <w:lvlText w:val="%3."/>
      <w:lvlJc w:val="right"/>
      <w:pPr>
        <w:tabs>
          <w:tab w:val="left" w:pos="1260"/>
        </w:tabs>
        <w:ind w:left="1260" w:hanging="420"/>
      </w:pPr>
    </w:lvl>
    <w:lvl w:ilvl="3" w:tentative="0">
      <w:start w:val="1"/>
      <w:numFmt w:val="decimal"/>
      <w:pStyle w:val="22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5"/>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3"/>
      <w:suff w:val="space"/>
      <w:lvlText w:val="%1.%2.%3"/>
      <w:lvlJc w:val="left"/>
      <w:pPr>
        <w:tabs>
          <w:tab w:val="left" w:pos="1418"/>
        </w:tabs>
        <w:ind w:left="0" w:firstLine="0"/>
      </w:pPr>
    </w:lvl>
    <w:lvl w:ilvl="3" w:tentative="0">
      <w:start w:val="1"/>
      <w:numFmt w:val="decimal"/>
      <w:pStyle w:val="170"/>
      <w:suff w:val="space"/>
      <w:lvlText w:val="%1.%2.%3.%4"/>
      <w:lvlJc w:val="left"/>
      <w:pPr>
        <w:tabs>
          <w:tab w:val="left" w:pos="1984"/>
        </w:tabs>
        <w:ind w:left="0" w:firstLine="0"/>
      </w:pPr>
    </w:lvl>
    <w:lvl w:ilvl="4" w:tentative="0">
      <w:start w:val="1"/>
      <w:numFmt w:val="decimal"/>
      <w:pStyle w:val="206"/>
      <w:suff w:val="space"/>
      <w:lvlText w:val="%1.%2.%3.%4.%5"/>
      <w:lvlJc w:val="left"/>
      <w:pPr>
        <w:tabs>
          <w:tab w:val="left" w:pos="2551"/>
        </w:tabs>
        <w:ind w:left="0" w:firstLine="0"/>
      </w:pPr>
    </w:lvl>
    <w:lvl w:ilvl="5" w:tentative="0">
      <w:start w:val="1"/>
      <w:numFmt w:val="decimal"/>
      <w:pStyle w:val="260"/>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singleLevel"/>
    <w:tmpl w:val="00000021"/>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21">
    <w:nsid w:val="00000024"/>
    <w:multiLevelType w:val="multilevel"/>
    <w:tmpl w:val="00000024"/>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0"/>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
  </w:num>
  <w:num w:numId="3">
    <w:abstractNumId w:val="20"/>
  </w:num>
  <w:num w:numId="4">
    <w:abstractNumId w:val="21"/>
  </w:num>
  <w:num w:numId="5">
    <w:abstractNumId w:val="4"/>
  </w:num>
  <w:num w:numId="6">
    <w:abstractNumId w:val="11"/>
  </w:num>
  <w:num w:numId="7">
    <w:abstractNumId w:val="7"/>
  </w:num>
  <w:num w:numId="8">
    <w:abstractNumId w:val="10"/>
  </w:num>
  <w:num w:numId="9">
    <w:abstractNumId w:val="17"/>
  </w:num>
  <w:num w:numId="10">
    <w:abstractNumId w:val="6"/>
  </w:num>
  <w:num w:numId="11">
    <w:abstractNumId w:val="1"/>
  </w:num>
  <w:num w:numId="12">
    <w:abstractNumId w:val="5"/>
  </w:num>
  <w:num w:numId="13">
    <w:abstractNumId w:val="15"/>
  </w:num>
  <w:num w:numId="14">
    <w:abstractNumId w:val="3"/>
  </w:num>
  <w:num w:numId="15">
    <w:abstractNumId w:val="22"/>
  </w:num>
  <w:num w:numId="16">
    <w:abstractNumId w:val="9"/>
  </w:num>
  <w:num w:numId="17">
    <w:abstractNumId w:val="8"/>
  </w:num>
  <w:num w:numId="18">
    <w:abstractNumId w:val="0"/>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D96468"/>
    <w:rsid w:val="046C420D"/>
    <w:rsid w:val="05DC5BCB"/>
    <w:rsid w:val="06CC4290"/>
    <w:rsid w:val="07474F91"/>
    <w:rsid w:val="0A7315F2"/>
    <w:rsid w:val="0E567261"/>
    <w:rsid w:val="0F262DEA"/>
    <w:rsid w:val="10AC760C"/>
    <w:rsid w:val="13730200"/>
    <w:rsid w:val="144D4C62"/>
    <w:rsid w:val="1568312A"/>
    <w:rsid w:val="19A760A5"/>
    <w:rsid w:val="1C0B6AEA"/>
    <w:rsid w:val="20FE699D"/>
    <w:rsid w:val="2114292B"/>
    <w:rsid w:val="23871054"/>
    <w:rsid w:val="26835D38"/>
    <w:rsid w:val="2A2E29E8"/>
    <w:rsid w:val="2E327012"/>
    <w:rsid w:val="2EBA484A"/>
    <w:rsid w:val="2FAA5E8A"/>
    <w:rsid w:val="316A0071"/>
    <w:rsid w:val="34A01C68"/>
    <w:rsid w:val="34E67435"/>
    <w:rsid w:val="3570223A"/>
    <w:rsid w:val="382A41B9"/>
    <w:rsid w:val="3C346CB0"/>
    <w:rsid w:val="456745A5"/>
    <w:rsid w:val="458A55B2"/>
    <w:rsid w:val="462E2FD1"/>
    <w:rsid w:val="46CD2BC9"/>
    <w:rsid w:val="47D87B0B"/>
    <w:rsid w:val="49D9210B"/>
    <w:rsid w:val="4A6C513B"/>
    <w:rsid w:val="4B163B35"/>
    <w:rsid w:val="4CEB2649"/>
    <w:rsid w:val="4D380DDB"/>
    <w:rsid w:val="4E6D29C4"/>
    <w:rsid w:val="4F244236"/>
    <w:rsid w:val="50C569C4"/>
    <w:rsid w:val="53847836"/>
    <w:rsid w:val="544163CA"/>
    <w:rsid w:val="56B22645"/>
    <w:rsid w:val="57D14C92"/>
    <w:rsid w:val="58E552C1"/>
    <w:rsid w:val="59383F31"/>
    <w:rsid w:val="593C03CE"/>
    <w:rsid w:val="5EF93166"/>
    <w:rsid w:val="5F0B4ACB"/>
    <w:rsid w:val="5FB3660D"/>
    <w:rsid w:val="5FBF3369"/>
    <w:rsid w:val="636E2764"/>
    <w:rsid w:val="64FC5595"/>
    <w:rsid w:val="65F04A1A"/>
    <w:rsid w:val="66811B16"/>
    <w:rsid w:val="69C91413"/>
    <w:rsid w:val="6A55309E"/>
    <w:rsid w:val="6DE12CFF"/>
    <w:rsid w:val="6EC0660D"/>
    <w:rsid w:val="71495E20"/>
    <w:rsid w:val="733F6699"/>
    <w:rsid w:val="75B025BC"/>
    <w:rsid w:val="75BB7B2E"/>
    <w:rsid w:val="75EF0D47"/>
    <w:rsid w:val="77B857AE"/>
    <w:rsid w:val="78A37C84"/>
    <w:rsid w:val="7B24371D"/>
    <w:rsid w:val="7C5C73F6"/>
    <w:rsid w:val="7FAE75AA"/>
    <w:rsid w:val="7FB12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6"/>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8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6"/>
    <w:link w:val="89"/>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6"/>
    <w:link w:val="6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6"/>
    <w:link w:val="149"/>
    <w:qFormat/>
    <w:uiPriority w:val="0"/>
    <w:pPr>
      <w:keepNext/>
      <w:keepLines/>
      <w:spacing w:before="280" w:after="290" w:line="376" w:lineRule="auto"/>
      <w:outlineLvl w:val="4"/>
    </w:pPr>
    <w:rPr>
      <w:b/>
      <w:sz w:val="28"/>
      <w:szCs w:val="20"/>
    </w:rPr>
  </w:style>
  <w:style w:type="paragraph" w:styleId="9">
    <w:name w:val="heading 6"/>
    <w:basedOn w:val="1"/>
    <w:next w:val="6"/>
    <w:link w:val="114"/>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6"/>
    <w:link w:val="142"/>
    <w:qFormat/>
    <w:uiPriority w:val="0"/>
    <w:pPr>
      <w:keepNext/>
      <w:keepLines/>
      <w:spacing w:before="240" w:after="64" w:line="320" w:lineRule="auto"/>
      <w:outlineLvl w:val="6"/>
    </w:pPr>
    <w:rPr>
      <w:b/>
      <w:bCs/>
      <w:sz w:val="24"/>
    </w:rPr>
  </w:style>
  <w:style w:type="paragraph" w:styleId="11">
    <w:name w:val="heading 8"/>
    <w:basedOn w:val="1"/>
    <w:next w:val="6"/>
    <w:link w:val="122"/>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6"/>
    <w:link w:val="96"/>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numPr>
        <w:ilvl w:val="0"/>
        <w:numId w:val="2"/>
      </w:numPr>
      <w:tabs>
        <w:tab w:val="clear" w:pos="360"/>
      </w:tabs>
      <w:ind w:left="0" w:firstLine="0"/>
      <w:jc w:val="left"/>
    </w:pPr>
    <w:rPr>
      <w:rFonts w:ascii="Arial" w:hAnsi="Arial" w:eastAsia="仿宋_GB2312" w:cs="Arial"/>
      <w:sz w:val="18"/>
      <w:szCs w:val="18"/>
    </w:rPr>
  </w:style>
  <w:style w:type="paragraph" w:styleId="6">
    <w:name w:val="Normal Indent"/>
    <w:basedOn w:val="1"/>
    <w:link w:val="125"/>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link w:val="121"/>
    <w:qFormat/>
    <w:uiPriority w:val="0"/>
    <w:pPr>
      <w:spacing w:line="360" w:lineRule="auto"/>
    </w:pPr>
    <w:rPr>
      <w:rFonts w:ascii="Arial" w:hAnsi="Arial" w:eastAsia="黑体"/>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1"/>
    <w:qFormat/>
    <w:uiPriority w:val="0"/>
    <w:pPr>
      <w:spacing w:line="360" w:lineRule="auto"/>
      <w:jc w:val="left"/>
    </w:pPr>
    <w:rPr>
      <w:szCs w:val="20"/>
    </w:rPr>
  </w:style>
  <w:style w:type="paragraph" w:styleId="19">
    <w:name w:val="Body Text 3"/>
    <w:basedOn w:val="1"/>
    <w:link w:val="79"/>
    <w:qFormat/>
    <w:uiPriority w:val="0"/>
    <w:pPr>
      <w:spacing w:after="120"/>
    </w:pPr>
    <w:rPr>
      <w:sz w:val="16"/>
      <w:szCs w:val="16"/>
    </w:rPr>
  </w:style>
  <w:style w:type="paragraph" w:styleId="20">
    <w:name w:val="Body Text"/>
    <w:basedOn w:val="1"/>
    <w:link w:val="95"/>
    <w:qFormat/>
    <w:uiPriority w:val="0"/>
    <w:pPr>
      <w:spacing w:after="120"/>
    </w:pPr>
  </w:style>
  <w:style w:type="paragraph" w:styleId="21">
    <w:name w:val="Body Text Indent"/>
    <w:basedOn w:val="1"/>
    <w:link w:val="131"/>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3"/>
      </w:numPr>
    </w:pPr>
  </w:style>
  <w:style w:type="paragraph" w:styleId="23">
    <w:name w:val="HTML Address"/>
    <w:basedOn w:val="1"/>
    <w:link w:val="116"/>
    <w:qFormat/>
    <w:uiPriority w:val="0"/>
    <w:pPr>
      <w:numPr>
        <w:ilvl w:val="0"/>
        <w:numId w:val="4"/>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2"/>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3"/>
    <w:qFormat/>
    <w:uiPriority w:val="0"/>
    <w:pPr>
      <w:numPr>
        <w:ilvl w:val="0"/>
        <w:numId w:val="5"/>
      </w:numPr>
      <w:ind w:left="100" w:leftChars="2500"/>
    </w:pPr>
  </w:style>
  <w:style w:type="paragraph" w:styleId="30">
    <w:name w:val="Body Text Indent 2"/>
    <w:basedOn w:val="1"/>
    <w:link w:val="123"/>
    <w:qFormat/>
    <w:uiPriority w:val="0"/>
    <w:pPr>
      <w:spacing w:line="480" w:lineRule="exact"/>
      <w:ind w:left="810" w:firstLine="675"/>
    </w:pPr>
    <w:rPr>
      <w:rFonts w:eastAsia="仿宋_GB2312"/>
      <w:kern w:val="0"/>
      <w:sz w:val="30"/>
      <w:szCs w:val="20"/>
    </w:rPr>
  </w:style>
  <w:style w:type="paragraph" w:styleId="31">
    <w:name w:val="Balloon Text"/>
    <w:basedOn w:val="1"/>
    <w:link w:val="152"/>
    <w:qFormat/>
    <w:uiPriority w:val="0"/>
    <w:rPr>
      <w:sz w:val="18"/>
      <w:szCs w:val="18"/>
    </w:rPr>
  </w:style>
  <w:style w:type="paragraph" w:styleId="32">
    <w:name w:val="footer"/>
    <w:basedOn w:val="1"/>
    <w:link w:val="85"/>
    <w:qFormat/>
    <w:uiPriority w:val="0"/>
    <w:pPr>
      <w:tabs>
        <w:tab w:val="center" w:pos="4153"/>
        <w:tab w:val="right" w:pos="8306"/>
      </w:tabs>
      <w:snapToGrid w:val="0"/>
      <w:jc w:val="left"/>
    </w:pPr>
    <w:rPr>
      <w:kern w:val="0"/>
      <w:sz w:val="18"/>
      <w:szCs w:val="18"/>
    </w:rPr>
  </w:style>
  <w:style w:type="paragraph" w:styleId="33">
    <w:name w:val="header"/>
    <w:basedOn w:val="1"/>
    <w:link w:val="135"/>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6"/>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6"/>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98"/>
    <w:qFormat/>
    <w:uiPriority w:val="0"/>
    <w:pPr>
      <w:spacing w:line="360" w:lineRule="auto"/>
    </w:pPr>
    <w:rPr>
      <w:rFonts w:ascii="仿宋_GB2312" w:eastAsia="仿宋_GB2312"/>
      <w:sz w:val="32"/>
    </w:rPr>
  </w:style>
  <w:style w:type="paragraph" w:styleId="45">
    <w:name w:val="HTML Preformatted"/>
    <w:basedOn w:val="1"/>
    <w:link w:val="1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91"/>
    <w:qFormat/>
    <w:uiPriority w:val="0"/>
    <w:pPr>
      <w:spacing w:before="240" w:after="60"/>
      <w:jc w:val="center"/>
      <w:outlineLvl w:val="0"/>
    </w:pPr>
    <w:rPr>
      <w:rFonts w:ascii="Cambria" w:hAnsi="Cambria"/>
      <w:b/>
      <w:bCs/>
      <w:sz w:val="32"/>
      <w:szCs w:val="32"/>
    </w:rPr>
  </w:style>
  <w:style w:type="paragraph" w:styleId="49">
    <w:name w:val="annotation subject"/>
    <w:basedOn w:val="18"/>
    <w:next w:val="18"/>
    <w:link w:val="128"/>
    <w:qFormat/>
    <w:uiPriority w:val="0"/>
    <w:pPr>
      <w:spacing w:line="240" w:lineRule="auto"/>
    </w:pPr>
    <w:rPr>
      <w:b/>
      <w:bCs/>
      <w:szCs w:val="24"/>
    </w:rPr>
  </w:style>
  <w:style w:type="paragraph" w:styleId="50">
    <w:name w:val="Body Text First Indent"/>
    <w:basedOn w:val="20"/>
    <w:link w:val="159"/>
    <w:qFormat/>
    <w:uiPriority w:val="0"/>
    <w:pPr>
      <w:ind w:firstLine="100" w:firstLineChars="100"/>
    </w:pPr>
    <w:rPr>
      <w:rFonts w:ascii="Calibri" w:hAnsi="Calibri"/>
      <w:szCs w:val="22"/>
    </w:rPr>
  </w:style>
  <w:style w:type="paragraph" w:styleId="51">
    <w:name w:val="Body Text First Indent 2"/>
    <w:basedOn w:val="21"/>
    <w:link w:val="66"/>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3">
    <w:name w:val="Table Grid"/>
    <w:basedOn w:val="5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customStyle="1" w:styleId="61">
    <w:name w:val="文档正文 Char1"/>
    <w:link w:val="62"/>
    <w:qFormat/>
    <w:uiPriority w:val="0"/>
    <w:rPr>
      <w:rFonts w:ascii="Arial Narrow" w:hAnsi="Arial Narrow"/>
      <w:sz w:val="24"/>
      <w:szCs w:val="24"/>
      <w:lang w:val="en-US" w:eastAsia="zh-CN" w:bidi="ar-SA"/>
    </w:rPr>
  </w:style>
  <w:style w:type="paragraph" w:customStyle="1" w:styleId="62">
    <w:name w:val="文档正文"/>
    <w:link w:val="61"/>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3">
    <w:name w:val="font1"/>
    <w:qFormat/>
    <w:uiPriority w:val="0"/>
    <w:rPr>
      <w:sz w:val="18"/>
      <w:szCs w:val="18"/>
      <w:u w:val="none"/>
    </w:rPr>
  </w:style>
  <w:style w:type="character" w:customStyle="1" w:styleId="64">
    <w:name w:val="标题 4 Char"/>
    <w:link w:val="7"/>
    <w:qFormat/>
    <w:uiPriority w:val="0"/>
    <w:rPr>
      <w:rFonts w:ascii="Arial" w:hAnsi="Arial" w:eastAsia="黑体"/>
      <w:b/>
      <w:bCs/>
      <w:kern w:val="2"/>
      <w:sz w:val="28"/>
      <w:szCs w:val="28"/>
      <w:lang w:val="en-US" w:eastAsia="zh-CN" w:bidi="ar-SA"/>
    </w:rPr>
  </w:style>
  <w:style w:type="character" w:customStyle="1" w:styleId="65">
    <w:name w:val="font21"/>
    <w:qFormat/>
    <w:uiPriority w:val="0"/>
    <w:rPr>
      <w:rFonts w:hint="default" w:ascii="Arial" w:hAnsi="Arial" w:cs="Arial"/>
      <w:color w:val="000000"/>
      <w:sz w:val="24"/>
      <w:szCs w:val="24"/>
      <w:u w:val="none"/>
    </w:rPr>
  </w:style>
  <w:style w:type="character" w:customStyle="1" w:styleId="66">
    <w:name w:val="正文首行缩进 2 Char"/>
    <w:link w:val="51"/>
    <w:qFormat/>
    <w:uiPriority w:val="0"/>
    <w:rPr>
      <w:rFonts w:ascii="Calibri" w:hAnsi="Calibri" w:eastAsia="仿宋_GB2312"/>
      <w:kern w:val="2"/>
      <w:sz w:val="21"/>
      <w:szCs w:val="22"/>
      <w:lang w:val="en-US" w:eastAsia="zh-CN" w:bidi="ar-SA"/>
    </w:rPr>
  </w:style>
  <w:style w:type="character" w:customStyle="1" w:styleId="67">
    <w:name w:val="类目1 Char Char"/>
    <w:link w:val="68"/>
    <w:qFormat/>
    <w:uiPriority w:val="0"/>
    <w:rPr>
      <w:b/>
      <w:color w:val="17365D"/>
      <w:kern w:val="2"/>
      <w:sz w:val="28"/>
      <w:szCs w:val="28"/>
      <w:lang w:bidi="ar-SA"/>
    </w:rPr>
  </w:style>
  <w:style w:type="paragraph" w:customStyle="1" w:styleId="68">
    <w:name w:val="类目1"/>
    <w:basedOn w:val="1"/>
    <w:link w:val="67"/>
    <w:qFormat/>
    <w:uiPriority w:val="0"/>
    <w:pPr>
      <w:adjustRightInd w:val="0"/>
      <w:snapToGrid w:val="0"/>
      <w:spacing w:line="220" w:lineRule="atLeast"/>
    </w:pPr>
    <w:rPr>
      <w:b/>
      <w:color w:val="17365D"/>
      <w:sz w:val="28"/>
      <w:szCs w:val="28"/>
    </w:rPr>
  </w:style>
  <w:style w:type="character" w:customStyle="1" w:styleId="69">
    <w:name w:val="text1"/>
    <w:qFormat/>
    <w:uiPriority w:val="0"/>
    <w:rPr>
      <w:sz w:val="20"/>
      <w:szCs w:val="20"/>
    </w:rPr>
  </w:style>
  <w:style w:type="character" w:customStyle="1" w:styleId="70">
    <w:name w:val="ca-5"/>
    <w:basedOn w:val="54"/>
    <w:qFormat/>
    <w:uiPriority w:val="0"/>
  </w:style>
  <w:style w:type="character" w:customStyle="1" w:styleId="71">
    <w:name w:val="批注文字 Char"/>
    <w:link w:val="18"/>
    <w:qFormat/>
    <w:uiPriority w:val="0"/>
    <w:rPr>
      <w:kern w:val="2"/>
      <w:sz w:val="21"/>
      <w:lang w:bidi="ar-SA"/>
    </w:rPr>
  </w:style>
  <w:style w:type="character" w:customStyle="1" w:styleId="72">
    <w:name w:val="Char Char14"/>
    <w:qFormat/>
    <w:uiPriority w:val="0"/>
    <w:rPr>
      <w:rFonts w:ascii="宋体" w:eastAsia="宋体"/>
      <w:sz w:val="34"/>
      <w:lang w:val="en-US" w:eastAsia="zh-CN" w:bidi="ar-SA"/>
    </w:rPr>
  </w:style>
  <w:style w:type="character" w:customStyle="1" w:styleId="73">
    <w:name w:val="日期 Char"/>
    <w:link w:val="29"/>
    <w:qFormat/>
    <w:uiPriority w:val="0"/>
    <w:rPr>
      <w:kern w:val="2"/>
      <w:sz w:val="21"/>
      <w:szCs w:val="24"/>
    </w:rPr>
  </w:style>
  <w:style w:type="character" w:customStyle="1" w:styleId="74">
    <w:name w:val="font11"/>
    <w:qFormat/>
    <w:uiPriority w:val="0"/>
    <w:rPr>
      <w:rFonts w:hint="eastAsia" w:ascii="宋体" w:hAnsi="宋体" w:eastAsia="宋体"/>
      <w:color w:val="000000"/>
      <w:sz w:val="24"/>
      <w:szCs w:val="24"/>
      <w:u w:val="none"/>
    </w:rPr>
  </w:style>
  <w:style w:type="character" w:customStyle="1" w:styleId="75">
    <w:name w:val="apple-converted-space"/>
    <w:qFormat/>
    <w:uiPriority w:val="0"/>
    <w:rPr>
      <w:rFonts w:cs="Times New Roman"/>
    </w:rPr>
  </w:style>
  <w:style w:type="character" w:customStyle="1" w:styleId="76">
    <w:name w:val="标题 1 Char2"/>
    <w:qFormat/>
    <w:uiPriority w:val="0"/>
    <w:rPr>
      <w:rFonts w:ascii="黑体" w:eastAsia="黑体"/>
      <w:bCs/>
      <w:kern w:val="44"/>
      <w:sz w:val="24"/>
      <w:szCs w:val="24"/>
    </w:rPr>
  </w:style>
  <w:style w:type="character" w:customStyle="1" w:styleId="77">
    <w:name w:val="ca-8"/>
    <w:basedOn w:val="54"/>
    <w:qFormat/>
    <w:uiPriority w:val="0"/>
  </w:style>
  <w:style w:type="character" w:customStyle="1" w:styleId="78">
    <w:name w:val="Char Char3"/>
    <w:qFormat/>
    <w:uiPriority w:val="0"/>
    <w:rPr>
      <w:rFonts w:eastAsia="宋体"/>
      <w:kern w:val="2"/>
      <w:sz w:val="18"/>
      <w:lang w:val="en-US" w:eastAsia="zh-CN" w:bidi="ar-SA"/>
    </w:rPr>
  </w:style>
  <w:style w:type="character" w:customStyle="1" w:styleId="79">
    <w:name w:val="正文文本 3 Char"/>
    <w:link w:val="19"/>
    <w:qFormat/>
    <w:uiPriority w:val="0"/>
    <w:rPr>
      <w:kern w:val="2"/>
      <w:sz w:val="16"/>
      <w:szCs w:val="16"/>
    </w:rPr>
  </w:style>
  <w:style w:type="character" w:customStyle="1" w:styleId="80">
    <w:name w:val="标题 5 Char Char"/>
    <w:qFormat/>
    <w:uiPriority w:val="0"/>
    <w:rPr>
      <w:rFonts w:eastAsia="宋体"/>
      <w:b/>
      <w:bCs/>
      <w:kern w:val="2"/>
      <w:sz w:val="28"/>
      <w:szCs w:val="28"/>
      <w:lang w:val="en-US" w:eastAsia="zh-CN" w:bidi="ar-SA"/>
    </w:rPr>
  </w:style>
  <w:style w:type="character" w:customStyle="1" w:styleId="81">
    <w:name w:val="ca-10"/>
    <w:basedOn w:val="54"/>
    <w:qFormat/>
    <w:uiPriority w:val="0"/>
  </w:style>
  <w:style w:type="character" w:customStyle="1" w:styleId="82">
    <w:name w:val="Char Char9"/>
    <w:qFormat/>
    <w:uiPriority w:val="0"/>
    <w:rPr>
      <w:rFonts w:ascii="宋体" w:hAnsi="Courier New" w:eastAsia="宋体"/>
      <w:kern w:val="2"/>
      <w:sz w:val="21"/>
      <w:lang w:val="en-US" w:eastAsia="zh-CN" w:bidi="ar-SA"/>
    </w:rPr>
  </w:style>
  <w:style w:type="character" w:customStyle="1" w:styleId="83">
    <w:name w:val="标题 2 Char"/>
    <w:link w:val="4"/>
    <w:qFormat/>
    <w:uiPriority w:val="0"/>
    <w:rPr>
      <w:rFonts w:ascii="Cambria" w:hAnsi="Cambria" w:eastAsia="宋体"/>
      <w:b/>
      <w:bCs/>
      <w:kern w:val="2"/>
      <w:sz w:val="32"/>
      <w:szCs w:val="32"/>
      <w:lang w:val="en-US" w:eastAsia="zh-CN" w:bidi="ar-SA"/>
    </w:rPr>
  </w:style>
  <w:style w:type="character" w:customStyle="1" w:styleId="84">
    <w:name w:val="mark8"/>
    <w:qFormat/>
    <w:uiPriority w:val="0"/>
    <w:rPr>
      <w:b/>
      <w:bCs/>
      <w:sz w:val="21"/>
      <w:szCs w:val="21"/>
    </w:rPr>
  </w:style>
  <w:style w:type="character" w:customStyle="1" w:styleId="85">
    <w:name w:val="页脚 Char"/>
    <w:link w:val="32"/>
    <w:qFormat/>
    <w:uiPriority w:val="0"/>
    <w:rPr>
      <w:rFonts w:eastAsia="宋体"/>
      <w:sz w:val="18"/>
      <w:szCs w:val="18"/>
      <w:lang w:bidi="ar-SA"/>
    </w:rPr>
  </w:style>
  <w:style w:type="character" w:customStyle="1" w:styleId="86">
    <w:name w:val="正文文本缩进 3 Char"/>
    <w:link w:val="41"/>
    <w:qFormat/>
    <w:uiPriority w:val="0"/>
    <w:rPr>
      <w:rFonts w:ascii="宋体" w:hAnsi="宋体" w:eastAsia="宋体"/>
      <w:kern w:val="2"/>
      <w:sz w:val="21"/>
      <w:szCs w:val="24"/>
      <w:lang w:val="en-US" w:eastAsia="zh-CN" w:bidi="ar-SA"/>
    </w:rPr>
  </w:style>
  <w:style w:type="character" w:customStyle="1" w:styleId="87">
    <w:name w:val="List Paragraph Char Char"/>
    <w:link w:val="88"/>
    <w:qFormat/>
    <w:uiPriority w:val="0"/>
    <w:rPr>
      <w:kern w:val="2"/>
      <w:sz w:val="21"/>
      <w:szCs w:val="24"/>
    </w:rPr>
  </w:style>
  <w:style w:type="paragraph" w:customStyle="1" w:styleId="88">
    <w:name w:val="列出段落1"/>
    <w:basedOn w:val="1"/>
    <w:link w:val="87"/>
    <w:qFormat/>
    <w:uiPriority w:val="0"/>
    <w:pPr>
      <w:ind w:firstLine="420" w:firstLineChars="200"/>
    </w:pPr>
  </w:style>
  <w:style w:type="character" w:customStyle="1" w:styleId="89">
    <w:name w:val="标题 3 Char"/>
    <w:link w:val="5"/>
    <w:qFormat/>
    <w:uiPriority w:val="0"/>
    <w:rPr>
      <w:rFonts w:ascii="黑体" w:eastAsia="黑体"/>
      <w:bCs/>
      <w:color w:val="000000"/>
      <w:kern w:val="2"/>
      <w:sz w:val="21"/>
      <w:szCs w:val="24"/>
    </w:rPr>
  </w:style>
  <w:style w:type="character" w:customStyle="1" w:styleId="90">
    <w:name w:val="标题 2 Char1"/>
    <w:qFormat/>
    <w:uiPriority w:val="0"/>
    <w:rPr>
      <w:rFonts w:ascii="Arial" w:hAnsi="Arial" w:eastAsia="黑体"/>
      <w:b/>
      <w:bCs/>
      <w:kern w:val="2"/>
      <w:sz w:val="32"/>
      <w:szCs w:val="32"/>
    </w:rPr>
  </w:style>
  <w:style w:type="character" w:customStyle="1" w:styleId="91">
    <w:name w:val="标题 Char"/>
    <w:link w:val="48"/>
    <w:qFormat/>
    <w:uiPriority w:val="0"/>
    <w:rPr>
      <w:rFonts w:ascii="Cambria" w:hAnsi="Cambria"/>
      <w:b/>
      <w:bCs/>
      <w:kern w:val="2"/>
      <w:sz w:val="32"/>
      <w:szCs w:val="32"/>
    </w:rPr>
  </w:style>
  <w:style w:type="character" w:customStyle="1" w:styleId="92">
    <w:name w:val="纯文本 Char"/>
    <w:link w:val="26"/>
    <w:qFormat/>
    <w:uiPriority w:val="0"/>
    <w:rPr>
      <w:rFonts w:ascii="宋体" w:hAnsi="Courier New"/>
      <w:kern w:val="2"/>
      <w:sz w:val="21"/>
      <w:lang w:bidi="ar-SA"/>
    </w:rPr>
  </w:style>
  <w:style w:type="character" w:customStyle="1" w:styleId="93">
    <w:name w:val="flname7"/>
    <w:basedOn w:val="54"/>
    <w:qFormat/>
    <w:uiPriority w:val="0"/>
  </w:style>
  <w:style w:type="character" w:customStyle="1" w:styleId="94">
    <w:name w:val="content"/>
    <w:qFormat/>
    <w:uiPriority w:val="0"/>
  </w:style>
  <w:style w:type="character" w:customStyle="1" w:styleId="95">
    <w:name w:val="正文文本 Char"/>
    <w:link w:val="20"/>
    <w:qFormat/>
    <w:uiPriority w:val="0"/>
    <w:rPr>
      <w:rFonts w:eastAsia="宋体"/>
      <w:kern w:val="2"/>
      <w:sz w:val="21"/>
      <w:szCs w:val="24"/>
      <w:lang w:val="en-US" w:eastAsia="zh-CN" w:bidi="ar-SA"/>
    </w:rPr>
  </w:style>
  <w:style w:type="character" w:customStyle="1" w:styleId="96">
    <w:name w:val="标题 9 Char"/>
    <w:link w:val="12"/>
    <w:qFormat/>
    <w:uiPriority w:val="0"/>
    <w:rPr>
      <w:rFonts w:ascii="Arial" w:hAnsi="Arial" w:eastAsia="黑体"/>
      <w:kern w:val="2"/>
      <w:sz w:val="21"/>
      <w:szCs w:val="21"/>
      <w:lang w:val="en-US" w:eastAsia="zh-CN" w:bidi="ar-SA"/>
    </w:rPr>
  </w:style>
  <w:style w:type="character" w:customStyle="1" w:styleId="97">
    <w:name w:val="c_666"/>
    <w:basedOn w:val="54"/>
    <w:qFormat/>
    <w:uiPriority w:val="0"/>
  </w:style>
  <w:style w:type="character" w:customStyle="1" w:styleId="98">
    <w:name w:val="正文文本 2 Char"/>
    <w:link w:val="44"/>
    <w:qFormat/>
    <w:uiPriority w:val="0"/>
    <w:rPr>
      <w:rFonts w:ascii="仿宋_GB2312" w:eastAsia="仿宋_GB2312"/>
      <w:kern w:val="2"/>
      <w:sz w:val="32"/>
      <w:szCs w:val="24"/>
      <w:lang w:val="en-US" w:eastAsia="zh-CN" w:bidi="ar-SA"/>
    </w:rPr>
  </w:style>
  <w:style w:type="character" w:customStyle="1" w:styleId="99">
    <w:name w:val="书籍标题3 Char1"/>
    <w:link w:val="100"/>
    <w:qFormat/>
    <w:uiPriority w:val="0"/>
    <w:rPr>
      <w:b/>
      <w:bCs/>
      <w:spacing w:val="20"/>
      <w:kern w:val="2"/>
      <w:sz w:val="28"/>
      <w:szCs w:val="28"/>
    </w:rPr>
  </w:style>
  <w:style w:type="paragraph" w:customStyle="1" w:styleId="100">
    <w:name w:val="书籍标题3"/>
    <w:basedOn w:val="101"/>
    <w:link w:val="99"/>
    <w:qFormat/>
    <w:uiPriority w:val="0"/>
    <w:pPr>
      <w:numPr>
        <w:ilvl w:val="2"/>
      </w:numPr>
      <w:tabs>
        <w:tab w:val="left" w:pos="840"/>
      </w:tabs>
      <w:outlineLvl w:val="2"/>
    </w:pPr>
    <w:rPr>
      <w:rFonts w:cs="Times New Roman"/>
      <w:sz w:val="28"/>
      <w:szCs w:val="28"/>
    </w:rPr>
  </w:style>
  <w:style w:type="paragraph" w:customStyle="1" w:styleId="101">
    <w:name w:val="书籍标题2"/>
    <w:basedOn w:val="1"/>
    <w:qFormat/>
    <w:uiPriority w:val="0"/>
    <w:pPr>
      <w:numPr>
        <w:ilvl w:val="1"/>
        <w:numId w:val="6"/>
      </w:numPr>
      <w:spacing w:beforeLines="100" w:afterLines="100"/>
      <w:jc w:val="left"/>
      <w:outlineLvl w:val="1"/>
    </w:pPr>
    <w:rPr>
      <w:rFonts w:cs="宋体"/>
      <w:b/>
      <w:bCs/>
      <w:spacing w:val="20"/>
      <w:sz w:val="32"/>
      <w:szCs w:val="20"/>
    </w:rPr>
  </w:style>
  <w:style w:type="character" w:customStyle="1" w:styleId="102">
    <w:name w:val="标题 1 1 Char"/>
    <w:qFormat/>
    <w:uiPriority w:val="0"/>
    <w:rPr>
      <w:rFonts w:ascii="黑体" w:eastAsia="黑体"/>
      <w:bCs/>
      <w:kern w:val="44"/>
      <w:sz w:val="24"/>
      <w:lang w:val="en-US" w:eastAsia="zh-CN" w:bidi="ar-SA"/>
    </w:rPr>
  </w:style>
  <w:style w:type="character" w:customStyle="1" w:styleId="103">
    <w:name w:val="列出段落 Char"/>
    <w:link w:val="104"/>
    <w:qFormat/>
    <w:uiPriority w:val="0"/>
    <w:rPr>
      <w:kern w:val="2"/>
      <w:sz w:val="21"/>
      <w:szCs w:val="24"/>
    </w:rPr>
  </w:style>
  <w:style w:type="paragraph" w:styleId="104">
    <w:name w:val="List Paragraph"/>
    <w:basedOn w:val="1"/>
    <w:link w:val="103"/>
    <w:qFormat/>
    <w:uiPriority w:val="0"/>
    <w:pPr>
      <w:ind w:firstLine="420" w:firstLineChars="200"/>
    </w:pPr>
  </w:style>
  <w:style w:type="character" w:customStyle="1" w:styleId="105">
    <w:name w:val="标题 3 Char1"/>
    <w:qFormat/>
    <w:uiPriority w:val="0"/>
    <w:rPr>
      <w:rFonts w:ascii="宋体" w:hAnsi="Times New Roman"/>
    </w:rPr>
  </w:style>
  <w:style w:type="character" w:customStyle="1" w:styleId="106">
    <w:name w:val="样式 样式 宋体 小四 行距: 1.5 倍行距 + ˎ̥ 黑色 Char Char"/>
    <w:link w:val="107"/>
    <w:qFormat/>
    <w:uiPriority w:val="0"/>
    <w:rPr>
      <w:rFonts w:ascii="Calibri" w:hAnsi="Calibri" w:eastAsia="仿宋_GB2312"/>
      <w:kern w:val="2"/>
      <w:sz w:val="21"/>
      <w:szCs w:val="22"/>
      <w:lang w:val="en-US" w:eastAsia="zh-CN" w:bidi="ar-SA"/>
    </w:rPr>
  </w:style>
  <w:style w:type="paragraph" w:customStyle="1" w:styleId="107">
    <w:name w:val="样式 样式 宋体 小四 行距: 1.5 倍行距 + ˎ̥ 黑色"/>
    <w:basedOn w:val="51"/>
    <w:link w:val="106"/>
    <w:qFormat/>
    <w:uiPriority w:val="0"/>
  </w:style>
  <w:style w:type="character" w:customStyle="1" w:styleId="108">
    <w:name w:val="样式5 Char Char"/>
    <w:link w:val="109"/>
    <w:qFormat/>
    <w:uiPriority w:val="0"/>
    <w:rPr>
      <w:rFonts w:ascii="宋体" w:hAnsi="宋体" w:eastAsia="宋体" w:cs="Arial"/>
      <w:b/>
      <w:kern w:val="2"/>
      <w:sz w:val="24"/>
      <w:szCs w:val="24"/>
      <w:lang w:val="en-US" w:eastAsia="zh-CN" w:bidi="ar-SA"/>
    </w:rPr>
  </w:style>
  <w:style w:type="paragraph" w:customStyle="1" w:styleId="109">
    <w:name w:val="样式5"/>
    <w:basedOn w:val="1"/>
    <w:link w:val="108"/>
    <w:qFormat/>
    <w:uiPriority w:val="0"/>
    <w:pPr>
      <w:spacing w:line="400" w:lineRule="exact"/>
      <w:ind w:left="482"/>
    </w:pPr>
    <w:rPr>
      <w:rFonts w:ascii="宋体" w:hAnsi="宋体" w:cs="Arial"/>
      <w:b/>
      <w:sz w:val="24"/>
    </w:rPr>
  </w:style>
  <w:style w:type="character" w:customStyle="1" w:styleId="110">
    <w:name w:val="标题 1 Char1"/>
    <w:qFormat/>
    <w:uiPriority w:val="0"/>
    <w:rPr>
      <w:b/>
      <w:bCs/>
      <w:kern w:val="44"/>
      <w:sz w:val="44"/>
      <w:szCs w:val="44"/>
    </w:rPr>
  </w:style>
  <w:style w:type="character" w:customStyle="1" w:styleId="111">
    <w:name w:val="lineitems1"/>
    <w:qFormat/>
    <w:uiPriority w:val="0"/>
    <w:rPr>
      <w:sz w:val="17"/>
      <w:szCs w:val="17"/>
    </w:rPr>
  </w:style>
  <w:style w:type="character" w:customStyle="1" w:styleId="112">
    <w:name w:val="font31"/>
    <w:qFormat/>
    <w:uiPriority w:val="0"/>
    <w:rPr>
      <w:rFonts w:hint="eastAsia" w:ascii="宋体" w:hAnsi="宋体" w:eastAsia="宋体" w:cs="宋体"/>
      <w:color w:val="000000"/>
      <w:sz w:val="20"/>
      <w:szCs w:val="20"/>
      <w:u w:val="none"/>
    </w:rPr>
  </w:style>
  <w:style w:type="character" w:customStyle="1" w:styleId="113">
    <w:name w:val="不明显参考1"/>
    <w:qFormat/>
    <w:uiPriority w:val="0"/>
    <w:rPr>
      <w:smallCaps/>
      <w:color w:val="C0504D"/>
      <w:u w:val="single"/>
    </w:rPr>
  </w:style>
  <w:style w:type="character" w:customStyle="1" w:styleId="114">
    <w:name w:val="标题 6 Char"/>
    <w:link w:val="9"/>
    <w:qFormat/>
    <w:uiPriority w:val="0"/>
    <w:rPr>
      <w:rFonts w:ascii="Arial" w:hAnsi="Arial" w:eastAsia="黑体"/>
      <w:b/>
      <w:bCs/>
      <w:kern w:val="2"/>
      <w:sz w:val="24"/>
      <w:szCs w:val="24"/>
      <w:lang w:val="en-US" w:eastAsia="zh-CN" w:bidi="ar-SA"/>
    </w:rPr>
  </w:style>
  <w:style w:type="character" w:customStyle="1" w:styleId="115">
    <w:name w:val="style71"/>
    <w:qFormat/>
    <w:uiPriority w:val="0"/>
    <w:rPr>
      <w:sz w:val="21"/>
      <w:szCs w:val="21"/>
    </w:rPr>
  </w:style>
  <w:style w:type="character" w:customStyle="1" w:styleId="116">
    <w:name w:val="HTML 地址 Char"/>
    <w:link w:val="23"/>
    <w:qFormat/>
    <w:uiPriority w:val="0"/>
    <w:rPr>
      <w:i/>
      <w:kern w:val="2"/>
      <w:sz w:val="21"/>
      <w:szCs w:val="24"/>
    </w:rPr>
  </w:style>
  <w:style w:type="character" w:customStyle="1" w:styleId="117">
    <w:name w:val="细目1 Char Char"/>
    <w:link w:val="118"/>
    <w:qFormat/>
    <w:uiPriority w:val="0"/>
    <w:rPr>
      <w:b/>
      <w:color w:val="215868"/>
      <w:kern w:val="2"/>
      <w:sz w:val="24"/>
      <w:szCs w:val="24"/>
    </w:rPr>
  </w:style>
  <w:style w:type="paragraph" w:customStyle="1" w:styleId="118">
    <w:name w:val="细目1"/>
    <w:basedOn w:val="1"/>
    <w:link w:val="117"/>
    <w:qFormat/>
    <w:uiPriority w:val="0"/>
    <w:pPr>
      <w:numPr>
        <w:ilvl w:val="0"/>
        <w:numId w:val="7"/>
      </w:numPr>
      <w:tabs>
        <w:tab w:val="left" w:pos="1200"/>
        <w:tab w:val="clear" w:pos="1260"/>
      </w:tabs>
      <w:adjustRightInd w:val="0"/>
      <w:snapToGrid w:val="0"/>
      <w:spacing w:line="220" w:lineRule="atLeast"/>
    </w:pPr>
    <w:rPr>
      <w:b/>
      <w:color w:val="215868"/>
      <w:sz w:val="24"/>
    </w:rPr>
  </w:style>
  <w:style w:type="character" w:customStyle="1" w:styleId="119">
    <w:name w:val="xl25 Char Char"/>
    <w:link w:val="120"/>
    <w:qFormat/>
    <w:uiPriority w:val="0"/>
    <w:rPr>
      <w:rFonts w:ascii="宋体" w:hAnsi="宋体"/>
      <w:sz w:val="21"/>
      <w:szCs w:val="21"/>
    </w:rPr>
  </w:style>
  <w:style w:type="paragraph" w:customStyle="1" w:styleId="120">
    <w:name w:val="xl25"/>
    <w:basedOn w:val="1"/>
    <w:link w:val="11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1">
    <w:name w:val="题注 Char"/>
    <w:link w:val="14"/>
    <w:qFormat/>
    <w:uiPriority w:val="0"/>
    <w:rPr>
      <w:rFonts w:ascii="Arial" w:hAnsi="Arial" w:eastAsia="黑体" w:cs="Arial"/>
      <w:kern w:val="2"/>
    </w:rPr>
  </w:style>
  <w:style w:type="character" w:customStyle="1" w:styleId="122">
    <w:name w:val="标题 8 Char"/>
    <w:link w:val="11"/>
    <w:qFormat/>
    <w:uiPriority w:val="0"/>
    <w:rPr>
      <w:rFonts w:ascii="Arial" w:hAnsi="Arial" w:eastAsia="黑体"/>
      <w:kern w:val="2"/>
      <w:sz w:val="24"/>
      <w:szCs w:val="24"/>
      <w:lang w:val="en-US" w:eastAsia="zh-CN" w:bidi="ar-SA"/>
    </w:rPr>
  </w:style>
  <w:style w:type="character" w:customStyle="1" w:styleId="123">
    <w:name w:val="正文文本缩进 2 Char"/>
    <w:link w:val="30"/>
    <w:qFormat/>
    <w:uiPriority w:val="0"/>
    <w:rPr>
      <w:rFonts w:eastAsia="仿宋_GB2312"/>
      <w:sz w:val="30"/>
      <w:lang w:bidi="ar-SA"/>
    </w:rPr>
  </w:style>
  <w:style w:type="character" w:customStyle="1" w:styleId="124">
    <w:name w:val="ca-11"/>
    <w:basedOn w:val="54"/>
    <w:qFormat/>
    <w:uiPriority w:val="0"/>
  </w:style>
  <w:style w:type="character" w:customStyle="1" w:styleId="125">
    <w:name w:val="正文缩进 Char"/>
    <w:link w:val="6"/>
    <w:qFormat/>
    <w:uiPriority w:val="0"/>
    <w:rPr>
      <w:rFonts w:ascii="宋体" w:eastAsia="宋体"/>
      <w:sz w:val="34"/>
      <w:lang w:val="en-US" w:eastAsia="zh-CN" w:bidi="ar-SA"/>
    </w:rPr>
  </w:style>
  <w:style w:type="character" w:customStyle="1" w:styleId="126">
    <w:name w:val="副标题 Char"/>
    <w:link w:val="38"/>
    <w:qFormat/>
    <w:uiPriority w:val="0"/>
    <w:rPr>
      <w:rFonts w:ascii="Calibri Light" w:hAnsi="Calibri Light"/>
      <w:b/>
      <w:bCs/>
      <w:kern w:val="28"/>
      <w:sz w:val="32"/>
      <w:szCs w:val="32"/>
    </w:rPr>
  </w:style>
  <w:style w:type="character" w:customStyle="1" w:styleId="127">
    <w:name w:val="页眉 Char Char"/>
    <w:qFormat/>
    <w:uiPriority w:val="0"/>
    <w:rPr>
      <w:rFonts w:eastAsia="宋体"/>
      <w:sz w:val="18"/>
      <w:szCs w:val="18"/>
      <w:lang w:bidi="ar-SA"/>
    </w:rPr>
  </w:style>
  <w:style w:type="character" w:customStyle="1" w:styleId="128">
    <w:name w:val="批注主题 Char"/>
    <w:link w:val="49"/>
    <w:qFormat/>
    <w:uiPriority w:val="0"/>
    <w:rPr>
      <w:b/>
      <w:bCs/>
      <w:kern w:val="2"/>
      <w:sz w:val="21"/>
      <w:szCs w:val="24"/>
    </w:rPr>
  </w:style>
  <w:style w:type="character" w:customStyle="1" w:styleId="129">
    <w:name w:val="p12"/>
    <w:basedOn w:val="54"/>
    <w:qFormat/>
    <w:uiPriority w:val="0"/>
  </w:style>
  <w:style w:type="character" w:customStyle="1" w:styleId="130">
    <w:name w:val="表格内容"/>
    <w:qFormat/>
    <w:uiPriority w:val="0"/>
    <w:rPr>
      <w:sz w:val="24"/>
    </w:rPr>
  </w:style>
  <w:style w:type="character" w:customStyle="1" w:styleId="131">
    <w:name w:val="正文文本缩进 Char"/>
    <w:link w:val="21"/>
    <w:qFormat/>
    <w:uiPriority w:val="0"/>
    <w:rPr>
      <w:rFonts w:ascii="仿宋_GB2312" w:eastAsia="仿宋_GB2312"/>
      <w:sz w:val="28"/>
      <w:lang w:val="en-US" w:eastAsia="zh-CN" w:bidi="ar-SA"/>
    </w:rPr>
  </w:style>
  <w:style w:type="character" w:customStyle="1" w:styleId="132">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3">
    <w:name w:val="纯文本 Char1"/>
    <w:qFormat/>
    <w:uiPriority w:val="0"/>
    <w:rPr>
      <w:rFonts w:ascii="宋体" w:hAnsi="Courier New" w:eastAsia="宋体" w:cs="Times New Roman"/>
      <w:kern w:val="0"/>
      <w:sz w:val="20"/>
      <w:szCs w:val="20"/>
    </w:rPr>
  </w:style>
  <w:style w:type="character" w:customStyle="1" w:styleId="134">
    <w:name w:val="正文首行缩进 Char Char"/>
    <w:qFormat/>
    <w:uiPriority w:val="0"/>
    <w:rPr>
      <w:rFonts w:eastAsia="仿宋_GB2312"/>
      <w:kern w:val="2"/>
      <w:sz w:val="28"/>
      <w:szCs w:val="24"/>
      <w:lang w:bidi="ar-SA"/>
    </w:rPr>
  </w:style>
  <w:style w:type="character" w:customStyle="1" w:styleId="135">
    <w:name w:val="页眉 Char"/>
    <w:link w:val="33"/>
    <w:qFormat/>
    <w:uiPriority w:val="0"/>
    <w:rPr>
      <w:rFonts w:eastAsia="宋体"/>
      <w:kern w:val="2"/>
      <w:sz w:val="18"/>
      <w:lang w:val="en-US" w:eastAsia="zh-CN" w:bidi="ar-SA"/>
    </w:rPr>
  </w:style>
  <w:style w:type="character" w:customStyle="1" w:styleId="136">
    <w:name w:val="标题 1 Char Char"/>
    <w:qFormat/>
    <w:uiPriority w:val="0"/>
    <w:rPr>
      <w:rFonts w:eastAsia="宋体"/>
      <w:b/>
      <w:bCs/>
      <w:kern w:val="44"/>
      <w:sz w:val="44"/>
      <w:szCs w:val="44"/>
      <w:lang w:val="en-US" w:eastAsia="zh-CN" w:bidi="ar-SA"/>
    </w:rPr>
  </w:style>
  <w:style w:type="character" w:customStyle="1" w:styleId="137">
    <w:name w:val="Font Style17"/>
    <w:qFormat/>
    <w:uiPriority w:val="0"/>
    <w:rPr>
      <w:rFonts w:ascii="黑体" w:eastAsia="黑体" w:cs="黑体"/>
      <w:sz w:val="28"/>
      <w:szCs w:val="28"/>
    </w:rPr>
  </w:style>
  <w:style w:type="character" w:customStyle="1" w:styleId="138">
    <w:name w:val="Char Char10"/>
    <w:qFormat/>
    <w:uiPriority w:val="0"/>
    <w:rPr>
      <w:rFonts w:eastAsia="宋体"/>
      <w:kern w:val="2"/>
      <w:sz w:val="18"/>
      <w:szCs w:val="18"/>
      <w:lang w:val="en-US" w:eastAsia="zh-CN" w:bidi="ar-SA"/>
    </w:rPr>
  </w:style>
  <w:style w:type="character" w:customStyle="1" w:styleId="139">
    <w:name w:val="正文文本缩进 3 Char Char"/>
    <w:qFormat/>
    <w:uiPriority w:val="0"/>
    <w:rPr>
      <w:kern w:val="2"/>
      <w:sz w:val="16"/>
      <w:szCs w:val="16"/>
      <w:lang w:bidi="ar-SA"/>
    </w:rPr>
  </w:style>
  <w:style w:type="character" w:customStyle="1" w:styleId="140">
    <w:name w:val="标题 3 Char Char"/>
    <w:qFormat/>
    <w:uiPriority w:val="0"/>
    <w:rPr>
      <w:rFonts w:eastAsia="宋体"/>
      <w:b/>
      <w:bCs/>
      <w:kern w:val="2"/>
      <w:sz w:val="32"/>
      <w:szCs w:val="32"/>
      <w:lang w:val="en-US" w:eastAsia="zh-CN" w:bidi="ar-SA"/>
    </w:rPr>
  </w:style>
  <w:style w:type="character" w:customStyle="1" w:styleId="141">
    <w:name w:val="nine-11"/>
    <w:qFormat/>
    <w:uiPriority w:val="0"/>
    <w:rPr>
      <w:rFonts w:hint="default"/>
      <w:sz w:val="18"/>
      <w:szCs w:val="18"/>
    </w:rPr>
  </w:style>
  <w:style w:type="character" w:customStyle="1" w:styleId="142">
    <w:name w:val="标题 7 Char"/>
    <w:link w:val="10"/>
    <w:qFormat/>
    <w:uiPriority w:val="0"/>
    <w:rPr>
      <w:rFonts w:eastAsia="宋体"/>
      <w:b/>
      <w:bCs/>
      <w:kern w:val="2"/>
      <w:sz w:val="24"/>
      <w:szCs w:val="24"/>
      <w:lang w:val="en-US" w:eastAsia="zh-CN" w:bidi="ar-SA"/>
    </w:rPr>
  </w:style>
  <w:style w:type="character" w:customStyle="1" w:styleId="143">
    <w:name w:val="题注 Char1"/>
    <w:qFormat/>
    <w:uiPriority w:val="0"/>
    <w:rPr>
      <w:rFonts w:ascii="Arial" w:hAnsi="Arial" w:eastAsia="宋体" w:cs="Arial"/>
      <w:kern w:val="2"/>
      <w:lang w:val="en-US" w:eastAsia="zh-CN" w:bidi="ar-SA"/>
    </w:rPr>
  </w:style>
  <w:style w:type="character" w:customStyle="1" w:styleId="144">
    <w:name w:val="正文缩进 Char2"/>
    <w:link w:val="145"/>
    <w:qFormat/>
    <w:uiPriority w:val="0"/>
    <w:rPr>
      <w:rFonts w:ascii="宋体" w:eastAsia="宋体"/>
      <w:sz w:val="34"/>
      <w:lang w:bidi="ar-SA"/>
    </w:rPr>
  </w:style>
  <w:style w:type="paragraph" w:customStyle="1" w:styleId="145">
    <w:name w:val="Normal Indent1"/>
    <w:basedOn w:val="1"/>
    <w:link w:val="144"/>
    <w:qFormat/>
    <w:uiPriority w:val="0"/>
    <w:pPr>
      <w:autoSpaceDE w:val="0"/>
      <w:autoSpaceDN w:val="0"/>
      <w:adjustRightInd w:val="0"/>
      <w:ind w:firstLine="420"/>
      <w:jc w:val="left"/>
      <w:textAlignment w:val="baseline"/>
    </w:pPr>
    <w:rPr>
      <w:rFonts w:ascii="宋体"/>
      <w:kern w:val="0"/>
      <w:sz w:val="34"/>
      <w:szCs w:val="20"/>
    </w:rPr>
  </w:style>
  <w:style w:type="character" w:customStyle="1" w:styleId="146">
    <w:name w:val="表标题 Char Char"/>
    <w:link w:val="147"/>
    <w:qFormat/>
    <w:uiPriority w:val="0"/>
    <w:rPr>
      <w:b/>
    </w:rPr>
  </w:style>
  <w:style w:type="paragraph" w:customStyle="1" w:styleId="147">
    <w:name w:val="表标题"/>
    <w:basedOn w:val="6"/>
    <w:link w:val="146"/>
    <w:qFormat/>
    <w:uiPriority w:val="0"/>
    <w:pPr>
      <w:autoSpaceDE/>
      <w:autoSpaceDN/>
      <w:snapToGrid w:val="0"/>
      <w:spacing w:before="62" w:after="62"/>
      <w:ind w:firstLine="0"/>
      <w:jc w:val="center"/>
      <w:textAlignment w:val="auto"/>
    </w:pPr>
    <w:rPr>
      <w:rFonts w:ascii="Times New Roman"/>
      <w:b/>
      <w:sz w:val="20"/>
    </w:rPr>
  </w:style>
  <w:style w:type="character" w:customStyle="1" w:styleId="148">
    <w:name w:val="Char Char8"/>
    <w:qFormat/>
    <w:uiPriority w:val="0"/>
    <w:rPr>
      <w:rFonts w:ascii="宋体" w:hAnsi="Courier New" w:eastAsia="宋体"/>
      <w:kern w:val="2"/>
      <w:sz w:val="21"/>
      <w:lang w:val="en-US" w:eastAsia="zh-CN" w:bidi="ar-SA"/>
    </w:rPr>
  </w:style>
  <w:style w:type="character" w:customStyle="1" w:styleId="149">
    <w:name w:val="标题 5 Char"/>
    <w:link w:val="8"/>
    <w:qFormat/>
    <w:uiPriority w:val="0"/>
    <w:rPr>
      <w:rFonts w:eastAsia="宋体"/>
      <w:b/>
      <w:kern w:val="2"/>
      <w:sz w:val="28"/>
      <w:lang w:val="en-US" w:eastAsia="zh-CN" w:bidi="ar-SA"/>
    </w:rPr>
  </w:style>
  <w:style w:type="character" w:customStyle="1" w:styleId="150">
    <w:name w:val="Char Char5"/>
    <w:qFormat/>
    <w:uiPriority w:val="0"/>
    <w:rPr>
      <w:rFonts w:eastAsia="宋体"/>
      <w:kern w:val="2"/>
      <w:sz w:val="18"/>
      <w:lang w:val="en-US" w:eastAsia="zh-CN" w:bidi="ar-SA"/>
    </w:rPr>
  </w:style>
  <w:style w:type="character" w:customStyle="1" w:styleId="151">
    <w:name w:val="style18"/>
    <w:qFormat/>
    <w:uiPriority w:val="0"/>
  </w:style>
  <w:style w:type="character" w:customStyle="1" w:styleId="152">
    <w:name w:val="批注框文本 Char"/>
    <w:link w:val="31"/>
    <w:qFormat/>
    <w:uiPriority w:val="0"/>
    <w:rPr>
      <w:rFonts w:eastAsia="宋体"/>
      <w:kern w:val="2"/>
      <w:sz w:val="18"/>
      <w:szCs w:val="18"/>
      <w:lang w:val="en-US" w:eastAsia="zh-CN" w:bidi="ar-SA"/>
    </w:rPr>
  </w:style>
  <w:style w:type="character" w:customStyle="1" w:styleId="153">
    <w:name w:val="mark"/>
    <w:basedOn w:val="54"/>
    <w:qFormat/>
    <w:uiPriority w:val="0"/>
  </w:style>
  <w:style w:type="character" w:customStyle="1" w:styleId="154">
    <w:name w:val="样式2"/>
    <w:qFormat/>
    <w:uiPriority w:val="0"/>
    <w:rPr>
      <w:rFonts w:eastAsia="华文楷体"/>
      <w:b/>
      <w:sz w:val="32"/>
    </w:rPr>
  </w:style>
  <w:style w:type="character" w:customStyle="1" w:styleId="155">
    <w:name w:val="ALT+Z Char"/>
    <w:qFormat/>
    <w:uiPriority w:val="0"/>
    <w:rPr>
      <w:rFonts w:ascii="宋体"/>
      <w:sz w:val="34"/>
    </w:rPr>
  </w:style>
  <w:style w:type="character" w:customStyle="1" w:styleId="156">
    <w:name w:val="标题 1 Char"/>
    <w:link w:val="3"/>
    <w:qFormat/>
    <w:uiPriority w:val="0"/>
    <w:rPr>
      <w:rFonts w:ascii="黑体" w:eastAsia="黑体"/>
      <w:bCs/>
      <w:kern w:val="44"/>
      <w:sz w:val="24"/>
      <w:szCs w:val="24"/>
    </w:rPr>
  </w:style>
  <w:style w:type="character" w:customStyle="1" w:styleId="157">
    <w:name w:val="正文 A Char Char"/>
    <w:link w:val="158"/>
    <w:qFormat/>
    <w:uiPriority w:val="0"/>
    <w:rPr>
      <w:rFonts w:ascii="仿宋_GB2312" w:hAnsi="Heiti SC Light" w:eastAsia="仿宋_GB2312"/>
      <w:kern w:val="2"/>
      <w:sz w:val="24"/>
      <w:lang w:val="en-US" w:eastAsia="zh-CN" w:bidi="ar-SA"/>
    </w:rPr>
  </w:style>
  <w:style w:type="paragraph" w:customStyle="1" w:styleId="158">
    <w:name w:val="正文 A"/>
    <w:link w:val="1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9">
    <w:name w:val="正文首行缩进 Char"/>
    <w:link w:val="50"/>
    <w:qFormat/>
    <w:uiPriority w:val="0"/>
    <w:rPr>
      <w:rFonts w:ascii="Calibri" w:hAnsi="Calibri" w:eastAsia="宋体"/>
      <w:kern w:val="2"/>
      <w:sz w:val="21"/>
      <w:szCs w:val="22"/>
      <w:lang w:val="en-US" w:eastAsia="zh-CN" w:bidi="ar-SA"/>
    </w:rPr>
  </w:style>
  <w:style w:type="character" w:customStyle="1" w:styleId="160">
    <w:name w:val="ca-9"/>
    <w:basedOn w:val="54"/>
    <w:qFormat/>
    <w:uiPriority w:val="0"/>
  </w:style>
  <w:style w:type="character" w:customStyle="1" w:styleId="161">
    <w:name w:val="正文（缩进） Char Char"/>
    <w:link w:val="162"/>
    <w:qFormat/>
    <w:uiPriority w:val="0"/>
    <w:rPr>
      <w:rFonts w:eastAsia="宋体"/>
      <w:kern w:val="2"/>
      <w:sz w:val="24"/>
      <w:szCs w:val="24"/>
      <w:lang w:val="en-US" w:eastAsia="zh-CN" w:bidi="ar-SA"/>
    </w:rPr>
  </w:style>
  <w:style w:type="paragraph" w:customStyle="1" w:styleId="162">
    <w:name w:val="正文（缩进）"/>
    <w:basedOn w:val="1"/>
    <w:link w:val="161"/>
    <w:qFormat/>
    <w:uiPriority w:val="0"/>
    <w:pPr>
      <w:spacing w:beforeLines="50" w:afterLines="50" w:line="360" w:lineRule="auto"/>
      <w:ind w:firstLine="480" w:firstLineChars="200"/>
    </w:pPr>
    <w:rPr>
      <w:sz w:val="24"/>
    </w:rPr>
  </w:style>
  <w:style w:type="paragraph" w:customStyle="1" w:styleId="163">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5">
    <w:name w:val="字元 字元"/>
    <w:basedOn w:val="1"/>
    <w:qFormat/>
    <w:uiPriority w:val="0"/>
    <w:pPr>
      <w:spacing w:line="360" w:lineRule="auto"/>
      <w:ind w:firstLine="200" w:firstLineChars="200"/>
    </w:pPr>
    <w:rPr>
      <w:rFonts w:ascii="宋体" w:hAnsi="宋体" w:cs="宋体"/>
      <w:sz w:val="24"/>
    </w:rPr>
  </w:style>
  <w:style w:type="paragraph" w:customStyle="1" w:styleId="166">
    <w:name w:val="列举"/>
    <w:basedOn w:val="1"/>
    <w:qFormat/>
    <w:uiPriority w:val="0"/>
    <w:pPr>
      <w:numPr>
        <w:ilvl w:val="0"/>
        <w:numId w:val="8"/>
      </w:numPr>
      <w:spacing w:line="360" w:lineRule="auto"/>
    </w:pPr>
    <w:rPr>
      <w:rFonts w:ascii="宋体"/>
    </w:rPr>
  </w:style>
  <w:style w:type="paragraph" w:customStyle="1" w:styleId="16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8">
    <w:name w:val="正文段落"/>
    <w:basedOn w:val="1"/>
    <w:qFormat/>
    <w:uiPriority w:val="0"/>
    <w:pPr>
      <w:widowControl/>
      <w:spacing w:after="40" w:line="360" w:lineRule="auto"/>
      <w:ind w:firstLine="200" w:firstLineChars="200"/>
    </w:pPr>
    <w:rPr>
      <w:kern w:val="0"/>
      <w:sz w:val="24"/>
    </w:rPr>
  </w:style>
  <w:style w:type="paragraph" w:customStyle="1" w:styleId="16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MM Topic 4"/>
    <w:basedOn w:val="7"/>
    <w:qFormat/>
    <w:uiPriority w:val="0"/>
    <w:pPr>
      <w:numPr>
        <w:ilvl w:val="3"/>
        <w:numId w:val="9"/>
      </w:numPr>
      <w:tabs>
        <w:tab w:val="left" w:pos="425"/>
        <w:tab w:val="clear" w:pos="1984"/>
      </w:tabs>
    </w:pPr>
    <w:rPr>
      <w:bCs w:val="0"/>
    </w:rPr>
  </w:style>
  <w:style w:type="paragraph" w:customStyle="1" w:styleId="171">
    <w:name w:val="p0"/>
    <w:basedOn w:val="1"/>
    <w:qFormat/>
    <w:uiPriority w:val="0"/>
    <w:pPr>
      <w:widowControl/>
    </w:pPr>
    <w:rPr>
      <w:kern w:val="0"/>
      <w:szCs w:val="21"/>
    </w:rPr>
  </w:style>
  <w:style w:type="paragraph" w:customStyle="1" w:styleId="172">
    <w:name w:val="正文序号 1"/>
    <w:basedOn w:val="1"/>
    <w:qFormat/>
    <w:uiPriority w:val="0"/>
    <w:pPr>
      <w:numPr>
        <w:ilvl w:val="0"/>
        <w:numId w:val="10"/>
      </w:numPr>
      <w:spacing w:before="60"/>
    </w:pPr>
  </w:style>
  <w:style w:type="paragraph" w:customStyle="1" w:styleId="17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5">
    <w:name w:val="样式 书籍标题3 + Arial 段前: 1 行 段后: 1 行"/>
    <w:basedOn w:val="100"/>
    <w:qFormat/>
    <w:uiPriority w:val="0"/>
    <w:pPr>
      <w:numPr>
        <w:ilvl w:val="1"/>
        <w:numId w:val="11"/>
      </w:numPr>
    </w:pPr>
    <w:rPr>
      <w:rFonts w:ascii="Arial" w:hAnsi="Arial" w:cs="宋体"/>
      <w:b w:val="0"/>
      <w:bCs w:val="0"/>
    </w:rPr>
  </w:style>
  <w:style w:type="paragraph" w:customStyle="1" w:styleId="176">
    <w:name w:val="样式 标题 4Alt+41.1.1.1 Heading 4bulletblbbH44h4H41h41H42... Char"/>
    <w:basedOn w:val="7"/>
    <w:qFormat/>
    <w:uiPriority w:val="0"/>
    <w:pPr>
      <w:tabs>
        <w:tab w:val="left" w:pos="1914"/>
      </w:tabs>
      <w:spacing w:before="120" w:after="120"/>
      <w:ind w:left="1914" w:hanging="864"/>
    </w:pPr>
    <w:rPr>
      <w:rFonts w:ascii="宋体" w:hAnsi="宋体"/>
      <w:bCs w:val="0"/>
      <w:color w:val="000000"/>
    </w:rPr>
  </w:style>
  <w:style w:type="paragraph" w:customStyle="1" w:styleId="17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
    <w:name w:val="题注4"/>
    <w:basedOn w:val="1"/>
    <w:next w:val="14"/>
    <w:qFormat/>
    <w:uiPriority w:val="0"/>
    <w:pPr>
      <w:ind w:left="-132" w:leftChars="-64" w:right="-105" w:rightChars="-50" w:hanging="2"/>
      <w:jc w:val="center"/>
    </w:pPr>
    <w:rPr>
      <w:b/>
      <w:color w:val="FF0000"/>
      <w:szCs w:val="21"/>
      <w:lang w:val="en-GB"/>
    </w:rPr>
  </w:style>
  <w:style w:type="paragraph" w:customStyle="1" w:styleId="179">
    <w:name w:val="font6"/>
    <w:basedOn w:val="1"/>
    <w:qFormat/>
    <w:uiPriority w:val="0"/>
    <w:pPr>
      <w:widowControl/>
      <w:spacing w:before="100" w:beforeAutospacing="1" w:after="100" w:afterAutospacing="1"/>
      <w:jc w:val="left"/>
    </w:pPr>
    <w:rPr>
      <w:kern w:val="0"/>
      <w:sz w:val="24"/>
    </w:rPr>
  </w:style>
  <w:style w:type="paragraph" w:customStyle="1" w:styleId="18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1">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正文序号 2"/>
    <w:basedOn w:val="1"/>
    <w:qFormat/>
    <w:uiPriority w:val="0"/>
    <w:pPr>
      <w:numPr>
        <w:ilvl w:val="1"/>
        <w:numId w:val="10"/>
      </w:numPr>
      <w:spacing w:before="60"/>
    </w:pPr>
  </w:style>
  <w:style w:type="paragraph" w:customStyle="1" w:styleId="18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9">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Char1 Char Char Char"/>
    <w:basedOn w:val="1"/>
    <w:qFormat/>
    <w:uiPriority w:val="0"/>
    <w:pPr>
      <w:tabs>
        <w:tab w:val="left" w:pos="425"/>
      </w:tabs>
      <w:ind w:left="425" w:hanging="425"/>
    </w:pPr>
    <w:rPr>
      <w:sz w:val="24"/>
    </w:rPr>
  </w:style>
  <w:style w:type="paragraph" w:customStyle="1" w:styleId="19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2">
    <w:name w:val="加点标题"/>
    <w:basedOn w:val="1"/>
    <w:qFormat/>
    <w:uiPriority w:val="0"/>
    <w:pPr>
      <w:numPr>
        <w:ilvl w:val="0"/>
        <w:numId w:val="12"/>
      </w:numPr>
      <w:spacing w:line="360" w:lineRule="auto"/>
    </w:pPr>
    <w:rPr>
      <w:sz w:val="24"/>
    </w:rPr>
  </w:style>
  <w:style w:type="paragraph" w:customStyle="1" w:styleId="19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4">
    <w:name w:val="默认段落字体 Para Char Char Char Char Char Char Char Char Char Char"/>
    <w:basedOn w:val="1"/>
    <w:qFormat/>
    <w:uiPriority w:val="0"/>
    <w:rPr>
      <w:rFonts w:ascii="Tahoma" w:hAnsi="Tahoma"/>
      <w:sz w:val="24"/>
      <w:szCs w:val="20"/>
    </w:rPr>
  </w:style>
  <w:style w:type="paragraph" w:customStyle="1" w:styleId="195">
    <w:name w:val="段"/>
    <w:qFormat/>
    <w:uiPriority w:val="0"/>
    <w:pPr>
      <w:numPr>
        <w:ilvl w:val="0"/>
        <w:numId w:val="13"/>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8">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9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Char Char3 Char Char"/>
    <w:basedOn w:val="1"/>
    <w:qFormat/>
    <w:uiPriority w:val="0"/>
    <w:pPr>
      <w:spacing w:line="360" w:lineRule="auto"/>
      <w:ind w:firstLine="200" w:firstLineChars="200"/>
    </w:pPr>
    <w:rPr>
      <w:rFonts w:ascii="宋体" w:hAnsi="宋体" w:cs="宋体"/>
      <w:sz w:val="24"/>
    </w:rPr>
  </w:style>
  <w:style w:type="paragraph" w:customStyle="1" w:styleId="20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5">
    <w:name w:val="pa-14"/>
    <w:basedOn w:val="1"/>
    <w:qFormat/>
    <w:uiPriority w:val="0"/>
    <w:pPr>
      <w:widowControl/>
      <w:spacing w:before="150" w:after="150"/>
      <w:jc w:val="left"/>
    </w:pPr>
    <w:rPr>
      <w:rFonts w:ascii="宋体" w:hAnsi="宋体" w:cs="宋体"/>
      <w:kern w:val="0"/>
      <w:sz w:val="24"/>
    </w:rPr>
  </w:style>
  <w:style w:type="paragraph" w:customStyle="1" w:styleId="206">
    <w:name w:val="MM Topic 5"/>
    <w:basedOn w:val="8"/>
    <w:qFormat/>
    <w:uiPriority w:val="0"/>
    <w:pPr>
      <w:numPr>
        <w:ilvl w:val="4"/>
        <w:numId w:val="9"/>
      </w:numPr>
      <w:tabs>
        <w:tab w:val="left" w:pos="425"/>
        <w:tab w:val="clear" w:pos="2551"/>
      </w:tabs>
    </w:pPr>
    <w:rPr>
      <w:bCs/>
      <w:szCs w:val="28"/>
    </w:rPr>
  </w:style>
  <w:style w:type="paragraph" w:customStyle="1" w:styleId="20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9">
    <w:name w:val="font12"/>
    <w:basedOn w:val="1"/>
    <w:qFormat/>
    <w:uiPriority w:val="0"/>
    <w:pPr>
      <w:widowControl/>
      <w:spacing w:before="100" w:beforeAutospacing="1" w:after="100" w:afterAutospacing="1"/>
      <w:jc w:val="left"/>
    </w:pPr>
    <w:rPr>
      <w:kern w:val="0"/>
      <w:sz w:val="22"/>
      <w:szCs w:val="22"/>
    </w:rPr>
  </w:style>
  <w:style w:type="paragraph" w:customStyle="1" w:styleId="21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1">
    <w:name w:val="题注5"/>
    <w:basedOn w:val="1"/>
    <w:next w:val="14"/>
    <w:qFormat/>
    <w:uiPriority w:val="0"/>
    <w:pPr>
      <w:jc w:val="center"/>
    </w:pPr>
    <w:rPr>
      <w:b/>
      <w:color w:val="000000"/>
      <w:sz w:val="24"/>
      <w:szCs w:val="21"/>
    </w:rPr>
  </w:style>
  <w:style w:type="paragraph" w:customStyle="1" w:styleId="21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5">
    <w:name w:val="Char Char Char Char Char Char Char"/>
    <w:basedOn w:val="1"/>
    <w:qFormat/>
    <w:uiPriority w:val="0"/>
    <w:pPr>
      <w:tabs>
        <w:tab w:val="left" w:pos="425"/>
      </w:tabs>
      <w:ind w:left="425" w:hanging="425"/>
    </w:pPr>
    <w:rPr>
      <w:rFonts w:eastAsia="仿宋_GB2312"/>
      <w:kern w:val="24"/>
      <w:sz w:val="24"/>
    </w:rPr>
  </w:style>
  <w:style w:type="paragraph" w:customStyle="1" w:styleId="216">
    <w:name w:val="Char"/>
    <w:basedOn w:val="1"/>
    <w:qFormat/>
    <w:uiPriority w:val="0"/>
    <w:pPr>
      <w:tabs>
        <w:tab w:val="left" w:pos="1365"/>
      </w:tabs>
      <w:ind w:left="1365" w:hanging="360"/>
    </w:pPr>
    <w:rPr>
      <w:sz w:val="24"/>
    </w:rPr>
  </w:style>
  <w:style w:type="paragraph" w:customStyle="1" w:styleId="217">
    <w:name w:val="font15"/>
    <w:basedOn w:val="1"/>
    <w:qFormat/>
    <w:uiPriority w:val="0"/>
    <w:pPr>
      <w:widowControl/>
      <w:spacing w:before="100" w:beforeAutospacing="1" w:after="100" w:afterAutospacing="1"/>
      <w:jc w:val="left"/>
    </w:pPr>
    <w:rPr>
      <w:kern w:val="0"/>
      <w:sz w:val="20"/>
      <w:szCs w:val="20"/>
    </w:rPr>
  </w:style>
  <w:style w:type="paragraph" w:customStyle="1" w:styleId="21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1">
    <w:name w:val="font8"/>
    <w:basedOn w:val="1"/>
    <w:qFormat/>
    <w:uiPriority w:val="0"/>
    <w:pPr>
      <w:widowControl/>
      <w:spacing w:before="100" w:beforeAutospacing="1" w:after="100" w:afterAutospacing="1"/>
      <w:jc w:val="left"/>
    </w:pPr>
    <w:rPr>
      <w:kern w:val="0"/>
      <w:sz w:val="20"/>
      <w:szCs w:val="20"/>
    </w:rPr>
  </w:style>
  <w:style w:type="paragraph" w:customStyle="1" w:styleId="222">
    <w:name w:val="Char2"/>
    <w:basedOn w:val="1"/>
    <w:qFormat/>
    <w:uiPriority w:val="0"/>
    <w:pPr>
      <w:tabs>
        <w:tab w:val="left" w:pos="425"/>
      </w:tabs>
      <w:ind w:left="425" w:hanging="425"/>
    </w:pPr>
    <w:rPr>
      <w:sz w:val="24"/>
    </w:rPr>
  </w:style>
  <w:style w:type="paragraph" w:customStyle="1" w:styleId="223">
    <w:name w:val="书籍标题4"/>
    <w:basedOn w:val="100"/>
    <w:next w:val="1"/>
    <w:qFormat/>
    <w:uiPriority w:val="0"/>
    <w:pPr>
      <w:numPr>
        <w:ilvl w:val="3"/>
      </w:numPr>
      <w:tabs>
        <w:tab w:val="left" w:pos="2160"/>
      </w:tabs>
      <w:ind w:left="2160"/>
      <w:outlineLvl w:val="3"/>
    </w:pPr>
    <w:rPr>
      <w:sz w:val="24"/>
      <w:szCs w:val="24"/>
      <w:lang w:val="zh-CN"/>
    </w:rPr>
  </w:style>
  <w:style w:type="paragraph" w:customStyle="1" w:styleId="224">
    <w:name w:val="样式 样式 标题 4Alt+41.1.1.1 Heading 4bulletblbbH44h4H41h41H42... + 自动..."/>
    <w:basedOn w:val="176"/>
    <w:qFormat/>
    <w:uiPriority w:val="0"/>
    <w:pPr>
      <w:numPr>
        <w:ilvl w:val="3"/>
        <w:numId w:val="14"/>
      </w:numPr>
      <w:tabs>
        <w:tab w:val="clear" w:pos="1914"/>
      </w:tabs>
    </w:pPr>
    <w:rPr>
      <w:color w:val="auto"/>
    </w:rPr>
  </w:style>
  <w:style w:type="paragraph" w:customStyle="1" w:styleId="225">
    <w:name w:val="表格"/>
    <w:basedOn w:val="1"/>
    <w:qFormat/>
    <w:uiPriority w:val="0"/>
    <w:pPr>
      <w:jc w:val="center"/>
    </w:pPr>
    <w:rPr>
      <w:rFonts w:ascii="宋体"/>
      <w:b/>
      <w:szCs w:val="20"/>
    </w:rPr>
  </w:style>
  <w:style w:type="paragraph" w:customStyle="1" w:styleId="226">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8">
    <w:name w:val="样式 首行缩进:  0.85 厘米"/>
    <w:basedOn w:val="1"/>
    <w:qFormat/>
    <w:uiPriority w:val="0"/>
    <w:pPr>
      <w:spacing w:line="360" w:lineRule="auto"/>
      <w:ind w:firstLine="200" w:firstLineChars="200"/>
    </w:pPr>
    <w:rPr>
      <w:rFonts w:cs="宋体"/>
      <w:sz w:val="24"/>
      <w:szCs w:val="20"/>
    </w:rPr>
  </w:style>
  <w:style w:type="paragraph" w:customStyle="1" w:styleId="22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7">
    <w:name w:val="书籍标题1"/>
    <w:basedOn w:val="1"/>
    <w:next w:val="1"/>
    <w:qFormat/>
    <w:uiPriority w:val="0"/>
    <w:pPr>
      <w:pageBreakBefore/>
      <w:widowControl/>
      <w:numPr>
        <w:ilvl w:val="0"/>
        <w:numId w:val="6"/>
      </w:numPr>
      <w:spacing w:beforeLines="200" w:afterLines="200"/>
      <w:jc w:val="center"/>
      <w:outlineLvl w:val="0"/>
    </w:pPr>
    <w:rPr>
      <w:rFonts w:eastAsia="黑体" w:cs="宋体"/>
      <w:b/>
      <w:bCs/>
      <w:spacing w:val="20"/>
      <w:kern w:val="44"/>
      <w:sz w:val="44"/>
      <w:szCs w:val="20"/>
    </w:rPr>
  </w:style>
  <w:style w:type="paragraph" w:customStyle="1" w:styleId="23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0">
    <w:name w:val="MM Topic 1"/>
    <w:basedOn w:val="3"/>
    <w:qFormat/>
    <w:uiPriority w:val="0"/>
    <w:pPr>
      <w:numPr>
        <w:numId w:val="15"/>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1">
    <w:name w:val="列出段落11"/>
    <w:basedOn w:val="1"/>
    <w:qFormat/>
    <w:uiPriority w:val="34"/>
    <w:pPr>
      <w:ind w:firstLine="200" w:firstLineChars="200"/>
    </w:pPr>
    <w:rPr>
      <w:rFonts w:ascii="Calibri" w:hAnsi="Calibri"/>
      <w:szCs w:val="22"/>
    </w:rPr>
  </w:style>
  <w:style w:type="paragraph" w:customStyle="1" w:styleId="24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4">
    <w:name w:val="没有缩进（为图形使用）"/>
    <w:basedOn w:val="1"/>
    <w:qFormat/>
    <w:uiPriority w:val="0"/>
    <w:pPr>
      <w:numPr>
        <w:ilvl w:val="0"/>
        <w:numId w:val="16"/>
      </w:numPr>
      <w:tabs>
        <w:tab w:val="clear" w:pos="2040"/>
      </w:tabs>
      <w:spacing w:before="120" w:after="120" w:line="360" w:lineRule="auto"/>
      <w:ind w:left="0" w:firstLine="0"/>
    </w:pPr>
    <w:rPr>
      <w:rFonts w:cs="宋体"/>
      <w:sz w:val="24"/>
      <w:szCs w:val="20"/>
    </w:rPr>
  </w:style>
  <w:style w:type="paragraph" w:customStyle="1" w:styleId="24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6">
    <w:name w:val="正文序号 3"/>
    <w:basedOn w:val="1"/>
    <w:qFormat/>
    <w:uiPriority w:val="0"/>
    <w:pPr>
      <w:numPr>
        <w:ilvl w:val="2"/>
        <w:numId w:val="10"/>
      </w:numPr>
      <w:spacing w:before="60"/>
    </w:pPr>
  </w:style>
  <w:style w:type="paragraph" w:customStyle="1" w:styleId="24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4">
    <w:name w:val="Char1 Char Char Char1"/>
    <w:basedOn w:val="1"/>
    <w:qFormat/>
    <w:uiPriority w:val="0"/>
    <w:pPr>
      <w:ind w:left="1365" w:hanging="360"/>
    </w:pPr>
    <w:rPr>
      <w:sz w:val="24"/>
    </w:rPr>
  </w:style>
  <w:style w:type="paragraph" w:customStyle="1" w:styleId="255">
    <w:name w:val="MM Topic 2"/>
    <w:basedOn w:val="4"/>
    <w:qFormat/>
    <w:uiPriority w:val="0"/>
    <w:pPr>
      <w:widowControl w:val="0"/>
      <w:numPr>
        <w:ilvl w:val="0"/>
        <w:numId w:val="17"/>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7">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0">
    <w:name w:val="MM Topic 6"/>
    <w:basedOn w:val="9"/>
    <w:qFormat/>
    <w:uiPriority w:val="0"/>
    <w:pPr>
      <w:numPr>
        <w:ilvl w:val="5"/>
        <w:numId w:val="9"/>
      </w:numPr>
      <w:tabs>
        <w:tab w:val="left" w:pos="425"/>
        <w:tab w:val="clear" w:pos="3260"/>
      </w:tabs>
      <w:spacing w:line="319" w:lineRule="auto"/>
    </w:pPr>
    <w:rPr>
      <w:bCs w:val="0"/>
    </w:rPr>
  </w:style>
  <w:style w:type="paragraph" w:customStyle="1" w:styleId="261">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8"/>
    <w:qFormat/>
    <w:uiPriority w:val="0"/>
    <w:pPr>
      <w:spacing w:line="560" w:lineRule="atLeast"/>
    </w:pPr>
    <w:rPr>
      <w:rFonts w:ascii="宋体" w:hAnsi="Arial"/>
      <w:bCs w:val="0"/>
      <w:sz w:val="44"/>
      <w:szCs w:val="20"/>
    </w:rPr>
  </w:style>
  <w:style w:type="paragraph" w:customStyle="1" w:styleId="265">
    <w:name w:val="List Paragraph1"/>
    <w:basedOn w:val="1"/>
    <w:qFormat/>
    <w:uiPriority w:val="0"/>
    <w:pPr>
      <w:ind w:firstLine="420" w:firstLineChars="200"/>
    </w:pPr>
    <w:rPr>
      <w:rFonts w:ascii="Calibri" w:hAnsi="Calibri" w:cs="黑体"/>
      <w:szCs w:val="22"/>
    </w:rPr>
  </w:style>
  <w:style w:type="paragraph" w:customStyle="1" w:styleId="26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qFormat/>
    <w:uiPriority w:val="0"/>
    <w:rPr>
      <w:rFonts w:ascii="Tahoma" w:hAnsi="Tahoma"/>
      <w:sz w:val="24"/>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qFormat/>
    <w:uiPriority w:val="0"/>
    <w:pPr>
      <w:widowControl/>
      <w:spacing w:line="400" w:lineRule="exact"/>
      <w:jc w:val="center"/>
    </w:pPr>
    <w:rPr>
      <w:rFonts w:ascii="Verdana" w:hAnsi="Verdana"/>
      <w:kern w:val="0"/>
      <w:szCs w:val="20"/>
      <w:lang w:eastAsia="en-US"/>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qFormat/>
    <w:uiPriority w:val="0"/>
    <w:pPr>
      <w:spacing w:beforeLines="50" w:afterLines="50"/>
    </w:pPr>
  </w:style>
  <w:style w:type="paragraph" w:customStyle="1" w:styleId="278">
    <w:name w:val="Char28"/>
    <w:basedOn w:val="1"/>
    <w:qFormat/>
    <w:uiPriority w:val="0"/>
    <w:pPr>
      <w:adjustRightInd w:val="0"/>
      <w:spacing w:line="360" w:lineRule="auto"/>
    </w:pPr>
  </w:style>
  <w:style w:type="paragraph" w:customStyle="1" w:styleId="27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1"/>
    <w:qFormat/>
    <w:uiPriority w:val="0"/>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qFormat/>
    <w:uiPriority w:val="0"/>
    <w:pPr>
      <w:jc w:val="center"/>
    </w:pPr>
    <w:rPr>
      <w:position w:val="6"/>
      <w:szCs w:val="20"/>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qFormat/>
    <w:uiPriority w:val="0"/>
    <w:pPr>
      <w:widowControl/>
      <w:numPr>
        <w:ilvl w:val="0"/>
        <w:numId w:val="18"/>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qFormat/>
    <w:uiPriority w:val="0"/>
    <w:rPr>
      <w:rFonts w:ascii="Arial" w:hAnsi="Arial" w:cs="Arial"/>
      <w:sz w:val="20"/>
      <w:szCs w:val="20"/>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5"/>
    <w:qFormat/>
    <w:uiPriority w:val="0"/>
    <w:pPr>
      <w:widowControl w:val="0"/>
      <w:numPr>
        <w:numId w:val="9"/>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qFormat/>
    <w:uiPriority w:val="0"/>
    <w:pPr>
      <w:widowControl/>
      <w:spacing w:after="160" w:line="240" w:lineRule="exact"/>
      <w:jc w:val="left"/>
    </w:pPr>
  </w:style>
  <w:style w:type="paragraph" w:customStyle="1" w:styleId="30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qFormat/>
    <w:uiPriority w:val="0"/>
    <w:pPr>
      <w:widowControl/>
      <w:spacing w:after="160" w:line="240" w:lineRule="exact"/>
      <w:jc w:val="left"/>
    </w:pPr>
    <w:rPr>
      <w:sz w:val="32"/>
      <w:szCs w:val="20"/>
    </w:rPr>
  </w:style>
  <w:style w:type="paragraph" w:customStyle="1" w:styleId="311">
    <w:name w:val="pa-3"/>
    <w:basedOn w:val="1"/>
    <w:qFormat/>
    <w:uiPriority w:val="0"/>
    <w:pPr>
      <w:widowControl/>
      <w:spacing w:before="150" w:after="150"/>
      <w:jc w:val="left"/>
    </w:pPr>
    <w:rPr>
      <w:rFonts w:ascii="宋体" w:hAnsi="宋体" w:cs="宋体"/>
      <w:kern w:val="0"/>
      <w:sz w:val="24"/>
    </w:rPr>
  </w:style>
  <w:style w:type="paragraph" w:customStyle="1" w:styleId="3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qFormat/>
    <w:uiPriority w:val="0"/>
    <w:rPr>
      <w:rFonts w:ascii="宋体" w:hAnsi="宋体"/>
      <w:b/>
      <w:sz w:val="28"/>
      <w:szCs w:val="28"/>
    </w:rPr>
  </w:style>
  <w:style w:type="paragraph" w:customStyle="1" w:styleId="315">
    <w:name w:val="_Style 2"/>
    <w:basedOn w:val="1"/>
    <w:qFormat/>
    <w:uiPriority w:val="0"/>
    <w:pPr>
      <w:ind w:firstLine="420" w:firstLineChars="200"/>
    </w:pPr>
  </w:style>
  <w:style w:type="paragraph" w:customStyle="1" w:styleId="31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qFormat/>
    <w:uiPriority w:val="0"/>
  </w:style>
  <w:style w:type="paragraph" w:customStyle="1" w:styleId="318">
    <w:name w:val="Char Char Char Char Char Char Char Char Char1"/>
    <w:basedOn w:val="1"/>
    <w:qFormat/>
    <w:uiPriority w:val="0"/>
    <w:rPr>
      <w:sz w:val="28"/>
    </w:rPr>
  </w:style>
  <w:style w:type="paragraph" w:customStyle="1" w:styleId="3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qFormat/>
    <w:uiPriority w:val="0"/>
    <w:pPr>
      <w:numPr>
        <w:ilvl w:val="3"/>
        <w:numId w:val="10"/>
      </w:numPr>
      <w:spacing w:before="60"/>
    </w:pPr>
  </w:style>
  <w:style w:type="paragraph" w:customStyle="1" w:styleId="326">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正文文本样式"/>
    <w:basedOn w:val="1"/>
    <w:qFormat/>
    <w:uiPriority w:val="0"/>
    <w:pPr>
      <w:spacing w:line="360" w:lineRule="auto"/>
      <w:ind w:firstLine="482"/>
    </w:pPr>
    <w:rPr>
      <w:rFonts w:cs="宋体"/>
      <w:sz w:val="24"/>
      <w:szCs w:val="20"/>
    </w:rPr>
  </w:style>
  <w:style w:type="paragraph" w:customStyle="1" w:styleId="3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qFormat/>
    <w:uiPriority w:val="0"/>
    <w:pPr>
      <w:spacing w:line="360" w:lineRule="auto"/>
    </w:pPr>
    <w:rPr>
      <w:rFonts w:ascii="宋体" w:hAnsi="宋体"/>
      <w:sz w:val="24"/>
    </w:rPr>
  </w:style>
  <w:style w:type="paragraph" w:styleId="3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qFormat/>
    <w:uiPriority w:val="0"/>
    <w:pPr>
      <w:widowControl/>
      <w:spacing w:before="150" w:after="150"/>
      <w:jc w:val="left"/>
    </w:pPr>
    <w:rPr>
      <w:rFonts w:ascii="宋体" w:hAnsi="宋体" w:cs="宋体"/>
      <w:kern w:val="0"/>
      <w:sz w:val="24"/>
    </w:rPr>
  </w:style>
  <w:style w:type="paragraph" w:customStyle="1" w:styleId="339">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qFormat/>
    <w:uiPriority w:val="0"/>
    <w:pPr>
      <w:widowControl/>
      <w:spacing w:before="150" w:after="150"/>
      <w:jc w:val="left"/>
    </w:pPr>
    <w:rPr>
      <w:rFonts w:ascii="宋体" w:hAnsi="宋体" w:cs="宋体"/>
      <w:kern w:val="0"/>
      <w:sz w:val="24"/>
    </w:rPr>
  </w:style>
  <w:style w:type="paragraph" w:customStyle="1" w:styleId="342">
    <w:name w:val="列表数字1"/>
    <w:next w:val="50"/>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qFormat/>
    <w:uiPriority w:val="0"/>
    <w:pPr>
      <w:numPr>
        <w:ilvl w:val="0"/>
        <w:numId w:val="20"/>
      </w:numPr>
      <w:jc w:val="left"/>
    </w:pPr>
  </w:style>
  <w:style w:type="paragraph" w:customStyle="1" w:styleId="3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50"/>
    <w:qFormat/>
    <w:uiPriority w:val="0"/>
    <w:pPr>
      <w:spacing w:after="0" w:line="360" w:lineRule="auto"/>
      <w:ind w:firstLine="200" w:firstLineChars="200"/>
    </w:pPr>
    <w:rPr>
      <w:sz w:val="24"/>
      <w:szCs w:val="24"/>
    </w:rPr>
  </w:style>
  <w:style w:type="paragraph" w:customStyle="1" w:styleId="347">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4"/>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222AE-D6DD-4626-944B-72BB0835FB73}">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45</Pages>
  <Words>21542</Words>
  <Characters>22697</Characters>
  <Lines>241</Lines>
  <Paragraphs>68</Paragraphs>
  <TotalTime>3</TotalTime>
  <ScaleCrop>false</ScaleCrop>
  <LinksUpToDate>false</LinksUpToDate>
  <CharactersWithSpaces>26856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2017-11-24T09:31:00Z</dcterms:created>
  <dc:creator>杨佳佳</dc:creator>
  <cp:lastModifiedBy>Administrator</cp:lastModifiedBy>
  <cp:lastPrinted>2017-03-06T09:32:00Z</cp:lastPrinted>
  <dcterms:modified xsi:type="dcterms:W3CDTF">2022-12-13T09:56:43Z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AB56822027C143A3A2A1ECFE85C7CCCC</vt:lpwstr>
  </property>
</Properties>
</file>