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hAnsi="宋体"/>
          <w:bCs/>
          <w:color w:val="000000" w:themeColor="text1"/>
          <w:sz w:val="32"/>
          <w:highlight w:val="none"/>
          <w14:textFill>
            <w14:solidFill>
              <w14:schemeClr w14:val="tx1"/>
            </w14:solidFill>
          </w14:textFill>
        </w:rPr>
        <w:drawing>
          <wp:inline distT="0" distB="0" distL="0" distR="0">
            <wp:extent cx="2320290" cy="37084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2"/>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YXCG-20220826</w:t>
            </w:r>
          </w:p>
        </w:tc>
      </w:tr>
      <w:tr>
        <w:tblPrEx>
          <w:tblCellMar>
            <w:top w:w="0" w:type="dxa"/>
            <w:left w:w="108" w:type="dxa"/>
            <w:bottom w:w="0" w:type="dxa"/>
            <w:right w:w="108" w:type="dxa"/>
          </w:tblCellMar>
        </w:tblPrEx>
        <w:trPr>
          <w:trHeight w:val="77" w:hRule="atLeast"/>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阳江市固定资产投资统计分析和可视化系统项目</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阳江市交通运输局</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2"/>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val="en-US" w:eastAsia="zh-CN"/>
          <w14:textFill>
            <w14:solidFill>
              <w14:schemeClr w14:val="tx1"/>
            </w14:solidFill>
          </w14:textFill>
        </w:rPr>
        <w:t>二二年八</w:t>
      </w:r>
      <w:r>
        <w:rPr>
          <w:rFonts w:hint="eastAsia" w:hAnsi="宋体"/>
          <w:b/>
          <w:bCs/>
          <w:color w:val="000000" w:themeColor="text1"/>
          <w:sz w:val="24"/>
          <w:szCs w:val="24"/>
          <w:highlight w:val="none"/>
          <w14:textFill>
            <w14:solidFill>
              <w14:schemeClr w14:val="tx1"/>
            </w14:solidFill>
          </w14:textFill>
        </w:rPr>
        <w:t>月</w:t>
      </w:r>
    </w:p>
    <w:p>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w:t>
      </w:r>
      <w:r>
        <w:rPr>
          <w:rFonts w:hint="eastAsia" w:ascii="宋体" w:hAnsi="宋体"/>
          <w:color w:val="000000" w:themeColor="text1"/>
          <w:szCs w:val="21"/>
          <w:highlight w:val="none"/>
          <w14:textFill>
            <w14:solidFill>
              <w14:schemeClr w14:val="tx1"/>
            </w14:solidFill>
          </w14:textFill>
        </w:rPr>
        <w:t>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w:t>
      </w:r>
      <w:r>
        <w:rPr>
          <w:rFonts w:ascii="宋体" w:hAnsi="宋体"/>
          <w:color w:val="000000" w:themeColor="text1"/>
          <w:szCs w:val="21"/>
          <w:highlight w:val="none"/>
          <w14:textFill>
            <w14:solidFill>
              <w14:schemeClr w14:val="tx1"/>
            </w14:solidFill>
          </w14:textFill>
        </w:rPr>
        <w:t>，建议遵循法律途径解决，追究侵权者责任。对一家供应商递交两份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6"/>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目     录</w:t>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_Toc22091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YXCG-20220826</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_Toc26060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"_Toc27798"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阳江市固定资产投资统计分析和可视化系统项目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_Toc27798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"_Toc16872"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"_Toc26442"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"_Toc17030"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_Toc17030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"_Toc23557"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_Toc23557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"_Toc16673"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_Toc16673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"_Toc5150"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_Toc5150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"_Toc9449"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_Toc9449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"_Toc26086"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"_Toc29109"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"_Toc17187"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_Toc17187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"_Toc24865"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"_Toc20589"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_Toc20589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"_Toc32000"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_Toc32000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"_Toc26584"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_Toc23485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"_Toc21008"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_Toc21008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"_Toc12293"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_Toc12293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"_Toc31516"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"_Toc30898"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_Toc30898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"_Toc6643"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"_Toc7570"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_Toc7570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"_Toc32077"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_Toc32226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"_Toc25541"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_Toc25541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_Toc26215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"_Toc16395"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_Toc16395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"_Toc21301"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_Toc21301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"_Toc11114"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_Toc11114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_Toc22492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"_Toc13066"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_Toc13066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_Toc25126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"_Toc18439"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_Toc18439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"_Toc28724"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_Toc28724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"_Toc16815"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_Toc16815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"_Toc10471"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_Toc10471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"_Toc29494"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_Toc29494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_Toc14099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"_Toc26490"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"_Toc19327"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_Toc19327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"_Toc4253"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"_Toc14926"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_Toc14926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"_Toc14567"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_Toc14567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"_Toc32587"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_Toc32587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"_Toc17097"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_Toc17097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ind w:left="0" w:leftChars="0"/>
        <w:jc w:val="center"/>
        <w:rPr>
          <w:rFonts w:hint="eastAsia" w:ascii="宋体" w:hAnsi="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end"/>
      </w:r>
      <w:bookmarkStart w:id="0" w:name="_Toc22091"/>
      <w:bookmarkStart w:id="1" w:name="_Toc452826425"/>
      <w:bookmarkStart w:id="2" w:name="_Toc369180022"/>
      <w:bookmarkStart w:id="3" w:name="_Toc351988709"/>
      <w:bookmarkStart w:id="4" w:name="_Toc351987768"/>
      <w:bookmarkStart w:id="5" w:name="_Toc353522392"/>
      <w:bookmarkStart w:id="6" w:name="_Toc351987964"/>
      <w:bookmarkStart w:id="7" w:name="_Toc351990145"/>
      <w:bookmarkStart w:id="8" w:name="_Toc357151175"/>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广东业信采购招标有限公司受</w:t>
      </w:r>
      <w:r>
        <w:rPr>
          <w:rFonts w:hint="eastAsia" w:ascii="宋体" w:hAnsi="宋体"/>
          <w:color w:val="000000" w:themeColor="text1"/>
          <w:szCs w:val="21"/>
          <w:highlight w:val="none"/>
          <w:u w:val="single"/>
          <w:lang w:eastAsia="zh-CN"/>
          <w14:textFill>
            <w14:solidFill>
              <w14:schemeClr w14:val="tx1"/>
            </w14:solidFill>
          </w14:textFill>
        </w:rPr>
        <w:t>阳江市交通运输局</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阳江市固定资产投资统计分析和可视化系统项目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spacing w:line="360" w:lineRule="auto"/>
        <w:ind w:firstLine="211" w:firstLineChars="100"/>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 xml:space="preserve">一、谈判项目的名称、用途、数量、简要技术要求或者谈判项目的性质 </w:t>
      </w:r>
    </w:p>
    <w:p>
      <w:pPr>
        <w:spacing w:line="360" w:lineRule="auto"/>
        <w:ind w:firstLine="420" w:firstLineChars="200"/>
        <w:rPr>
          <w:rFonts w:hint="eastAsia" w:ascii="宋体" w:hAnsi="宋体" w:cs="Tahoma"/>
          <w:b w:val="0"/>
          <w:bCs w:val="0"/>
          <w:color w:val="000000" w:themeColor="text1"/>
          <w:szCs w:val="21"/>
          <w:highlight w:val="none"/>
          <w:lang w:eastAsia="zh-CN"/>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1．谈判项目编号：</w:t>
      </w:r>
      <w:r>
        <w:rPr>
          <w:rFonts w:hint="eastAsia" w:ascii="宋体" w:hAnsi="宋体" w:cs="Tahoma"/>
          <w:b w:val="0"/>
          <w:bCs w:val="0"/>
          <w:color w:val="000000" w:themeColor="text1"/>
          <w:szCs w:val="21"/>
          <w:highlight w:val="none"/>
          <w:lang w:eastAsia="zh-CN"/>
          <w14:textFill>
            <w14:solidFill>
              <w14:schemeClr w14:val="tx1"/>
            </w14:solidFill>
          </w14:textFill>
        </w:rPr>
        <w:t>YXCG-20220826</w:t>
      </w:r>
    </w:p>
    <w:p>
      <w:pPr>
        <w:spacing w:line="360" w:lineRule="auto"/>
        <w:ind w:firstLine="210" w:firstLineChars="100"/>
        <w:rPr>
          <w:rFonts w:hint="eastAsia" w:ascii="宋体" w:hAnsi="宋体" w:cs="Tahoma"/>
          <w:b w:val="0"/>
          <w:bCs w:val="0"/>
          <w:color w:val="000000" w:themeColor="text1"/>
          <w:szCs w:val="21"/>
          <w:highlight w:val="none"/>
          <w:lang w:eastAsia="zh-CN"/>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 xml:space="preserve">  2．谈判项目名称：</w:t>
      </w:r>
      <w:r>
        <w:rPr>
          <w:rFonts w:hint="eastAsia" w:ascii="宋体" w:hAnsi="宋体" w:cs="Tahoma"/>
          <w:b w:val="0"/>
          <w:bCs w:val="0"/>
          <w:color w:val="000000" w:themeColor="text1"/>
          <w:szCs w:val="21"/>
          <w:highlight w:val="none"/>
          <w:lang w:eastAsia="zh-CN"/>
          <w14:textFill>
            <w14:solidFill>
              <w14:schemeClr w14:val="tx1"/>
            </w14:solidFill>
          </w14:textFill>
        </w:rPr>
        <w:t>阳江市固定资产投资统计分析和可视化系统项目</w:t>
      </w:r>
    </w:p>
    <w:p>
      <w:pPr>
        <w:spacing w:line="360" w:lineRule="auto"/>
        <w:ind w:firstLine="210" w:firstLineChars="100"/>
        <w:rPr>
          <w:rFonts w:hint="eastAsia" w:ascii="宋体" w:hAnsi="宋体" w:cs="Tahoma"/>
          <w:b w:val="0"/>
          <w:bCs w:val="0"/>
          <w:color w:val="000000" w:themeColor="text1"/>
          <w:szCs w:val="21"/>
          <w:highlight w:val="none"/>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 xml:space="preserve">  3．采购预算：人民币</w:t>
      </w:r>
      <w:r>
        <w:rPr>
          <w:rFonts w:hint="eastAsia" w:ascii="宋体" w:hAnsi="宋体" w:cs="Tahoma"/>
          <w:b w:val="0"/>
          <w:bCs w:val="0"/>
          <w:color w:val="000000" w:themeColor="text1"/>
          <w:szCs w:val="21"/>
          <w:highlight w:val="none"/>
          <w:lang w:val="en-US" w:eastAsia="zh-CN"/>
          <w14:textFill>
            <w14:solidFill>
              <w14:schemeClr w14:val="tx1"/>
            </w14:solidFill>
          </w14:textFill>
        </w:rPr>
        <w:t>170</w:t>
      </w:r>
      <w:r>
        <w:rPr>
          <w:rFonts w:hint="eastAsia" w:ascii="宋体" w:hAnsi="宋体" w:cs="Tahoma"/>
          <w:b w:val="0"/>
          <w:bCs w:val="0"/>
          <w:color w:val="000000" w:themeColor="text1"/>
          <w:szCs w:val="21"/>
          <w:highlight w:val="none"/>
          <w14:textFill>
            <w14:solidFill>
              <w14:schemeClr w14:val="tx1"/>
            </w14:solidFill>
          </w14:textFill>
        </w:rPr>
        <w:t>000.00元（超出该上限的报价将作为无效报价处理）。</w:t>
      </w:r>
    </w:p>
    <w:p>
      <w:pPr>
        <w:spacing w:line="360" w:lineRule="auto"/>
        <w:ind w:firstLine="210" w:firstLineChars="100"/>
        <w:rPr>
          <w:rFonts w:hint="eastAsia" w:ascii="宋体" w:hAnsi="宋体" w:cs="Tahoma"/>
          <w:b w:val="0"/>
          <w:bCs w:val="0"/>
          <w:color w:val="000000" w:themeColor="text1"/>
          <w:szCs w:val="21"/>
          <w:highlight w:val="none"/>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 xml:space="preserve">  4．数  量：一项</w:t>
      </w:r>
    </w:p>
    <w:p>
      <w:pPr>
        <w:spacing w:line="360" w:lineRule="auto"/>
        <w:ind w:firstLine="210" w:firstLineChars="100"/>
        <w:rPr>
          <w:rFonts w:hint="eastAsia" w:ascii="宋体" w:hAnsi="宋体" w:cs="Tahoma"/>
          <w:b w:val="0"/>
          <w:bCs w:val="0"/>
          <w:color w:val="000000" w:themeColor="text1"/>
          <w:szCs w:val="21"/>
          <w:highlight w:val="none"/>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 xml:space="preserve">  5．服务期：合同签订后60个工作日后</w:t>
      </w:r>
      <w:r>
        <w:rPr>
          <w:rFonts w:hint="eastAsia" w:ascii="宋体" w:hAnsi="宋体" w:cs="Tahoma"/>
          <w:b w:val="0"/>
          <w:bCs w:val="0"/>
          <w:color w:val="000000" w:themeColor="text1"/>
          <w:szCs w:val="21"/>
          <w:highlight w:val="none"/>
          <w:lang w:val="en-US" w:eastAsia="zh-CN"/>
          <w14:textFill>
            <w14:solidFill>
              <w14:schemeClr w14:val="tx1"/>
            </w14:solidFill>
          </w14:textFill>
        </w:rPr>
        <w:t>系统</w:t>
      </w:r>
      <w:r>
        <w:rPr>
          <w:rFonts w:hint="eastAsia" w:ascii="宋体" w:hAnsi="宋体" w:cs="Tahoma"/>
          <w:b w:val="0"/>
          <w:bCs w:val="0"/>
          <w:color w:val="000000" w:themeColor="text1"/>
          <w:szCs w:val="21"/>
          <w:highlight w:val="none"/>
          <w14:textFill>
            <w14:solidFill>
              <w14:schemeClr w14:val="tx1"/>
            </w14:solidFill>
          </w14:textFill>
        </w:rPr>
        <w:t>投入使用（超出该服务期作为无效投标处理）。</w:t>
      </w:r>
    </w:p>
    <w:p>
      <w:pPr>
        <w:spacing w:line="360" w:lineRule="auto"/>
        <w:ind w:firstLine="210" w:firstLineChars="100"/>
        <w:rPr>
          <w:rFonts w:hint="eastAsia" w:ascii="宋体" w:hAnsi="宋体" w:cs="Tahoma"/>
          <w:b w:val="0"/>
          <w:bCs w:val="0"/>
          <w:color w:val="000000" w:themeColor="text1"/>
          <w:szCs w:val="21"/>
          <w:highlight w:val="none"/>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 xml:space="preserve">  6．谈判项目的性质：竞争性谈判</w:t>
      </w:r>
    </w:p>
    <w:p>
      <w:pPr>
        <w:widowControl/>
        <w:tabs>
          <w:tab w:val="left" w:pos="502"/>
        </w:tabs>
        <w:adjustRightInd w:val="0"/>
        <w:snapToGrid w:val="0"/>
        <w:spacing w:line="360" w:lineRule="auto"/>
        <w:rPr>
          <w:rFonts w:hint="eastAsia" w:ascii="宋体" w:hAnsi="宋体" w:cs="Arial"/>
          <w:b/>
          <w:bCs/>
          <w:color w:val="000000" w:themeColor="text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二、投标人投标资格要求</w:t>
      </w:r>
    </w:p>
    <w:p>
      <w:pPr>
        <w:widowControl/>
        <w:tabs>
          <w:tab w:val="left" w:pos="502"/>
        </w:tabs>
        <w:adjustRightInd w:val="0"/>
        <w:snapToGrid w:val="0"/>
        <w:spacing w:line="360" w:lineRule="auto"/>
        <w:ind w:firstLine="420" w:firstLineChars="200"/>
        <w:rPr>
          <w:rFonts w:hint="eastAsia" w:ascii="宋体" w:hAnsi="宋体" w:cs="Arial"/>
          <w:b w:val="0"/>
          <w:bCs w:val="0"/>
          <w:color w:val="000000" w:themeColor="text1"/>
          <w:highlight w:val="none"/>
          <w14:textFill>
            <w14:solidFill>
              <w14:schemeClr w14:val="tx1"/>
            </w14:solidFill>
          </w14:textFill>
        </w:rPr>
      </w:pPr>
      <w:r>
        <w:rPr>
          <w:rFonts w:hint="eastAsia" w:ascii="宋体" w:hAnsi="宋体" w:cs="Arial"/>
          <w:b w:val="0"/>
          <w:bCs w:val="0"/>
          <w:color w:val="000000" w:themeColor="text1"/>
          <w:highlight w:val="none"/>
          <w14:textFill>
            <w14:solidFill>
              <w14:schemeClr w14:val="tx1"/>
            </w14:solidFill>
          </w14:textFill>
        </w:rPr>
        <w:t>1.投标人应具备《中华人民共和国政府采购法》第二十二条规定的条件:</w:t>
      </w:r>
    </w:p>
    <w:p>
      <w:pPr>
        <w:widowControl/>
        <w:tabs>
          <w:tab w:val="left" w:pos="502"/>
        </w:tabs>
        <w:adjustRightInd w:val="0"/>
        <w:snapToGrid w:val="0"/>
        <w:spacing w:line="360" w:lineRule="auto"/>
        <w:ind w:left="630" w:leftChars="300" w:firstLine="0" w:firstLineChars="0"/>
        <w:rPr>
          <w:rFonts w:hint="eastAsia" w:ascii="宋体" w:hAnsi="宋体" w:cs="Arial"/>
          <w:b w:val="0"/>
          <w:bCs w:val="0"/>
          <w:color w:val="000000" w:themeColor="text1"/>
          <w:highlight w:val="none"/>
          <w14:textFill>
            <w14:solidFill>
              <w14:schemeClr w14:val="tx1"/>
            </w14:solidFill>
          </w14:textFill>
        </w:rPr>
      </w:pPr>
      <w:r>
        <w:rPr>
          <w:rFonts w:hint="eastAsia" w:ascii="宋体" w:hAnsi="宋体" w:cs="Arial"/>
          <w:b w:val="0"/>
          <w:bCs w:val="0"/>
          <w:color w:val="000000" w:themeColor="text1"/>
          <w:highlight w:val="none"/>
          <w14:textFill>
            <w14:solidFill>
              <w14:schemeClr w14:val="tx1"/>
            </w14:solidFill>
          </w14:textFill>
        </w:rPr>
        <w:t>1）具有独立承担民事责任的能力；</w:t>
      </w:r>
      <w:r>
        <w:rPr>
          <w:rFonts w:hint="eastAsia" w:ascii="宋体" w:hAnsi="宋体" w:cs="Arial"/>
          <w:b w:val="0"/>
          <w:bCs w:val="0"/>
          <w:color w:val="000000" w:themeColor="text1"/>
          <w:highlight w:val="none"/>
          <w14:textFill>
            <w14:solidFill>
              <w14:schemeClr w14:val="tx1"/>
            </w14:solidFill>
          </w14:textFill>
        </w:rPr>
        <w:br w:type="textWrapping"/>
      </w:r>
      <w:r>
        <w:rPr>
          <w:rFonts w:hint="eastAsia" w:ascii="宋体" w:hAnsi="宋体" w:cs="Arial"/>
          <w:b w:val="0"/>
          <w:bCs w:val="0"/>
          <w:color w:val="000000" w:themeColor="text1"/>
          <w:highlight w:val="none"/>
          <w14:textFill>
            <w14:solidFill>
              <w14:schemeClr w14:val="tx1"/>
            </w14:solidFill>
          </w14:textFill>
        </w:rPr>
        <w:t>2）具有良好的商业信誉和健全的财务会计制度；</w:t>
      </w:r>
      <w:r>
        <w:rPr>
          <w:rFonts w:hint="eastAsia" w:ascii="宋体" w:hAnsi="宋体" w:cs="Arial"/>
          <w:b w:val="0"/>
          <w:bCs w:val="0"/>
          <w:color w:val="000000" w:themeColor="text1"/>
          <w:highlight w:val="none"/>
          <w14:textFill>
            <w14:solidFill>
              <w14:schemeClr w14:val="tx1"/>
            </w14:solidFill>
          </w14:textFill>
        </w:rPr>
        <w:br w:type="textWrapping"/>
      </w:r>
      <w:r>
        <w:rPr>
          <w:rFonts w:hint="eastAsia" w:ascii="宋体" w:hAnsi="宋体" w:cs="Arial"/>
          <w:b w:val="0"/>
          <w:bCs w:val="0"/>
          <w:color w:val="000000" w:themeColor="text1"/>
          <w:highlight w:val="none"/>
          <w14:textFill>
            <w14:solidFill>
              <w14:schemeClr w14:val="tx1"/>
            </w14:solidFill>
          </w14:textFill>
        </w:rPr>
        <w:t>3）具有履行合同所必需的设备和专业技术能力；</w:t>
      </w:r>
      <w:r>
        <w:rPr>
          <w:rFonts w:hint="eastAsia" w:ascii="宋体" w:hAnsi="宋体" w:cs="Arial"/>
          <w:b w:val="0"/>
          <w:bCs w:val="0"/>
          <w:color w:val="000000" w:themeColor="text1"/>
          <w:highlight w:val="none"/>
          <w14:textFill>
            <w14:solidFill>
              <w14:schemeClr w14:val="tx1"/>
            </w14:solidFill>
          </w14:textFill>
        </w:rPr>
        <w:br w:type="textWrapping"/>
      </w:r>
      <w:r>
        <w:rPr>
          <w:rFonts w:hint="eastAsia" w:ascii="宋体" w:hAnsi="宋体" w:cs="Arial"/>
          <w:b w:val="0"/>
          <w:bCs w:val="0"/>
          <w:color w:val="000000" w:themeColor="text1"/>
          <w:highlight w:val="none"/>
          <w14:textFill>
            <w14:solidFill>
              <w14:schemeClr w14:val="tx1"/>
            </w14:solidFill>
          </w14:textFill>
        </w:rPr>
        <w:t>4）有依法缴纳税收和社会保障资金的良好记录；</w:t>
      </w:r>
      <w:r>
        <w:rPr>
          <w:rFonts w:hint="eastAsia" w:ascii="宋体" w:hAnsi="宋体" w:cs="Arial"/>
          <w:b w:val="0"/>
          <w:bCs w:val="0"/>
          <w:color w:val="000000" w:themeColor="text1"/>
          <w:highlight w:val="none"/>
          <w14:textFill>
            <w14:solidFill>
              <w14:schemeClr w14:val="tx1"/>
            </w14:solidFill>
          </w14:textFill>
        </w:rPr>
        <w:br w:type="textWrapping"/>
      </w:r>
      <w:r>
        <w:rPr>
          <w:rFonts w:hint="eastAsia" w:ascii="宋体" w:hAnsi="宋体" w:cs="Arial"/>
          <w:b w:val="0"/>
          <w:bCs w:val="0"/>
          <w:color w:val="000000" w:themeColor="text1"/>
          <w:highlight w:val="none"/>
          <w14:textFill>
            <w14:solidFill>
              <w14:schemeClr w14:val="tx1"/>
            </w14:solidFill>
          </w14:textFill>
        </w:rPr>
        <w:t>5）参加政府采购活动前三年内，在经营活动中没有重大违法记录；</w:t>
      </w:r>
      <w:r>
        <w:rPr>
          <w:rFonts w:hint="eastAsia" w:ascii="宋体" w:hAnsi="宋体" w:cs="Arial"/>
          <w:b w:val="0"/>
          <w:bCs w:val="0"/>
          <w:color w:val="000000" w:themeColor="text1"/>
          <w:highlight w:val="none"/>
          <w14:textFill>
            <w14:solidFill>
              <w14:schemeClr w14:val="tx1"/>
            </w14:solidFill>
          </w14:textFill>
        </w:rPr>
        <w:br w:type="textWrapping"/>
      </w:r>
      <w:r>
        <w:rPr>
          <w:rFonts w:hint="eastAsia" w:ascii="宋体" w:hAnsi="宋体" w:cs="Arial"/>
          <w:b w:val="0"/>
          <w:bCs w:val="0"/>
          <w:color w:val="000000" w:themeColor="text1"/>
          <w:highlight w:val="none"/>
          <w14:textFill>
            <w14:solidFill>
              <w14:schemeClr w14:val="tx1"/>
            </w14:solidFill>
          </w14:textFill>
        </w:rPr>
        <w:t>6）法律、行政法规规定的其他条件。</w:t>
      </w:r>
    </w:p>
    <w:p>
      <w:pPr>
        <w:widowControl/>
        <w:tabs>
          <w:tab w:val="left" w:pos="502"/>
        </w:tabs>
        <w:adjustRightInd w:val="0"/>
        <w:snapToGrid w:val="0"/>
        <w:spacing w:line="360" w:lineRule="auto"/>
        <w:ind w:firstLine="420" w:firstLineChars="200"/>
        <w:rPr>
          <w:rFonts w:hint="eastAsia" w:ascii="宋体" w:hAnsi="宋体" w:cs="Arial"/>
          <w:b w:val="0"/>
          <w:bCs w:val="0"/>
          <w:color w:val="000000" w:themeColor="text1"/>
          <w:highlight w:val="none"/>
          <w14:textFill>
            <w14:solidFill>
              <w14:schemeClr w14:val="tx1"/>
            </w14:solidFill>
          </w14:textFill>
        </w:rPr>
      </w:pPr>
      <w:r>
        <w:rPr>
          <w:rFonts w:hint="eastAsia" w:ascii="宋体" w:hAnsi="宋体" w:cs="Arial"/>
          <w:b w:val="0"/>
          <w:bCs w:val="0"/>
          <w:color w:val="000000" w:themeColor="text1"/>
          <w:highlight w:val="none"/>
          <w14:textFill>
            <w14:solidFill>
              <w14:schemeClr w14:val="tx1"/>
            </w14:solidFill>
          </w14:textFill>
        </w:rPr>
        <w:t>2.本项目不接受联合体投标；</w:t>
      </w:r>
    </w:p>
    <w:p>
      <w:pPr>
        <w:widowControl/>
        <w:tabs>
          <w:tab w:val="left" w:pos="502"/>
        </w:tabs>
        <w:adjustRightInd w:val="0"/>
        <w:snapToGrid w:val="0"/>
        <w:spacing w:line="360" w:lineRule="auto"/>
        <w:ind w:firstLine="420" w:firstLineChars="200"/>
        <w:rPr>
          <w:rFonts w:hint="eastAsia" w:ascii="宋体" w:hAnsi="宋体" w:cs="Arial"/>
          <w:b w:val="0"/>
          <w:bCs w:val="0"/>
          <w:color w:val="000000" w:themeColor="text1"/>
          <w:highlight w:val="none"/>
          <w14:textFill>
            <w14:solidFill>
              <w14:schemeClr w14:val="tx1"/>
            </w14:solidFill>
          </w14:textFill>
        </w:rPr>
      </w:pPr>
      <w:r>
        <w:rPr>
          <w:rFonts w:hint="eastAsia" w:ascii="宋体" w:hAnsi="宋体" w:cs="Arial"/>
          <w:b w:val="0"/>
          <w:bCs w:val="0"/>
          <w:color w:val="000000" w:themeColor="text1"/>
          <w:highlight w:val="none"/>
          <w:lang w:val="en-US" w:eastAsia="zh-CN"/>
          <w14:textFill>
            <w14:solidFill>
              <w14:schemeClr w14:val="tx1"/>
            </w14:solidFill>
          </w14:textFill>
        </w:rPr>
        <w:t>3</w:t>
      </w:r>
      <w:r>
        <w:rPr>
          <w:rFonts w:hint="eastAsia" w:ascii="宋体" w:hAnsi="宋体" w:cs="Arial"/>
          <w:b w:val="0"/>
          <w:bCs w:val="0"/>
          <w:color w:val="000000" w:themeColor="text1"/>
          <w:highlight w:val="none"/>
          <w14:textFill>
            <w14:solidFill>
              <w14:schemeClr w14:val="tx1"/>
            </w14:solidFill>
          </w14:textFill>
        </w:rPr>
        <w:t>.投标人须在招标代理机构登记并购买谈判文件。</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2022年9月8日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2022年9月14日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2022年9月8日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2022年9月14日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205</w:t>
      </w:r>
      <w:r>
        <w:rPr>
          <w:rFonts w:hint="eastAsia" w:ascii="宋体" w:hAnsi="宋体"/>
          <w:color w:val="000000" w:themeColor="text1"/>
          <w:szCs w:val="21"/>
          <w:highlight w:val="none"/>
          <w14:textFill>
            <w14:solidFill>
              <w14:schemeClr w14:val="tx1"/>
            </w14:solidFill>
          </w14:textFill>
        </w:rPr>
        <w:t>室。</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w:t>
      </w:r>
      <w:r>
        <w:rPr>
          <w:rFonts w:hint="eastAsia" w:ascii="宋体" w:hAnsi="宋体"/>
          <w:bCs/>
          <w:color w:val="000000" w:themeColor="text1"/>
          <w:szCs w:val="21"/>
          <w:highlight w:val="none"/>
          <w14:textFill>
            <w14:solidFill>
              <w14:schemeClr w14:val="tx1"/>
            </w14:solidFill>
          </w14:textFill>
        </w:rPr>
        <w:t>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47"/>
          <w:color w:val="000000" w:themeColor="text1"/>
          <w:highlight w:val="none"/>
          <w14:textFill>
            <w14:solidFill>
              <w14:schemeClr w14:val="tx1"/>
            </w14:solidFill>
          </w14:textFill>
        </w:rPr>
        <w:t>http://www.yjcg.cc</w:t>
      </w:r>
      <w:r>
        <w:rPr>
          <w:rStyle w:val="47"/>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47"/>
          <w:rFonts w:hint="eastAsia" w:ascii="宋体" w:hAnsi="宋体"/>
          <w:bCs/>
          <w:color w:val="000000" w:themeColor="text1"/>
          <w:szCs w:val="21"/>
          <w:highlight w:val="none"/>
          <w14:textFill>
            <w14:solidFill>
              <w14:schemeClr w14:val="tx1"/>
            </w14:solidFill>
          </w14:textFill>
        </w:rPr>
        <w:t>政府采购资料</w:t>
      </w:r>
      <w:r>
        <w:rPr>
          <w:rStyle w:val="47"/>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招标代理机构或招标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2022年9月16日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:30-1</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2022年9月16日</w:t>
      </w: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2022年9月16日</w:t>
      </w:r>
      <w:r>
        <w:rPr>
          <w:rFonts w:hint="eastAsia" w:ascii="宋体" w:hAnsi="宋体" w:cs="宋体"/>
          <w:color w:val="000000" w:themeColor="text1"/>
          <w:kern w:val="0"/>
          <w:szCs w:val="21"/>
          <w:highlight w:val="none"/>
          <w14:textFill>
            <w14:solidFill>
              <w14:schemeClr w14:val="tx1"/>
            </w14:solidFill>
          </w14:textFill>
        </w:rPr>
        <w:t> 1</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202评</w:t>
      </w:r>
      <w:r>
        <w:rPr>
          <w:rFonts w:hint="eastAsia" w:ascii="宋体" w:hAnsi="宋体" w:cs="Tahoma"/>
          <w:color w:val="000000" w:themeColor="text1"/>
          <w:highlight w:val="none"/>
          <w14:textFill>
            <w14:solidFill>
              <w14:schemeClr w14:val="tx1"/>
            </w14:solidFill>
          </w14:textFill>
        </w:rPr>
        <w:t>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阳江市交通运输局</w:t>
      </w:r>
    </w:p>
    <w:p>
      <w:pPr>
        <w:tabs>
          <w:tab w:val="left" w:pos="735"/>
          <w:tab w:val="left" w:pos="4680"/>
        </w:tabs>
        <w:adjustRightInd w:val="0"/>
        <w:snapToGrid w:val="0"/>
        <w:spacing w:line="360" w:lineRule="auto"/>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谭冬梅</w:t>
      </w:r>
    </w:p>
    <w:p>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联系电话：0</w:t>
      </w:r>
      <w:r>
        <w:rPr>
          <w:rFonts w:hint="eastAsia" w:ascii="宋体" w:hAnsi="宋体"/>
          <w:color w:val="000000" w:themeColor="text1"/>
          <w:szCs w:val="21"/>
          <w:highlight w:val="none"/>
          <w:lang w:val="en-US" w:eastAsia="zh-CN"/>
          <w14:textFill>
            <w14:solidFill>
              <w14:schemeClr w14:val="tx1"/>
            </w14:solidFill>
          </w14:textFill>
        </w:rPr>
        <w:t>662-3130185</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阳江</w:t>
      </w:r>
      <w:r>
        <w:rPr>
          <w:rFonts w:hint="eastAsia" w:ascii="宋体" w:hAnsi="宋体" w:cs="Tahoma"/>
          <w:color w:val="000000" w:themeColor="text1"/>
          <w:kern w:val="28"/>
          <w:szCs w:val="21"/>
          <w:highlight w:val="none"/>
          <w14:textFill>
            <w14:solidFill>
              <w14:schemeClr w14:val="tx1"/>
            </w14:solidFill>
          </w14:textFill>
        </w:rPr>
        <w:t>市</w:t>
      </w:r>
      <w:r>
        <w:rPr>
          <w:rFonts w:hint="eastAsia" w:ascii="宋体" w:hAnsi="宋体" w:cs="Tahoma"/>
          <w:color w:val="000000" w:themeColor="text1"/>
          <w:kern w:val="28"/>
          <w:szCs w:val="21"/>
          <w:highlight w:val="none"/>
          <w:lang w:val="en-US" w:eastAsia="zh-CN"/>
          <w14:textFill>
            <w14:solidFill>
              <w14:schemeClr w14:val="tx1"/>
            </w14:solidFill>
          </w14:textFill>
        </w:rPr>
        <w:t>石湾北</w:t>
      </w:r>
      <w:r>
        <w:rPr>
          <w:rFonts w:hint="eastAsia" w:ascii="宋体" w:hAnsi="宋体" w:cs="Tahoma"/>
          <w:color w:val="000000" w:themeColor="text1"/>
          <w:kern w:val="28"/>
          <w:szCs w:val="21"/>
          <w:highlight w:val="none"/>
          <w14:textFill>
            <w14:solidFill>
              <w14:schemeClr w14:val="tx1"/>
            </w14:solidFill>
          </w14:textFill>
        </w:rPr>
        <w:t>路</w:t>
      </w:r>
      <w:r>
        <w:rPr>
          <w:rFonts w:hint="eastAsia" w:ascii="宋体" w:hAnsi="宋体" w:cs="Tahoma"/>
          <w:color w:val="000000" w:themeColor="text1"/>
          <w:kern w:val="28"/>
          <w:szCs w:val="21"/>
          <w:highlight w:val="none"/>
          <w:lang w:val="en-US" w:eastAsia="zh-CN"/>
          <w14:textFill>
            <w14:solidFill>
              <w14:schemeClr w14:val="tx1"/>
            </w14:solidFill>
          </w14:textFill>
        </w:rPr>
        <w:t>137</w:t>
      </w:r>
      <w:r>
        <w:rPr>
          <w:rFonts w:hint="eastAsia" w:ascii="宋体" w:hAnsi="宋体" w:cs="Tahoma"/>
          <w:color w:val="000000" w:themeColor="text1"/>
          <w:kern w:val="28"/>
          <w:szCs w:val="21"/>
          <w:highlight w:val="none"/>
          <w14:textFill>
            <w14:solidFill>
              <w14:schemeClr w14:val="tx1"/>
            </w14:solidFill>
          </w14:textFill>
        </w:rPr>
        <w:t>号</w:t>
      </w:r>
      <w:r>
        <w:rPr>
          <w:rFonts w:hint="eastAsia" w:ascii="宋体" w:hAnsi="宋体" w:cs="Tahoma"/>
          <w:color w:val="000000" w:themeColor="text1"/>
          <w:kern w:val="28"/>
          <w:szCs w:val="21"/>
          <w:highlight w:val="none"/>
          <w:lang w:val="en-US" w:eastAsia="zh-CN"/>
          <w14:textFill>
            <w14:solidFill>
              <w14:schemeClr w14:val="tx1"/>
            </w14:solidFill>
          </w14:textFill>
        </w:rPr>
        <w:t xml:space="preserve"> 阳江</w:t>
      </w:r>
      <w:r>
        <w:rPr>
          <w:rFonts w:hint="eastAsia" w:ascii="宋体" w:hAnsi="宋体" w:cs="Tahoma"/>
          <w:color w:val="000000" w:themeColor="text1"/>
          <w:kern w:val="28"/>
          <w:szCs w:val="21"/>
          <w:highlight w:val="none"/>
          <w14:textFill>
            <w14:solidFill>
              <w14:schemeClr w14:val="tx1"/>
            </w14:solidFill>
          </w14:textFill>
        </w:rPr>
        <w:t>市交通运输局</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名  称：广东业信采购招标有限公司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联系人：冯国辉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9" w:name="_Toc351986013"/>
      <w:bookmarkStart w:id="10" w:name="_Toc351987959"/>
      <w:bookmarkStart w:id="11" w:name="_Toc369180017"/>
      <w:bookmarkStart w:id="12" w:name="_Toc353522387"/>
      <w:bookmarkStart w:id="13" w:name="_Toc351987763"/>
      <w:bookmarkStart w:id="14" w:name="_Toc351985908"/>
      <w:bookmarkStart w:id="15" w:name="_Toc351990140"/>
      <w:bookmarkStart w:id="16" w:name="_Toc357151163"/>
      <w:bookmarkStart w:id="17" w:name="_Toc351988704"/>
      <w:bookmarkStart w:id="18" w:name="_Toc351986193"/>
      <w:bookmarkStart w:id="19" w:name="_Toc329242667"/>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2022年9月8日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1324"/>
      <w:bookmarkStart w:id="21" w:name="_Toc452826426"/>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329242668"/>
      <w:bookmarkStart w:id="24" w:name="_Toc351986194"/>
      <w:bookmarkStart w:id="25" w:name="_Toc351986014"/>
      <w:bookmarkStart w:id="26" w:name="_Toc452826427"/>
      <w:bookmarkStart w:id="27" w:name="_Toc351990141"/>
      <w:bookmarkStart w:id="28" w:name="_Toc351988705"/>
      <w:bookmarkStart w:id="29" w:name="_Toc357151164"/>
      <w:bookmarkStart w:id="30" w:name="_Toc351987764"/>
      <w:bookmarkStart w:id="31" w:name="_Toc351985909"/>
      <w:bookmarkStart w:id="32" w:name="_Toc369180018"/>
      <w:bookmarkStart w:id="33" w:name="_Toc353522388"/>
      <w:bookmarkStart w:id="34" w:name="_Toc351987960"/>
      <w:bookmarkStart w:id="35" w:name="_Toc26060"/>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color w:val="000000" w:themeColor="text1"/>
          <w:sz w:val="21"/>
          <w:szCs w:val="21"/>
          <w:highlight w:val="none"/>
          <w:u w:val="single"/>
          <w:lang w:eastAsia="zh-CN"/>
          <w14:textFill>
            <w14:solidFill>
              <w14:schemeClr w14:val="tx1"/>
            </w14:solidFill>
          </w14:textFill>
        </w:rPr>
        <w:t>YXCG-20220826</w:t>
      </w:r>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357151165"/>
      <w:bookmarkStart w:id="37" w:name="_Toc452826428"/>
      <w:bookmarkStart w:id="38" w:name="_Toc351987765"/>
      <w:bookmarkStart w:id="39" w:name="_Toc351990142"/>
      <w:bookmarkStart w:id="40" w:name="_Toc351986195"/>
      <w:bookmarkStart w:id="41" w:name="_Toc351987961"/>
      <w:bookmarkStart w:id="42" w:name="_Toc351985910"/>
      <w:bookmarkStart w:id="43" w:name="_Toc353522389"/>
      <w:bookmarkStart w:id="44" w:name="_Toc351986015"/>
      <w:bookmarkStart w:id="45" w:name="_Toc329242669"/>
      <w:bookmarkStart w:id="46" w:name="_Toc369180019"/>
      <w:bookmarkStart w:id="47" w:name="_Toc27798"/>
      <w:bookmarkStart w:id="48" w:name="_Toc351988706"/>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阳江市固定资产投资统计分析和可视化系统项目</w:t>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51986016"/>
      <w:bookmarkStart w:id="50" w:name="_Toc351987766"/>
      <w:bookmarkStart w:id="51" w:name="_Toc351987962"/>
      <w:bookmarkStart w:id="52" w:name="_Toc351990143"/>
      <w:bookmarkStart w:id="53" w:name="_Toc353522390"/>
      <w:bookmarkStart w:id="54" w:name="_Toc357151166"/>
      <w:bookmarkStart w:id="55" w:name="_Toc369180020"/>
      <w:bookmarkStart w:id="56" w:name="_Toc351985911"/>
      <w:bookmarkStart w:id="57" w:name="_Toc329242670"/>
      <w:bookmarkStart w:id="58" w:name="_Toc19684"/>
      <w:bookmarkStart w:id="59" w:name="_Toc452826429"/>
      <w:bookmarkStart w:id="60" w:name="_Toc351988707"/>
      <w:bookmarkStart w:id="61" w:name="_Toc35198619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本项目采用总价报价，报价包含为完成本项目内容而产生的全部费用，采购人不再另行支付任何费用。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采购合同由成交供应商</w:t>
            </w:r>
            <w:r>
              <w:rPr>
                <w:rFonts w:hint="eastAsia"/>
                <w:color w:val="000000" w:themeColor="text1"/>
                <w:highlight w:val="none"/>
                <w:lang w:val="en-US" w:eastAsia="zh-CN"/>
                <w14:textFill>
                  <w14:solidFill>
                    <w14:schemeClr w14:val="tx1"/>
                  </w14:solidFill>
                </w14:textFill>
              </w:rPr>
              <w:t>凭</w:t>
            </w:r>
            <w:r>
              <w:rPr>
                <w:rFonts w:hint="eastAsia"/>
                <w:color w:val="000000" w:themeColor="text1"/>
                <w:highlight w:val="none"/>
                <w14:textFill>
                  <w14:solidFill>
                    <w14:schemeClr w14:val="tx1"/>
                  </w14:solidFill>
                </w14:textFill>
              </w:rPr>
              <w:t>《成交通知书》与采购人双方签订，签订时间为《成交通知书》发出之日起</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系统运行维护</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项目通过验收后，提供12个月的免费维护服务。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技术培训</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结合日常工作和业务，供应商聘请专家对市局和区县相关人员进行公路交通统计原理、数据处理分析技术、工具使用方法进行培训。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合同签订后，项目通过采购人验收合格后，由采购人一次性支付合同金额的100%款项。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贰</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299</w:t>
            </w:r>
            <w:r>
              <w:rPr>
                <w:rFonts w:hint="eastAsia" w:ascii="宋体" w:hAnsi="宋体"/>
                <w:bCs/>
                <w:color w:val="000000" w:themeColor="text1"/>
                <w:szCs w:val="21"/>
                <w:highlight w:val="none"/>
                <w14:textFill>
                  <w14:solidFill>
                    <w14:schemeClr w14:val="tx1"/>
                  </w14:solidFill>
                </w14:textFill>
              </w:rPr>
              <w:t>号文的规定</w:t>
            </w:r>
            <w:r>
              <w:rPr>
                <w:rFonts w:hint="eastAsia" w:ascii="宋体" w:hAnsi="宋体"/>
                <w:color w:val="000000" w:themeColor="text1"/>
                <w:szCs w:val="21"/>
                <w:highlight w:val="none"/>
                <w14:textFill>
                  <w14:solidFill>
                    <w14:schemeClr w14:val="tx1"/>
                  </w14:solidFill>
                </w14:textFill>
              </w:rPr>
              <w:t>，招标代理服务费</w:t>
            </w:r>
            <w:r>
              <w:rPr>
                <w:rFonts w:hint="eastAsia" w:ascii="宋体" w:hAnsi="宋体"/>
                <w:color w:val="000000" w:themeColor="text1"/>
                <w:szCs w:val="21"/>
                <w:highlight w:val="none"/>
                <w:lang w:val="en-US" w:eastAsia="zh-CN"/>
                <w14:textFill>
                  <w14:solidFill>
                    <w14:schemeClr w14:val="tx1"/>
                  </w14:solidFill>
                </w14:textFill>
              </w:rPr>
              <w:t>实行市场调节价</w:t>
            </w:r>
            <w:r>
              <w:rPr>
                <w:rFonts w:hint="eastAsia" w:ascii="宋体" w:hAnsi="宋体"/>
                <w:color w:val="000000" w:themeColor="text1"/>
                <w:szCs w:val="21"/>
                <w:highlight w:val="none"/>
                <w14:textFill>
                  <w14:solidFill>
                    <w14:schemeClr w14:val="tx1"/>
                  </w14:solidFill>
                </w14:textFill>
              </w:rPr>
              <w:t>。成交服务费由成交供应商在领取成交通知书前以银行转账方式一次性支付</w:t>
            </w:r>
            <w:r>
              <w:rPr>
                <w:rFonts w:hint="eastAsia" w:ascii="宋体" w:hAnsi="宋体"/>
                <w:color w:val="000000" w:themeColor="text1"/>
                <w:szCs w:val="21"/>
                <w:highlight w:val="none"/>
                <w:lang w:val="en-US" w:eastAsia="zh-CN"/>
                <w14:textFill>
                  <w14:solidFill>
                    <w14:schemeClr w14:val="tx1"/>
                  </w14:solidFill>
                </w14:textFill>
              </w:rPr>
              <w:t>人民币陆仟元整（￥6000.00元）</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2" w:name="_Toc351985912"/>
      <w:bookmarkStart w:id="63" w:name="_Toc353522391"/>
      <w:bookmarkStart w:id="64" w:name="_Toc351986197"/>
      <w:bookmarkStart w:id="65" w:name="_Toc452826430"/>
      <w:bookmarkStart w:id="66" w:name="_Toc357151167"/>
      <w:bookmarkStart w:id="67" w:name="_Toc369180021"/>
      <w:bookmarkStart w:id="68" w:name="_Toc351986017"/>
      <w:bookmarkStart w:id="69" w:name="_Toc351987767"/>
      <w:bookmarkStart w:id="70" w:name="_Toc351988708"/>
      <w:bookmarkStart w:id="71" w:name="_Toc351987963"/>
      <w:bookmarkStart w:id="72" w:name="_Toc329242671"/>
      <w:bookmarkStart w:id="73" w:name="_Toc351990144"/>
      <w:bookmarkStart w:id="74" w:name="_Toc16872"/>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default" w:ascii="宋体" w:hAnsi="宋体" w:eastAsia="宋体" w:cs="宋体"/>
          <w:b/>
          <w:bCs/>
          <w:color w:val="000000" w:themeColor="text1"/>
          <w:sz w:val="21"/>
          <w:szCs w:val="21"/>
          <w:highlight w:val="none"/>
          <w:lang w:val="en-US" w:eastAsia="zh-CN"/>
          <w14:textFill>
            <w14:solidFill>
              <w14:schemeClr w14:val="tx1"/>
            </w14:solidFill>
          </w14:textFill>
        </w:rPr>
        <w:t>一、项目背景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交通固定资产投资体量大，可以有效带动建筑、材料、机械、电力、信息等行业的发展；在后疫情时期，交通固投在国民经济发展中的地位日益凸显。由于涉及部门多、流程复杂、信息多源，因此有必要对交通固投数据进行全面及时的统计，为领导准确掌握相关情况、提升决策的科学性和时效性提供有力的支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default" w:ascii="宋体" w:hAnsi="宋体" w:eastAsia="宋体" w:cs="宋体"/>
          <w:b/>
          <w:bCs/>
          <w:color w:val="000000" w:themeColor="text1"/>
          <w:sz w:val="21"/>
          <w:szCs w:val="21"/>
          <w:highlight w:val="none"/>
          <w:lang w:val="en-US" w:eastAsia="zh-CN"/>
          <w14:textFill>
            <w14:solidFill>
              <w14:schemeClr w14:val="tx1"/>
            </w14:solidFill>
          </w14:textFill>
        </w:rPr>
        <w:t>二、技术目标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充分利用交通行业大数据，形成公路、港航项目规划建设全程管理，以及交通量、运输量动态监测分析的科学技术方法；在此基础上设计、开发基于云计算和移动互联网的“阳江市固定资产投资统计分析和可视化系统”，并提供专业技术培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default" w:ascii="宋体" w:hAnsi="宋体" w:eastAsia="宋体" w:cs="宋体"/>
          <w:b/>
          <w:bCs/>
          <w:color w:val="000000" w:themeColor="text1"/>
          <w:sz w:val="21"/>
          <w:szCs w:val="21"/>
          <w:highlight w:val="none"/>
          <w:lang w:val="en-US" w:eastAsia="zh-CN"/>
          <w14:textFill>
            <w14:solidFill>
              <w14:schemeClr w14:val="tx1"/>
            </w14:solidFill>
          </w14:textFill>
        </w:rPr>
        <w:t>三、技术内容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default" w:ascii="宋体" w:hAnsi="宋体" w:eastAsia="宋体" w:cs="宋体"/>
          <w:b/>
          <w:bCs/>
          <w:color w:val="000000" w:themeColor="text1"/>
          <w:sz w:val="21"/>
          <w:szCs w:val="21"/>
          <w:highlight w:val="none"/>
          <w:lang w:val="en-US" w:eastAsia="zh-CN"/>
          <w14:textFill>
            <w14:solidFill>
              <w14:schemeClr w14:val="tx1"/>
            </w14:solidFill>
          </w14:textFill>
        </w:rPr>
        <w:t>（一）进行需求分析、软件功能设计与数据库设计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根据项目要求进行详细的需求分析、软件功能设计（含系统架构设计、界面设计、功能概要设计和详细设计）、数据库设计。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default" w:ascii="宋体" w:hAnsi="宋体" w:eastAsia="宋体" w:cs="宋体"/>
          <w:b/>
          <w:bCs/>
          <w:color w:val="000000" w:themeColor="text1"/>
          <w:sz w:val="21"/>
          <w:szCs w:val="21"/>
          <w:highlight w:val="none"/>
          <w:lang w:val="en-US" w:eastAsia="zh-CN"/>
          <w14:textFill>
            <w14:solidFill>
              <w14:schemeClr w14:val="tx1"/>
            </w14:solidFill>
          </w14:textFill>
        </w:rPr>
        <w:t>（二）进行软件开发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1.云平台和数据库创建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基于云计算平台创建网络服务器、数据库服务器，开发数据导入导出接口、文件资源管理程序。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2.后台服务器程序开发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开发后台服务程序，实现数据安全管理、用户管理、数据查询、数据统计分析、数据录入、数据导出、报表生成等功能。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3.微信小程序开发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根据需求分析和功能设计方案，开发微信小程序，实现公路、港航、交通量、运输量的数据可视化、数据分析、报告查询、项目建设流程管理等功能。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default" w:ascii="宋体" w:hAnsi="宋体" w:eastAsia="宋体" w:cs="宋体"/>
          <w:b/>
          <w:bCs/>
          <w:color w:val="000000" w:themeColor="text1"/>
          <w:sz w:val="21"/>
          <w:szCs w:val="21"/>
          <w:highlight w:val="none"/>
          <w:lang w:val="en-US" w:eastAsia="zh-CN"/>
          <w14:textFill>
            <w14:solidFill>
              <w14:schemeClr w14:val="tx1"/>
            </w14:solidFill>
          </w14:textFill>
        </w:rPr>
        <w:t>四、成果</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（1）相关技术文档（设计、开发、维护和使用）；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（2）阳江市固定资产投资统计分析和可视化系统；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（3）技术培训。</w:t>
      </w:r>
    </w:p>
    <w:p>
      <w:pPr>
        <w:rPr>
          <w:color w:val="000000" w:themeColor="text1"/>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75" w:name="_Toc1353"/>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26442"/>
      <w:bookmarkStart w:id="77" w:name="_Toc434832495"/>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14:textFill>
            <w14:solidFill>
              <w14:schemeClr w14:val="tx1"/>
            </w14:solidFill>
          </w14:textFill>
        </w:rPr>
      </w:pPr>
      <w:bookmarkStart w:id="78"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pStyle w:val="2"/>
        <w:rPr>
          <w:rFonts w:ascii="宋体" w:hAnsi="宋体"/>
          <w:b/>
          <w:color w:val="000000" w:themeColor="text1"/>
          <w:szCs w:val="21"/>
          <w:highlight w:val="none"/>
          <w14:textFill>
            <w14:solidFill>
              <w14:schemeClr w14:val="tx1"/>
            </w14:solidFill>
          </w14:textFill>
        </w:rPr>
      </w:pPr>
    </w:p>
    <w:p>
      <w:pPr>
        <w:pStyle w:val="2"/>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bookmarkStart w:id="251" w:name="_GoBack"/>
      <w:bookmarkEnd w:id="251"/>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pPr>
        <w:pStyle w:val="5"/>
        <w:spacing w:line="360" w:lineRule="auto"/>
        <w:rPr>
          <w:rFonts w:ascii="宋体" w:hAnsi="宋体"/>
          <w:color w:val="000000" w:themeColor="text1"/>
          <w:sz w:val="21"/>
          <w:szCs w:val="21"/>
          <w:highlight w:val="none"/>
          <w14:textFill>
            <w14:solidFill>
              <w14:schemeClr w14:val="tx1"/>
            </w14:solidFill>
          </w14:textFill>
        </w:rPr>
      </w:pPr>
      <w:bookmarkStart w:id="79" w:name="_Toc17030"/>
      <w:bookmarkStart w:id="80" w:name="_Toc367780304"/>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阳江市固定资产投资统计分析和可视化系统项目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1" w:name="_Toc23557"/>
      <w:bookmarkStart w:id="82" w:name="_Toc367780305"/>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“代理采购机构”系指广东业信采购招标有限公司。</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阳江市交通运输局</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3" w:name="_Toc367780306"/>
      <w:bookmarkStart w:id="84" w:name="_Toc16673"/>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5" w:name="_Toc367780307"/>
      <w:bookmarkStart w:id="86" w:name="_Toc9081"/>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367780308"/>
      <w:bookmarkStart w:id="88" w:name="_Toc5150"/>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pPr>
        <w:pStyle w:val="5"/>
        <w:spacing w:line="360" w:lineRule="auto"/>
        <w:rPr>
          <w:rFonts w:ascii="宋体" w:hAnsi="宋体"/>
          <w:color w:val="000000" w:themeColor="text1"/>
          <w:sz w:val="21"/>
          <w:szCs w:val="21"/>
          <w:highlight w:val="none"/>
          <w14:textFill>
            <w14:solidFill>
              <w14:schemeClr w14:val="tx1"/>
            </w14:solidFill>
          </w14:textFill>
        </w:rPr>
      </w:pPr>
      <w:bookmarkStart w:id="89" w:name="_Toc367780309"/>
      <w:bookmarkStart w:id="90" w:name="_Toc21781"/>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1" w:name="_Toc2986"/>
      <w:bookmarkStart w:id="92" w:name="_Toc367780310"/>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3" w:name="_Toc367780311"/>
      <w:bookmarkStart w:id="94" w:name="_Toc9449"/>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26086"/>
      <w:bookmarkStart w:id="96" w:name="_Toc367780312"/>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pPr>
        <w:pStyle w:val="5"/>
        <w:spacing w:line="360" w:lineRule="auto"/>
        <w:rPr>
          <w:rFonts w:ascii="宋体" w:hAnsi="宋体"/>
          <w:color w:val="000000" w:themeColor="text1"/>
          <w:sz w:val="21"/>
          <w:szCs w:val="21"/>
          <w:highlight w:val="none"/>
          <w14:textFill>
            <w14:solidFill>
              <w14:schemeClr w14:val="tx1"/>
            </w14:solidFill>
          </w14:textFill>
        </w:rPr>
      </w:pPr>
      <w:bookmarkStart w:id="97" w:name="_Toc367780313"/>
      <w:bookmarkStart w:id="98" w:name="_Toc29109"/>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9" w:name="_Toc17187"/>
      <w:bookmarkStart w:id="100" w:name="_Toc367780314"/>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1" w:name="_Toc3252"/>
      <w:bookmarkStart w:id="102" w:name="_Toc367780315"/>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3" w:name="_Toc24865"/>
      <w:bookmarkStart w:id="104" w:name="_Toc367780316"/>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5" w:name="_Toc367780317"/>
      <w:bookmarkStart w:id="106" w:name="_Toc20589"/>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7" w:name="_Toc32000"/>
      <w:bookmarkStart w:id="108" w:name="_Toc367780318"/>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9" w:name="_Toc367780319"/>
      <w:bookmarkStart w:id="110" w:name="_Toc1868"/>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1" w:name="_Toc367780320"/>
      <w:bookmarkStart w:id="112" w:name="_Toc31243"/>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3" w:name="_Toc367780321"/>
      <w:bookmarkStart w:id="114" w:name="_Toc26584"/>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5" w:name="_Toc367780322"/>
      <w:bookmarkStart w:id="116" w:name="_Toc7043"/>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w:t>
      </w:r>
      <w:r>
        <w:rPr>
          <w:rFonts w:hint="eastAsia" w:ascii="宋体" w:hAnsi="宋体"/>
          <w:bCs/>
          <w:color w:val="000000" w:themeColor="text1"/>
          <w:szCs w:val="21"/>
          <w:highlight w:val="none"/>
          <w14:textFill>
            <w14:solidFill>
              <w14:schemeClr w14:val="tx1"/>
            </w14:solidFill>
          </w14:textFill>
        </w:rPr>
        <w:t>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367780323"/>
      <w:bookmarkStart w:id="118" w:name="_Toc23485"/>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pPr>
        <w:pStyle w:val="5"/>
        <w:spacing w:line="360" w:lineRule="auto"/>
        <w:rPr>
          <w:rFonts w:ascii="宋体" w:hAnsi="宋体"/>
          <w:color w:val="000000" w:themeColor="text1"/>
          <w:sz w:val="21"/>
          <w:szCs w:val="21"/>
          <w:highlight w:val="none"/>
          <w14:textFill>
            <w14:solidFill>
              <w14:schemeClr w14:val="tx1"/>
            </w14:solidFill>
          </w14:textFill>
        </w:rPr>
      </w:pPr>
      <w:bookmarkStart w:id="119" w:name="_Toc367780324"/>
      <w:bookmarkStart w:id="120" w:name="_Toc21008"/>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1" w:name="_Toc12293"/>
      <w:bookmarkStart w:id="122"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3" w:name="_Toc24972"/>
      <w:bookmarkStart w:id="124" w:name="_Toc36778032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5" w:name="_Toc367780327"/>
      <w:bookmarkStart w:id="126" w:name="_Toc50"/>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2620"/>
      <w:bookmarkStart w:id="128" w:name="_Toc367780328"/>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pPr>
        <w:pStyle w:val="5"/>
        <w:spacing w:line="360" w:lineRule="auto"/>
        <w:rPr>
          <w:rFonts w:ascii="宋体" w:hAnsi="宋体"/>
          <w:color w:val="000000" w:themeColor="text1"/>
          <w:sz w:val="21"/>
          <w:szCs w:val="21"/>
          <w:highlight w:val="none"/>
          <w14:textFill>
            <w14:solidFill>
              <w14:schemeClr w14:val="tx1"/>
            </w14:solidFill>
          </w14:textFill>
        </w:rPr>
      </w:pPr>
      <w:bookmarkStart w:id="129" w:name="_Toc31516"/>
      <w:bookmarkStart w:id="130" w:name="_Toc367780329"/>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1" w:name="_Toc30898"/>
      <w:bookmarkStart w:id="132" w:name="_Toc367780330"/>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3" w:name="_Toc367780331"/>
      <w:bookmarkStart w:id="134" w:name="_Toc22459"/>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5" w:name="_Toc6643"/>
      <w:bookmarkStart w:id="136" w:name="_Toc367780332"/>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7" w:name="_Toc367780333"/>
      <w:bookmarkStart w:id="138" w:name="_Toc16709"/>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9" w:name="_Toc367780334"/>
      <w:bookmarkStart w:id="140" w:name="_Toc7570"/>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1" w:name="_Toc32077"/>
      <w:bookmarkStart w:id="142" w:name="_Toc367780335"/>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3" w:name="_Toc367780336"/>
      <w:bookmarkStart w:id="144" w:name="_Toc32226"/>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5" w:name="_Toc367780337"/>
      <w:bookmarkStart w:id="146" w:name="_Toc25541"/>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未成交供应商，广东业信采购招标有限公司不再以其它方式另行通知。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7" w:name="_Toc367780338"/>
      <w:bookmarkStart w:id="148" w:name="_Toc26215"/>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16395"/>
      <w:bookmarkStart w:id="150" w:name="_Toc367780339"/>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pPr>
        <w:pStyle w:val="5"/>
        <w:spacing w:line="360" w:lineRule="auto"/>
        <w:rPr>
          <w:rFonts w:ascii="宋体" w:hAnsi="宋体"/>
          <w:color w:val="000000" w:themeColor="text1"/>
          <w:sz w:val="21"/>
          <w:szCs w:val="21"/>
          <w:highlight w:val="none"/>
          <w14:textFill>
            <w14:solidFill>
              <w14:schemeClr w14:val="tx1"/>
            </w14:solidFill>
          </w14:textFill>
        </w:rPr>
      </w:pPr>
      <w:bookmarkStart w:id="151" w:name="_Toc367780340"/>
      <w:bookmarkStart w:id="152" w:name="_Toc21301"/>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3" w:name="_Toc11114"/>
      <w:bookmarkStart w:id="154" w:name="_Toc367780341"/>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5" w:name="_Toc367780342"/>
      <w:bookmarkStart w:id="156" w:name="_Toc22492"/>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采购人应当自采购合同签订之日起七个工作日内，按照有关规定将采购合同副本报同级人民政府财政部门和广东业信采购招标有限公司备案。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158" w:name="_Toc430771059"/>
      <w:bookmarkStart w:id="159" w:name="_Toc432682726"/>
      <w:bookmarkStart w:id="160" w:name="_Toc13507"/>
      <w:bookmarkStart w:id="161" w:name="_Toc499041071"/>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185803"/>
      <w:bookmarkStart w:id="163"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771061"/>
      <w:bookmarkStart w:id="166" w:name="_Toc430185804"/>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185805"/>
      <w:bookmarkStart w:id="168" w:name="_Toc430771062"/>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w:t>
      </w:r>
      <w:r>
        <w:rPr>
          <w:rFonts w:hint="eastAsia" w:ascii="宋体" w:hAnsi="宋体" w:eastAsia="宋体" w:cs="宋体"/>
          <w:color w:val="000000" w:themeColor="text1"/>
          <w:highlight w:val="none"/>
          <w14:textFill>
            <w14:solidFill>
              <w14:schemeClr w14:val="tx1"/>
            </w14:solidFill>
          </w14:textFill>
        </w:rPr>
        <w:t>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771063"/>
      <w:bookmarkStart w:id="170" w:name="_Toc430185806"/>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13066"/>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1578"/>
      <w:bookmarkStart w:id="173"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pPr>
        <w:pStyle w:val="4"/>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15390"/>
      <w:bookmarkStart w:id="175" w:name="_Toc200414513"/>
      <w:r>
        <w:rPr>
          <w:rFonts w:hint="eastAsia" w:ascii="宋体" w:hAnsi="宋体" w:eastAsia="宋体"/>
          <w:color w:val="000000" w:themeColor="text1"/>
          <w:highlight w:val="none"/>
          <w14:textFill>
            <w14:solidFill>
              <w14:schemeClr w14:val="tx1"/>
            </w14:solidFill>
          </w14:textFill>
        </w:rPr>
        <w:t>封面格式</w:t>
      </w:r>
      <w:bookmarkEnd w:id="174"/>
      <w:bookmarkEnd w:id="175"/>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2"/>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2"/>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2"/>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2"/>
        <w:spacing w:line="360" w:lineRule="auto"/>
        <w:jc w:val="center"/>
        <w:rPr>
          <w:rFonts w:ascii="宋体" w:hAnsi="宋体"/>
          <w:bCs/>
          <w:color w:val="000000" w:themeColor="text1"/>
          <w:szCs w:val="24"/>
          <w:highlight w:val="none"/>
          <w14:textFill>
            <w14:solidFill>
              <w14:schemeClr w14:val="tx1"/>
            </w14:solidFill>
          </w14:textFill>
        </w:rPr>
      </w:pPr>
    </w:p>
    <w:p>
      <w:pPr>
        <w:pStyle w:val="2"/>
        <w:spacing w:line="360" w:lineRule="auto"/>
        <w:jc w:val="center"/>
        <w:rPr>
          <w:rFonts w:ascii="宋体" w:hAnsi="宋体"/>
          <w:bCs/>
          <w:color w:val="000000" w:themeColor="text1"/>
          <w:szCs w:val="24"/>
          <w:highlight w:val="none"/>
          <w14:textFill>
            <w14:solidFill>
              <w14:schemeClr w14:val="tx1"/>
            </w14:solidFill>
          </w14:textFill>
        </w:rPr>
      </w:pPr>
    </w:p>
    <w:p>
      <w:pPr>
        <w:pStyle w:val="2"/>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YXCG-20220826</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2"/>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2"/>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2"/>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200414514"/>
      <w:bookmarkStart w:id="177" w:name="_Toc188"/>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6"/>
      <w:bookmarkEnd w:id="177"/>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200414515"/>
      <w:bookmarkStart w:id="179" w:name="_Toc25126"/>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pPr>
        <w:pStyle w:val="2"/>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18439"/>
      <w:bookmarkStart w:id="181" w:name="_Toc200414516"/>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pPr>
        <w:pStyle w:val="2"/>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200414517"/>
      <w:bookmarkStart w:id="183" w:name="_Toc28724"/>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16815"/>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10471"/>
      <w:bookmarkStart w:id="187" w:name="_Toc200414524"/>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pPr>
        <w:pStyle w:val="4"/>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29494"/>
      <w:bookmarkStart w:id="189" w:name="_Toc200414525"/>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8"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以</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形式提交的谈判保证金，金额为大写</w:t>
      </w: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 xml:space="preserve"> ）。</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2"/>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0" w:name="_Toc7059"/>
      <w:bookmarkStart w:id="191" w:name="_Toc200414526"/>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p>
    <w:p>
      <w:pPr>
        <w:pStyle w:val="22"/>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14099"/>
      <w:bookmarkStart w:id="193" w:name="_Toc200414527"/>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服务内容</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服务时间</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单价</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总价</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（该表中无体现的费用但本项目有产生的其他费用）</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2"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报价总价</w:t>
            </w:r>
          </w:p>
        </w:tc>
        <w:tc>
          <w:tcPr>
            <w:tcW w:w="3208" w:type="dxa"/>
            <w:gridSpan w:val="3"/>
            <w:vAlign w:val="center"/>
          </w:tcPr>
          <w:p>
            <w:pPr>
              <w:pStyle w:val="2"/>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4" w:type="dxa"/>
            <w:gridSpan w:val="3"/>
            <w:vAlign w:val="center"/>
          </w:tcPr>
          <w:p>
            <w:pPr>
              <w:pStyle w:val="2"/>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2"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2" w:type="dxa"/>
            <w:gridSpan w:val="6"/>
            <w:vAlign w:val="center"/>
          </w:tcPr>
          <w:p>
            <w:pPr>
              <w:pStyle w:val="2"/>
              <w:snapToGrid w:val="0"/>
              <w:ind w:firstLine="0"/>
              <w:jc w:val="center"/>
              <w:rPr>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4" w:name="_Toc200414528"/>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26490"/>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19327"/>
      <w:bookmarkStart w:id="197"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1517"/>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8"/>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highlight w:val="none"/>
          <w14:textFill>
            <w14:solidFill>
              <w14:schemeClr w14:val="tx1"/>
            </w14:solidFill>
          </w14:textFill>
        </w:rPr>
      </w:pPr>
    </w:p>
    <w:p>
      <w:pPr>
        <w:pStyle w:val="2"/>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2"/>
        <w:snapToGrid w:val="0"/>
        <w:spacing w:line="360" w:lineRule="auto"/>
        <w:ind w:firstLine="0"/>
        <w:rPr>
          <w:rFonts w:hAnsi="宋体"/>
          <w:bCs/>
          <w:color w:val="000000" w:themeColor="text1"/>
          <w:highlight w:val="none"/>
          <w14:textFill>
            <w14:solidFill>
              <w14:schemeClr w14:val="tx1"/>
            </w14:solidFill>
          </w14:textFill>
        </w:rPr>
      </w:pPr>
    </w:p>
    <w:p>
      <w:pPr>
        <w:pStyle w:val="2"/>
        <w:snapToGrid w:val="0"/>
        <w:spacing w:line="360" w:lineRule="auto"/>
        <w:ind w:firstLine="0"/>
        <w:rPr>
          <w:rFonts w:hAnsi="宋体"/>
          <w:bCs/>
          <w:color w:val="000000" w:themeColor="text1"/>
          <w:highlight w:val="none"/>
          <w14:textFill>
            <w14:solidFill>
              <w14:schemeClr w14:val="tx1"/>
            </w14:solidFill>
          </w14:textFill>
        </w:rPr>
      </w:pPr>
    </w:p>
    <w:p>
      <w:pPr>
        <w:pStyle w:val="2"/>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pStyle w:val="2"/>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9" w:name="_Toc4253"/>
      <w:bookmarkStart w:id="200" w:name="_Toc432682754"/>
      <w:bookmarkStart w:id="201" w:name="_Toc7149"/>
      <w:bookmarkStart w:id="202" w:name="_Toc430771089"/>
      <w:bookmarkStart w:id="203" w:name="_Toc432695229"/>
      <w:bookmarkStart w:id="204" w:name="_Toc331684072"/>
      <w:bookmarkStart w:id="205" w:name="_Toc333935717"/>
      <w:bookmarkStart w:id="206" w:name="_Toc339020125"/>
      <w:bookmarkStart w:id="207" w:name="_Toc340677100"/>
      <w:bookmarkStart w:id="208" w:name="_Toc331512931"/>
      <w:bookmarkStart w:id="209" w:name="_Toc333237819"/>
      <w:bookmarkStart w:id="210" w:name="_Toc102451601"/>
      <w:bookmarkStart w:id="211" w:name="_Toc333935376"/>
      <w:bookmarkStart w:id="212" w:name="_Toc365985211"/>
      <w:bookmarkStart w:id="213" w:name="_Toc345312627"/>
      <w:bookmarkStart w:id="214" w:name="_Toc365967105"/>
      <w:bookmarkStart w:id="215" w:name="_Toc342296791"/>
      <w:bookmarkStart w:id="216" w:name="_Toc342398160"/>
      <w:bookmarkStart w:id="217" w:name="_Toc343248448"/>
      <w:bookmarkStart w:id="218" w:name="_Toc350438779"/>
      <w:bookmarkStart w:id="219" w:name="_Toc339019919"/>
      <w:bookmarkStart w:id="220" w:name="_Toc339020263"/>
      <w:bookmarkStart w:id="221" w:name="_Toc336681965"/>
      <w:bookmarkStart w:id="222" w:name="_Toc339020045"/>
      <w:bookmarkStart w:id="223" w:name="_Toc332270377"/>
      <w:bookmarkStart w:id="224" w:name="_Toc336681610"/>
      <w:bookmarkStart w:id="225" w:name="_Toc342060405"/>
      <w:bookmarkStart w:id="226" w:name="_Toc343247130"/>
      <w:bookmarkStart w:id="227" w:name="_Toc339441117"/>
      <w:bookmarkStart w:id="228" w:name="_Toc366072562"/>
      <w:bookmarkStart w:id="229" w:name="_Toc332206739"/>
      <w:bookmarkStart w:id="230" w:name="_Toc342312473"/>
      <w:bookmarkStart w:id="231" w:name="_Toc343612950"/>
      <w:bookmarkStart w:id="232" w:name="_Toc340672899"/>
      <w:bookmarkStart w:id="233" w:name="_Toc330460016"/>
      <w:bookmarkStart w:id="234" w:name="_Toc350756480"/>
      <w:bookmarkStart w:id="235" w:name="_Toc333237708"/>
      <w:bookmarkStart w:id="236" w:name="_Toc341348370"/>
      <w:bookmarkStart w:id="237" w:name="_Toc333238664"/>
      <w:bookmarkStart w:id="238" w:name="_Toc337632388"/>
      <w:bookmarkStart w:id="239" w:name="_Toc340507472"/>
      <w:bookmarkStart w:id="240" w:name="_Toc339362330"/>
      <w:bookmarkStart w:id="241"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199"/>
      <w:bookmarkEnd w:id="200"/>
      <w:bookmarkEnd w:id="201"/>
      <w:bookmarkEnd w:id="202"/>
      <w:bookmarkEnd w:id="203"/>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2" w:name="_Toc32373"/>
      <w:bookmarkStart w:id="243" w:name="_Toc20242"/>
      <w:bookmarkStart w:id="244" w:name="_Toc14926"/>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2"/>
      <w:bookmarkEnd w:id="243"/>
      <w:bookmarkEnd w:id="24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5" w:name="_Toc14567"/>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1"/>
      <w:bookmarkEnd w:id="24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6" w:name="_Toc32587"/>
      <w:bookmarkStart w:id="247" w:name="_Toc200414535"/>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6"/>
      <w:bookmarkEnd w:id="247"/>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2"/>
        <w:spacing w:line="360" w:lineRule="auto"/>
        <w:rPr>
          <w:rFonts w:ascii="宋体" w:hAnsi="宋体"/>
          <w:color w:val="000000" w:themeColor="text1"/>
          <w:szCs w:val="21"/>
          <w:highlight w:val="none"/>
          <w14:textFill>
            <w14:solidFill>
              <w14:schemeClr w14:val="tx1"/>
            </w14:solidFill>
          </w14:textFill>
        </w:rPr>
      </w:pP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8" w:name="_Toc434832511"/>
      <w:bookmarkStart w:id="249" w:name="_Toc1544"/>
      <w:r>
        <w:rPr>
          <w:rFonts w:hint="eastAsia" w:ascii="宋体" w:hAnsi="宋体" w:eastAsia="宋体"/>
          <w:color w:val="000000" w:themeColor="text1"/>
          <w:sz w:val="52"/>
          <w:highlight w:val="none"/>
          <w14:textFill>
            <w14:solidFill>
              <w14:schemeClr w14:val="tx1"/>
            </w14:solidFill>
          </w14:textFill>
        </w:rPr>
        <w:t>其 他 格 式</w:t>
      </w:r>
      <w:bookmarkEnd w:id="248"/>
      <w:bookmarkEnd w:id="249"/>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rFonts w:ascii="宋体" w:hAnsi="宋体"/>
          <w:color w:val="000000" w:themeColor="text1"/>
          <w:sz w:val="28"/>
          <w:highlight w:val="none"/>
          <w14:textFill>
            <w14:solidFill>
              <w14:schemeClr w14:val="tx1"/>
            </w14:solidFill>
          </w14:textFill>
        </w:rPr>
      </w:pPr>
      <w:bookmarkStart w:id="250" w:name="_Toc17097"/>
      <w:r>
        <w:rPr>
          <w:rFonts w:hint="eastAsia" w:ascii="宋体" w:hAnsi="宋体"/>
          <w:color w:val="000000" w:themeColor="text1"/>
          <w:sz w:val="28"/>
          <w:highlight w:val="none"/>
          <w14:textFill>
            <w14:solidFill>
              <w14:schemeClr w14:val="tx1"/>
            </w14:solidFill>
          </w14:textFill>
        </w:rPr>
        <w:t>投标保证金退付书</w:t>
      </w:r>
      <w:bookmarkEnd w:id="250"/>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4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79"/>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2"/>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ind w:left="0" w:leftChars="0" w:firstLine="0" w:firstLineChars="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8"/>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8"/>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2Zjc5NzZhNWNmMDhhN2NiYjQ5NjNiNzUyYWQ2ZTQ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C61066"/>
    <w:rsid w:val="06D70337"/>
    <w:rsid w:val="06F227DE"/>
    <w:rsid w:val="08D11305"/>
    <w:rsid w:val="09437EA7"/>
    <w:rsid w:val="09E84E10"/>
    <w:rsid w:val="0A70684A"/>
    <w:rsid w:val="0A951F6E"/>
    <w:rsid w:val="0B6E1848"/>
    <w:rsid w:val="0B790E74"/>
    <w:rsid w:val="0BFA53E6"/>
    <w:rsid w:val="0C7F72BD"/>
    <w:rsid w:val="0D844120"/>
    <w:rsid w:val="0D9E60D7"/>
    <w:rsid w:val="0F3B2F67"/>
    <w:rsid w:val="0F9A500F"/>
    <w:rsid w:val="10DC2790"/>
    <w:rsid w:val="116077A0"/>
    <w:rsid w:val="11E25FD6"/>
    <w:rsid w:val="11FB3784"/>
    <w:rsid w:val="12427DF1"/>
    <w:rsid w:val="12BA5DE6"/>
    <w:rsid w:val="13FF2FB9"/>
    <w:rsid w:val="15E76A24"/>
    <w:rsid w:val="16CB43D6"/>
    <w:rsid w:val="170D0382"/>
    <w:rsid w:val="173F3753"/>
    <w:rsid w:val="174801F6"/>
    <w:rsid w:val="17827F02"/>
    <w:rsid w:val="17C57205"/>
    <w:rsid w:val="182E7070"/>
    <w:rsid w:val="183F1D1A"/>
    <w:rsid w:val="19F97358"/>
    <w:rsid w:val="1A553748"/>
    <w:rsid w:val="1A6754AF"/>
    <w:rsid w:val="1AE3378E"/>
    <w:rsid w:val="1AFA6EBD"/>
    <w:rsid w:val="1C5D0427"/>
    <w:rsid w:val="1C7B3169"/>
    <w:rsid w:val="1C933E4A"/>
    <w:rsid w:val="206977D9"/>
    <w:rsid w:val="21A613C7"/>
    <w:rsid w:val="223733C1"/>
    <w:rsid w:val="224E294F"/>
    <w:rsid w:val="226C214F"/>
    <w:rsid w:val="22854FFE"/>
    <w:rsid w:val="22E31283"/>
    <w:rsid w:val="2348000B"/>
    <w:rsid w:val="24F65A79"/>
    <w:rsid w:val="257A2AD3"/>
    <w:rsid w:val="25AB26B2"/>
    <w:rsid w:val="25BB7DA5"/>
    <w:rsid w:val="2617522C"/>
    <w:rsid w:val="2CC827E0"/>
    <w:rsid w:val="2FAF694F"/>
    <w:rsid w:val="300D3295"/>
    <w:rsid w:val="313145D4"/>
    <w:rsid w:val="31C07988"/>
    <w:rsid w:val="34514DEA"/>
    <w:rsid w:val="34A5067E"/>
    <w:rsid w:val="34CC3D50"/>
    <w:rsid w:val="35645814"/>
    <w:rsid w:val="359441D9"/>
    <w:rsid w:val="36682807"/>
    <w:rsid w:val="37F86297"/>
    <w:rsid w:val="38077A24"/>
    <w:rsid w:val="39822E25"/>
    <w:rsid w:val="39A33E38"/>
    <w:rsid w:val="39E30BB5"/>
    <w:rsid w:val="39F775D0"/>
    <w:rsid w:val="3AB70F8D"/>
    <w:rsid w:val="3BB84807"/>
    <w:rsid w:val="3BD261FC"/>
    <w:rsid w:val="3E546CEB"/>
    <w:rsid w:val="3F657D6E"/>
    <w:rsid w:val="401C19E8"/>
    <w:rsid w:val="418827F6"/>
    <w:rsid w:val="421440A0"/>
    <w:rsid w:val="427914F2"/>
    <w:rsid w:val="42926285"/>
    <w:rsid w:val="42DA0C6E"/>
    <w:rsid w:val="43920409"/>
    <w:rsid w:val="43AB748D"/>
    <w:rsid w:val="44663A11"/>
    <w:rsid w:val="44FA1BC9"/>
    <w:rsid w:val="450966EF"/>
    <w:rsid w:val="45412657"/>
    <w:rsid w:val="465877C4"/>
    <w:rsid w:val="471A0124"/>
    <w:rsid w:val="47246B0D"/>
    <w:rsid w:val="476612EE"/>
    <w:rsid w:val="478B4272"/>
    <w:rsid w:val="47EA5B27"/>
    <w:rsid w:val="484771DF"/>
    <w:rsid w:val="48BD6E6E"/>
    <w:rsid w:val="48F15695"/>
    <w:rsid w:val="49553696"/>
    <w:rsid w:val="495F4D4E"/>
    <w:rsid w:val="49782573"/>
    <w:rsid w:val="4A1C5E76"/>
    <w:rsid w:val="4B3A2F93"/>
    <w:rsid w:val="4CDF200B"/>
    <w:rsid w:val="4D8818A4"/>
    <w:rsid w:val="4DBF18E4"/>
    <w:rsid w:val="4FBF2B30"/>
    <w:rsid w:val="50070AD0"/>
    <w:rsid w:val="51854483"/>
    <w:rsid w:val="524A1ECB"/>
    <w:rsid w:val="54491131"/>
    <w:rsid w:val="54E831A5"/>
    <w:rsid w:val="5736398C"/>
    <w:rsid w:val="57954DF0"/>
    <w:rsid w:val="59036C6A"/>
    <w:rsid w:val="5A4159A9"/>
    <w:rsid w:val="5A633C89"/>
    <w:rsid w:val="5B696393"/>
    <w:rsid w:val="5B7B1804"/>
    <w:rsid w:val="5B7D7635"/>
    <w:rsid w:val="5C3948AE"/>
    <w:rsid w:val="5C475F9E"/>
    <w:rsid w:val="5D684457"/>
    <w:rsid w:val="5EAE747B"/>
    <w:rsid w:val="5F34520E"/>
    <w:rsid w:val="601445A3"/>
    <w:rsid w:val="601C5B46"/>
    <w:rsid w:val="606A15ED"/>
    <w:rsid w:val="65D90B98"/>
    <w:rsid w:val="66313589"/>
    <w:rsid w:val="676E702E"/>
    <w:rsid w:val="67F10FCD"/>
    <w:rsid w:val="68B275A0"/>
    <w:rsid w:val="69826A39"/>
    <w:rsid w:val="6AFB752E"/>
    <w:rsid w:val="6C0A331C"/>
    <w:rsid w:val="6D0D797F"/>
    <w:rsid w:val="6D881C70"/>
    <w:rsid w:val="6E0C11B0"/>
    <w:rsid w:val="6E3C0C9C"/>
    <w:rsid w:val="6E446298"/>
    <w:rsid w:val="6E673F14"/>
    <w:rsid w:val="6FDD6381"/>
    <w:rsid w:val="6FF81729"/>
    <w:rsid w:val="74AA237E"/>
    <w:rsid w:val="7750345B"/>
    <w:rsid w:val="7849732E"/>
    <w:rsid w:val="797866AB"/>
    <w:rsid w:val="7B4A52E9"/>
    <w:rsid w:val="7D4D5A35"/>
    <w:rsid w:val="7DA75CF8"/>
    <w:rsid w:val="7DF37ED1"/>
    <w:rsid w:val="7FC26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68"/>
    <w:qFormat/>
    <w:uiPriority w:val="0"/>
    <w:pPr>
      <w:keepNext/>
      <w:keepLines/>
      <w:spacing w:before="260" w:after="260" w:line="416" w:lineRule="auto"/>
      <w:outlineLvl w:val="2"/>
    </w:pPr>
    <w:rPr>
      <w:b/>
      <w:bCs/>
      <w:sz w:val="32"/>
      <w:szCs w:val="32"/>
    </w:rPr>
  </w:style>
  <w:style w:type="paragraph" w:styleId="6">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2"/>
    <w:link w:val="86"/>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50"/>
    <w:qFormat/>
    <w:uiPriority w:val="0"/>
    <w:pPr>
      <w:keepNext/>
      <w:keepLines/>
      <w:spacing w:before="240" w:after="64" w:line="320" w:lineRule="auto"/>
      <w:outlineLvl w:val="6"/>
    </w:pPr>
    <w:rPr>
      <w:b/>
      <w:sz w:val="24"/>
      <w:szCs w:val="20"/>
    </w:rPr>
  </w:style>
  <w:style w:type="paragraph" w:styleId="10">
    <w:name w:val="heading 8"/>
    <w:basedOn w:val="1"/>
    <w:next w:val="2"/>
    <w:link w:val="8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5"/>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4"/>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7"/>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0"/>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4"/>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89"/>
    <w:qFormat/>
    <w:uiPriority w:val="0"/>
    <w:pPr>
      <w:spacing w:after="120" w:line="480" w:lineRule="auto"/>
      <w:ind w:left="420" w:leftChars="200"/>
    </w:pPr>
  </w:style>
  <w:style w:type="paragraph" w:styleId="27">
    <w:name w:val="Balloon Text"/>
    <w:basedOn w:val="1"/>
    <w:link w:val="59"/>
    <w:semiHidden/>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9"/>
    <w:qFormat/>
    <w:locked/>
    <w:uiPriority w:val="0"/>
    <w:rPr>
      <w:b/>
      <w:kern w:val="2"/>
      <w:sz w:val="24"/>
    </w:rPr>
  </w:style>
  <w:style w:type="character" w:customStyle="1" w:styleId="51">
    <w:name w:val="标题 9 Char"/>
    <w:link w:val="11"/>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6"/>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2"/>
    <w:qFormat/>
    <w:uiPriority w:val="0"/>
    <w:rPr>
      <w:rFonts w:eastAsia="宋体"/>
      <w:kern w:val="2"/>
      <w:sz w:val="21"/>
      <w:lang w:val="en-US" w:eastAsia="zh-CN" w:bidi="ar-SA"/>
    </w:rPr>
  </w:style>
  <w:style w:type="character" w:customStyle="1" w:styleId="56">
    <w:name w:val="页眉 Char"/>
    <w:link w:val="29"/>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semiHidden/>
    <w:qFormat/>
    <w:locked/>
    <w:uiPriority w:val="0"/>
    <w:rPr>
      <w:kern w:val="2"/>
      <w:sz w:val="18"/>
      <w:szCs w:val="18"/>
    </w:rPr>
  </w:style>
  <w:style w:type="character" w:customStyle="1" w:styleId="60">
    <w:name w:val="正文文本缩进 Char"/>
    <w:link w:val="19"/>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2"/>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6"/>
    <w:semiHidden/>
    <w:qFormat/>
    <w:uiPriority w:val="99"/>
    <w:rPr>
      <w:kern w:val="2"/>
      <w:sz w:val="21"/>
      <w:szCs w:val="24"/>
    </w:rPr>
  </w:style>
  <w:style w:type="character" w:customStyle="1" w:styleId="68">
    <w:name w:val="标题 3 Char"/>
    <w:link w:val="5"/>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3"/>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8"/>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3"/>
    <w:qFormat/>
    <w:locked/>
    <w:uiPriority w:val="0"/>
    <w:rPr>
      <w:b/>
      <w:bCs/>
      <w:kern w:val="44"/>
      <w:sz w:val="44"/>
      <w:szCs w:val="44"/>
    </w:rPr>
  </w:style>
  <w:style w:type="character" w:customStyle="1" w:styleId="84">
    <w:name w:val="标题 2 Char1"/>
    <w:link w:val="4"/>
    <w:qFormat/>
    <w:locked/>
    <w:uiPriority w:val="0"/>
    <w:rPr>
      <w:rFonts w:ascii="Arial" w:hAnsi="Arial" w:eastAsia="黑体"/>
      <w:b/>
      <w:bCs/>
      <w:kern w:val="2"/>
      <w:sz w:val="32"/>
      <w:szCs w:val="32"/>
    </w:rPr>
  </w:style>
  <w:style w:type="character" w:customStyle="1" w:styleId="85">
    <w:name w:val="标题 5 Char"/>
    <w:link w:val="7"/>
    <w:qFormat/>
    <w:locked/>
    <w:uiPriority w:val="0"/>
    <w:rPr>
      <w:b/>
      <w:sz w:val="28"/>
    </w:rPr>
  </w:style>
  <w:style w:type="character" w:customStyle="1" w:styleId="86">
    <w:name w:val="标题 6 Char"/>
    <w:link w:val="8"/>
    <w:qFormat/>
    <w:locked/>
    <w:uiPriority w:val="0"/>
    <w:rPr>
      <w:rFonts w:ascii="Arial" w:hAnsi="Arial" w:eastAsia="黑体"/>
      <w:b/>
      <w:kern w:val="2"/>
      <w:sz w:val="24"/>
    </w:rPr>
  </w:style>
  <w:style w:type="character" w:customStyle="1" w:styleId="87">
    <w:name w:val="标题 8 Char"/>
    <w:link w:val="10"/>
    <w:qFormat/>
    <w:locked/>
    <w:uiPriority w:val="0"/>
    <w:rPr>
      <w:rFonts w:ascii="Arial" w:hAnsi="Arial" w:eastAsia="黑体"/>
      <w:kern w:val="2"/>
      <w:sz w:val="24"/>
    </w:rPr>
  </w:style>
  <w:style w:type="character" w:customStyle="1" w:styleId="88">
    <w:name w:val="标题 Char"/>
    <w:link w:val="39"/>
    <w:qFormat/>
    <w:uiPriority w:val="0"/>
    <w:rPr>
      <w:rFonts w:ascii="Arial" w:hAnsi="Arial" w:cs="Arial"/>
      <w:b/>
      <w:bCs/>
      <w:kern w:val="2"/>
      <w:sz w:val="32"/>
      <w:szCs w:val="32"/>
    </w:rPr>
  </w:style>
  <w:style w:type="character" w:customStyle="1" w:styleId="89">
    <w:name w:val="正文文本缩进 2 Char"/>
    <w:link w:val="26"/>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2"/>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3"/>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3"/>
    <w:qFormat/>
    <w:uiPriority w:val="0"/>
    <w:pPr>
      <w:ind w:left="-132" w:leftChars="-64" w:right="-105" w:rightChars="-50" w:hanging="2"/>
      <w:jc w:val="center"/>
    </w:pPr>
    <w:rPr>
      <w:b/>
      <w:color w:val="FF0000"/>
      <w:szCs w:val="21"/>
      <w:lang w:val="en-GB"/>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6"/>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19077</Words>
  <Characters>20087</Characters>
  <Lines>196</Lines>
  <Paragraphs>55</Paragraphs>
  <TotalTime>1</TotalTime>
  <ScaleCrop>false</ScaleCrop>
  <LinksUpToDate>false</LinksUpToDate>
  <CharactersWithSpaces>22548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2016-12-28T09:38:00Z</cp:lastPrinted>
  <dcterms:modified xsi:type="dcterms:W3CDTF">2022-09-08T10:47:03Z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958561446096443CA77D9A05DD725A50</vt:lpwstr>
  </property>
</Properties>
</file>